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8E072" w14:textId="77777777" w:rsidR="0029475A" w:rsidRPr="00947391" w:rsidRDefault="0029475A" w:rsidP="00FF0EE8">
      <w:pPr>
        <w:spacing w:line="240" w:lineRule="auto"/>
      </w:pPr>
      <w:bookmarkStart w:id="0" w:name="_GoBack"/>
      <w:bookmarkEnd w:id="0"/>
    </w:p>
    <w:p w14:paraId="73877444" w14:textId="77777777" w:rsidR="0029475A" w:rsidRPr="00947391" w:rsidRDefault="0029475A" w:rsidP="00FF0EE8">
      <w:pPr>
        <w:spacing w:line="240" w:lineRule="auto"/>
      </w:pPr>
    </w:p>
    <w:p w14:paraId="2E844279" w14:textId="77777777" w:rsidR="0029475A" w:rsidRPr="00947391" w:rsidRDefault="0029475A" w:rsidP="00FF0EE8">
      <w:pPr>
        <w:spacing w:line="240" w:lineRule="auto"/>
      </w:pPr>
    </w:p>
    <w:p w14:paraId="22F6F9D8" w14:textId="77777777" w:rsidR="0029475A" w:rsidRDefault="0029475A" w:rsidP="00FF0EE8">
      <w:pPr>
        <w:spacing w:line="240" w:lineRule="auto"/>
      </w:pPr>
    </w:p>
    <w:p w14:paraId="77DB9DCB" w14:textId="77777777" w:rsidR="0029475A" w:rsidRPr="005612D7" w:rsidRDefault="0029475A" w:rsidP="00FF0EE8">
      <w:pPr>
        <w:spacing w:line="240" w:lineRule="auto"/>
      </w:pPr>
    </w:p>
    <w:p w14:paraId="3F417C24" w14:textId="77777777" w:rsidR="0029475A" w:rsidRPr="006A5B91" w:rsidRDefault="0029475A" w:rsidP="00FF0EE8">
      <w:pPr>
        <w:spacing w:line="240" w:lineRule="auto"/>
        <w:jc w:val="center"/>
        <w:rPr>
          <w:b/>
          <w:sz w:val="32"/>
        </w:rPr>
      </w:pPr>
      <w:r w:rsidRPr="006A5B91">
        <w:rPr>
          <w:b/>
          <w:sz w:val="32"/>
        </w:rPr>
        <w:t xml:space="preserve">Regulatory Analysis for </w:t>
      </w:r>
      <w:r w:rsidR="00A77359">
        <w:rPr>
          <w:b/>
          <w:sz w:val="32"/>
        </w:rPr>
        <w:t>Final</w:t>
      </w:r>
      <w:r w:rsidR="00A77359" w:rsidRPr="006A5B91">
        <w:rPr>
          <w:b/>
          <w:sz w:val="32"/>
        </w:rPr>
        <w:t xml:space="preserve"> </w:t>
      </w:r>
      <w:r w:rsidRPr="006A5B91">
        <w:rPr>
          <w:b/>
          <w:sz w:val="32"/>
        </w:rPr>
        <w:t>Rule:</w:t>
      </w:r>
    </w:p>
    <w:p w14:paraId="4E44539C" w14:textId="7FBAA82F" w:rsidR="0029475A" w:rsidRDefault="0029475A" w:rsidP="00FF0EE8">
      <w:pPr>
        <w:spacing w:line="240" w:lineRule="auto"/>
        <w:jc w:val="center"/>
        <w:rPr>
          <w:b/>
          <w:sz w:val="32"/>
        </w:rPr>
      </w:pPr>
      <w:r w:rsidRPr="006A5B91">
        <w:rPr>
          <w:b/>
          <w:sz w:val="32"/>
        </w:rPr>
        <w:t>Approval of American Society of Mechanical Engineers</w:t>
      </w:r>
      <w:r w:rsidR="00E65716">
        <w:rPr>
          <w:b/>
          <w:sz w:val="32"/>
        </w:rPr>
        <w:br/>
      </w:r>
      <w:r w:rsidR="00AE121B" w:rsidRPr="006A5B91">
        <w:rPr>
          <w:b/>
          <w:sz w:val="32"/>
        </w:rPr>
        <w:t>Code Cases</w:t>
      </w:r>
    </w:p>
    <w:p w14:paraId="2D4187B5" w14:textId="77777777" w:rsidR="00036F5F" w:rsidRPr="006A5B91" w:rsidRDefault="00036F5F" w:rsidP="00FF0EE8">
      <w:pPr>
        <w:spacing w:line="240" w:lineRule="auto"/>
        <w:jc w:val="center"/>
        <w:rPr>
          <w:b/>
          <w:sz w:val="32"/>
        </w:rPr>
      </w:pPr>
    </w:p>
    <w:p w14:paraId="2E485C0B" w14:textId="77777777" w:rsidR="0029475A" w:rsidRPr="00780F91" w:rsidRDefault="0029475A" w:rsidP="00FF0EE8">
      <w:pPr>
        <w:spacing w:line="240" w:lineRule="auto"/>
        <w:jc w:val="center"/>
        <w:rPr>
          <w:sz w:val="24"/>
        </w:rPr>
      </w:pPr>
      <w:r w:rsidRPr="00780F91">
        <w:rPr>
          <w:sz w:val="24"/>
        </w:rPr>
        <w:t>NRC-</w:t>
      </w:r>
      <w:r w:rsidR="00D81300" w:rsidRPr="00780F91">
        <w:rPr>
          <w:sz w:val="24"/>
        </w:rPr>
        <w:t>20</w:t>
      </w:r>
      <w:r w:rsidR="00D81300">
        <w:rPr>
          <w:sz w:val="24"/>
        </w:rPr>
        <w:t>12</w:t>
      </w:r>
      <w:r w:rsidRPr="00780F91">
        <w:rPr>
          <w:sz w:val="24"/>
        </w:rPr>
        <w:t>-0</w:t>
      </w:r>
      <w:r w:rsidR="00D81300">
        <w:rPr>
          <w:sz w:val="24"/>
        </w:rPr>
        <w:t>0</w:t>
      </w:r>
      <w:r w:rsidRPr="00780F91">
        <w:rPr>
          <w:sz w:val="24"/>
        </w:rPr>
        <w:t>59; RIN 3150-</w:t>
      </w:r>
      <w:r w:rsidR="00BB52D6" w:rsidRPr="00780F91">
        <w:rPr>
          <w:sz w:val="24"/>
        </w:rPr>
        <w:t>A</w:t>
      </w:r>
      <w:r w:rsidR="00BB52D6">
        <w:rPr>
          <w:sz w:val="24"/>
        </w:rPr>
        <w:t>J13</w:t>
      </w:r>
    </w:p>
    <w:p w14:paraId="28FFD9B4" w14:textId="77777777" w:rsidR="0029475A" w:rsidRPr="00F42233" w:rsidRDefault="0029475A" w:rsidP="00FF0EE8">
      <w:pPr>
        <w:spacing w:line="240" w:lineRule="auto"/>
        <w:jc w:val="center"/>
        <w:rPr>
          <w:b/>
          <w:sz w:val="28"/>
        </w:rPr>
      </w:pPr>
    </w:p>
    <w:p w14:paraId="7A4FA1B5" w14:textId="77777777" w:rsidR="0029475A" w:rsidRPr="005612D7" w:rsidRDefault="0029475A" w:rsidP="00FF0EE8">
      <w:pPr>
        <w:spacing w:line="240" w:lineRule="auto"/>
      </w:pPr>
    </w:p>
    <w:p w14:paraId="5BFB9C5B" w14:textId="77777777" w:rsidR="0029475A" w:rsidRPr="005612D7" w:rsidRDefault="0029475A" w:rsidP="00FF0EE8">
      <w:pPr>
        <w:spacing w:line="240" w:lineRule="auto"/>
      </w:pPr>
      <w:r>
        <w:rPr>
          <w:noProof/>
        </w:rPr>
        <mc:AlternateContent>
          <mc:Choice Requires="wps">
            <w:drawing>
              <wp:anchor distT="0" distB="0" distL="114300" distR="114300" simplePos="0" relativeHeight="251661312" behindDoc="1" locked="1" layoutInCell="0" allowOverlap="1" wp14:anchorId="58AC590E" wp14:editId="66E14141">
                <wp:simplePos x="0" y="0"/>
                <wp:positionH relativeFrom="page">
                  <wp:posOffset>914400</wp:posOffset>
                </wp:positionH>
                <wp:positionV relativeFrom="paragraph">
                  <wp:posOffset>0</wp:posOffset>
                </wp:positionV>
                <wp:extent cx="5943600" cy="12065"/>
                <wp:effectExtent l="0" t="0" r="0" b="6985"/>
                <wp:wrapNone/>
                <wp:docPr id="29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9B7724" id="Rectangle 33" o:spid="_x0000_s1026" style="position:absolute;margin-left:1in;margin-top:0;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AGTAbz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5EAA35C9" w14:textId="77777777" w:rsidR="0029475A" w:rsidRDefault="0029475A" w:rsidP="00FF0EE8">
      <w:pPr>
        <w:spacing w:line="240" w:lineRule="auto"/>
      </w:pPr>
    </w:p>
    <w:p w14:paraId="42DE3AFC" w14:textId="77777777" w:rsidR="006A5B91" w:rsidRPr="00ED1D75" w:rsidRDefault="006A5B91" w:rsidP="00FF0EE8">
      <w:pPr>
        <w:spacing w:line="240" w:lineRule="auto"/>
        <w:rPr>
          <w:sz w:val="30"/>
          <w:szCs w:val="30"/>
        </w:rPr>
      </w:pPr>
      <w:r w:rsidRPr="00ED1D75">
        <w:rPr>
          <w:b/>
          <w:bCs/>
          <w:sz w:val="30"/>
          <w:szCs w:val="30"/>
        </w:rPr>
        <w:t>U.S. Nuclear Regulatory Commission</w:t>
      </w:r>
    </w:p>
    <w:p w14:paraId="62899CA7" w14:textId="77777777" w:rsidR="006A5B91" w:rsidRPr="00ED1D75" w:rsidRDefault="006A5B91" w:rsidP="00FF0EE8">
      <w:pPr>
        <w:spacing w:line="240" w:lineRule="auto"/>
        <w:rPr>
          <w:sz w:val="30"/>
          <w:szCs w:val="30"/>
        </w:rPr>
      </w:pPr>
    </w:p>
    <w:p w14:paraId="544B9AF8" w14:textId="77777777" w:rsidR="006A5B91" w:rsidRPr="00ED1D75" w:rsidRDefault="006A5B91" w:rsidP="00FF0EE8">
      <w:pPr>
        <w:spacing w:line="240" w:lineRule="auto"/>
        <w:rPr>
          <w:sz w:val="30"/>
          <w:szCs w:val="30"/>
        </w:rPr>
      </w:pPr>
    </w:p>
    <w:p w14:paraId="7384EFF0" w14:textId="56C97294" w:rsidR="006A5B91" w:rsidRDefault="00FD3AB6" w:rsidP="00FF0EE8">
      <w:pPr>
        <w:spacing w:line="240" w:lineRule="auto"/>
        <w:rPr>
          <w:sz w:val="28"/>
          <w:szCs w:val="28"/>
        </w:rPr>
      </w:pPr>
      <w:r>
        <w:rPr>
          <w:sz w:val="28"/>
          <w:szCs w:val="28"/>
        </w:rPr>
        <w:t>July</w:t>
      </w:r>
      <w:r w:rsidR="0012451A">
        <w:rPr>
          <w:sz w:val="28"/>
          <w:szCs w:val="28"/>
        </w:rPr>
        <w:t xml:space="preserve"> 2017</w:t>
      </w:r>
    </w:p>
    <w:p w14:paraId="4DF5ADD7" w14:textId="77777777" w:rsidR="006A5B91" w:rsidRDefault="006A5B91" w:rsidP="00FF0EE8">
      <w:pPr>
        <w:spacing w:line="240" w:lineRule="auto"/>
      </w:pPr>
    </w:p>
    <w:p w14:paraId="651B016C" w14:textId="77777777" w:rsidR="006A5B91" w:rsidRDefault="006A5B91" w:rsidP="00FF0EE8">
      <w:pPr>
        <w:spacing w:line="240" w:lineRule="auto"/>
      </w:pPr>
      <w:r w:rsidRPr="00ED1D75">
        <w:rPr>
          <w:noProof/>
        </w:rPr>
        <w:drawing>
          <wp:anchor distT="0" distB="0" distL="114300" distR="114300" simplePos="0" relativeHeight="251663360" behindDoc="1" locked="0" layoutInCell="1" allowOverlap="1" wp14:anchorId="6A914C47" wp14:editId="63282EAF">
            <wp:simplePos x="0" y="0"/>
            <wp:positionH relativeFrom="margin">
              <wp:posOffset>0</wp:posOffset>
            </wp:positionH>
            <wp:positionV relativeFrom="paragraph">
              <wp:posOffset>182880</wp:posOffset>
            </wp:positionV>
            <wp:extent cx="1830705" cy="1828800"/>
            <wp:effectExtent l="0" t="0" r="0" b="0"/>
            <wp:wrapThrough wrapText="bothSides">
              <wp:wrapPolygon edited="0">
                <wp:start x="8092" y="0"/>
                <wp:lineTo x="6293" y="450"/>
                <wp:lineTo x="2023" y="2925"/>
                <wp:lineTo x="1349" y="4725"/>
                <wp:lineTo x="0" y="7200"/>
                <wp:lineTo x="0" y="14400"/>
                <wp:lineTo x="2023" y="18000"/>
                <wp:lineTo x="2248" y="18675"/>
                <wp:lineTo x="6968" y="21375"/>
                <wp:lineTo x="8092" y="21375"/>
                <wp:lineTo x="13261" y="21375"/>
                <wp:lineTo x="14385" y="21375"/>
                <wp:lineTo x="19105" y="18675"/>
                <wp:lineTo x="19330" y="18000"/>
                <wp:lineTo x="21353" y="14400"/>
                <wp:lineTo x="21353" y="7200"/>
                <wp:lineTo x="20004" y="4725"/>
                <wp:lineTo x="19555" y="3150"/>
                <wp:lineTo x="15059" y="450"/>
                <wp:lineTo x="13261" y="0"/>
                <wp:lineTo x="8092" y="0"/>
              </wp:wrapPolygon>
            </wp:wrapThrough>
            <wp:docPr id="1" name="Picture 0" descr="600px-US-NuclearRegulatoryCommission-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px-US-NuclearRegulatoryCommission-Se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0705" cy="1828800"/>
                    </a:xfrm>
                    <a:prstGeom prst="rect">
                      <a:avLst/>
                    </a:prstGeom>
                  </pic:spPr>
                </pic:pic>
              </a:graphicData>
            </a:graphic>
            <wp14:sizeRelH relativeFrom="page">
              <wp14:pctWidth>0</wp14:pctWidth>
            </wp14:sizeRelH>
            <wp14:sizeRelV relativeFrom="page">
              <wp14:pctHeight>0</wp14:pctHeight>
            </wp14:sizeRelV>
          </wp:anchor>
        </w:drawing>
      </w:r>
    </w:p>
    <w:p w14:paraId="581270C9" w14:textId="77777777" w:rsidR="006A5B91" w:rsidRDefault="006A5B91" w:rsidP="00FF0EE8">
      <w:pPr>
        <w:spacing w:line="240" w:lineRule="auto"/>
      </w:pPr>
    </w:p>
    <w:p w14:paraId="567DC614" w14:textId="77777777" w:rsidR="006A5B91" w:rsidRDefault="006A5B91" w:rsidP="00FF0EE8">
      <w:pPr>
        <w:spacing w:line="240" w:lineRule="auto"/>
      </w:pPr>
    </w:p>
    <w:p w14:paraId="3224DF28" w14:textId="77777777" w:rsidR="006A5B91" w:rsidRDefault="006A5B91" w:rsidP="00FF0EE8">
      <w:pPr>
        <w:spacing w:line="240" w:lineRule="auto"/>
      </w:pPr>
    </w:p>
    <w:p w14:paraId="4B91DEF7" w14:textId="77777777" w:rsidR="006A5B91" w:rsidRDefault="006A5B91" w:rsidP="00FF0EE8">
      <w:pPr>
        <w:spacing w:line="240" w:lineRule="auto"/>
      </w:pPr>
    </w:p>
    <w:p w14:paraId="362396FA" w14:textId="77777777" w:rsidR="006A5B91" w:rsidRDefault="006A5B91" w:rsidP="00FF0EE8">
      <w:pPr>
        <w:spacing w:line="240" w:lineRule="auto"/>
      </w:pPr>
    </w:p>
    <w:p w14:paraId="0E63C838" w14:textId="77777777" w:rsidR="006A5B91" w:rsidRDefault="006A5B91" w:rsidP="00FF0EE8">
      <w:pPr>
        <w:spacing w:line="240" w:lineRule="auto"/>
      </w:pPr>
    </w:p>
    <w:p w14:paraId="2504C631" w14:textId="77777777" w:rsidR="006A5B91" w:rsidRDefault="006A5B91" w:rsidP="00FF0EE8">
      <w:pPr>
        <w:spacing w:line="240" w:lineRule="auto"/>
      </w:pPr>
    </w:p>
    <w:p w14:paraId="433401F8" w14:textId="77777777" w:rsidR="006A5B91" w:rsidRDefault="006A5B91" w:rsidP="00FF0EE8">
      <w:pPr>
        <w:spacing w:line="240" w:lineRule="auto"/>
      </w:pPr>
    </w:p>
    <w:p w14:paraId="3D3C5B77" w14:textId="77777777" w:rsidR="006A5B91" w:rsidRDefault="006A5B91" w:rsidP="00FF0EE8">
      <w:pPr>
        <w:spacing w:line="240" w:lineRule="auto"/>
      </w:pPr>
    </w:p>
    <w:p w14:paraId="4F8DABF0" w14:textId="77777777" w:rsidR="006A5B91" w:rsidRPr="005612D7" w:rsidRDefault="006A5B91" w:rsidP="00FF0EE8">
      <w:pPr>
        <w:spacing w:line="240" w:lineRule="auto"/>
      </w:pPr>
    </w:p>
    <w:p w14:paraId="0909E983" w14:textId="77777777" w:rsidR="0029475A" w:rsidRDefault="0029475A" w:rsidP="00FF0EE8">
      <w:pPr>
        <w:spacing w:line="240" w:lineRule="auto"/>
      </w:pPr>
    </w:p>
    <w:p w14:paraId="5C4FF977" w14:textId="77777777" w:rsidR="006A5B91" w:rsidRDefault="006A5B91" w:rsidP="00FF0EE8">
      <w:pPr>
        <w:spacing w:line="240" w:lineRule="auto"/>
      </w:pPr>
    </w:p>
    <w:p w14:paraId="032230E3" w14:textId="77777777" w:rsidR="006A5B91" w:rsidRDefault="006A5B91" w:rsidP="00FF0EE8">
      <w:pPr>
        <w:spacing w:line="240" w:lineRule="auto"/>
      </w:pPr>
    </w:p>
    <w:p w14:paraId="51BA2218" w14:textId="77777777" w:rsidR="006A5B91" w:rsidRDefault="006A5B91" w:rsidP="00FF0EE8">
      <w:pPr>
        <w:spacing w:line="240" w:lineRule="auto"/>
      </w:pPr>
    </w:p>
    <w:p w14:paraId="6CBAE44F" w14:textId="77777777" w:rsidR="006A5B91" w:rsidRDefault="006A5B91" w:rsidP="00FF0EE8">
      <w:pPr>
        <w:spacing w:line="240" w:lineRule="auto"/>
      </w:pPr>
    </w:p>
    <w:p w14:paraId="58D5A9A0" w14:textId="77777777" w:rsidR="006A5B91" w:rsidRDefault="006A5B91" w:rsidP="00FF0EE8">
      <w:pPr>
        <w:spacing w:line="240" w:lineRule="auto"/>
      </w:pPr>
    </w:p>
    <w:p w14:paraId="17D953F1" w14:textId="77777777" w:rsidR="006A5B91" w:rsidRPr="005612D7" w:rsidRDefault="006A5B91" w:rsidP="00FF0EE8">
      <w:pPr>
        <w:spacing w:line="240" w:lineRule="auto"/>
      </w:pPr>
    </w:p>
    <w:p w14:paraId="0775FED9" w14:textId="77777777" w:rsidR="0029475A" w:rsidRPr="005612D7" w:rsidRDefault="0029475A" w:rsidP="00FF0EE8">
      <w:pPr>
        <w:spacing w:line="240" w:lineRule="auto"/>
      </w:pPr>
      <w:r w:rsidRPr="005612D7">
        <w:t>U.S. Nuclear Regulatory Commission</w:t>
      </w:r>
    </w:p>
    <w:p w14:paraId="54BE8A72" w14:textId="77777777" w:rsidR="0029475A" w:rsidRPr="005612D7" w:rsidRDefault="0029475A" w:rsidP="00FF0EE8">
      <w:pPr>
        <w:spacing w:line="240" w:lineRule="auto"/>
      </w:pPr>
      <w:r w:rsidRPr="005612D7">
        <w:t>Office of Nuclear Reactor Regulation</w:t>
      </w:r>
    </w:p>
    <w:p w14:paraId="2CD2196C" w14:textId="77777777" w:rsidR="00937294" w:rsidRPr="005612D7" w:rsidRDefault="00937294" w:rsidP="00FF0EE8">
      <w:pPr>
        <w:spacing w:line="240" w:lineRule="auto"/>
      </w:pPr>
      <w:r>
        <w:t xml:space="preserve">ADAMS Accession No. </w:t>
      </w:r>
      <w:r w:rsidR="00A77359">
        <w:t>ML16285A013</w:t>
      </w:r>
    </w:p>
    <w:p w14:paraId="13260E31" w14:textId="77777777" w:rsidR="00CA47A1" w:rsidRPr="00947391" w:rsidRDefault="00CA47A1" w:rsidP="00FF0EE8">
      <w:pPr>
        <w:tabs>
          <w:tab w:val="left" w:pos="8640"/>
        </w:tabs>
        <w:spacing w:line="240" w:lineRule="auto"/>
        <w:jc w:val="center"/>
      </w:pPr>
    </w:p>
    <w:p w14:paraId="35FB2BFE" w14:textId="77777777" w:rsidR="0029475A" w:rsidRPr="00947391" w:rsidRDefault="0029475A" w:rsidP="00FF0EE8">
      <w:pPr>
        <w:tabs>
          <w:tab w:val="left" w:pos="8640"/>
        </w:tabs>
        <w:spacing w:line="240" w:lineRule="auto"/>
        <w:jc w:val="center"/>
      </w:pPr>
    </w:p>
    <w:p w14:paraId="7FD37FF8" w14:textId="77777777" w:rsidR="0029475A" w:rsidRPr="00947391" w:rsidRDefault="0029475A" w:rsidP="00FF0EE8">
      <w:pPr>
        <w:tabs>
          <w:tab w:val="left" w:pos="8640"/>
        </w:tabs>
        <w:spacing w:line="240" w:lineRule="auto"/>
        <w:jc w:val="center"/>
        <w:sectPr w:rsidR="0029475A" w:rsidRPr="00947391" w:rsidSect="00284B4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504" w:footer="504" w:gutter="0"/>
          <w:pgNumType w:fmt="numberInDash" w:start="8"/>
          <w:cols w:space="720"/>
          <w:docGrid w:linePitch="360"/>
        </w:sectPr>
      </w:pPr>
    </w:p>
    <w:p w14:paraId="6FE13EFB" w14:textId="77777777" w:rsidR="00780F91" w:rsidRPr="00917968" w:rsidRDefault="00780F91" w:rsidP="00FF0EE8">
      <w:pPr>
        <w:spacing w:line="240" w:lineRule="auto"/>
        <w:rPr>
          <w:b/>
          <w:sz w:val="24"/>
        </w:rPr>
      </w:pPr>
      <w:bookmarkStart w:id="1" w:name="_Toc331681521"/>
      <w:bookmarkStart w:id="2" w:name="_Toc199932302"/>
      <w:bookmarkStart w:id="3" w:name="_Toc199932390"/>
      <w:bookmarkStart w:id="4" w:name="_Toc199932465"/>
      <w:bookmarkStart w:id="5" w:name="_Toc199932634"/>
      <w:r w:rsidRPr="00917968">
        <w:rPr>
          <w:b/>
          <w:sz w:val="24"/>
          <w:szCs w:val="24"/>
        </w:rPr>
        <w:lastRenderedPageBreak/>
        <w:t>Table of</w:t>
      </w:r>
      <w:r w:rsidRPr="00192AED">
        <w:rPr>
          <w:b/>
          <w:sz w:val="32"/>
          <w:szCs w:val="32"/>
        </w:rPr>
        <w:t xml:space="preserve"> </w:t>
      </w:r>
      <w:r w:rsidRPr="00917968">
        <w:rPr>
          <w:b/>
          <w:sz w:val="24"/>
        </w:rPr>
        <w:t>Contents</w:t>
      </w:r>
      <w:bookmarkEnd w:id="1"/>
    </w:p>
    <w:bookmarkEnd w:id="2"/>
    <w:bookmarkEnd w:id="3"/>
    <w:bookmarkEnd w:id="4"/>
    <w:bookmarkEnd w:id="5"/>
    <w:p w14:paraId="2F3A26FC" w14:textId="77777777" w:rsidR="00780F91" w:rsidRPr="005A5966" w:rsidRDefault="00780F91" w:rsidP="00FF0EE8">
      <w:pPr>
        <w:pStyle w:val="TOC1"/>
        <w:spacing w:after="60" w:line="240" w:lineRule="auto"/>
      </w:pPr>
    </w:p>
    <w:p w14:paraId="0A30870B" w14:textId="77777777" w:rsidR="0060638D" w:rsidRPr="00984FB6" w:rsidRDefault="00780F91" w:rsidP="00FF0EE8">
      <w:pPr>
        <w:pStyle w:val="TOC1"/>
        <w:spacing w:line="240" w:lineRule="auto"/>
        <w:rPr>
          <w:rFonts w:eastAsiaTheme="minorEastAsia" w:cs="Arial"/>
          <w:noProof/>
          <w:sz w:val="22"/>
          <w:szCs w:val="22"/>
        </w:rPr>
      </w:pPr>
      <w:r w:rsidRPr="00FF0EE8">
        <w:rPr>
          <w:rFonts w:cs="Arial"/>
          <w:bCs/>
          <w:sz w:val="22"/>
          <w:szCs w:val="22"/>
        </w:rPr>
        <w:fldChar w:fldCharType="begin"/>
      </w:r>
      <w:r w:rsidRPr="00FF0EE8">
        <w:rPr>
          <w:rFonts w:cs="Arial"/>
          <w:bCs/>
          <w:sz w:val="22"/>
          <w:szCs w:val="22"/>
        </w:rPr>
        <w:instrText xml:space="preserve"> TOC \o "1-3" \h \z \u </w:instrText>
      </w:r>
      <w:r w:rsidRPr="00FF0EE8">
        <w:rPr>
          <w:rFonts w:cs="Arial"/>
          <w:bCs/>
          <w:sz w:val="22"/>
          <w:szCs w:val="22"/>
        </w:rPr>
        <w:fldChar w:fldCharType="separate"/>
      </w:r>
      <w:hyperlink w:anchor="_Toc468875891" w:history="1">
        <w:r w:rsidR="0060638D" w:rsidRPr="00984FB6">
          <w:rPr>
            <w:rStyle w:val="Hyperlink"/>
            <w:rFonts w:cs="Arial"/>
            <w:noProof/>
            <w:sz w:val="22"/>
            <w:szCs w:val="22"/>
          </w:rPr>
          <w:t>List of Figures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_Toc468875891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iv</w:t>
        </w:r>
        <w:r w:rsidR="0060638D" w:rsidRPr="00984FB6">
          <w:rPr>
            <w:rFonts w:cs="Arial"/>
            <w:noProof/>
            <w:webHidden/>
            <w:sz w:val="22"/>
            <w:szCs w:val="22"/>
          </w:rPr>
          <w:fldChar w:fldCharType="end"/>
        </w:r>
      </w:hyperlink>
    </w:p>
    <w:p w14:paraId="02B959E9" w14:textId="77777777" w:rsidR="0060638D" w:rsidRPr="00984FB6" w:rsidRDefault="00F32688" w:rsidP="00FF0EE8">
      <w:pPr>
        <w:pStyle w:val="TOC1"/>
        <w:spacing w:line="240" w:lineRule="auto"/>
        <w:rPr>
          <w:rFonts w:eastAsiaTheme="minorEastAsia" w:cs="Arial"/>
          <w:noProof/>
          <w:sz w:val="22"/>
          <w:szCs w:val="22"/>
        </w:rPr>
      </w:pPr>
      <w:hyperlink w:anchor="_Toc468875892" w:history="1">
        <w:r w:rsidR="0060638D" w:rsidRPr="00984FB6">
          <w:rPr>
            <w:rStyle w:val="Hyperlink"/>
            <w:rFonts w:cs="Arial"/>
            <w:noProof/>
            <w:sz w:val="22"/>
            <w:szCs w:val="22"/>
          </w:rPr>
          <w:t>List of Tables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_Toc468875892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v</w:t>
        </w:r>
        <w:r w:rsidR="0060638D" w:rsidRPr="00984FB6">
          <w:rPr>
            <w:rFonts w:cs="Arial"/>
            <w:noProof/>
            <w:webHidden/>
            <w:sz w:val="22"/>
            <w:szCs w:val="22"/>
          </w:rPr>
          <w:fldChar w:fldCharType="end"/>
        </w:r>
      </w:hyperlink>
    </w:p>
    <w:p w14:paraId="1BBAF9DE" w14:textId="77777777" w:rsidR="0060638D" w:rsidRPr="00984FB6" w:rsidRDefault="00F32688" w:rsidP="00FF0EE8">
      <w:pPr>
        <w:pStyle w:val="TOC1"/>
        <w:spacing w:line="240" w:lineRule="auto"/>
        <w:rPr>
          <w:rFonts w:eastAsiaTheme="minorEastAsia" w:cs="Arial"/>
          <w:noProof/>
          <w:sz w:val="22"/>
          <w:szCs w:val="22"/>
        </w:rPr>
      </w:pPr>
      <w:hyperlink w:anchor="_Toc468875893" w:history="1">
        <w:r w:rsidR="0060638D" w:rsidRPr="00984FB6">
          <w:rPr>
            <w:rStyle w:val="Hyperlink"/>
            <w:rFonts w:cs="Arial"/>
            <w:noProof/>
            <w:sz w:val="22"/>
            <w:szCs w:val="22"/>
          </w:rPr>
          <w:t>Abbreviations and Acronyms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_Toc468875893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vi</w:t>
        </w:r>
        <w:r w:rsidR="0060638D" w:rsidRPr="00984FB6">
          <w:rPr>
            <w:rFonts w:cs="Arial"/>
            <w:noProof/>
            <w:webHidden/>
            <w:sz w:val="22"/>
            <w:szCs w:val="22"/>
          </w:rPr>
          <w:fldChar w:fldCharType="end"/>
        </w:r>
      </w:hyperlink>
    </w:p>
    <w:p w14:paraId="6F10724B" w14:textId="14B3456D" w:rsidR="0060638D" w:rsidRPr="00984FB6" w:rsidRDefault="00F32688" w:rsidP="00FF0EE8">
      <w:pPr>
        <w:pStyle w:val="TOC1"/>
        <w:spacing w:line="240" w:lineRule="auto"/>
        <w:rPr>
          <w:rFonts w:eastAsiaTheme="minorEastAsia" w:cs="Arial"/>
          <w:noProof/>
          <w:sz w:val="22"/>
          <w:szCs w:val="22"/>
        </w:rPr>
      </w:pPr>
      <w:hyperlink w:anchor="_Toc468875894" w:history="1">
        <w:r w:rsidR="0060638D" w:rsidRPr="00984FB6">
          <w:rPr>
            <w:rStyle w:val="Hyperlink"/>
            <w:rFonts w:cs="Arial"/>
            <w:noProof/>
            <w:sz w:val="22"/>
            <w:szCs w:val="22"/>
          </w:rPr>
          <w:t>Abstract</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_Toc468875894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vii</w:t>
        </w:r>
        <w:r w:rsidR="0060638D" w:rsidRPr="00984FB6">
          <w:rPr>
            <w:rFonts w:cs="Arial"/>
            <w:noProof/>
            <w:webHidden/>
            <w:sz w:val="22"/>
            <w:szCs w:val="22"/>
          </w:rPr>
          <w:fldChar w:fldCharType="end"/>
        </w:r>
      </w:hyperlink>
    </w:p>
    <w:p w14:paraId="64FDA460" w14:textId="3C7B2AEF" w:rsidR="0060638D" w:rsidRPr="00984FB6" w:rsidRDefault="00F32688" w:rsidP="00FF0EE8">
      <w:pPr>
        <w:pStyle w:val="TOC1"/>
        <w:spacing w:line="240" w:lineRule="auto"/>
        <w:rPr>
          <w:rFonts w:eastAsiaTheme="minorEastAsia" w:cs="Arial"/>
          <w:noProof/>
          <w:sz w:val="22"/>
          <w:szCs w:val="22"/>
        </w:rPr>
      </w:pPr>
      <w:hyperlink w:anchor="_Toc468875895" w:history="1">
        <w:r w:rsidR="0060638D" w:rsidRPr="00984FB6">
          <w:rPr>
            <w:rStyle w:val="Hyperlink"/>
            <w:rFonts w:cs="Arial"/>
            <w:noProof/>
            <w:sz w:val="22"/>
            <w:szCs w:val="22"/>
          </w:rPr>
          <w:t>Executive Summary</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_Toc468875895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viii</w:t>
        </w:r>
        <w:r w:rsidR="0060638D" w:rsidRPr="00984FB6">
          <w:rPr>
            <w:rFonts w:cs="Arial"/>
            <w:noProof/>
            <w:webHidden/>
            <w:sz w:val="22"/>
            <w:szCs w:val="22"/>
          </w:rPr>
          <w:fldChar w:fldCharType="end"/>
        </w:r>
      </w:hyperlink>
    </w:p>
    <w:p w14:paraId="7197DDE6" w14:textId="5C2ADF79" w:rsidR="0060638D" w:rsidRPr="00984FB6" w:rsidRDefault="00F32688" w:rsidP="00FF0EE8">
      <w:pPr>
        <w:pStyle w:val="TOC1"/>
        <w:spacing w:line="240" w:lineRule="auto"/>
        <w:rPr>
          <w:rFonts w:eastAsiaTheme="minorEastAsia" w:cs="Arial"/>
          <w:noProof/>
          <w:sz w:val="22"/>
          <w:szCs w:val="22"/>
        </w:rPr>
      </w:pPr>
      <w:hyperlink w:anchor="_Toc468875896" w:history="1">
        <w:r w:rsidR="0060638D" w:rsidRPr="00984FB6">
          <w:rPr>
            <w:rStyle w:val="Hyperlink"/>
            <w:rFonts w:cs="Arial"/>
            <w:noProof/>
            <w:sz w:val="22"/>
            <w:szCs w:val="22"/>
          </w:rPr>
          <w:t>1.</w:t>
        </w:r>
        <w:r w:rsidR="0060638D" w:rsidRPr="00984FB6">
          <w:rPr>
            <w:rFonts w:eastAsiaTheme="minorEastAsia" w:cs="Arial"/>
            <w:noProof/>
            <w:sz w:val="22"/>
            <w:szCs w:val="22"/>
          </w:rPr>
          <w:tab/>
        </w:r>
        <w:r w:rsidR="0060638D" w:rsidRPr="00984FB6">
          <w:rPr>
            <w:rStyle w:val="Hyperlink"/>
            <w:rFonts w:cs="Arial"/>
            <w:noProof/>
            <w:sz w:val="22"/>
            <w:szCs w:val="22"/>
          </w:rPr>
          <w:t>Introduction</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_Toc468875896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w:t>
        </w:r>
        <w:r w:rsidR="0060638D" w:rsidRPr="00984FB6">
          <w:rPr>
            <w:rFonts w:cs="Arial"/>
            <w:noProof/>
            <w:webHidden/>
            <w:sz w:val="22"/>
            <w:szCs w:val="22"/>
          </w:rPr>
          <w:fldChar w:fldCharType="end"/>
        </w:r>
      </w:hyperlink>
    </w:p>
    <w:p w14:paraId="6A28B764" w14:textId="73CC1E30" w:rsidR="0060638D" w:rsidRPr="00984FB6" w:rsidRDefault="00F32688" w:rsidP="00FF0EE8">
      <w:pPr>
        <w:pStyle w:val="TOC1"/>
        <w:spacing w:line="240" w:lineRule="auto"/>
        <w:rPr>
          <w:rFonts w:eastAsiaTheme="minorEastAsia" w:cs="Arial"/>
          <w:noProof/>
          <w:sz w:val="22"/>
          <w:szCs w:val="22"/>
        </w:rPr>
      </w:pPr>
      <w:hyperlink w:anchor="_Toc468875897" w:history="1">
        <w:r w:rsidR="0060638D" w:rsidRPr="00984FB6">
          <w:rPr>
            <w:rStyle w:val="Hyperlink"/>
            <w:rFonts w:cs="Arial"/>
            <w:noProof/>
            <w:sz w:val="22"/>
            <w:szCs w:val="22"/>
          </w:rPr>
          <w:t>2.</w:t>
        </w:r>
        <w:r w:rsidR="0060638D" w:rsidRPr="00984FB6">
          <w:rPr>
            <w:rFonts w:eastAsiaTheme="minorEastAsia" w:cs="Arial"/>
            <w:noProof/>
            <w:sz w:val="22"/>
            <w:szCs w:val="22"/>
          </w:rPr>
          <w:tab/>
        </w:r>
        <w:r w:rsidR="0060638D" w:rsidRPr="00984FB6">
          <w:rPr>
            <w:rStyle w:val="Hyperlink"/>
            <w:rFonts w:cs="Arial"/>
            <w:noProof/>
            <w:sz w:val="22"/>
            <w:szCs w:val="22"/>
          </w:rPr>
          <w:t>Statement of the Problem and Objective</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_Toc468875897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w:t>
        </w:r>
        <w:r w:rsidR="0060638D" w:rsidRPr="00984FB6">
          <w:rPr>
            <w:rFonts w:cs="Arial"/>
            <w:noProof/>
            <w:webHidden/>
            <w:sz w:val="22"/>
            <w:szCs w:val="22"/>
          </w:rPr>
          <w:fldChar w:fldCharType="end"/>
        </w:r>
      </w:hyperlink>
    </w:p>
    <w:p w14:paraId="37105477" w14:textId="78AF1397" w:rsidR="0060638D" w:rsidRPr="00984FB6" w:rsidRDefault="00F32688" w:rsidP="00FF0EE8">
      <w:pPr>
        <w:pStyle w:val="TOC2"/>
        <w:spacing w:line="240" w:lineRule="auto"/>
        <w:rPr>
          <w:rFonts w:eastAsiaTheme="minorEastAsia" w:cs="Arial"/>
          <w:noProof/>
          <w:sz w:val="22"/>
          <w:szCs w:val="22"/>
        </w:rPr>
      </w:pPr>
      <w:hyperlink w:anchor="_Toc468875898" w:history="1">
        <w:r w:rsidR="0060638D" w:rsidRPr="00984FB6">
          <w:rPr>
            <w:rStyle w:val="Hyperlink"/>
            <w:rFonts w:cs="Arial"/>
            <w:noProof/>
            <w:sz w:val="22"/>
            <w:szCs w:val="22"/>
          </w:rPr>
          <w:t>2.1.</w:t>
        </w:r>
        <w:r w:rsidR="0060638D" w:rsidRPr="00984FB6">
          <w:rPr>
            <w:rFonts w:eastAsiaTheme="minorEastAsia" w:cs="Arial"/>
            <w:noProof/>
            <w:sz w:val="22"/>
            <w:szCs w:val="22"/>
          </w:rPr>
          <w:tab/>
        </w:r>
        <w:r w:rsidR="0060638D" w:rsidRPr="00984FB6">
          <w:rPr>
            <w:rStyle w:val="Hyperlink"/>
            <w:rFonts w:cs="Arial"/>
            <w:noProof/>
            <w:sz w:val="22"/>
            <w:szCs w:val="22"/>
          </w:rPr>
          <w:t>Background</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_Toc468875898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w:t>
        </w:r>
        <w:r w:rsidR="0060638D" w:rsidRPr="00984FB6">
          <w:rPr>
            <w:rFonts w:cs="Arial"/>
            <w:noProof/>
            <w:webHidden/>
            <w:sz w:val="22"/>
            <w:szCs w:val="22"/>
          </w:rPr>
          <w:fldChar w:fldCharType="end"/>
        </w:r>
      </w:hyperlink>
    </w:p>
    <w:p w14:paraId="08852A9B" w14:textId="6F8F874E" w:rsidR="0060638D" w:rsidRPr="00984FB6" w:rsidRDefault="00F32688" w:rsidP="00FF0EE8">
      <w:pPr>
        <w:pStyle w:val="TOC2"/>
        <w:spacing w:line="240" w:lineRule="auto"/>
        <w:rPr>
          <w:rFonts w:eastAsiaTheme="minorEastAsia" w:cs="Arial"/>
          <w:noProof/>
          <w:sz w:val="22"/>
          <w:szCs w:val="22"/>
        </w:rPr>
      </w:pPr>
      <w:hyperlink w:anchor="_Toc468875899" w:history="1">
        <w:r w:rsidR="0060638D" w:rsidRPr="00984FB6">
          <w:rPr>
            <w:rStyle w:val="Hyperlink"/>
            <w:rFonts w:cs="Arial"/>
            <w:noProof/>
            <w:sz w:val="22"/>
            <w:szCs w:val="22"/>
          </w:rPr>
          <w:t>2.2.</w:t>
        </w:r>
        <w:r w:rsidR="0060638D" w:rsidRPr="00984FB6">
          <w:rPr>
            <w:rFonts w:eastAsiaTheme="minorEastAsia" w:cs="Arial"/>
            <w:noProof/>
            <w:sz w:val="22"/>
            <w:szCs w:val="22"/>
          </w:rPr>
          <w:tab/>
        </w:r>
        <w:r w:rsidR="0060638D" w:rsidRPr="00984FB6">
          <w:rPr>
            <w:rStyle w:val="Hyperlink"/>
            <w:rFonts w:cs="Arial"/>
            <w:noProof/>
            <w:sz w:val="22"/>
            <w:szCs w:val="22"/>
          </w:rPr>
          <w:t>Objective</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_Toc468875899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w:t>
        </w:r>
        <w:r w:rsidR="0060638D" w:rsidRPr="00984FB6">
          <w:rPr>
            <w:rFonts w:cs="Arial"/>
            <w:noProof/>
            <w:webHidden/>
            <w:sz w:val="22"/>
            <w:szCs w:val="22"/>
          </w:rPr>
          <w:fldChar w:fldCharType="end"/>
        </w:r>
      </w:hyperlink>
    </w:p>
    <w:p w14:paraId="77C039D2" w14:textId="7046BA7D" w:rsidR="0060638D" w:rsidRPr="00984FB6" w:rsidRDefault="00F32688" w:rsidP="00FF0EE8">
      <w:pPr>
        <w:pStyle w:val="TOC2"/>
        <w:spacing w:line="240" w:lineRule="auto"/>
        <w:rPr>
          <w:rFonts w:eastAsiaTheme="minorEastAsia" w:cs="Arial"/>
          <w:noProof/>
          <w:sz w:val="22"/>
          <w:szCs w:val="22"/>
        </w:rPr>
      </w:pPr>
      <w:hyperlink w:anchor="_Toc468875900" w:history="1">
        <w:r w:rsidR="0060638D" w:rsidRPr="00984FB6">
          <w:rPr>
            <w:rStyle w:val="Hyperlink"/>
            <w:rFonts w:cs="Arial"/>
            <w:noProof/>
            <w:sz w:val="22"/>
            <w:szCs w:val="22"/>
          </w:rPr>
          <w:t>2.3.</w:t>
        </w:r>
        <w:r w:rsidR="0060638D" w:rsidRPr="00984FB6">
          <w:rPr>
            <w:rFonts w:eastAsiaTheme="minorEastAsia" w:cs="Arial"/>
            <w:noProof/>
            <w:sz w:val="22"/>
            <w:szCs w:val="22"/>
          </w:rPr>
          <w:tab/>
        </w:r>
        <w:r w:rsidR="0060638D" w:rsidRPr="00984FB6">
          <w:rPr>
            <w:rStyle w:val="Hyperlink"/>
            <w:rFonts w:cs="Arial"/>
            <w:noProof/>
            <w:sz w:val="22"/>
            <w:szCs w:val="22"/>
          </w:rPr>
          <w:t>Statement of the Problem</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_Toc468875900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w:t>
        </w:r>
        <w:r w:rsidR="0060638D" w:rsidRPr="00984FB6">
          <w:rPr>
            <w:rFonts w:cs="Arial"/>
            <w:noProof/>
            <w:webHidden/>
            <w:sz w:val="22"/>
            <w:szCs w:val="22"/>
          </w:rPr>
          <w:fldChar w:fldCharType="end"/>
        </w:r>
      </w:hyperlink>
    </w:p>
    <w:p w14:paraId="2477325D" w14:textId="646D30B0" w:rsidR="0060638D" w:rsidRPr="00984FB6" w:rsidRDefault="00F32688" w:rsidP="00FF0EE8">
      <w:pPr>
        <w:pStyle w:val="TOC1"/>
        <w:spacing w:line="240" w:lineRule="auto"/>
        <w:rPr>
          <w:rFonts w:eastAsiaTheme="minorEastAsia" w:cs="Arial"/>
          <w:noProof/>
          <w:sz w:val="22"/>
          <w:szCs w:val="22"/>
        </w:rPr>
      </w:pPr>
      <w:hyperlink w:anchor="_Toc468875901" w:history="1">
        <w:r w:rsidR="0060638D" w:rsidRPr="00984FB6">
          <w:rPr>
            <w:rStyle w:val="Hyperlink"/>
            <w:rFonts w:cs="Arial"/>
            <w:noProof/>
            <w:sz w:val="22"/>
            <w:szCs w:val="22"/>
          </w:rPr>
          <w:t>3.</w:t>
        </w:r>
        <w:r w:rsidR="0060638D" w:rsidRPr="00984FB6">
          <w:rPr>
            <w:rFonts w:eastAsiaTheme="minorEastAsia" w:cs="Arial"/>
            <w:noProof/>
            <w:sz w:val="22"/>
            <w:szCs w:val="22"/>
          </w:rPr>
          <w:tab/>
        </w:r>
        <w:r w:rsidR="0060638D" w:rsidRPr="00984FB6">
          <w:rPr>
            <w:rStyle w:val="Hyperlink"/>
            <w:rFonts w:cs="Arial"/>
            <w:noProof/>
            <w:sz w:val="22"/>
            <w:szCs w:val="22"/>
          </w:rPr>
          <w:t>Identification and Analysis of the Alternative Approaches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_Toc468875901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4</w:t>
        </w:r>
        <w:r w:rsidR="0060638D" w:rsidRPr="00984FB6">
          <w:rPr>
            <w:rFonts w:cs="Arial"/>
            <w:noProof/>
            <w:webHidden/>
            <w:sz w:val="22"/>
            <w:szCs w:val="22"/>
          </w:rPr>
          <w:fldChar w:fldCharType="end"/>
        </w:r>
      </w:hyperlink>
    </w:p>
    <w:p w14:paraId="0BD3E40B" w14:textId="4BF1C3B4" w:rsidR="0060638D" w:rsidRPr="00984FB6" w:rsidRDefault="00F32688" w:rsidP="00FF0EE8">
      <w:pPr>
        <w:pStyle w:val="TOC2"/>
        <w:spacing w:line="240" w:lineRule="auto"/>
        <w:rPr>
          <w:rFonts w:eastAsiaTheme="minorEastAsia" w:cs="Arial"/>
          <w:noProof/>
          <w:sz w:val="22"/>
          <w:szCs w:val="22"/>
        </w:rPr>
      </w:pPr>
      <w:hyperlink w:anchor="_Toc468875902" w:history="1">
        <w:r w:rsidR="0060638D" w:rsidRPr="00984FB6">
          <w:rPr>
            <w:rStyle w:val="Hyperlink"/>
            <w:rFonts w:cs="Arial"/>
            <w:noProof/>
            <w:sz w:val="22"/>
            <w:szCs w:val="22"/>
          </w:rPr>
          <w:t>3.1.</w:t>
        </w:r>
        <w:r w:rsidR="0060638D" w:rsidRPr="00984FB6">
          <w:rPr>
            <w:rFonts w:eastAsiaTheme="minorEastAsia" w:cs="Arial"/>
            <w:noProof/>
            <w:sz w:val="22"/>
            <w:szCs w:val="22"/>
          </w:rPr>
          <w:tab/>
        </w:r>
        <w:r w:rsidR="0060638D" w:rsidRPr="00984FB6">
          <w:rPr>
            <w:rStyle w:val="Hyperlink"/>
            <w:rFonts w:cs="Arial"/>
            <w:noProof/>
            <w:sz w:val="22"/>
            <w:szCs w:val="22"/>
          </w:rPr>
          <w:t>Alternative 1—No-Action Alternative</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_Toc468875902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4</w:t>
        </w:r>
        <w:r w:rsidR="0060638D" w:rsidRPr="00984FB6">
          <w:rPr>
            <w:rFonts w:cs="Arial"/>
            <w:noProof/>
            <w:webHidden/>
            <w:sz w:val="22"/>
            <w:szCs w:val="22"/>
          </w:rPr>
          <w:fldChar w:fldCharType="end"/>
        </w:r>
      </w:hyperlink>
    </w:p>
    <w:p w14:paraId="5AE02DB2" w14:textId="14ED9C39" w:rsidR="0060638D" w:rsidRPr="00984FB6" w:rsidRDefault="00F32688" w:rsidP="00FF0EE8">
      <w:pPr>
        <w:pStyle w:val="TOC2"/>
        <w:spacing w:line="240" w:lineRule="auto"/>
        <w:rPr>
          <w:rFonts w:eastAsiaTheme="minorEastAsia" w:cs="Arial"/>
          <w:noProof/>
          <w:sz w:val="22"/>
          <w:szCs w:val="22"/>
        </w:rPr>
      </w:pPr>
      <w:hyperlink w:anchor="_Toc468875903" w:history="1">
        <w:r w:rsidR="0060638D" w:rsidRPr="00984FB6">
          <w:rPr>
            <w:rStyle w:val="Hyperlink"/>
            <w:rFonts w:cs="Arial"/>
            <w:noProof/>
            <w:sz w:val="22"/>
            <w:szCs w:val="22"/>
          </w:rPr>
          <w:t>3.2.</w:t>
        </w:r>
        <w:r w:rsidR="0060638D" w:rsidRPr="00984FB6">
          <w:rPr>
            <w:rFonts w:eastAsiaTheme="minorEastAsia" w:cs="Arial"/>
            <w:noProof/>
            <w:sz w:val="22"/>
            <w:szCs w:val="22"/>
          </w:rPr>
          <w:tab/>
        </w:r>
        <w:r w:rsidR="0060638D" w:rsidRPr="00984FB6">
          <w:rPr>
            <w:rStyle w:val="Hyperlink"/>
            <w:rFonts w:cs="Arial"/>
            <w:noProof/>
            <w:sz w:val="22"/>
            <w:szCs w:val="22"/>
          </w:rPr>
          <w:t>Alternative 2—Incorporate by Reference NRC</w:t>
        </w:r>
        <w:r w:rsidR="0060638D" w:rsidRPr="00984FB6">
          <w:rPr>
            <w:rStyle w:val="Hyperlink"/>
            <w:rFonts w:cs="Arial"/>
            <w:noProof/>
            <w:sz w:val="22"/>
            <w:szCs w:val="22"/>
          </w:rPr>
          <w:noBreakHyphen/>
          <w:t>Approved ASME BPV and OM Code Cases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_Toc468875903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4</w:t>
        </w:r>
        <w:r w:rsidR="0060638D" w:rsidRPr="00984FB6">
          <w:rPr>
            <w:rFonts w:cs="Arial"/>
            <w:noProof/>
            <w:webHidden/>
            <w:sz w:val="22"/>
            <w:szCs w:val="22"/>
          </w:rPr>
          <w:fldChar w:fldCharType="end"/>
        </w:r>
      </w:hyperlink>
    </w:p>
    <w:p w14:paraId="6545EC3D" w14:textId="7A8EE349" w:rsidR="0060638D" w:rsidRPr="00984FB6" w:rsidRDefault="00F32688" w:rsidP="00FF0EE8">
      <w:pPr>
        <w:pStyle w:val="TOC1"/>
        <w:spacing w:line="240" w:lineRule="auto"/>
        <w:rPr>
          <w:rFonts w:eastAsiaTheme="minorEastAsia" w:cs="Arial"/>
          <w:noProof/>
          <w:sz w:val="22"/>
          <w:szCs w:val="22"/>
        </w:rPr>
      </w:pPr>
      <w:hyperlink w:anchor="_Toc468875904" w:history="1">
        <w:r w:rsidR="0060638D" w:rsidRPr="00984FB6">
          <w:rPr>
            <w:rStyle w:val="Hyperlink"/>
            <w:rFonts w:cs="Arial"/>
            <w:noProof/>
            <w:sz w:val="22"/>
            <w:szCs w:val="22"/>
          </w:rPr>
          <w:t>4.</w:t>
        </w:r>
        <w:r w:rsidR="0060638D" w:rsidRPr="00984FB6">
          <w:rPr>
            <w:rFonts w:eastAsiaTheme="minorEastAsia" w:cs="Arial"/>
            <w:noProof/>
            <w:sz w:val="22"/>
            <w:szCs w:val="22"/>
          </w:rPr>
          <w:tab/>
        </w:r>
        <w:r w:rsidR="0060638D" w:rsidRPr="00984FB6">
          <w:rPr>
            <w:rStyle w:val="Hyperlink"/>
            <w:rFonts w:cs="Arial"/>
            <w:noProof/>
            <w:sz w:val="22"/>
            <w:szCs w:val="22"/>
          </w:rPr>
          <w:t>Evaluation of Benefits and Costs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_Toc468875904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5</w:t>
        </w:r>
        <w:r w:rsidR="0060638D" w:rsidRPr="00984FB6">
          <w:rPr>
            <w:rFonts w:cs="Arial"/>
            <w:noProof/>
            <w:webHidden/>
            <w:sz w:val="22"/>
            <w:szCs w:val="22"/>
          </w:rPr>
          <w:fldChar w:fldCharType="end"/>
        </w:r>
      </w:hyperlink>
    </w:p>
    <w:p w14:paraId="4684D38D" w14:textId="56B26AA5" w:rsidR="0060638D" w:rsidRPr="00984FB6" w:rsidRDefault="00F32688" w:rsidP="00FF0EE8">
      <w:pPr>
        <w:pStyle w:val="TOC2"/>
        <w:spacing w:line="240" w:lineRule="auto"/>
        <w:rPr>
          <w:rFonts w:eastAsiaTheme="minorEastAsia" w:cs="Arial"/>
          <w:noProof/>
          <w:sz w:val="22"/>
          <w:szCs w:val="22"/>
        </w:rPr>
      </w:pPr>
      <w:hyperlink w:anchor="_Toc468875905" w:history="1">
        <w:r w:rsidR="0060638D" w:rsidRPr="00984FB6">
          <w:rPr>
            <w:rStyle w:val="Hyperlink"/>
            <w:rFonts w:cs="Arial"/>
            <w:noProof/>
            <w:sz w:val="22"/>
            <w:szCs w:val="22"/>
          </w:rPr>
          <w:t>4.1.</w:t>
        </w:r>
        <w:r w:rsidR="0060638D" w:rsidRPr="00984FB6">
          <w:rPr>
            <w:rFonts w:eastAsiaTheme="minorEastAsia" w:cs="Arial"/>
            <w:noProof/>
            <w:sz w:val="22"/>
            <w:szCs w:val="22"/>
          </w:rPr>
          <w:tab/>
        </w:r>
        <w:r w:rsidR="0060638D" w:rsidRPr="00984FB6">
          <w:rPr>
            <w:rStyle w:val="Hyperlink"/>
            <w:rFonts w:cs="Arial"/>
            <w:noProof/>
            <w:sz w:val="22"/>
            <w:szCs w:val="22"/>
          </w:rPr>
          <w:t>Identification of Affected Attributes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_Toc468875905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5</w:t>
        </w:r>
        <w:r w:rsidR="0060638D" w:rsidRPr="00984FB6">
          <w:rPr>
            <w:rFonts w:cs="Arial"/>
            <w:noProof/>
            <w:webHidden/>
            <w:sz w:val="22"/>
            <w:szCs w:val="22"/>
          </w:rPr>
          <w:fldChar w:fldCharType="end"/>
        </w:r>
      </w:hyperlink>
    </w:p>
    <w:p w14:paraId="70B49792" w14:textId="15B210FD" w:rsidR="0060638D" w:rsidRPr="00984FB6" w:rsidRDefault="00F32688" w:rsidP="00FF0EE8">
      <w:pPr>
        <w:pStyle w:val="TOC2"/>
        <w:spacing w:line="240" w:lineRule="auto"/>
        <w:rPr>
          <w:rFonts w:eastAsiaTheme="minorEastAsia" w:cs="Arial"/>
          <w:noProof/>
          <w:sz w:val="22"/>
          <w:szCs w:val="22"/>
        </w:rPr>
      </w:pPr>
      <w:hyperlink w:anchor="_Toc468875906" w:history="1">
        <w:r w:rsidR="0060638D" w:rsidRPr="00984FB6">
          <w:rPr>
            <w:rStyle w:val="Hyperlink"/>
            <w:rFonts w:cs="Arial"/>
            <w:noProof/>
            <w:sz w:val="22"/>
            <w:szCs w:val="22"/>
          </w:rPr>
          <w:t>4.2.</w:t>
        </w:r>
        <w:r w:rsidR="0060638D" w:rsidRPr="00984FB6">
          <w:rPr>
            <w:rFonts w:eastAsiaTheme="minorEastAsia" w:cs="Arial"/>
            <w:noProof/>
            <w:sz w:val="22"/>
            <w:szCs w:val="22"/>
          </w:rPr>
          <w:tab/>
        </w:r>
        <w:r w:rsidR="0060638D" w:rsidRPr="00984FB6">
          <w:rPr>
            <w:rStyle w:val="Hyperlink"/>
            <w:rFonts w:cs="Arial"/>
            <w:noProof/>
            <w:sz w:val="22"/>
            <w:szCs w:val="22"/>
          </w:rPr>
          <w:t>Analytical Methodology</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_Toc468875906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8</w:t>
        </w:r>
        <w:r w:rsidR="0060638D" w:rsidRPr="00984FB6">
          <w:rPr>
            <w:rFonts w:cs="Arial"/>
            <w:noProof/>
            <w:webHidden/>
            <w:sz w:val="22"/>
            <w:szCs w:val="22"/>
          </w:rPr>
          <w:fldChar w:fldCharType="end"/>
        </w:r>
      </w:hyperlink>
    </w:p>
    <w:p w14:paraId="5B27A397" w14:textId="6B42739A" w:rsidR="0060638D" w:rsidRPr="00984FB6" w:rsidRDefault="00F32688" w:rsidP="00FF0EE8">
      <w:pPr>
        <w:pStyle w:val="TOC3"/>
        <w:rPr>
          <w:rFonts w:eastAsiaTheme="minorEastAsia" w:cs="Arial"/>
          <w:noProof/>
          <w:sz w:val="22"/>
          <w:szCs w:val="22"/>
        </w:rPr>
      </w:pPr>
      <w:hyperlink w:anchor="_Toc468875907" w:history="1">
        <w:r w:rsidR="0060638D" w:rsidRPr="00984FB6">
          <w:rPr>
            <w:rStyle w:val="Hyperlink"/>
            <w:rFonts w:cs="Arial"/>
            <w:noProof/>
            <w:sz w:val="22"/>
            <w:szCs w:val="22"/>
          </w:rPr>
          <w:t>4.2.1.</w:t>
        </w:r>
        <w:r w:rsidR="0060638D" w:rsidRPr="00984FB6">
          <w:rPr>
            <w:rFonts w:eastAsiaTheme="minorEastAsia" w:cs="Arial"/>
            <w:noProof/>
            <w:sz w:val="22"/>
            <w:szCs w:val="22"/>
          </w:rPr>
          <w:tab/>
        </w:r>
        <w:r w:rsidR="0060638D" w:rsidRPr="00984FB6">
          <w:rPr>
            <w:rStyle w:val="Hyperlink"/>
            <w:rFonts w:cs="Arial"/>
            <w:noProof/>
            <w:sz w:val="22"/>
            <w:szCs w:val="22"/>
          </w:rPr>
          <w:t>Regulatory Baseline</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_Toc468875907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8</w:t>
        </w:r>
        <w:r w:rsidR="0060638D" w:rsidRPr="00984FB6">
          <w:rPr>
            <w:rFonts w:cs="Arial"/>
            <w:noProof/>
            <w:webHidden/>
            <w:sz w:val="22"/>
            <w:szCs w:val="22"/>
          </w:rPr>
          <w:fldChar w:fldCharType="end"/>
        </w:r>
      </w:hyperlink>
    </w:p>
    <w:p w14:paraId="1ABBB2E5" w14:textId="6F59D5E6" w:rsidR="0060638D" w:rsidRPr="00984FB6" w:rsidRDefault="00F32688" w:rsidP="00FF0EE8">
      <w:pPr>
        <w:pStyle w:val="TOC3"/>
        <w:rPr>
          <w:rFonts w:eastAsiaTheme="minorEastAsia" w:cs="Arial"/>
          <w:noProof/>
          <w:sz w:val="22"/>
          <w:szCs w:val="22"/>
        </w:rPr>
      </w:pPr>
      <w:hyperlink w:anchor="_Toc468875908" w:history="1">
        <w:r w:rsidR="0060638D" w:rsidRPr="00984FB6">
          <w:rPr>
            <w:rStyle w:val="Hyperlink"/>
            <w:rFonts w:cs="Arial"/>
            <w:noProof/>
            <w:sz w:val="22"/>
            <w:szCs w:val="22"/>
          </w:rPr>
          <w:t>4.2.2.</w:t>
        </w:r>
        <w:r w:rsidR="0060638D" w:rsidRPr="00984FB6">
          <w:rPr>
            <w:rFonts w:eastAsiaTheme="minorEastAsia" w:cs="Arial"/>
            <w:noProof/>
            <w:sz w:val="22"/>
            <w:szCs w:val="22"/>
          </w:rPr>
          <w:tab/>
        </w:r>
        <w:r w:rsidR="0060638D" w:rsidRPr="00984FB6">
          <w:rPr>
            <w:rStyle w:val="Hyperlink"/>
            <w:rFonts w:cs="Arial"/>
            <w:noProof/>
            <w:sz w:val="22"/>
            <w:szCs w:val="22"/>
          </w:rPr>
          <w:t>Discount Rates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_Toc468875908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8</w:t>
        </w:r>
        <w:r w:rsidR="0060638D" w:rsidRPr="00984FB6">
          <w:rPr>
            <w:rFonts w:cs="Arial"/>
            <w:noProof/>
            <w:webHidden/>
            <w:sz w:val="22"/>
            <w:szCs w:val="22"/>
          </w:rPr>
          <w:fldChar w:fldCharType="end"/>
        </w:r>
      </w:hyperlink>
    </w:p>
    <w:p w14:paraId="2DCAC945" w14:textId="646FDB9A" w:rsidR="0060638D" w:rsidRPr="00984FB6" w:rsidRDefault="00F32688" w:rsidP="00FF0EE8">
      <w:pPr>
        <w:pStyle w:val="TOC3"/>
        <w:rPr>
          <w:rFonts w:eastAsiaTheme="minorEastAsia" w:cs="Arial"/>
          <w:noProof/>
          <w:sz w:val="22"/>
          <w:szCs w:val="22"/>
        </w:rPr>
      </w:pPr>
      <w:hyperlink w:anchor="_Toc468875909" w:history="1">
        <w:r w:rsidR="0060638D" w:rsidRPr="00984FB6">
          <w:rPr>
            <w:rStyle w:val="Hyperlink"/>
            <w:rFonts w:cs="Arial"/>
            <w:noProof/>
            <w:sz w:val="22"/>
            <w:szCs w:val="22"/>
          </w:rPr>
          <w:t>4.2.3.</w:t>
        </w:r>
        <w:r w:rsidR="0060638D" w:rsidRPr="00984FB6">
          <w:rPr>
            <w:rFonts w:eastAsiaTheme="minorEastAsia" w:cs="Arial"/>
            <w:noProof/>
            <w:sz w:val="22"/>
            <w:szCs w:val="22"/>
          </w:rPr>
          <w:tab/>
        </w:r>
        <w:r w:rsidR="0060638D" w:rsidRPr="00984FB6">
          <w:rPr>
            <w:rStyle w:val="Hyperlink"/>
            <w:rFonts w:cs="Arial"/>
            <w:noProof/>
            <w:sz w:val="22"/>
            <w:szCs w:val="22"/>
          </w:rPr>
          <w:t>Cost/Benefit Inflators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_Toc468875909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9</w:t>
        </w:r>
        <w:r w:rsidR="0060638D" w:rsidRPr="00984FB6">
          <w:rPr>
            <w:rFonts w:cs="Arial"/>
            <w:noProof/>
            <w:webHidden/>
            <w:sz w:val="22"/>
            <w:szCs w:val="22"/>
          </w:rPr>
          <w:fldChar w:fldCharType="end"/>
        </w:r>
      </w:hyperlink>
    </w:p>
    <w:p w14:paraId="579819E2" w14:textId="3248974F" w:rsidR="0060638D" w:rsidRPr="00984FB6" w:rsidRDefault="00F32688" w:rsidP="00FF0EE8">
      <w:pPr>
        <w:pStyle w:val="TOC3"/>
        <w:rPr>
          <w:rFonts w:eastAsiaTheme="minorEastAsia" w:cs="Arial"/>
          <w:noProof/>
          <w:sz w:val="22"/>
          <w:szCs w:val="22"/>
        </w:rPr>
      </w:pPr>
      <w:hyperlink w:anchor="_Toc468875910" w:history="1">
        <w:r w:rsidR="0060638D" w:rsidRPr="00984FB6">
          <w:rPr>
            <w:rStyle w:val="Hyperlink"/>
            <w:rFonts w:cs="Arial"/>
            <w:noProof/>
            <w:sz w:val="22"/>
            <w:szCs w:val="22"/>
          </w:rPr>
          <w:t>4.2.4.</w:t>
        </w:r>
        <w:r w:rsidR="0060638D" w:rsidRPr="00984FB6">
          <w:rPr>
            <w:rFonts w:eastAsiaTheme="minorEastAsia" w:cs="Arial"/>
            <w:noProof/>
            <w:sz w:val="22"/>
            <w:szCs w:val="22"/>
          </w:rPr>
          <w:tab/>
        </w:r>
        <w:r w:rsidR="0060638D" w:rsidRPr="00984FB6">
          <w:rPr>
            <w:rStyle w:val="Hyperlink"/>
            <w:rFonts w:cs="Arial"/>
            <w:noProof/>
            <w:sz w:val="22"/>
            <w:szCs w:val="22"/>
          </w:rPr>
          <w:t>Labor Rates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_Toc468875910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9</w:t>
        </w:r>
        <w:r w:rsidR="0060638D" w:rsidRPr="00984FB6">
          <w:rPr>
            <w:rFonts w:cs="Arial"/>
            <w:noProof/>
            <w:webHidden/>
            <w:sz w:val="22"/>
            <w:szCs w:val="22"/>
          </w:rPr>
          <w:fldChar w:fldCharType="end"/>
        </w:r>
      </w:hyperlink>
    </w:p>
    <w:p w14:paraId="0125C753" w14:textId="25E18EE9" w:rsidR="0060638D" w:rsidRPr="00984FB6" w:rsidRDefault="00F32688" w:rsidP="00FF0EE8">
      <w:pPr>
        <w:pStyle w:val="TOC3"/>
        <w:rPr>
          <w:rFonts w:eastAsiaTheme="minorEastAsia" w:cs="Arial"/>
          <w:noProof/>
          <w:sz w:val="22"/>
          <w:szCs w:val="22"/>
        </w:rPr>
      </w:pPr>
      <w:hyperlink w:anchor="_Toc468875911" w:history="1">
        <w:r w:rsidR="0060638D" w:rsidRPr="00984FB6">
          <w:rPr>
            <w:rStyle w:val="Hyperlink"/>
            <w:rFonts w:cs="Arial"/>
            <w:noProof/>
            <w:sz w:val="22"/>
            <w:szCs w:val="22"/>
          </w:rPr>
          <w:t>4.2.5.</w:t>
        </w:r>
        <w:r w:rsidR="0060638D" w:rsidRPr="00984FB6">
          <w:rPr>
            <w:rFonts w:eastAsiaTheme="minorEastAsia" w:cs="Arial"/>
            <w:noProof/>
            <w:sz w:val="22"/>
            <w:szCs w:val="22"/>
          </w:rPr>
          <w:tab/>
        </w:r>
        <w:r w:rsidR="0060638D" w:rsidRPr="00984FB6">
          <w:rPr>
            <w:rStyle w:val="Hyperlink"/>
            <w:rFonts w:cs="Arial"/>
            <w:noProof/>
            <w:sz w:val="22"/>
            <w:szCs w:val="22"/>
          </w:rPr>
          <w:t>Affected Entities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_Toc468875911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11</w:t>
        </w:r>
        <w:r w:rsidR="0060638D" w:rsidRPr="00984FB6">
          <w:rPr>
            <w:rFonts w:cs="Arial"/>
            <w:noProof/>
            <w:webHidden/>
            <w:sz w:val="22"/>
            <w:szCs w:val="22"/>
          </w:rPr>
          <w:fldChar w:fldCharType="end"/>
        </w:r>
      </w:hyperlink>
    </w:p>
    <w:p w14:paraId="215C74ED" w14:textId="593458FC" w:rsidR="0060638D" w:rsidRPr="00984FB6" w:rsidRDefault="00F32688" w:rsidP="00FF0EE8">
      <w:pPr>
        <w:pStyle w:val="TOC3"/>
        <w:rPr>
          <w:rFonts w:eastAsiaTheme="minorEastAsia" w:cs="Arial"/>
          <w:noProof/>
          <w:sz w:val="22"/>
          <w:szCs w:val="22"/>
        </w:rPr>
      </w:pPr>
      <w:hyperlink w:anchor="_Toc468875912" w:history="1">
        <w:r w:rsidR="0060638D" w:rsidRPr="00984FB6">
          <w:rPr>
            <w:rStyle w:val="Hyperlink"/>
            <w:rFonts w:cs="Arial"/>
            <w:noProof/>
            <w:sz w:val="22"/>
            <w:szCs w:val="22"/>
          </w:rPr>
          <w:t>4.2.6.</w:t>
        </w:r>
        <w:r w:rsidR="0060638D" w:rsidRPr="00984FB6">
          <w:rPr>
            <w:rFonts w:eastAsiaTheme="minorEastAsia" w:cs="Arial"/>
            <w:noProof/>
            <w:sz w:val="22"/>
            <w:szCs w:val="22"/>
          </w:rPr>
          <w:tab/>
        </w:r>
        <w:r w:rsidR="0060638D" w:rsidRPr="00984FB6">
          <w:rPr>
            <w:rStyle w:val="Hyperlink"/>
            <w:rFonts w:cs="Arial"/>
            <w:noProof/>
            <w:sz w:val="22"/>
            <w:szCs w:val="22"/>
          </w:rPr>
          <w:t>Sign Conventions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_Toc468875912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12</w:t>
        </w:r>
        <w:r w:rsidR="0060638D" w:rsidRPr="00984FB6">
          <w:rPr>
            <w:rFonts w:cs="Arial"/>
            <w:noProof/>
            <w:webHidden/>
            <w:sz w:val="22"/>
            <w:szCs w:val="22"/>
          </w:rPr>
          <w:fldChar w:fldCharType="end"/>
        </w:r>
      </w:hyperlink>
    </w:p>
    <w:p w14:paraId="72FE5D4C" w14:textId="48469B4E" w:rsidR="0060638D" w:rsidRPr="00984FB6" w:rsidRDefault="00F32688" w:rsidP="00FF0EE8">
      <w:pPr>
        <w:pStyle w:val="TOC3"/>
        <w:rPr>
          <w:rFonts w:eastAsiaTheme="minorEastAsia" w:cs="Arial"/>
          <w:noProof/>
          <w:sz w:val="22"/>
          <w:szCs w:val="22"/>
        </w:rPr>
      </w:pPr>
      <w:hyperlink w:anchor="_Toc468875913" w:history="1">
        <w:r w:rsidR="0060638D" w:rsidRPr="00984FB6">
          <w:rPr>
            <w:rStyle w:val="Hyperlink"/>
            <w:rFonts w:cs="Arial"/>
            <w:noProof/>
            <w:sz w:val="22"/>
            <w:szCs w:val="22"/>
          </w:rPr>
          <w:t>4.2.7.</w:t>
        </w:r>
        <w:r w:rsidR="0060638D" w:rsidRPr="00984FB6">
          <w:rPr>
            <w:rFonts w:eastAsiaTheme="minorEastAsia" w:cs="Arial"/>
            <w:noProof/>
            <w:sz w:val="22"/>
            <w:szCs w:val="22"/>
          </w:rPr>
          <w:tab/>
        </w:r>
        <w:r w:rsidR="0060638D" w:rsidRPr="00984FB6">
          <w:rPr>
            <w:rStyle w:val="Hyperlink"/>
            <w:rFonts w:cs="Arial"/>
            <w:noProof/>
            <w:sz w:val="22"/>
            <w:szCs w:val="22"/>
          </w:rPr>
          <w:t>Code Case Horizon</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_Toc468875913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12</w:t>
        </w:r>
        <w:r w:rsidR="0060638D" w:rsidRPr="00984FB6">
          <w:rPr>
            <w:rFonts w:cs="Arial"/>
            <w:noProof/>
            <w:webHidden/>
            <w:sz w:val="22"/>
            <w:szCs w:val="22"/>
          </w:rPr>
          <w:fldChar w:fldCharType="end"/>
        </w:r>
      </w:hyperlink>
    </w:p>
    <w:p w14:paraId="234E109A" w14:textId="57C0DE6B" w:rsidR="0060638D" w:rsidRPr="00984FB6" w:rsidRDefault="00F32688" w:rsidP="00FF0EE8">
      <w:pPr>
        <w:pStyle w:val="TOC3"/>
        <w:rPr>
          <w:rFonts w:eastAsiaTheme="minorEastAsia" w:cs="Arial"/>
          <w:noProof/>
          <w:sz w:val="22"/>
          <w:szCs w:val="22"/>
        </w:rPr>
      </w:pPr>
      <w:hyperlink w:anchor="_Toc468875914" w:history="1">
        <w:r w:rsidR="0060638D" w:rsidRPr="00984FB6">
          <w:rPr>
            <w:rStyle w:val="Hyperlink"/>
            <w:rFonts w:cs="Arial"/>
            <w:noProof/>
            <w:sz w:val="22"/>
            <w:szCs w:val="22"/>
          </w:rPr>
          <w:t>4.2.8.</w:t>
        </w:r>
        <w:r w:rsidR="0060638D" w:rsidRPr="00984FB6">
          <w:rPr>
            <w:rFonts w:eastAsiaTheme="minorEastAsia" w:cs="Arial"/>
            <w:noProof/>
            <w:sz w:val="22"/>
            <w:szCs w:val="22"/>
          </w:rPr>
          <w:tab/>
        </w:r>
        <w:r w:rsidR="0060638D" w:rsidRPr="00984FB6">
          <w:rPr>
            <w:rStyle w:val="Hyperlink"/>
            <w:rFonts w:cs="Arial"/>
            <w:noProof/>
            <w:sz w:val="22"/>
            <w:szCs w:val="22"/>
          </w:rPr>
          <w:t>Dollar per Person-Rem Conversion Factor</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_Toc468875914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12</w:t>
        </w:r>
        <w:r w:rsidR="0060638D" w:rsidRPr="00984FB6">
          <w:rPr>
            <w:rFonts w:cs="Arial"/>
            <w:noProof/>
            <w:webHidden/>
            <w:sz w:val="22"/>
            <w:szCs w:val="22"/>
          </w:rPr>
          <w:fldChar w:fldCharType="end"/>
        </w:r>
      </w:hyperlink>
    </w:p>
    <w:p w14:paraId="04DFBA0B" w14:textId="1D219BF8" w:rsidR="0060638D" w:rsidRPr="00984FB6" w:rsidRDefault="00F32688" w:rsidP="00FF0EE8">
      <w:pPr>
        <w:pStyle w:val="TOC3"/>
        <w:rPr>
          <w:rFonts w:eastAsiaTheme="minorEastAsia" w:cs="Arial"/>
          <w:noProof/>
          <w:sz w:val="22"/>
          <w:szCs w:val="22"/>
        </w:rPr>
      </w:pPr>
      <w:hyperlink w:anchor="_Toc468875915" w:history="1">
        <w:r w:rsidR="0060638D" w:rsidRPr="00984FB6">
          <w:rPr>
            <w:rStyle w:val="Hyperlink"/>
            <w:rFonts w:cs="Arial"/>
            <w:noProof/>
            <w:sz w:val="22"/>
            <w:szCs w:val="22"/>
          </w:rPr>
          <w:t>4.2.9.</w:t>
        </w:r>
        <w:r w:rsidR="0060638D" w:rsidRPr="00984FB6">
          <w:rPr>
            <w:rFonts w:eastAsiaTheme="minorEastAsia" w:cs="Arial"/>
            <w:noProof/>
            <w:sz w:val="22"/>
            <w:szCs w:val="22"/>
          </w:rPr>
          <w:tab/>
        </w:r>
        <w:r w:rsidR="0060638D" w:rsidRPr="00984FB6">
          <w:rPr>
            <w:rStyle w:val="Hyperlink"/>
            <w:rFonts w:cs="Arial"/>
            <w:noProof/>
            <w:sz w:val="22"/>
            <w:szCs w:val="22"/>
          </w:rPr>
          <w:t>Replacement Power Cost</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_Toc468875915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13</w:t>
        </w:r>
        <w:r w:rsidR="0060638D" w:rsidRPr="00984FB6">
          <w:rPr>
            <w:rFonts w:cs="Arial"/>
            <w:noProof/>
            <w:webHidden/>
            <w:sz w:val="22"/>
            <w:szCs w:val="22"/>
          </w:rPr>
          <w:fldChar w:fldCharType="end"/>
        </w:r>
      </w:hyperlink>
    </w:p>
    <w:p w14:paraId="15F0E029" w14:textId="2D693E8E" w:rsidR="0060638D" w:rsidRPr="00984FB6" w:rsidRDefault="00F32688" w:rsidP="00FF0EE8">
      <w:pPr>
        <w:pStyle w:val="TOC3"/>
        <w:rPr>
          <w:rFonts w:eastAsiaTheme="minorEastAsia" w:cs="Arial"/>
          <w:noProof/>
          <w:sz w:val="22"/>
          <w:szCs w:val="22"/>
        </w:rPr>
      </w:pPr>
      <w:hyperlink w:anchor="_Toc468875916" w:history="1">
        <w:r w:rsidR="0060638D" w:rsidRPr="00984FB6">
          <w:rPr>
            <w:rStyle w:val="Hyperlink"/>
            <w:rFonts w:cs="Arial"/>
            <w:noProof/>
            <w:sz w:val="22"/>
            <w:szCs w:val="22"/>
          </w:rPr>
          <w:t>4.2.10.</w:t>
        </w:r>
        <w:r w:rsidR="0060638D" w:rsidRPr="00984FB6">
          <w:rPr>
            <w:rFonts w:eastAsiaTheme="minorEastAsia" w:cs="Arial"/>
            <w:noProof/>
            <w:sz w:val="22"/>
            <w:szCs w:val="22"/>
          </w:rPr>
          <w:tab/>
        </w:r>
        <w:r w:rsidR="0060638D" w:rsidRPr="00984FB6">
          <w:rPr>
            <w:rStyle w:val="Hyperlink"/>
            <w:rFonts w:cs="Arial"/>
            <w:noProof/>
            <w:sz w:val="22"/>
            <w:szCs w:val="22"/>
          </w:rPr>
          <w:t>Base Year</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_Toc468875916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14</w:t>
        </w:r>
        <w:r w:rsidR="0060638D" w:rsidRPr="00984FB6">
          <w:rPr>
            <w:rFonts w:cs="Arial"/>
            <w:noProof/>
            <w:webHidden/>
            <w:sz w:val="22"/>
            <w:szCs w:val="22"/>
          </w:rPr>
          <w:fldChar w:fldCharType="end"/>
        </w:r>
      </w:hyperlink>
    </w:p>
    <w:p w14:paraId="54D44628" w14:textId="39918FAC" w:rsidR="0060638D" w:rsidRPr="00984FB6" w:rsidRDefault="00F32688" w:rsidP="00FF0EE8">
      <w:pPr>
        <w:pStyle w:val="TOC3"/>
        <w:rPr>
          <w:rFonts w:eastAsiaTheme="minorEastAsia" w:cs="Arial"/>
          <w:noProof/>
          <w:sz w:val="22"/>
          <w:szCs w:val="22"/>
        </w:rPr>
      </w:pPr>
      <w:hyperlink w:anchor="_Toc468875917" w:history="1">
        <w:r w:rsidR="0060638D" w:rsidRPr="00984FB6">
          <w:rPr>
            <w:rStyle w:val="Hyperlink"/>
            <w:rFonts w:cs="Arial"/>
            <w:noProof/>
            <w:sz w:val="22"/>
            <w:szCs w:val="22"/>
          </w:rPr>
          <w:t>4.2.11.</w:t>
        </w:r>
        <w:r w:rsidR="0060638D" w:rsidRPr="00984FB6">
          <w:rPr>
            <w:rFonts w:eastAsiaTheme="minorEastAsia" w:cs="Arial"/>
            <w:noProof/>
            <w:sz w:val="22"/>
            <w:szCs w:val="22"/>
          </w:rPr>
          <w:tab/>
        </w:r>
        <w:r w:rsidR="0060638D" w:rsidRPr="00984FB6">
          <w:rPr>
            <w:rStyle w:val="Hyperlink"/>
            <w:rFonts w:cs="Arial"/>
            <w:noProof/>
            <w:sz w:val="22"/>
            <w:szCs w:val="22"/>
          </w:rPr>
          <w:t>Cost Estimation</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_Toc468875917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14</w:t>
        </w:r>
        <w:r w:rsidR="0060638D" w:rsidRPr="00984FB6">
          <w:rPr>
            <w:rFonts w:cs="Arial"/>
            <w:noProof/>
            <w:webHidden/>
            <w:sz w:val="22"/>
            <w:szCs w:val="22"/>
          </w:rPr>
          <w:fldChar w:fldCharType="end"/>
        </w:r>
      </w:hyperlink>
    </w:p>
    <w:p w14:paraId="6E944E63" w14:textId="20419B45" w:rsidR="0060638D" w:rsidRPr="00984FB6" w:rsidRDefault="00F32688" w:rsidP="00FF0EE8">
      <w:pPr>
        <w:pStyle w:val="TOC3"/>
        <w:rPr>
          <w:rFonts w:eastAsiaTheme="minorEastAsia" w:cs="Arial"/>
          <w:noProof/>
          <w:sz w:val="22"/>
          <w:szCs w:val="22"/>
        </w:rPr>
      </w:pPr>
      <w:hyperlink w:anchor="_Toc468875918" w:history="1">
        <w:r w:rsidR="0060638D" w:rsidRPr="00984FB6">
          <w:rPr>
            <w:rStyle w:val="Hyperlink"/>
            <w:rFonts w:cs="Arial"/>
            <w:noProof/>
            <w:sz w:val="22"/>
            <w:szCs w:val="22"/>
          </w:rPr>
          <w:t>4.2.12.</w:t>
        </w:r>
        <w:r w:rsidR="0060638D" w:rsidRPr="00984FB6">
          <w:rPr>
            <w:rFonts w:eastAsiaTheme="minorEastAsia" w:cs="Arial"/>
            <w:noProof/>
            <w:sz w:val="22"/>
            <w:szCs w:val="22"/>
          </w:rPr>
          <w:tab/>
        </w:r>
        <w:r w:rsidR="0060638D" w:rsidRPr="00984FB6">
          <w:rPr>
            <w:rStyle w:val="Hyperlink"/>
            <w:rFonts w:cs="Arial"/>
            <w:noProof/>
            <w:sz w:val="22"/>
            <w:szCs w:val="22"/>
          </w:rPr>
          <w:t>Conditioned Code Cases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_Toc468875918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15</w:t>
        </w:r>
        <w:r w:rsidR="0060638D" w:rsidRPr="00984FB6">
          <w:rPr>
            <w:rFonts w:cs="Arial"/>
            <w:noProof/>
            <w:webHidden/>
            <w:sz w:val="22"/>
            <w:szCs w:val="22"/>
          </w:rPr>
          <w:fldChar w:fldCharType="end"/>
        </w:r>
      </w:hyperlink>
    </w:p>
    <w:p w14:paraId="4A900E58" w14:textId="0FEE5B1E" w:rsidR="0060638D" w:rsidRPr="00984FB6" w:rsidRDefault="00F32688" w:rsidP="00FF0EE8">
      <w:pPr>
        <w:pStyle w:val="TOC1"/>
        <w:spacing w:line="240" w:lineRule="auto"/>
        <w:rPr>
          <w:rFonts w:eastAsiaTheme="minorEastAsia" w:cs="Arial"/>
          <w:noProof/>
          <w:sz w:val="22"/>
          <w:szCs w:val="22"/>
        </w:rPr>
      </w:pPr>
      <w:hyperlink w:anchor="_Toc468875919" w:history="1">
        <w:r w:rsidR="0060638D" w:rsidRPr="00984FB6">
          <w:rPr>
            <w:rStyle w:val="Hyperlink"/>
            <w:rFonts w:cs="Arial"/>
            <w:noProof/>
            <w:sz w:val="22"/>
            <w:szCs w:val="22"/>
          </w:rPr>
          <w:t>5.</w:t>
        </w:r>
        <w:r w:rsidR="0060638D" w:rsidRPr="00984FB6">
          <w:rPr>
            <w:rFonts w:eastAsiaTheme="minorEastAsia" w:cs="Arial"/>
            <w:noProof/>
            <w:sz w:val="22"/>
            <w:szCs w:val="22"/>
          </w:rPr>
          <w:tab/>
        </w:r>
        <w:r w:rsidR="0060638D" w:rsidRPr="00984FB6">
          <w:rPr>
            <w:rStyle w:val="Hyperlink"/>
            <w:rFonts w:cs="Arial"/>
            <w:noProof/>
            <w:sz w:val="22"/>
            <w:szCs w:val="22"/>
          </w:rPr>
          <w:t>Presentation of Results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_Toc468875919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19</w:t>
        </w:r>
        <w:r w:rsidR="0060638D" w:rsidRPr="00984FB6">
          <w:rPr>
            <w:rFonts w:cs="Arial"/>
            <w:noProof/>
            <w:webHidden/>
            <w:sz w:val="22"/>
            <w:szCs w:val="22"/>
          </w:rPr>
          <w:fldChar w:fldCharType="end"/>
        </w:r>
      </w:hyperlink>
    </w:p>
    <w:p w14:paraId="138332D8" w14:textId="462A5874" w:rsidR="0060638D" w:rsidRPr="00984FB6" w:rsidRDefault="00F32688" w:rsidP="00FF0EE8">
      <w:pPr>
        <w:pStyle w:val="TOC2"/>
        <w:spacing w:line="240" w:lineRule="auto"/>
        <w:rPr>
          <w:rFonts w:eastAsiaTheme="minorEastAsia" w:cs="Arial"/>
          <w:noProof/>
          <w:sz w:val="22"/>
          <w:szCs w:val="22"/>
        </w:rPr>
      </w:pPr>
      <w:hyperlink w:anchor="_Toc468875920" w:history="1">
        <w:r w:rsidR="0060638D" w:rsidRPr="00984FB6">
          <w:rPr>
            <w:rStyle w:val="Hyperlink"/>
            <w:rFonts w:cs="Arial"/>
            <w:noProof/>
            <w:sz w:val="22"/>
            <w:szCs w:val="22"/>
          </w:rPr>
          <w:t>5.1.</w:t>
        </w:r>
        <w:r w:rsidR="0060638D" w:rsidRPr="00984FB6">
          <w:rPr>
            <w:rFonts w:eastAsiaTheme="minorEastAsia" w:cs="Arial"/>
            <w:noProof/>
            <w:sz w:val="22"/>
            <w:szCs w:val="22"/>
          </w:rPr>
          <w:tab/>
        </w:r>
        <w:r w:rsidR="0060638D" w:rsidRPr="00984FB6">
          <w:rPr>
            <w:rStyle w:val="Hyperlink"/>
            <w:rFonts w:cs="Arial"/>
            <w:noProof/>
            <w:sz w:val="22"/>
            <w:szCs w:val="22"/>
          </w:rPr>
          <w:t>Public Health (Accident)</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_Toc468875920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20</w:t>
        </w:r>
        <w:r w:rsidR="0060638D" w:rsidRPr="00984FB6">
          <w:rPr>
            <w:rFonts w:cs="Arial"/>
            <w:noProof/>
            <w:webHidden/>
            <w:sz w:val="22"/>
            <w:szCs w:val="22"/>
          </w:rPr>
          <w:fldChar w:fldCharType="end"/>
        </w:r>
      </w:hyperlink>
    </w:p>
    <w:p w14:paraId="2B423906" w14:textId="0E804F80" w:rsidR="0060638D" w:rsidRPr="00984FB6" w:rsidRDefault="00F32688" w:rsidP="00FF0EE8">
      <w:pPr>
        <w:pStyle w:val="TOC2"/>
        <w:spacing w:line="240" w:lineRule="auto"/>
        <w:rPr>
          <w:rFonts w:eastAsiaTheme="minorEastAsia" w:cs="Arial"/>
          <w:noProof/>
          <w:sz w:val="22"/>
          <w:szCs w:val="22"/>
        </w:rPr>
      </w:pPr>
      <w:hyperlink w:anchor="_Toc468875921" w:history="1">
        <w:r w:rsidR="0060638D" w:rsidRPr="00984FB6">
          <w:rPr>
            <w:rStyle w:val="Hyperlink"/>
            <w:rFonts w:cs="Arial"/>
            <w:noProof/>
            <w:sz w:val="22"/>
            <w:szCs w:val="22"/>
          </w:rPr>
          <w:t>5.2.</w:t>
        </w:r>
        <w:r w:rsidR="0060638D" w:rsidRPr="00984FB6">
          <w:rPr>
            <w:rFonts w:eastAsiaTheme="minorEastAsia" w:cs="Arial"/>
            <w:noProof/>
            <w:sz w:val="22"/>
            <w:szCs w:val="22"/>
          </w:rPr>
          <w:tab/>
        </w:r>
        <w:r w:rsidR="0060638D" w:rsidRPr="00984FB6">
          <w:rPr>
            <w:rStyle w:val="Hyperlink"/>
            <w:rFonts w:cs="Arial"/>
            <w:noProof/>
            <w:sz w:val="22"/>
            <w:szCs w:val="22"/>
          </w:rPr>
          <w:t>Occupational Health (Accident)</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_Toc468875921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20</w:t>
        </w:r>
        <w:r w:rsidR="0060638D" w:rsidRPr="00984FB6">
          <w:rPr>
            <w:rFonts w:cs="Arial"/>
            <w:noProof/>
            <w:webHidden/>
            <w:sz w:val="22"/>
            <w:szCs w:val="22"/>
          </w:rPr>
          <w:fldChar w:fldCharType="end"/>
        </w:r>
      </w:hyperlink>
    </w:p>
    <w:p w14:paraId="269269A2" w14:textId="729D2792" w:rsidR="0060638D" w:rsidRPr="00984FB6" w:rsidRDefault="00F32688" w:rsidP="00FF0EE8">
      <w:pPr>
        <w:pStyle w:val="TOC2"/>
        <w:spacing w:line="240" w:lineRule="auto"/>
        <w:rPr>
          <w:rFonts w:eastAsiaTheme="minorEastAsia" w:cs="Arial"/>
          <w:noProof/>
          <w:sz w:val="22"/>
          <w:szCs w:val="22"/>
        </w:rPr>
      </w:pPr>
      <w:hyperlink w:anchor="_Toc468875922" w:history="1">
        <w:r w:rsidR="0060638D" w:rsidRPr="00984FB6">
          <w:rPr>
            <w:rStyle w:val="Hyperlink"/>
            <w:rFonts w:cs="Arial"/>
            <w:noProof/>
            <w:sz w:val="22"/>
            <w:szCs w:val="22"/>
          </w:rPr>
          <w:t>5.3.</w:t>
        </w:r>
        <w:r w:rsidR="0060638D" w:rsidRPr="00984FB6">
          <w:rPr>
            <w:rFonts w:eastAsiaTheme="minorEastAsia" w:cs="Arial"/>
            <w:noProof/>
            <w:sz w:val="22"/>
            <w:szCs w:val="22"/>
          </w:rPr>
          <w:tab/>
        </w:r>
        <w:r w:rsidR="0060638D" w:rsidRPr="00984FB6">
          <w:rPr>
            <w:rStyle w:val="Hyperlink"/>
            <w:rFonts w:cs="Arial"/>
            <w:noProof/>
            <w:sz w:val="22"/>
            <w:szCs w:val="22"/>
          </w:rPr>
          <w:t>Occupational Health (Routine)</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_Toc468875922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21</w:t>
        </w:r>
        <w:r w:rsidR="0060638D" w:rsidRPr="00984FB6">
          <w:rPr>
            <w:rFonts w:cs="Arial"/>
            <w:noProof/>
            <w:webHidden/>
            <w:sz w:val="22"/>
            <w:szCs w:val="22"/>
          </w:rPr>
          <w:fldChar w:fldCharType="end"/>
        </w:r>
      </w:hyperlink>
    </w:p>
    <w:p w14:paraId="59EB2625" w14:textId="6B76993F" w:rsidR="0060638D" w:rsidRPr="00984FB6" w:rsidRDefault="00F32688" w:rsidP="00FF0EE8">
      <w:pPr>
        <w:pStyle w:val="TOC2"/>
        <w:spacing w:line="240" w:lineRule="auto"/>
        <w:rPr>
          <w:rFonts w:eastAsiaTheme="minorEastAsia" w:cs="Arial"/>
          <w:noProof/>
          <w:sz w:val="22"/>
          <w:szCs w:val="22"/>
        </w:rPr>
      </w:pPr>
      <w:hyperlink w:anchor="_Toc468875923" w:history="1">
        <w:r w:rsidR="0060638D" w:rsidRPr="00984FB6">
          <w:rPr>
            <w:rStyle w:val="Hyperlink"/>
            <w:rFonts w:cs="Arial"/>
            <w:noProof/>
            <w:sz w:val="22"/>
            <w:szCs w:val="22"/>
          </w:rPr>
          <w:t>5.4.</w:t>
        </w:r>
        <w:r w:rsidR="0060638D" w:rsidRPr="00984FB6">
          <w:rPr>
            <w:rFonts w:eastAsiaTheme="minorEastAsia" w:cs="Arial"/>
            <w:noProof/>
            <w:sz w:val="22"/>
            <w:szCs w:val="22"/>
          </w:rPr>
          <w:tab/>
        </w:r>
        <w:r w:rsidR="0060638D" w:rsidRPr="00984FB6">
          <w:rPr>
            <w:rStyle w:val="Hyperlink"/>
            <w:rFonts w:cs="Arial"/>
            <w:noProof/>
            <w:sz w:val="22"/>
            <w:szCs w:val="22"/>
          </w:rPr>
          <w:t>Onsite Property—Power Replacement</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_Toc468875923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21</w:t>
        </w:r>
        <w:r w:rsidR="0060638D" w:rsidRPr="00984FB6">
          <w:rPr>
            <w:rFonts w:cs="Arial"/>
            <w:noProof/>
            <w:webHidden/>
            <w:sz w:val="22"/>
            <w:szCs w:val="22"/>
          </w:rPr>
          <w:fldChar w:fldCharType="end"/>
        </w:r>
      </w:hyperlink>
    </w:p>
    <w:p w14:paraId="2D233F6C" w14:textId="3EA46BB9" w:rsidR="0060638D" w:rsidRPr="00984FB6" w:rsidRDefault="00F32688" w:rsidP="00FF0EE8">
      <w:pPr>
        <w:pStyle w:val="TOC2"/>
        <w:spacing w:line="240" w:lineRule="auto"/>
        <w:rPr>
          <w:rFonts w:eastAsiaTheme="minorEastAsia" w:cs="Arial"/>
          <w:noProof/>
          <w:sz w:val="22"/>
          <w:szCs w:val="22"/>
        </w:rPr>
      </w:pPr>
      <w:hyperlink w:anchor="_Toc468875924" w:history="1">
        <w:r w:rsidR="0060638D" w:rsidRPr="00984FB6">
          <w:rPr>
            <w:rStyle w:val="Hyperlink"/>
            <w:rFonts w:cs="Arial"/>
            <w:noProof/>
            <w:sz w:val="22"/>
            <w:szCs w:val="22"/>
          </w:rPr>
          <w:t>5.5.</w:t>
        </w:r>
        <w:r w:rsidR="0060638D" w:rsidRPr="00984FB6">
          <w:rPr>
            <w:rFonts w:eastAsiaTheme="minorEastAsia" w:cs="Arial"/>
            <w:noProof/>
            <w:sz w:val="22"/>
            <w:szCs w:val="22"/>
          </w:rPr>
          <w:tab/>
        </w:r>
        <w:r w:rsidR="0060638D" w:rsidRPr="00984FB6">
          <w:rPr>
            <w:rStyle w:val="Hyperlink"/>
            <w:rFonts w:cs="Arial"/>
            <w:noProof/>
            <w:sz w:val="22"/>
            <w:szCs w:val="22"/>
          </w:rPr>
          <w:t>Industry Implementation</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_Toc468875924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22</w:t>
        </w:r>
        <w:r w:rsidR="0060638D" w:rsidRPr="00984FB6">
          <w:rPr>
            <w:rFonts w:cs="Arial"/>
            <w:noProof/>
            <w:webHidden/>
            <w:sz w:val="22"/>
            <w:szCs w:val="22"/>
          </w:rPr>
          <w:fldChar w:fldCharType="end"/>
        </w:r>
      </w:hyperlink>
    </w:p>
    <w:p w14:paraId="3C44CDE1" w14:textId="44C57A10" w:rsidR="0060638D" w:rsidRPr="00984FB6" w:rsidRDefault="00F32688" w:rsidP="00FF0EE8">
      <w:pPr>
        <w:pStyle w:val="TOC2"/>
        <w:spacing w:line="240" w:lineRule="auto"/>
        <w:rPr>
          <w:rFonts w:eastAsiaTheme="minorEastAsia" w:cs="Arial"/>
          <w:noProof/>
          <w:sz w:val="22"/>
          <w:szCs w:val="22"/>
        </w:rPr>
      </w:pPr>
      <w:hyperlink w:anchor="_Toc468875925" w:history="1">
        <w:r w:rsidR="0060638D" w:rsidRPr="00984FB6">
          <w:rPr>
            <w:rStyle w:val="Hyperlink"/>
            <w:rFonts w:cs="Arial"/>
            <w:noProof/>
            <w:sz w:val="22"/>
            <w:szCs w:val="22"/>
          </w:rPr>
          <w:t>5.6.</w:t>
        </w:r>
        <w:r w:rsidR="0060638D" w:rsidRPr="00984FB6">
          <w:rPr>
            <w:rFonts w:eastAsiaTheme="minorEastAsia" w:cs="Arial"/>
            <w:noProof/>
            <w:sz w:val="22"/>
            <w:szCs w:val="22"/>
          </w:rPr>
          <w:tab/>
        </w:r>
        <w:r w:rsidR="0060638D" w:rsidRPr="00984FB6">
          <w:rPr>
            <w:rStyle w:val="Hyperlink"/>
            <w:rFonts w:cs="Arial"/>
            <w:noProof/>
            <w:sz w:val="22"/>
            <w:szCs w:val="22"/>
          </w:rPr>
          <w:t>Industry Operation</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_Toc468875925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23</w:t>
        </w:r>
        <w:r w:rsidR="0060638D" w:rsidRPr="00984FB6">
          <w:rPr>
            <w:rFonts w:cs="Arial"/>
            <w:noProof/>
            <w:webHidden/>
            <w:sz w:val="22"/>
            <w:szCs w:val="22"/>
          </w:rPr>
          <w:fldChar w:fldCharType="end"/>
        </w:r>
      </w:hyperlink>
    </w:p>
    <w:p w14:paraId="369AFAB2" w14:textId="66E89A31" w:rsidR="0060638D" w:rsidRPr="00984FB6" w:rsidRDefault="00F32688" w:rsidP="00FF0EE8">
      <w:pPr>
        <w:pStyle w:val="TOC3"/>
        <w:rPr>
          <w:rStyle w:val="Hyperlink"/>
          <w:rFonts w:cs="Arial"/>
          <w:noProof/>
          <w:color w:val="auto"/>
          <w:sz w:val="22"/>
          <w:szCs w:val="22"/>
        </w:rPr>
      </w:pPr>
      <w:hyperlink w:anchor="_Toc468875926" w:history="1">
        <w:r w:rsidR="0060638D" w:rsidRPr="00984FB6">
          <w:rPr>
            <w:rStyle w:val="Hyperlink"/>
            <w:rFonts w:cs="Arial"/>
            <w:noProof/>
            <w:sz w:val="22"/>
            <w:szCs w:val="22"/>
          </w:rPr>
          <w:t>5.6.1.</w:t>
        </w:r>
        <w:r w:rsidR="00FF0EE8" w:rsidRPr="00984FB6">
          <w:rPr>
            <w:rStyle w:val="Hyperlink"/>
            <w:rFonts w:cs="Arial"/>
            <w:noProof/>
            <w:sz w:val="22"/>
            <w:szCs w:val="22"/>
          </w:rPr>
          <w:tab/>
        </w:r>
        <w:r w:rsidR="0060638D" w:rsidRPr="00984FB6">
          <w:rPr>
            <w:rStyle w:val="Hyperlink"/>
            <w:rFonts w:cs="Arial"/>
            <w:noProof/>
            <w:sz w:val="22"/>
            <w:szCs w:val="22"/>
          </w:rPr>
          <w:t>Averted Costs from Code Case Alternative Request Submittals</w:t>
        </w:r>
        <w:r w:rsidR="0060638D" w:rsidRPr="00984FB6">
          <w:rPr>
            <w:rStyle w:val="Hyperlink"/>
            <w:rFonts w:cs="Arial"/>
            <w:noProof/>
            <w:webHidden/>
            <w:sz w:val="22"/>
            <w:szCs w:val="22"/>
          </w:rPr>
          <w:tab/>
        </w:r>
        <w:r w:rsidR="0060638D" w:rsidRPr="00984FB6">
          <w:rPr>
            <w:rStyle w:val="Hyperlink"/>
            <w:rFonts w:cs="Arial"/>
            <w:noProof/>
            <w:webHidden/>
            <w:sz w:val="22"/>
            <w:szCs w:val="22"/>
          </w:rPr>
          <w:fldChar w:fldCharType="begin"/>
        </w:r>
        <w:r w:rsidR="0060638D" w:rsidRPr="00984FB6">
          <w:rPr>
            <w:rStyle w:val="Hyperlink"/>
            <w:rFonts w:cs="Arial"/>
            <w:noProof/>
            <w:webHidden/>
            <w:sz w:val="22"/>
            <w:szCs w:val="22"/>
          </w:rPr>
          <w:instrText xml:space="preserve"> PAGEREF _Toc468875926 \h </w:instrText>
        </w:r>
        <w:r w:rsidR="0060638D" w:rsidRPr="00984FB6">
          <w:rPr>
            <w:rStyle w:val="Hyperlink"/>
            <w:rFonts w:cs="Arial"/>
            <w:noProof/>
            <w:webHidden/>
            <w:sz w:val="22"/>
            <w:szCs w:val="22"/>
          </w:rPr>
        </w:r>
        <w:r w:rsidR="0060638D" w:rsidRPr="00984FB6">
          <w:rPr>
            <w:rStyle w:val="Hyperlink"/>
            <w:rFonts w:cs="Arial"/>
            <w:noProof/>
            <w:webHidden/>
            <w:sz w:val="22"/>
            <w:szCs w:val="22"/>
          </w:rPr>
          <w:fldChar w:fldCharType="separate"/>
        </w:r>
        <w:r w:rsidR="00FD3AB6">
          <w:rPr>
            <w:rStyle w:val="Hyperlink"/>
            <w:rFonts w:cs="Arial"/>
            <w:noProof/>
            <w:webHidden/>
            <w:sz w:val="22"/>
            <w:szCs w:val="22"/>
          </w:rPr>
          <w:t>23</w:t>
        </w:r>
        <w:r w:rsidR="0060638D" w:rsidRPr="00984FB6">
          <w:rPr>
            <w:rStyle w:val="Hyperlink"/>
            <w:rFonts w:cs="Arial"/>
            <w:noProof/>
            <w:webHidden/>
            <w:sz w:val="22"/>
            <w:szCs w:val="22"/>
          </w:rPr>
          <w:fldChar w:fldCharType="end"/>
        </w:r>
      </w:hyperlink>
    </w:p>
    <w:p w14:paraId="72903CDA" w14:textId="5FEB5B87" w:rsidR="0060638D" w:rsidRPr="00984FB6" w:rsidRDefault="00F32688" w:rsidP="00375057">
      <w:pPr>
        <w:pStyle w:val="TOC3"/>
        <w:rPr>
          <w:rStyle w:val="Hyperlink"/>
          <w:rFonts w:cs="Arial"/>
          <w:noProof/>
          <w:color w:val="auto"/>
          <w:sz w:val="22"/>
          <w:szCs w:val="22"/>
        </w:rPr>
      </w:pPr>
      <w:hyperlink w:anchor="_Toc468875927" w:history="1">
        <w:r w:rsidR="0060638D" w:rsidRPr="00984FB6">
          <w:rPr>
            <w:rStyle w:val="Hyperlink"/>
            <w:rFonts w:cs="Arial"/>
            <w:noProof/>
            <w:color w:val="auto"/>
            <w:sz w:val="22"/>
            <w:szCs w:val="22"/>
          </w:rPr>
          <w:t>5.6.2.</w:t>
        </w:r>
        <w:r w:rsidR="00654B84" w:rsidRPr="00984FB6">
          <w:rPr>
            <w:rStyle w:val="Hyperlink"/>
            <w:rFonts w:cs="Arial"/>
            <w:noProof/>
            <w:color w:val="auto"/>
            <w:sz w:val="22"/>
            <w:szCs w:val="22"/>
          </w:rPr>
          <w:tab/>
        </w:r>
        <w:r w:rsidR="0060638D" w:rsidRPr="00984FB6">
          <w:rPr>
            <w:rStyle w:val="Hyperlink"/>
            <w:rFonts w:cs="Arial"/>
            <w:noProof/>
            <w:color w:val="auto"/>
            <w:sz w:val="22"/>
            <w:szCs w:val="22"/>
          </w:rPr>
          <w:t>Conditioned Code Case Costs</w:t>
        </w:r>
        <w:r w:rsidR="0060638D" w:rsidRPr="00984FB6">
          <w:rPr>
            <w:rStyle w:val="Hyperlink"/>
            <w:rFonts w:cs="Arial"/>
            <w:noProof/>
            <w:webHidden/>
            <w:color w:val="auto"/>
            <w:sz w:val="22"/>
            <w:szCs w:val="22"/>
          </w:rPr>
          <w:tab/>
        </w:r>
        <w:r w:rsidR="0060638D" w:rsidRPr="00984FB6">
          <w:rPr>
            <w:rStyle w:val="Hyperlink"/>
            <w:rFonts w:cs="Arial"/>
            <w:noProof/>
            <w:webHidden/>
            <w:color w:val="auto"/>
            <w:sz w:val="22"/>
            <w:szCs w:val="22"/>
          </w:rPr>
          <w:fldChar w:fldCharType="begin"/>
        </w:r>
        <w:r w:rsidR="0060638D" w:rsidRPr="00984FB6">
          <w:rPr>
            <w:rStyle w:val="Hyperlink"/>
            <w:rFonts w:cs="Arial"/>
            <w:noProof/>
            <w:webHidden/>
            <w:color w:val="auto"/>
            <w:sz w:val="22"/>
            <w:szCs w:val="22"/>
          </w:rPr>
          <w:instrText xml:space="preserve"> PAGEREF _Toc468875927 \h </w:instrText>
        </w:r>
        <w:r w:rsidR="0060638D" w:rsidRPr="00984FB6">
          <w:rPr>
            <w:rStyle w:val="Hyperlink"/>
            <w:rFonts w:cs="Arial"/>
            <w:noProof/>
            <w:webHidden/>
            <w:color w:val="auto"/>
            <w:sz w:val="22"/>
            <w:szCs w:val="22"/>
          </w:rPr>
        </w:r>
        <w:r w:rsidR="0060638D" w:rsidRPr="00984FB6">
          <w:rPr>
            <w:rStyle w:val="Hyperlink"/>
            <w:rFonts w:cs="Arial"/>
            <w:noProof/>
            <w:webHidden/>
            <w:color w:val="auto"/>
            <w:sz w:val="22"/>
            <w:szCs w:val="22"/>
          </w:rPr>
          <w:fldChar w:fldCharType="separate"/>
        </w:r>
        <w:r w:rsidR="00FD3AB6">
          <w:rPr>
            <w:rStyle w:val="Hyperlink"/>
            <w:rFonts w:cs="Arial"/>
            <w:noProof/>
            <w:webHidden/>
            <w:color w:val="auto"/>
            <w:sz w:val="22"/>
            <w:szCs w:val="22"/>
          </w:rPr>
          <w:t>25</w:t>
        </w:r>
        <w:r w:rsidR="0060638D" w:rsidRPr="00984FB6">
          <w:rPr>
            <w:rStyle w:val="Hyperlink"/>
            <w:rFonts w:cs="Arial"/>
            <w:noProof/>
            <w:webHidden/>
            <w:color w:val="auto"/>
            <w:sz w:val="22"/>
            <w:szCs w:val="22"/>
          </w:rPr>
          <w:fldChar w:fldCharType="end"/>
        </w:r>
      </w:hyperlink>
    </w:p>
    <w:p w14:paraId="227B6E42" w14:textId="632342FA" w:rsidR="0060638D" w:rsidRPr="00984FB6" w:rsidRDefault="00F32688" w:rsidP="00FF0EE8">
      <w:pPr>
        <w:pStyle w:val="TOC3"/>
        <w:rPr>
          <w:rFonts w:eastAsiaTheme="minorEastAsia" w:cs="Arial"/>
          <w:noProof/>
          <w:sz w:val="22"/>
          <w:szCs w:val="22"/>
        </w:rPr>
      </w:pPr>
      <w:hyperlink w:anchor="_Toc468875928" w:history="1">
        <w:r w:rsidR="0060638D" w:rsidRPr="00984FB6">
          <w:rPr>
            <w:rStyle w:val="Hyperlink"/>
            <w:rFonts w:cs="Arial"/>
            <w:noProof/>
            <w:sz w:val="22"/>
            <w:szCs w:val="22"/>
          </w:rPr>
          <w:t>5.6.3.</w:t>
        </w:r>
        <w:r w:rsidR="0060638D" w:rsidRPr="00984FB6">
          <w:rPr>
            <w:rFonts w:eastAsiaTheme="minorEastAsia" w:cs="Arial"/>
            <w:noProof/>
            <w:sz w:val="22"/>
            <w:szCs w:val="22"/>
          </w:rPr>
          <w:tab/>
        </w:r>
        <w:r w:rsidR="0060638D" w:rsidRPr="00984FB6">
          <w:rPr>
            <w:rStyle w:val="Hyperlink"/>
            <w:rFonts w:cs="Arial"/>
            <w:noProof/>
            <w:sz w:val="22"/>
            <w:szCs w:val="22"/>
          </w:rPr>
          <w:t>Total Industry Operations Costs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_Toc468875928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30</w:t>
        </w:r>
        <w:r w:rsidR="0060638D" w:rsidRPr="00984FB6">
          <w:rPr>
            <w:rFonts w:cs="Arial"/>
            <w:noProof/>
            <w:webHidden/>
            <w:sz w:val="22"/>
            <w:szCs w:val="22"/>
          </w:rPr>
          <w:fldChar w:fldCharType="end"/>
        </w:r>
      </w:hyperlink>
    </w:p>
    <w:p w14:paraId="7441A594" w14:textId="5ACD511A" w:rsidR="0060638D" w:rsidRPr="00984FB6" w:rsidRDefault="00F32688" w:rsidP="00FF0EE8">
      <w:pPr>
        <w:pStyle w:val="TOC2"/>
        <w:spacing w:line="240" w:lineRule="auto"/>
        <w:rPr>
          <w:rFonts w:eastAsiaTheme="minorEastAsia" w:cs="Arial"/>
          <w:noProof/>
          <w:sz w:val="22"/>
          <w:szCs w:val="22"/>
        </w:rPr>
      </w:pPr>
      <w:hyperlink w:anchor="_Toc468875929" w:history="1">
        <w:r w:rsidR="0060638D" w:rsidRPr="00984FB6">
          <w:rPr>
            <w:rStyle w:val="Hyperlink"/>
            <w:rFonts w:cs="Arial"/>
            <w:noProof/>
            <w:sz w:val="22"/>
            <w:szCs w:val="22"/>
          </w:rPr>
          <w:t>5.7.</w:t>
        </w:r>
        <w:r w:rsidR="0060638D" w:rsidRPr="00984FB6">
          <w:rPr>
            <w:rFonts w:eastAsiaTheme="minorEastAsia" w:cs="Arial"/>
            <w:noProof/>
            <w:sz w:val="22"/>
            <w:szCs w:val="22"/>
          </w:rPr>
          <w:tab/>
        </w:r>
        <w:r w:rsidR="0060638D" w:rsidRPr="00984FB6">
          <w:rPr>
            <w:rStyle w:val="Hyperlink"/>
            <w:rFonts w:cs="Arial"/>
            <w:noProof/>
            <w:sz w:val="22"/>
            <w:szCs w:val="22"/>
          </w:rPr>
          <w:t>NRC Implementation</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_Toc468875929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30</w:t>
        </w:r>
        <w:r w:rsidR="0060638D" w:rsidRPr="00984FB6">
          <w:rPr>
            <w:rFonts w:cs="Arial"/>
            <w:noProof/>
            <w:webHidden/>
            <w:sz w:val="22"/>
            <w:szCs w:val="22"/>
          </w:rPr>
          <w:fldChar w:fldCharType="end"/>
        </w:r>
      </w:hyperlink>
    </w:p>
    <w:p w14:paraId="157A032C" w14:textId="11AD3BF3" w:rsidR="0060638D" w:rsidRPr="00984FB6" w:rsidRDefault="00F32688" w:rsidP="00FF0EE8">
      <w:pPr>
        <w:pStyle w:val="TOC2"/>
        <w:spacing w:line="240" w:lineRule="auto"/>
        <w:rPr>
          <w:rFonts w:eastAsiaTheme="minorEastAsia" w:cs="Arial"/>
          <w:noProof/>
          <w:sz w:val="22"/>
          <w:szCs w:val="22"/>
        </w:rPr>
      </w:pPr>
      <w:hyperlink w:anchor="_Toc468875930" w:history="1">
        <w:r w:rsidR="0060638D" w:rsidRPr="00984FB6">
          <w:rPr>
            <w:rStyle w:val="Hyperlink"/>
            <w:rFonts w:cs="Arial"/>
            <w:noProof/>
            <w:sz w:val="22"/>
            <w:szCs w:val="22"/>
          </w:rPr>
          <w:t>5.8.</w:t>
        </w:r>
        <w:r w:rsidR="0060638D" w:rsidRPr="00984FB6">
          <w:rPr>
            <w:rFonts w:eastAsiaTheme="minorEastAsia" w:cs="Arial"/>
            <w:noProof/>
            <w:sz w:val="22"/>
            <w:szCs w:val="22"/>
          </w:rPr>
          <w:tab/>
        </w:r>
        <w:r w:rsidR="0060638D" w:rsidRPr="00984FB6">
          <w:rPr>
            <w:rStyle w:val="Hyperlink"/>
            <w:rFonts w:cs="Arial"/>
            <w:noProof/>
            <w:sz w:val="22"/>
            <w:szCs w:val="22"/>
          </w:rPr>
          <w:t>NRC Operation</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_Toc468875930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30</w:t>
        </w:r>
        <w:r w:rsidR="0060638D" w:rsidRPr="00984FB6">
          <w:rPr>
            <w:rFonts w:cs="Arial"/>
            <w:noProof/>
            <w:webHidden/>
            <w:sz w:val="22"/>
            <w:szCs w:val="22"/>
          </w:rPr>
          <w:fldChar w:fldCharType="end"/>
        </w:r>
      </w:hyperlink>
    </w:p>
    <w:p w14:paraId="04D871C0" w14:textId="3DE1832A" w:rsidR="0060638D" w:rsidRPr="00984FB6" w:rsidRDefault="00F32688" w:rsidP="00FF0EE8">
      <w:pPr>
        <w:pStyle w:val="TOC3"/>
        <w:rPr>
          <w:rFonts w:eastAsiaTheme="minorEastAsia" w:cs="Arial"/>
          <w:noProof/>
          <w:sz w:val="22"/>
          <w:szCs w:val="22"/>
        </w:rPr>
      </w:pPr>
      <w:hyperlink w:anchor="_Toc468875931" w:history="1">
        <w:r w:rsidR="0060638D" w:rsidRPr="00984FB6">
          <w:rPr>
            <w:rStyle w:val="Hyperlink"/>
            <w:rFonts w:cs="Arial"/>
            <w:noProof/>
            <w:sz w:val="22"/>
            <w:szCs w:val="22"/>
          </w:rPr>
          <w:t>5.8.1.</w:t>
        </w:r>
        <w:r w:rsidR="0060638D" w:rsidRPr="00984FB6">
          <w:rPr>
            <w:rFonts w:eastAsiaTheme="minorEastAsia" w:cs="Arial"/>
            <w:noProof/>
            <w:sz w:val="22"/>
            <w:szCs w:val="22"/>
          </w:rPr>
          <w:tab/>
        </w:r>
        <w:r w:rsidR="0060638D" w:rsidRPr="00984FB6">
          <w:rPr>
            <w:rStyle w:val="Hyperlink"/>
            <w:rFonts w:cs="Arial"/>
            <w:noProof/>
            <w:sz w:val="22"/>
            <w:szCs w:val="22"/>
          </w:rPr>
          <w:t>NRC Operation Averted Cost Sensitivity</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_Toc468875931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31</w:t>
        </w:r>
        <w:r w:rsidR="0060638D" w:rsidRPr="00984FB6">
          <w:rPr>
            <w:rFonts w:cs="Arial"/>
            <w:noProof/>
            <w:webHidden/>
            <w:sz w:val="22"/>
            <w:szCs w:val="22"/>
          </w:rPr>
          <w:fldChar w:fldCharType="end"/>
        </w:r>
      </w:hyperlink>
    </w:p>
    <w:p w14:paraId="7E908027" w14:textId="0F71AA58" w:rsidR="0060638D" w:rsidRPr="00984FB6" w:rsidRDefault="00F32688" w:rsidP="00FF0EE8">
      <w:pPr>
        <w:pStyle w:val="TOC2"/>
        <w:spacing w:line="240" w:lineRule="auto"/>
        <w:rPr>
          <w:rFonts w:eastAsiaTheme="minorEastAsia" w:cs="Arial"/>
          <w:noProof/>
          <w:sz w:val="22"/>
          <w:szCs w:val="22"/>
        </w:rPr>
      </w:pPr>
      <w:hyperlink w:anchor="_Toc468875932" w:history="1">
        <w:r w:rsidR="0060638D" w:rsidRPr="00984FB6">
          <w:rPr>
            <w:rStyle w:val="Hyperlink"/>
            <w:rFonts w:cs="Arial"/>
            <w:noProof/>
            <w:sz w:val="22"/>
            <w:szCs w:val="22"/>
          </w:rPr>
          <w:t>5.9.</w:t>
        </w:r>
        <w:r w:rsidR="0060638D" w:rsidRPr="00984FB6">
          <w:rPr>
            <w:rFonts w:eastAsiaTheme="minorEastAsia" w:cs="Arial"/>
            <w:noProof/>
            <w:sz w:val="22"/>
            <w:szCs w:val="22"/>
          </w:rPr>
          <w:tab/>
        </w:r>
        <w:r w:rsidR="0060638D" w:rsidRPr="00984FB6">
          <w:rPr>
            <w:rStyle w:val="Hyperlink"/>
            <w:rFonts w:cs="Arial"/>
            <w:noProof/>
            <w:sz w:val="22"/>
            <w:szCs w:val="22"/>
          </w:rPr>
          <w:t>Improvements in Knowledge</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_Toc468875932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32</w:t>
        </w:r>
        <w:r w:rsidR="0060638D" w:rsidRPr="00984FB6">
          <w:rPr>
            <w:rFonts w:cs="Arial"/>
            <w:noProof/>
            <w:webHidden/>
            <w:sz w:val="22"/>
            <w:szCs w:val="22"/>
          </w:rPr>
          <w:fldChar w:fldCharType="end"/>
        </w:r>
      </w:hyperlink>
    </w:p>
    <w:p w14:paraId="08915B39" w14:textId="16A09B68" w:rsidR="0060638D" w:rsidRPr="00984FB6" w:rsidRDefault="00F32688" w:rsidP="00FF0EE8">
      <w:pPr>
        <w:pStyle w:val="TOC2"/>
        <w:spacing w:line="240" w:lineRule="auto"/>
        <w:rPr>
          <w:rFonts w:eastAsiaTheme="minorEastAsia" w:cs="Arial"/>
          <w:noProof/>
          <w:sz w:val="22"/>
          <w:szCs w:val="22"/>
        </w:rPr>
      </w:pPr>
      <w:hyperlink w:anchor="_Toc468875933" w:history="1">
        <w:r w:rsidR="0060638D" w:rsidRPr="00984FB6">
          <w:rPr>
            <w:rStyle w:val="Hyperlink"/>
            <w:rFonts w:cs="Arial"/>
            <w:noProof/>
            <w:sz w:val="22"/>
            <w:szCs w:val="22"/>
          </w:rPr>
          <w:t>5.10.</w:t>
        </w:r>
        <w:r w:rsidR="0060638D" w:rsidRPr="00984FB6">
          <w:rPr>
            <w:rFonts w:eastAsiaTheme="minorEastAsia" w:cs="Arial"/>
            <w:noProof/>
            <w:sz w:val="22"/>
            <w:szCs w:val="22"/>
          </w:rPr>
          <w:tab/>
        </w:r>
        <w:r w:rsidR="0060638D" w:rsidRPr="00984FB6">
          <w:rPr>
            <w:rStyle w:val="Hyperlink"/>
            <w:rFonts w:cs="Arial"/>
            <w:noProof/>
            <w:sz w:val="22"/>
            <w:szCs w:val="22"/>
          </w:rPr>
          <w:t>Regulatory Efficiency</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_Toc468875933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32</w:t>
        </w:r>
        <w:r w:rsidR="0060638D" w:rsidRPr="00984FB6">
          <w:rPr>
            <w:rFonts w:cs="Arial"/>
            <w:noProof/>
            <w:webHidden/>
            <w:sz w:val="22"/>
            <w:szCs w:val="22"/>
          </w:rPr>
          <w:fldChar w:fldCharType="end"/>
        </w:r>
      </w:hyperlink>
    </w:p>
    <w:p w14:paraId="4B654158" w14:textId="2A76A96B" w:rsidR="0060638D" w:rsidRPr="00984FB6" w:rsidRDefault="00F32688" w:rsidP="00FF0EE8">
      <w:pPr>
        <w:pStyle w:val="TOC2"/>
        <w:spacing w:line="240" w:lineRule="auto"/>
        <w:rPr>
          <w:rFonts w:eastAsiaTheme="minorEastAsia" w:cs="Arial"/>
          <w:noProof/>
          <w:sz w:val="22"/>
          <w:szCs w:val="22"/>
        </w:rPr>
      </w:pPr>
      <w:hyperlink w:anchor="_Toc468875934" w:history="1">
        <w:r w:rsidR="0060638D" w:rsidRPr="00984FB6">
          <w:rPr>
            <w:rStyle w:val="Hyperlink"/>
            <w:rFonts w:cs="Arial"/>
            <w:noProof/>
            <w:sz w:val="22"/>
            <w:szCs w:val="22"/>
          </w:rPr>
          <w:t>5.11.</w:t>
        </w:r>
        <w:r w:rsidR="0060638D" w:rsidRPr="00984FB6">
          <w:rPr>
            <w:rFonts w:eastAsiaTheme="minorEastAsia" w:cs="Arial"/>
            <w:noProof/>
            <w:sz w:val="22"/>
            <w:szCs w:val="22"/>
          </w:rPr>
          <w:tab/>
        </w:r>
        <w:r w:rsidR="0060638D" w:rsidRPr="00984FB6">
          <w:rPr>
            <w:rStyle w:val="Hyperlink"/>
            <w:rFonts w:cs="Arial"/>
            <w:noProof/>
            <w:sz w:val="22"/>
            <w:szCs w:val="22"/>
          </w:rPr>
          <w:t>Disaggregation</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_Toc468875934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32</w:t>
        </w:r>
        <w:r w:rsidR="0060638D" w:rsidRPr="00984FB6">
          <w:rPr>
            <w:rFonts w:cs="Arial"/>
            <w:noProof/>
            <w:webHidden/>
            <w:sz w:val="22"/>
            <w:szCs w:val="22"/>
          </w:rPr>
          <w:fldChar w:fldCharType="end"/>
        </w:r>
      </w:hyperlink>
    </w:p>
    <w:p w14:paraId="0688AA2F" w14:textId="77777777" w:rsidR="0060638D" w:rsidRPr="00984FB6" w:rsidRDefault="00F32688" w:rsidP="00FF0EE8">
      <w:pPr>
        <w:pStyle w:val="TOC2"/>
        <w:spacing w:line="240" w:lineRule="auto"/>
        <w:rPr>
          <w:rFonts w:eastAsiaTheme="minorEastAsia" w:cs="Arial"/>
          <w:noProof/>
          <w:sz w:val="22"/>
          <w:szCs w:val="22"/>
        </w:rPr>
      </w:pPr>
      <w:hyperlink w:anchor="_Toc468875935" w:history="1">
        <w:r w:rsidR="0060638D" w:rsidRPr="00984FB6">
          <w:rPr>
            <w:rStyle w:val="Hyperlink"/>
            <w:rFonts w:cs="Arial"/>
            <w:noProof/>
            <w:sz w:val="22"/>
            <w:szCs w:val="22"/>
          </w:rPr>
          <w:t>5.12.</w:t>
        </w:r>
        <w:r w:rsidR="0060638D" w:rsidRPr="00984FB6">
          <w:rPr>
            <w:rFonts w:eastAsiaTheme="minorEastAsia" w:cs="Arial"/>
            <w:noProof/>
            <w:sz w:val="22"/>
            <w:szCs w:val="22"/>
          </w:rPr>
          <w:tab/>
        </w:r>
        <w:r w:rsidR="0060638D" w:rsidRPr="00984FB6">
          <w:rPr>
            <w:rStyle w:val="Hyperlink"/>
            <w:rFonts w:cs="Arial"/>
            <w:noProof/>
            <w:sz w:val="22"/>
            <w:szCs w:val="22"/>
          </w:rPr>
          <w:t>Uncertainty Analysis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_Toc468875935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33</w:t>
        </w:r>
        <w:r w:rsidR="0060638D" w:rsidRPr="00984FB6">
          <w:rPr>
            <w:rFonts w:cs="Arial"/>
            <w:noProof/>
            <w:webHidden/>
            <w:sz w:val="22"/>
            <w:szCs w:val="22"/>
          </w:rPr>
          <w:fldChar w:fldCharType="end"/>
        </w:r>
      </w:hyperlink>
    </w:p>
    <w:p w14:paraId="43F57F0D" w14:textId="77777777" w:rsidR="0060638D" w:rsidRPr="00984FB6" w:rsidRDefault="00F32688" w:rsidP="00FF0EE8">
      <w:pPr>
        <w:pStyle w:val="TOC3"/>
        <w:rPr>
          <w:rFonts w:eastAsiaTheme="minorEastAsia" w:cs="Arial"/>
          <w:noProof/>
          <w:sz w:val="22"/>
          <w:szCs w:val="22"/>
        </w:rPr>
      </w:pPr>
      <w:hyperlink w:anchor="_Toc468875936" w:history="1">
        <w:r w:rsidR="0060638D" w:rsidRPr="00984FB6">
          <w:rPr>
            <w:rStyle w:val="Hyperlink"/>
            <w:rFonts w:cs="Arial"/>
            <w:noProof/>
            <w:sz w:val="22"/>
            <w:szCs w:val="22"/>
          </w:rPr>
          <w:t>5.12.1.</w:t>
        </w:r>
        <w:r w:rsidR="0060638D" w:rsidRPr="00984FB6">
          <w:rPr>
            <w:rFonts w:eastAsiaTheme="minorEastAsia" w:cs="Arial"/>
            <w:noProof/>
            <w:sz w:val="22"/>
            <w:szCs w:val="22"/>
          </w:rPr>
          <w:tab/>
        </w:r>
        <w:r w:rsidR="0060638D" w:rsidRPr="00984FB6">
          <w:rPr>
            <w:rStyle w:val="Hyperlink"/>
            <w:rFonts w:cs="Arial"/>
            <w:noProof/>
            <w:sz w:val="22"/>
            <w:szCs w:val="22"/>
          </w:rPr>
          <w:t>Uncertainty Analysis Results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_Toc468875936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33</w:t>
        </w:r>
        <w:r w:rsidR="0060638D" w:rsidRPr="00984FB6">
          <w:rPr>
            <w:rFonts w:cs="Arial"/>
            <w:noProof/>
            <w:webHidden/>
            <w:sz w:val="22"/>
            <w:szCs w:val="22"/>
          </w:rPr>
          <w:fldChar w:fldCharType="end"/>
        </w:r>
      </w:hyperlink>
    </w:p>
    <w:p w14:paraId="3C17F57B" w14:textId="3FE1E51F" w:rsidR="0060638D" w:rsidRPr="00984FB6" w:rsidRDefault="00F32688" w:rsidP="00FF0EE8">
      <w:pPr>
        <w:pStyle w:val="TOC3"/>
        <w:rPr>
          <w:rFonts w:eastAsiaTheme="minorEastAsia" w:cs="Arial"/>
          <w:noProof/>
          <w:sz w:val="22"/>
          <w:szCs w:val="22"/>
        </w:rPr>
      </w:pPr>
      <w:hyperlink w:anchor="_Toc468875937" w:history="1">
        <w:r w:rsidR="0060638D" w:rsidRPr="00984FB6">
          <w:rPr>
            <w:rStyle w:val="Hyperlink"/>
            <w:rFonts w:cs="Arial"/>
            <w:noProof/>
            <w:sz w:val="22"/>
            <w:szCs w:val="22"/>
          </w:rPr>
          <w:t>5.12.2.</w:t>
        </w:r>
        <w:r w:rsidR="0060638D" w:rsidRPr="00984FB6">
          <w:rPr>
            <w:rFonts w:eastAsiaTheme="minorEastAsia" w:cs="Arial"/>
            <w:noProof/>
            <w:sz w:val="22"/>
            <w:szCs w:val="22"/>
          </w:rPr>
          <w:tab/>
        </w:r>
        <w:r w:rsidR="0060638D" w:rsidRPr="00984FB6">
          <w:rPr>
            <w:rStyle w:val="Hyperlink"/>
            <w:rFonts w:cs="Arial"/>
            <w:noProof/>
            <w:sz w:val="22"/>
            <w:szCs w:val="22"/>
          </w:rPr>
          <w:t>Summary of Uncertainty Analysis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_Toc468875937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37</w:t>
        </w:r>
        <w:r w:rsidR="0060638D" w:rsidRPr="00984FB6">
          <w:rPr>
            <w:rFonts w:cs="Arial"/>
            <w:noProof/>
            <w:webHidden/>
            <w:sz w:val="22"/>
            <w:szCs w:val="22"/>
          </w:rPr>
          <w:fldChar w:fldCharType="end"/>
        </w:r>
      </w:hyperlink>
    </w:p>
    <w:p w14:paraId="7E314EC4" w14:textId="77777777" w:rsidR="0060638D" w:rsidRPr="00984FB6" w:rsidRDefault="00F32688" w:rsidP="00FF0EE8">
      <w:pPr>
        <w:pStyle w:val="TOC2"/>
        <w:spacing w:line="240" w:lineRule="auto"/>
        <w:rPr>
          <w:rFonts w:eastAsiaTheme="minorEastAsia" w:cs="Arial"/>
          <w:noProof/>
          <w:sz w:val="22"/>
          <w:szCs w:val="22"/>
        </w:rPr>
      </w:pPr>
      <w:hyperlink w:anchor="_Toc468875938" w:history="1">
        <w:r w:rsidR="0060638D" w:rsidRPr="00984FB6">
          <w:rPr>
            <w:rStyle w:val="Hyperlink"/>
            <w:rFonts w:cs="Arial"/>
            <w:noProof/>
            <w:sz w:val="22"/>
            <w:szCs w:val="22"/>
          </w:rPr>
          <w:t>5.13.</w:t>
        </w:r>
        <w:r w:rsidR="0060638D" w:rsidRPr="00984FB6">
          <w:rPr>
            <w:rFonts w:eastAsiaTheme="minorEastAsia" w:cs="Arial"/>
            <w:noProof/>
            <w:sz w:val="22"/>
            <w:szCs w:val="22"/>
          </w:rPr>
          <w:tab/>
        </w:r>
        <w:r w:rsidR="0060638D" w:rsidRPr="00984FB6">
          <w:rPr>
            <w:rStyle w:val="Hyperlink"/>
            <w:rFonts w:cs="Arial"/>
            <w:noProof/>
            <w:sz w:val="22"/>
            <w:szCs w:val="22"/>
          </w:rPr>
          <w:t>Independent Cost Estimate</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_Toc468875938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37</w:t>
        </w:r>
        <w:r w:rsidR="0060638D" w:rsidRPr="00984FB6">
          <w:rPr>
            <w:rFonts w:cs="Arial"/>
            <w:noProof/>
            <w:webHidden/>
            <w:sz w:val="22"/>
            <w:szCs w:val="22"/>
          </w:rPr>
          <w:fldChar w:fldCharType="end"/>
        </w:r>
      </w:hyperlink>
    </w:p>
    <w:p w14:paraId="44A7A24C" w14:textId="77777777" w:rsidR="0060638D" w:rsidRPr="00984FB6" w:rsidRDefault="00F32688" w:rsidP="00FF0EE8">
      <w:pPr>
        <w:pStyle w:val="TOC2"/>
        <w:spacing w:line="240" w:lineRule="auto"/>
        <w:rPr>
          <w:rFonts w:eastAsiaTheme="minorEastAsia" w:cs="Arial"/>
          <w:noProof/>
          <w:sz w:val="22"/>
          <w:szCs w:val="22"/>
        </w:rPr>
      </w:pPr>
      <w:hyperlink w:anchor="_Toc468875939" w:history="1">
        <w:r w:rsidR="0060638D" w:rsidRPr="00984FB6">
          <w:rPr>
            <w:rStyle w:val="Hyperlink"/>
            <w:rFonts w:cs="Arial"/>
            <w:noProof/>
            <w:sz w:val="22"/>
            <w:szCs w:val="22"/>
          </w:rPr>
          <w:t>5.14.</w:t>
        </w:r>
        <w:r w:rsidR="0060638D" w:rsidRPr="00984FB6">
          <w:rPr>
            <w:rFonts w:eastAsiaTheme="minorEastAsia" w:cs="Arial"/>
            <w:noProof/>
            <w:sz w:val="22"/>
            <w:szCs w:val="22"/>
          </w:rPr>
          <w:tab/>
        </w:r>
        <w:r w:rsidR="0060638D" w:rsidRPr="00984FB6">
          <w:rPr>
            <w:rStyle w:val="Hyperlink"/>
            <w:rFonts w:cs="Arial"/>
            <w:noProof/>
            <w:sz w:val="22"/>
            <w:szCs w:val="22"/>
          </w:rPr>
          <w:t>Summary</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_Toc468875939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38</w:t>
        </w:r>
        <w:r w:rsidR="0060638D" w:rsidRPr="00984FB6">
          <w:rPr>
            <w:rFonts w:cs="Arial"/>
            <w:noProof/>
            <w:webHidden/>
            <w:sz w:val="22"/>
            <w:szCs w:val="22"/>
          </w:rPr>
          <w:fldChar w:fldCharType="end"/>
        </w:r>
      </w:hyperlink>
    </w:p>
    <w:p w14:paraId="6E0A296E" w14:textId="77777777" w:rsidR="0060638D" w:rsidRPr="00984FB6" w:rsidRDefault="00F32688" w:rsidP="00FF0EE8">
      <w:pPr>
        <w:pStyle w:val="TOC3"/>
        <w:rPr>
          <w:rFonts w:eastAsiaTheme="minorEastAsia" w:cs="Arial"/>
          <w:noProof/>
          <w:sz w:val="22"/>
          <w:szCs w:val="22"/>
        </w:rPr>
      </w:pPr>
      <w:hyperlink w:anchor="_Toc468875940" w:history="1">
        <w:r w:rsidR="0060638D" w:rsidRPr="00984FB6">
          <w:rPr>
            <w:rStyle w:val="Hyperlink"/>
            <w:rFonts w:cs="Arial"/>
            <w:noProof/>
            <w:sz w:val="22"/>
            <w:szCs w:val="22"/>
          </w:rPr>
          <w:t>5.14.1.</w:t>
        </w:r>
        <w:r w:rsidR="0060638D" w:rsidRPr="00984FB6">
          <w:rPr>
            <w:rFonts w:eastAsiaTheme="minorEastAsia" w:cs="Arial"/>
            <w:noProof/>
            <w:sz w:val="22"/>
            <w:szCs w:val="22"/>
          </w:rPr>
          <w:tab/>
        </w:r>
        <w:r w:rsidR="0060638D" w:rsidRPr="00984FB6">
          <w:rPr>
            <w:rStyle w:val="Hyperlink"/>
            <w:rFonts w:cs="Arial"/>
            <w:noProof/>
            <w:sz w:val="22"/>
            <w:szCs w:val="22"/>
          </w:rPr>
          <w:t>Quantified Net Benefit</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_Toc468875940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38</w:t>
        </w:r>
        <w:r w:rsidR="0060638D" w:rsidRPr="00984FB6">
          <w:rPr>
            <w:rFonts w:cs="Arial"/>
            <w:noProof/>
            <w:webHidden/>
            <w:sz w:val="22"/>
            <w:szCs w:val="22"/>
          </w:rPr>
          <w:fldChar w:fldCharType="end"/>
        </w:r>
      </w:hyperlink>
    </w:p>
    <w:p w14:paraId="16E4496A" w14:textId="77777777" w:rsidR="0060638D" w:rsidRPr="00984FB6" w:rsidRDefault="00F32688" w:rsidP="00FF0EE8">
      <w:pPr>
        <w:pStyle w:val="TOC3"/>
        <w:rPr>
          <w:rFonts w:eastAsiaTheme="minorEastAsia" w:cs="Arial"/>
          <w:noProof/>
          <w:sz w:val="22"/>
          <w:szCs w:val="22"/>
        </w:rPr>
      </w:pPr>
      <w:hyperlink w:anchor="_Toc468875941" w:history="1">
        <w:r w:rsidR="0060638D" w:rsidRPr="00984FB6">
          <w:rPr>
            <w:rStyle w:val="Hyperlink"/>
            <w:rFonts w:cs="Arial"/>
            <w:noProof/>
            <w:sz w:val="22"/>
            <w:szCs w:val="22"/>
          </w:rPr>
          <w:t>5.14.2.</w:t>
        </w:r>
        <w:r w:rsidR="0060638D" w:rsidRPr="00984FB6">
          <w:rPr>
            <w:rFonts w:eastAsiaTheme="minorEastAsia" w:cs="Arial"/>
            <w:noProof/>
            <w:sz w:val="22"/>
            <w:szCs w:val="22"/>
          </w:rPr>
          <w:tab/>
        </w:r>
        <w:r w:rsidR="0060638D" w:rsidRPr="00984FB6">
          <w:rPr>
            <w:rStyle w:val="Hyperlink"/>
            <w:rFonts w:cs="Arial"/>
            <w:noProof/>
            <w:sz w:val="22"/>
            <w:szCs w:val="22"/>
          </w:rPr>
          <w:t>Qualitative Benefits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_Toc468875941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39</w:t>
        </w:r>
        <w:r w:rsidR="0060638D" w:rsidRPr="00984FB6">
          <w:rPr>
            <w:rFonts w:cs="Arial"/>
            <w:noProof/>
            <w:webHidden/>
            <w:sz w:val="22"/>
            <w:szCs w:val="22"/>
          </w:rPr>
          <w:fldChar w:fldCharType="end"/>
        </w:r>
      </w:hyperlink>
    </w:p>
    <w:p w14:paraId="4EE12313" w14:textId="77777777" w:rsidR="0060638D" w:rsidRPr="00984FB6" w:rsidRDefault="00F32688" w:rsidP="00FF0EE8">
      <w:pPr>
        <w:pStyle w:val="TOC3"/>
        <w:rPr>
          <w:rFonts w:eastAsiaTheme="minorEastAsia" w:cs="Arial"/>
          <w:noProof/>
          <w:sz w:val="22"/>
          <w:szCs w:val="22"/>
        </w:rPr>
      </w:pPr>
      <w:hyperlink w:anchor="_Toc468875942" w:history="1">
        <w:r w:rsidR="0060638D" w:rsidRPr="00984FB6">
          <w:rPr>
            <w:rStyle w:val="Hyperlink"/>
            <w:rFonts w:cs="Arial"/>
            <w:noProof/>
            <w:sz w:val="22"/>
            <w:szCs w:val="22"/>
          </w:rPr>
          <w:t>5.14.3.</w:t>
        </w:r>
        <w:r w:rsidR="0060638D" w:rsidRPr="00984FB6">
          <w:rPr>
            <w:rFonts w:eastAsiaTheme="minorEastAsia" w:cs="Arial"/>
            <w:noProof/>
            <w:sz w:val="22"/>
            <w:szCs w:val="22"/>
          </w:rPr>
          <w:tab/>
        </w:r>
        <w:r w:rsidR="0060638D" w:rsidRPr="00984FB6">
          <w:rPr>
            <w:rStyle w:val="Hyperlink"/>
            <w:rFonts w:cs="Arial"/>
            <w:noProof/>
            <w:sz w:val="22"/>
            <w:szCs w:val="22"/>
          </w:rPr>
          <w:t>Nonquantified Costs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_Toc468875942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40</w:t>
        </w:r>
        <w:r w:rsidR="0060638D" w:rsidRPr="00984FB6">
          <w:rPr>
            <w:rFonts w:cs="Arial"/>
            <w:noProof/>
            <w:webHidden/>
            <w:sz w:val="22"/>
            <w:szCs w:val="22"/>
          </w:rPr>
          <w:fldChar w:fldCharType="end"/>
        </w:r>
      </w:hyperlink>
    </w:p>
    <w:p w14:paraId="2E0B7941" w14:textId="77777777" w:rsidR="0060638D" w:rsidRPr="00984FB6" w:rsidRDefault="00F32688" w:rsidP="00FF0EE8">
      <w:pPr>
        <w:pStyle w:val="TOC2"/>
        <w:spacing w:line="240" w:lineRule="auto"/>
        <w:rPr>
          <w:rFonts w:eastAsiaTheme="minorEastAsia" w:cs="Arial"/>
          <w:noProof/>
          <w:sz w:val="22"/>
          <w:szCs w:val="22"/>
        </w:rPr>
      </w:pPr>
      <w:hyperlink w:anchor="_Toc468875943" w:history="1">
        <w:r w:rsidR="0060638D" w:rsidRPr="00984FB6">
          <w:rPr>
            <w:rStyle w:val="Hyperlink"/>
            <w:rFonts w:cs="Arial"/>
            <w:noProof/>
            <w:sz w:val="22"/>
            <w:szCs w:val="22"/>
          </w:rPr>
          <w:t>5.15.</w:t>
        </w:r>
        <w:r w:rsidR="0060638D" w:rsidRPr="00984FB6">
          <w:rPr>
            <w:rFonts w:eastAsiaTheme="minorEastAsia" w:cs="Arial"/>
            <w:noProof/>
            <w:sz w:val="22"/>
            <w:szCs w:val="22"/>
          </w:rPr>
          <w:tab/>
        </w:r>
        <w:r w:rsidR="0060638D" w:rsidRPr="00984FB6">
          <w:rPr>
            <w:rStyle w:val="Hyperlink"/>
            <w:rFonts w:cs="Arial"/>
            <w:noProof/>
            <w:sz w:val="22"/>
            <w:szCs w:val="22"/>
          </w:rPr>
          <w:t>Safety Goal Evaluation</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_Toc468875943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40</w:t>
        </w:r>
        <w:r w:rsidR="0060638D" w:rsidRPr="00984FB6">
          <w:rPr>
            <w:rFonts w:cs="Arial"/>
            <w:noProof/>
            <w:webHidden/>
            <w:sz w:val="22"/>
            <w:szCs w:val="22"/>
          </w:rPr>
          <w:fldChar w:fldCharType="end"/>
        </w:r>
      </w:hyperlink>
    </w:p>
    <w:p w14:paraId="093774EE" w14:textId="77777777" w:rsidR="0060638D" w:rsidRPr="00984FB6" w:rsidRDefault="00F32688" w:rsidP="00FF0EE8">
      <w:pPr>
        <w:pStyle w:val="TOC1"/>
        <w:spacing w:line="240" w:lineRule="auto"/>
        <w:rPr>
          <w:rFonts w:eastAsiaTheme="minorEastAsia" w:cs="Arial"/>
          <w:noProof/>
          <w:sz w:val="22"/>
          <w:szCs w:val="22"/>
        </w:rPr>
      </w:pPr>
      <w:hyperlink w:anchor="_Toc468875944" w:history="1">
        <w:r w:rsidR="0060638D" w:rsidRPr="00984FB6">
          <w:rPr>
            <w:rStyle w:val="Hyperlink"/>
            <w:rFonts w:cs="Arial"/>
            <w:noProof/>
            <w:sz w:val="22"/>
            <w:szCs w:val="22"/>
          </w:rPr>
          <w:t>6.</w:t>
        </w:r>
        <w:r w:rsidR="0060638D" w:rsidRPr="00984FB6">
          <w:rPr>
            <w:rFonts w:eastAsiaTheme="minorEastAsia" w:cs="Arial"/>
            <w:noProof/>
            <w:sz w:val="22"/>
            <w:szCs w:val="22"/>
          </w:rPr>
          <w:tab/>
        </w:r>
        <w:r w:rsidR="0060638D" w:rsidRPr="00984FB6">
          <w:rPr>
            <w:rStyle w:val="Hyperlink"/>
            <w:rFonts w:cs="Arial"/>
            <w:noProof/>
            <w:sz w:val="22"/>
            <w:szCs w:val="22"/>
          </w:rPr>
          <w:t>Decision Rationale</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_Toc468875944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40</w:t>
        </w:r>
        <w:r w:rsidR="0060638D" w:rsidRPr="00984FB6">
          <w:rPr>
            <w:rFonts w:cs="Arial"/>
            <w:noProof/>
            <w:webHidden/>
            <w:sz w:val="22"/>
            <w:szCs w:val="22"/>
          </w:rPr>
          <w:fldChar w:fldCharType="end"/>
        </w:r>
      </w:hyperlink>
    </w:p>
    <w:p w14:paraId="2F8D786C" w14:textId="77777777" w:rsidR="0060638D" w:rsidRPr="00984FB6" w:rsidRDefault="00F32688" w:rsidP="00FF0EE8">
      <w:pPr>
        <w:pStyle w:val="TOC1"/>
        <w:spacing w:line="240" w:lineRule="auto"/>
        <w:rPr>
          <w:rFonts w:eastAsiaTheme="minorEastAsia" w:cs="Arial"/>
          <w:noProof/>
          <w:sz w:val="22"/>
          <w:szCs w:val="22"/>
        </w:rPr>
      </w:pPr>
      <w:hyperlink w:anchor="_Toc468875945" w:history="1">
        <w:r w:rsidR="0060638D" w:rsidRPr="00984FB6">
          <w:rPr>
            <w:rStyle w:val="Hyperlink"/>
            <w:rFonts w:cs="Arial"/>
            <w:noProof/>
            <w:sz w:val="22"/>
            <w:szCs w:val="22"/>
          </w:rPr>
          <w:t>7.</w:t>
        </w:r>
        <w:r w:rsidR="0060638D" w:rsidRPr="00984FB6">
          <w:rPr>
            <w:rFonts w:eastAsiaTheme="minorEastAsia" w:cs="Arial"/>
            <w:noProof/>
            <w:sz w:val="22"/>
            <w:szCs w:val="22"/>
          </w:rPr>
          <w:tab/>
        </w:r>
        <w:r w:rsidR="0060638D" w:rsidRPr="00984FB6">
          <w:rPr>
            <w:rStyle w:val="Hyperlink"/>
            <w:rFonts w:cs="Arial"/>
            <w:noProof/>
            <w:sz w:val="22"/>
            <w:szCs w:val="22"/>
          </w:rPr>
          <w:t>Implementation Schedule</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_Toc468875945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42</w:t>
        </w:r>
        <w:r w:rsidR="0060638D" w:rsidRPr="00984FB6">
          <w:rPr>
            <w:rFonts w:cs="Arial"/>
            <w:noProof/>
            <w:webHidden/>
            <w:sz w:val="22"/>
            <w:szCs w:val="22"/>
          </w:rPr>
          <w:fldChar w:fldCharType="end"/>
        </w:r>
      </w:hyperlink>
    </w:p>
    <w:p w14:paraId="61519648" w14:textId="77777777" w:rsidR="0060638D" w:rsidRPr="00984FB6" w:rsidRDefault="00F32688" w:rsidP="00FF0EE8">
      <w:pPr>
        <w:pStyle w:val="TOC1"/>
        <w:spacing w:line="240" w:lineRule="auto"/>
        <w:rPr>
          <w:rFonts w:eastAsiaTheme="minorEastAsia" w:cs="Arial"/>
          <w:noProof/>
          <w:sz w:val="22"/>
          <w:szCs w:val="22"/>
        </w:rPr>
      </w:pPr>
      <w:hyperlink w:anchor="_Toc468875946" w:history="1">
        <w:r w:rsidR="0060638D" w:rsidRPr="00984FB6">
          <w:rPr>
            <w:rStyle w:val="Hyperlink"/>
            <w:rFonts w:cs="Arial"/>
            <w:noProof/>
            <w:sz w:val="22"/>
            <w:szCs w:val="22"/>
          </w:rPr>
          <w:t>8.</w:t>
        </w:r>
        <w:r w:rsidR="0060638D" w:rsidRPr="00984FB6">
          <w:rPr>
            <w:rFonts w:eastAsiaTheme="minorEastAsia" w:cs="Arial"/>
            <w:noProof/>
            <w:sz w:val="22"/>
            <w:szCs w:val="22"/>
          </w:rPr>
          <w:tab/>
        </w:r>
        <w:r w:rsidR="0060638D" w:rsidRPr="00984FB6">
          <w:rPr>
            <w:rStyle w:val="Hyperlink"/>
            <w:rFonts w:cs="Arial"/>
            <w:noProof/>
            <w:sz w:val="22"/>
            <w:szCs w:val="22"/>
          </w:rPr>
          <w:t>Regulatory Guides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_Toc468875946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42</w:t>
        </w:r>
        <w:r w:rsidR="0060638D" w:rsidRPr="00984FB6">
          <w:rPr>
            <w:rFonts w:cs="Arial"/>
            <w:noProof/>
            <w:webHidden/>
            <w:sz w:val="22"/>
            <w:szCs w:val="22"/>
          </w:rPr>
          <w:fldChar w:fldCharType="end"/>
        </w:r>
      </w:hyperlink>
    </w:p>
    <w:p w14:paraId="11FF3A33" w14:textId="581FAB01" w:rsidR="0060638D" w:rsidRPr="00984FB6" w:rsidRDefault="00F32688" w:rsidP="00FF0EE8">
      <w:pPr>
        <w:pStyle w:val="TOC1"/>
        <w:spacing w:line="240" w:lineRule="auto"/>
        <w:rPr>
          <w:rFonts w:eastAsiaTheme="minorEastAsia" w:cs="Arial"/>
          <w:noProof/>
          <w:sz w:val="22"/>
          <w:szCs w:val="22"/>
        </w:rPr>
      </w:pPr>
      <w:hyperlink w:anchor="_Toc468875947" w:history="1">
        <w:r w:rsidR="0060638D" w:rsidRPr="00984FB6">
          <w:rPr>
            <w:rStyle w:val="Hyperlink"/>
            <w:rFonts w:cs="Arial"/>
            <w:noProof/>
            <w:sz w:val="22"/>
            <w:szCs w:val="22"/>
          </w:rPr>
          <w:t>9.</w:t>
        </w:r>
        <w:r w:rsidR="0060638D" w:rsidRPr="00984FB6">
          <w:rPr>
            <w:rFonts w:eastAsiaTheme="minorEastAsia" w:cs="Arial"/>
            <w:noProof/>
            <w:sz w:val="22"/>
            <w:szCs w:val="22"/>
          </w:rPr>
          <w:tab/>
        </w:r>
        <w:r w:rsidR="0060638D" w:rsidRPr="00984FB6">
          <w:rPr>
            <w:rStyle w:val="Hyperlink"/>
            <w:rFonts w:cs="Arial"/>
            <w:noProof/>
            <w:sz w:val="22"/>
            <w:szCs w:val="22"/>
          </w:rPr>
          <w:t>References</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_Toc468875947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43</w:t>
        </w:r>
        <w:r w:rsidR="0060638D" w:rsidRPr="00984FB6">
          <w:rPr>
            <w:rFonts w:cs="Arial"/>
            <w:noProof/>
            <w:webHidden/>
            <w:sz w:val="22"/>
            <w:szCs w:val="22"/>
          </w:rPr>
          <w:fldChar w:fldCharType="end"/>
        </w:r>
      </w:hyperlink>
    </w:p>
    <w:p w14:paraId="07687B8A" w14:textId="77777777" w:rsidR="0060638D" w:rsidRPr="00984FB6" w:rsidRDefault="00F32688" w:rsidP="00FF0EE8">
      <w:pPr>
        <w:pStyle w:val="TOC1"/>
        <w:spacing w:line="240" w:lineRule="auto"/>
        <w:rPr>
          <w:rFonts w:eastAsiaTheme="minorEastAsia" w:cs="Arial"/>
          <w:noProof/>
          <w:sz w:val="22"/>
          <w:szCs w:val="22"/>
        </w:rPr>
      </w:pPr>
      <w:hyperlink w:anchor="_Toc468875948" w:history="1">
        <w:r w:rsidR="0060638D" w:rsidRPr="00984FB6">
          <w:rPr>
            <w:rStyle w:val="Hyperlink"/>
            <w:rFonts w:cs="Arial"/>
            <w:noProof/>
            <w:sz w:val="22"/>
            <w:szCs w:val="22"/>
          </w:rPr>
          <w:t>Appendix A</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_Toc468875948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46</w:t>
        </w:r>
        <w:r w:rsidR="0060638D" w:rsidRPr="00984FB6">
          <w:rPr>
            <w:rFonts w:cs="Arial"/>
            <w:noProof/>
            <w:webHidden/>
            <w:sz w:val="22"/>
            <w:szCs w:val="22"/>
          </w:rPr>
          <w:fldChar w:fldCharType="end"/>
        </w:r>
      </w:hyperlink>
    </w:p>
    <w:p w14:paraId="4E581BC6" w14:textId="77777777" w:rsidR="0060638D" w:rsidRPr="00FF0EE8" w:rsidRDefault="00F32688" w:rsidP="00FF0EE8">
      <w:pPr>
        <w:pStyle w:val="TOC1"/>
        <w:spacing w:line="240" w:lineRule="auto"/>
        <w:rPr>
          <w:rFonts w:asciiTheme="minorHAnsi" w:eastAsiaTheme="minorEastAsia" w:hAnsiTheme="minorHAnsi" w:cstheme="minorBidi"/>
          <w:noProof/>
          <w:sz w:val="22"/>
          <w:szCs w:val="22"/>
        </w:rPr>
      </w:pPr>
      <w:hyperlink w:anchor="_Toc468875949" w:history="1">
        <w:r w:rsidR="0060638D" w:rsidRPr="00984FB6">
          <w:rPr>
            <w:rStyle w:val="Hyperlink"/>
            <w:rFonts w:cs="Arial"/>
            <w:noProof/>
            <w:sz w:val="22"/>
            <w:szCs w:val="22"/>
          </w:rPr>
          <w:t>Appendix B</w:t>
        </w:r>
        <w:r w:rsidR="0060638D" w:rsidRPr="00984FB6">
          <w:rPr>
            <w:rFonts w:cs="Arial"/>
            <w:noProof/>
            <w:webHidden/>
            <w:sz w:val="22"/>
            <w:szCs w:val="22"/>
          </w:rPr>
          <w:tab/>
        </w:r>
        <w:r w:rsidR="0060638D" w:rsidRPr="00984FB6">
          <w:rPr>
            <w:rFonts w:cs="Arial"/>
            <w:noProof/>
            <w:webHidden/>
            <w:sz w:val="22"/>
            <w:szCs w:val="22"/>
          </w:rPr>
          <w:fldChar w:fldCharType="begin"/>
        </w:r>
        <w:r w:rsidR="0060638D" w:rsidRPr="00984FB6">
          <w:rPr>
            <w:rFonts w:cs="Arial"/>
            <w:noProof/>
            <w:webHidden/>
            <w:sz w:val="22"/>
            <w:szCs w:val="22"/>
          </w:rPr>
          <w:instrText xml:space="preserve"> PAGEREF _Toc468875949 \h </w:instrText>
        </w:r>
        <w:r w:rsidR="0060638D" w:rsidRPr="00984FB6">
          <w:rPr>
            <w:rFonts w:cs="Arial"/>
            <w:noProof/>
            <w:webHidden/>
            <w:sz w:val="22"/>
            <w:szCs w:val="22"/>
          </w:rPr>
        </w:r>
        <w:r w:rsidR="0060638D" w:rsidRPr="00984FB6">
          <w:rPr>
            <w:rFonts w:cs="Arial"/>
            <w:noProof/>
            <w:webHidden/>
            <w:sz w:val="22"/>
            <w:szCs w:val="22"/>
          </w:rPr>
          <w:fldChar w:fldCharType="separate"/>
        </w:r>
        <w:r w:rsidR="00FD3AB6">
          <w:rPr>
            <w:rFonts w:cs="Arial"/>
            <w:noProof/>
            <w:webHidden/>
            <w:sz w:val="22"/>
            <w:szCs w:val="22"/>
          </w:rPr>
          <w:t>48</w:t>
        </w:r>
        <w:r w:rsidR="0060638D" w:rsidRPr="00984FB6">
          <w:rPr>
            <w:rFonts w:cs="Arial"/>
            <w:noProof/>
            <w:webHidden/>
            <w:sz w:val="22"/>
            <w:szCs w:val="22"/>
          </w:rPr>
          <w:fldChar w:fldCharType="end"/>
        </w:r>
      </w:hyperlink>
    </w:p>
    <w:p w14:paraId="732B93F8" w14:textId="77777777" w:rsidR="00D67B90" w:rsidRPr="00FF0EE8" w:rsidRDefault="00780F91" w:rsidP="00FF0EE8">
      <w:pPr>
        <w:spacing w:after="60" w:line="240" w:lineRule="auto"/>
        <w:rPr>
          <w:bCs/>
        </w:rPr>
      </w:pPr>
      <w:r w:rsidRPr="00FF0EE8">
        <w:rPr>
          <w:bCs/>
        </w:rPr>
        <w:fldChar w:fldCharType="end"/>
      </w:r>
    </w:p>
    <w:p w14:paraId="69D8975D" w14:textId="77777777" w:rsidR="00780F91" w:rsidRPr="00D67B90" w:rsidRDefault="00780F91" w:rsidP="00FF0EE8">
      <w:pPr>
        <w:spacing w:line="240" w:lineRule="auto"/>
        <w:jc w:val="center"/>
        <w:rPr>
          <w:b/>
          <w:bCs/>
          <w:sz w:val="20"/>
          <w:szCs w:val="20"/>
        </w:rPr>
        <w:sectPr w:rsidR="00780F91" w:rsidRPr="00D67B90" w:rsidSect="001C2348">
          <w:headerReference w:type="default" r:id="rId19"/>
          <w:footerReference w:type="default" r:id="rId20"/>
          <w:pgSz w:w="12240" w:h="15840" w:code="1"/>
          <w:pgMar w:top="1440" w:right="1800" w:bottom="1440" w:left="1440" w:header="720" w:footer="720" w:gutter="0"/>
          <w:pgNumType w:fmt="lowerRoman" w:start="2"/>
          <w:cols w:space="720"/>
          <w:noEndnote/>
        </w:sectPr>
      </w:pPr>
    </w:p>
    <w:p w14:paraId="3533B7CF" w14:textId="77777777" w:rsidR="000B5B2C" w:rsidRDefault="000B5B2C" w:rsidP="00FF0EE8">
      <w:pPr>
        <w:pStyle w:val="Heading1"/>
        <w:numPr>
          <w:ilvl w:val="0"/>
          <w:numId w:val="0"/>
        </w:numPr>
        <w:spacing w:line="240" w:lineRule="auto"/>
        <w:ind w:left="540" w:hanging="540"/>
      </w:pPr>
      <w:bookmarkStart w:id="6" w:name="_Toc462224932"/>
      <w:bookmarkStart w:id="7" w:name="_Toc468875891"/>
      <w:r>
        <w:t>List of Figures</w:t>
      </w:r>
      <w:bookmarkEnd w:id="6"/>
      <w:bookmarkEnd w:id="7"/>
    </w:p>
    <w:p w14:paraId="1C1F3EB1" w14:textId="77777777" w:rsidR="000B5B2C" w:rsidRDefault="000B5B2C" w:rsidP="00FF0EE8">
      <w:pPr>
        <w:autoSpaceDE/>
        <w:autoSpaceDN/>
        <w:adjustRightInd/>
        <w:spacing w:line="240" w:lineRule="auto"/>
      </w:pPr>
    </w:p>
    <w:p w14:paraId="75B4D281" w14:textId="0C8F207A" w:rsidR="00C07454" w:rsidRDefault="000B5B2C" w:rsidP="00FF0EE8">
      <w:pPr>
        <w:pStyle w:val="TableofFigures"/>
        <w:tabs>
          <w:tab w:val="right" w:leader="dot" w:pos="9350"/>
        </w:tabs>
        <w:spacing w:line="240" w:lineRule="auto"/>
        <w:rPr>
          <w:rFonts w:asciiTheme="minorHAnsi" w:eastAsiaTheme="minorEastAsia" w:hAnsiTheme="minorHAnsi" w:cstheme="minorBidi"/>
          <w:noProof/>
        </w:rPr>
      </w:pPr>
      <w:r>
        <w:fldChar w:fldCharType="begin"/>
      </w:r>
      <w:r>
        <w:instrText xml:space="preserve"> TOC \h \z \c "Figure" </w:instrText>
      </w:r>
      <w:r>
        <w:fldChar w:fldCharType="separate"/>
      </w:r>
      <w:hyperlink w:anchor="_Toc467508456" w:history="1">
        <w:r w:rsidR="00C07454" w:rsidRPr="001B7D0A">
          <w:rPr>
            <w:rStyle w:val="Hyperlink"/>
            <w:noProof/>
          </w:rPr>
          <w:t>Figure 1  Industry implementation costs (7-percent NPV)</w:t>
        </w:r>
        <w:r w:rsidR="00C07454">
          <w:rPr>
            <w:noProof/>
            <w:webHidden/>
          </w:rPr>
          <w:tab/>
        </w:r>
        <w:r w:rsidR="00C07454">
          <w:rPr>
            <w:noProof/>
            <w:webHidden/>
          </w:rPr>
          <w:fldChar w:fldCharType="begin"/>
        </w:r>
        <w:r w:rsidR="00C07454">
          <w:rPr>
            <w:noProof/>
            <w:webHidden/>
          </w:rPr>
          <w:instrText xml:space="preserve"> PAGEREF _Toc467508456 \h </w:instrText>
        </w:r>
        <w:r w:rsidR="00C07454">
          <w:rPr>
            <w:noProof/>
            <w:webHidden/>
          </w:rPr>
        </w:r>
        <w:r w:rsidR="00C07454">
          <w:rPr>
            <w:noProof/>
            <w:webHidden/>
          </w:rPr>
          <w:fldChar w:fldCharType="separate"/>
        </w:r>
        <w:r w:rsidR="00FD3AB6">
          <w:rPr>
            <w:noProof/>
            <w:webHidden/>
          </w:rPr>
          <w:t>34</w:t>
        </w:r>
        <w:r w:rsidR="00C07454">
          <w:rPr>
            <w:noProof/>
            <w:webHidden/>
          </w:rPr>
          <w:fldChar w:fldCharType="end"/>
        </w:r>
      </w:hyperlink>
    </w:p>
    <w:p w14:paraId="34FCA6A2" w14:textId="69DDAED3" w:rsidR="00C07454" w:rsidRDefault="00F32688" w:rsidP="00FF0EE8">
      <w:pPr>
        <w:pStyle w:val="TableofFigures"/>
        <w:tabs>
          <w:tab w:val="right" w:leader="dot" w:pos="9350"/>
        </w:tabs>
        <w:spacing w:line="240" w:lineRule="auto"/>
        <w:rPr>
          <w:rFonts w:asciiTheme="minorHAnsi" w:eastAsiaTheme="minorEastAsia" w:hAnsiTheme="minorHAnsi" w:cstheme="minorBidi"/>
          <w:noProof/>
        </w:rPr>
      </w:pPr>
      <w:hyperlink w:anchor="_Toc467508457" w:history="1">
        <w:r w:rsidR="00C07454" w:rsidRPr="001B7D0A">
          <w:rPr>
            <w:rStyle w:val="Hyperlink"/>
            <w:noProof/>
          </w:rPr>
          <w:t>Figure 2  Industry operations costs (7-percent NPV)</w:t>
        </w:r>
        <w:r w:rsidR="00C07454">
          <w:rPr>
            <w:noProof/>
            <w:webHidden/>
          </w:rPr>
          <w:tab/>
        </w:r>
        <w:r w:rsidR="00C07454">
          <w:rPr>
            <w:noProof/>
            <w:webHidden/>
          </w:rPr>
          <w:fldChar w:fldCharType="begin"/>
        </w:r>
        <w:r w:rsidR="00C07454">
          <w:rPr>
            <w:noProof/>
            <w:webHidden/>
          </w:rPr>
          <w:instrText xml:space="preserve"> PAGEREF _Toc467508457 \h </w:instrText>
        </w:r>
        <w:r w:rsidR="00C07454">
          <w:rPr>
            <w:noProof/>
            <w:webHidden/>
          </w:rPr>
        </w:r>
        <w:r w:rsidR="00C07454">
          <w:rPr>
            <w:noProof/>
            <w:webHidden/>
          </w:rPr>
          <w:fldChar w:fldCharType="separate"/>
        </w:r>
        <w:r w:rsidR="00FD3AB6">
          <w:rPr>
            <w:noProof/>
            <w:webHidden/>
          </w:rPr>
          <w:t>34</w:t>
        </w:r>
        <w:r w:rsidR="00C07454">
          <w:rPr>
            <w:noProof/>
            <w:webHidden/>
          </w:rPr>
          <w:fldChar w:fldCharType="end"/>
        </w:r>
      </w:hyperlink>
    </w:p>
    <w:p w14:paraId="5B9173C9" w14:textId="7888D1EE" w:rsidR="00C07454" w:rsidRDefault="00F32688" w:rsidP="00FF0EE8">
      <w:pPr>
        <w:pStyle w:val="TableofFigures"/>
        <w:tabs>
          <w:tab w:val="right" w:leader="dot" w:pos="9350"/>
        </w:tabs>
        <w:spacing w:line="240" w:lineRule="auto"/>
        <w:rPr>
          <w:rFonts w:asciiTheme="minorHAnsi" w:eastAsiaTheme="minorEastAsia" w:hAnsiTheme="minorHAnsi" w:cstheme="minorBidi"/>
          <w:noProof/>
        </w:rPr>
      </w:pPr>
      <w:hyperlink w:anchor="_Toc467508458" w:history="1">
        <w:r w:rsidR="00C07454" w:rsidRPr="001B7D0A">
          <w:rPr>
            <w:rStyle w:val="Hyperlink"/>
            <w:noProof/>
          </w:rPr>
          <w:t>Figure 3  NRC operations averted costs (7</w:t>
        </w:r>
        <w:r w:rsidR="00C07454" w:rsidRPr="001B7D0A">
          <w:rPr>
            <w:rStyle w:val="Hyperlink"/>
            <w:noProof/>
          </w:rPr>
          <w:noBreakHyphen/>
          <w:t>percent discount rate)</w:t>
        </w:r>
        <w:r w:rsidR="00C07454">
          <w:rPr>
            <w:noProof/>
            <w:webHidden/>
          </w:rPr>
          <w:tab/>
        </w:r>
        <w:r w:rsidR="00C07454">
          <w:rPr>
            <w:noProof/>
            <w:webHidden/>
          </w:rPr>
          <w:fldChar w:fldCharType="begin"/>
        </w:r>
        <w:r w:rsidR="00C07454">
          <w:rPr>
            <w:noProof/>
            <w:webHidden/>
          </w:rPr>
          <w:instrText xml:space="preserve"> PAGEREF _Toc467508458 \h </w:instrText>
        </w:r>
        <w:r w:rsidR="00C07454">
          <w:rPr>
            <w:noProof/>
            <w:webHidden/>
          </w:rPr>
        </w:r>
        <w:r w:rsidR="00C07454">
          <w:rPr>
            <w:noProof/>
            <w:webHidden/>
          </w:rPr>
          <w:fldChar w:fldCharType="separate"/>
        </w:r>
        <w:r w:rsidR="00FD3AB6">
          <w:rPr>
            <w:noProof/>
            <w:webHidden/>
          </w:rPr>
          <w:t>35</w:t>
        </w:r>
        <w:r w:rsidR="00C07454">
          <w:rPr>
            <w:noProof/>
            <w:webHidden/>
          </w:rPr>
          <w:fldChar w:fldCharType="end"/>
        </w:r>
      </w:hyperlink>
    </w:p>
    <w:p w14:paraId="7613C52D" w14:textId="33EA8C46" w:rsidR="00C07454" w:rsidRDefault="00F32688" w:rsidP="00FF0EE8">
      <w:pPr>
        <w:pStyle w:val="TableofFigures"/>
        <w:tabs>
          <w:tab w:val="right" w:leader="dot" w:pos="9350"/>
        </w:tabs>
        <w:spacing w:line="240" w:lineRule="auto"/>
        <w:rPr>
          <w:rFonts w:asciiTheme="minorHAnsi" w:eastAsiaTheme="minorEastAsia" w:hAnsiTheme="minorHAnsi" w:cstheme="minorBidi"/>
          <w:noProof/>
        </w:rPr>
      </w:pPr>
      <w:hyperlink w:anchor="_Toc467508459" w:history="1">
        <w:r w:rsidR="00C07454" w:rsidRPr="001B7D0A">
          <w:rPr>
            <w:rStyle w:val="Hyperlink"/>
            <w:noProof/>
          </w:rPr>
          <w:t>Figure 4  Total (7</w:t>
        </w:r>
        <w:r w:rsidR="00C07454" w:rsidRPr="001B7D0A">
          <w:rPr>
            <w:rStyle w:val="Hyperlink"/>
            <w:noProof/>
          </w:rPr>
          <w:noBreakHyphen/>
          <w:t>percent discount rate)</w:t>
        </w:r>
        <w:r w:rsidR="00C07454">
          <w:rPr>
            <w:noProof/>
            <w:webHidden/>
          </w:rPr>
          <w:tab/>
        </w:r>
        <w:r w:rsidR="00C07454">
          <w:rPr>
            <w:noProof/>
            <w:webHidden/>
          </w:rPr>
          <w:fldChar w:fldCharType="begin"/>
        </w:r>
        <w:r w:rsidR="00C07454">
          <w:rPr>
            <w:noProof/>
            <w:webHidden/>
          </w:rPr>
          <w:instrText xml:space="preserve"> PAGEREF _Toc467508459 \h </w:instrText>
        </w:r>
        <w:r w:rsidR="00C07454">
          <w:rPr>
            <w:noProof/>
            <w:webHidden/>
          </w:rPr>
        </w:r>
        <w:r w:rsidR="00C07454">
          <w:rPr>
            <w:noProof/>
            <w:webHidden/>
          </w:rPr>
          <w:fldChar w:fldCharType="separate"/>
        </w:r>
        <w:r w:rsidR="00FD3AB6">
          <w:rPr>
            <w:noProof/>
            <w:webHidden/>
          </w:rPr>
          <w:t>35</w:t>
        </w:r>
        <w:r w:rsidR="00C07454">
          <w:rPr>
            <w:noProof/>
            <w:webHidden/>
          </w:rPr>
          <w:fldChar w:fldCharType="end"/>
        </w:r>
      </w:hyperlink>
    </w:p>
    <w:p w14:paraId="6F804369" w14:textId="22B7B6C5" w:rsidR="00C07454" w:rsidRDefault="00F32688" w:rsidP="00FF0EE8">
      <w:pPr>
        <w:pStyle w:val="TableofFigures"/>
        <w:tabs>
          <w:tab w:val="right" w:leader="dot" w:pos="9350"/>
        </w:tabs>
        <w:spacing w:line="240" w:lineRule="auto"/>
        <w:ind w:left="900" w:hanging="900"/>
        <w:rPr>
          <w:rFonts w:asciiTheme="minorHAnsi" w:eastAsiaTheme="minorEastAsia" w:hAnsiTheme="minorHAnsi" w:cstheme="minorBidi"/>
          <w:noProof/>
        </w:rPr>
      </w:pPr>
      <w:hyperlink w:anchor="_Toc467508460" w:history="1">
        <w:r w:rsidR="00C07454" w:rsidRPr="001B7D0A">
          <w:rPr>
            <w:rStyle w:val="Hyperlink"/>
            <w:noProof/>
          </w:rPr>
          <w:t>Figure 5  Net benefit (cost) tornado diagram based on 7-percent discount rate—inputs ranked by effect on output mean</w:t>
        </w:r>
        <w:r w:rsidR="00C07454">
          <w:rPr>
            <w:noProof/>
            <w:webHidden/>
          </w:rPr>
          <w:tab/>
        </w:r>
        <w:r w:rsidR="00C07454">
          <w:rPr>
            <w:noProof/>
            <w:webHidden/>
          </w:rPr>
          <w:fldChar w:fldCharType="begin"/>
        </w:r>
        <w:r w:rsidR="00C07454">
          <w:rPr>
            <w:noProof/>
            <w:webHidden/>
          </w:rPr>
          <w:instrText xml:space="preserve"> PAGEREF _Toc467508460 \h </w:instrText>
        </w:r>
        <w:r w:rsidR="00C07454">
          <w:rPr>
            <w:noProof/>
            <w:webHidden/>
          </w:rPr>
        </w:r>
        <w:r w:rsidR="00C07454">
          <w:rPr>
            <w:noProof/>
            <w:webHidden/>
          </w:rPr>
          <w:fldChar w:fldCharType="separate"/>
        </w:r>
        <w:r w:rsidR="00FD3AB6">
          <w:rPr>
            <w:noProof/>
            <w:webHidden/>
          </w:rPr>
          <w:t>37</w:t>
        </w:r>
        <w:r w:rsidR="00C07454">
          <w:rPr>
            <w:noProof/>
            <w:webHidden/>
          </w:rPr>
          <w:fldChar w:fldCharType="end"/>
        </w:r>
      </w:hyperlink>
    </w:p>
    <w:p w14:paraId="26A6FAEC" w14:textId="77777777" w:rsidR="000B5B2C" w:rsidRDefault="000B5B2C" w:rsidP="00FF0EE8">
      <w:pPr>
        <w:spacing w:after="60" w:line="240" w:lineRule="auto"/>
        <w:ind w:left="1080" w:hanging="1080"/>
      </w:pPr>
      <w:r>
        <w:fldChar w:fldCharType="end"/>
      </w:r>
    </w:p>
    <w:p w14:paraId="6EF4F93D" w14:textId="77777777" w:rsidR="000B5B2C" w:rsidRDefault="000B5B2C" w:rsidP="00FF0EE8">
      <w:pPr>
        <w:autoSpaceDE/>
        <w:autoSpaceDN/>
        <w:adjustRightInd/>
        <w:spacing w:line="240" w:lineRule="auto"/>
        <w:rPr>
          <w:rFonts w:eastAsiaTheme="majorEastAsia"/>
          <w:b/>
          <w:bCs/>
          <w:color w:val="000000" w:themeColor="text1"/>
          <w:sz w:val="24"/>
          <w:szCs w:val="28"/>
        </w:rPr>
      </w:pPr>
      <w:r>
        <w:br w:type="page"/>
      </w:r>
    </w:p>
    <w:p w14:paraId="470A7A44" w14:textId="77777777" w:rsidR="001C2348" w:rsidRDefault="001C2348" w:rsidP="00FF0EE8">
      <w:pPr>
        <w:pStyle w:val="Heading1"/>
        <w:numPr>
          <w:ilvl w:val="0"/>
          <w:numId w:val="0"/>
        </w:numPr>
        <w:spacing w:line="240" w:lineRule="auto"/>
        <w:ind w:left="540" w:hanging="540"/>
      </w:pPr>
      <w:bookmarkStart w:id="8" w:name="_Toc462224933"/>
      <w:bookmarkStart w:id="9" w:name="_Toc468875892"/>
      <w:r>
        <w:t>List of Tables</w:t>
      </w:r>
      <w:bookmarkEnd w:id="8"/>
      <w:bookmarkEnd w:id="9"/>
    </w:p>
    <w:p w14:paraId="78016C20" w14:textId="77777777" w:rsidR="009E5772" w:rsidRDefault="009E5772" w:rsidP="00FF0EE8">
      <w:pPr>
        <w:spacing w:line="240" w:lineRule="auto"/>
      </w:pPr>
    </w:p>
    <w:p w14:paraId="699DF744" w14:textId="4B0823D7" w:rsidR="00C07454" w:rsidRDefault="00811154" w:rsidP="00FF0EE8">
      <w:pPr>
        <w:pStyle w:val="TableofFigures"/>
        <w:tabs>
          <w:tab w:val="right" w:leader="dot" w:pos="9350"/>
        </w:tabs>
        <w:spacing w:line="240" w:lineRule="auto"/>
        <w:ind w:left="990" w:hanging="990"/>
        <w:rPr>
          <w:rFonts w:asciiTheme="minorHAnsi" w:eastAsiaTheme="minorEastAsia" w:hAnsiTheme="minorHAnsi" w:cstheme="minorBidi"/>
          <w:noProof/>
        </w:rPr>
      </w:pPr>
      <w:r>
        <w:fldChar w:fldCharType="begin"/>
      </w:r>
      <w:r>
        <w:instrText xml:space="preserve"> TOC \h \z \c "Table" </w:instrText>
      </w:r>
      <w:r>
        <w:fldChar w:fldCharType="separate"/>
      </w:r>
      <w:hyperlink w:anchor="_Toc467508490" w:history="1">
        <w:r w:rsidR="00C07454" w:rsidRPr="00C057C0">
          <w:rPr>
            <w:rStyle w:val="Hyperlink"/>
            <w:noProof/>
          </w:rPr>
          <w:t>Table 1  CPI-U, U.S. City Average</w:t>
        </w:r>
        <w:r w:rsidR="00C07454">
          <w:rPr>
            <w:noProof/>
            <w:webHidden/>
          </w:rPr>
          <w:tab/>
        </w:r>
        <w:r w:rsidR="00C07454">
          <w:rPr>
            <w:noProof/>
            <w:webHidden/>
          </w:rPr>
          <w:fldChar w:fldCharType="begin"/>
        </w:r>
        <w:r w:rsidR="00C07454">
          <w:rPr>
            <w:noProof/>
            <w:webHidden/>
          </w:rPr>
          <w:instrText xml:space="preserve"> PAGEREF _Toc467508490 \h </w:instrText>
        </w:r>
        <w:r w:rsidR="00C07454">
          <w:rPr>
            <w:noProof/>
            <w:webHidden/>
          </w:rPr>
        </w:r>
        <w:r w:rsidR="00C07454">
          <w:rPr>
            <w:noProof/>
            <w:webHidden/>
          </w:rPr>
          <w:fldChar w:fldCharType="separate"/>
        </w:r>
        <w:r w:rsidR="00FD3AB6">
          <w:rPr>
            <w:noProof/>
            <w:webHidden/>
          </w:rPr>
          <w:t>9</w:t>
        </w:r>
        <w:r w:rsidR="00C07454">
          <w:rPr>
            <w:noProof/>
            <w:webHidden/>
          </w:rPr>
          <w:fldChar w:fldCharType="end"/>
        </w:r>
      </w:hyperlink>
    </w:p>
    <w:p w14:paraId="6C23DE6A" w14:textId="1253CCFE"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491" w:history="1">
        <w:r w:rsidR="00C07454" w:rsidRPr="00C057C0">
          <w:rPr>
            <w:rStyle w:val="Hyperlink"/>
            <w:noProof/>
          </w:rPr>
          <w:t>Table 2  Position Titles and Occupations</w:t>
        </w:r>
        <w:r w:rsidR="00C07454">
          <w:rPr>
            <w:noProof/>
            <w:webHidden/>
          </w:rPr>
          <w:tab/>
        </w:r>
        <w:r w:rsidR="00C07454">
          <w:rPr>
            <w:noProof/>
            <w:webHidden/>
          </w:rPr>
          <w:fldChar w:fldCharType="begin"/>
        </w:r>
        <w:r w:rsidR="00C07454">
          <w:rPr>
            <w:noProof/>
            <w:webHidden/>
          </w:rPr>
          <w:instrText xml:space="preserve"> PAGEREF _Toc467508491 \h </w:instrText>
        </w:r>
        <w:r w:rsidR="00C07454">
          <w:rPr>
            <w:noProof/>
            <w:webHidden/>
          </w:rPr>
        </w:r>
        <w:r w:rsidR="00C07454">
          <w:rPr>
            <w:noProof/>
            <w:webHidden/>
          </w:rPr>
          <w:fldChar w:fldCharType="separate"/>
        </w:r>
        <w:r w:rsidR="00FD3AB6">
          <w:rPr>
            <w:noProof/>
            <w:webHidden/>
          </w:rPr>
          <w:t>10</w:t>
        </w:r>
        <w:r w:rsidR="00C07454">
          <w:rPr>
            <w:noProof/>
            <w:webHidden/>
          </w:rPr>
          <w:fldChar w:fldCharType="end"/>
        </w:r>
      </w:hyperlink>
    </w:p>
    <w:p w14:paraId="37188C3C" w14:textId="33EBF69A"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492" w:history="1">
        <w:r w:rsidR="00C07454" w:rsidRPr="00C057C0">
          <w:rPr>
            <w:rStyle w:val="Hyperlink"/>
            <w:noProof/>
          </w:rPr>
          <w:t>Table 3  Dollar per Person-Rem Conversion Factor Sensitivity Values</w:t>
        </w:r>
        <w:r w:rsidR="00C07454">
          <w:rPr>
            <w:noProof/>
            <w:webHidden/>
          </w:rPr>
          <w:tab/>
        </w:r>
        <w:r w:rsidR="00C07454">
          <w:rPr>
            <w:noProof/>
            <w:webHidden/>
          </w:rPr>
          <w:fldChar w:fldCharType="begin"/>
        </w:r>
        <w:r w:rsidR="00C07454">
          <w:rPr>
            <w:noProof/>
            <w:webHidden/>
          </w:rPr>
          <w:instrText xml:space="preserve"> PAGEREF _Toc467508492 \h </w:instrText>
        </w:r>
        <w:r w:rsidR="00C07454">
          <w:rPr>
            <w:noProof/>
            <w:webHidden/>
          </w:rPr>
        </w:r>
        <w:r w:rsidR="00C07454">
          <w:rPr>
            <w:noProof/>
            <w:webHidden/>
          </w:rPr>
          <w:fldChar w:fldCharType="separate"/>
        </w:r>
        <w:r w:rsidR="00FD3AB6">
          <w:rPr>
            <w:noProof/>
            <w:webHidden/>
          </w:rPr>
          <w:t>13</w:t>
        </w:r>
        <w:r w:rsidR="00C07454">
          <w:rPr>
            <w:noProof/>
            <w:webHidden/>
          </w:rPr>
          <w:fldChar w:fldCharType="end"/>
        </w:r>
      </w:hyperlink>
    </w:p>
    <w:p w14:paraId="43C899DC" w14:textId="7E6052F9"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493" w:history="1">
        <w:r w:rsidR="00C07454" w:rsidRPr="00C057C0">
          <w:rPr>
            <w:rStyle w:val="Hyperlink"/>
            <w:noProof/>
          </w:rPr>
          <w:t>Table 4  Average Wholesale Electricity Price with a Nuclear Power Plant Outage</w:t>
        </w:r>
        <w:r w:rsidR="00C07454">
          <w:rPr>
            <w:noProof/>
            <w:webHidden/>
          </w:rPr>
          <w:tab/>
        </w:r>
        <w:r w:rsidR="00C07454">
          <w:rPr>
            <w:noProof/>
            <w:webHidden/>
          </w:rPr>
          <w:fldChar w:fldCharType="begin"/>
        </w:r>
        <w:r w:rsidR="00C07454">
          <w:rPr>
            <w:noProof/>
            <w:webHidden/>
          </w:rPr>
          <w:instrText xml:space="preserve"> PAGEREF _Toc467508493 \h </w:instrText>
        </w:r>
        <w:r w:rsidR="00C07454">
          <w:rPr>
            <w:noProof/>
            <w:webHidden/>
          </w:rPr>
        </w:r>
        <w:r w:rsidR="00C07454">
          <w:rPr>
            <w:noProof/>
            <w:webHidden/>
          </w:rPr>
          <w:fldChar w:fldCharType="separate"/>
        </w:r>
        <w:r w:rsidR="00FD3AB6">
          <w:rPr>
            <w:noProof/>
            <w:webHidden/>
          </w:rPr>
          <w:t>13</w:t>
        </w:r>
        <w:r w:rsidR="00C07454">
          <w:rPr>
            <w:noProof/>
            <w:webHidden/>
          </w:rPr>
          <w:fldChar w:fldCharType="end"/>
        </w:r>
      </w:hyperlink>
    </w:p>
    <w:p w14:paraId="01C37261" w14:textId="505C2347"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494" w:history="1">
        <w:r w:rsidR="00C07454" w:rsidRPr="00C057C0">
          <w:rPr>
            <w:rStyle w:val="Hyperlink"/>
            <w:noProof/>
          </w:rPr>
          <w:t>Table 5  Estimated Replacement Power Hourly Costs for a Typical BWR</w:t>
        </w:r>
        <w:r w:rsidR="00C07454">
          <w:rPr>
            <w:noProof/>
            <w:webHidden/>
          </w:rPr>
          <w:tab/>
        </w:r>
        <w:r w:rsidR="00C07454">
          <w:rPr>
            <w:noProof/>
            <w:webHidden/>
          </w:rPr>
          <w:fldChar w:fldCharType="begin"/>
        </w:r>
        <w:r w:rsidR="00C07454">
          <w:rPr>
            <w:noProof/>
            <w:webHidden/>
          </w:rPr>
          <w:instrText xml:space="preserve"> PAGEREF _Toc467508494 \h </w:instrText>
        </w:r>
        <w:r w:rsidR="00C07454">
          <w:rPr>
            <w:noProof/>
            <w:webHidden/>
          </w:rPr>
        </w:r>
        <w:r w:rsidR="00C07454">
          <w:rPr>
            <w:noProof/>
            <w:webHidden/>
          </w:rPr>
          <w:fldChar w:fldCharType="separate"/>
        </w:r>
        <w:r w:rsidR="00FD3AB6">
          <w:rPr>
            <w:noProof/>
            <w:webHidden/>
          </w:rPr>
          <w:t>14</w:t>
        </w:r>
        <w:r w:rsidR="00C07454">
          <w:rPr>
            <w:noProof/>
            <w:webHidden/>
          </w:rPr>
          <w:fldChar w:fldCharType="end"/>
        </w:r>
      </w:hyperlink>
    </w:p>
    <w:p w14:paraId="4207A477" w14:textId="79C22857"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495" w:history="1">
        <w:r w:rsidR="00C07454" w:rsidRPr="00C057C0">
          <w:rPr>
            <w:rStyle w:val="Hyperlink"/>
            <w:noProof/>
          </w:rPr>
          <w:t>Table 6  List of Conditioned Code Cases</w:t>
        </w:r>
        <w:r w:rsidR="00C07454">
          <w:rPr>
            <w:noProof/>
            <w:webHidden/>
          </w:rPr>
          <w:tab/>
        </w:r>
        <w:r w:rsidR="00C07454">
          <w:rPr>
            <w:noProof/>
            <w:webHidden/>
          </w:rPr>
          <w:fldChar w:fldCharType="begin"/>
        </w:r>
        <w:r w:rsidR="00C07454">
          <w:rPr>
            <w:noProof/>
            <w:webHidden/>
          </w:rPr>
          <w:instrText xml:space="preserve"> PAGEREF _Toc467508495 \h </w:instrText>
        </w:r>
        <w:r w:rsidR="00C07454">
          <w:rPr>
            <w:noProof/>
            <w:webHidden/>
          </w:rPr>
        </w:r>
        <w:r w:rsidR="00C07454">
          <w:rPr>
            <w:noProof/>
            <w:webHidden/>
          </w:rPr>
          <w:fldChar w:fldCharType="separate"/>
        </w:r>
        <w:r w:rsidR="00FD3AB6">
          <w:rPr>
            <w:noProof/>
            <w:webHidden/>
          </w:rPr>
          <w:t>15</w:t>
        </w:r>
        <w:r w:rsidR="00C07454">
          <w:rPr>
            <w:noProof/>
            <w:webHidden/>
          </w:rPr>
          <w:fldChar w:fldCharType="end"/>
        </w:r>
      </w:hyperlink>
    </w:p>
    <w:p w14:paraId="3A3D5009" w14:textId="289291BC"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496" w:history="1">
        <w:r w:rsidR="00C07454" w:rsidRPr="00C057C0">
          <w:rPr>
            <w:rStyle w:val="Hyperlink"/>
            <w:noProof/>
          </w:rPr>
          <w:t>Table 7  Occupational Health Impacts</w:t>
        </w:r>
        <w:r w:rsidR="00C07454">
          <w:rPr>
            <w:noProof/>
            <w:webHidden/>
          </w:rPr>
          <w:tab/>
        </w:r>
        <w:r w:rsidR="00C07454">
          <w:rPr>
            <w:noProof/>
            <w:webHidden/>
          </w:rPr>
          <w:fldChar w:fldCharType="begin"/>
        </w:r>
        <w:r w:rsidR="00C07454">
          <w:rPr>
            <w:noProof/>
            <w:webHidden/>
          </w:rPr>
          <w:instrText xml:space="preserve"> PAGEREF _Toc467508496 \h </w:instrText>
        </w:r>
        <w:r w:rsidR="00C07454">
          <w:rPr>
            <w:noProof/>
            <w:webHidden/>
          </w:rPr>
        </w:r>
        <w:r w:rsidR="00C07454">
          <w:rPr>
            <w:noProof/>
            <w:webHidden/>
          </w:rPr>
          <w:fldChar w:fldCharType="separate"/>
        </w:r>
        <w:r w:rsidR="00FD3AB6">
          <w:rPr>
            <w:noProof/>
            <w:webHidden/>
          </w:rPr>
          <w:t>21</w:t>
        </w:r>
        <w:r w:rsidR="00C07454">
          <w:rPr>
            <w:noProof/>
            <w:webHidden/>
          </w:rPr>
          <w:fldChar w:fldCharType="end"/>
        </w:r>
      </w:hyperlink>
    </w:p>
    <w:p w14:paraId="5D343BD7" w14:textId="4D62CE25"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497" w:history="1">
        <w:r w:rsidR="00C07454" w:rsidRPr="00C057C0">
          <w:rPr>
            <w:rStyle w:val="Hyperlink"/>
            <w:noProof/>
          </w:rPr>
          <w:t>Table 8  Code Case 795 Short-Term Replacement Power Costs</w:t>
        </w:r>
        <w:r w:rsidR="00C07454">
          <w:rPr>
            <w:noProof/>
            <w:webHidden/>
          </w:rPr>
          <w:tab/>
        </w:r>
        <w:r w:rsidR="00C07454">
          <w:rPr>
            <w:noProof/>
            <w:webHidden/>
          </w:rPr>
          <w:fldChar w:fldCharType="begin"/>
        </w:r>
        <w:r w:rsidR="00C07454">
          <w:rPr>
            <w:noProof/>
            <w:webHidden/>
          </w:rPr>
          <w:instrText xml:space="preserve"> PAGEREF _Toc467508497 \h </w:instrText>
        </w:r>
        <w:r w:rsidR="00C07454">
          <w:rPr>
            <w:noProof/>
            <w:webHidden/>
          </w:rPr>
        </w:r>
        <w:r w:rsidR="00C07454">
          <w:rPr>
            <w:noProof/>
            <w:webHidden/>
          </w:rPr>
          <w:fldChar w:fldCharType="separate"/>
        </w:r>
        <w:r w:rsidR="00FD3AB6">
          <w:rPr>
            <w:noProof/>
            <w:webHidden/>
          </w:rPr>
          <w:t>22</w:t>
        </w:r>
        <w:r w:rsidR="00C07454">
          <w:rPr>
            <w:noProof/>
            <w:webHidden/>
          </w:rPr>
          <w:fldChar w:fldCharType="end"/>
        </w:r>
      </w:hyperlink>
    </w:p>
    <w:p w14:paraId="37E88764" w14:textId="4CBF3140"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498" w:history="1">
        <w:r w:rsidR="00C07454" w:rsidRPr="00C057C0">
          <w:rPr>
            <w:rStyle w:val="Hyperlink"/>
            <w:noProof/>
          </w:rPr>
          <w:t>Table 9  Industry Implementation Costs</w:t>
        </w:r>
        <w:r w:rsidR="00C07454">
          <w:rPr>
            <w:noProof/>
            <w:webHidden/>
          </w:rPr>
          <w:tab/>
        </w:r>
        <w:r w:rsidR="00C07454">
          <w:rPr>
            <w:noProof/>
            <w:webHidden/>
          </w:rPr>
          <w:fldChar w:fldCharType="begin"/>
        </w:r>
        <w:r w:rsidR="00C07454">
          <w:rPr>
            <w:noProof/>
            <w:webHidden/>
          </w:rPr>
          <w:instrText xml:space="preserve"> PAGEREF _Toc467508498 \h </w:instrText>
        </w:r>
        <w:r w:rsidR="00C07454">
          <w:rPr>
            <w:noProof/>
            <w:webHidden/>
          </w:rPr>
        </w:r>
        <w:r w:rsidR="00C07454">
          <w:rPr>
            <w:noProof/>
            <w:webHidden/>
          </w:rPr>
          <w:fldChar w:fldCharType="separate"/>
        </w:r>
        <w:r w:rsidR="00FD3AB6">
          <w:rPr>
            <w:noProof/>
            <w:webHidden/>
          </w:rPr>
          <w:t>23</w:t>
        </w:r>
        <w:r w:rsidR="00C07454">
          <w:rPr>
            <w:noProof/>
            <w:webHidden/>
          </w:rPr>
          <w:fldChar w:fldCharType="end"/>
        </w:r>
      </w:hyperlink>
    </w:p>
    <w:p w14:paraId="6E9ECA76" w14:textId="5DD15038"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499" w:history="1">
        <w:r w:rsidR="00C07454" w:rsidRPr="00C057C0">
          <w:rPr>
            <w:rStyle w:val="Hyperlink"/>
            <w:noProof/>
          </w:rPr>
          <w:t>Table 10  Averted Industry Operation Costs</w:t>
        </w:r>
        <w:r w:rsidR="00C07454">
          <w:rPr>
            <w:noProof/>
            <w:webHidden/>
          </w:rPr>
          <w:tab/>
        </w:r>
        <w:r w:rsidR="00C07454">
          <w:rPr>
            <w:noProof/>
            <w:webHidden/>
          </w:rPr>
          <w:fldChar w:fldCharType="begin"/>
        </w:r>
        <w:r w:rsidR="00C07454">
          <w:rPr>
            <w:noProof/>
            <w:webHidden/>
          </w:rPr>
          <w:instrText xml:space="preserve"> PAGEREF _Toc467508499 \h </w:instrText>
        </w:r>
        <w:r w:rsidR="00C07454">
          <w:rPr>
            <w:noProof/>
            <w:webHidden/>
          </w:rPr>
        </w:r>
        <w:r w:rsidR="00C07454">
          <w:rPr>
            <w:noProof/>
            <w:webHidden/>
          </w:rPr>
          <w:fldChar w:fldCharType="separate"/>
        </w:r>
        <w:r w:rsidR="00FD3AB6">
          <w:rPr>
            <w:noProof/>
            <w:webHidden/>
          </w:rPr>
          <w:t>24</w:t>
        </w:r>
        <w:r w:rsidR="00C07454">
          <w:rPr>
            <w:noProof/>
            <w:webHidden/>
          </w:rPr>
          <w:fldChar w:fldCharType="end"/>
        </w:r>
      </w:hyperlink>
    </w:p>
    <w:p w14:paraId="5CCA077A" w14:textId="41FF6ABB"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00" w:history="1">
        <w:r w:rsidR="00C07454" w:rsidRPr="00C057C0">
          <w:rPr>
            <w:rStyle w:val="Hyperlink"/>
            <w:noProof/>
          </w:rPr>
          <w:t>Table 11  Averted Industry Operation Costs for Hypothetical Reactor Code Case Alternative Request Submittal</w:t>
        </w:r>
        <w:r w:rsidR="00C07454">
          <w:rPr>
            <w:noProof/>
            <w:webHidden/>
          </w:rPr>
          <w:tab/>
        </w:r>
        <w:r w:rsidR="00C07454">
          <w:rPr>
            <w:noProof/>
            <w:webHidden/>
          </w:rPr>
          <w:fldChar w:fldCharType="begin"/>
        </w:r>
        <w:r w:rsidR="00C07454">
          <w:rPr>
            <w:noProof/>
            <w:webHidden/>
          </w:rPr>
          <w:instrText xml:space="preserve"> PAGEREF _Toc467508500 \h </w:instrText>
        </w:r>
        <w:r w:rsidR="00C07454">
          <w:rPr>
            <w:noProof/>
            <w:webHidden/>
          </w:rPr>
        </w:r>
        <w:r w:rsidR="00C07454">
          <w:rPr>
            <w:noProof/>
            <w:webHidden/>
          </w:rPr>
          <w:fldChar w:fldCharType="separate"/>
        </w:r>
        <w:r w:rsidR="00FD3AB6">
          <w:rPr>
            <w:noProof/>
            <w:webHidden/>
          </w:rPr>
          <w:t>25</w:t>
        </w:r>
        <w:r w:rsidR="00C07454">
          <w:rPr>
            <w:noProof/>
            <w:webHidden/>
          </w:rPr>
          <w:fldChar w:fldCharType="end"/>
        </w:r>
      </w:hyperlink>
    </w:p>
    <w:p w14:paraId="4D8DC1D7" w14:textId="7EAE6178"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01" w:history="1">
        <w:r w:rsidR="00C07454" w:rsidRPr="00C057C0">
          <w:rPr>
            <w:rStyle w:val="Hyperlink"/>
            <w:noProof/>
          </w:rPr>
          <w:t>Table 12  Incremental Industry Operations Costs for Conditioned Code Case N-638-6 (Operating Reactors Only)</w:t>
        </w:r>
        <w:r w:rsidR="00C07454">
          <w:rPr>
            <w:noProof/>
            <w:webHidden/>
          </w:rPr>
          <w:tab/>
        </w:r>
        <w:r w:rsidR="00C07454">
          <w:rPr>
            <w:noProof/>
            <w:webHidden/>
          </w:rPr>
          <w:fldChar w:fldCharType="begin"/>
        </w:r>
        <w:r w:rsidR="00C07454">
          <w:rPr>
            <w:noProof/>
            <w:webHidden/>
          </w:rPr>
          <w:instrText xml:space="preserve"> PAGEREF _Toc467508501 \h </w:instrText>
        </w:r>
        <w:r w:rsidR="00C07454">
          <w:rPr>
            <w:noProof/>
            <w:webHidden/>
          </w:rPr>
        </w:r>
        <w:r w:rsidR="00C07454">
          <w:rPr>
            <w:noProof/>
            <w:webHidden/>
          </w:rPr>
          <w:fldChar w:fldCharType="separate"/>
        </w:r>
        <w:r w:rsidR="00FD3AB6">
          <w:rPr>
            <w:noProof/>
            <w:webHidden/>
          </w:rPr>
          <w:t>26</w:t>
        </w:r>
        <w:r w:rsidR="00C07454">
          <w:rPr>
            <w:noProof/>
            <w:webHidden/>
          </w:rPr>
          <w:fldChar w:fldCharType="end"/>
        </w:r>
      </w:hyperlink>
    </w:p>
    <w:p w14:paraId="52522BDF" w14:textId="02DE3B1F"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02" w:history="1">
        <w:r w:rsidR="00C07454" w:rsidRPr="00C057C0">
          <w:rPr>
            <w:rStyle w:val="Hyperlink"/>
            <w:noProof/>
          </w:rPr>
          <w:t>Table 13  Incremental Industry Operations Costs for Conditioned Code Case N</w:t>
        </w:r>
        <w:r w:rsidR="00C07454" w:rsidRPr="00C057C0">
          <w:rPr>
            <w:rStyle w:val="Hyperlink"/>
            <w:noProof/>
          </w:rPr>
          <w:noBreakHyphen/>
          <w:t>789 (Operating Reactors Only)</w:t>
        </w:r>
        <w:r w:rsidR="00C07454">
          <w:rPr>
            <w:noProof/>
            <w:webHidden/>
          </w:rPr>
          <w:tab/>
        </w:r>
        <w:r w:rsidR="00C07454">
          <w:rPr>
            <w:noProof/>
            <w:webHidden/>
          </w:rPr>
          <w:fldChar w:fldCharType="begin"/>
        </w:r>
        <w:r w:rsidR="00C07454">
          <w:rPr>
            <w:noProof/>
            <w:webHidden/>
          </w:rPr>
          <w:instrText xml:space="preserve"> PAGEREF _Toc467508502 \h </w:instrText>
        </w:r>
        <w:r w:rsidR="00C07454">
          <w:rPr>
            <w:noProof/>
            <w:webHidden/>
          </w:rPr>
        </w:r>
        <w:r w:rsidR="00C07454">
          <w:rPr>
            <w:noProof/>
            <w:webHidden/>
          </w:rPr>
          <w:fldChar w:fldCharType="separate"/>
        </w:r>
        <w:r w:rsidR="00FD3AB6">
          <w:rPr>
            <w:noProof/>
            <w:webHidden/>
          </w:rPr>
          <w:t>26</w:t>
        </w:r>
        <w:r w:rsidR="00C07454">
          <w:rPr>
            <w:noProof/>
            <w:webHidden/>
          </w:rPr>
          <w:fldChar w:fldCharType="end"/>
        </w:r>
      </w:hyperlink>
    </w:p>
    <w:p w14:paraId="3569F0E4" w14:textId="228ED7ED"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03" w:history="1">
        <w:r w:rsidR="00C07454" w:rsidRPr="00C057C0">
          <w:rPr>
            <w:rStyle w:val="Hyperlink"/>
            <w:noProof/>
          </w:rPr>
          <w:t>Table 14  Incremental Operations Costs for Conditioned Code Case N-795 (Operating BWRs)</w:t>
        </w:r>
        <w:r w:rsidR="00C07454">
          <w:rPr>
            <w:noProof/>
            <w:webHidden/>
          </w:rPr>
          <w:tab/>
        </w:r>
        <w:r w:rsidR="00C07454">
          <w:rPr>
            <w:noProof/>
            <w:webHidden/>
          </w:rPr>
          <w:fldChar w:fldCharType="begin"/>
        </w:r>
        <w:r w:rsidR="00C07454">
          <w:rPr>
            <w:noProof/>
            <w:webHidden/>
          </w:rPr>
          <w:instrText xml:space="preserve"> PAGEREF _Toc467508503 \h </w:instrText>
        </w:r>
        <w:r w:rsidR="00C07454">
          <w:rPr>
            <w:noProof/>
            <w:webHidden/>
          </w:rPr>
        </w:r>
        <w:r w:rsidR="00C07454">
          <w:rPr>
            <w:noProof/>
            <w:webHidden/>
          </w:rPr>
          <w:fldChar w:fldCharType="separate"/>
        </w:r>
        <w:r w:rsidR="00FD3AB6">
          <w:rPr>
            <w:noProof/>
            <w:webHidden/>
          </w:rPr>
          <w:t>27</w:t>
        </w:r>
        <w:r w:rsidR="00C07454">
          <w:rPr>
            <w:noProof/>
            <w:webHidden/>
          </w:rPr>
          <w:fldChar w:fldCharType="end"/>
        </w:r>
      </w:hyperlink>
    </w:p>
    <w:p w14:paraId="3C4B1D5D" w14:textId="5CFE5366"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04" w:history="1">
        <w:r w:rsidR="00C07454" w:rsidRPr="00C057C0">
          <w:rPr>
            <w:rStyle w:val="Hyperlink"/>
            <w:noProof/>
          </w:rPr>
          <w:t>Table 15  Incremental Operations Costs for Conditioned Code Case N-799 for a Hypothetical New Reactor</w:t>
        </w:r>
        <w:r w:rsidR="00C07454">
          <w:rPr>
            <w:noProof/>
            <w:webHidden/>
          </w:rPr>
          <w:tab/>
        </w:r>
        <w:r w:rsidR="00C07454">
          <w:rPr>
            <w:noProof/>
            <w:webHidden/>
          </w:rPr>
          <w:fldChar w:fldCharType="begin"/>
        </w:r>
        <w:r w:rsidR="00C07454">
          <w:rPr>
            <w:noProof/>
            <w:webHidden/>
          </w:rPr>
          <w:instrText xml:space="preserve"> PAGEREF _Toc467508504 \h </w:instrText>
        </w:r>
        <w:r w:rsidR="00C07454">
          <w:rPr>
            <w:noProof/>
            <w:webHidden/>
          </w:rPr>
        </w:r>
        <w:r w:rsidR="00C07454">
          <w:rPr>
            <w:noProof/>
            <w:webHidden/>
          </w:rPr>
          <w:fldChar w:fldCharType="separate"/>
        </w:r>
        <w:r w:rsidR="00FD3AB6">
          <w:rPr>
            <w:noProof/>
            <w:webHidden/>
          </w:rPr>
          <w:t>27</w:t>
        </w:r>
        <w:r w:rsidR="00C07454">
          <w:rPr>
            <w:noProof/>
            <w:webHidden/>
          </w:rPr>
          <w:fldChar w:fldCharType="end"/>
        </w:r>
      </w:hyperlink>
    </w:p>
    <w:p w14:paraId="28B25E04" w14:textId="41C7F1AF"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05" w:history="1">
        <w:r w:rsidR="00C07454" w:rsidRPr="00C057C0">
          <w:rPr>
            <w:rStyle w:val="Hyperlink"/>
            <w:noProof/>
          </w:rPr>
          <w:t>Table 16  Incremental Industry Costs for Conditioned Code Case OMN</w:t>
        </w:r>
        <w:r w:rsidR="00C07454" w:rsidRPr="00C057C0">
          <w:rPr>
            <w:rStyle w:val="Hyperlink"/>
            <w:noProof/>
          </w:rPr>
          <w:noBreakHyphen/>
          <w:t xml:space="preserve">19 for </w:t>
        </w:r>
        <w:r w:rsidR="00150E0C">
          <w:rPr>
            <w:rStyle w:val="Hyperlink"/>
            <w:noProof/>
          </w:rPr>
          <w:t>Operating</w:t>
        </w:r>
        <w:r w:rsidR="00150E0C" w:rsidRPr="00C057C0">
          <w:rPr>
            <w:rStyle w:val="Hyperlink"/>
            <w:noProof/>
          </w:rPr>
          <w:t xml:space="preserve"> </w:t>
        </w:r>
        <w:r w:rsidR="00C07454" w:rsidRPr="00C057C0">
          <w:rPr>
            <w:rStyle w:val="Hyperlink"/>
            <w:noProof/>
          </w:rPr>
          <w:t>Reactors</w:t>
        </w:r>
        <w:r w:rsidR="00C07454">
          <w:rPr>
            <w:noProof/>
            <w:webHidden/>
          </w:rPr>
          <w:tab/>
        </w:r>
        <w:r w:rsidR="00C07454">
          <w:rPr>
            <w:noProof/>
            <w:webHidden/>
          </w:rPr>
          <w:fldChar w:fldCharType="begin"/>
        </w:r>
        <w:r w:rsidR="00C07454">
          <w:rPr>
            <w:noProof/>
            <w:webHidden/>
          </w:rPr>
          <w:instrText xml:space="preserve"> PAGEREF _Toc467508505 \h </w:instrText>
        </w:r>
        <w:r w:rsidR="00C07454">
          <w:rPr>
            <w:noProof/>
            <w:webHidden/>
          </w:rPr>
        </w:r>
        <w:r w:rsidR="00C07454">
          <w:rPr>
            <w:noProof/>
            <w:webHidden/>
          </w:rPr>
          <w:fldChar w:fldCharType="separate"/>
        </w:r>
        <w:r w:rsidR="00FD3AB6">
          <w:rPr>
            <w:noProof/>
            <w:webHidden/>
          </w:rPr>
          <w:t>29</w:t>
        </w:r>
        <w:r w:rsidR="00C07454">
          <w:rPr>
            <w:noProof/>
            <w:webHidden/>
          </w:rPr>
          <w:fldChar w:fldCharType="end"/>
        </w:r>
      </w:hyperlink>
    </w:p>
    <w:p w14:paraId="5DCD8223" w14:textId="2D891F23"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06" w:history="1">
        <w:r w:rsidR="00C07454" w:rsidRPr="00C057C0">
          <w:rPr>
            <w:rStyle w:val="Hyperlink"/>
            <w:noProof/>
          </w:rPr>
          <w:t>Table 17  Industry Cost Summary</w:t>
        </w:r>
        <w:r w:rsidR="00C07454">
          <w:rPr>
            <w:noProof/>
            <w:webHidden/>
          </w:rPr>
          <w:tab/>
        </w:r>
        <w:r w:rsidR="00C07454">
          <w:rPr>
            <w:noProof/>
            <w:webHidden/>
          </w:rPr>
          <w:fldChar w:fldCharType="begin"/>
        </w:r>
        <w:r w:rsidR="00C07454">
          <w:rPr>
            <w:noProof/>
            <w:webHidden/>
          </w:rPr>
          <w:instrText xml:space="preserve"> PAGEREF _Toc467508506 \h </w:instrText>
        </w:r>
        <w:r w:rsidR="00C07454">
          <w:rPr>
            <w:noProof/>
            <w:webHidden/>
          </w:rPr>
        </w:r>
        <w:r w:rsidR="00C07454">
          <w:rPr>
            <w:noProof/>
            <w:webHidden/>
          </w:rPr>
          <w:fldChar w:fldCharType="separate"/>
        </w:r>
        <w:r w:rsidR="00FD3AB6">
          <w:rPr>
            <w:noProof/>
            <w:webHidden/>
          </w:rPr>
          <w:t>30</w:t>
        </w:r>
        <w:r w:rsidR="00C07454">
          <w:rPr>
            <w:noProof/>
            <w:webHidden/>
          </w:rPr>
          <w:fldChar w:fldCharType="end"/>
        </w:r>
      </w:hyperlink>
    </w:p>
    <w:p w14:paraId="30066BE2" w14:textId="007C4D06"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07" w:history="1">
        <w:r w:rsidR="00C07454" w:rsidRPr="00C057C0">
          <w:rPr>
            <w:rStyle w:val="Hyperlink"/>
            <w:noProof/>
          </w:rPr>
          <w:t>Table 18  NRC Operation Costs</w:t>
        </w:r>
        <w:r w:rsidR="00C07454">
          <w:rPr>
            <w:noProof/>
            <w:webHidden/>
          </w:rPr>
          <w:tab/>
        </w:r>
        <w:r w:rsidR="00C07454">
          <w:rPr>
            <w:noProof/>
            <w:webHidden/>
          </w:rPr>
          <w:fldChar w:fldCharType="begin"/>
        </w:r>
        <w:r w:rsidR="00C07454">
          <w:rPr>
            <w:noProof/>
            <w:webHidden/>
          </w:rPr>
          <w:instrText xml:space="preserve"> PAGEREF _Toc467508507 \h </w:instrText>
        </w:r>
        <w:r w:rsidR="00C07454">
          <w:rPr>
            <w:noProof/>
            <w:webHidden/>
          </w:rPr>
        </w:r>
        <w:r w:rsidR="00C07454">
          <w:rPr>
            <w:noProof/>
            <w:webHidden/>
          </w:rPr>
          <w:fldChar w:fldCharType="separate"/>
        </w:r>
        <w:r w:rsidR="00FD3AB6">
          <w:rPr>
            <w:noProof/>
            <w:webHidden/>
          </w:rPr>
          <w:t>31</w:t>
        </w:r>
        <w:r w:rsidR="00C07454">
          <w:rPr>
            <w:noProof/>
            <w:webHidden/>
          </w:rPr>
          <w:fldChar w:fldCharType="end"/>
        </w:r>
      </w:hyperlink>
    </w:p>
    <w:p w14:paraId="0165778D" w14:textId="3BA38159"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08" w:history="1">
        <w:r w:rsidR="00C07454" w:rsidRPr="00C057C0">
          <w:rPr>
            <w:rStyle w:val="Hyperlink"/>
            <w:noProof/>
          </w:rPr>
          <w:t>Table 19  Averted NRC Operation Costs for New Reactor ASME Code Case Alternative Request Submittal</w:t>
        </w:r>
        <w:r w:rsidR="00C07454">
          <w:rPr>
            <w:noProof/>
            <w:webHidden/>
          </w:rPr>
          <w:tab/>
        </w:r>
        <w:r w:rsidR="00C07454">
          <w:rPr>
            <w:noProof/>
            <w:webHidden/>
          </w:rPr>
          <w:fldChar w:fldCharType="begin"/>
        </w:r>
        <w:r w:rsidR="00C07454">
          <w:rPr>
            <w:noProof/>
            <w:webHidden/>
          </w:rPr>
          <w:instrText xml:space="preserve"> PAGEREF _Toc467508508 \h </w:instrText>
        </w:r>
        <w:r w:rsidR="00C07454">
          <w:rPr>
            <w:noProof/>
            <w:webHidden/>
          </w:rPr>
        </w:r>
        <w:r w:rsidR="00C07454">
          <w:rPr>
            <w:noProof/>
            <w:webHidden/>
          </w:rPr>
          <w:fldChar w:fldCharType="separate"/>
        </w:r>
        <w:r w:rsidR="00FD3AB6">
          <w:rPr>
            <w:noProof/>
            <w:webHidden/>
          </w:rPr>
          <w:t>31</w:t>
        </w:r>
        <w:r w:rsidR="00C07454">
          <w:rPr>
            <w:noProof/>
            <w:webHidden/>
          </w:rPr>
          <w:fldChar w:fldCharType="end"/>
        </w:r>
      </w:hyperlink>
    </w:p>
    <w:p w14:paraId="2CA80369" w14:textId="0AA60695"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09" w:history="1">
        <w:r w:rsidR="00C07454" w:rsidRPr="00C057C0">
          <w:rPr>
            <w:rStyle w:val="Hyperlink"/>
            <w:noProof/>
          </w:rPr>
          <w:t>Table 20  Disaggregation</w:t>
        </w:r>
        <w:r w:rsidR="00C07454">
          <w:rPr>
            <w:noProof/>
            <w:webHidden/>
          </w:rPr>
          <w:tab/>
        </w:r>
        <w:r w:rsidR="00C07454">
          <w:rPr>
            <w:noProof/>
            <w:webHidden/>
          </w:rPr>
          <w:fldChar w:fldCharType="begin"/>
        </w:r>
        <w:r w:rsidR="00C07454">
          <w:rPr>
            <w:noProof/>
            <w:webHidden/>
          </w:rPr>
          <w:instrText xml:space="preserve"> PAGEREF _Toc467508509 \h </w:instrText>
        </w:r>
        <w:r w:rsidR="00C07454">
          <w:rPr>
            <w:noProof/>
            <w:webHidden/>
          </w:rPr>
        </w:r>
        <w:r w:rsidR="00C07454">
          <w:rPr>
            <w:noProof/>
            <w:webHidden/>
          </w:rPr>
          <w:fldChar w:fldCharType="separate"/>
        </w:r>
        <w:r w:rsidR="00FD3AB6">
          <w:rPr>
            <w:noProof/>
            <w:webHidden/>
          </w:rPr>
          <w:t>32</w:t>
        </w:r>
        <w:r w:rsidR="00C07454">
          <w:rPr>
            <w:noProof/>
            <w:webHidden/>
          </w:rPr>
          <w:fldChar w:fldCharType="end"/>
        </w:r>
      </w:hyperlink>
    </w:p>
    <w:p w14:paraId="4497ACE9" w14:textId="1E573981"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10" w:history="1">
        <w:r w:rsidR="00C07454" w:rsidRPr="00C057C0">
          <w:rPr>
            <w:rStyle w:val="Hyperlink"/>
            <w:noProof/>
          </w:rPr>
          <w:t xml:space="preserve">Table 21  </w:t>
        </w:r>
        <w:r w:rsidR="00C07454" w:rsidRPr="00C057C0">
          <w:rPr>
            <w:rStyle w:val="Hyperlink"/>
            <w:rFonts w:eastAsia="Times New Roman"/>
            <w:noProof/>
          </w:rPr>
          <w:t>Uncertainty Results Descriptive Statistics</w:t>
        </w:r>
        <w:r w:rsidR="00C07454">
          <w:rPr>
            <w:noProof/>
            <w:webHidden/>
          </w:rPr>
          <w:tab/>
        </w:r>
        <w:r w:rsidR="00C07454">
          <w:rPr>
            <w:noProof/>
            <w:webHidden/>
          </w:rPr>
          <w:fldChar w:fldCharType="begin"/>
        </w:r>
        <w:r w:rsidR="00C07454">
          <w:rPr>
            <w:noProof/>
            <w:webHidden/>
          </w:rPr>
          <w:instrText xml:space="preserve"> PAGEREF _Toc467508510 \h </w:instrText>
        </w:r>
        <w:r w:rsidR="00C07454">
          <w:rPr>
            <w:noProof/>
            <w:webHidden/>
          </w:rPr>
        </w:r>
        <w:r w:rsidR="00C07454">
          <w:rPr>
            <w:noProof/>
            <w:webHidden/>
          </w:rPr>
          <w:fldChar w:fldCharType="separate"/>
        </w:r>
        <w:r w:rsidR="00FD3AB6">
          <w:rPr>
            <w:noProof/>
            <w:webHidden/>
          </w:rPr>
          <w:t>36</w:t>
        </w:r>
        <w:r w:rsidR="00C07454">
          <w:rPr>
            <w:noProof/>
            <w:webHidden/>
          </w:rPr>
          <w:fldChar w:fldCharType="end"/>
        </w:r>
      </w:hyperlink>
    </w:p>
    <w:p w14:paraId="09D13CDA" w14:textId="1345C642"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11" w:history="1">
        <w:r w:rsidR="00C07454" w:rsidRPr="00C057C0">
          <w:rPr>
            <w:rStyle w:val="Hyperlink"/>
            <w:noProof/>
          </w:rPr>
          <w:t>Table 22  Regulatory Analysis Estimate Changes</w:t>
        </w:r>
        <w:r w:rsidR="00C07454">
          <w:rPr>
            <w:noProof/>
            <w:webHidden/>
          </w:rPr>
          <w:tab/>
        </w:r>
        <w:r w:rsidR="00C07454">
          <w:rPr>
            <w:noProof/>
            <w:webHidden/>
          </w:rPr>
          <w:fldChar w:fldCharType="begin"/>
        </w:r>
        <w:r w:rsidR="00C07454">
          <w:rPr>
            <w:noProof/>
            <w:webHidden/>
          </w:rPr>
          <w:instrText xml:space="preserve"> PAGEREF _Toc467508511 \h </w:instrText>
        </w:r>
        <w:r w:rsidR="00C07454">
          <w:rPr>
            <w:noProof/>
            <w:webHidden/>
          </w:rPr>
        </w:r>
        <w:r w:rsidR="00C07454">
          <w:rPr>
            <w:noProof/>
            <w:webHidden/>
          </w:rPr>
          <w:fldChar w:fldCharType="separate"/>
        </w:r>
        <w:r w:rsidR="00FD3AB6">
          <w:rPr>
            <w:noProof/>
            <w:webHidden/>
          </w:rPr>
          <w:t>38</w:t>
        </w:r>
        <w:r w:rsidR="00C07454">
          <w:rPr>
            <w:noProof/>
            <w:webHidden/>
          </w:rPr>
          <w:fldChar w:fldCharType="end"/>
        </w:r>
      </w:hyperlink>
    </w:p>
    <w:p w14:paraId="3B183D07" w14:textId="76D394E2"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12" w:history="1">
        <w:r w:rsidR="00C07454" w:rsidRPr="00C057C0">
          <w:rPr>
            <w:rStyle w:val="Hyperlink"/>
            <w:noProof/>
          </w:rPr>
          <w:t>Table 23  Total Net Benefits and Costs</w:t>
        </w:r>
        <w:r w:rsidR="00C07454">
          <w:rPr>
            <w:noProof/>
            <w:webHidden/>
          </w:rPr>
          <w:tab/>
        </w:r>
        <w:r w:rsidR="00C07454">
          <w:rPr>
            <w:noProof/>
            <w:webHidden/>
          </w:rPr>
          <w:fldChar w:fldCharType="begin"/>
        </w:r>
        <w:r w:rsidR="00C07454">
          <w:rPr>
            <w:noProof/>
            <w:webHidden/>
          </w:rPr>
          <w:instrText xml:space="preserve"> PAGEREF _Toc467508512 \h </w:instrText>
        </w:r>
        <w:r w:rsidR="00C07454">
          <w:rPr>
            <w:noProof/>
            <w:webHidden/>
          </w:rPr>
        </w:r>
        <w:r w:rsidR="00C07454">
          <w:rPr>
            <w:noProof/>
            <w:webHidden/>
          </w:rPr>
          <w:fldChar w:fldCharType="separate"/>
        </w:r>
        <w:r w:rsidR="00FD3AB6">
          <w:rPr>
            <w:noProof/>
            <w:webHidden/>
          </w:rPr>
          <w:t>39</w:t>
        </w:r>
        <w:r w:rsidR="00C07454">
          <w:rPr>
            <w:noProof/>
            <w:webHidden/>
          </w:rPr>
          <w:fldChar w:fldCharType="end"/>
        </w:r>
      </w:hyperlink>
    </w:p>
    <w:p w14:paraId="2BEA1A79" w14:textId="2E03AA2C" w:rsidR="00C07454" w:rsidRDefault="00F32688" w:rsidP="00FF0EE8">
      <w:pPr>
        <w:pStyle w:val="TableofFigures"/>
        <w:tabs>
          <w:tab w:val="right" w:leader="dot" w:pos="9350"/>
        </w:tabs>
        <w:spacing w:line="240" w:lineRule="auto"/>
        <w:ind w:left="990" w:hanging="990"/>
        <w:rPr>
          <w:rFonts w:asciiTheme="minorHAnsi" w:eastAsiaTheme="minorEastAsia" w:hAnsiTheme="minorHAnsi" w:cstheme="minorBidi"/>
          <w:noProof/>
        </w:rPr>
      </w:pPr>
      <w:hyperlink w:anchor="_Toc467508513" w:history="1">
        <w:r w:rsidR="00C07454" w:rsidRPr="00C057C0">
          <w:rPr>
            <w:rStyle w:val="Hyperlink"/>
            <w:noProof/>
          </w:rPr>
          <w:t>Table 24  Summary of Totals</w:t>
        </w:r>
        <w:r w:rsidR="00C07454">
          <w:rPr>
            <w:noProof/>
            <w:webHidden/>
          </w:rPr>
          <w:tab/>
        </w:r>
        <w:r w:rsidR="00C07454">
          <w:rPr>
            <w:noProof/>
            <w:webHidden/>
          </w:rPr>
          <w:fldChar w:fldCharType="begin"/>
        </w:r>
        <w:r w:rsidR="00C07454">
          <w:rPr>
            <w:noProof/>
            <w:webHidden/>
          </w:rPr>
          <w:instrText xml:space="preserve"> PAGEREF _Toc467508513 \h </w:instrText>
        </w:r>
        <w:r w:rsidR="00C07454">
          <w:rPr>
            <w:noProof/>
            <w:webHidden/>
          </w:rPr>
        </w:r>
        <w:r w:rsidR="00C07454">
          <w:rPr>
            <w:noProof/>
            <w:webHidden/>
          </w:rPr>
          <w:fldChar w:fldCharType="separate"/>
        </w:r>
        <w:r w:rsidR="00FD3AB6">
          <w:rPr>
            <w:noProof/>
            <w:webHidden/>
          </w:rPr>
          <w:t>40</w:t>
        </w:r>
        <w:r w:rsidR="00C07454">
          <w:rPr>
            <w:noProof/>
            <w:webHidden/>
          </w:rPr>
          <w:fldChar w:fldCharType="end"/>
        </w:r>
      </w:hyperlink>
    </w:p>
    <w:p w14:paraId="4F066122" w14:textId="77777777" w:rsidR="009E5772" w:rsidRDefault="00811154" w:rsidP="00FF0EE8">
      <w:pPr>
        <w:spacing w:after="60" w:line="240" w:lineRule="auto"/>
        <w:ind w:left="1080" w:hanging="1080"/>
      </w:pPr>
      <w:r>
        <w:fldChar w:fldCharType="end"/>
      </w:r>
    </w:p>
    <w:p w14:paraId="42C932A3" w14:textId="77777777" w:rsidR="001C2348" w:rsidRDefault="001C2348" w:rsidP="00FF0EE8">
      <w:pPr>
        <w:autoSpaceDE/>
        <w:autoSpaceDN/>
        <w:adjustRightInd/>
        <w:spacing w:line="240" w:lineRule="auto"/>
      </w:pPr>
      <w:r>
        <w:br w:type="page"/>
      </w:r>
    </w:p>
    <w:p w14:paraId="3BA87686" w14:textId="77777777" w:rsidR="00D67B90" w:rsidRDefault="00D67B90" w:rsidP="00FF0EE8">
      <w:pPr>
        <w:pStyle w:val="Heading1"/>
        <w:numPr>
          <w:ilvl w:val="0"/>
          <w:numId w:val="0"/>
        </w:numPr>
        <w:spacing w:line="240" w:lineRule="auto"/>
        <w:ind w:left="540" w:hanging="540"/>
      </w:pPr>
      <w:bookmarkStart w:id="10" w:name="_Toc462224934"/>
      <w:bookmarkStart w:id="11" w:name="_Toc468875893"/>
      <w:r>
        <w:t>Abbreviations</w:t>
      </w:r>
      <w:r w:rsidR="001C2348">
        <w:t xml:space="preserve"> and Acronyms</w:t>
      </w:r>
      <w:bookmarkEnd w:id="10"/>
      <w:bookmarkEnd w:id="11"/>
    </w:p>
    <w:p w14:paraId="48D7CE51" w14:textId="77777777" w:rsidR="00D67B90" w:rsidRDefault="00D67B90" w:rsidP="00FF0EE8">
      <w:pPr>
        <w:spacing w:line="240" w:lineRule="auto"/>
      </w:pPr>
    </w:p>
    <w:tbl>
      <w:tblPr>
        <w:tblW w:w="8748" w:type="dxa"/>
        <w:tblLayout w:type="fixed"/>
        <w:tblLook w:val="0000" w:firstRow="0" w:lastRow="0" w:firstColumn="0" w:lastColumn="0" w:noHBand="0" w:noVBand="0"/>
      </w:tblPr>
      <w:tblGrid>
        <w:gridCol w:w="1401"/>
        <w:gridCol w:w="7347"/>
      </w:tblGrid>
      <w:tr w:rsidR="00696FA9" w:rsidRPr="00036F5F" w14:paraId="76F2A710" w14:textId="77777777" w:rsidTr="00C2477A">
        <w:trPr>
          <w:trHeight w:val="247"/>
        </w:trPr>
        <w:tc>
          <w:tcPr>
            <w:tcW w:w="1401" w:type="dxa"/>
            <w:vAlign w:val="center"/>
          </w:tcPr>
          <w:p w14:paraId="1A12D8E3" w14:textId="77777777" w:rsidR="00696FA9" w:rsidRPr="00494B56" w:rsidRDefault="00696FA9" w:rsidP="00FF0EE8">
            <w:pPr>
              <w:spacing w:before="40" w:after="40" w:line="240" w:lineRule="auto"/>
              <w:rPr>
                <w:color w:val="000000"/>
              </w:rPr>
            </w:pPr>
            <w:r w:rsidRPr="00036F5F">
              <w:rPr>
                <w:color w:val="000000"/>
              </w:rPr>
              <w:t>ADAMS</w:t>
            </w:r>
          </w:p>
        </w:tc>
        <w:tc>
          <w:tcPr>
            <w:tcW w:w="7347" w:type="dxa"/>
            <w:vAlign w:val="center"/>
          </w:tcPr>
          <w:p w14:paraId="60173FAD" w14:textId="77777777" w:rsidR="00696FA9" w:rsidRPr="00036F5F" w:rsidRDefault="00696FA9" w:rsidP="00FF0EE8">
            <w:pPr>
              <w:spacing w:before="40" w:after="40" w:line="240" w:lineRule="auto"/>
              <w:rPr>
                <w:color w:val="000000"/>
              </w:rPr>
            </w:pPr>
            <w:r w:rsidRPr="008B0211">
              <w:t>Agencywide Documents Access and Management System</w:t>
            </w:r>
          </w:p>
        </w:tc>
      </w:tr>
      <w:tr w:rsidR="00696FA9" w:rsidRPr="00036F5F" w14:paraId="661FF4CF" w14:textId="77777777" w:rsidTr="00C2477A">
        <w:trPr>
          <w:trHeight w:val="247"/>
        </w:trPr>
        <w:tc>
          <w:tcPr>
            <w:tcW w:w="1401" w:type="dxa"/>
            <w:vAlign w:val="center"/>
          </w:tcPr>
          <w:p w14:paraId="55FFFB22" w14:textId="77777777" w:rsidR="00696FA9" w:rsidRPr="00036F5F" w:rsidRDefault="00696FA9" w:rsidP="00FF0EE8">
            <w:pPr>
              <w:spacing w:before="40" w:after="40" w:line="240" w:lineRule="auto"/>
            </w:pPr>
            <w:r w:rsidRPr="00036F5F">
              <w:t>ASME</w:t>
            </w:r>
          </w:p>
        </w:tc>
        <w:tc>
          <w:tcPr>
            <w:tcW w:w="7347" w:type="dxa"/>
            <w:vAlign w:val="center"/>
          </w:tcPr>
          <w:p w14:paraId="58523DF6" w14:textId="77777777" w:rsidR="00696FA9" w:rsidRPr="00036F5F" w:rsidRDefault="00696FA9" w:rsidP="00FF0EE8">
            <w:pPr>
              <w:spacing w:before="40" w:after="40" w:line="240" w:lineRule="auto"/>
              <w:rPr>
                <w:color w:val="000000"/>
              </w:rPr>
            </w:pPr>
            <w:r w:rsidRPr="00036F5F">
              <w:rPr>
                <w:color w:val="000000"/>
              </w:rPr>
              <w:t>American Society of Mechanical Engineers</w:t>
            </w:r>
          </w:p>
        </w:tc>
      </w:tr>
      <w:tr w:rsidR="00696FA9" w:rsidRPr="00036F5F" w14:paraId="0E9F2C66" w14:textId="77777777" w:rsidTr="00C2477A">
        <w:trPr>
          <w:trHeight w:val="247"/>
        </w:trPr>
        <w:tc>
          <w:tcPr>
            <w:tcW w:w="1401" w:type="dxa"/>
            <w:vAlign w:val="center"/>
          </w:tcPr>
          <w:p w14:paraId="72FF9F5C" w14:textId="77777777" w:rsidR="00696FA9" w:rsidRPr="00036F5F" w:rsidRDefault="00696FA9" w:rsidP="00FF0EE8">
            <w:pPr>
              <w:spacing w:before="40" w:after="40" w:line="240" w:lineRule="auto"/>
              <w:rPr>
                <w:color w:val="000000"/>
              </w:rPr>
            </w:pPr>
            <w:r w:rsidRPr="00036F5F">
              <w:rPr>
                <w:color w:val="000000"/>
              </w:rPr>
              <w:t>BLS</w:t>
            </w:r>
          </w:p>
        </w:tc>
        <w:tc>
          <w:tcPr>
            <w:tcW w:w="7347" w:type="dxa"/>
            <w:vAlign w:val="center"/>
          </w:tcPr>
          <w:p w14:paraId="5391776B" w14:textId="77777777" w:rsidR="00696FA9" w:rsidRPr="00036F5F" w:rsidRDefault="00696FA9" w:rsidP="00FF0EE8">
            <w:pPr>
              <w:spacing w:before="40" w:after="40" w:line="240" w:lineRule="auto"/>
              <w:rPr>
                <w:color w:val="000000"/>
              </w:rPr>
            </w:pPr>
            <w:r w:rsidRPr="00036F5F">
              <w:rPr>
                <w:color w:val="000000"/>
              </w:rPr>
              <w:t>Bureau of Labor Statistics</w:t>
            </w:r>
            <w:r w:rsidR="00B91426" w:rsidRPr="00036F5F">
              <w:rPr>
                <w:color w:val="000000"/>
              </w:rPr>
              <w:t xml:space="preserve"> (U.S. Department of Labor)</w:t>
            </w:r>
          </w:p>
        </w:tc>
      </w:tr>
      <w:tr w:rsidR="00696FA9" w:rsidRPr="00036F5F" w14:paraId="79EE67E5" w14:textId="77777777" w:rsidTr="00C2477A">
        <w:trPr>
          <w:trHeight w:val="247"/>
        </w:trPr>
        <w:tc>
          <w:tcPr>
            <w:tcW w:w="1401" w:type="dxa"/>
            <w:vAlign w:val="center"/>
          </w:tcPr>
          <w:p w14:paraId="0B770772" w14:textId="77777777" w:rsidR="00696FA9" w:rsidRPr="00036F5F" w:rsidRDefault="00696FA9" w:rsidP="00FF0EE8">
            <w:pPr>
              <w:spacing w:before="40" w:after="40" w:line="240" w:lineRule="auto"/>
            </w:pPr>
            <w:r w:rsidRPr="00036F5F">
              <w:t>BPV</w:t>
            </w:r>
            <w:r w:rsidR="009B68D4" w:rsidRPr="00036F5F">
              <w:t xml:space="preserve"> Code</w:t>
            </w:r>
          </w:p>
        </w:tc>
        <w:tc>
          <w:tcPr>
            <w:tcW w:w="7347" w:type="dxa"/>
            <w:vAlign w:val="center"/>
          </w:tcPr>
          <w:p w14:paraId="70655157" w14:textId="77777777" w:rsidR="00696FA9" w:rsidRPr="00036F5F" w:rsidRDefault="009B68D4" w:rsidP="00FF0EE8">
            <w:pPr>
              <w:spacing w:before="40" w:after="40" w:line="240" w:lineRule="auto"/>
              <w:rPr>
                <w:color w:val="000000"/>
              </w:rPr>
            </w:pPr>
            <w:r w:rsidRPr="00036F5F">
              <w:rPr>
                <w:color w:val="000000"/>
              </w:rPr>
              <w:t xml:space="preserve">ASME </w:t>
            </w:r>
            <w:r w:rsidR="00696FA9" w:rsidRPr="00036F5F">
              <w:rPr>
                <w:color w:val="000000"/>
              </w:rPr>
              <w:t>Boiler and Pressure Vessel</w:t>
            </w:r>
            <w:r w:rsidRPr="00036F5F">
              <w:rPr>
                <w:color w:val="000000"/>
              </w:rPr>
              <w:t xml:space="preserve"> Code</w:t>
            </w:r>
          </w:p>
        </w:tc>
      </w:tr>
      <w:tr w:rsidR="00274428" w:rsidRPr="00036F5F" w14:paraId="14F4CD2B" w14:textId="77777777" w:rsidTr="00C2477A">
        <w:trPr>
          <w:trHeight w:val="247"/>
        </w:trPr>
        <w:tc>
          <w:tcPr>
            <w:tcW w:w="1401" w:type="dxa"/>
            <w:vAlign w:val="center"/>
          </w:tcPr>
          <w:p w14:paraId="4A14AE9B" w14:textId="77777777" w:rsidR="00274428" w:rsidRPr="00036F5F" w:rsidRDefault="00274428" w:rsidP="00FF0EE8">
            <w:pPr>
              <w:spacing w:before="40" w:after="40" w:line="240" w:lineRule="auto"/>
              <w:rPr>
                <w:color w:val="000000"/>
              </w:rPr>
            </w:pPr>
            <w:r w:rsidRPr="00036F5F">
              <w:rPr>
                <w:color w:val="000000"/>
              </w:rPr>
              <w:t>BWR</w:t>
            </w:r>
          </w:p>
        </w:tc>
        <w:tc>
          <w:tcPr>
            <w:tcW w:w="7347" w:type="dxa"/>
            <w:vAlign w:val="center"/>
          </w:tcPr>
          <w:p w14:paraId="167B583D" w14:textId="77777777" w:rsidR="00274428" w:rsidRPr="00036F5F" w:rsidRDefault="008809A9" w:rsidP="00FF0EE8">
            <w:pPr>
              <w:spacing w:before="40" w:after="40" w:line="240" w:lineRule="auto"/>
              <w:rPr>
                <w:color w:val="000000"/>
              </w:rPr>
            </w:pPr>
            <w:r w:rsidRPr="00036F5F">
              <w:rPr>
                <w:color w:val="000000"/>
              </w:rPr>
              <w:t>b</w:t>
            </w:r>
            <w:r w:rsidR="00274428" w:rsidRPr="00036F5F">
              <w:rPr>
                <w:color w:val="000000"/>
              </w:rPr>
              <w:t>oiling</w:t>
            </w:r>
            <w:r w:rsidRPr="00036F5F">
              <w:rPr>
                <w:color w:val="000000"/>
              </w:rPr>
              <w:noBreakHyphen/>
              <w:t>w</w:t>
            </w:r>
            <w:r w:rsidR="00C70566" w:rsidRPr="00036F5F">
              <w:rPr>
                <w:color w:val="000000"/>
              </w:rPr>
              <w:t xml:space="preserve">ater </w:t>
            </w:r>
            <w:r w:rsidRPr="00036F5F">
              <w:rPr>
                <w:color w:val="000000"/>
              </w:rPr>
              <w:t>r</w:t>
            </w:r>
            <w:r w:rsidR="00C70566" w:rsidRPr="00036F5F">
              <w:rPr>
                <w:color w:val="000000"/>
              </w:rPr>
              <w:t>eactor</w:t>
            </w:r>
          </w:p>
        </w:tc>
      </w:tr>
      <w:tr w:rsidR="00696FA9" w:rsidRPr="00036F5F" w14:paraId="5BAF4B17" w14:textId="77777777" w:rsidTr="00C2477A">
        <w:trPr>
          <w:trHeight w:val="247"/>
        </w:trPr>
        <w:tc>
          <w:tcPr>
            <w:tcW w:w="1401" w:type="dxa"/>
            <w:vAlign w:val="center"/>
          </w:tcPr>
          <w:p w14:paraId="0E6F9628" w14:textId="77777777" w:rsidR="00696FA9" w:rsidRPr="00036F5F" w:rsidRDefault="00696FA9" w:rsidP="00FF0EE8">
            <w:pPr>
              <w:spacing w:before="40" w:after="40" w:line="240" w:lineRule="auto"/>
              <w:rPr>
                <w:color w:val="000000"/>
              </w:rPr>
            </w:pPr>
            <w:r w:rsidRPr="00036F5F">
              <w:rPr>
                <w:color w:val="000000"/>
              </w:rPr>
              <w:t>CC</w:t>
            </w:r>
          </w:p>
        </w:tc>
        <w:tc>
          <w:tcPr>
            <w:tcW w:w="7347" w:type="dxa"/>
            <w:vAlign w:val="center"/>
          </w:tcPr>
          <w:p w14:paraId="69E04476" w14:textId="77777777" w:rsidR="00696FA9" w:rsidRPr="00036F5F" w:rsidRDefault="008809A9" w:rsidP="00FF0EE8">
            <w:pPr>
              <w:spacing w:before="40" w:after="40" w:line="240" w:lineRule="auto"/>
              <w:rPr>
                <w:color w:val="000000"/>
              </w:rPr>
            </w:pPr>
            <w:r w:rsidRPr="00036F5F">
              <w:rPr>
                <w:color w:val="000000"/>
              </w:rPr>
              <w:t>c</w:t>
            </w:r>
            <w:r w:rsidR="00696FA9" w:rsidRPr="00036F5F">
              <w:rPr>
                <w:color w:val="000000"/>
              </w:rPr>
              <w:t xml:space="preserve">oncrete </w:t>
            </w:r>
            <w:r w:rsidRPr="00036F5F">
              <w:rPr>
                <w:color w:val="000000"/>
              </w:rPr>
              <w:t>c</w:t>
            </w:r>
            <w:r w:rsidR="00696FA9" w:rsidRPr="00036F5F">
              <w:rPr>
                <w:color w:val="000000"/>
              </w:rPr>
              <w:t>ontainment</w:t>
            </w:r>
          </w:p>
        </w:tc>
      </w:tr>
      <w:tr w:rsidR="00696FA9" w:rsidRPr="00036F5F" w14:paraId="0671FA25" w14:textId="77777777" w:rsidTr="00C2477A">
        <w:trPr>
          <w:trHeight w:val="247"/>
        </w:trPr>
        <w:tc>
          <w:tcPr>
            <w:tcW w:w="1401" w:type="dxa"/>
            <w:vAlign w:val="center"/>
          </w:tcPr>
          <w:p w14:paraId="6EE0A498" w14:textId="77777777" w:rsidR="00696FA9" w:rsidRPr="00036F5F" w:rsidRDefault="00696FA9" w:rsidP="00FF0EE8">
            <w:pPr>
              <w:spacing w:before="40" w:after="40" w:line="240" w:lineRule="auto"/>
            </w:pPr>
            <w:r w:rsidRPr="00036F5F">
              <w:t>CFR</w:t>
            </w:r>
          </w:p>
        </w:tc>
        <w:tc>
          <w:tcPr>
            <w:tcW w:w="7347" w:type="dxa"/>
            <w:vAlign w:val="center"/>
          </w:tcPr>
          <w:p w14:paraId="3B1742FF" w14:textId="77777777" w:rsidR="00696FA9" w:rsidRPr="00036F5F" w:rsidRDefault="00696FA9" w:rsidP="00FF0EE8">
            <w:pPr>
              <w:spacing w:before="40" w:after="40" w:line="240" w:lineRule="auto"/>
              <w:rPr>
                <w:i/>
                <w:color w:val="000000"/>
              </w:rPr>
            </w:pPr>
            <w:r w:rsidRPr="00036F5F">
              <w:rPr>
                <w:i/>
                <w:color w:val="000000"/>
              </w:rPr>
              <w:t>Code of Federal Regulations</w:t>
            </w:r>
          </w:p>
        </w:tc>
      </w:tr>
      <w:tr w:rsidR="00C01E41" w:rsidRPr="00036F5F" w14:paraId="1A2873C8" w14:textId="77777777" w:rsidTr="00C2477A">
        <w:trPr>
          <w:trHeight w:val="247"/>
        </w:trPr>
        <w:tc>
          <w:tcPr>
            <w:tcW w:w="1401" w:type="dxa"/>
            <w:vAlign w:val="center"/>
          </w:tcPr>
          <w:p w14:paraId="5D96182F" w14:textId="77777777" w:rsidR="00C01E41" w:rsidRPr="00036F5F" w:rsidRDefault="00C01E41" w:rsidP="00FF0EE8">
            <w:pPr>
              <w:spacing w:before="40" w:after="40" w:line="240" w:lineRule="auto"/>
            </w:pPr>
            <w:r w:rsidRPr="00036F5F">
              <w:t>CNWRA</w:t>
            </w:r>
          </w:p>
        </w:tc>
        <w:tc>
          <w:tcPr>
            <w:tcW w:w="7347" w:type="dxa"/>
            <w:vAlign w:val="center"/>
          </w:tcPr>
          <w:p w14:paraId="622AAC7F" w14:textId="77777777" w:rsidR="00C01E41" w:rsidRPr="00036F5F" w:rsidRDefault="00C01E41" w:rsidP="00FF0EE8">
            <w:pPr>
              <w:spacing w:before="40" w:after="40" w:line="240" w:lineRule="auto"/>
            </w:pPr>
            <w:r w:rsidRPr="00036F5F">
              <w:t>Center for Nuclear Waste Regulatory Analyses</w:t>
            </w:r>
          </w:p>
        </w:tc>
      </w:tr>
      <w:tr w:rsidR="00C70566" w:rsidRPr="00036F5F" w14:paraId="4F2F8C7D" w14:textId="77777777" w:rsidTr="00C2477A">
        <w:trPr>
          <w:trHeight w:val="247"/>
        </w:trPr>
        <w:tc>
          <w:tcPr>
            <w:tcW w:w="1401" w:type="dxa"/>
            <w:vAlign w:val="center"/>
          </w:tcPr>
          <w:p w14:paraId="1CEE8BDC" w14:textId="77777777" w:rsidR="00C70566" w:rsidRPr="00036F5F" w:rsidRDefault="00C70566" w:rsidP="00FF0EE8">
            <w:pPr>
              <w:spacing w:before="40" w:after="40" w:line="240" w:lineRule="auto"/>
            </w:pPr>
            <w:r w:rsidRPr="00036F5F">
              <w:t>CPI-U</w:t>
            </w:r>
          </w:p>
        </w:tc>
        <w:tc>
          <w:tcPr>
            <w:tcW w:w="7347" w:type="dxa"/>
            <w:vAlign w:val="center"/>
          </w:tcPr>
          <w:p w14:paraId="0678465A" w14:textId="77777777" w:rsidR="00C70566" w:rsidRPr="00036F5F" w:rsidRDefault="00C70566" w:rsidP="00FF0EE8">
            <w:pPr>
              <w:spacing w:before="40" w:after="40" w:line="240" w:lineRule="auto"/>
            </w:pPr>
            <w:r w:rsidRPr="00036F5F">
              <w:t xml:space="preserve">Consumer Price Index for </w:t>
            </w:r>
            <w:r w:rsidR="008809A9" w:rsidRPr="00036F5F">
              <w:t>a</w:t>
            </w:r>
            <w:r w:rsidRPr="00036F5F">
              <w:t xml:space="preserve">ll </w:t>
            </w:r>
            <w:r w:rsidR="008809A9" w:rsidRPr="00036F5F">
              <w:t>u</w:t>
            </w:r>
            <w:r w:rsidRPr="00036F5F">
              <w:t xml:space="preserve">rban </w:t>
            </w:r>
            <w:r w:rsidR="008809A9" w:rsidRPr="00036F5F">
              <w:t>c</w:t>
            </w:r>
            <w:r w:rsidRPr="00036F5F">
              <w:t>onsumers</w:t>
            </w:r>
          </w:p>
        </w:tc>
      </w:tr>
      <w:tr w:rsidR="00E518EE" w:rsidRPr="00036F5F" w14:paraId="7997C2AE" w14:textId="77777777" w:rsidTr="00C2477A">
        <w:trPr>
          <w:trHeight w:val="247"/>
        </w:trPr>
        <w:tc>
          <w:tcPr>
            <w:tcW w:w="1401" w:type="dxa"/>
            <w:vAlign w:val="center"/>
          </w:tcPr>
          <w:p w14:paraId="6E2D6E2D" w14:textId="77777777" w:rsidR="00E518EE" w:rsidRPr="00036F5F" w:rsidRDefault="00E518EE" w:rsidP="00FF0EE8">
            <w:pPr>
              <w:spacing w:before="40" w:after="40" w:line="240" w:lineRule="auto"/>
            </w:pPr>
            <w:r w:rsidRPr="00036F5F">
              <w:t>DG</w:t>
            </w:r>
          </w:p>
        </w:tc>
        <w:tc>
          <w:tcPr>
            <w:tcW w:w="7347" w:type="dxa"/>
            <w:vAlign w:val="center"/>
          </w:tcPr>
          <w:p w14:paraId="5FE89B39" w14:textId="77777777" w:rsidR="00E518EE" w:rsidRPr="00036F5F" w:rsidRDefault="008809A9" w:rsidP="00FF0EE8">
            <w:pPr>
              <w:spacing w:before="40" w:after="40" w:line="240" w:lineRule="auto"/>
            </w:pPr>
            <w:r w:rsidRPr="00036F5F">
              <w:t>d</w:t>
            </w:r>
            <w:r w:rsidR="00E518EE" w:rsidRPr="00036F5F">
              <w:t xml:space="preserve">raft </w:t>
            </w:r>
            <w:r w:rsidRPr="00036F5F">
              <w:t>r</w:t>
            </w:r>
            <w:r w:rsidR="00274428" w:rsidRPr="00036F5F">
              <w:t xml:space="preserve">egulatory </w:t>
            </w:r>
            <w:r w:rsidRPr="00036F5F">
              <w:t>g</w:t>
            </w:r>
            <w:r w:rsidR="00E518EE" w:rsidRPr="00036F5F">
              <w:t>uide</w:t>
            </w:r>
          </w:p>
        </w:tc>
      </w:tr>
      <w:tr w:rsidR="00696FA9" w:rsidRPr="00036F5F" w14:paraId="6104664B" w14:textId="77777777" w:rsidTr="00C2477A">
        <w:trPr>
          <w:trHeight w:val="247"/>
        </w:trPr>
        <w:tc>
          <w:tcPr>
            <w:tcW w:w="1401" w:type="dxa"/>
            <w:vAlign w:val="center"/>
          </w:tcPr>
          <w:p w14:paraId="4E147968" w14:textId="77777777" w:rsidR="00696FA9" w:rsidRPr="00036F5F" w:rsidRDefault="00696FA9" w:rsidP="00FF0EE8">
            <w:pPr>
              <w:spacing w:before="40" w:after="40" w:line="240" w:lineRule="auto"/>
            </w:pPr>
            <w:r w:rsidRPr="00036F5F">
              <w:t>FR</w:t>
            </w:r>
          </w:p>
        </w:tc>
        <w:tc>
          <w:tcPr>
            <w:tcW w:w="7347" w:type="dxa"/>
            <w:vAlign w:val="center"/>
          </w:tcPr>
          <w:p w14:paraId="02826FB7" w14:textId="77777777" w:rsidR="00696FA9" w:rsidRPr="00036F5F" w:rsidRDefault="00696FA9" w:rsidP="00FF0EE8">
            <w:pPr>
              <w:spacing w:before="40" w:after="40" w:line="240" w:lineRule="auto"/>
              <w:rPr>
                <w:i/>
              </w:rPr>
            </w:pPr>
            <w:r w:rsidRPr="00036F5F">
              <w:rPr>
                <w:i/>
              </w:rPr>
              <w:t>Federal Register</w:t>
            </w:r>
          </w:p>
        </w:tc>
      </w:tr>
      <w:tr w:rsidR="00F04D55" w:rsidRPr="00036F5F" w14:paraId="4713686A" w14:textId="77777777" w:rsidTr="00C2477A">
        <w:trPr>
          <w:trHeight w:val="247"/>
        </w:trPr>
        <w:tc>
          <w:tcPr>
            <w:tcW w:w="1401" w:type="dxa"/>
            <w:vAlign w:val="center"/>
          </w:tcPr>
          <w:p w14:paraId="00D5288A" w14:textId="77777777" w:rsidR="00F04D55" w:rsidRPr="00036F5F" w:rsidRDefault="00F04D55" w:rsidP="00FF0EE8">
            <w:pPr>
              <w:spacing w:before="40" w:after="40" w:line="240" w:lineRule="auto"/>
            </w:pPr>
            <w:r w:rsidRPr="00036F5F">
              <w:t>GAO</w:t>
            </w:r>
          </w:p>
        </w:tc>
        <w:tc>
          <w:tcPr>
            <w:tcW w:w="7347" w:type="dxa"/>
            <w:vAlign w:val="center"/>
          </w:tcPr>
          <w:p w14:paraId="0C80DFB9" w14:textId="77777777" w:rsidR="00F04D55" w:rsidRPr="00036F5F" w:rsidRDefault="008809A9" w:rsidP="00FF0EE8">
            <w:pPr>
              <w:spacing w:before="40" w:after="40" w:line="240" w:lineRule="auto"/>
              <w:rPr>
                <w:color w:val="000000"/>
              </w:rPr>
            </w:pPr>
            <w:r w:rsidRPr="00036F5F">
              <w:t>U.S.</w:t>
            </w:r>
            <w:r w:rsidRPr="00036F5F">
              <w:rPr>
                <w:rFonts w:eastAsiaTheme="minorEastAsia"/>
                <w:lang w:eastAsia="ja-JP"/>
              </w:rPr>
              <w:t> </w:t>
            </w:r>
            <w:r w:rsidR="00F04D55" w:rsidRPr="00036F5F">
              <w:rPr>
                <w:rFonts w:eastAsiaTheme="minorEastAsia"/>
                <w:lang w:eastAsia="ja-JP"/>
              </w:rPr>
              <w:t>G</w:t>
            </w:r>
            <w:r w:rsidR="00B1346D" w:rsidRPr="00036F5F">
              <w:rPr>
                <w:rFonts w:eastAsiaTheme="minorEastAsia"/>
                <w:lang w:eastAsia="ja-JP"/>
              </w:rPr>
              <w:t>overnment</w:t>
            </w:r>
            <w:r w:rsidR="00F04D55" w:rsidRPr="00036F5F">
              <w:rPr>
                <w:rFonts w:eastAsiaTheme="minorEastAsia"/>
                <w:lang w:eastAsia="ja-JP"/>
              </w:rPr>
              <w:t xml:space="preserve"> Accountability Office</w:t>
            </w:r>
          </w:p>
        </w:tc>
      </w:tr>
      <w:tr w:rsidR="00C01E41" w:rsidRPr="00036F5F" w14:paraId="095BAC81" w14:textId="77777777" w:rsidTr="00C2477A">
        <w:trPr>
          <w:trHeight w:val="247"/>
        </w:trPr>
        <w:tc>
          <w:tcPr>
            <w:tcW w:w="1401" w:type="dxa"/>
            <w:vAlign w:val="center"/>
          </w:tcPr>
          <w:p w14:paraId="4E99964B" w14:textId="77777777" w:rsidR="00C01E41" w:rsidRPr="00036F5F" w:rsidRDefault="00C01E41" w:rsidP="00FF0EE8">
            <w:pPr>
              <w:spacing w:before="40" w:after="40" w:line="240" w:lineRule="auto"/>
            </w:pPr>
            <w:r w:rsidRPr="00036F5F">
              <w:t>ICE</w:t>
            </w:r>
          </w:p>
        </w:tc>
        <w:tc>
          <w:tcPr>
            <w:tcW w:w="7347" w:type="dxa"/>
            <w:vAlign w:val="center"/>
          </w:tcPr>
          <w:p w14:paraId="75278D11" w14:textId="77777777" w:rsidR="00C01E41" w:rsidRPr="00036F5F" w:rsidRDefault="00C01E41" w:rsidP="00FF0EE8">
            <w:pPr>
              <w:spacing w:before="40" w:after="40" w:line="240" w:lineRule="auto"/>
              <w:rPr>
                <w:color w:val="000000"/>
              </w:rPr>
            </w:pPr>
            <w:r w:rsidRPr="00036F5F">
              <w:t>independent cost estimate</w:t>
            </w:r>
          </w:p>
        </w:tc>
      </w:tr>
      <w:tr w:rsidR="00205DF0" w:rsidRPr="00036F5F" w14:paraId="196D4512" w14:textId="77777777" w:rsidTr="00C2477A">
        <w:trPr>
          <w:trHeight w:val="247"/>
        </w:trPr>
        <w:tc>
          <w:tcPr>
            <w:tcW w:w="1401" w:type="dxa"/>
            <w:vAlign w:val="center"/>
          </w:tcPr>
          <w:p w14:paraId="1CF596EC" w14:textId="77777777" w:rsidR="00205DF0" w:rsidRPr="00036F5F" w:rsidRDefault="00205DF0" w:rsidP="00FF0EE8">
            <w:pPr>
              <w:spacing w:before="40" w:after="40" w:line="240" w:lineRule="auto"/>
            </w:pPr>
            <w:r w:rsidRPr="00036F5F">
              <w:t>in.</w:t>
            </w:r>
          </w:p>
        </w:tc>
        <w:tc>
          <w:tcPr>
            <w:tcW w:w="7347" w:type="dxa"/>
            <w:vAlign w:val="center"/>
          </w:tcPr>
          <w:p w14:paraId="14ABAF35" w14:textId="77777777" w:rsidR="00205DF0" w:rsidRPr="00036F5F" w:rsidRDefault="00205DF0" w:rsidP="00FF0EE8">
            <w:pPr>
              <w:spacing w:before="40" w:after="40" w:line="240" w:lineRule="auto"/>
              <w:rPr>
                <w:color w:val="000000"/>
              </w:rPr>
            </w:pPr>
            <w:r w:rsidRPr="00036F5F">
              <w:rPr>
                <w:color w:val="000000"/>
              </w:rPr>
              <w:t>inch(es)</w:t>
            </w:r>
          </w:p>
        </w:tc>
      </w:tr>
      <w:tr w:rsidR="00696FA9" w:rsidRPr="00036F5F" w14:paraId="270A2E59" w14:textId="77777777" w:rsidTr="00C2477A">
        <w:trPr>
          <w:trHeight w:val="247"/>
        </w:trPr>
        <w:tc>
          <w:tcPr>
            <w:tcW w:w="1401" w:type="dxa"/>
            <w:vAlign w:val="center"/>
          </w:tcPr>
          <w:p w14:paraId="0FFF7B97" w14:textId="77777777" w:rsidR="00696FA9" w:rsidRPr="00036F5F" w:rsidRDefault="00696FA9" w:rsidP="00FF0EE8">
            <w:pPr>
              <w:spacing w:before="40" w:after="40" w:line="240" w:lineRule="auto"/>
            </w:pPr>
            <w:r w:rsidRPr="00036F5F">
              <w:t>ISI</w:t>
            </w:r>
          </w:p>
        </w:tc>
        <w:tc>
          <w:tcPr>
            <w:tcW w:w="7347" w:type="dxa"/>
            <w:vAlign w:val="center"/>
          </w:tcPr>
          <w:p w14:paraId="5734FE3C" w14:textId="77777777" w:rsidR="00696FA9" w:rsidRPr="00036F5F" w:rsidRDefault="00F16F26" w:rsidP="00FF0EE8">
            <w:pPr>
              <w:spacing w:before="40" w:after="40" w:line="240" w:lineRule="auto"/>
              <w:rPr>
                <w:color w:val="000000"/>
              </w:rPr>
            </w:pPr>
            <w:r w:rsidRPr="00036F5F">
              <w:rPr>
                <w:color w:val="000000"/>
              </w:rPr>
              <w:t>i</w:t>
            </w:r>
            <w:r w:rsidR="00696FA9" w:rsidRPr="00036F5F">
              <w:rPr>
                <w:color w:val="000000"/>
              </w:rPr>
              <w:t xml:space="preserve">nservice </w:t>
            </w:r>
            <w:r w:rsidRPr="00036F5F">
              <w:rPr>
                <w:color w:val="000000"/>
              </w:rPr>
              <w:t>i</w:t>
            </w:r>
            <w:r w:rsidR="00696FA9" w:rsidRPr="00036F5F">
              <w:rPr>
                <w:color w:val="000000"/>
              </w:rPr>
              <w:t>nspection</w:t>
            </w:r>
          </w:p>
        </w:tc>
      </w:tr>
      <w:tr w:rsidR="00696FA9" w:rsidRPr="00036F5F" w14:paraId="715A04FF" w14:textId="77777777" w:rsidTr="00C2477A">
        <w:trPr>
          <w:trHeight w:val="247"/>
        </w:trPr>
        <w:tc>
          <w:tcPr>
            <w:tcW w:w="1401" w:type="dxa"/>
            <w:vAlign w:val="center"/>
          </w:tcPr>
          <w:p w14:paraId="4CA0CB0C" w14:textId="77777777" w:rsidR="00696FA9" w:rsidRPr="00036F5F" w:rsidRDefault="00696FA9" w:rsidP="00FF0EE8">
            <w:pPr>
              <w:spacing w:before="40" w:after="40" w:line="240" w:lineRule="auto"/>
              <w:rPr>
                <w:color w:val="000000"/>
              </w:rPr>
            </w:pPr>
            <w:r w:rsidRPr="00036F5F">
              <w:rPr>
                <w:color w:val="000000"/>
              </w:rPr>
              <w:t>IST</w:t>
            </w:r>
          </w:p>
        </w:tc>
        <w:tc>
          <w:tcPr>
            <w:tcW w:w="7347" w:type="dxa"/>
            <w:vAlign w:val="center"/>
          </w:tcPr>
          <w:p w14:paraId="4F9A6679" w14:textId="77777777" w:rsidR="00696FA9" w:rsidRPr="00036F5F" w:rsidRDefault="00F16F26" w:rsidP="00FF0EE8">
            <w:pPr>
              <w:spacing w:before="40" w:after="40" w:line="240" w:lineRule="auto"/>
              <w:rPr>
                <w:color w:val="000000"/>
              </w:rPr>
            </w:pPr>
            <w:r w:rsidRPr="00036F5F">
              <w:rPr>
                <w:color w:val="000000"/>
              </w:rPr>
              <w:t>i</w:t>
            </w:r>
            <w:r w:rsidR="00696FA9" w:rsidRPr="00036F5F">
              <w:rPr>
                <w:color w:val="000000"/>
              </w:rPr>
              <w:t xml:space="preserve">nservice </w:t>
            </w:r>
            <w:r w:rsidRPr="00036F5F">
              <w:rPr>
                <w:color w:val="000000"/>
              </w:rPr>
              <w:t>t</w:t>
            </w:r>
            <w:r w:rsidR="00696FA9" w:rsidRPr="00036F5F">
              <w:rPr>
                <w:color w:val="000000"/>
              </w:rPr>
              <w:t>esting</w:t>
            </w:r>
          </w:p>
        </w:tc>
      </w:tr>
      <w:tr w:rsidR="00696FA9" w:rsidRPr="00036F5F" w14:paraId="34AC7F5A" w14:textId="77777777" w:rsidTr="00C2477A">
        <w:trPr>
          <w:trHeight w:val="247"/>
        </w:trPr>
        <w:tc>
          <w:tcPr>
            <w:tcW w:w="1401" w:type="dxa"/>
            <w:vAlign w:val="center"/>
          </w:tcPr>
          <w:p w14:paraId="257EB10F" w14:textId="77777777" w:rsidR="00696FA9" w:rsidRPr="00036F5F" w:rsidRDefault="00696FA9" w:rsidP="00FF0EE8">
            <w:pPr>
              <w:spacing w:before="40" w:after="40" w:line="240" w:lineRule="auto"/>
              <w:rPr>
                <w:color w:val="000000"/>
              </w:rPr>
            </w:pPr>
            <w:r w:rsidRPr="00036F5F">
              <w:rPr>
                <w:color w:val="000000"/>
              </w:rPr>
              <w:t>MC</w:t>
            </w:r>
          </w:p>
        </w:tc>
        <w:tc>
          <w:tcPr>
            <w:tcW w:w="7347" w:type="dxa"/>
            <w:vAlign w:val="center"/>
          </w:tcPr>
          <w:p w14:paraId="085B6132" w14:textId="77777777" w:rsidR="00696FA9" w:rsidRPr="00036F5F" w:rsidRDefault="00F16F26" w:rsidP="00FF0EE8">
            <w:pPr>
              <w:spacing w:before="40" w:after="40" w:line="240" w:lineRule="auto"/>
              <w:rPr>
                <w:color w:val="000000"/>
              </w:rPr>
            </w:pPr>
            <w:r w:rsidRPr="00036F5F">
              <w:rPr>
                <w:color w:val="000000"/>
              </w:rPr>
              <w:t>m</w:t>
            </w:r>
            <w:r w:rsidR="00696FA9" w:rsidRPr="00036F5F">
              <w:rPr>
                <w:color w:val="000000"/>
              </w:rPr>
              <w:t xml:space="preserve">etal </w:t>
            </w:r>
            <w:r w:rsidRPr="00036F5F">
              <w:rPr>
                <w:color w:val="000000"/>
              </w:rPr>
              <w:t>c</w:t>
            </w:r>
            <w:r w:rsidR="00696FA9" w:rsidRPr="00036F5F">
              <w:rPr>
                <w:color w:val="000000"/>
              </w:rPr>
              <w:t>ontainment</w:t>
            </w:r>
          </w:p>
        </w:tc>
      </w:tr>
      <w:tr w:rsidR="00CF7E38" w:rsidRPr="00036F5F" w14:paraId="54A16205" w14:textId="77777777" w:rsidTr="00C2477A">
        <w:trPr>
          <w:trHeight w:val="247"/>
        </w:trPr>
        <w:tc>
          <w:tcPr>
            <w:tcW w:w="1401" w:type="dxa"/>
            <w:vAlign w:val="center"/>
          </w:tcPr>
          <w:p w14:paraId="589E5E69" w14:textId="77777777" w:rsidR="00CF7E38" w:rsidRPr="00036F5F" w:rsidRDefault="00CF7E38" w:rsidP="00FF0EE8">
            <w:pPr>
              <w:spacing w:before="40" w:after="40" w:line="240" w:lineRule="auto"/>
              <w:rPr>
                <w:color w:val="000000"/>
              </w:rPr>
            </w:pPr>
            <w:r w:rsidRPr="00036F5F">
              <w:rPr>
                <w:color w:val="000000"/>
              </w:rPr>
              <w:t>MWe</w:t>
            </w:r>
          </w:p>
        </w:tc>
        <w:tc>
          <w:tcPr>
            <w:tcW w:w="7347" w:type="dxa"/>
            <w:vAlign w:val="center"/>
          </w:tcPr>
          <w:p w14:paraId="4E98BD42" w14:textId="77777777" w:rsidR="00CF7E38" w:rsidRPr="00036F5F" w:rsidRDefault="00CF7E38" w:rsidP="00FF0EE8">
            <w:pPr>
              <w:spacing w:before="40" w:after="40" w:line="240" w:lineRule="auto"/>
              <w:rPr>
                <w:color w:val="000000"/>
              </w:rPr>
            </w:pPr>
            <w:r w:rsidRPr="00036F5F">
              <w:rPr>
                <w:color w:val="000000"/>
              </w:rPr>
              <w:t>megawatt electric</w:t>
            </w:r>
          </w:p>
        </w:tc>
      </w:tr>
      <w:tr w:rsidR="00CF7E38" w:rsidRPr="00036F5F" w14:paraId="4CD678B4" w14:textId="77777777" w:rsidTr="00C2477A">
        <w:trPr>
          <w:trHeight w:val="247"/>
        </w:trPr>
        <w:tc>
          <w:tcPr>
            <w:tcW w:w="1401" w:type="dxa"/>
            <w:vAlign w:val="center"/>
          </w:tcPr>
          <w:p w14:paraId="4E3A39E0" w14:textId="77777777" w:rsidR="00CF7E38" w:rsidRPr="00036F5F" w:rsidRDefault="00CF7E38" w:rsidP="00FF0EE8">
            <w:pPr>
              <w:spacing w:before="40" w:after="40" w:line="240" w:lineRule="auto"/>
              <w:rPr>
                <w:color w:val="000000"/>
              </w:rPr>
            </w:pPr>
            <w:r w:rsidRPr="00036F5F">
              <w:rPr>
                <w:color w:val="000000"/>
              </w:rPr>
              <w:t>MWe-hr</w:t>
            </w:r>
          </w:p>
        </w:tc>
        <w:tc>
          <w:tcPr>
            <w:tcW w:w="7347" w:type="dxa"/>
            <w:vAlign w:val="center"/>
          </w:tcPr>
          <w:p w14:paraId="2ACB1AF8" w14:textId="77777777" w:rsidR="00CF7E38" w:rsidRPr="00036F5F" w:rsidRDefault="00CF7E38" w:rsidP="00FF0EE8">
            <w:pPr>
              <w:spacing w:before="40" w:after="40" w:line="240" w:lineRule="auto"/>
              <w:rPr>
                <w:color w:val="000000"/>
              </w:rPr>
            </w:pPr>
            <w:r w:rsidRPr="00036F5F">
              <w:rPr>
                <w:color w:val="000000"/>
              </w:rPr>
              <w:t>megawatt electric per hour</w:t>
            </w:r>
          </w:p>
        </w:tc>
      </w:tr>
      <w:tr w:rsidR="00CF7E38" w:rsidRPr="00036F5F" w14:paraId="4484D8C5" w14:textId="77777777" w:rsidTr="00C2477A">
        <w:trPr>
          <w:trHeight w:val="247"/>
        </w:trPr>
        <w:tc>
          <w:tcPr>
            <w:tcW w:w="1401" w:type="dxa"/>
            <w:vAlign w:val="center"/>
          </w:tcPr>
          <w:p w14:paraId="5AE17EB6" w14:textId="77777777" w:rsidR="00CF7E38" w:rsidRPr="00036F5F" w:rsidRDefault="00CF7E38" w:rsidP="00FF0EE8">
            <w:pPr>
              <w:spacing w:before="40" w:after="40" w:line="240" w:lineRule="auto"/>
              <w:rPr>
                <w:color w:val="000000"/>
              </w:rPr>
            </w:pPr>
            <w:r w:rsidRPr="00036F5F">
              <w:rPr>
                <w:color w:val="000000"/>
              </w:rPr>
              <w:t>NAICS</w:t>
            </w:r>
          </w:p>
        </w:tc>
        <w:tc>
          <w:tcPr>
            <w:tcW w:w="7347" w:type="dxa"/>
            <w:vAlign w:val="center"/>
          </w:tcPr>
          <w:p w14:paraId="17C6E67C" w14:textId="77777777" w:rsidR="00CF7E38" w:rsidRPr="00036F5F" w:rsidRDefault="00CF7E38" w:rsidP="00FF0EE8">
            <w:pPr>
              <w:spacing w:before="40" w:after="40" w:line="240" w:lineRule="auto"/>
              <w:rPr>
                <w:color w:val="000000"/>
              </w:rPr>
            </w:pPr>
            <w:r w:rsidRPr="00036F5F">
              <w:rPr>
                <w:color w:val="000000"/>
              </w:rPr>
              <w:t>North American Industry Classification System</w:t>
            </w:r>
          </w:p>
        </w:tc>
      </w:tr>
      <w:tr w:rsidR="00274428" w:rsidRPr="00036F5F" w14:paraId="6FC1824C" w14:textId="77777777" w:rsidTr="00C2477A">
        <w:trPr>
          <w:trHeight w:val="247"/>
        </w:trPr>
        <w:tc>
          <w:tcPr>
            <w:tcW w:w="1401" w:type="dxa"/>
            <w:vAlign w:val="center"/>
          </w:tcPr>
          <w:p w14:paraId="377CE079" w14:textId="77777777" w:rsidR="00274428" w:rsidRPr="00036F5F" w:rsidRDefault="00274428" w:rsidP="00FF0EE8">
            <w:pPr>
              <w:spacing w:before="40" w:after="40" w:line="240" w:lineRule="auto"/>
            </w:pPr>
            <w:r w:rsidRPr="00036F5F">
              <w:t>NDT</w:t>
            </w:r>
          </w:p>
        </w:tc>
        <w:tc>
          <w:tcPr>
            <w:tcW w:w="7347" w:type="dxa"/>
            <w:vAlign w:val="center"/>
          </w:tcPr>
          <w:p w14:paraId="4CBC52CE" w14:textId="77777777" w:rsidR="00274428" w:rsidRPr="00036F5F" w:rsidRDefault="008809A9" w:rsidP="00FF0EE8">
            <w:pPr>
              <w:spacing w:before="40" w:after="40" w:line="240" w:lineRule="auto"/>
            </w:pPr>
            <w:r w:rsidRPr="00036F5F">
              <w:t>n</w:t>
            </w:r>
            <w:r w:rsidR="00274428" w:rsidRPr="00036F5F">
              <w:t xml:space="preserve">il </w:t>
            </w:r>
            <w:r w:rsidRPr="00036F5F">
              <w:t>d</w:t>
            </w:r>
            <w:r w:rsidR="00C70566" w:rsidRPr="00036F5F">
              <w:t xml:space="preserve">uctility </w:t>
            </w:r>
            <w:r w:rsidRPr="00036F5F">
              <w:t>t</w:t>
            </w:r>
            <w:r w:rsidR="00C70566" w:rsidRPr="00036F5F">
              <w:t>emperature</w:t>
            </w:r>
          </w:p>
        </w:tc>
      </w:tr>
      <w:tr w:rsidR="001651E9" w:rsidRPr="00036F5F" w14:paraId="73283FE8" w14:textId="77777777" w:rsidTr="00C2477A">
        <w:trPr>
          <w:trHeight w:val="247"/>
        </w:trPr>
        <w:tc>
          <w:tcPr>
            <w:tcW w:w="1401" w:type="dxa"/>
            <w:vAlign w:val="center"/>
          </w:tcPr>
          <w:p w14:paraId="6DB0992A" w14:textId="77777777" w:rsidR="001651E9" w:rsidRPr="00036F5F" w:rsidRDefault="001651E9" w:rsidP="00FF0EE8">
            <w:pPr>
              <w:spacing w:before="40" w:after="40" w:line="240" w:lineRule="auto"/>
              <w:rPr>
                <w:color w:val="000000"/>
              </w:rPr>
            </w:pPr>
            <w:r w:rsidRPr="00036F5F">
              <w:rPr>
                <w:color w:val="000000"/>
              </w:rPr>
              <w:t>NM</w:t>
            </w:r>
          </w:p>
        </w:tc>
        <w:tc>
          <w:tcPr>
            <w:tcW w:w="7347" w:type="dxa"/>
            <w:vAlign w:val="center"/>
          </w:tcPr>
          <w:p w14:paraId="2AF0CE54" w14:textId="77777777" w:rsidR="001651E9" w:rsidRPr="00036F5F" w:rsidRDefault="001651E9" w:rsidP="00FF0EE8">
            <w:pPr>
              <w:spacing w:before="40" w:after="40" w:line="240" w:lineRule="auto"/>
              <w:rPr>
                <w:color w:val="000000"/>
              </w:rPr>
            </w:pPr>
            <w:r w:rsidRPr="00036F5F">
              <w:rPr>
                <w:color w:val="000000"/>
              </w:rPr>
              <w:t>not meaningful</w:t>
            </w:r>
          </w:p>
        </w:tc>
      </w:tr>
      <w:tr w:rsidR="00696FA9" w:rsidRPr="00036F5F" w14:paraId="324BC1F1" w14:textId="77777777" w:rsidTr="00C2477A">
        <w:trPr>
          <w:trHeight w:val="247"/>
        </w:trPr>
        <w:tc>
          <w:tcPr>
            <w:tcW w:w="1401" w:type="dxa"/>
            <w:vAlign w:val="center"/>
          </w:tcPr>
          <w:p w14:paraId="6A28ADDA" w14:textId="77777777" w:rsidR="00696FA9" w:rsidRPr="00036F5F" w:rsidRDefault="00696FA9" w:rsidP="00FF0EE8">
            <w:pPr>
              <w:spacing w:before="40" w:after="40" w:line="240" w:lineRule="auto"/>
              <w:rPr>
                <w:color w:val="000000"/>
              </w:rPr>
            </w:pPr>
            <w:r w:rsidRPr="00036F5F">
              <w:rPr>
                <w:color w:val="000000"/>
              </w:rPr>
              <w:t>NPV</w:t>
            </w:r>
          </w:p>
        </w:tc>
        <w:tc>
          <w:tcPr>
            <w:tcW w:w="7347" w:type="dxa"/>
            <w:vAlign w:val="center"/>
          </w:tcPr>
          <w:p w14:paraId="35A266BA" w14:textId="77777777" w:rsidR="00696FA9" w:rsidRPr="00036F5F" w:rsidRDefault="00F16F26" w:rsidP="00FF0EE8">
            <w:pPr>
              <w:spacing w:before="40" w:after="40" w:line="240" w:lineRule="auto"/>
              <w:rPr>
                <w:color w:val="000000"/>
              </w:rPr>
            </w:pPr>
            <w:r w:rsidRPr="00036F5F">
              <w:rPr>
                <w:color w:val="000000"/>
              </w:rPr>
              <w:t>n</w:t>
            </w:r>
            <w:r w:rsidR="00696FA9" w:rsidRPr="00036F5F">
              <w:rPr>
                <w:color w:val="000000"/>
              </w:rPr>
              <w:t xml:space="preserve">et </w:t>
            </w:r>
            <w:r w:rsidRPr="00036F5F">
              <w:rPr>
                <w:color w:val="000000"/>
              </w:rPr>
              <w:t>p</w:t>
            </w:r>
            <w:r w:rsidR="00C2477A" w:rsidRPr="00036F5F">
              <w:rPr>
                <w:color w:val="000000"/>
              </w:rPr>
              <w:t xml:space="preserve">resent </w:t>
            </w:r>
            <w:r w:rsidRPr="00036F5F">
              <w:rPr>
                <w:color w:val="000000"/>
              </w:rPr>
              <w:t>v</w:t>
            </w:r>
            <w:r w:rsidR="00C2477A" w:rsidRPr="00036F5F">
              <w:rPr>
                <w:color w:val="000000"/>
              </w:rPr>
              <w:t>alue</w:t>
            </w:r>
          </w:p>
        </w:tc>
      </w:tr>
      <w:tr w:rsidR="00696FA9" w:rsidRPr="00036F5F" w14:paraId="5C3A49D9" w14:textId="77777777" w:rsidTr="00C2477A">
        <w:trPr>
          <w:trHeight w:val="247"/>
        </w:trPr>
        <w:tc>
          <w:tcPr>
            <w:tcW w:w="1401" w:type="dxa"/>
            <w:vAlign w:val="center"/>
          </w:tcPr>
          <w:p w14:paraId="1F5C0242" w14:textId="77777777" w:rsidR="00696FA9" w:rsidRPr="00036F5F" w:rsidRDefault="00696FA9" w:rsidP="00FF0EE8">
            <w:pPr>
              <w:spacing w:before="40" w:after="40" w:line="240" w:lineRule="auto"/>
              <w:rPr>
                <w:color w:val="000000"/>
              </w:rPr>
            </w:pPr>
            <w:r w:rsidRPr="00036F5F">
              <w:rPr>
                <w:color w:val="000000"/>
              </w:rPr>
              <w:t>NRC</w:t>
            </w:r>
          </w:p>
        </w:tc>
        <w:tc>
          <w:tcPr>
            <w:tcW w:w="7347" w:type="dxa"/>
            <w:vAlign w:val="center"/>
          </w:tcPr>
          <w:p w14:paraId="27CF714C" w14:textId="77777777" w:rsidR="00696FA9" w:rsidRPr="00036F5F" w:rsidRDefault="00284B4B" w:rsidP="00FF0EE8">
            <w:pPr>
              <w:spacing w:before="40" w:after="40" w:line="240" w:lineRule="auto"/>
              <w:rPr>
                <w:color w:val="000000"/>
              </w:rPr>
            </w:pPr>
            <w:r w:rsidRPr="00036F5F">
              <w:rPr>
                <w:color w:val="000000"/>
              </w:rPr>
              <w:t xml:space="preserve">U.S. </w:t>
            </w:r>
            <w:r w:rsidR="00696FA9" w:rsidRPr="00036F5F">
              <w:rPr>
                <w:color w:val="000000"/>
              </w:rPr>
              <w:t>Nuclear Regulatory Commission</w:t>
            </w:r>
          </w:p>
        </w:tc>
      </w:tr>
      <w:tr w:rsidR="00696FA9" w:rsidRPr="00036F5F" w14:paraId="53E10639" w14:textId="77777777" w:rsidTr="00C2477A">
        <w:trPr>
          <w:trHeight w:val="247"/>
        </w:trPr>
        <w:tc>
          <w:tcPr>
            <w:tcW w:w="1401" w:type="dxa"/>
            <w:vAlign w:val="center"/>
          </w:tcPr>
          <w:p w14:paraId="432FF07C" w14:textId="77777777" w:rsidR="00696FA9" w:rsidRPr="00036F5F" w:rsidRDefault="00696FA9" w:rsidP="00FF0EE8">
            <w:pPr>
              <w:spacing w:before="40" w:after="40" w:line="240" w:lineRule="auto"/>
              <w:rPr>
                <w:color w:val="000000"/>
              </w:rPr>
            </w:pPr>
            <w:r w:rsidRPr="00036F5F">
              <w:rPr>
                <w:color w:val="000000"/>
              </w:rPr>
              <w:t>NTTAA</w:t>
            </w:r>
          </w:p>
        </w:tc>
        <w:tc>
          <w:tcPr>
            <w:tcW w:w="7347" w:type="dxa"/>
            <w:vAlign w:val="center"/>
          </w:tcPr>
          <w:p w14:paraId="2129990B" w14:textId="77777777" w:rsidR="00696FA9" w:rsidRPr="00036F5F" w:rsidRDefault="00696FA9" w:rsidP="00FF0EE8">
            <w:pPr>
              <w:spacing w:before="40" w:after="40" w:line="240" w:lineRule="auto"/>
            </w:pPr>
            <w:r w:rsidRPr="00036F5F">
              <w:t>National Technology Transfer and Advancement Act</w:t>
            </w:r>
          </w:p>
        </w:tc>
      </w:tr>
      <w:tr w:rsidR="00696FA9" w:rsidRPr="00036F5F" w14:paraId="031ABC65" w14:textId="77777777" w:rsidTr="00C2477A">
        <w:trPr>
          <w:trHeight w:val="247"/>
        </w:trPr>
        <w:tc>
          <w:tcPr>
            <w:tcW w:w="1401" w:type="dxa"/>
            <w:vAlign w:val="center"/>
          </w:tcPr>
          <w:p w14:paraId="7AB8A0A1" w14:textId="77777777" w:rsidR="00696FA9" w:rsidRPr="00036F5F" w:rsidRDefault="00696FA9" w:rsidP="00FF0EE8">
            <w:pPr>
              <w:spacing w:before="40" w:after="40" w:line="240" w:lineRule="auto"/>
              <w:rPr>
                <w:color w:val="000000"/>
              </w:rPr>
            </w:pPr>
            <w:r w:rsidRPr="00036F5F">
              <w:rPr>
                <w:color w:val="000000"/>
              </w:rPr>
              <w:t>OM</w:t>
            </w:r>
          </w:p>
        </w:tc>
        <w:tc>
          <w:tcPr>
            <w:tcW w:w="7347" w:type="dxa"/>
            <w:vAlign w:val="center"/>
          </w:tcPr>
          <w:p w14:paraId="17F73E39" w14:textId="77777777" w:rsidR="00696FA9" w:rsidRPr="00036F5F" w:rsidRDefault="000D50A2" w:rsidP="00FF0EE8">
            <w:pPr>
              <w:spacing w:before="40" w:after="40" w:line="240" w:lineRule="auto"/>
              <w:rPr>
                <w:color w:val="000000"/>
              </w:rPr>
            </w:pPr>
            <w:r w:rsidRPr="00036F5F">
              <w:rPr>
                <w:color w:val="000000"/>
              </w:rPr>
              <w:t>o</w:t>
            </w:r>
            <w:r w:rsidR="00696FA9" w:rsidRPr="00036F5F">
              <w:rPr>
                <w:color w:val="000000"/>
              </w:rPr>
              <w:t xml:space="preserve">peration and </w:t>
            </w:r>
            <w:r w:rsidRPr="00036F5F">
              <w:rPr>
                <w:color w:val="000000"/>
              </w:rPr>
              <w:t>m</w:t>
            </w:r>
            <w:r w:rsidR="00696FA9" w:rsidRPr="00036F5F">
              <w:rPr>
                <w:color w:val="000000"/>
              </w:rPr>
              <w:t>aintenance</w:t>
            </w:r>
          </w:p>
        </w:tc>
      </w:tr>
      <w:tr w:rsidR="00284B4B" w:rsidRPr="00036F5F" w14:paraId="5EB44A6F" w14:textId="77777777" w:rsidTr="00284B4B">
        <w:trPr>
          <w:trHeight w:val="247"/>
        </w:trPr>
        <w:tc>
          <w:tcPr>
            <w:tcW w:w="1401" w:type="dxa"/>
            <w:vAlign w:val="center"/>
          </w:tcPr>
          <w:p w14:paraId="33BA1E32" w14:textId="77777777" w:rsidR="00284B4B" w:rsidRPr="00036F5F" w:rsidRDefault="00284B4B" w:rsidP="00FF0EE8">
            <w:pPr>
              <w:spacing w:before="40" w:after="40" w:line="240" w:lineRule="auto"/>
              <w:rPr>
                <w:color w:val="000000"/>
              </w:rPr>
            </w:pPr>
            <w:r w:rsidRPr="00036F5F">
              <w:rPr>
                <w:color w:val="000000"/>
              </w:rPr>
              <w:t>OM Code</w:t>
            </w:r>
          </w:p>
        </w:tc>
        <w:tc>
          <w:tcPr>
            <w:tcW w:w="7347" w:type="dxa"/>
            <w:vAlign w:val="center"/>
          </w:tcPr>
          <w:p w14:paraId="06254427" w14:textId="77777777" w:rsidR="00284B4B" w:rsidRPr="00036F5F" w:rsidRDefault="009B68D4" w:rsidP="00FF0EE8">
            <w:pPr>
              <w:spacing w:before="40" w:after="40" w:line="240" w:lineRule="auto"/>
              <w:rPr>
                <w:color w:val="000000"/>
              </w:rPr>
            </w:pPr>
            <w:r w:rsidRPr="00036F5F">
              <w:rPr>
                <w:color w:val="000000"/>
              </w:rPr>
              <w:t xml:space="preserve">ASME </w:t>
            </w:r>
            <w:r w:rsidR="00284B4B" w:rsidRPr="00036F5F">
              <w:rPr>
                <w:color w:val="000000"/>
              </w:rPr>
              <w:t>Code for Operation and Maintenance of Nuclear Power Plants</w:t>
            </w:r>
          </w:p>
        </w:tc>
      </w:tr>
      <w:tr w:rsidR="00696FA9" w:rsidRPr="00036F5F" w14:paraId="0D577F06" w14:textId="77777777" w:rsidTr="00C2477A">
        <w:trPr>
          <w:trHeight w:val="247"/>
        </w:trPr>
        <w:tc>
          <w:tcPr>
            <w:tcW w:w="1401" w:type="dxa"/>
            <w:vAlign w:val="center"/>
          </w:tcPr>
          <w:p w14:paraId="45985BFE" w14:textId="77777777" w:rsidR="00696FA9" w:rsidRPr="00036F5F" w:rsidRDefault="00696FA9" w:rsidP="00FF0EE8">
            <w:pPr>
              <w:spacing w:before="40" w:after="40" w:line="240" w:lineRule="auto"/>
              <w:rPr>
                <w:color w:val="000000"/>
              </w:rPr>
            </w:pPr>
            <w:r w:rsidRPr="00036F5F">
              <w:rPr>
                <w:color w:val="000000"/>
              </w:rPr>
              <w:t>OMB</w:t>
            </w:r>
          </w:p>
        </w:tc>
        <w:tc>
          <w:tcPr>
            <w:tcW w:w="7347" w:type="dxa"/>
            <w:vAlign w:val="center"/>
          </w:tcPr>
          <w:p w14:paraId="010DE6AF" w14:textId="77777777" w:rsidR="00696FA9" w:rsidRPr="00036F5F" w:rsidRDefault="00696FA9" w:rsidP="00FF0EE8">
            <w:pPr>
              <w:spacing w:before="40" w:after="40" w:line="240" w:lineRule="auto"/>
              <w:rPr>
                <w:color w:val="000000"/>
              </w:rPr>
            </w:pPr>
            <w:r w:rsidRPr="00036F5F">
              <w:rPr>
                <w:color w:val="000000"/>
              </w:rPr>
              <w:t>Office of Management and Budget</w:t>
            </w:r>
          </w:p>
        </w:tc>
      </w:tr>
      <w:tr w:rsidR="00F63322" w:rsidRPr="00036F5F" w14:paraId="2941A1CA" w14:textId="77777777" w:rsidTr="00C2477A">
        <w:trPr>
          <w:trHeight w:val="247"/>
        </w:trPr>
        <w:tc>
          <w:tcPr>
            <w:tcW w:w="1401" w:type="dxa"/>
            <w:vAlign w:val="center"/>
          </w:tcPr>
          <w:p w14:paraId="70B0CC8A" w14:textId="77777777" w:rsidR="00F63322" w:rsidRPr="00036F5F" w:rsidRDefault="00F63322" w:rsidP="00FF0EE8">
            <w:pPr>
              <w:spacing w:before="40" w:after="40" w:line="240" w:lineRule="auto"/>
              <w:rPr>
                <w:color w:val="000000"/>
              </w:rPr>
            </w:pPr>
            <w:r w:rsidRPr="00036F5F">
              <w:rPr>
                <w:color w:val="000000"/>
              </w:rPr>
              <w:t>PERT</w:t>
            </w:r>
          </w:p>
        </w:tc>
        <w:tc>
          <w:tcPr>
            <w:tcW w:w="7347" w:type="dxa"/>
            <w:vAlign w:val="center"/>
          </w:tcPr>
          <w:p w14:paraId="49A3BACA" w14:textId="77777777" w:rsidR="00F63322" w:rsidRPr="00036F5F" w:rsidRDefault="00E03B5A" w:rsidP="00FF0EE8">
            <w:pPr>
              <w:spacing w:before="40" w:after="40" w:line="240" w:lineRule="auto"/>
              <w:rPr>
                <w:color w:val="000000"/>
              </w:rPr>
            </w:pPr>
            <w:r w:rsidRPr="00036F5F">
              <w:t>p</w:t>
            </w:r>
            <w:r w:rsidR="00F63322" w:rsidRPr="00036F5F">
              <w:t xml:space="preserve">rogram </w:t>
            </w:r>
            <w:r w:rsidRPr="00036F5F">
              <w:t>e</w:t>
            </w:r>
            <w:r w:rsidR="00F63322" w:rsidRPr="00036F5F">
              <w:t xml:space="preserve">valuation and </w:t>
            </w:r>
            <w:r w:rsidRPr="00036F5F">
              <w:t>r</w:t>
            </w:r>
            <w:r w:rsidR="00F63322" w:rsidRPr="00036F5F">
              <w:t xml:space="preserve">eview </w:t>
            </w:r>
            <w:r w:rsidRPr="00036F5F">
              <w:t>t</w:t>
            </w:r>
            <w:r w:rsidR="00F63322" w:rsidRPr="00036F5F">
              <w:t>echnique</w:t>
            </w:r>
          </w:p>
        </w:tc>
      </w:tr>
      <w:tr w:rsidR="00F04D55" w:rsidRPr="00036F5F" w14:paraId="0D7CAFF2" w14:textId="77777777" w:rsidTr="00C2477A">
        <w:trPr>
          <w:trHeight w:val="247"/>
        </w:trPr>
        <w:tc>
          <w:tcPr>
            <w:tcW w:w="1401" w:type="dxa"/>
            <w:vAlign w:val="center"/>
          </w:tcPr>
          <w:p w14:paraId="55E88405" w14:textId="77777777" w:rsidR="00F04D55" w:rsidRPr="00036F5F" w:rsidRDefault="00F04D55" w:rsidP="00FF0EE8">
            <w:pPr>
              <w:spacing w:before="40" w:after="40" w:line="240" w:lineRule="auto"/>
              <w:rPr>
                <w:color w:val="000000"/>
              </w:rPr>
            </w:pPr>
            <w:r w:rsidRPr="00036F5F">
              <w:rPr>
                <w:color w:val="000000"/>
              </w:rPr>
              <w:t>PPA</w:t>
            </w:r>
          </w:p>
        </w:tc>
        <w:tc>
          <w:tcPr>
            <w:tcW w:w="7347" w:type="dxa"/>
            <w:vAlign w:val="center"/>
          </w:tcPr>
          <w:p w14:paraId="541D9226" w14:textId="77777777" w:rsidR="00F04D55" w:rsidRPr="00036F5F" w:rsidRDefault="00F04D55" w:rsidP="00FF0EE8">
            <w:pPr>
              <w:spacing w:before="40" w:after="40" w:line="240" w:lineRule="auto"/>
              <w:rPr>
                <w:color w:val="000000"/>
              </w:rPr>
            </w:pPr>
            <w:r w:rsidRPr="00036F5F">
              <w:t>power purchase agreement</w:t>
            </w:r>
          </w:p>
        </w:tc>
      </w:tr>
      <w:tr w:rsidR="00696FA9" w:rsidRPr="00036F5F" w14:paraId="072606FF" w14:textId="77777777" w:rsidTr="00C2477A">
        <w:trPr>
          <w:trHeight w:val="247"/>
        </w:trPr>
        <w:tc>
          <w:tcPr>
            <w:tcW w:w="1401" w:type="dxa"/>
            <w:vAlign w:val="center"/>
          </w:tcPr>
          <w:p w14:paraId="03769F39" w14:textId="77777777" w:rsidR="00696FA9" w:rsidRPr="00036F5F" w:rsidRDefault="000B5B2C" w:rsidP="00FF0EE8">
            <w:pPr>
              <w:spacing w:before="40" w:after="40" w:line="240" w:lineRule="auto"/>
              <w:rPr>
                <w:color w:val="000000"/>
              </w:rPr>
            </w:pPr>
            <w:r w:rsidRPr="00036F5F">
              <w:rPr>
                <w:color w:val="000000"/>
              </w:rPr>
              <w:t>PWR</w:t>
            </w:r>
          </w:p>
        </w:tc>
        <w:tc>
          <w:tcPr>
            <w:tcW w:w="7347" w:type="dxa"/>
            <w:vAlign w:val="center"/>
          </w:tcPr>
          <w:p w14:paraId="78C70C0B" w14:textId="77777777" w:rsidR="00696FA9" w:rsidRPr="00036F5F" w:rsidRDefault="00E03B5A" w:rsidP="00FF0EE8">
            <w:pPr>
              <w:spacing w:before="40" w:after="40" w:line="240" w:lineRule="auto"/>
              <w:rPr>
                <w:color w:val="000000"/>
              </w:rPr>
            </w:pPr>
            <w:r w:rsidRPr="00036F5F">
              <w:rPr>
                <w:color w:val="000000"/>
              </w:rPr>
              <w:t>p</w:t>
            </w:r>
            <w:r w:rsidR="000B5B2C" w:rsidRPr="00036F5F">
              <w:rPr>
                <w:color w:val="000000"/>
              </w:rPr>
              <w:t>ressurized</w:t>
            </w:r>
            <w:r w:rsidRPr="00036F5F">
              <w:rPr>
                <w:color w:val="000000"/>
              </w:rPr>
              <w:noBreakHyphen/>
              <w:t>w</w:t>
            </w:r>
            <w:r w:rsidR="00C70566" w:rsidRPr="00036F5F">
              <w:rPr>
                <w:color w:val="000000"/>
              </w:rPr>
              <w:t xml:space="preserve">ater </w:t>
            </w:r>
            <w:r w:rsidRPr="00036F5F">
              <w:rPr>
                <w:color w:val="000000"/>
              </w:rPr>
              <w:t>r</w:t>
            </w:r>
            <w:r w:rsidR="00C70566" w:rsidRPr="00036F5F">
              <w:rPr>
                <w:color w:val="000000"/>
              </w:rPr>
              <w:t>eactor</w:t>
            </w:r>
          </w:p>
        </w:tc>
      </w:tr>
      <w:tr w:rsidR="00284B4B" w:rsidRPr="00036F5F" w14:paraId="21069577" w14:textId="77777777" w:rsidTr="00284B4B">
        <w:trPr>
          <w:trHeight w:val="247"/>
        </w:trPr>
        <w:tc>
          <w:tcPr>
            <w:tcW w:w="1401" w:type="dxa"/>
            <w:vAlign w:val="center"/>
          </w:tcPr>
          <w:p w14:paraId="58E727FF" w14:textId="77777777" w:rsidR="00284B4B" w:rsidRPr="00036F5F" w:rsidRDefault="000B5B2C" w:rsidP="00FF0EE8">
            <w:pPr>
              <w:spacing w:before="40" w:after="40" w:line="240" w:lineRule="auto"/>
            </w:pPr>
            <w:r w:rsidRPr="00036F5F">
              <w:t>Rev.</w:t>
            </w:r>
          </w:p>
        </w:tc>
        <w:tc>
          <w:tcPr>
            <w:tcW w:w="7347" w:type="dxa"/>
            <w:vAlign w:val="center"/>
          </w:tcPr>
          <w:p w14:paraId="36F646CA" w14:textId="77777777" w:rsidR="00284B4B" w:rsidRPr="00036F5F" w:rsidRDefault="009B68D4" w:rsidP="00FF0EE8">
            <w:pPr>
              <w:spacing w:before="40" w:after="40" w:line="240" w:lineRule="auto"/>
            </w:pPr>
            <w:r w:rsidRPr="00036F5F">
              <w:t>r</w:t>
            </w:r>
            <w:r w:rsidR="00284B4B" w:rsidRPr="00036F5F">
              <w:t>evision</w:t>
            </w:r>
          </w:p>
        </w:tc>
      </w:tr>
      <w:tr w:rsidR="00696FA9" w:rsidRPr="00036F5F" w14:paraId="1667FC05" w14:textId="77777777" w:rsidTr="00C2477A">
        <w:trPr>
          <w:trHeight w:val="247"/>
        </w:trPr>
        <w:tc>
          <w:tcPr>
            <w:tcW w:w="1401" w:type="dxa"/>
            <w:vAlign w:val="center"/>
          </w:tcPr>
          <w:p w14:paraId="14A0C728" w14:textId="77777777" w:rsidR="00696FA9" w:rsidRPr="00036F5F" w:rsidRDefault="00696FA9" w:rsidP="00FF0EE8">
            <w:pPr>
              <w:spacing w:before="40" w:after="40" w:line="240" w:lineRule="auto"/>
            </w:pPr>
            <w:r w:rsidRPr="00036F5F">
              <w:t>RG</w:t>
            </w:r>
          </w:p>
        </w:tc>
        <w:tc>
          <w:tcPr>
            <w:tcW w:w="7347" w:type="dxa"/>
            <w:vAlign w:val="center"/>
          </w:tcPr>
          <w:p w14:paraId="77050399" w14:textId="77777777" w:rsidR="00696FA9" w:rsidRPr="00036F5F" w:rsidRDefault="00E03B5A" w:rsidP="00FF0EE8">
            <w:pPr>
              <w:spacing w:before="40" w:after="40" w:line="240" w:lineRule="auto"/>
              <w:rPr>
                <w:color w:val="000000"/>
              </w:rPr>
            </w:pPr>
            <w:r w:rsidRPr="00036F5F">
              <w:rPr>
                <w:color w:val="000000"/>
              </w:rPr>
              <w:t>r</w:t>
            </w:r>
            <w:r w:rsidR="00696FA9" w:rsidRPr="00036F5F">
              <w:rPr>
                <w:color w:val="000000"/>
              </w:rPr>
              <w:t xml:space="preserve">egulatory </w:t>
            </w:r>
            <w:r w:rsidRPr="00036F5F">
              <w:rPr>
                <w:color w:val="000000"/>
              </w:rPr>
              <w:t>g</w:t>
            </w:r>
            <w:r w:rsidR="00696FA9" w:rsidRPr="00036F5F">
              <w:rPr>
                <w:color w:val="000000"/>
              </w:rPr>
              <w:t>uide</w:t>
            </w:r>
          </w:p>
        </w:tc>
      </w:tr>
      <w:tr w:rsidR="000B5B2C" w:rsidRPr="00036F5F" w14:paraId="42498795" w14:textId="77777777" w:rsidTr="00C2477A">
        <w:trPr>
          <w:trHeight w:val="247"/>
        </w:trPr>
        <w:tc>
          <w:tcPr>
            <w:tcW w:w="1401" w:type="dxa"/>
            <w:vAlign w:val="center"/>
          </w:tcPr>
          <w:p w14:paraId="2E3C13F9" w14:textId="77777777" w:rsidR="000B5B2C" w:rsidRPr="00036F5F" w:rsidRDefault="000B5B2C" w:rsidP="00FF0EE8">
            <w:pPr>
              <w:spacing w:before="40" w:after="40" w:line="240" w:lineRule="auto"/>
              <w:rPr>
                <w:color w:val="000000"/>
              </w:rPr>
            </w:pPr>
            <w:r w:rsidRPr="00036F5F">
              <w:rPr>
                <w:color w:val="000000"/>
              </w:rPr>
              <w:t>SI</w:t>
            </w:r>
          </w:p>
        </w:tc>
        <w:tc>
          <w:tcPr>
            <w:tcW w:w="7347" w:type="dxa"/>
            <w:vAlign w:val="center"/>
          </w:tcPr>
          <w:p w14:paraId="51D70E39" w14:textId="77777777" w:rsidR="00CF7E38" w:rsidRPr="00036F5F" w:rsidRDefault="000B5B2C" w:rsidP="00FF0EE8">
            <w:pPr>
              <w:spacing w:before="40" w:after="40" w:line="240" w:lineRule="auto"/>
              <w:rPr>
                <w:color w:val="000000"/>
              </w:rPr>
            </w:pPr>
            <w:r w:rsidRPr="00036F5F">
              <w:rPr>
                <w:color w:val="000000"/>
              </w:rPr>
              <w:t xml:space="preserve">International </w:t>
            </w:r>
            <w:r w:rsidR="00C70566" w:rsidRPr="00036F5F">
              <w:rPr>
                <w:color w:val="000000"/>
              </w:rPr>
              <w:t>System of Units</w:t>
            </w:r>
          </w:p>
        </w:tc>
      </w:tr>
      <w:tr w:rsidR="00CF7E38" w:rsidRPr="00036F5F" w14:paraId="589C839D" w14:textId="77777777" w:rsidTr="00C2477A">
        <w:trPr>
          <w:trHeight w:val="247"/>
        </w:trPr>
        <w:tc>
          <w:tcPr>
            <w:tcW w:w="1401" w:type="dxa"/>
            <w:vAlign w:val="center"/>
          </w:tcPr>
          <w:p w14:paraId="19E34808" w14:textId="77777777" w:rsidR="00CF7E38" w:rsidRPr="00036F5F" w:rsidRDefault="00CF7E38" w:rsidP="00FF0EE8">
            <w:pPr>
              <w:spacing w:before="40" w:after="40" w:line="240" w:lineRule="auto"/>
              <w:rPr>
                <w:color w:val="000000"/>
              </w:rPr>
            </w:pPr>
            <w:r w:rsidRPr="00036F5F">
              <w:rPr>
                <w:color w:val="000000"/>
              </w:rPr>
              <w:t>SOC</w:t>
            </w:r>
          </w:p>
        </w:tc>
        <w:tc>
          <w:tcPr>
            <w:tcW w:w="7347" w:type="dxa"/>
            <w:vAlign w:val="center"/>
          </w:tcPr>
          <w:p w14:paraId="3F4F19C5" w14:textId="77777777" w:rsidR="00CF7E38" w:rsidRPr="00036F5F" w:rsidRDefault="00CF7E38" w:rsidP="00FF0EE8">
            <w:pPr>
              <w:spacing w:before="40" w:after="40" w:line="240" w:lineRule="auto"/>
              <w:rPr>
                <w:color w:val="000000"/>
              </w:rPr>
            </w:pPr>
            <w:r w:rsidRPr="00036F5F">
              <w:rPr>
                <w:color w:val="000000"/>
              </w:rPr>
              <w:t>Standard Occupational Classification</w:t>
            </w:r>
          </w:p>
        </w:tc>
      </w:tr>
      <w:tr w:rsidR="00696FA9" w:rsidRPr="00036F5F" w14:paraId="3B685ACB" w14:textId="77777777" w:rsidTr="00C2477A">
        <w:trPr>
          <w:trHeight w:val="247"/>
        </w:trPr>
        <w:tc>
          <w:tcPr>
            <w:tcW w:w="1401" w:type="dxa"/>
            <w:vAlign w:val="center"/>
          </w:tcPr>
          <w:p w14:paraId="07721134" w14:textId="77777777" w:rsidR="00696FA9" w:rsidRPr="00036F5F" w:rsidRDefault="00696FA9" w:rsidP="00FF0EE8">
            <w:pPr>
              <w:spacing w:before="40" w:after="40" w:line="240" w:lineRule="auto"/>
              <w:rPr>
                <w:color w:val="000000"/>
              </w:rPr>
            </w:pPr>
            <w:r w:rsidRPr="00036F5F">
              <w:rPr>
                <w:color w:val="000000"/>
              </w:rPr>
              <w:t>U.S.C.</w:t>
            </w:r>
          </w:p>
        </w:tc>
        <w:tc>
          <w:tcPr>
            <w:tcW w:w="7347" w:type="dxa"/>
            <w:vAlign w:val="center"/>
          </w:tcPr>
          <w:p w14:paraId="3E0AB256" w14:textId="77777777" w:rsidR="00696FA9" w:rsidRPr="00036F5F" w:rsidRDefault="00696FA9" w:rsidP="00FF0EE8">
            <w:pPr>
              <w:spacing w:before="40" w:after="40" w:line="240" w:lineRule="auto"/>
              <w:rPr>
                <w:color w:val="000000"/>
              </w:rPr>
            </w:pPr>
            <w:r w:rsidRPr="00036F5F">
              <w:rPr>
                <w:color w:val="000000"/>
              </w:rPr>
              <w:t>United States Code</w:t>
            </w:r>
          </w:p>
        </w:tc>
      </w:tr>
    </w:tbl>
    <w:p w14:paraId="2D6FF783" w14:textId="77777777" w:rsidR="00D67B90" w:rsidRPr="00036F5F" w:rsidRDefault="00D67B90" w:rsidP="00FF0EE8">
      <w:pPr>
        <w:spacing w:line="240" w:lineRule="auto"/>
      </w:pPr>
    </w:p>
    <w:p w14:paraId="3B77274B" w14:textId="77777777" w:rsidR="00D67B90" w:rsidRDefault="00D67B90" w:rsidP="00FF0EE8">
      <w:pPr>
        <w:spacing w:line="240" w:lineRule="auto"/>
        <w:sectPr w:rsidR="00D67B90" w:rsidSect="001C2348">
          <w:pgSz w:w="12240" w:h="15840"/>
          <w:pgMar w:top="1440" w:right="1440" w:bottom="1440" w:left="1440" w:header="720" w:footer="720" w:gutter="0"/>
          <w:pgNumType w:fmt="lowerRoman"/>
          <w:cols w:space="720"/>
          <w:docGrid w:linePitch="360"/>
        </w:sectPr>
      </w:pPr>
    </w:p>
    <w:p w14:paraId="652B45C1" w14:textId="77777777" w:rsidR="001C2348" w:rsidRDefault="001C2348" w:rsidP="00FF0EE8">
      <w:pPr>
        <w:pStyle w:val="Heading1"/>
        <w:numPr>
          <w:ilvl w:val="0"/>
          <w:numId w:val="0"/>
        </w:numPr>
        <w:spacing w:line="240" w:lineRule="auto"/>
        <w:ind w:left="540" w:hanging="540"/>
      </w:pPr>
      <w:bookmarkStart w:id="12" w:name="_Toc462224935"/>
      <w:bookmarkStart w:id="13" w:name="_Toc468875894"/>
      <w:r>
        <w:t>Abstract</w:t>
      </w:r>
      <w:bookmarkEnd w:id="12"/>
      <w:bookmarkEnd w:id="13"/>
    </w:p>
    <w:p w14:paraId="481FF154" w14:textId="77777777" w:rsidR="001C2348" w:rsidRDefault="001C2348" w:rsidP="00FF0EE8">
      <w:pPr>
        <w:spacing w:line="240" w:lineRule="auto"/>
      </w:pPr>
    </w:p>
    <w:p w14:paraId="0C79F2CB" w14:textId="2140F8FD" w:rsidR="003168BA" w:rsidRDefault="00E36B4B" w:rsidP="00FF0EE8">
      <w:pPr>
        <w:spacing w:line="240" w:lineRule="auto"/>
      </w:pPr>
      <w:bookmarkStart w:id="14" w:name="_Toc414345945"/>
      <w:r w:rsidRPr="005A5E07">
        <w:t xml:space="preserve">This </w:t>
      </w:r>
      <w:r w:rsidR="00A77359">
        <w:t>final</w:t>
      </w:r>
      <w:r w:rsidR="00A77359" w:rsidRPr="005A5E07">
        <w:t xml:space="preserve"> </w:t>
      </w:r>
      <w:r w:rsidRPr="005A5E07">
        <w:t xml:space="preserve">rule </w:t>
      </w:r>
      <w:r w:rsidR="00407795">
        <w:t xml:space="preserve">incorporates </w:t>
      </w:r>
      <w:r w:rsidRPr="005A5E07">
        <w:t xml:space="preserve">by reference </w:t>
      </w:r>
      <w:r w:rsidR="00F63322">
        <w:t xml:space="preserve">into the U.S. Nuclear Regulatory Commission’s (NRC’s) regulations </w:t>
      </w:r>
      <w:r w:rsidRPr="005A5E07">
        <w:t xml:space="preserve">the latest revisions </w:t>
      </w:r>
      <w:r w:rsidR="00E65716">
        <w:t>to</w:t>
      </w:r>
      <w:r w:rsidR="00E65716" w:rsidRPr="005A5E07">
        <w:t xml:space="preserve"> </w:t>
      </w:r>
      <w:r w:rsidRPr="005A5E07">
        <w:t>the NRC</w:t>
      </w:r>
      <w:r>
        <w:t xml:space="preserve"> </w:t>
      </w:r>
      <w:r w:rsidR="00E65716">
        <w:t>r</w:t>
      </w:r>
      <w:r>
        <w:t>egulatory</w:t>
      </w:r>
      <w:r w:rsidR="00E65716">
        <w:t xml:space="preserve"> </w:t>
      </w:r>
      <w:r w:rsidR="00355213">
        <w:t>g</w:t>
      </w:r>
      <w:r>
        <w:t>uides</w:t>
      </w:r>
      <w:r w:rsidRPr="005A5E07">
        <w:t xml:space="preserve"> </w:t>
      </w:r>
      <w:r>
        <w:t>(</w:t>
      </w:r>
      <w:r w:rsidRPr="005A5E07">
        <w:t>RGs</w:t>
      </w:r>
      <w:r>
        <w:t>)</w:t>
      </w:r>
      <w:r w:rsidR="00D764F9">
        <w:t>,</w:t>
      </w:r>
      <w:r w:rsidRPr="005A5E07">
        <w:t xml:space="preserve"> list</w:t>
      </w:r>
      <w:r w:rsidR="00F63322">
        <w:t>ing</w:t>
      </w:r>
      <w:r w:rsidRPr="005A5E07">
        <w:t xml:space="preserve"> </w:t>
      </w:r>
      <w:r>
        <w:t>American Society of Mechanical Engineers (</w:t>
      </w:r>
      <w:r w:rsidRPr="005A5E07">
        <w:t>ASME</w:t>
      </w:r>
      <w:r>
        <w:t xml:space="preserve">) </w:t>
      </w:r>
      <w:r w:rsidR="009B68D4">
        <w:t xml:space="preserve">Code Cases for the ASME </w:t>
      </w:r>
      <w:r>
        <w:t>Boiler and Pressure Vessel</w:t>
      </w:r>
      <w:r w:rsidRPr="005A5E07">
        <w:t xml:space="preserve"> </w:t>
      </w:r>
      <w:r w:rsidR="009B68D4">
        <w:t xml:space="preserve">Code </w:t>
      </w:r>
      <w:r>
        <w:t>(</w:t>
      </w:r>
      <w:r w:rsidRPr="005A5E07">
        <w:t>BPV</w:t>
      </w:r>
      <w:r w:rsidR="009B68D4">
        <w:t xml:space="preserve"> Code</w:t>
      </w:r>
      <w:r>
        <w:t>)</w:t>
      </w:r>
      <w:r w:rsidRPr="005A5E07">
        <w:t xml:space="preserve"> and </w:t>
      </w:r>
      <w:r>
        <w:t>Operation and Maintenance</w:t>
      </w:r>
      <w:r w:rsidR="009B68D4">
        <w:t xml:space="preserve"> of Nuclear Power Plants</w:t>
      </w:r>
      <w:r>
        <w:t xml:space="preserve"> (</w:t>
      </w:r>
      <w:r w:rsidRPr="005A5E07">
        <w:t>OM</w:t>
      </w:r>
      <w:r w:rsidR="009B68D4">
        <w:t xml:space="preserve"> Code</w:t>
      </w:r>
      <w:r>
        <w:t>)</w:t>
      </w:r>
      <w:r w:rsidRPr="005A5E07">
        <w:t xml:space="preserve"> that the NRC find</w:t>
      </w:r>
      <w:r w:rsidR="00355213">
        <w:t>s</w:t>
      </w:r>
      <w:r w:rsidRPr="005A5E07">
        <w:t xml:space="preserve"> acceptable or acceptable with NRC</w:t>
      </w:r>
      <w:r w:rsidR="00355213">
        <w:noBreakHyphen/>
      </w:r>
      <w:r w:rsidRPr="005A5E07">
        <w:t xml:space="preserve">specified conditions (“conditionally acceptable”).  </w:t>
      </w:r>
      <w:r w:rsidR="009824A2">
        <w:t xml:space="preserve">The </w:t>
      </w:r>
      <w:r w:rsidR="006C627D">
        <w:t xml:space="preserve">NRC is </w:t>
      </w:r>
      <w:r w:rsidR="00895559">
        <w:t xml:space="preserve">issuing </w:t>
      </w:r>
      <w:r w:rsidR="003168BA">
        <w:t xml:space="preserve">three </w:t>
      </w:r>
      <w:r w:rsidR="009824A2">
        <w:t>RG</w:t>
      </w:r>
      <w:r w:rsidR="00895559">
        <w:t xml:space="preserve"> revisions</w:t>
      </w:r>
      <w:r w:rsidR="009824A2">
        <w:t xml:space="preserve"> </w:t>
      </w:r>
      <w:r w:rsidR="00895559">
        <w:t xml:space="preserve">that </w:t>
      </w:r>
      <w:r w:rsidR="009824A2">
        <w:t xml:space="preserve">identify the </w:t>
      </w:r>
      <w:r w:rsidR="003168BA">
        <w:t xml:space="preserve">ASME </w:t>
      </w:r>
      <w:r w:rsidR="009824A2">
        <w:t>Code Cases that are newly approved by the NRC</w:t>
      </w:r>
      <w:r w:rsidR="003168BA">
        <w:t>:</w:t>
      </w:r>
    </w:p>
    <w:p w14:paraId="3D640FF7" w14:textId="77777777" w:rsidR="003168BA" w:rsidRDefault="003168BA" w:rsidP="00FF0EE8">
      <w:pPr>
        <w:spacing w:line="240" w:lineRule="auto"/>
      </w:pPr>
    </w:p>
    <w:p w14:paraId="42C555BD" w14:textId="77777777" w:rsidR="003168BA" w:rsidRDefault="00355213" w:rsidP="00FF0EE8">
      <w:pPr>
        <w:pStyle w:val="ListParagraph"/>
        <w:numPr>
          <w:ilvl w:val="0"/>
          <w:numId w:val="34"/>
        </w:numPr>
        <w:spacing w:line="240" w:lineRule="auto"/>
        <w:ind w:hanging="720"/>
      </w:pPr>
      <w:r>
        <w:t>RG</w:t>
      </w:r>
      <w:r w:rsidR="00EF19A3">
        <w:t> </w:t>
      </w:r>
      <w:r w:rsidR="00E36B4B" w:rsidRPr="005A5E07">
        <w:t xml:space="preserve">1.84, </w:t>
      </w:r>
      <w:r>
        <w:t xml:space="preserve">“Design, Fabrication, and Materials Code Case Acceptability, ASME </w:t>
      </w:r>
      <w:r w:rsidRPr="003168BA">
        <w:t>Section</w:t>
      </w:r>
      <w:r w:rsidR="003168BA">
        <w:t> </w:t>
      </w:r>
      <w:r w:rsidRPr="003168BA">
        <w:t>III</w:t>
      </w:r>
      <w:r>
        <w:t xml:space="preserve">,” </w:t>
      </w:r>
      <w:r w:rsidR="00E36B4B" w:rsidRPr="005A5E07">
        <w:t>Revision</w:t>
      </w:r>
      <w:r>
        <w:t> </w:t>
      </w:r>
      <w:r w:rsidR="00E36B4B" w:rsidRPr="005A5E07">
        <w:t xml:space="preserve">37 </w:t>
      </w:r>
      <w:r w:rsidR="00274428" w:rsidRPr="00FD0745">
        <w:t>(</w:t>
      </w:r>
      <w:r w:rsidR="00FD0745" w:rsidRPr="00D557C2">
        <w:t>d</w:t>
      </w:r>
      <w:r w:rsidR="00E36B4B" w:rsidRPr="00FD0745">
        <w:t xml:space="preserve">raft </w:t>
      </w:r>
      <w:r w:rsidR="00FD0745" w:rsidRPr="00D557C2">
        <w:t>r</w:t>
      </w:r>
      <w:r w:rsidR="00E36B4B" w:rsidRPr="00FD0745">
        <w:t xml:space="preserve">egulatory </w:t>
      </w:r>
      <w:r w:rsidR="00FD0745" w:rsidRPr="00D557C2">
        <w:t>g</w:t>
      </w:r>
      <w:r w:rsidR="00E36B4B" w:rsidRPr="00FD0745">
        <w:t xml:space="preserve">uide </w:t>
      </w:r>
      <w:r w:rsidR="00A136CE">
        <w:t>(</w:t>
      </w:r>
      <w:r w:rsidR="00E36B4B" w:rsidRPr="002635C6">
        <w:t>DG</w:t>
      </w:r>
      <w:r w:rsidR="00A136CE">
        <w:t>)</w:t>
      </w:r>
      <w:r w:rsidRPr="00DE2F85">
        <w:noBreakHyphen/>
      </w:r>
      <w:r w:rsidR="00E36B4B" w:rsidRPr="00DE2F85">
        <w:t>1295</w:t>
      </w:r>
      <w:r w:rsidR="00274428" w:rsidRPr="002635C6">
        <w:t>)</w:t>
      </w:r>
      <w:r w:rsidR="00E36B4B" w:rsidRPr="002635C6">
        <w:t>,</w:t>
      </w:r>
      <w:r w:rsidR="00E36B4B" w:rsidRPr="005A5E07">
        <w:t xml:space="preserve"> would supersede the incorporation by reference of </w:t>
      </w:r>
      <w:r w:rsidR="003168BA">
        <w:t>RG</w:t>
      </w:r>
      <w:r>
        <w:t> </w:t>
      </w:r>
      <w:r w:rsidRPr="005A5E07">
        <w:t>1.84</w:t>
      </w:r>
      <w:r>
        <w:t xml:space="preserve">, </w:t>
      </w:r>
      <w:r w:rsidR="00E36B4B" w:rsidRPr="005A5E07">
        <w:t>Revision</w:t>
      </w:r>
      <w:r w:rsidR="00EF19A3">
        <w:t> </w:t>
      </w:r>
      <w:r w:rsidR="00E36B4B" w:rsidRPr="005A5E07">
        <w:t>36</w:t>
      </w:r>
      <w:r>
        <w:t>, issued August 2014</w:t>
      </w:r>
      <w:r w:rsidR="003168BA">
        <w:t>.</w:t>
      </w:r>
    </w:p>
    <w:p w14:paraId="277719CA" w14:textId="77777777" w:rsidR="003168BA" w:rsidRDefault="003168BA" w:rsidP="00FF0EE8">
      <w:pPr>
        <w:spacing w:line="240" w:lineRule="auto"/>
        <w:ind w:hanging="720"/>
      </w:pPr>
    </w:p>
    <w:p w14:paraId="1F2523F7" w14:textId="77777777" w:rsidR="003168BA" w:rsidRDefault="00E36B4B" w:rsidP="00FF0EE8">
      <w:pPr>
        <w:pStyle w:val="ListParagraph"/>
        <w:numPr>
          <w:ilvl w:val="0"/>
          <w:numId w:val="34"/>
        </w:numPr>
        <w:spacing w:line="240" w:lineRule="auto"/>
        <w:ind w:hanging="720"/>
      </w:pPr>
      <w:r w:rsidRPr="005A5E07">
        <w:t>RG</w:t>
      </w:r>
      <w:r w:rsidR="00EF19A3">
        <w:t> </w:t>
      </w:r>
      <w:r w:rsidRPr="005A5E07">
        <w:t xml:space="preserve">1.147, </w:t>
      </w:r>
      <w:r w:rsidR="00EF19A3">
        <w:t xml:space="preserve">“Inservice Inspection Code Case Acceptability, ASME Section XI, Division 1,” </w:t>
      </w:r>
      <w:r w:rsidRPr="005A5E07">
        <w:t>Revision</w:t>
      </w:r>
      <w:r w:rsidR="00EF19A3">
        <w:t> </w:t>
      </w:r>
      <w:r w:rsidRPr="005A5E07">
        <w:t xml:space="preserve">18 </w:t>
      </w:r>
      <w:r w:rsidR="00274428">
        <w:t>(</w:t>
      </w:r>
      <w:r w:rsidRPr="005A5E07">
        <w:t>DG</w:t>
      </w:r>
      <w:r w:rsidR="00EF19A3">
        <w:noBreakHyphen/>
      </w:r>
      <w:r w:rsidRPr="005A5E07">
        <w:t>1296</w:t>
      </w:r>
      <w:r w:rsidR="00274428">
        <w:t>)</w:t>
      </w:r>
      <w:r w:rsidRPr="005A5E07">
        <w:t xml:space="preserve">, would supersede the incorporation by reference of </w:t>
      </w:r>
      <w:r w:rsidR="00EF19A3" w:rsidRPr="005A5E07">
        <w:t>RG</w:t>
      </w:r>
      <w:r w:rsidR="00EF19A3">
        <w:t> </w:t>
      </w:r>
      <w:r w:rsidR="00EF19A3" w:rsidRPr="005A5E07">
        <w:t>1.147</w:t>
      </w:r>
      <w:r w:rsidR="00EF19A3">
        <w:t xml:space="preserve">, </w:t>
      </w:r>
      <w:r w:rsidRPr="005A5E07">
        <w:t>Revision</w:t>
      </w:r>
      <w:r w:rsidR="00EF19A3">
        <w:t> </w:t>
      </w:r>
      <w:r w:rsidRPr="005A5E07">
        <w:t>17</w:t>
      </w:r>
      <w:r w:rsidR="00EF19A3">
        <w:t>, issued August 2014</w:t>
      </w:r>
      <w:r w:rsidR="003168BA">
        <w:t>.</w:t>
      </w:r>
    </w:p>
    <w:p w14:paraId="6EE17C71" w14:textId="77777777" w:rsidR="003168BA" w:rsidRDefault="003168BA" w:rsidP="00FF0EE8">
      <w:pPr>
        <w:spacing w:line="240" w:lineRule="auto"/>
        <w:ind w:hanging="720"/>
      </w:pPr>
    </w:p>
    <w:p w14:paraId="5B6FE05A" w14:textId="77777777" w:rsidR="00E36B4B" w:rsidRDefault="00E36B4B" w:rsidP="00FF0EE8">
      <w:pPr>
        <w:pStyle w:val="ListParagraph"/>
        <w:numPr>
          <w:ilvl w:val="0"/>
          <w:numId w:val="34"/>
        </w:numPr>
        <w:spacing w:line="240" w:lineRule="auto"/>
        <w:ind w:hanging="720"/>
      </w:pPr>
      <w:r w:rsidRPr="005A5E07">
        <w:t>RG</w:t>
      </w:r>
      <w:r w:rsidR="00EF19A3">
        <w:t> </w:t>
      </w:r>
      <w:r w:rsidRPr="005A5E07">
        <w:t xml:space="preserve">1.192, </w:t>
      </w:r>
      <w:r w:rsidR="00EF19A3">
        <w:t xml:space="preserve">“Operation and Maintenance Code Case Acceptability, ASME OM Code,” </w:t>
      </w:r>
      <w:r w:rsidRPr="005A5E07">
        <w:t>Revision</w:t>
      </w:r>
      <w:r w:rsidR="00EF19A3">
        <w:t> </w:t>
      </w:r>
      <w:r w:rsidRPr="005A5E07">
        <w:t xml:space="preserve">2 </w:t>
      </w:r>
      <w:r w:rsidR="00274428">
        <w:t>(</w:t>
      </w:r>
      <w:r w:rsidRPr="005A5E07">
        <w:t>DG</w:t>
      </w:r>
      <w:r w:rsidR="00EF19A3">
        <w:noBreakHyphen/>
      </w:r>
      <w:r w:rsidRPr="005A5E07">
        <w:t>1297</w:t>
      </w:r>
      <w:r w:rsidR="00274428">
        <w:t>)</w:t>
      </w:r>
      <w:r w:rsidRPr="005A5E07">
        <w:t xml:space="preserve">, would supersede the incorporation by reference of </w:t>
      </w:r>
      <w:r w:rsidR="00EF19A3" w:rsidRPr="005A5E07">
        <w:t>RG</w:t>
      </w:r>
      <w:r w:rsidR="00EF19A3">
        <w:t> </w:t>
      </w:r>
      <w:r w:rsidR="00EF19A3" w:rsidRPr="005A5E07">
        <w:t>1.192</w:t>
      </w:r>
      <w:r w:rsidR="00EF19A3">
        <w:t xml:space="preserve">, </w:t>
      </w:r>
      <w:r w:rsidRPr="005A5E07">
        <w:t>Revision</w:t>
      </w:r>
      <w:r w:rsidR="00EF19A3">
        <w:t> </w:t>
      </w:r>
      <w:r w:rsidRPr="005A5E07">
        <w:t>1</w:t>
      </w:r>
      <w:r w:rsidR="00EF19A3">
        <w:t>, issued October 2014</w:t>
      </w:r>
      <w:r w:rsidRPr="005A5E07">
        <w:t>.</w:t>
      </w:r>
      <w:bookmarkEnd w:id="14"/>
    </w:p>
    <w:p w14:paraId="6DFECCB6" w14:textId="77777777" w:rsidR="00274428" w:rsidRPr="00274428" w:rsidRDefault="00274428" w:rsidP="00FF0EE8">
      <w:pPr>
        <w:spacing w:line="240" w:lineRule="auto"/>
        <w:rPr>
          <w:bCs/>
        </w:rPr>
      </w:pPr>
    </w:p>
    <w:p w14:paraId="63005129" w14:textId="77777777" w:rsidR="00274428" w:rsidRDefault="00E36B4B" w:rsidP="00FF0EE8">
      <w:pPr>
        <w:spacing w:line="240" w:lineRule="auto"/>
      </w:pPr>
      <w:r w:rsidRPr="005A5E07">
        <w:t xml:space="preserve">The ASME </w:t>
      </w:r>
      <w:r w:rsidR="00AE121B">
        <w:t>Code Cases</w:t>
      </w:r>
      <w:r w:rsidR="00F63322">
        <w:t xml:space="preserve"> that</w:t>
      </w:r>
      <w:r w:rsidRPr="005A5E07">
        <w:t xml:space="preserve"> are the subject of this rulemaking are the new and revised Section</w:t>
      </w:r>
      <w:r w:rsidR="00EF19A3">
        <w:t> </w:t>
      </w:r>
      <w:r w:rsidRPr="005A5E07">
        <w:t>III and Section</w:t>
      </w:r>
      <w:r w:rsidR="00EF19A3">
        <w:t> </w:t>
      </w:r>
      <w:r w:rsidRPr="005A5E07">
        <w:t xml:space="preserve">XI </w:t>
      </w:r>
      <w:r w:rsidR="00EF19A3">
        <w:t xml:space="preserve">ASME </w:t>
      </w:r>
      <w:r w:rsidR="00AE121B">
        <w:t>Code Cases</w:t>
      </w:r>
      <w:r w:rsidRPr="005A5E07">
        <w:t xml:space="preserve"> listed in Supplement</w:t>
      </w:r>
      <w:r w:rsidR="00EF19A3">
        <w:t> </w:t>
      </w:r>
      <w:r w:rsidRPr="005A5E07">
        <w:t>11 to the 2007 BPV Code through Supplement</w:t>
      </w:r>
      <w:r w:rsidR="00EF19A3">
        <w:t> </w:t>
      </w:r>
      <w:r w:rsidRPr="005A5E07">
        <w:t xml:space="preserve">10 to the 2010 BPV Code and the OM </w:t>
      </w:r>
      <w:r w:rsidR="00AE121B">
        <w:t>Code Cases</w:t>
      </w:r>
      <w:r w:rsidRPr="005A5E07">
        <w:t xml:space="preserve"> published with the 2009</w:t>
      </w:r>
      <w:r w:rsidR="00274428">
        <w:t> </w:t>
      </w:r>
      <w:r w:rsidRPr="005A5E07">
        <w:t>Edition through the 2012 Edition</w:t>
      </w:r>
      <w:r w:rsidR="00392E4F">
        <w:t xml:space="preserve"> of the OM Code</w:t>
      </w:r>
      <w:r w:rsidRPr="005A5E07">
        <w:t>.</w:t>
      </w:r>
      <w:r>
        <w:t xml:space="preserve">  </w:t>
      </w:r>
      <w:r w:rsidRPr="00495748">
        <w:t xml:space="preserve">This document presents a </w:t>
      </w:r>
      <w:r w:rsidR="00A77359">
        <w:t xml:space="preserve">final </w:t>
      </w:r>
      <w:r w:rsidRPr="00495748">
        <w:t xml:space="preserve">regulatory analysis of the </w:t>
      </w:r>
      <w:r w:rsidR="002C3CF2">
        <w:t>incorporation by reference</w:t>
      </w:r>
      <w:r>
        <w:t xml:space="preserve"> </w:t>
      </w:r>
      <w:r w:rsidRPr="00495748">
        <w:t xml:space="preserve">rule </w:t>
      </w:r>
      <w:r>
        <w:t xml:space="preserve">for the </w:t>
      </w:r>
      <w:r w:rsidR="009824A2">
        <w:t>three</w:t>
      </w:r>
      <w:r>
        <w:t xml:space="preserve"> RGs</w:t>
      </w:r>
      <w:r w:rsidR="00C9604E">
        <w:t xml:space="preserve"> that</w:t>
      </w:r>
      <w:r w:rsidR="009824A2">
        <w:t xml:space="preserve"> list the Code Cases </w:t>
      </w:r>
      <w:r w:rsidR="00283CE8">
        <w:t xml:space="preserve">that are </w:t>
      </w:r>
      <w:r w:rsidR="009824A2">
        <w:t>newly approved by the NRC</w:t>
      </w:r>
      <w:r w:rsidR="00274428">
        <w:t>.</w:t>
      </w:r>
    </w:p>
    <w:p w14:paraId="1E36733B" w14:textId="77777777" w:rsidR="000101F2" w:rsidRDefault="000101F2" w:rsidP="00FF0EE8">
      <w:pPr>
        <w:spacing w:line="240" w:lineRule="auto"/>
      </w:pPr>
    </w:p>
    <w:p w14:paraId="29EF500A" w14:textId="77777777" w:rsidR="000101F2" w:rsidRDefault="000101F2" w:rsidP="00FF0EE8">
      <w:pPr>
        <w:spacing w:line="240" w:lineRule="auto"/>
      </w:pPr>
      <w:r>
        <w:t>To improve the credibility of the NRC staff</w:t>
      </w:r>
      <w:r w:rsidRPr="00F74E04">
        <w:t xml:space="preserve"> cost estimates</w:t>
      </w:r>
      <w:r>
        <w:t xml:space="preserve"> for this regulatory action, the NRC staff </w:t>
      </w:r>
      <w:r w:rsidRPr="00F74E04">
        <w:t>cross</w:t>
      </w:r>
      <w:r w:rsidR="00C9604E">
        <w:noBreakHyphen/>
      </w:r>
      <w:r w:rsidRPr="00F74E04">
        <w:t>check</w:t>
      </w:r>
      <w:r>
        <w:t>ed</w:t>
      </w:r>
      <w:r w:rsidRPr="00F74E04">
        <w:t xml:space="preserve"> </w:t>
      </w:r>
      <w:r>
        <w:t xml:space="preserve">its </w:t>
      </w:r>
      <w:r w:rsidRPr="00F74E04">
        <w:t xml:space="preserve">results with </w:t>
      </w:r>
      <w:r>
        <w:t xml:space="preserve">an </w:t>
      </w:r>
      <w:r w:rsidRPr="00F74E04">
        <w:t>independent</w:t>
      </w:r>
      <w:r>
        <w:t xml:space="preserve"> </w:t>
      </w:r>
      <w:r w:rsidRPr="00F74E04">
        <w:t xml:space="preserve">cost estimate </w:t>
      </w:r>
      <w:r>
        <w:t xml:space="preserve">and conducted </w:t>
      </w:r>
      <w:r w:rsidR="00C9604E">
        <w:t xml:space="preserve">a </w:t>
      </w:r>
      <w:r w:rsidRPr="00F74E04">
        <w:t xml:space="preserve">sensitivity analysis to identify variables </w:t>
      </w:r>
      <w:r w:rsidR="00C9604E">
        <w:t xml:space="preserve">that </w:t>
      </w:r>
      <w:r w:rsidRPr="00F74E04">
        <w:t>most affect cost estimates</w:t>
      </w:r>
      <w:r>
        <w:t xml:space="preserve"> (i.e.</w:t>
      </w:r>
      <w:r w:rsidR="00C9604E">
        <w:t>, </w:t>
      </w:r>
      <w:r>
        <w:t>cost drivers)</w:t>
      </w:r>
      <w:r w:rsidRPr="00F74E04">
        <w:t>.</w:t>
      </w:r>
    </w:p>
    <w:p w14:paraId="5CDE4C8C" w14:textId="77777777" w:rsidR="006A5B91" w:rsidRDefault="006A5B91" w:rsidP="00FF0EE8">
      <w:pPr>
        <w:spacing w:line="240" w:lineRule="auto"/>
      </w:pPr>
    </w:p>
    <w:p w14:paraId="572B8A8C" w14:textId="77777777" w:rsidR="006A5B91" w:rsidRDefault="006A5B91" w:rsidP="00FF0EE8">
      <w:pPr>
        <w:spacing w:line="240" w:lineRule="auto"/>
      </w:pPr>
    </w:p>
    <w:p w14:paraId="3C6F0815" w14:textId="77777777" w:rsidR="001C2348" w:rsidRDefault="001C2348" w:rsidP="00FF0EE8">
      <w:pPr>
        <w:autoSpaceDE/>
        <w:autoSpaceDN/>
        <w:adjustRightInd/>
        <w:spacing w:line="240" w:lineRule="auto"/>
      </w:pPr>
      <w:r>
        <w:br w:type="page"/>
      </w:r>
    </w:p>
    <w:p w14:paraId="0A95E4B3" w14:textId="77777777" w:rsidR="001C2348" w:rsidRDefault="001C2348" w:rsidP="00FF0EE8">
      <w:pPr>
        <w:pStyle w:val="Heading1"/>
        <w:numPr>
          <w:ilvl w:val="0"/>
          <w:numId w:val="0"/>
        </w:numPr>
        <w:spacing w:line="240" w:lineRule="auto"/>
        <w:ind w:left="540" w:hanging="540"/>
      </w:pPr>
      <w:bookmarkStart w:id="15" w:name="_Toc462224936"/>
      <w:bookmarkStart w:id="16" w:name="_Toc468875895"/>
      <w:r>
        <w:t>Executive Summary</w:t>
      </w:r>
      <w:bookmarkEnd w:id="15"/>
      <w:bookmarkEnd w:id="16"/>
    </w:p>
    <w:p w14:paraId="33735D0D" w14:textId="77777777" w:rsidR="001C2348" w:rsidRDefault="001C2348" w:rsidP="00FF0EE8">
      <w:pPr>
        <w:keepNext/>
        <w:spacing w:line="240" w:lineRule="auto"/>
      </w:pPr>
    </w:p>
    <w:p w14:paraId="6BC59423" w14:textId="172EA67A" w:rsidR="00682717" w:rsidRDefault="00BE17A5" w:rsidP="00FF0EE8">
      <w:pPr>
        <w:spacing w:line="240" w:lineRule="auto"/>
      </w:pPr>
      <w:r>
        <w:t xml:space="preserve">The U.S. Nuclear Regulatory Commission (NRC) is </w:t>
      </w:r>
      <w:r w:rsidR="00A77359">
        <w:t>amending</w:t>
      </w:r>
      <w:r>
        <w:t xml:space="preserve"> its regulations to incorporate by reference the latest revisions </w:t>
      </w:r>
      <w:r w:rsidR="00283CE8">
        <w:t xml:space="preserve">to </w:t>
      </w:r>
      <w:r>
        <w:t xml:space="preserve">three NRC </w:t>
      </w:r>
      <w:r w:rsidR="00283CE8">
        <w:t>r</w:t>
      </w:r>
      <w:r w:rsidR="00F63322">
        <w:t>egulatory</w:t>
      </w:r>
      <w:r>
        <w:t xml:space="preserve"> </w:t>
      </w:r>
      <w:r w:rsidR="00283CE8">
        <w:t>g</w:t>
      </w:r>
      <w:r>
        <w:t>uides (</w:t>
      </w:r>
      <w:r w:rsidR="00F63322">
        <w:t>R</w:t>
      </w:r>
      <w:r>
        <w:t>Gs) approving new</w:t>
      </w:r>
      <w:r w:rsidR="002B09A2">
        <w:t xml:space="preserve">, </w:t>
      </w:r>
      <w:r>
        <w:t>revised</w:t>
      </w:r>
      <w:r w:rsidR="002B09A2">
        <w:t>, and reaffirmed</w:t>
      </w:r>
      <w:r>
        <w:t xml:space="preserve"> </w:t>
      </w:r>
      <w:r w:rsidR="00AE121B">
        <w:t>Code Cases</w:t>
      </w:r>
      <w:r>
        <w:t xml:space="preserve"> published by the American Society for Mechanical Engineers (ASME).  The three </w:t>
      </w:r>
      <w:r w:rsidR="00FD0745">
        <w:t>RGs</w:t>
      </w:r>
      <w:r>
        <w:t xml:space="preserve"> that </w:t>
      </w:r>
      <w:r w:rsidR="00407795">
        <w:t xml:space="preserve">the NRC is </w:t>
      </w:r>
      <w:r>
        <w:t>incorporat</w:t>
      </w:r>
      <w:r w:rsidR="00407795">
        <w:t>ing</w:t>
      </w:r>
      <w:r>
        <w:t xml:space="preserve"> by reference are</w:t>
      </w:r>
      <w:r w:rsidR="00AA35E5">
        <w:t xml:space="preserve"> </w:t>
      </w:r>
      <w:r>
        <w:t>RG</w:t>
      </w:r>
      <w:r w:rsidR="00FD0745">
        <w:t> </w:t>
      </w:r>
      <w:r>
        <w:t>1.84, “Design, Fabrication, and Materials Code Case Acceptability, ASME Section III,” Revision</w:t>
      </w:r>
      <w:r w:rsidR="00FD0745">
        <w:t> </w:t>
      </w:r>
      <w:r>
        <w:t>37 (</w:t>
      </w:r>
      <w:r w:rsidR="00FD0745">
        <w:t xml:space="preserve">draft regulatory guide </w:t>
      </w:r>
      <w:r w:rsidR="00A136CE">
        <w:t>(</w:t>
      </w:r>
      <w:r>
        <w:t>DG</w:t>
      </w:r>
      <w:r w:rsidR="00A136CE">
        <w:t>)</w:t>
      </w:r>
      <w:r w:rsidR="00FD0745">
        <w:noBreakHyphen/>
      </w:r>
      <w:r w:rsidR="00D208FA">
        <w:t>1295</w:t>
      </w:r>
      <w:r w:rsidR="00682717">
        <w:t>);</w:t>
      </w:r>
      <w:r w:rsidR="00AA35E5">
        <w:t xml:space="preserve"> </w:t>
      </w:r>
      <w:r w:rsidR="00F63322">
        <w:t>R</w:t>
      </w:r>
      <w:r>
        <w:t>G</w:t>
      </w:r>
      <w:r w:rsidR="00FD0745">
        <w:t> </w:t>
      </w:r>
      <w:r>
        <w:t>1.147, “Inservice Inspection Code Case Acceptability, ASME Section</w:t>
      </w:r>
      <w:r w:rsidR="00F563D9">
        <w:t> </w:t>
      </w:r>
      <w:r>
        <w:t>XI, Division 1,” Revision</w:t>
      </w:r>
      <w:r w:rsidR="00DF1825">
        <w:t> </w:t>
      </w:r>
      <w:r>
        <w:t>18 (DG</w:t>
      </w:r>
      <w:r w:rsidR="00DF1825">
        <w:noBreakHyphen/>
      </w:r>
      <w:r>
        <w:t>1296); and RG</w:t>
      </w:r>
      <w:r w:rsidR="00FD0745">
        <w:t> </w:t>
      </w:r>
      <w:r>
        <w:t>1.192, “Operation and Maintenance Code Case Acceptability, ASME OM</w:t>
      </w:r>
      <w:r w:rsidR="00CE4688">
        <w:t> </w:t>
      </w:r>
      <w:r>
        <w:t>Code,” Revision 2 (DG</w:t>
      </w:r>
      <w:r w:rsidR="00682717">
        <w:t>-1297).</w:t>
      </w:r>
    </w:p>
    <w:p w14:paraId="15D0E972" w14:textId="77777777" w:rsidR="00682717" w:rsidRDefault="00682717" w:rsidP="00FF0EE8">
      <w:pPr>
        <w:spacing w:line="240" w:lineRule="auto"/>
      </w:pPr>
    </w:p>
    <w:p w14:paraId="0A986F18" w14:textId="54D8B732" w:rsidR="00BE17A5" w:rsidRDefault="00BB5E5D" w:rsidP="00FF0EE8">
      <w:pPr>
        <w:spacing w:line="240" w:lineRule="auto"/>
      </w:pPr>
      <w:r>
        <w:t>This</w:t>
      </w:r>
      <w:r w:rsidR="00BE17A5">
        <w:t xml:space="preserve"> </w:t>
      </w:r>
      <w:r w:rsidR="00407795">
        <w:t xml:space="preserve">regulatory </w:t>
      </w:r>
      <w:r w:rsidR="00BE17A5">
        <w:t>action allow</w:t>
      </w:r>
      <w:r w:rsidR="00407795">
        <w:t>s</w:t>
      </w:r>
      <w:r w:rsidR="00BE17A5">
        <w:t xml:space="preserve"> nuclear power plant licensees and applicants for </w:t>
      </w:r>
      <w:r w:rsidR="00CE4688">
        <w:t xml:space="preserve">construction permits, operating licenses, combined licenses, </w:t>
      </w:r>
      <w:r w:rsidR="00BE17A5">
        <w:t xml:space="preserve">standard design certifications, standard design approvals, and manufacturing licenses to </w:t>
      </w:r>
      <w:r w:rsidR="00D764F9" w:rsidRPr="00D764F9">
        <w:t xml:space="preserve">voluntarily </w:t>
      </w:r>
      <w:r w:rsidR="00BE17A5">
        <w:t xml:space="preserve">use the </w:t>
      </w:r>
      <w:r w:rsidR="00A136CE">
        <w:t xml:space="preserve">ASME </w:t>
      </w:r>
      <w:r w:rsidR="00AE121B">
        <w:t>Code Cases</w:t>
      </w:r>
      <w:r w:rsidR="00BE17A5">
        <w:t xml:space="preserve"> </w:t>
      </w:r>
      <w:r w:rsidR="009824A2">
        <w:t xml:space="preserve">newly </w:t>
      </w:r>
      <w:r w:rsidR="00BE17A5">
        <w:t>listed in these RGs as alternatives to engineering standards for the construction, inservice inspection, and inservice testing</w:t>
      </w:r>
      <w:r w:rsidR="004C5EFD">
        <w:t xml:space="preserve"> </w:t>
      </w:r>
      <w:r w:rsidR="00BE17A5">
        <w:t>of nuclear power plant components.</w:t>
      </w:r>
    </w:p>
    <w:p w14:paraId="14EA936F" w14:textId="77777777" w:rsidR="001C2348" w:rsidRDefault="001C2348" w:rsidP="00FF0EE8">
      <w:pPr>
        <w:spacing w:line="240" w:lineRule="auto"/>
      </w:pPr>
    </w:p>
    <w:p w14:paraId="0626C725" w14:textId="77777777" w:rsidR="006A5B91" w:rsidRPr="007C7E30" w:rsidRDefault="006A5B91" w:rsidP="00FF0EE8">
      <w:pPr>
        <w:spacing w:line="240" w:lineRule="auto"/>
      </w:pPr>
      <w:r w:rsidRPr="007C7E30">
        <w:t xml:space="preserve">The analysis presented in this document examines the benefits and costs of the </w:t>
      </w:r>
      <w:r w:rsidR="00D208FA">
        <w:t>final</w:t>
      </w:r>
      <w:r w:rsidRPr="007C7E30">
        <w:t xml:space="preserve"> </w:t>
      </w:r>
      <w:r>
        <w:t>rulemaking</w:t>
      </w:r>
      <w:r w:rsidRPr="007C7E30">
        <w:t xml:space="preserve"> </w:t>
      </w:r>
      <w:r>
        <w:t xml:space="preserve">and implementing guidance </w:t>
      </w:r>
      <w:r w:rsidRPr="007C7E30">
        <w:t>relative to the baseline case (i.</w:t>
      </w:r>
      <w:r>
        <w:t>e.,</w:t>
      </w:r>
      <w:r w:rsidR="008F46DE">
        <w:t> </w:t>
      </w:r>
      <w:r>
        <w:t>the no</w:t>
      </w:r>
      <w:r w:rsidR="008F46DE">
        <w:noBreakHyphen/>
      </w:r>
      <w:r>
        <w:t>action alternative).</w:t>
      </w:r>
    </w:p>
    <w:p w14:paraId="18B2844D" w14:textId="77777777" w:rsidR="006A5B91" w:rsidRDefault="006A5B91" w:rsidP="00FF0EE8">
      <w:pPr>
        <w:spacing w:line="240" w:lineRule="auto"/>
      </w:pPr>
    </w:p>
    <w:p w14:paraId="138A37BF" w14:textId="77777777" w:rsidR="006A5B91" w:rsidRDefault="006A5B91" w:rsidP="00FF0EE8">
      <w:pPr>
        <w:spacing w:line="240" w:lineRule="auto"/>
      </w:pPr>
      <w:r>
        <w:t xml:space="preserve">The </w:t>
      </w:r>
      <w:r w:rsidR="00A136CE">
        <w:t xml:space="preserve">NRC staff has made the following </w:t>
      </w:r>
      <w:r>
        <w:t>key findings:</w:t>
      </w:r>
    </w:p>
    <w:p w14:paraId="38894F96" w14:textId="77777777" w:rsidR="006A5B91" w:rsidRDefault="006A5B91" w:rsidP="00FF0EE8">
      <w:pPr>
        <w:spacing w:line="240" w:lineRule="auto"/>
      </w:pPr>
    </w:p>
    <w:p w14:paraId="06BF05FC" w14:textId="0EDCB1AE" w:rsidR="00BE17A5" w:rsidRPr="00F56ABA" w:rsidRDefault="00D208FA" w:rsidP="00D764F9">
      <w:pPr>
        <w:pStyle w:val="ListParagraph"/>
        <w:numPr>
          <w:ilvl w:val="0"/>
          <w:numId w:val="32"/>
        </w:numPr>
        <w:spacing w:line="240" w:lineRule="auto"/>
      </w:pPr>
      <w:r w:rsidRPr="00F56ABA">
        <w:rPr>
          <w:u w:val="single"/>
        </w:rPr>
        <w:t>Final</w:t>
      </w:r>
      <w:r w:rsidR="006A5B91" w:rsidRPr="00F56ABA">
        <w:rPr>
          <w:u w:val="single"/>
        </w:rPr>
        <w:t xml:space="preserve"> Rule Analysis</w:t>
      </w:r>
      <w:r w:rsidR="00163B58" w:rsidRPr="00F56ABA">
        <w:t xml:space="preserve">.  </w:t>
      </w:r>
      <w:r w:rsidR="00BE17A5" w:rsidRPr="00F56ABA">
        <w:t>The NRC staff</w:t>
      </w:r>
      <w:r w:rsidR="008F46DE" w:rsidRPr="00F56ABA">
        <w:t xml:space="preserve">’s </w:t>
      </w:r>
      <w:r w:rsidR="00BE17A5" w:rsidRPr="00F56ABA">
        <w:t xml:space="preserve">recommended </w:t>
      </w:r>
      <w:r w:rsidRPr="00F56ABA">
        <w:t>final</w:t>
      </w:r>
      <w:r w:rsidR="006A5B91" w:rsidRPr="00F56ABA">
        <w:t xml:space="preserve"> rule and implementation guidance </w:t>
      </w:r>
      <w:r w:rsidR="00BE17A5" w:rsidRPr="00F56ABA">
        <w:t xml:space="preserve">would result in a </w:t>
      </w:r>
      <w:r w:rsidR="009824A2" w:rsidRPr="00F56ABA">
        <w:t>cost</w:t>
      </w:r>
      <w:r w:rsidR="008F46DE" w:rsidRPr="00F56ABA">
        <w:noBreakHyphen/>
      </w:r>
      <w:r w:rsidR="009824A2" w:rsidRPr="00F56ABA">
        <w:t xml:space="preserve">justified change based on the </w:t>
      </w:r>
      <w:r w:rsidR="00BE17A5" w:rsidRPr="00F56ABA">
        <w:t xml:space="preserve">net </w:t>
      </w:r>
      <w:r w:rsidR="00CE4688" w:rsidRPr="00F56ABA">
        <w:t xml:space="preserve">averted </w:t>
      </w:r>
      <w:r w:rsidR="00BE17A5" w:rsidRPr="00F56ABA">
        <w:t xml:space="preserve">cost to the industry </w:t>
      </w:r>
      <w:r w:rsidR="00F63322" w:rsidRPr="00F56ABA">
        <w:t xml:space="preserve">that ranges </w:t>
      </w:r>
      <w:r w:rsidR="00BE17A5" w:rsidRPr="00F56ABA">
        <w:t xml:space="preserve">from </w:t>
      </w:r>
      <w:r w:rsidR="00996292">
        <w:t>$2.42</w:t>
      </w:r>
      <w:r w:rsidR="008F46DE" w:rsidRPr="00F56ABA">
        <w:t> </w:t>
      </w:r>
      <w:r w:rsidR="00E85B0E" w:rsidRPr="00F56ABA">
        <w:t>million</w:t>
      </w:r>
      <w:r w:rsidR="00400894" w:rsidRPr="00F56ABA">
        <w:t xml:space="preserve"> </w:t>
      </w:r>
      <w:r w:rsidR="004C5EFD" w:rsidRPr="00F56ABA">
        <w:t xml:space="preserve">using a </w:t>
      </w:r>
      <w:r w:rsidR="00BE17A5" w:rsidRPr="00F56ABA">
        <w:t>7</w:t>
      </w:r>
      <w:r w:rsidR="008F46DE" w:rsidRPr="00F56ABA">
        <w:noBreakHyphen/>
      </w:r>
      <w:r w:rsidR="00BE17A5" w:rsidRPr="00F56ABA">
        <w:t xml:space="preserve">percent </w:t>
      </w:r>
      <w:r w:rsidR="004C5EFD" w:rsidRPr="00F56ABA">
        <w:t xml:space="preserve">discount </w:t>
      </w:r>
      <w:r w:rsidR="00145EE7" w:rsidRPr="00F56ABA">
        <w:t>rate</w:t>
      </w:r>
      <w:r w:rsidR="00BE17A5" w:rsidRPr="00F56ABA">
        <w:t xml:space="preserve"> to </w:t>
      </w:r>
      <w:r w:rsidR="00E85B0E" w:rsidRPr="00F56ABA">
        <w:t>$</w:t>
      </w:r>
      <w:r w:rsidR="00996292">
        <w:t>2.87</w:t>
      </w:r>
      <w:r w:rsidR="008F46DE" w:rsidRPr="00F56ABA">
        <w:t> </w:t>
      </w:r>
      <w:r w:rsidR="00E85B0E" w:rsidRPr="00F56ABA">
        <w:t>million</w:t>
      </w:r>
      <w:r w:rsidR="00BE17A5" w:rsidRPr="00F56ABA">
        <w:t xml:space="preserve"> </w:t>
      </w:r>
      <w:r w:rsidR="004C5EFD" w:rsidRPr="00F56ABA">
        <w:t>using a 3</w:t>
      </w:r>
      <w:r w:rsidR="008F46DE" w:rsidRPr="00F56ABA">
        <w:noBreakHyphen/>
      </w:r>
      <w:r w:rsidR="004C5EFD" w:rsidRPr="00F56ABA">
        <w:t xml:space="preserve">percent discount </w:t>
      </w:r>
      <w:r w:rsidR="00145EE7" w:rsidRPr="00F56ABA">
        <w:t>rate</w:t>
      </w:r>
      <w:r w:rsidR="004C5EFD" w:rsidRPr="00F56ABA">
        <w:t xml:space="preserve">.  </w:t>
      </w:r>
      <w:r w:rsidR="00BE17A5" w:rsidRPr="00F56ABA">
        <w:t xml:space="preserve">Relative to the regulatory baseline, the NRC would realize a net </w:t>
      </w:r>
      <w:r w:rsidR="00AA35E5" w:rsidRPr="00F56ABA">
        <w:t>averted cost</w:t>
      </w:r>
      <w:r w:rsidR="00BE17A5" w:rsidRPr="00F56ABA">
        <w:t xml:space="preserve"> of </w:t>
      </w:r>
      <w:r w:rsidR="00E85B0E" w:rsidRPr="00F56ABA">
        <w:t>$2.</w:t>
      </w:r>
      <w:r w:rsidR="006569E6" w:rsidRPr="00F56ABA">
        <w:t>5</w:t>
      </w:r>
      <w:r w:rsidR="00982614" w:rsidRPr="00F56ABA">
        <w:t>2</w:t>
      </w:r>
      <w:r w:rsidR="008F46DE" w:rsidRPr="00F56ABA">
        <w:t> </w:t>
      </w:r>
      <w:r w:rsidR="00E85B0E" w:rsidRPr="00F56ABA">
        <w:t>million</w:t>
      </w:r>
      <w:r w:rsidR="00BE17A5" w:rsidRPr="00F56ABA">
        <w:t xml:space="preserve"> </w:t>
      </w:r>
      <w:r w:rsidR="004C5EFD" w:rsidRPr="00F56ABA">
        <w:t>using a 7</w:t>
      </w:r>
      <w:r w:rsidR="008F46DE" w:rsidRPr="00F56ABA">
        <w:noBreakHyphen/>
      </w:r>
      <w:r w:rsidR="004C5EFD" w:rsidRPr="00F56ABA">
        <w:t xml:space="preserve">percent discount </w:t>
      </w:r>
      <w:r w:rsidR="00145EE7" w:rsidRPr="00F56ABA">
        <w:t>rate</w:t>
      </w:r>
      <w:r w:rsidR="004C5EFD" w:rsidRPr="00F56ABA">
        <w:t xml:space="preserve"> </w:t>
      </w:r>
      <w:r w:rsidR="00F63322" w:rsidRPr="00F56ABA">
        <w:t>or</w:t>
      </w:r>
      <w:r w:rsidR="00BE17A5" w:rsidRPr="00F56ABA">
        <w:t xml:space="preserve"> </w:t>
      </w:r>
      <w:r w:rsidR="00982614" w:rsidRPr="00F56ABA">
        <w:t>$2.81</w:t>
      </w:r>
      <w:r w:rsidR="008F46DE" w:rsidRPr="00F56ABA">
        <w:t> </w:t>
      </w:r>
      <w:r w:rsidR="00E85B0E" w:rsidRPr="00F56ABA">
        <w:t>million</w:t>
      </w:r>
      <w:r w:rsidR="00BE17A5" w:rsidRPr="00F56ABA">
        <w:t xml:space="preserve"> </w:t>
      </w:r>
      <w:r w:rsidR="004C5EFD" w:rsidRPr="00F56ABA">
        <w:t>using a 3</w:t>
      </w:r>
      <w:r w:rsidR="008F46DE" w:rsidRPr="00F56ABA">
        <w:noBreakHyphen/>
      </w:r>
      <w:r w:rsidR="004C5EFD" w:rsidRPr="00F56ABA">
        <w:t xml:space="preserve">percent discount </w:t>
      </w:r>
      <w:r w:rsidR="00145EE7" w:rsidRPr="00F56ABA">
        <w:t>rate</w:t>
      </w:r>
      <w:r w:rsidR="00BE17A5" w:rsidRPr="00F56ABA">
        <w:t>.</w:t>
      </w:r>
      <w:r w:rsidR="00D764F9">
        <w:t xml:space="preserve"> </w:t>
      </w:r>
      <w:r w:rsidR="00D764F9" w:rsidRPr="00D764F9">
        <w:t>The total net benefit is $4.94 million using a 7-percent discount rate to $5.68 million using a 3-percent discount rate.</w:t>
      </w:r>
    </w:p>
    <w:p w14:paraId="69555BE0" w14:textId="77777777" w:rsidR="00163B58" w:rsidRDefault="00163B58" w:rsidP="00FF0EE8">
      <w:pPr>
        <w:pStyle w:val="ListParagraph"/>
        <w:spacing w:line="240" w:lineRule="auto"/>
        <w:ind w:hanging="720"/>
      </w:pPr>
    </w:p>
    <w:p w14:paraId="0AB29D95" w14:textId="41E4A9BD" w:rsidR="00163B58" w:rsidRDefault="00163B58" w:rsidP="00FF0EE8">
      <w:pPr>
        <w:pStyle w:val="ListParagraph"/>
        <w:spacing w:line="240" w:lineRule="auto"/>
      </w:pPr>
      <w:r w:rsidRPr="00962E0C">
        <w:t>According to Executive Order</w:t>
      </w:r>
      <w:r w:rsidR="008F46DE">
        <w:t> </w:t>
      </w:r>
      <w:r w:rsidRPr="00962E0C">
        <w:t xml:space="preserve">12866, </w:t>
      </w:r>
      <w:r w:rsidR="008F46DE">
        <w:t>“</w:t>
      </w:r>
      <w:r w:rsidRPr="00962E0C">
        <w:t xml:space="preserve">Regulatory Planning and </w:t>
      </w:r>
      <w:r w:rsidR="00451957">
        <w:t>R</w:t>
      </w:r>
      <w:r w:rsidRPr="00962E0C">
        <w:t>eview</w:t>
      </w:r>
      <w:r w:rsidR="008F46DE">
        <w:t>”</w:t>
      </w:r>
      <w:r w:rsidRPr="00962E0C">
        <w:t xml:space="preserve"> (</w:t>
      </w:r>
      <w:r w:rsidR="008F46DE">
        <w:t xml:space="preserve">58 </w:t>
      </w:r>
      <w:r w:rsidR="005260E1">
        <w:t>FR</w:t>
      </w:r>
      <w:r w:rsidR="00451957">
        <w:t> </w:t>
      </w:r>
      <w:r w:rsidRPr="00962E0C">
        <w:t>190</w:t>
      </w:r>
      <w:r w:rsidR="00A23B4D">
        <w:t>; October 4, 1993</w:t>
      </w:r>
      <w:r w:rsidRPr="00962E0C">
        <w:t>), an economically significant regulatory action is one that would have an annual effect on the economy of $100</w:t>
      </w:r>
      <w:r w:rsidR="00A23B4D">
        <w:t> </w:t>
      </w:r>
      <w:r w:rsidRPr="00962E0C">
        <w:t xml:space="preserve">million or more.  </w:t>
      </w:r>
      <w:r>
        <w:t>From a cost perspective, t</w:t>
      </w:r>
      <w:r w:rsidRPr="00962E0C">
        <w:t xml:space="preserve">his </w:t>
      </w:r>
      <w:r w:rsidR="00D208FA">
        <w:t xml:space="preserve">final </w:t>
      </w:r>
      <w:r w:rsidRPr="00962E0C">
        <w:t>rulemaking does not reach this threshold.</w:t>
      </w:r>
    </w:p>
    <w:p w14:paraId="0154249D" w14:textId="77777777" w:rsidR="00163B58" w:rsidRDefault="00163B58" w:rsidP="00FF0EE8">
      <w:pPr>
        <w:pStyle w:val="ListParagraph"/>
        <w:spacing w:line="240" w:lineRule="auto"/>
        <w:ind w:hanging="720"/>
      </w:pPr>
    </w:p>
    <w:p w14:paraId="140D5974" w14:textId="0E70169D" w:rsidR="00163B58" w:rsidRDefault="004C05F6" w:rsidP="00FF0EE8">
      <w:pPr>
        <w:pStyle w:val="ListParagraph"/>
        <w:numPr>
          <w:ilvl w:val="0"/>
          <w:numId w:val="32"/>
        </w:numPr>
        <w:spacing w:line="240" w:lineRule="auto"/>
        <w:ind w:hanging="720"/>
      </w:pPr>
      <w:r>
        <w:rPr>
          <w:u w:val="single"/>
        </w:rPr>
        <w:t>Qualitative</w:t>
      </w:r>
      <w:r w:rsidR="00163B58" w:rsidRPr="00917968">
        <w:rPr>
          <w:u w:val="single"/>
        </w:rPr>
        <w:t xml:space="preserve"> Benefits</w:t>
      </w:r>
      <w:r w:rsidR="00163B58">
        <w:t xml:space="preserve">.  Other beneficial factors include </w:t>
      </w:r>
      <w:r w:rsidR="00163B58" w:rsidRPr="00BD3549">
        <w:t>meet</w:t>
      </w:r>
      <w:r w:rsidR="00163B58">
        <w:t>ing</w:t>
      </w:r>
      <w:r w:rsidR="00163B58" w:rsidRPr="00BD3549">
        <w:t xml:space="preserve"> the NRC goal of ensuring the protection of public health and safety and the environment through the NRC’s approval of new ASME </w:t>
      </w:r>
      <w:r w:rsidR="00163B58">
        <w:t>Code Cases,</w:t>
      </w:r>
      <w:r w:rsidR="00163B58" w:rsidRPr="00BD3549">
        <w:t xml:space="preserve"> </w:t>
      </w:r>
      <w:r w:rsidR="00163B58">
        <w:t>which</w:t>
      </w:r>
      <w:r w:rsidR="00163B58" w:rsidRPr="00BD3549">
        <w:t xml:space="preserve"> </w:t>
      </w:r>
      <w:r w:rsidR="00A23B4D">
        <w:t xml:space="preserve">would </w:t>
      </w:r>
      <w:r w:rsidR="00163B58" w:rsidRPr="00BD3549">
        <w:t xml:space="preserve">allow the use of the most current methods and technology.  In addition, </w:t>
      </w:r>
      <w:r w:rsidR="00163B58">
        <w:t>the staff</w:t>
      </w:r>
      <w:r w:rsidR="00A23B4D">
        <w:noBreakHyphen/>
      </w:r>
      <w:r w:rsidR="00163B58">
        <w:t>recommended alternative</w:t>
      </w:r>
      <w:r w:rsidR="00163B58" w:rsidRPr="00BD3549">
        <w:t xml:space="preserve"> would help ensure that the NRC’s actions are effective, efficient, realistic, and timely by eliminating the need for </w:t>
      </w:r>
      <w:r w:rsidR="00163B58">
        <w:t>unnecessary</w:t>
      </w:r>
      <w:r w:rsidR="00163B58" w:rsidRPr="00BD3549">
        <w:t xml:space="preserve"> NRC review of plant</w:t>
      </w:r>
      <w:r w:rsidR="00A23B4D">
        <w:noBreakHyphen/>
      </w:r>
      <w:r w:rsidR="00163B58" w:rsidRPr="00BD3549">
        <w:t xml:space="preserve">specific </w:t>
      </w:r>
      <w:r w:rsidR="00163B58">
        <w:t>alternative</w:t>
      </w:r>
      <w:r w:rsidR="00163B58" w:rsidRPr="00BD3549">
        <w:t xml:space="preserve"> requests.  This alternative </w:t>
      </w:r>
      <w:r w:rsidR="00163B58">
        <w:t xml:space="preserve">also </w:t>
      </w:r>
      <w:r w:rsidR="00163B58" w:rsidRPr="00BD3549">
        <w:t xml:space="preserve">would support the NRC’s goal of maintaining an open regulatory process because </w:t>
      </w:r>
      <w:r w:rsidR="00A23B4D">
        <w:t xml:space="preserve">the NRC’s </w:t>
      </w:r>
      <w:r w:rsidR="00163B58" w:rsidRPr="00BD3549">
        <w:t>approv</w:t>
      </w:r>
      <w:r w:rsidR="00A23B4D">
        <w:t>al of</w:t>
      </w:r>
      <w:r w:rsidR="00163B58" w:rsidRPr="00BD3549">
        <w:t xml:space="preserve"> ASME </w:t>
      </w:r>
      <w:r w:rsidR="00163B58">
        <w:t>Code Cases</w:t>
      </w:r>
      <w:r w:rsidR="00163B58" w:rsidRPr="00BD3549">
        <w:t xml:space="preserve"> demonstrates the </w:t>
      </w:r>
      <w:r w:rsidR="00A23B4D">
        <w:t>agency’s</w:t>
      </w:r>
      <w:r w:rsidR="00A23B4D" w:rsidRPr="00BD3549">
        <w:t xml:space="preserve"> </w:t>
      </w:r>
      <w:r w:rsidR="00163B58" w:rsidRPr="00BD3549">
        <w:t>commitment to participate in the National Consensus Standards process</w:t>
      </w:r>
      <w:r w:rsidR="00163B58">
        <w:t xml:space="preserve"> </w:t>
      </w:r>
      <w:r w:rsidR="00A23B4D">
        <w:t xml:space="preserve">under </w:t>
      </w:r>
      <w:r w:rsidR="00163B58">
        <w:t>t</w:t>
      </w:r>
      <w:r w:rsidR="00163B58" w:rsidRPr="00BD3549">
        <w:t>he National Technology Transfer and Advancement Act</w:t>
      </w:r>
      <w:r w:rsidR="00163B58">
        <w:t xml:space="preserve"> </w:t>
      </w:r>
      <w:r w:rsidR="00163B58" w:rsidRPr="00BD3549">
        <w:t>of 1995.</w:t>
      </w:r>
      <w:r w:rsidR="00163B58">
        <w:t xml:space="preserve">  </w:t>
      </w:r>
      <w:r w:rsidR="00163B58" w:rsidRPr="00BD3549">
        <w:t>Other imp</w:t>
      </w:r>
      <w:r w:rsidR="00163B58">
        <w:t xml:space="preserve">ortant characteristics </w:t>
      </w:r>
      <w:r w:rsidR="00A23B4D">
        <w:t xml:space="preserve">that </w:t>
      </w:r>
      <w:r w:rsidR="00163B58">
        <w:t>the NRC staff analyzed are</w:t>
      </w:r>
      <w:r w:rsidR="00163B58" w:rsidRPr="00BD3549">
        <w:t xml:space="preserve"> the industry’s familiarity with the well</w:t>
      </w:r>
      <w:r w:rsidR="00A23B4D">
        <w:noBreakHyphen/>
      </w:r>
      <w:r w:rsidR="00163B58" w:rsidRPr="00BD3549">
        <w:t xml:space="preserve">established process of approving </w:t>
      </w:r>
      <w:r w:rsidR="00451957">
        <w:t xml:space="preserve">ASME </w:t>
      </w:r>
      <w:r w:rsidR="00163B58">
        <w:t>Code Cases</w:t>
      </w:r>
      <w:r w:rsidR="00163B58" w:rsidRPr="00BD3549">
        <w:t xml:space="preserve"> through NRC </w:t>
      </w:r>
      <w:r w:rsidR="00A23B4D">
        <w:t>RG</w:t>
      </w:r>
      <w:r w:rsidR="00163B58" w:rsidRPr="00BD3549">
        <w:t xml:space="preserve">s, the </w:t>
      </w:r>
      <w:r w:rsidR="00163B58">
        <w:t>value of a</w:t>
      </w:r>
      <w:r w:rsidR="00163B58" w:rsidRPr="00BD3549">
        <w:t xml:space="preserve"> Code </w:t>
      </w:r>
      <w:r w:rsidR="00163B58">
        <w:t>C</w:t>
      </w:r>
      <w:r w:rsidR="006569E6">
        <w:t>ase approval process</w:t>
      </w:r>
      <w:r w:rsidR="00163B58">
        <w:t xml:space="preserve"> </w:t>
      </w:r>
      <w:r w:rsidR="006569E6">
        <w:t>wherein</w:t>
      </w:r>
      <w:r w:rsidR="00163B58">
        <w:t xml:space="preserve"> the Code Cases are</w:t>
      </w:r>
      <w:r w:rsidR="00163B58" w:rsidRPr="00BD3549">
        <w:t xml:space="preserve"> consistent</w:t>
      </w:r>
      <w:r w:rsidR="00163B58">
        <w:t>ly applied</w:t>
      </w:r>
      <w:r w:rsidR="00163B58" w:rsidRPr="00BD3549">
        <w:t xml:space="preserve"> across the industry, and the </w:t>
      </w:r>
      <w:r w:rsidR="00163B58">
        <w:t xml:space="preserve">value of </w:t>
      </w:r>
      <w:r w:rsidR="00163B58" w:rsidRPr="00BD3549">
        <w:t>continu</w:t>
      </w:r>
      <w:r w:rsidR="00163B58">
        <w:t>ing</w:t>
      </w:r>
      <w:r w:rsidR="00163B58" w:rsidRPr="00BD3549">
        <w:t xml:space="preserve"> to support the use of the most updated and technically sound techniques developed by ASME.</w:t>
      </w:r>
      <w:r w:rsidR="00163B58">
        <w:t xml:space="preserve">  Considering both the quantitative and </w:t>
      </w:r>
      <w:r>
        <w:t>qualitative</w:t>
      </w:r>
      <w:r w:rsidR="00163B58">
        <w:t xml:space="preserve"> </w:t>
      </w:r>
      <w:r w:rsidR="00E85B0E">
        <w:t>benefits</w:t>
      </w:r>
      <w:r w:rsidR="00163B58">
        <w:t>, the rulemaking is justified.</w:t>
      </w:r>
    </w:p>
    <w:p w14:paraId="5F2D7661" w14:textId="77777777" w:rsidR="00163B58" w:rsidRDefault="00163B58" w:rsidP="00FF0EE8">
      <w:pPr>
        <w:pStyle w:val="ListParagraph"/>
        <w:spacing w:line="240" w:lineRule="auto"/>
        <w:ind w:hanging="720"/>
      </w:pPr>
    </w:p>
    <w:p w14:paraId="6E235844" w14:textId="0EF9CF78" w:rsidR="00163B58" w:rsidRDefault="00163B58" w:rsidP="00FF0EE8">
      <w:pPr>
        <w:pStyle w:val="ListParagraph"/>
        <w:numPr>
          <w:ilvl w:val="0"/>
          <w:numId w:val="32"/>
        </w:numPr>
        <w:spacing w:line="240" w:lineRule="auto"/>
        <w:ind w:hanging="720"/>
      </w:pPr>
      <w:r w:rsidRPr="00917968">
        <w:rPr>
          <w:u w:val="single"/>
        </w:rPr>
        <w:t>Decision Rationale</w:t>
      </w:r>
      <w:r w:rsidRPr="00962E0C">
        <w:t>.  Relative to the no</w:t>
      </w:r>
      <w:r w:rsidR="00A23B4D">
        <w:noBreakHyphen/>
      </w:r>
      <w:r w:rsidRPr="00962E0C">
        <w:t xml:space="preserve">action baseline, the NRC staff concludes that the </w:t>
      </w:r>
      <w:r w:rsidR="006265CB">
        <w:t>cost-beneficial results (averted costs) and the qualitative considerations justify the costs to implement the final rule</w:t>
      </w:r>
      <w:r w:rsidRPr="00962E0C">
        <w:t>.</w:t>
      </w:r>
    </w:p>
    <w:p w14:paraId="5CFE15F2" w14:textId="77777777" w:rsidR="001C2348" w:rsidRDefault="001C2348" w:rsidP="00FF0EE8">
      <w:pPr>
        <w:spacing w:line="240" w:lineRule="auto"/>
        <w:ind w:hanging="720"/>
      </w:pPr>
    </w:p>
    <w:p w14:paraId="1A9CDED3" w14:textId="77777777" w:rsidR="004C5EFD" w:rsidRDefault="004C5EFD" w:rsidP="00FF0EE8">
      <w:pPr>
        <w:spacing w:line="240" w:lineRule="auto"/>
        <w:sectPr w:rsidR="004C5EFD" w:rsidSect="001C2348">
          <w:pgSz w:w="12240" w:h="15840"/>
          <w:pgMar w:top="1440" w:right="1440" w:bottom="1440" w:left="1440" w:header="720" w:footer="720" w:gutter="0"/>
          <w:pgNumType w:fmt="lowerRoman"/>
          <w:cols w:space="720"/>
          <w:docGrid w:linePitch="360"/>
        </w:sectPr>
      </w:pPr>
    </w:p>
    <w:p w14:paraId="0F1D0C70" w14:textId="77777777" w:rsidR="0081251E" w:rsidRPr="00BD3549" w:rsidRDefault="0081251E" w:rsidP="00FF0EE8">
      <w:pPr>
        <w:pStyle w:val="Heading1"/>
        <w:spacing w:line="240" w:lineRule="auto"/>
        <w:ind w:left="360"/>
      </w:pPr>
      <w:bookmarkStart w:id="17" w:name="_Toc462224937"/>
      <w:bookmarkStart w:id="18" w:name="_Toc468875896"/>
      <w:r w:rsidRPr="00BD3549">
        <w:t>Introduction</w:t>
      </w:r>
      <w:bookmarkEnd w:id="17"/>
      <w:bookmarkEnd w:id="18"/>
    </w:p>
    <w:p w14:paraId="6872D89C" w14:textId="77777777" w:rsidR="0081251E" w:rsidRPr="00BD3549" w:rsidRDefault="0081251E" w:rsidP="00FF0EE8">
      <w:pPr>
        <w:keepNext/>
        <w:spacing w:line="240" w:lineRule="auto"/>
      </w:pPr>
    </w:p>
    <w:p w14:paraId="18ECD428" w14:textId="7C50A248" w:rsidR="00CB3E80" w:rsidRPr="00BD3549" w:rsidRDefault="00A70AE9" w:rsidP="00FF0EE8">
      <w:pPr>
        <w:spacing w:line="240" w:lineRule="auto"/>
      </w:pPr>
      <w:r w:rsidRPr="00284B4B">
        <w:t xml:space="preserve">This document presents the </w:t>
      </w:r>
      <w:r w:rsidR="00C669CE">
        <w:t xml:space="preserve">final </w:t>
      </w:r>
      <w:r w:rsidRPr="00284B4B">
        <w:t xml:space="preserve">regulatory analysis for the </w:t>
      </w:r>
      <w:r w:rsidR="00F563D9">
        <w:t>American Society of Mechanical Engineers (</w:t>
      </w:r>
      <w:r w:rsidR="00152C95">
        <w:t>ASME</w:t>
      </w:r>
      <w:r w:rsidR="00F563D9">
        <w:t>)</w:t>
      </w:r>
      <w:r w:rsidR="00152C95">
        <w:t xml:space="preserve"> </w:t>
      </w:r>
      <w:r w:rsidR="00AE121B">
        <w:t>Code Cases</w:t>
      </w:r>
      <w:r w:rsidR="00284B4B" w:rsidRPr="00284B4B">
        <w:t xml:space="preserve"> </w:t>
      </w:r>
      <w:r w:rsidR="00D208FA">
        <w:t>final</w:t>
      </w:r>
      <w:r w:rsidR="00BB52D6" w:rsidRPr="00284B4B">
        <w:t xml:space="preserve"> </w:t>
      </w:r>
      <w:r w:rsidRPr="00284B4B">
        <w:t>rule (Agencywide Documents Access</w:t>
      </w:r>
      <w:r w:rsidRPr="00BD3549">
        <w:t xml:space="preserve"> and Management System (ADAMS) Accession </w:t>
      </w:r>
      <w:r w:rsidR="00530AA1">
        <w:t>No.</w:t>
      </w:r>
      <w:r w:rsidR="00F563D9">
        <w:t> </w:t>
      </w:r>
      <w:r w:rsidRPr="00BD3549">
        <w:t>ML</w:t>
      </w:r>
      <w:r w:rsidR="00E36B4B">
        <w:t>1</w:t>
      </w:r>
      <w:r w:rsidR="00D208FA">
        <w:t>6285A012</w:t>
      </w:r>
      <w:r w:rsidRPr="00BD3549">
        <w:t xml:space="preserve">) and </w:t>
      </w:r>
      <w:r w:rsidR="00CB3E80" w:rsidRPr="00BD3549">
        <w:t xml:space="preserve">the </w:t>
      </w:r>
      <w:r w:rsidR="00F563D9">
        <w:t xml:space="preserve">following </w:t>
      </w:r>
      <w:r w:rsidR="00CB3E80" w:rsidRPr="00BD3549">
        <w:t xml:space="preserve">three associated </w:t>
      </w:r>
      <w:r w:rsidR="00451957">
        <w:t>U.S. Nuclear Regulatory Commission (</w:t>
      </w:r>
      <w:r w:rsidR="000F03AF" w:rsidRPr="00BD3549">
        <w:t>NRC</w:t>
      </w:r>
      <w:r w:rsidR="00451957">
        <w:t>)</w:t>
      </w:r>
      <w:r w:rsidR="000F03AF" w:rsidRPr="00BD3549">
        <w:t xml:space="preserve"> </w:t>
      </w:r>
      <w:r w:rsidR="00C10134">
        <w:t xml:space="preserve">regulatory </w:t>
      </w:r>
      <w:r w:rsidR="00CB3E80" w:rsidRPr="00BD3549">
        <w:t>g</w:t>
      </w:r>
      <w:r w:rsidR="000F03AF" w:rsidRPr="00BD3549">
        <w:t>uide</w:t>
      </w:r>
      <w:r w:rsidR="00EA6ABC" w:rsidRPr="00BD3549">
        <w:t>s</w:t>
      </w:r>
      <w:r w:rsidR="00451957">
        <w:t xml:space="preserve"> (RGs)</w:t>
      </w:r>
      <w:r w:rsidR="00CB3E80" w:rsidRPr="00BD3549">
        <w:t>:</w:t>
      </w:r>
    </w:p>
    <w:p w14:paraId="5093C332" w14:textId="77777777" w:rsidR="00CB3E80" w:rsidRPr="00BD3549" w:rsidRDefault="00CB3E80" w:rsidP="00FF0EE8">
      <w:pPr>
        <w:spacing w:line="240" w:lineRule="auto"/>
      </w:pPr>
    </w:p>
    <w:p w14:paraId="4FB425A3" w14:textId="286F80DB" w:rsidR="00CB3E80" w:rsidRPr="00E568B7" w:rsidRDefault="00D208FA" w:rsidP="00FF0EE8">
      <w:pPr>
        <w:pStyle w:val="ListParagraph"/>
        <w:numPr>
          <w:ilvl w:val="0"/>
          <w:numId w:val="2"/>
        </w:numPr>
        <w:spacing w:line="240" w:lineRule="auto"/>
        <w:ind w:left="720" w:hanging="720"/>
      </w:pPr>
      <w:r w:rsidRPr="00E568B7">
        <w:t xml:space="preserve">RG </w:t>
      </w:r>
      <w:r w:rsidR="00BB52D6" w:rsidRPr="00E568B7">
        <w:t>1</w:t>
      </w:r>
      <w:r w:rsidRPr="00E568B7">
        <w:t>.84</w:t>
      </w:r>
      <w:r w:rsidR="00BB52D6" w:rsidRPr="00E568B7">
        <w:t>,</w:t>
      </w:r>
      <w:r w:rsidR="000F03AF" w:rsidRPr="00E568B7">
        <w:t xml:space="preserve"> “Design, Fabrication, and Materials Code C</w:t>
      </w:r>
      <w:r w:rsidR="00E750E1" w:rsidRPr="00E568B7">
        <w:t>ase Acceptability, ASME Section</w:t>
      </w:r>
      <w:r w:rsidR="00F563D9" w:rsidRPr="00E568B7">
        <w:t> </w:t>
      </w:r>
      <w:r w:rsidR="000F03AF" w:rsidRPr="00E568B7">
        <w:t>III”</w:t>
      </w:r>
      <w:r w:rsidR="00CC4331" w:rsidRPr="00E568B7">
        <w:t xml:space="preserve"> </w:t>
      </w:r>
      <w:r w:rsidR="000F03AF" w:rsidRPr="00E568B7">
        <w:t xml:space="preserve">(ADAMS Accession </w:t>
      </w:r>
      <w:r w:rsidR="00530AA1" w:rsidRPr="00E568B7">
        <w:t>No. </w:t>
      </w:r>
      <w:r w:rsidR="00E568B7" w:rsidRPr="00E568B7">
        <w:t>ML16321A335</w:t>
      </w:r>
      <w:r w:rsidR="00CB3E80" w:rsidRPr="00E568B7">
        <w:t>)</w:t>
      </w:r>
    </w:p>
    <w:p w14:paraId="4D14BB33" w14:textId="77777777" w:rsidR="00CB3E80" w:rsidRPr="00E568B7" w:rsidRDefault="00CB3E80" w:rsidP="00FF0EE8">
      <w:pPr>
        <w:pStyle w:val="ListParagraph"/>
        <w:spacing w:line="240" w:lineRule="auto"/>
        <w:ind w:left="0" w:hanging="720"/>
      </w:pPr>
    </w:p>
    <w:p w14:paraId="2F5E7D54" w14:textId="39294594" w:rsidR="00CB3E80" w:rsidRPr="00E568B7" w:rsidRDefault="00D208FA" w:rsidP="00FF0EE8">
      <w:pPr>
        <w:pStyle w:val="ListParagraph"/>
        <w:numPr>
          <w:ilvl w:val="0"/>
          <w:numId w:val="2"/>
        </w:numPr>
        <w:spacing w:line="240" w:lineRule="auto"/>
        <w:ind w:left="720" w:hanging="720"/>
      </w:pPr>
      <w:r w:rsidRPr="00E568B7">
        <w:t>R</w:t>
      </w:r>
      <w:r w:rsidR="00BB52D6" w:rsidRPr="00E568B7">
        <w:t>G</w:t>
      </w:r>
      <w:r w:rsidRPr="00E568B7">
        <w:t xml:space="preserve"> 1.147</w:t>
      </w:r>
      <w:r w:rsidR="000F03AF" w:rsidRPr="00E568B7">
        <w:t>, “Inservice Inspection Code Case Acceptability, ASME Section</w:t>
      </w:r>
      <w:r w:rsidR="00F563D9" w:rsidRPr="00E568B7">
        <w:t> </w:t>
      </w:r>
      <w:r w:rsidR="000F03AF" w:rsidRPr="00E568B7">
        <w:t>XI, Division</w:t>
      </w:r>
      <w:r w:rsidR="00F563D9" w:rsidRPr="00E568B7">
        <w:t> </w:t>
      </w:r>
      <w:r w:rsidR="000F03AF" w:rsidRPr="00E568B7">
        <w:t>1”</w:t>
      </w:r>
      <w:r w:rsidR="00CC4331" w:rsidRPr="00E568B7">
        <w:t xml:space="preserve"> </w:t>
      </w:r>
      <w:r w:rsidR="000F03AF" w:rsidRPr="00E568B7">
        <w:t xml:space="preserve">(ADAMS Accession </w:t>
      </w:r>
      <w:r w:rsidR="00530AA1" w:rsidRPr="00E568B7">
        <w:t>No. </w:t>
      </w:r>
      <w:r w:rsidR="00E568B7" w:rsidRPr="00E568B7">
        <w:t>ML16321A336</w:t>
      </w:r>
      <w:r w:rsidR="000F03AF" w:rsidRPr="00E568B7">
        <w:t>)</w:t>
      </w:r>
    </w:p>
    <w:p w14:paraId="56FAC546" w14:textId="77777777" w:rsidR="00CB3E80" w:rsidRPr="00E568B7" w:rsidRDefault="00CB3E80" w:rsidP="00FF0EE8">
      <w:pPr>
        <w:pStyle w:val="ListParagraph"/>
        <w:spacing w:line="240" w:lineRule="auto"/>
        <w:ind w:left="0" w:hanging="720"/>
      </w:pPr>
    </w:p>
    <w:p w14:paraId="6D6EEC63" w14:textId="6D33D955" w:rsidR="00CB3E80" w:rsidRPr="00E568B7" w:rsidRDefault="00D208FA" w:rsidP="00FF0EE8">
      <w:pPr>
        <w:pStyle w:val="ListParagraph"/>
        <w:numPr>
          <w:ilvl w:val="0"/>
          <w:numId w:val="2"/>
        </w:numPr>
        <w:spacing w:line="240" w:lineRule="auto"/>
        <w:ind w:left="720" w:hanging="720"/>
      </w:pPr>
      <w:r w:rsidRPr="00E568B7">
        <w:t>R</w:t>
      </w:r>
      <w:r w:rsidR="00BB52D6" w:rsidRPr="00E568B7">
        <w:t>G</w:t>
      </w:r>
      <w:r w:rsidRPr="00E568B7">
        <w:t xml:space="preserve"> 1.192</w:t>
      </w:r>
      <w:r w:rsidR="000F03AF" w:rsidRPr="00E568B7">
        <w:t>, “Operation and Maintenance Code Accepta</w:t>
      </w:r>
      <w:r w:rsidR="00E750E1" w:rsidRPr="00E568B7">
        <w:t>bility, ASME OM Code”</w:t>
      </w:r>
      <w:r w:rsidR="00CC4331" w:rsidRPr="00E568B7">
        <w:t xml:space="preserve"> </w:t>
      </w:r>
      <w:r w:rsidR="000F03AF" w:rsidRPr="00E568B7">
        <w:t xml:space="preserve">(ADAMS Accession </w:t>
      </w:r>
      <w:r w:rsidR="00530AA1" w:rsidRPr="00E568B7">
        <w:t>No. </w:t>
      </w:r>
      <w:r w:rsidR="00E568B7" w:rsidRPr="00E568B7">
        <w:t>ML16321A337</w:t>
      </w:r>
      <w:r w:rsidR="00E750E1" w:rsidRPr="00E568B7">
        <w:t>)</w:t>
      </w:r>
    </w:p>
    <w:p w14:paraId="536F89A0" w14:textId="77777777" w:rsidR="00CB3E80" w:rsidRPr="00BD3549" w:rsidRDefault="00CB3E80" w:rsidP="00FF0EE8">
      <w:pPr>
        <w:spacing w:line="240" w:lineRule="auto"/>
      </w:pPr>
    </w:p>
    <w:p w14:paraId="78FF9C1C" w14:textId="77777777" w:rsidR="00A70AE9" w:rsidRPr="00BD3549" w:rsidRDefault="00284B4B" w:rsidP="00FF0EE8">
      <w:pPr>
        <w:spacing w:line="240" w:lineRule="auto"/>
      </w:pPr>
      <w:r>
        <w:t>The recommended</w:t>
      </w:r>
      <w:r w:rsidR="000F03AF" w:rsidRPr="00BD3549">
        <w:t xml:space="preserve"> regulatory action incorporates by reference the latest revisions </w:t>
      </w:r>
      <w:r w:rsidR="00A92B96">
        <w:t>to</w:t>
      </w:r>
      <w:r w:rsidR="00A92B96" w:rsidRPr="00BD3549">
        <w:t xml:space="preserve"> </w:t>
      </w:r>
      <w:r>
        <w:t xml:space="preserve">the </w:t>
      </w:r>
      <w:r w:rsidR="000F03AF" w:rsidRPr="00BD3549">
        <w:t xml:space="preserve">three </w:t>
      </w:r>
      <w:r w:rsidR="00071DA2">
        <w:t>RG</w:t>
      </w:r>
      <w:r w:rsidR="002D313E" w:rsidRPr="00BD3549">
        <w:t>s</w:t>
      </w:r>
      <w:r w:rsidR="00C10134">
        <w:t xml:space="preserve"> listed above</w:t>
      </w:r>
      <w:r w:rsidR="00AC6B4D">
        <w:t xml:space="preserve"> </w:t>
      </w:r>
      <w:r w:rsidR="009824A2">
        <w:t>so that the NRC approves the newly</w:t>
      </w:r>
      <w:r w:rsidR="00A92B96">
        <w:t xml:space="preserve"> </w:t>
      </w:r>
      <w:r w:rsidR="009824A2">
        <w:t>identified ASME Code Cases</w:t>
      </w:r>
      <w:r w:rsidR="00A92B96">
        <w:t xml:space="preserve"> as alternatives for use to the ASME Code editions and addenda</w:t>
      </w:r>
      <w:r w:rsidR="00E750E1" w:rsidRPr="00BD3549">
        <w:t>.</w:t>
      </w:r>
    </w:p>
    <w:p w14:paraId="0114C7FA" w14:textId="77777777" w:rsidR="00F75A58" w:rsidRPr="00BD3549" w:rsidRDefault="006C1561" w:rsidP="00FF0EE8">
      <w:pPr>
        <w:pStyle w:val="Heading1"/>
        <w:keepLines w:val="0"/>
        <w:spacing w:line="240" w:lineRule="auto"/>
        <w:ind w:left="360"/>
      </w:pPr>
      <w:bookmarkStart w:id="19" w:name="_Toc462224938"/>
      <w:bookmarkStart w:id="20" w:name="_Toc468875897"/>
      <w:r w:rsidRPr="00BD3549">
        <w:t>Statement of the Problem and Objective</w:t>
      </w:r>
      <w:bookmarkEnd w:id="19"/>
      <w:bookmarkEnd w:id="20"/>
    </w:p>
    <w:p w14:paraId="15486138" w14:textId="77777777" w:rsidR="007B2C29" w:rsidRPr="00BD3549" w:rsidRDefault="007B2C29" w:rsidP="00FF0EE8">
      <w:pPr>
        <w:pStyle w:val="Heading2"/>
        <w:keepLines w:val="0"/>
        <w:spacing w:line="240" w:lineRule="auto"/>
        <w:ind w:left="540" w:hanging="522"/>
      </w:pPr>
      <w:bookmarkStart w:id="21" w:name="_Toc462224939"/>
      <w:bookmarkStart w:id="22" w:name="_Toc468875898"/>
      <w:r w:rsidRPr="00BD3549">
        <w:t>Background</w:t>
      </w:r>
      <w:bookmarkEnd w:id="21"/>
      <w:bookmarkEnd w:id="22"/>
    </w:p>
    <w:p w14:paraId="14C658F2" w14:textId="77777777" w:rsidR="007B2C29" w:rsidRPr="00BD3549" w:rsidRDefault="007B2C29" w:rsidP="00FF0EE8">
      <w:pPr>
        <w:keepNext/>
        <w:spacing w:line="240" w:lineRule="auto"/>
      </w:pPr>
    </w:p>
    <w:p w14:paraId="184EF25A" w14:textId="77777777" w:rsidR="00284B4B" w:rsidRDefault="007B2C29" w:rsidP="00FF0EE8">
      <w:pPr>
        <w:spacing w:line="240" w:lineRule="auto"/>
      </w:pPr>
      <w:r w:rsidRPr="00BD3549">
        <w:t>General Design Criterion 1, “Quality Standards and Records,” of Appendix</w:t>
      </w:r>
      <w:r w:rsidR="00A92B96">
        <w:t> </w:t>
      </w:r>
      <w:r w:rsidRPr="00BD3549">
        <w:t xml:space="preserve">A, “General Design Criteria for Nuclear Power Plants,” to </w:t>
      </w:r>
      <w:r w:rsidR="00A92B96">
        <w:t xml:space="preserve">Title 10 of the </w:t>
      </w:r>
      <w:r w:rsidR="00A92B96" w:rsidRPr="00D557C2">
        <w:rPr>
          <w:i/>
        </w:rPr>
        <w:t>Code of Federal Regulations</w:t>
      </w:r>
      <w:r w:rsidR="00A92B96">
        <w:t xml:space="preserve"> (</w:t>
      </w:r>
      <w:r w:rsidR="00530AA1">
        <w:t>10</w:t>
      </w:r>
      <w:r w:rsidR="00A92B96">
        <w:t> </w:t>
      </w:r>
      <w:r w:rsidR="00530AA1">
        <w:t>CFR</w:t>
      </w:r>
      <w:r w:rsidR="00A92B96">
        <w:t>)</w:t>
      </w:r>
      <w:r w:rsidRPr="00BD3549">
        <w:t xml:space="preserve"> Part</w:t>
      </w:r>
      <w:r w:rsidR="00A92B96">
        <w:t> </w:t>
      </w:r>
      <w:r w:rsidRPr="00BD3549">
        <w:t>50</w:t>
      </w:r>
      <w:r w:rsidR="00A92B96">
        <w:t>, “Domestic Licensing of Produc</w:t>
      </w:r>
      <w:r w:rsidR="002635C6">
        <w:t>tion and Utilization Facilities</w:t>
      </w:r>
      <w:r w:rsidR="00DE2F85">
        <w:t>,”</w:t>
      </w:r>
      <w:r w:rsidRPr="00BD3549">
        <w:t xml:space="preserve"> </w:t>
      </w:r>
      <w:r w:rsidR="00284B4B">
        <w:t>states</w:t>
      </w:r>
      <w:r w:rsidR="00A92B96">
        <w:t>, in part,</w:t>
      </w:r>
      <w:r w:rsidRPr="00BD3549">
        <w:t xml:space="preserve"> </w:t>
      </w:r>
      <w:r w:rsidR="00A92B96">
        <w:t>the following</w:t>
      </w:r>
      <w:r w:rsidR="00284B4B">
        <w:t>:</w:t>
      </w:r>
    </w:p>
    <w:p w14:paraId="27B42BE5" w14:textId="77777777" w:rsidR="00284B4B" w:rsidRDefault="00284B4B" w:rsidP="00FF0EE8">
      <w:pPr>
        <w:spacing w:line="240" w:lineRule="auto"/>
      </w:pPr>
    </w:p>
    <w:p w14:paraId="4604AD12" w14:textId="77777777" w:rsidR="007B2C29" w:rsidRPr="00BD3549" w:rsidRDefault="00284B4B" w:rsidP="00FF0EE8">
      <w:pPr>
        <w:spacing w:line="240" w:lineRule="auto"/>
        <w:ind w:left="720" w:right="720"/>
      </w:pPr>
      <w:r>
        <w:t>S</w:t>
      </w:r>
      <w:r w:rsidR="007B2C29" w:rsidRPr="00BD3549">
        <w:t xml:space="preserve">tructures, systems, and components important to safety </w:t>
      </w:r>
      <w:r>
        <w:t xml:space="preserve">shall </w:t>
      </w:r>
      <w:r w:rsidR="007B2C29" w:rsidRPr="00BD3549">
        <w:t xml:space="preserve">be designed, fabricated, erected, and tested to quality standards commensurate with the importance of the safety function to be performed. </w:t>
      </w:r>
      <w:r w:rsidR="00817CAB" w:rsidRPr="00BD3549">
        <w:t xml:space="preserve"> </w:t>
      </w:r>
      <w:r w:rsidR="007B2C29" w:rsidRPr="00BD3549">
        <w:t xml:space="preserve">Where generally recognized codes and standards are used, they </w:t>
      </w:r>
      <w:r>
        <w:t xml:space="preserve">shall </w:t>
      </w:r>
      <w:r w:rsidR="007B2C29" w:rsidRPr="00BD3549">
        <w:t xml:space="preserve">be identified and evaluated to determine their applicability, adequacy, and sufficiency and </w:t>
      </w:r>
      <w:r>
        <w:t xml:space="preserve">shall </w:t>
      </w:r>
      <w:r w:rsidR="007B2C29" w:rsidRPr="00BD3549">
        <w:t>be supplemented or modified as necessary to ensure a quality product in keeping with the required safety function.</w:t>
      </w:r>
    </w:p>
    <w:p w14:paraId="3C706890" w14:textId="77777777" w:rsidR="007B2C29" w:rsidRPr="00BD3549" w:rsidRDefault="007B2C29" w:rsidP="00FF0EE8">
      <w:pPr>
        <w:spacing w:line="240" w:lineRule="auto"/>
      </w:pPr>
    </w:p>
    <w:p w14:paraId="3F683660" w14:textId="77777777" w:rsidR="007B2C29" w:rsidRPr="00BD3549" w:rsidRDefault="007B2C29" w:rsidP="00FF0EE8">
      <w:pPr>
        <w:spacing w:line="240" w:lineRule="auto"/>
      </w:pPr>
      <w:r w:rsidRPr="00BD3549">
        <w:t>The National Technology Transfer and Advancement Act of 1995</w:t>
      </w:r>
      <w:r w:rsidR="00A92B96">
        <w:t xml:space="preserve"> </w:t>
      </w:r>
      <w:r w:rsidR="008F2AD7">
        <w:t>(</w:t>
      </w:r>
      <w:r w:rsidR="008F2AD7" w:rsidRPr="00BD3549">
        <w:t>NTTAA</w:t>
      </w:r>
      <w:r w:rsidR="008F2AD7">
        <w:t xml:space="preserve">) </w:t>
      </w:r>
      <w:r w:rsidR="00A92B96">
        <w:t>(</w:t>
      </w:r>
      <w:r w:rsidR="00284B4B" w:rsidRPr="00BD3549">
        <w:t>Pub</w:t>
      </w:r>
      <w:r w:rsidR="00A92B96">
        <w:t>lic</w:t>
      </w:r>
      <w:r w:rsidR="00284B4B" w:rsidRPr="00BD3549">
        <w:t xml:space="preserve"> L</w:t>
      </w:r>
      <w:r w:rsidR="00A92B96">
        <w:t>aw </w:t>
      </w:r>
      <w:r w:rsidR="00284B4B" w:rsidRPr="00BD3549">
        <w:t>104</w:t>
      </w:r>
      <w:r w:rsidR="00A92B96">
        <w:noBreakHyphen/>
      </w:r>
      <w:r w:rsidR="00284B4B" w:rsidRPr="00BD3549">
        <w:t>113</w:t>
      </w:r>
      <w:r w:rsidR="00A92B96">
        <w:t>)</w:t>
      </w:r>
      <w:r w:rsidR="002635C6">
        <w:t xml:space="preserve"> </w:t>
      </w:r>
      <w:r w:rsidR="00AB682E">
        <w:t xml:space="preserve">mandates that, where the Federal agency determines that </w:t>
      </w:r>
      <w:r w:rsidR="0005706B">
        <w:t>G</w:t>
      </w:r>
      <w:r w:rsidR="00AB682E">
        <w:t>overnment regulation is required, the NRC use an available voluntary consensus standard to carry out the Federal agency’s objective, unless it is inconsistent with law or otherwise impractical</w:t>
      </w:r>
      <w:r w:rsidR="00AB682E" w:rsidRPr="00BD3549">
        <w:t xml:space="preserve">.  </w:t>
      </w:r>
      <w:r w:rsidRPr="00BD3549">
        <w:t>In carrying out this legislation, Federal agencies are to consult with voluntary consensus standards bodies and participate with such bodies in the development of technical standards when such participation is in the public interest and compatible with the agency mission, pr</w:t>
      </w:r>
      <w:r w:rsidR="00AB682E">
        <w:t>iorities, and budget resources.</w:t>
      </w:r>
    </w:p>
    <w:p w14:paraId="1BFAE774" w14:textId="77777777" w:rsidR="007B2C29" w:rsidRPr="00BD3549" w:rsidRDefault="007B2C29" w:rsidP="00FF0EE8">
      <w:pPr>
        <w:spacing w:line="240" w:lineRule="auto"/>
      </w:pPr>
    </w:p>
    <w:p w14:paraId="038E1A2C" w14:textId="77777777" w:rsidR="007B2C29" w:rsidRPr="00BD3549" w:rsidRDefault="007B2C29" w:rsidP="00FF0EE8">
      <w:pPr>
        <w:spacing w:line="240" w:lineRule="auto"/>
      </w:pPr>
      <w:r w:rsidRPr="00BD3549">
        <w:t xml:space="preserve">Provisions of the ASME </w:t>
      </w:r>
      <w:r w:rsidR="0005706B">
        <w:t>Boiler and Pressure Vessel (</w:t>
      </w:r>
      <w:r w:rsidRPr="00BD3549">
        <w:t>BPV</w:t>
      </w:r>
      <w:r w:rsidR="0005706B">
        <w:t>)</w:t>
      </w:r>
      <w:r w:rsidRPr="00BD3549">
        <w:t xml:space="preserve"> Code have been </w:t>
      </w:r>
      <w:r w:rsidR="00C10134">
        <w:t>used</w:t>
      </w:r>
      <w:r w:rsidRPr="00BD3549">
        <w:t xml:space="preserve"> since 1971 as one part of the </w:t>
      </w:r>
      <w:r w:rsidR="001E3F51">
        <w:t xml:space="preserve">regulatory </w:t>
      </w:r>
      <w:r w:rsidRPr="00BD3549">
        <w:t>framework to establish the necessary design, fabrication, construction, testing, and performance requirements for structures, systems, and components important to safety</w:t>
      </w:r>
      <w:r w:rsidR="000A3709" w:rsidRPr="00BD3549">
        <w:t xml:space="preserve">.  </w:t>
      </w:r>
      <w:r w:rsidRPr="00BD3549">
        <w:t>Various technical interests (e.g.,</w:t>
      </w:r>
      <w:r w:rsidR="0005706B">
        <w:t> </w:t>
      </w:r>
      <w:r w:rsidRPr="00BD3549">
        <w:t xml:space="preserve">utility, manufacturing, insurance, </w:t>
      </w:r>
      <w:r w:rsidR="0005706B">
        <w:t xml:space="preserve">and </w:t>
      </w:r>
      <w:r w:rsidRPr="00BD3549">
        <w:t xml:space="preserve">regulatory) are represented on the ASME standards committees </w:t>
      </w:r>
      <w:r w:rsidR="00284B4B">
        <w:t>that</w:t>
      </w:r>
      <w:r w:rsidRPr="00BD3549">
        <w:t xml:space="preserve"> develop, among other things, improved methods for the constructio</w:t>
      </w:r>
      <w:r w:rsidR="00D67B90">
        <w:t>n and inservice inspection</w:t>
      </w:r>
      <w:r w:rsidR="00006418">
        <w:t xml:space="preserve"> (ISI)</w:t>
      </w:r>
      <w:r w:rsidRPr="00BD3549">
        <w:t xml:space="preserve"> of ASME Class</w:t>
      </w:r>
      <w:r w:rsidR="0005706B">
        <w:t> </w:t>
      </w:r>
      <w:r w:rsidRPr="00BD3549">
        <w:t xml:space="preserve">1, 2, </w:t>
      </w:r>
      <w:r w:rsidR="0005706B">
        <w:t xml:space="preserve">and </w:t>
      </w:r>
      <w:r w:rsidRPr="00BD3549">
        <w:t>3</w:t>
      </w:r>
      <w:r w:rsidR="0005706B">
        <w:t>;</w:t>
      </w:r>
      <w:r w:rsidRPr="00BD3549">
        <w:t xml:space="preserve"> metal containment</w:t>
      </w:r>
      <w:r w:rsidR="00284B4B">
        <w:t xml:space="preserve"> (MC)</w:t>
      </w:r>
      <w:r w:rsidR="0005706B">
        <w:t>;</w:t>
      </w:r>
      <w:r w:rsidRPr="00BD3549">
        <w:t xml:space="preserve"> and concrete containment</w:t>
      </w:r>
      <w:r w:rsidR="00284B4B">
        <w:t xml:space="preserve"> (</w:t>
      </w:r>
      <w:r w:rsidR="00284B4B" w:rsidRPr="00BD3549">
        <w:t>CC</w:t>
      </w:r>
      <w:r w:rsidRPr="00BD3549">
        <w:t>) nuclear power plant components</w:t>
      </w:r>
      <w:r w:rsidR="000A3709" w:rsidRPr="00BD3549">
        <w:t xml:space="preserve">.  </w:t>
      </w:r>
      <w:r w:rsidRPr="00BD3549">
        <w:t>This broad spectrum of stakeholder</w:t>
      </w:r>
      <w:r w:rsidR="00C10134">
        <w:t xml:space="preserve"> participation</w:t>
      </w:r>
      <w:r w:rsidRPr="00BD3549">
        <w:t xml:space="preserve"> helps to ensure that various interests are considered</w:t>
      </w:r>
      <w:r w:rsidR="00284B4B">
        <w:t>.</w:t>
      </w:r>
    </w:p>
    <w:p w14:paraId="7D8EB2F7" w14:textId="77777777" w:rsidR="007B2C29" w:rsidRPr="00BD3549" w:rsidRDefault="007B2C29" w:rsidP="00FF0EE8">
      <w:pPr>
        <w:spacing w:line="240" w:lineRule="auto"/>
      </w:pPr>
    </w:p>
    <w:p w14:paraId="6674BBA5" w14:textId="380E35C4" w:rsidR="007B2C29" w:rsidRPr="00BD3549" w:rsidRDefault="007B2C29" w:rsidP="00FF0EE8">
      <w:pPr>
        <w:spacing w:line="240" w:lineRule="auto"/>
      </w:pPr>
      <w:r w:rsidRPr="00BD3549">
        <w:t xml:space="preserve">In 1990, ASME published the </w:t>
      </w:r>
      <w:r w:rsidR="00284B4B">
        <w:t xml:space="preserve">initial edition of the </w:t>
      </w:r>
      <w:r w:rsidR="00D15389">
        <w:rPr>
          <w:color w:val="000000"/>
        </w:rPr>
        <w:t>ASME Code for Operation and Maintenance of Nuclear Power Plants</w:t>
      </w:r>
      <w:r w:rsidR="00D15389">
        <w:t xml:space="preserve"> </w:t>
      </w:r>
      <w:r w:rsidR="0005706B">
        <w:t>(</w:t>
      </w:r>
      <w:r w:rsidR="00284B4B">
        <w:t>OM Code</w:t>
      </w:r>
      <w:r w:rsidR="00D15389">
        <w:t>)</w:t>
      </w:r>
      <w:r w:rsidR="00284B4B">
        <w:t xml:space="preserve"> that provides </w:t>
      </w:r>
      <w:r w:rsidRPr="00BD3549">
        <w:t xml:space="preserve">rules </w:t>
      </w:r>
      <w:r w:rsidR="00392E4F">
        <w:t xml:space="preserve">for the </w:t>
      </w:r>
      <w:r w:rsidR="0005706B">
        <w:t>inservice testing (</w:t>
      </w:r>
      <w:r w:rsidR="00152C95">
        <w:t>IST</w:t>
      </w:r>
      <w:r w:rsidR="0005706B">
        <w:t>)</w:t>
      </w:r>
      <w:r w:rsidRPr="00BD3549">
        <w:t xml:space="preserve"> of pumps and valves. </w:t>
      </w:r>
      <w:r w:rsidR="00817CAB" w:rsidRPr="00BD3549">
        <w:t xml:space="preserve"> </w:t>
      </w:r>
      <w:r w:rsidRPr="00BD3549">
        <w:t xml:space="preserve">The </w:t>
      </w:r>
      <w:r w:rsidR="00284B4B" w:rsidRPr="00BD3549">
        <w:t>ASME Committee on Operation and Maintenance of Nuclear Power Plants</w:t>
      </w:r>
      <w:r w:rsidR="00284B4B">
        <w:t xml:space="preserve"> developed and maintains the </w:t>
      </w:r>
      <w:r w:rsidRPr="00BD3549">
        <w:t xml:space="preserve">OM Code. </w:t>
      </w:r>
      <w:r w:rsidR="00817CAB" w:rsidRPr="00BD3549">
        <w:t xml:space="preserve"> </w:t>
      </w:r>
      <w:r w:rsidR="00284B4B">
        <w:t>The</w:t>
      </w:r>
      <w:r w:rsidRPr="00BD3549">
        <w:t xml:space="preserve"> ASME Board on Nuclear Codes</w:t>
      </w:r>
      <w:r w:rsidR="007525BB" w:rsidRPr="00BD3549">
        <w:t xml:space="preserve"> </w:t>
      </w:r>
      <w:r w:rsidRPr="00BD3549">
        <w:t>and Standards directive transferred responsibility for development and maintenance of</w:t>
      </w:r>
      <w:r w:rsidR="007525BB" w:rsidRPr="00BD3549">
        <w:t xml:space="preserve"> </w:t>
      </w:r>
      <w:r w:rsidRPr="00BD3549">
        <w:t xml:space="preserve">rules for the </w:t>
      </w:r>
      <w:r w:rsidR="00152C95">
        <w:t>IST</w:t>
      </w:r>
      <w:r w:rsidRPr="00BD3549">
        <w:t xml:space="preserve"> of pumps and valves from the ASME Section</w:t>
      </w:r>
      <w:r w:rsidR="0005706B">
        <w:t> </w:t>
      </w:r>
      <w:r w:rsidRPr="00BD3549">
        <w:t>XI Subcommittee on</w:t>
      </w:r>
      <w:r w:rsidR="007525BB" w:rsidRPr="00BD3549">
        <w:t xml:space="preserve"> </w:t>
      </w:r>
      <w:r w:rsidRPr="00BD3549">
        <w:t xml:space="preserve">Nuclear Inservice Inspection to the ASME OM </w:t>
      </w:r>
      <w:r w:rsidR="00C10134">
        <w:t xml:space="preserve">Code </w:t>
      </w:r>
      <w:r w:rsidRPr="00BD3549">
        <w:t>Committee</w:t>
      </w:r>
      <w:r w:rsidR="009009C8">
        <w:t>, along with</w:t>
      </w:r>
      <w:r w:rsidR="007E3004">
        <w:t xml:space="preserve"> lead</w:t>
      </w:r>
      <w:r w:rsidR="009009C8">
        <w:t xml:space="preserve"> responsibility</w:t>
      </w:r>
      <w:r w:rsidR="007E3004">
        <w:t xml:space="preserve"> </w:t>
      </w:r>
      <w:r w:rsidR="001E3F51">
        <w:t>for</w:t>
      </w:r>
      <w:r w:rsidR="007E3004">
        <w:t xml:space="preserve"> the development of the OM</w:t>
      </w:r>
      <w:r w:rsidR="00B13D3E">
        <w:t> </w:t>
      </w:r>
      <w:r w:rsidR="007E3004">
        <w:t>Code.</w:t>
      </w:r>
    </w:p>
    <w:p w14:paraId="274F83FB" w14:textId="77777777" w:rsidR="007B2C29" w:rsidRPr="00BD3549" w:rsidRDefault="007B2C29" w:rsidP="00FF0EE8">
      <w:pPr>
        <w:spacing w:line="240" w:lineRule="auto"/>
      </w:pPr>
    </w:p>
    <w:p w14:paraId="30870243" w14:textId="24A39279" w:rsidR="007B2C29" w:rsidRPr="00BD3549" w:rsidRDefault="0005706B" w:rsidP="00FF0EE8">
      <w:pPr>
        <w:spacing w:line="240" w:lineRule="auto"/>
      </w:pPr>
      <w:r>
        <w:t>The regulations at 10 CFR </w:t>
      </w:r>
      <w:r w:rsidR="007B2C29" w:rsidRPr="00BD3549">
        <w:t>50.55a</w:t>
      </w:r>
      <w:r>
        <w:t>, “Codes and Standards,”</w:t>
      </w:r>
      <w:r w:rsidR="007B2C29" w:rsidRPr="00BD3549">
        <w:t xml:space="preserve"> require nuclear power plant owners</w:t>
      </w:r>
      <w:r w:rsidR="007525BB" w:rsidRPr="00BD3549">
        <w:t xml:space="preserve"> </w:t>
      </w:r>
      <w:r>
        <w:t xml:space="preserve">to </w:t>
      </w:r>
      <w:r w:rsidR="007B2C29" w:rsidRPr="00BD3549">
        <w:t xml:space="preserve">construct </w:t>
      </w:r>
      <w:r w:rsidR="00AC6B4D" w:rsidRPr="00BD3549">
        <w:t>Class</w:t>
      </w:r>
      <w:r>
        <w:t> </w:t>
      </w:r>
      <w:r w:rsidR="007B2C29" w:rsidRPr="00BD3549">
        <w:t>1, 2, and 3 components in accordance with Section</w:t>
      </w:r>
      <w:r>
        <w:t> </w:t>
      </w:r>
      <w:r w:rsidR="007B2C29" w:rsidRPr="00BD3549">
        <w:t>III, Division</w:t>
      </w:r>
      <w:r>
        <w:t> </w:t>
      </w:r>
      <w:r w:rsidR="007B2C29" w:rsidRPr="00BD3549">
        <w:t>1,</w:t>
      </w:r>
      <w:r w:rsidR="007525BB" w:rsidRPr="00BD3549">
        <w:t xml:space="preserve"> </w:t>
      </w:r>
      <w:r w:rsidR="007B2C29" w:rsidRPr="00BD3549">
        <w:t xml:space="preserve">of the ASME BPV Code. </w:t>
      </w:r>
      <w:r w:rsidR="00817CAB" w:rsidRPr="00BD3549">
        <w:t xml:space="preserve"> </w:t>
      </w:r>
      <w:r>
        <w:t>The</w:t>
      </w:r>
      <w:r w:rsidR="0022424D">
        <w:t>se</w:t>
      </w:r>
      <w:r>
        <w:t xml:space="preserve"> regulation</w:t>
      </w:r>
      <w:r w:rsidR="005C56A1">
        <w:t>s</w:t>
      </w:r>
      <w:r w:rsidR="005C56A1" w:rsidRPr="00BD3549">
        <w:t xml:space="preserve"> </w:t>
      </w:r>
      <w:r w:rsidR="007B2C29" w:rsidRPr="00BD3549">
        <w:t xml:space="preserve">also require owners </w:t>
      </w:r>
      <w:r w:rsidR="005C56A1">
        <w:t xml:space="preserve">to </w:t>
      </w:r>
      <w:r w:rsidR="007B2C29" w:rsidRPr="00BD3549">
        <w:t>perform ISI of Class 1,</w:t>
      </w:r>
      <w:r w:rsidR="007525BB" w:rsidRPr="00BD3549">
        <w:t xml:space="preserve"> </w:t>
      </w:r>
      <w:r w:rsidR="007B2C29" w:rsidRPr="00BD3549">
        <w:t>Class</w:t>
      </w:r>
      <w:r w:rsidR="001873E2">
        <w:t> </w:t>
      </w:r>
      <w:r w:rsidR="007B2C29" w:rsidRPr="00BD3549">
        <w:t>2, Class 3, Class MC, and Class CC components in accordance with Section</w:t>
      </w:r>
      <w:r w:rsidR="005C56A1">
        <w:t> </w:t>
      </w:r>
      <w:r w:rsidR="007B2C29" w:rsidRPr="00BD3549">
        <w:t>XI, Division</w:t>
      </w:r>
      <w:r w:rsidR="005C56A1">
        <w:t> </w:t>
      </w:r>
      <w:r w:rsidR="007B2C29" w:rsidRPr="00BD3549">
        <w:t xml:space="preserve">1, of the BPV Code and </w:t>
      </w:r>
      <w:r w:rsidR="005C56A1">
        <w:t>to</w:t>
      </w:r>
      <w:r w:rsidR="007B2C29" w:rsidRPr="00BD3549">
        <w:t xml:space="preserve"> perform IST of Class</w:t>
      </w:r>
      <w:r w:rsidR="005C56A1">
        <w:t> </w:t>
      </w:r>
      <w:r w:rsidR="007B2C29" w:rsidRPr="00BD3549">
        <w:t>1, Class 2, and Class 3 safety</w:t>
      </w:r>
      <w:r w:rsidR="005C56A1">
        <w:noBreakHyphen/>
      </w:r>
      <w:r w:rsidR="007B2C29" w:rsidRPr="00BD3549">
        <w:t>related</w:t>
      </w:r>
      <w:r w:rsidR="007525BB" w:rsidRPr="00BD3549">
        <w:t xml:space="preserve"> </w:t>
      </w:r>
      <w:r w:rsidR="007B2C29" w:rsidRPr="00BD3549">
        <w:t xml:space="preserve">pumps and valves in accordance with the OM Code. </w:t>
      </w:r>
      <w:r w:rsidR="00817CAB" w:rsidRPr="00BD3549">
        <w:t xml:space="preserve"> </w:t>
      </w:r>
      <w:r w:rsidR="005260E1">
        <w:t xml:space="preserve">The </w:t>
      </w:r>
      <w:r w:rsidR="007B2C29" w:rsidRPr="00BD3549">
        <w:t xml:space="preserve">ASME also publishes </w:t>
      </w:r>
      <w:r w:rsidR="001C19EA">
        <w:t>Code Cases</w:t>
      </w:r>
      <w:r w:rsidR="001C19EA" w:rsidRPr="00BD3549">
        <w:t xml:space="preserve"> </w:t>
      </w:r>
      <w:r w:rsidR="001E3F51" w:rsidRPr="00BD3549">
        <w:t xml:space="preserve">on </w:t>
      </w:r>
      <w:r w:rsidR="007B2C29" w:rsidRPr="00BD3549">
        <w:t>a quarterly basis (</w:t>
      </w:r>
      <w:r w:rsidR="00D15389">
        <w:t>BPV</w:t>
      </w:r>
      <w:r w:rsidR="00B13D3E">
        <w:t> </w:t>
      </w:r>
      <w:r w:rsidR="00D15389">
        <w:t xml:space="preserve">Code </w:t>
      </w:r>
      <w:r w:rsidR="007B2C29" w:rsidRPr="00BD3549">
        <w:t>Sections</w:t>
      </w:r>
      <w:r w:rsidR="005C56A1">
        <w:t> </w:t>
      </w:r>
      <w:r w:rsidR="007B2C29" w:rsidRPr="00BD3549">
        <w:t>III and XI) or</w:t>
      </w:r>
      <w:r w:rsidR="007525BB" w:rsidRPr="00BD3549">
        <w:t xml:space="preserve"> </w:t>
      </w:r>
      <w:r w:rsidR="00152C95">
        <w:t xml:space="preserve">every </w:t>
      </w:r>
      <w:r w:rsidR="00917968">
        <w:t>two</w:t>
      </w:r>
      <w:r w:rsidR="005C56A1">
        <w:t> </w:t>
      </w:r>
      <w:r w:rsidR="00152C95">
        <w:t>years</w:t>
      </w:r>
      <w:r w:rsidR="007B2C29" w:rsidRPr="00BD3549">
        <w:t xml:space="preserve"> (OM</w:t>
      </w:r>
      <w:r w:rsidR="008009D7">
        <w:t> </w:t>
      </w:r>
      <w:r w:rsidR="007B2C29" w:rsidRPr="00BD3549">
        <w:t>Code) to provide alternatives to existing Code requirements developed and</w:t>
      </w:r>
      <w:r w:rsidR="007525BB" w:rsidRPr="00BD3549">
        <w:t xml:space="preserve"> </w:t>
      </w:r>
      <w:r w:rsidR="007B2C29" w:rsidRPr="00BD3549">
        <w:t>approved by ASME</w:t>
      </w:r>
      <w:r w:rsidR="000A3709" w:rsidRPr="00BD3549">
        <w:t xml:space="preserve">.  </w:t>
      </w:r>
      <w:r w:rsidR="00C10134">
        <w:t xml:space="preserve">The </w:t>
      </w:r>
      <w:r w:rsidR="007E3004">
        <w:t xml:space="preserve">ASME </w:t>
      </w:r>
      <w:r w:rsidR="00AE121B">
        <w:t>Code Cases</w:t>
      </w:r>
      <w:r w:rsidR="007B2C29" w:rsidRPr="00BD3549">
        <w:t xml:space="preserve"> are developed to </w:t>
      </w:r>
      <w:r w:rsidR="005C56A1">
        <w:t xml:space="preserve">allow licensees to </w:t>
      </w:r>
      <w:r w:rsidR="007B2C29" w:rsidRPr="00BD3549">
        <w:t xml:space="preserve">gain experience with new technology </w:t>
      </w:r>
      <w:r w:rsidR="005C56A1">
        <w:t>before it is</w:t>
      </w:r>
      <w:r w:rsidR="007525BB" w:rsidRPr="00BD3549">
        <w:t xml:space="preserve"> </w:t>
      </w:r>
      <w:r w:rsidR="007B2C29" w:rsidRPr="00BD3549">
        <w:t>incorporat</w:t>
      </w:r>
      <w:r w:rsidR="005C56A1">
        <w:t>ed</w:t>
      </w:r>
      <w:r w:rsidR="007B2C29" w:rsidRPr="00BD3549">
        <w:t xml:space="preserve"> into the ASME Code</w:t>
      </w:r>
      <w:r w:rsidR="005C56A1">
        <w:t>,</w:t>
      </w:r>
      <w:r w:rsidR="007B2C29" w:rsidRPr="00BD3549">
        <w:t xml:space="preserve"> permit licensees to use advancements in ISI and IST</w:t>
      </w:r>
      <w:r w:rsidR="005C56A1">
        <w:t>,</w:t>
      </w:r>
      <w:r w:rsidR="007525BB" w:rsidRPr="00BD3549">
        <w:t xml:space="preserve"> </w:t>
      </w:r>
      <w:r w:rsidR="007B2C29" w:rsidRPr="00BD3549">
        <w:t>provide alternative examinations for older plants</w:t>
      </w:r>
      <w:r w:rsidR="005C56A1">
        <w:t>,</w:t>
      </w:r>
      <w:r w:rsidR="007B2C29" w:rsidRPr="00BD3549">
        <w:t xml:space="preserve"> provide an expeditious response to user</w:t>
      </w:r>
      <w:r w:rsidR="007525BB" w:rsidRPr="00BD3549">
        <w:t xml:space="preserve"> </w:t>
      </w:r>
      <w:r w:rsidR="007B2C29" w:rsidRPr="00BD3549">
        <w:t>needs</w:t>
      </w:r>
      <w:r w:rsidR="005C56A1">
        <w:t>,</w:t>
      </w:r>
      <w:r w:rsidR="007B2C29" w:rsidRPr="00BD3549">
        <w:t xml:space="preserve"> and provide a limited</w:t>
      </w:r>
      <w:r w:rsidR="005C56A1">
        <w:t xml:space="preserve"> and</w:t>
      </w:r>
      <w:r w:rsidR="007B2C29" w:rsidRPr="00BD3549">
        <w:t xml:space="preserve"> clearly focused alternative to specific ASME Code provisions.</w:t>
      </w:r>
    </w:p>
    <w:p w14:paraId="466E8228" w14:textId="77777777" w:rsidR="007B2C29" w:rsidRPr="00BD3549" w:rsidRDefault="007B2C29" w:rsidP="00FF0EE8">
      <w:pPr>
        <w:spacing w:line="240" w:lineRule="auto"/>
      </w:pPr>
    </w:p>
    <w:p w14:paraId="18840CC1" w14:textId="791CF4AA" w:rsidR="007B2C29" w:rsidRPr="00BD3549" w:rsidRDefault="0022424D" w:rsidP="00FF0EE8">
      <w:pPr>
        <w:spacing w:line="240" w:lineRule="auto"/>
      </w:pPr>
      <w:r>
        <w:t>In March 2016, t</w:t>
      </w:r>
      <w:r w:rsidR="007525BB" w:rsidRPr="00DE2F85">
        <w:t xml:space="preserve">he NRC </w:t>
      </w:r>
      <w:r>
        <w:t>issued</w:t>
      </w:r>
      <w:r w:rsidR="00AC6B4D" w:rsidRPr="00DE2F85">
        <w:t xml:space="preserve"> DG</w:t>
      </w:r>
      <w:r w:rsidR="005C56A1">
        <w:noBreakHyphen/>
      </w:r>
      <w:r w:rsidR="00AC6B4D">
        <w:t>1295</w:t>
      </w:r>
      <w:r w:rsidR="007525BB" w:rsidRPr="00BD3549">
        <w:t xml:space="preserve">, “Design and Fabrication </w:t>
      </w:r>
      <w:r w:rsidR="000A3709" w:rsidRPr="00BD3549">
        <w:t>Code Case</w:t>
      </w:r>
      <w:r w:rsidR="007525BB" w:rsidRPr="00BD3549">
        <w:t xml:space="preserve"> Acceptability, ASME </w:t>
      </w:r>
      <w:r w:rsidR="00AC6B4D" w:rsidRPr="00BD3549">
        <w:t>Section</w:t>
      </w:r>
      <w:r w:rsidR="00AC6B4D">
        <w:t> </w:t>
      </w:r>
      <w:r w:rsidR="007525BB" w:rsidRPr="00BD3549">
        <w:t>III” (</w:t>
      </w:r>
      <w:r w:rsidR="00AC6B4D">
        <w:t xml:space="preserve">draft </w:t>
      </w:r>
      <w:r w:rsidR="00022A2D">
        <w:t>RG</w:t>
      </w:r>
      <w:r w:rsidR="00AC6B4D">
        <w:t xml:space="preserve"> 1.84</w:t>
      </w:r>
      <w:r w:rsidR="007525BB" w:rsidRPr="00BD3549">
        <w:t>)</w:t>
      </w:r>
      <w:r w:rsidR="00DF1825">
        <w:t>;</w:t>
      </w:r>
      <w:r w:rsidR="007525BB" w:rsidRPr="00BD3549">
        <w:t xml:space="preserve"> </w:t>
      </w:r>
      <w:r w:rsidR="00AC6B4D">
        <w:t>DG-1296</w:t>
      </w:r>
      <w:r w:rsidR="007525BB" w:rsidRPr="00BD3549">
        <w:t xml:space="preserve">, “Inservice Inspection </w:t>
      </w:r>
      <w:r w:rsidR="000A3709" w:rsidRPr="00BD3549">
        <w:t>Code Case</w:t>
      </w:r>
      <w:r w:rsidR="007525BB" w:rsidRPr="00BD3549">
        <w:t xml:space="preserve"> Acceptability, ASME Section XI, Division 1” (</w:t>
      </w:r>
      <w:r w:rsidR="00AC6B4D">
        <w:t xml:space="preserve">draft </w:t>
      </w:r>
      <w:r w:rsidR="001E3F51">
        <w:t>RG</w:t>
      </w:r>
      <w:r w:rsidR="00AC6B4D">
        <w:t xml:space="preserve"> 1.147</w:t>
      </w:r>
      <w:r w:rsidR="007525BB" w:rsidRPr="00BD3549">
        <w:t>)</w:t>
      </w:r>
      <w:r w:rsidR="00DF1825">
        <w:t>;</w:t>
      </w:r>
      <w:r w:rsidR="00B602F5" w:rsidRPr="00BD3549">
        <w:t xml:space="preserve"> and </w:t>
      </w:r>
      <w:r w:rsidR="00AC6B4D">
        <w:t>DG</w:t>
      </w:r>
      <w:r w:rsidR="00DF1825">
        <w:noBreakHyphen/>
      </w:r>
      <w:r w:rsidR="00AC6B4D">
        <w:t>1297</w:t>
      </w:r>
      <w:r w:rsidR="00B602F5" w:rsidRPr="00BD3549">
        <w:t xml:space="preserve">, “Operation and Maintenance Code </w:t>
      </w:r>
      <w:r w:rsidR="00A44F59">
        <w:t xml:space="preserve">Case </w:t>
      </w:r>
      <w:r w:rsidR="00B602F5" w:rsidRPr="00BD3549">
        <w:t xml:space="preserve">Acceptability, ASME OM Code” </w:t>
      </w:r>
      <w:r w:rsidR="000705FF">
        <w:t>(</w:t>
      </w:r>
      <w:r w:rsidR="00AC6B4D">
        <w:t>draft RG 1.192</w:t>
      </w:r>
      <w:r w:rsidR="000705FF">
        <w:t>)</w:t>
      </w:r>
      <w:r w:rsidR="007525BB" w:rsidRPr="00BD3549">
        <w:t xml:space="preserve">. </w:t>
      </w:r>
      <w:r w:rsidR="00B602F5" w:rsidRPr="00BD3549">
        <w:t xml:space="preserve"> </w:t>
      </w:r>
      <w:r w:rsidR="001E3F51">
        <w:t>In t</w:t>
      </w:r>
      <w:r w:rsidR="007525BB" w:rsidRPr="00BD3549">
        <w:t xml:space="preserve">hese </w:t>
      </w:r>
      <w:r w:rsidR="00AC6B4D">
        <w:t>draft</w:t>
      </w:r>
      <w:r w:rsidR="00AC6B4D" w:rsidRPr="00BD3549">
        <w:t xml:space="preserve"> </w:t>
      </w:r>
      <w:r w:rsidR="00022A2D">
        <w:t xml:space="preserve">regulatory </w:t>
      </w:r>
      <w:r w:rsidR="001873E2" w:rsidRPr="00BD3549">
        <w:t>guides,</w:t>
      </w:r>
      <w:r w:rsidR="007525BB" w:rsidRPr="00BD3549">
        <w:t xml:space="preserve"> </w:t>
      </w:r>
      <w:r w:rsidR="001E3F51">
        <w:t>the NRC identifies</w:t>
      </w:r>
      <w:r w:rsidR="007525BB" w:rsidRPr="00BD3549">
        <w:t xml:space="preserve"> those </w:t>
      </w:r>
      <w:r w:rsidR="00214F33">
        <w:t xml:space="preserve">ASME </w:t>
      </w:r>
      <w:r w:rsidR="00AE121B">
        <w:t>Code Cases</w:t>
      </w:r>
      <w:r w:rsidR="008009D7" w:rsidRPr="00BD3549">
        <w:t xml:space="preserve"> that</w:t>
      </w:r>
      <w:r w:rsidR="007525BB" w:rsidRPr="00BD3549">
        <w:t xml:space="preserve"> </w:t>
      </w:r>
      <w:r w:rsidR="001E3F51">
        <w:t>were</w:t>
      </w:r>
      <w:r w:rsidR="007525BB" w:rsidRPr="00BD3549">
        <w:t xml:space="preserve"> determined to be acceptable alternatives to applicable parts of </w:t>
      </w:r>
      <w:r w:rsidR="00DF1825">
        <w:t xml:space="preserve">ASME </w:t>
      </w:r>
      <w:r>
        <w:t xml:space="preserve">BPV Code </w:t>
      </w:r>
      <w:r w:rsidR="007525BB" w:rsidRPr="00BD3549">
        <w:t>Section</w:t>
      </w:r>
      <w:r w:rsidR="00DF1825">
        <w:t> </w:t>
      </w:r>
      <w:r w:rsidR="007525BB" w:rsidRPr="00BD3549">
        <w:t>III</w:t>
      </w:r>
      <w:r>
        <w:t xml:space="preserve"> and</w:t>
      </w:r>
      <w:r w:rsidR="00DF1825">
        <w:t xml:space="preserve"> </w:t>
      </w:r>
      <w:r w:rsidR="007525BB" w:rsidRPr="00BD3549">
        <w:t>Section</w:t>
      </w:r>
      <w:r w:rsidR="00DF1825">
        <w:t> </w:t>
      </w:r>
      <w:r w:rsidR="007525BB" w:rsidRPr="00BD3549">
        <w:t>XI</w:t>
      </w:r>
      <w:r w:rsidR="00B602F5" w:rsidRPr="00BD3549">
        <w:t xml:space="preserve"> and the OM Code</w:t>
      </w:r>
      <w:r w:rsidR="007525BB" w:rsidRPr="00BD3549">
        <w:t xml:space="preserve">. </w:t>
      </w:r>
      <w:r w:rsidR="00B602F5" w:rsidRPr="00BD3549">
        <w:t xml:space="preserve"> </w:t>
      </w:r>
      <w:r w:rsidR="00D81300">
        <w:t xml:space="preserve">The ASME </w:t>
      </w:r>
      <w:r w:rsidR="00AE121B">
        <w:t>Code Cases</w:t>
      </w:r>
      <w:r w:rsidR="00D81300">
        <w:t xml:space="preserve"> that </w:t>
      </w:r>
      <w:r w:rsidR="001E3F51">
        <w:t>were</w:t>
      </w:r>
      <w:r w:rsidR="00D81300">
        <w:t xml:space="preserve"> revised are listed in Supplement</w:t>
      </w:r>
      <w:r w:rsidR="00DF1825">
        <w:t> </w:t>
      </w:r>
      <w:r w:rsidR="00D81300">
        <w:t>11 to the 2007 BPV Code through Supplement</w:t>
      </w:r>
      <w:r w:rsidR="00DF1825">
        <w:t> </w:t>
      </w:r>
      <w:r w:rsidR="00D81300">
        <w:t>10 to the 2010</w:t>
      </w:r>
      <w:r w:rsidR="00DF1825">
        <w:t> </w:t>
      </w:r>
      <w:r w:rsidR="00D81300">
        <w:t xml:space="preserve">BPV Code and the OM </w:t>
      </w:r>
      <w:r w:rsidR="00AE121B">
        <w:t>Code Cases</w:t>
      </w:r>
      <w:r w:rsidR="00D81300">
        <w:t xml:space="preserve"> published with the 2009 Edition through the 2012</w:t>
      </w:r>
      <w:r w:rsidR="001E3F51">
        <w:t> </w:t>
      </w:r>
      <w:r w:rsidR="00D81300">
        <w:t>Edition</w:t>
      </w:r>
      <w:r w:rsidR="00392E4F">
        <w:t xml:space="preserve"> of the OM Code</w:t>
      </w:r>
      <w:r w:rsidR="00D81300">
        <w:t>.</w:t>
      </w:r>
    </w:p>
    <w:p w14:paraId="1CEA01E3" w14:textId="77777777" w:rsidR="007525BB" w:rsidRPr="00027F76" w:rsidRDefault="007525BB" w:rsidP="00FF0EE8">
      <w:pPr>
        <w:spacing w:line="240" w:lineRule="auto"/>
      </w:pPr>
    </w:p>
    <w:p w14:paraId="585716AA" w14:textId="6795EB78" w:rsidR="007525BB" w:rsidRPr="00BD3549" w:rsidRDefault="00214F33" w:rsidP="00FF0EE8">
      <w:pPr>
        <w:spacing w:line="240" w:lineRule="auto"/>
      </w:pPr>
      <w:r>
        <w:t>T</w:t>
      </w:r>
      <w:r w:rsidR="00245C32" w:rsidRPr="00BD3549">
        <w:t xml:space="preserve">he NRC’s practice </w:t>
      </w:r>
      <w:r>
        <w:t xml:space="preserve">is </w:t>
      </w:r>
      <w:r w:rsidR="00245C32" w:rsidRPr="00BD3549">
        <w:t xml:space="preserve">to review ASME BPV and OM </w:t>
      </w:r>
      <w:r w:rsidR="00AE121B">
        <w:t>Code Cases</w:t>
      </w:r>
      <w:r w:rsidR="00245C32" w:rsidRPr="00BD3549">
        <w:t xml:space="preserve">, determine their acceptability, and specify </w:t>
      </w:r>
      <w:r w:rsidR="0007224A">
        <w:t>its</w:t>
      </w:r>
      <w:r w:rsidR="00245C32" w:rsidRPr="00BD3549">
        <w:t xml:space="preserve"> findings in the above</w:t>
      </w:r>
      <w:r w:rsidR="0010163A">
        <w:t>-</w:t>
      </w:r>
      <w:r>
        <w:t xml:space="preserve">stated </w:t>
      </w:r>
      <w:r w:rsidR="0007224A">
        <w:t>RGs</w:t>
      </w:r>
      <w:r w:rsidR="00245C32" w:rsidRPr="00BD3549">
        <w:t>.  The NRC has permitted nuclear power plant licensees to adopt the NRC</w:t>
      </w:r>
      <w:r w:rsidR="0007224A">
        <w:noBreakHyphen/>
      </w:r>
      <w:r w:rsidR="00245C32" w:rsidRPr="00BD3549">
        <w:t>approved</w:t>
      </w:r>
      <w:r w:rsidR="0010163A">
        <w:t xml:space="preserve"> ASME</w:t>
      </w:r>
      <w:r w:rsidR="00245C32" w:rsidRPr="00BD3549">
        <w:t xml:space="preserve"> </w:t>
      </w:r>
      <w:r w:rsidR="00AE121B">
        <w:t>Code Cases</w:t>
      </w:r>
      <w:r w:rsidR="00245C32" w:rsidRPr="00BD3549">
        <w:t xml:space="preserve"> listed in these </w:t>
      </w:r>
      <w:r w:rsidR="00AE121B">
        <w:t xml:space="preserve">RGs </w:t>
      </w:r>
      <w:r w:rsidR="00245C32" w:rsidRPr="00BD3549">
        <w:t>as alternatives to the requirements in the ASME BPV Code and OM</w:t>
      </w:r>
      <w:r w:rsidR="00530AA1">
        <w:t> </w:t>
      </w:r>
      <w:r w:rsidR="00245C32" w:rsidRPr="00BD3549">
        <w:t>Code</w:t>
      </w:r>
      <w:r w:rsidR="00AB682E">
        <w:t>, which the NRC has incorporated by reference into 10</w:t>
      </w:r>
      <w:r w:rsidR="0007224A">
        <w:t> </w:t>
      </w:r>
      <w:r w:rsidR="00AB682E">
        <w:t>CFR</w:t>
      </w:r>
      <w:r w:rsidR="0007224A">
        <w:t> </w:t>
      </w:r>
      <w:r w:rsidR="00AB682E">
        <w:t>50.55a and either mandated or approved for use</w:t>
      </w:r>
      <w:r w:rsidR="00245C32" w:rsidRPr="00BD3549">
        <w:t xml:space="preserve">.  Because the practice of generally referencing the </w:t>
      </w:r>
      <w:r w:rsidR="00022A2D">
        <w:t>RGs</w:t>
      </w:r>
      <w:r w:rsidR="00245C32" w:rsidRPr="00BD3549">
        <w:t xml:space="preserve"> may not fully satisfy the notice and comment provisions of the Administrative Procedure Act</w:t>
      </w:r>
      <w:r w:rsidR="00763717">
        <w:t>, as amended</w:t>
      </w:r>
      <w:r w:rsidR="00245C32" w:rsidRPr="00BD3549">
        <w:t xml:space="preserve"> (5</w:t>
      </w:r>
      <w:r w:rsidR="00530AA1">
        <w:t> </w:t>
      </w:r>
      <w:r w:rsidR="00245C32" w:rsidRPr="00BD3549">
        <w:t>U.S.C.</w:t>
      </w:r>
      <w:r w:rsidR="006C627D">
        <w:t> </w:t>
      </w:r>
      <w:r w:rsidR="00245C32" w:rsidRPr="00BD3549">
        <w:t xml:space="preserve">551 et seq.), the NRC determined that it is necessary to include these </w:t>
      </w:r>
      <w:r w:rsidR="0010163A">
        <w:t xml:space="preserve">ASME </w:t>
      </w:r>
      <w:r w:rsidR="00AE121B">
        <w:t>Code Cases</w:t>
      </w:r>
      <w:r w:rsidR="00245C32" w:rsidRPr="00BD3549">
        <w:t xml:space="preserve"> in </w:t>
      </w:r>
      <w:r>
        <w:t>NRC</w:t>
      </w:r>
      <w:r w:rsidR="0007224A">
        <w:t xml:space="preserve"> </w:t>
      </w:r>
      <w:r w:rsidR="00245C32" w:rsidRPr="00BD3549">
        <w:t xml:space="preserve">regulations through </w:t>
      </w:r>
      <w:r w:rsidR="00022A2D">
        <w:t xml:space="preserve">the </w:t>
      </w:r>
      <w:r w:rsidR="0010163A">
        <w:t xml:space="preserve">process of </w:t>
      </w:r>
      <w:r w:rsidR="002C3CF2">
        <w:t>incorporation by reference</w:t>
      </w:r>
      <w:r w:rsidR="00245C32" w:rsidRPr="00BD3549">
        <w:t xml:space="preserve">. </w:t>
      </w:r>
      <w:r w:rsidR="00817CAB" w:rsidRPr="00BD3549">
        <w:t xml:space="preserve"> </w:t>
      </w:r>
      <w:r>
        <w:t xml:space="preserve">Incorporating </w:t>
      </w:r>
      <w:r w:rsidR="00AB682E">
        <w:t xml:space="preserve">by reference into </w:t>
      </w:r>
      <w:r w:rsidR="00BC4AF3">
        <w:t xml:space="preserve">the </w:t>
      </w:r>
      <w:r w:rsidR="00AB682E">
        <w:t>NRC</w:t>
      </w:r>
      <w:r w:rsidR="00BC4AF3">
        <w:t>’s</w:t>
      </w:r>
      <w:r w:rsidR="0007224A">
        <w:t xml:space="preserve"> </w:t>
      </w:r>
      <w:r w:rsidR="00AB682E">
        <w:t xml:space="preserve">regulations </w:t>
      </w:r>
      <w:r w:rsidR="0046138F">
        <w:t xml:space="preserve">the </w:t>
      </w:r>
      <w:r w:rsidR="0046138F" w:rsidRPr="00BD3549">
        <w:t xml:space="preserve">latest revisions </w:t>
      </w:r>
      <w:r w:rsidR="0007224A">
        <w:t xml:space="preserve">to </w:t>
      </w:r>
      <w:r w:rsidR="0046138F">
        <w:t>the</w:t>
      </w:r>
      <w:r w:rsidR="0046138F" w:rsidRPr="00BD3549">
        <w:t xml:space="preserve"> three </w:t>
      </w:r>
      <w:r w:rsidR="0007224A">
        <w:t>RG</w:t>
      </w:r>
      <w:r w:rsidR="0046138F">
        <w:t xml:space="preserve">s </w:t>
      </w:r>
      <w:r w:rsidR="00AB682E">
        <w:t>identifying</w:t>
      </w:r>
      <w:r w:rsidR="0046138F">
        <w:t xml:space="preserve"> NRC</w:t>
      </w:r>
      <w:r w:rsidR="0007224A">
        <w:noBreakHyphen/>
      </w:r>
      <w:r w:rsidR="0046138F">
        <w:t xml:space="preserve">approved </w:t>
      </w:r>
      <w:r w:rsidR="004508F7">
        <w:t xml:space="preserve">ASME </w:t>
      </w:r>
      <w:r w:rsidR="0046138F">
        <w:t xml:space="preserve">Code Cases </w:t>
      </w:r>
      <w:r>
        <w:t>provides</w:t>
      </w:r>
      <w:r w:rsidRPr="00BD3549">
        <w:t xml:space="preserve"> </w:t>
      </w:r>
      <w:r w:rsidR="00AB682E" w:rsidRPr="00BD3549">
        <w:t>the</w:t>
      </w:r>
      <w:r w:rsidR="00AB682E">
        <w:t>se</w:t>
      </w:r>
      <w:r w:rsidR="00245C32" w:rsidRPr="00BD3549">
        <w:t xml:space="preserve"> </w:t>
      </w:r>
      <w:r w:rsidR="00AE121B">
        <w:t>Code Cases</w:t>
      </w:r>
      <w:r w:rsidR="00245C32" w:rsidRPr="00BD3549">
        <w:t xml:space="preserve"> </w:t>
      </w:r>
      <w:r w:rsidR="004508F7">
        <w:t xml:space="preserve">with </w:t>
      </w:r>
      <w:r w:rsidR="00245C32" w:rsidRPr="00BD3549">
        <w:t xml:space="preserve">the same legal status and the same notice and comment provisions as the ASME BPV Code and OM Code requirements incorporated by reference in </w:t>
      </w:r>
      <w:r w:rsidR="00530AA1">
        <w:t>10</w:t>
      </w:r>
      <w:r w:rsidR="00CC4331">
        <w:t> </w:t>
      </w:r>
      <w:r w:rsidR="00530AA1">
        <w:t>CFR</w:t>
      </w:r>
      <w:r w:rsidR="00CC4331">
        <w:t> </w:t>
      </w:r>
      <w:r w:rsidR="00245C32" w:rsidRPr="00BD3549">
        <w:t>50.55a.</w:t>
      </w:r>
    </w:p>
    <w:p w14:paraId="200D5040" w14:textId="77777777" w:rsidR="00817CAB" w:rsidRPr="00BD3549" w:rsidRDefault="00817CAB" w:rsidP="00FF0EE8">
      <w:pPr>
        <w:pStyle w:val="Heading2"/>
        <w:spacing w:line="240" w:lineRule="auto"/>
        <w:ind w:left="540" w:hanging="522"/>
      </w:pPr>
      <w:bookmarkStart w:id="23" w:name="_Toc462224940"/>
      <w:bookmarkStart w:id="24" w:name="_Toc468875899"/>
      <w:r w:rsidRPr="00BD3549">
        <w:t>Objective</w:t>
      </w:r>
      <w:bookmarkEnd w:id="23"/>
      <w:bookmarkEnd w:id="24"/>
    </w:p>
    <w:p w14:paraId="39CC6E95" w14:textId="77777777" w:rsidR="00817CAB" w:rsidRPr="00BD3549" w:rsidRDefault="00817CAB" w:rsidP="00FF0EE8">
      <w:pPr>
        <w:keepNext/>
        <w:spacing w:line="240" w:lineRule="auto"/>
      </w:pPr>
    </w:p>
    <w:p w14:paraId="72BB20F8" w14:textId="249ACA2E" w:rsidR="004508F7" w:rsidRDefault="00F75A58" w:rsidP="00FF0EE8">
      <w:pPr>
        <w:spacing w:line="240" w:lineRule="auto"/>
      </w:pPr>
      <w:r w:rsidRPr="00BD3549">
        <w:t>T</w:t>
      </w:r>
      <w:r w:rsidR="006C1561" w:rsidRPr="00BD3549">
        <w:t>he objective of t</w:t>
      </w:r>
      <w:r w:rsidRPr="00BD3549">
        <w:t xml:space="preserve">his regulatory action </w:t>
      </w:r>
      <w:r w:rsidR="006C1561" w:rsidRPr="00BD3549">
        <w:t xml:space="preserve">is to </w:t>
      </w:r>
      <w:r w:rsidR="00AB682E">
        <w:t>incorporate by reference</w:t>
      </w:r>
      <w:r w:rsidRPr="00BD3549">
        <w:t xml:space="preserve"> the latest revisions </w:t>
      </w:r>
      <w:r w:rsidR="00CC4331">
        <w:t>to</w:t>
      </w:r>
      <w:r w:rsidR="00CC4331" w:rsidRPr="00BD3549">
        <w:t xml:space="preserve"> </w:t>
      </w:r>
      <w:r w:rsidR="00EA6ABC" w:rsidRPr="00BD3549">
        <w:t xml:space="preserve">three </w:t>
      </w:r>
      <w:r w:rsidR="004508F7">
        <w:t>RGs</w:t>
      </w:r>
      <w:r w:rsidR="00214F33">
        <w:t xml:space="preserve"> </w:t>
      </w:r>
      <w:r w:rsidRPr="00BD3549">
        <w:t xml:space="preserve">that list </w:t>
      </w:r>
      <w:r w:rsidR="00AE121B">
        <w:t>Code Cases</w:t>
      </w:r>
      <w:r w:rsidRPr="00BD3549">
        <w:t xml:space="preserve"> published by ASME and approved by the </w:t>
      </w:r>
      <w:r w:rsidR="00EA6ABC" w:rsidRPr="00BD3549">
        <w:t>NRC</w:t>
      </w:r>
      <w:r w:rsidR="004508F7">
        <w:t>:</w:t>
      </w:r>
    </w:p>
    <w:p w14:paraId="0FECB7F1" w14:textId="77777777" w:rsidR="004508F7" w:rsidRDefault="004508F7" w:rsidP="00FF0EE8">
      <w:pPr>
        <w:spacing w:line="240" w:lineRule="auto"/>
      </w:pPr>
    </w:p>
    <w:p w14:paraId="0759571F" w14:textId="3FCAE351" w:rsidR="004508F7" w:rsidRDefault="00EA6ABC" w:rsidP="00FF0EE8">
      <w:pPr>
        <w:pStyle w:val="ListParagraph"/>
        <w:numPr>
          <w:ilvl w:val="0"/>
          <w:numId w:val="35"/>
        </w:numPr>
        <w:spacing w:line="240" w:lineRule="auto"/>
        <w:ind w:hanging="720"/>
      </w:pPr>
      <w:r w:rsidRPr="00BD3549">
        <w:t>RG</w:t>
      </w:r>
      <w:r w:rsidR="00CC4331">
        <w:t> </w:t>
      </w:r>
      <w:r w:rsidR="00F75A58" w:rsidRPr="00BD3549">
        <w:t>1.84, “Design, Fabrication, and Materials Code Case Acceptability, ASME Section III,” Revision</w:t>
      </w:r>
      <w:r w:rsidR="00CC4331">
        <w:t> </w:t>
      </w:r>
      <w:r w:rsidR="00F75A58" w:rsidRPr="00BD3549">
        <w:t>3</w:t>
      </w:r>
      <w:r w:rsidR="00646390">
        <w:t>7</w:t>
      </w:r>
    </w:p>
    <w:p w14:paraId="096FE714" w14:textId="77777777" w:rsidR="004508F7" w:rsidRDefault="004508F7" w:rsidP="00FF0EE8">
      <w:pPr>
        <w:spacing w:line="240" w:lineRule="auto"/>
        <w:ind w:hanging="720"/>
      </w:pPr>
    </w:p>
    <w:p w14:paraId="2500A131" w14:textId="6B0E8A7E" w:rsidR="004508F7" w:rsidRDefault="00F75A58" w:rsidP="00FF0EE8">
      <w:pPr>
        <w:pStyle w:val="ListParagraph"/>
        <w:numPr>
          <w:ilvl w:val="0"/>
          <w:numId w:val="35"/>
        </w:numPr>
        <w:spacing w:line="240" w:lineRule="auto"/>
        <w:ind w:hanging="720"/>
      </w:pPr>
      <w:r w:rsidRPr="00BD3549">
        <w:t>RG</w:t>
      </w:r>
      <w:r w:rsidR="00CC4331">
        <w:t> </w:t>
      </w:r>
      <w:r w:rsidRPr="00BD3549">
        <w:t>1.147, “Inservice Inspection Code Case Acceptability, ASME Section</w:t>
      </w:r>
      <w:r w:rsidR="00CC4331">
        <w:t> </w:t>
      </w:r>
      <w:r w:rsidRPr="00BD3549">
        <w:t>XI, Division</w:t>
      </w:r>
      <w:r w:rsidR="00CC4331">
        <w:t> </w:t>
      </w:r>
      <w:r w:rsidRPr="00BD3549">
        <w:t>1,” Revision</w:t>
      </w:r>
      <w:r w:rsidR="00CC4331">
        <w:t> </w:t>
      </w:r>
      <w:r w:rsidRPr="00BD3549">
        <w:t>1</w:t>
      </w:r>
      <w:r w:rsidR="00646390">
        <w:t>8</w:t>
      </w:r>
    </w:p>
    <w:p w14:paraId="24348DC0" w14:textId="77777777" w:rsidR="004508F7" w:rsidRDefault="004508F7" w:rsidP="00FF0EE8">
      <w:pPr>
        <w:spacing w:line="240" w:lineRule="auto"/>
        <w:ind w:hanging="720"/>
      </w:pPr>
    </w:p>
    <w:p w14:paraId="0F2EB407" w14:textId="25E80B85" w:rsidR="004508F7" w:rsidRDefault="00F75A58" w:rsidP="00FF0EE8">
      <w:pPr>
        <w:pStyle w:val="ListParagraph"/>
        <w:numPr>
          <w:ilvl w:val="0"/>
          <w:numId w:val="35"/>
        </w:numPr>
        <w:spacing w:line="240" w:lineRule="auto"/>
        <w:ind w:hanging="720"/>
      </w:pPr>
      <w:r w:rsidRPr="00BD3549">
        <w:t>RG</w:t>
      </w:r>
      <w:r w:rsidR="00CC4331">
        <w:t> </w:t>
      </w:r>
      <w:r w:rsidRPr="00BD3549">
        <w:t xml:space="preserve">1.192, “Operation and Maintenance Code </w:t>
      </w:r>
      <w:r w:rsidR="00E03E20" w:rsidRPr="00BD3549">
        <w:t xml:space="preserve">Case </w:t>
      </w:r>
      <w:r w:rsidRPr="00BD3549">
        <w:t>Acceptability, ASME OM Code,” Revisio</w:t>
      </w:r>
      <w:r w:rsidR="00A77714" w:rsidRPr="00BD3549">
        <w:t>n</w:t>
      </w:r>
      <w:r w:rsidR="00CC4331">
        <w:t> </w:t>
      </w:r>
      <w:r w:rsidR="00646390">
        <w:t>2</w:t>
      </w:r>
      <w:r w:rsidR="00A77714" w:rsidRPr="00BD3549">
        <w:t xml:space="preserve"> </w:t>
      </w:r>
    </w:p>
    <w:p w14:paraId="0DBD29A4" w14:textId="77777777" w:rsidR="004508F7" w:rsidRDefault="004508F7" w:rsidP="00FF0EE8">
      <w:pPr>
        <w:spacing w:line="240" w:lineRule="auto"/>
      </w:pPr>
    </w:p>
    <w:p w14:paraId="2CF33BCA" w14:textId="5FEBDDA4" w:rsidR="00F75A58" w:rsidRPr="00BD3549" w:rsidRDefault="00A77714" w:rsidP="00FF0EE8">
      <w:pPr>
        <w:spacing w:line="240" w:lineRule="auto"/>
      </w:pPr>
      <w:r w:rsidRPr="00BD3549">
        <w:t>These revisions supersede</w:t>
      </w:r>
      <w:r w:rsidR="00F75A58" w:rsidRPr="00BD3549">
        <w:t xml:space="preserve"> the </w:t>
      </w:r>
      <w:r w:rsidR="00D36A52">
        <w:t>incorporation by reference</w:t>
      </w:r>
      <w:r w:rsidR="00F75A58" w:rsidRPr="00BD3549">
        <w:t xml:space="preserve"> of RG</w:t>
      </w:r>
      <w:r w:rsidR="00CC4331">
        <w:t> </w:t>
      </w:r>
      <w:r w:rsidR="00F75A58" w:rsidRPr="00BD3549">
        <w:t>1.84, Revision</w:t>
      </w:r>
      <w:r w:rsidR="00CC4331">
        <w:t> </w:t>
      </w:r>
      <w:r w:rsidR="00F75A58" w:rsidRPr="00BD3549">
        <w:t>3</w:t>
      </w:r>
      <w:r w:rsidR="00646390">
        <w:t>6</w:t>
      </w:r>
      <w:r w:rsidR="00CC4331">
        <w:t>, issued August 2014</w:t>
      </w:r>
      <w:r w:rsidR="00F75A58" w:rsidRPr="00BD3549">
        <w:t>; RG</w:t>
      </w:r>
      <w:r w:rsidR="00CC4331">
        <w:t> </w:t>
      </w:r>
      <w:r w:rsidR="00F75A58" w:rsidRPr="00BD3549">
        <w:t>1.147, Revision</w:t>
      </w:r>
      <w:r w:rsidR="00CC4331">
        <w:t> </w:t>
      </w:r>
      <w:r w:rsidR="00F75A58" w:rsidRPr="00BD3549">
        <w:t>1</w:t>
      </w:r>
      <w:r w:rsidR="00646390">
        <w:t>7</w:t>
      </w:r>
      <w:r w:rsidR="00CC4331">
        <w:t>, issued August 2014</w:t>
      </w:r>
      <w:r w:rsidR="00F75A58" w:rsidRPr="00BD3549">
        <w:t xml:space="preserve">; and </w:t>
      </w:r>
      <w:r w:rsidR="00027F76" w:rsidRPr="00BD3549">
        <w:t>RG</w:t>
      </w:r>
      <w:r w:rsidR="00CC4331">
        <w:t> </w:t>
      </w:r>
      <w:r w:rsidR="00F75A58" w:rsidRPr="00BD3549">
        <w:t>1.192, Revision</w:t>
      </w:r>
      <w:r w:rsidR="00CC4331">
        <w:t> </w:t>
      </w:r>
      <w:r w:rsidR="00646390">
        <w:t>1</w:t>
      </w:r>
      <w:r w:rsidR="00CC4331">
        <w:t>, issued October 2014</w:t>
      </w:r>
      <w:r w:rsidR="00F75A58" w:rsidRPr="00BD3549">
        <w:t xml:space="preserve">.  </w:t>
      </w:r>
      <w:r w:rsidR="00214F33">
        <w:t>T</w:t>
      </w:r>
      <w:r w:rsidR="00F75A58" w:rsidRPr="00BD3549">
        <w:t>his regulatory action improves the effectiveness of future licensing actions</w:t>
      </w:r>
      <w:r w:rsidR="008F2AD7">
        <w:t xml:space="preserve">, </w:t>
      </w:r>
      <w:r w:rsidR="006C1561" w:rsidRPr="00BD3549">
        <w:t xml:space="preserve">is consistent with the provisions of the NTTAA </w:t>
      </w:r>
      <w:r w:rsidR="008F2AD7">
        <w:t>that</w:t>
      </w:r>
      <w:r w:rsidR="008F2AD7" w:rsidRPr="00BD3549">
        <w:t xml:space="preserve"> </w:t>
      </w:r>
      <w:r w:rsidR="006C1561" w:rsidRPr="00BD3549">
        <w:t xml:space="preserve">encourage Federal regulatory agencies to consider adopting voluntary consensus standards as an alternative to </w:t>
      </w:r>
      <w:r w:rsidR="006C1561" w:rsidRPr="003C65C7">
        <w:rPr>
          <w:i/>
        </w:rPr>
        <w:t>de novo</w:t>
      </w:r>
      <w:r w:rsidR="006C1561" w:rsidRPr="00BD3549">
        <w:rPr>
          <w:i/>
        </w:rPr>
        <w:t xml:space="preserve"> </w:t>
      </w:r>
      <w:r w:rsidR="006C1561" w:rsidRPr="00BD3549">
        <w:t>agency development of standards affecting an industry</w:t>
      </w:r>
      <w:r w:rsidR="008F2AD7">
        <w:t>,</w:t>
      </w:r>
      <w:r w:rsidR="00214F33">
        <w:t xml:space="preserve"> and is </w:t>
      </w:r>
      <w:r w:rsidR="006C1561" w:rsidRPr="00BD3549">
        <w:t xml:space="preserve">consistent with the NRC policy of evaluating the latest version of consensus standards </w:t>
      </w:r>
      <w:r w:rsidR="002C3CF2">
        <w:t xml:space="preserve">already approved by the NRC </w:t>
      </w:r>
      <w:r w:rsidR="006C1561" w:rsidRPr="00BD3549">
        <w:t xml:space="preserve">in terms of their suitability for endorsement by regulation or </w:t>
      </w:r>
      <w:r w:rsidR="008F2AD7">
        <w:t>RG</w:t>
      </w:r>
      <w:r w:rsidR="006C1561" w:rsidRPr="00BD3549">
        <w:t>.</w:t>
      </w:r>
    </w:p>
    <w:p w14:paraId="0A498B9A" w14:textId="77777777" w:rsidR="00817CAB" w:rsidRPr="00BD3549" w:rsidRDefault="00817CAB" w:rsidP="00FF0EE8">
      <w:pPr>
        <w:pStyle w:val="Heading2"/>
        <w:spacing w:line="240" w:lineRule="auto"/>
        <w:ind w:left="540" w:hanging="540"/>
      </w:pPr>
      <w:bookmarkStart w:id="25" w:name="_Toc462224941"/>
      <w:bookmarkStart w:id="26" w:name="_Toc468875900"/>
      <w:r w:rsidRPr="00BD3549">
        <w:t>Statement of the Problem</w:t>
      </w:r>
      <w:bookmarkEnd w:id="25"/>
      <w:bookmarkEnd w:id="26"/>
    </w:p>
    <w:p w14:paraId="427D56E8" w14:textId="77777777" w:rsidR="00817CAB" w:rsidRPr="00BD3549" w:rsidRDefault="00817CAB" w:rsidP="00FF0EE8">
      <w:pPr>
        <w:keepNext/>
        <w:spacing w:line="240" w:lineRule="auto"/>
      </w:pPr>
    </w:p>
    <w:p w14:paraId="7245939D" w14:textId="77777777" w:rsidR="00771C8F" w:rsidRPr="00BD3549" w:rsidRDefault="00771C8F" w:rsidP="00FF0EE8">
      <w:pPr>
        <w:spacing w:line="240" w:lineRule="auto"/>
      </w:pPr>
    </w:p>
    <w:p w14:paraId="723CE851" w14:textId="7D773C99" w:rsidR="00771C8F" w:rsidRPr="00BD3549" w:rsidRDefault="00BC4AF3" w:rsidP="00FF0EE8">
      <w:pPr>
        <w:spacing w:line="240" w:lineRule="auto"/>
      </w:pPr>
      <w:r>
        <w:t xml:space="preserve">The </w:t>
      </w:r>
      <w:r w:rsidR="00214F33">
        <w:t xml:space="preserve">ASME may revise </w:t>
      </w:r>
      <w:r w:rsidR="00AE121B">
        <w:t xml:space="preserve">Code </w:t>
      </w:r>
      <w:r w:rsidR="00022A2D">
        <w:t>C</w:t>
      </w:r>
      <w:r w:rsidR="00AE121B">
        <w:t>ases</w:t>
      </w:r>
      <w:r w:rsidR="00771C8F" w:rsidRPr="00BD3549">
        <w:t xml:space="preserve"> for many reasons</w:t>
      </w:r>
      <w:r w:rsidR="00214F33">
        <w:t>,</w:t>
      </w:r>
      <w:r w:rsidR="00771C8F" w:rsidRPr="00BD3549">
        <w:t xml:space="preserve"> such as incorporating operational examination and testing experience or </w:t>
      </w:r>
      <w:r w:rsidR="006569E6">
        <w:t>updating</w:t>
      </w:r>
      <w:r w:rsidR="00771C8F" w:rsidRPr="00BD3549">
        <w:t xml:space="preserve"> material requirements based on research results.  On occasion, an inaccuracy in an equation is discovered</w:t>
      </w:r>
      <w:r w:rsidR="008F2AD7">
        <w:t>,</w:t>
      </w:r>
      <w:r w:rsidR="00771C8F" w:rsidRPr="00BD3549">
        <w:t xml:space="preserve"> or an examination as practiced is found to be </w:t>
      </w:r>
      <w:r w:rsidR="008F2AD7">
        <w:t>in</w:t>
      </w:r>
      <w:r w:rsidR="00771C8F" w:rsidRPr="00BD3549">
        <w:t xml:space="preserve">adequate </w:t>
      </w:r>
      <w:r w:rsidR="008F2AD7">
        <w:t>in</w:t>
      </w:r>
      <w:r w:rsidR="008F2AD7" w:rsidRPr="00BD3549">
        <w:t xml:space="preserve"> </w:t>
      </w:r>
      <w:r w:rsidR="00771C8F" w:rsidRPr="00BD3549">
        <w:t>detect</w:t>
      </w:r>
      <w:r w:rsidR="008F2AD7">
        <w:t>ing</w:t>
      </w:r>
      <w:r w:rsidR="00771C8F" w:rsidRPr="00BD3549">
        <w:t xml:space="preserve"> a newly discovered degradation mechanism.  </w:t>
      </w:r>
      <w:r w:rsidR="00027F76">
        <w:t>Therefore</w:t>
      </w:r>
      <w:r w:rsidR="00771C8F" w:rsidRPr="00BD3549">
        <w:t>, it follows that</w:t>
      </w:r>
      <w:r w:rsidR="008F2AD7">
        <w:t>,</w:t>
      </w:r>
      <w:r w:rsidR="00771C8F" w:rsidRPr="00BD3549">
        <w:t xml:space="preserve"> when a licens</w:t>
      </w:r>
      <w:r w:rsidR="00022A2D">
        <w:t>ee initially implements a Code C</w:t>
      </w:r>
      <w:r w:rsidR="00771C8F" w:rsidRPr="00BD3549">
        <w:t xml:space="preserve">ase, </w:t>
      </w:r>
      <w:r w:rsidR="00530AA1">
        <w:t>10</w:t>
      </w:r>
      <w:r w:rsidR="008F2AD7">
        <w:t> </w:t>
      </w:r>
      <w:r w:rsidR="00530AA1">
        <w:t>CFR</w:t>
      </w:r>
      <w:r w:rsidR="008F2AD7">
        <w:t> </w:t>
      </w:r>
      <w:r w:rsidR="00771C8F" w:rsidRPr="00BD3549">
        <w:t xml:space="preserve">50.55a requires the licensee </w:t>
      </w:r>
      <w:r w:rsidR="008F2AD7">
        <w:t xml:space="preserve">to </w:t>
      </w:r>
      <w:r w:rsidR="00771C8F" w:rsidRPr="00BD3549">
        <w:t>implement the mo</w:t>
      </w:r>
      <w:r w:rsidR="00022A2D">
        <w:t>st recent version of that Code C</w:t>
      </w:r>
      <w:r w:rsidR="00771C8F" w:rsidRPr="00BD3549">
        <w:t>ase as listed in the approved or conditionally approved tables</w:t>
      </w:r>
      <w:r w:rsidR="00214F33">
        <w:t xml:space="preserve"> in </w:t>
      </w:r>
      <w:r w:rsidR="00530AA1">
        <w:t>10</w:t>
      </w:r>
      <w:r w:rsidR="008F2AD7">
        <w:t> </w:t>
      </w:r>
      <w:r w:rsidR="00530AA1">
        <w:t>CFR</w:t>
      </w:r>
      <w:r w:rsidR="008F2AD7">
        <w:t> </w:t>
      </w:r>
      <w:r w:rsidR="00214F33">
        <w:t>50.55a</w:t>
      </w:r>
      <w:r w:rsidR="00771C8F" w:rsidRPr="00BD3549">
        <w:t xml:space="preserve">.  </w:t>
      </w:r>
      <w:r w:rsidR="009875BA">
        <w:t xml:space="preserve">An </w:t>
      </w:r>
      <w:r w:rsidR="007E3A0B">
        <w:t xml:space="preserve">alternative could be </w:t>
      </w:r>
      <w:r w:rsidR="0020657B">
        <w:t xml:space="preserve">submitted and approved </w:t>
      </w:r>
      <w:r w:rsidR="007E3A0B">
        <w:t xml:space="preserve">through </w:t>
      </w:r>
      <w:r w:rsidR="00891309">
        <w:t>alternative</w:t>
      </w:r>
      <w:r w:rsidR="007E3A0B">
        <w:t xml:space="preserve"> requests under </w:t>
      </w:r>
      <w:r w:rsidR="00530AA1">
        <w:t>10</w:t>
      </w:r>
      <w:r w:rsidR="008F2AD7">
        <w:t> </w:t>
      </w:r>
      <w:r w:rsidR="00530AA1">
        <w:t>CFR</w:t>
      </w:r>
      <w:r w:rsidR="008F2AD7">
        <w:t> </w:t>
      </w:r>
      <w:r w:rsidR="007E3A0B">
        <w:t>50.55</w:t>
      </w:r>
      <w:r w:rsidR="00022A2D">
        <w:t>a</w:t>
      </w:r>
      <w:r w:rsidR="007E3A0B">
        <w:t>(z)</w:t>
      </w:r>
      <w:r w:rsidR="009875BA">
        <w:t>; in this case,</w:t>
      </w:r>
      <w:r w:rsidR="007E3A0B">
        <w:t xml:space="preserve"> a licensee could </w:t>
      </w:r>
      <w:r w:rsidR="009875BA">
        <w:t>request the</w:t>
      </w:r>
      <w:r w:rsidR="007E3A0B">
        <w:t xml:space="preserve"> use </w:t>
      </w:r>
      <w:r w:rsidR="009875BA">
        <w:t xml:space="preserve">of </w:t>
      </w:r>
      <w:r w:rsidR="007E3A0B">
        <w:t>a previous Code Case</w:t>
      </w:r>
      <w:r w:rsidR="009875BA">
        <w:t>,</w:t>
      </w:r>
      <w:r w:rsidR="007E3A0B">
        <w:t xml:space="preserve"> and the NRC would evaluate </w:t>
      </w:r>
      <w:r w:rsidR="009875BA">
        <w:t xml:space="preserve">such a request </w:t>
      </w:r>
      <w:r w:rsidR="007E3A0B">
        <w:t>on a case</w:t>
      </w:r>
      <w:r w:rsidR="008F2AD7">
        <w:noBreakHyphen/>
      </w:r>
      <w:r w:rsidR="007E3A0B">
        <w:t>by</w:t>
      </w:r>
      <w:r w:rsidR="008F2AD7">
        <w:noBreakHyphen/>
      </w:r>
      <w:r w:rsidR="007E3A0B">
        <w:t>case basis.</w:t>
      </w:r>
    </w:p>
    <w:p w14:paraId="25A9560D" w14:textId="77777777" w:rsidR="00771C8F" w:rsidRPr="00BD3549" w:rsidRDefault="00771C8F" w:rsidP="00FF0EE8">
      <w:pPr>
        <w:spacing w:line="240" w:lineRule="auto"/>
      </w:pPr>
    </w:p>
    <w:p w14:paraId="6C56F67B" w14:textId="4C9E5E5F" w:rsidR="00771C8F" w:rsidRPr="00BD3549" w:rsidRDefault="009875BA" w:rsidP="00FF0EE8">
      <w:pPr>
        <w:spacing w:line="240" w:lineRule="auto"/>
      </w:pPr>
      <w:r>
        <w:t xml:space="preserve">ASME </w:t>
      </w:r>
      <w:r w:rsidR="00771C8F" w:rsidRPr="00BD3549">
        <w:t>Section</w:t>
      </w:r>
      <w:r>
        <w:t> </w:t>
      </w:r>
      <w:r w:rsidR="00771C8F" w:rsidRPr="00BD3549">
        <w:t>III applies only to new construction (i.e.,</w:t>
      </w:r>
      <w:r>
        <w:t> </w:t>
      </w:r>
      <w:r w:rsidR="00771C8F" w:rsidRPr="00BD3549">
        <w:t xml:space="preserve">the edition and addenda to be used in the construction of a plant are selected based on the date of the construction permit and are not changed thereafter except voluntarily by the licensee).  Hence, if </w:t>
      </w:r>
      <w:r w:rsidR="006569E6">
        <w:t xml:space="preserve">a licensee implements </w:t>
      </w:r>
      <w:r w:rsidR="00771C8F" w:rsidRPr="00BD3549">
        <w:t>a</w:t>
      </w:r>
      <w:r w:rsidR="00214F33">
        <w:t>n ASME</w:t>
      </w:r>
      <w:r w:rsidR="00771C8F" w:rsidRPr="00BD3549">
        <w:t xml:space="preserve"> </w:t>
      </w:r>
      <w:r w:rsidR="004508F7">
        <w:t xml:space="preserve">BPV Code </w:t>
      </w:r>
      <w:r w:rsidR="00771C8F" w:rsidRPr="00BD3549">
        <w:t>Section</w:t>
      </w:r>
      <w:r>
        <w:t> </w:t>
      </w:r>
      <w:r w:rsidR="00771C8F" w:rsidRPr="00BD3549">
        <w:t xml:space="preserve">III Code </w:t>
      </w:r>
      <w:r w:rsidR="00022A2D">
        <w:t>C</w:t>
      </w:r>
      <w:r w:rsidR="006569E6">
        <w:t>ase</w:t>
      </w:r>
      <w:r w:rsidR="00771C8F" w:rsidRPr="00BD3549">
        <w:t xml:space="preserve"> and </w:t>
      </w:r>
      <w:r>
        <w:t xml:space="preserve">if </w:t>
      </w:r>
      <w:r w:rsidR="006569E6">
        <w:t xml:space="preserve">the NRC incorporates by reference </w:t>
      </w:r>
      <w:r w:rsidR="00771C8F" w:rsidRPr="00BD3549">
        <w:t xml:space="preserve">a later version of the Code </w:t>
      </w:r>
      <w:r w:rsidR="00022A2D">
        <w:t>C</w:t>
      </w:r>
      <w:r w:rsidR="006569E6">
        <w:t>ase</w:t>
      </w:r>
      <w:r w:rsidR="00F86362">
        <w:t xml:space="preserve"> </w:t>
      </w:r>
      <w:r w:rsidR="00771C8F" w:rsidRPr="00BD3549">
        <w:t xml:space="preserve">into </w:t>
      </w:r>
      <w:r w:rsidR="00530AA1">
        <w:t>10</w:t>
      </w:r>
      <w:r>
        <w:t> </w:t>
      </w:r>
      <w:r w:rsidR="00530AA1">
        <w:t>CFR</w:t>
      </w:r>
      <w:r>
        <w:t> </w:t>
      </w:r>
      <w:r w:rsidR="00771C8F" w:rsidRPr="00BD3549">
        <w:t>50.55a and list</w:t>
      </w:r>
      <w:r>
        <w:t>s it</w:t>
      </w:r>
      <w:r w:rsidR="00771C8F" w:rsidRPr="00BD3549">
        <w:t xml:space="preserve"> in the </w:t>
      </w:r>
      <w:r w:rsidR="00214F33">
        <w:t>RG</w:t>
      </w:r>
      <w:r w:rsidR="00771C8F" w:rsidRPr="00BD3549">
        <w:t xml:space="preserve"> tables, that licensee may use either version of the Code </w:t>
      </w:r>
      <w:r w:rsidR="00022A2D">
        <w:t>C</w:t>
      </w:r>
      <w:r w:rsidR="00771C8F" w:rsidRPr="00BD3549">
        <w:t>ase.</w:t>
      </w:r>
    </w:p>
    <w:p w14:paraId="5F3AAAA4" w14:textId="77777777" w:rsidR="00771C8F" w:rsidRPr="00BD3549" w:rsidRDefault="00771C8F" w:rsidP="00FF0EE8">
      <w:pPr>
        <w:spacing w:line="240" w:lineRule="auto"/>
      </w:pPr>
    </w:p>
    <w:p w14:paraId="68B14D63" w14:textId="0E59178D" w:rsidR="00771C8F" w:rsidRPr="00BD3549" w:rsidRDefault="000A73EA" w:rsidP="00FF0EE8">
      <w:pPr>
        <w:spacing w:line="240" w:lineRule="auto"/>
      </w:pPr>
      <w:r>
        <w:t>Licensee</w:t>
      </w:r>
      <w:r w:rsidR="009875BA">
        <w:t>s’</w:t>
      </w:r>
      <w:r>
        <w:t xml:space="preserve"> </w:t>
      </w:r>
      <w:r w:rsidR="004508F7">
        <w:t xml:space="preserve">ASME BPV Code </w:t>
      </w:r>
      <w:r w:rsidR="00771C8F" w:rsidRPr="00BD3549">
        <w:t>Section</w:t>
      </w:r>
      <w:r w:rsidR="009875BA">
        <w:t> </w:t>
      </w:r>
      <w:r w:rsidR="00771C8F" w:rsidRPr="00BD3549">
        <w:t xml:space="preserve">XI ISI and </w:t>
      </w:r>
      <w:r w:rsidR="004508F7">
        <w:t xml:space="preserve">ASME </w:t>
      </w:r>
      <w:r w:rsidR="00771C8F" w:rsidRPr="00BD3549">
        <w:t xml:space="preserve">OM </w:t>
      </w:r>
      <w:r w:rsidR="004508F7">
        <w:t xml:space="preserve">Code </w:t>
      </w:r>
      <w:r w:rsidR="00771C8F" w:rsidRPr="00BD3549">
        <w:t xml:space="preserve">IST programs are updated every </w:t>
      </w:r>
      <w:r w:rsidR="009875BA">
        <w:t>10 </w:t>
      </w:r>
      <w:r w:rsidR="00771C8F" w:rsidRPr="00BD3549">
        <w:t xml:space="preserve">years to the latest edition and addenda of </w:t>
      </w:r>
      <w:r w:rsidR="009875BA">
        <w:t xml:space="preserve">ASME </w:t>
      </w:r>
      <w:r w:rsidR="004508F7">
        <w:t xml:space="preserve">BPV Code </w:t>
      </w:r>
      <w:r w:rsidR="00771C8F" w:rsidRPr="00BD3549">
        <w:t>Section</w:t>
      </w:r>
      <w:r w:rsidR="009875BA">
        <w:t> </w:t>
      </w:r>
      <w:r w:rsidR="00771C8F" w:rsidRPr="00BD3549">
        <w:t xml:space="preserve">XI that were incorporated by reference into </w:t>
      </w:r>
      <w:r w:rsidR="00530AA1">
        <w:t>10</w:t>
      </w:r>
      <w:r w:rsidR="009875BA">
        <w:t> </w:t>
      </w:r>
      <w:r w:rsidR="00530AA1">
        <w:t>CFR</w:t>
      </w:r>
      <w:r w:rsidR="009875BA">
        <w:t> </w:t>
      </w:r>
      <w:r w:rsidR="00771C8F" w:rsidRPr="00BD3549">
        <w:t xml:space="preserve">50.55a and in effect </w:t>
      </w:r>
      <w:r w:rsidR="009875BA">
        <w:t>12 </w:t>
      </w:r>
      <w:r w:rsidR="00771C8F" w:rsidRPr="00BD3549">
        <w:t xml:space="preserve">months before the start of the next inspection interval.  Licensees </w:t>
      </w:r>
      <w:r w:rsidR="004508F7">
        <w:t>that</w:t>
      </w:r>
      <w:r w:rsidR="00771C8F" w:rsidRPr="00BD3549">
        <w:t xml:space="preserve"> were using a Code </w:t>
      </w:r>
      <w:r w:rsidR="00022A2D">
        <w:t>C</w:t>
      </w:r>
      <w:r w:rsidR="00771C8F" w:rsidRPr="00BD3549">
        <w:t xml:space="preserve">ase </w:t>
      </w:r>
      <w:r w:rsidR="009875BA">
        <w:t>before</w:t>
      </w:r>
      <w:r w:rsidR="00771C8F" w:rsidRPr="00BD3549">
        <w:t xml:space="preserve"> the effective date of its revision may continue to use the previous version for the remainder of the 120</w:t>
      </w:r>
      <w:r w:rsidR="009875BA">
        <w:noBreakHyphen/>
      </w:r>
      <w:r w:rsidR="00771C8F" w:rsidRPr="00BD3549">
        <w:t xml:space="preserve">month ISI or IST interval.  This relieves licensees of the burden of having to update their ISI or IST program each time </w:t>
      </w:r>
      <w:r w:rsidR="00214F33">
        <w:t xml:space="preserve">ASME revises </w:t>
      </w:r>
      <w:r w:rsidR="00771C8F" w:rsidRPr="00BD3549">
        <w:t xml:space="preserve">a Code </w:t>
      </w:r>
      <w:r w:rsidR="00022A2D">
        <w:t>C</w:t>
      </w:r>
      <w:r w:rsidR="00771C8F" w:rsidRPr="00BD3549">
        <w:t xml:space="preserve">ase.  </w:t>
      </w:r>
      <w:r w:rsidR="0020657B">
        <w:t>Because</w:t>
      </w:r>
      <w:r w:rsidR="00771C8F" w:rsidRPr="00BD3549">
        <w:t xml:space="preserve"> </w:t>
      </w:r>
      <w:r w:rsidR="00AE121B">
        <w:t>Code Cases</w:t>
      </w:r>
      <w:r w:rsidR="00771C8F" w:rsidRPr="00BD3549">
        <w:t xml:space="preserve"> are applicable to specific editions and addenda and </w:t>
      </w:r>
      <w:r w:rsidR="0020657B">
        <w:t>because</w:t>
      </w:r>
      <w:r w:rsidR="00771C8F" w:rsidRPr="00BD3549">
        <w:t xml:space="preserve"> </w:t>
      </w:r>
      <w:r w:rsidR="00214F33">
        <w:t xml:space="preserve">ASME may revise </w:t>
      </w:r>
      <w:r w:rsidR="00AE121B">
        <w:t>Code Cases</w:t>
      </w:r>
      <w:r w:rsidR="00771C8F" w:rsidRPr="00BD3549">
        <w:t xml:space="preserve"> </w:t>
      </w:r>
      <w:r w:rsidR="0020657B">
        <w:t>that</w:t>
      </w:r>
      <w:r w:rsidR="00771C8F" w:rsidRPr="00BD3549">
        <w:t xml:space="preserve"> are no longer accurate or adequate</w:t>
      </w:r>
      <w:r w:rsidR="008A250D">
        <w:t>,</w:t>
      </w:r>
      <w:r w:rsidR="00771C8F" w:rsidRPr="00BD3549">
        <w:t xml:space="preserve"> licensees </w:t>
      </w:r>
      <w:r w:rsidR="009875BA">
        <w:t xml:space="preserve">that </w:t>
      </w:r>
      <w:r w:rsidR="00771C8F" w:rsidRPr="00BD3549">
        <w:t>choos</w:t>
      </w:r>
      <w:r w:rsidR="009875BA">
        <w:t>e</w:t>
      </w:r>
      <w:r w:rsidR="00771C8F" w:rsidRPr="00BD3549">
        <w:t xml:space="preserve"> to continue </w:t>
      </w:r>
      <w:r w:rsidR="0020657B">
        <w:t xml:space="preserve">to </w:t>
      </w:r>
      <w:r w:rsidR="00771C8F" w:rsidRPr="00BD3549">
        <w:t xml:space="preserve">use a Code </w:t>
      </w:r>
      <w:r w:rsidR="00022A2D">
        <w:t>C</w:t>
      </w:r>
      <w:r w:rsidR="00771C8F" w:rsidRPr="00BD3549">
        <w:t xml:space="preserve">ase during the subsequent ISI interval must implement the latest version </w:t>
      </w:r>
      <w:r w:rsidR="006569E6">
        <w:t>incorporated</w:t>
      </w:r>
      <w:r w:rsidR="00D36A52">
        <w:t xml:space="preserve"> by reference</w:t>
      </w:r>
      <w:r w:rsidR="00771C8F" w:rsidRPr="00BD3549">
        <w:t xml:space="preserve"> in </w:t>
      </w:r>
      <w:r w:rsidR="00530AA1">
        <w:t>10</w:t>
      </w:r>
      <w:r w:rsidR="009875BA">
        <w:t> </w:t>
      </w:r>
      <w:r w:rsidR="00530AA1">
        <w:t>CFR</w:t>
      </w:r>
      <w:r w:rsidR="009875BA">
        <w:t> </w:t>
      </w:r>
      <w:r w:rsidR="00771C8F" w:rsidRPr="00BD3549">
        <w:t xml:space="preserve">50.55a and listed in the </w:t>
      </w:r>
      <w:r w:rsidR="00D47147">
        <w:t>RGs</w:t>
      </w:r>
      <w:r w:rsidR="007E3A0B">
        <w:t xml:space="preserve"> or apply for a</w:t>
      </w:r>
      <w:r w:rsidR="002430B8">
        <w:t>n</w:t>
      </w:r>
      <w:r w:rsidR="007E3A0B">
        <w:t xml:space="preserve"> </w:t>
      </w:r>
      <w:r w:rsidR="00891309">
        <w:t>alternative</w:t>
      </w:r>
      <w:r w:rsidR="007E3A0B">
        <w:t xml:space="preserve"> request under </w:t>
      </w:r>
      <w:r w:rsidR="00530AA1">
        <w:t>10</w:t>
      </w:r>
      <w:r w:rsidR="009875BA">
        <w:t> </w:t>
      </w:r>
      <w:r w:rsidR="00530AA1">
        <w:t>CFR</w:t>
      </w:r>
      <w:r w:rsidR="009875BA">
        <w:t> </w:t>
      </w:r>
      <w:r w:rsidR="007E3A0B">
        <w:t>50.55a(z)</w:t>
      </w:r>
      <w:r w:rsidR="00771C8F" w:rsidRPr="00BD3549">
        <w:t>.</w:t>
      </w:r>
    </w:p>
    <w:p w14:paraId="1ECF3B27" w14:textId="77777777" w:rsidR="00F75A58" w:rsidRPr="00BD3549" w:rsidRDefault="00F75A58" w:rsidP="00FF0EE8">
      <w:pPr>
        <w:pStyle w:val="Heading1"/>
        <w:spacing w:line="240" w:lineRule="auto"/>
        <w:ind w:left="360"/>
      </w:pPr>
      <w:bookmarkStart w:id="27" w:name="_Toc467508188"/>
      <w:bookmarkStart w:id="28" w:name="_Toc462224942"/>
      <w:bookmarkStart w:id="29" w:name="_Toc468875901"/>
      <w:bookmarkEnd w:id="27"/>
      <w:r w:rsidRPr="00BD3549">
        <w:t>Identification and Analysis of the Alternative Approaches</w:t>
      </w:r>
      <w:bookmarkEnd w:id="28"/>
      <w:bookmarkEnd w:id="29"/>
    </w:p>
    <w:p w14:paraId="0F1D11E0" w14:textId="77777777" w:rsidR="00F75A58" w:rsidRPr="00BD3549" w:rsidRDefault="00F75A58" w:rsidP="00FF0EE8">
      <w:pPr>
        <w:keepNext/>
        <w:spacing w:line="240" w:lineRule="auto"/>
      </w:pPr>
    </w:p>
    <w:p w14:paraId="69437585" w14:textId="2ACCDEBD" w:rsidR="00F75A58" w:rsidRPr="00BD3549" w:rsidRDefault="002D0B8E" w:rsidP="00FF0EE8">
      <w:pPr>
        <w:spacing w:line="240" w:lineRule="auto"/>
      </w:pPr>
      <w:r w:rsidRPr="0049737B">
        <w:t>Given the existing</w:t>
      </w:r>
      <w:r w:rsidRPr="00BD3549">
        <w:t xml:space="preserve"> data and information, </w:t>
      </w:r>
      <w:r w:rsidR="00027F76">
        <w:t xml:space="preserve">the NRC considers </w:t>
      </w:r>
      <w:r w:rsidRPr="00BD3549">
        <w:t xml:space="preserve">a rule change to be the most effective way to implement the NRC-approved ASME </w:t>
      </w:r>
      <w:r w:rsidR="00AE121B">
        <w:t>Code Cases</w:t>
      </w:r>
      <w:r w:rsidRPr="00BD3549">
        <w:t xml:space="preserve">.  </w:t>
      </w:r>
      <w:r w:rsidR="000355EA">
        <w:t xml:space="preserve">The </w:t>
      </w:r>
      <w:r w:rsidR="004508F7">
        <w:t xml:space="preserve">NRC has identified </w:t>
      </w:r>
      <w:r w:rsidR="000355EA">
        <w:t>t</w:t>
      </w:r>
      <w:r w:rsidR="00D47147">
        <w:t>wo</w:t>
      </w:r>
      <w:r w:rsidR="00F75A58" w:rsidRPr="00BD3549">
        <w:t xml:space="preserve"> alternatives</w:t>
      </w:r>
      <w:r w:rsidR="009101D6">
        <w:t xml:space="preserve"> </w:t>
      </w:r>
      <w:r w:rsidR="004508F7">
        <w:t>to this action</w:t>
      </w:r>
      <w:r w:rsidR="008009D7">
        <w:t xml:space="preserve">:  </w:t>
      </w:r>
      <w:r w:rsidR="002C3CF2">
        <w:t>alternative 1</w:t>
      </w:r>
      <w:r w:rsidR="0049737B">
        <w:t>—</w:t>
      </w:r>
      <w:r w:rsidRPr="00BD3549">
        <w:t xml:space="preserve">the </w:t>
      </w:r>
      <w:r w:rsidR="00F75A58" w:rsidRPr="00BD3549">
        <w:t>no</w:t>
      </w:r>
      <w:r w:rsidR="00022A2D">
        <w:t>-</w:t>
      </w:r>
      <w:r w:rsidR="00F75A58" w:rsidRPr="00BD3549">
        <w:t>action</w:t>
      </w:r>
      <w:r w:rsidRPr="00BD3549">
        <w:t xml:space="preserve"> alternative (i.e.,</w:t>
      </w:r>
      <w:r w:rsidR="0049737B">
        <w:t> </w:t>
      </w:r>
      <w:r w:rsidRPr="00BD3549">
        <w:t>status quo</w:t>
      </w:r>
      <w:r w:rsidR="00F75A58" w:rsidRPr="00BD3549">
        <w:t>,</w:t>
      </w:r>
      <w:r w:rsidRPr="00BD3549">
        <w:t xml:space="preserve"> regulatory baseline)</w:t>
      </w:r>
      <w:r w:rsidR="00D47147">
        <w:t xml:space="preserve"> </w:t>
      </w:r>
      <w:r w:rsidR="002C3CF2">
        <w:t>and alternative 2</w:t>
      </w:r>
      <w:r w:rsidR="0049737B">
        <w:t>—</w:t>
      </w:r>
      <w:r w:rsidR="002C3CF2">
        <w:t>i</w:t>
      </w:r>
      <w:r w:rsidR="00022A2D">
        <w:t>ncorporate by reference</w:t>
      </w:r>
      <w:r w:rsidR="004508F7">
        <w:t xml:space="preserve"> into 10 CFR 50.55a through rulemaking</w:t>
      </w:r>
      <w:r w:rsidR="00F75A58" w:rsidRPr="00BD3549">
        <w:t xml:space="preserve"> </w:t>
      </w:r>
      <w:r w:rsidR="008A250D">
        <w:t xml:space="preserve">the </w:t>
      </w:r>
      <w:r w:rsidR="00F75A58" w:rsidRPr="00BD3549">
        <w:t>NRC</w:t>
      </w:r>
      <w:r w:rsidR="0049737B">
        <w:noBreakHyphen/>
      </w:r>
      <w:r w:rsidR="00F75A58" w:rsidRPr="00BD3549">
        <w:t xml:space="preserve">approved ASME BPV </w:t>
      </w:r>
      <w:r w:rsidR="00AE121B">
        <w:t>Code Cases</w:t>
      </w:r>
      <w:r w:rsidR="00F75A58" w:rsidRPr="00BD3549">
        <w:t xml:space="preserve"> in RG 1.84, </w:t>
      </w:r>
      <w:r w:rsidR="00C424F4" w:rsidRPr="00BD3549">
        <w:t>Revision</w:t>
      </w:r>
      <w:r w:rsidR="00D47147">
        <w:t> </w:t>
      </w:r>
      <w:r w:rsidR="00C424F4" w:rsidRPr="00BD3549">
        <w:t>3</w:t>
      </w:r>
      <w:r w:rsidR="005B3FB4">
        <w:t>7</w:t>
      </w:r>
      <w:r w:rsidR="0049737B">
        <w:t xml:space="preserve">, and </w:t>
      </w:r>
      <w:r w:rsidR="00C424F4" w:rsidRPr="00BD3549">
        <w:t>RG 1.147, Revision </w:t>
      </w:r>
      <w:r w:rsidR="00F75A58" w:rsidRPr="00BD3549">
        <w:t>1</w:t>
      </w:r>
      <w:r w:rsidR="005B3FB4">
        <w:t>8</w:t>
      </w:r>
      <w:r w:rsidR="0049737B">
        <w:t>,</w:t>
      </w:r>
      <w:r w:rsidR="00F75A58" w:rsidRPr="00BD3549">
        <w:t xml:space="preserve"> and </w:t>
      </w:r>
      <w:r w:rsidR="0049737B">
        <w:t xml:space="preserve">the </w:t>
      </w:r>
      <w:r w:rsidR="004508F7">
        <w:t xml:space="preserve">ASME </w:t>
      </w:r>
      <w:r w:rsidR="00F75A58" w:rsidRPr="00BD3549">
        <w:t xml:space="preserve">OM </w:t>
      </w:r>
      <w:r w:rsidR="00AE121B">
        <w:t>Code Cases</w:t>
      </w:r>
      <w:r w:rsidR="00F75A58" w:rsidRPr="00BD3549">
        <w:t xml:space="preserve"> in</w:t>
      </w:r>
      <w:r w:rsidR="0049737B">
        <w:t> </w:t>
      </w:r>
      <w:r w:rsidR="00F75A58" w:rsidRPr="00BD3549">
        <w:t>RG</w:t>
      </w:r>
      <w:r w:rsidR="0049737B">
        <w:t> </w:t>
      </w:r>
      <w:r w:rsidR="00F75A58" w:rsidRPr="00BD3549">
        <w:t xml:space="preserve">1.192, Revision </w:t>
      </w:r>
      <w:r w:rsidR="005B3FB4">
        <w:t>2</w:t>
      </w:r>
      <w:r w:rsidR="00F75A58" w:rsidRPr="00BD3549">
        <w:t>.</w:t>
      </w:r>
    </w:p>
    <w:p w14:paraId="5C006387" w14:textId="7877D6D3" w:rsidR="00F75A58" w:rsidRPr="00BD3549" w:rsidRDefault="00F75A58" w:rsidP="00FF0EE8">
      <w:pPr>
        <w:pStyle w:val="Heading2"/>
        <w:spacing w:line="240" w:lineRule="auto"/>
        <w:ind w:left="540" w:hanging="522"/>
      </w:pPr>
      <w:bookmarkStart w:id="30" w:name="_Toc462224943"/>
      <w:bookmarkStart w:id="31" w:name="_Toc468875902"/>
      <w:r w:rsidRPr="00BD3549">
        <w:t>Alternative 1</w:t>
      </w:r>
      <w:r w:rsidR="0049737B">
        <w:t>—</w:t>
      </w:r>
      <w:r w:rsidR="00E11EF1" w:rsidRPr="00BD3549">
        <w:t>N</w:t>
      </w:r>
      <w:r w:rsidRPr="00BD3549">
        <w:t>o</w:t>
      </w:r>
      <w:r w:rsidR="00022A2D">
        <w:t>-</w:t>
      </w:r>
      <w:bookmarkEnd w:id="30"/>
      <w:r w:rsidR="001E6FF1">
        <w:t>A</w:t>
      </w:r>
      <w:r w:rsidRPr="00BD3549">
        <w:t>ction</w:t>
      </w:r>
      <w:r w:rsidR="00E11EF1" w:rsidRPr="00BD3549">
        <w:t xml:space="preserve"> </w:t>
      </w:r>
      <w:r w:rsidR="001E6FF1">
        <w:t>A</w:t>
      </w:r>
      <w:r w:rsidR="00E11EF1" w:rsidRPr="00BD3549">
        <w:t>lternative</w:t>
      </w:r>
      <w:bookmarkEnd w:id="31"/>
    </w:p>
    <w:p w14:paraId="15F727AF" w14:textId="77777777" w:rsidR="00F75A58" w:rsidRPr="00BD3549" w:rsidRDefault="00F75A58" w:rsidP="00FF0EE8">
      <w:pPr>
        <w:keepNext/>
        <w:spacing w:line="240" w:lineRule="auto"/>
      </w:pPr>
    </w:p>
    <w:p w14:paraId="45BA1ECB" w14:textId="4C82D4E9" w:rsidR="00F75A58" w:rsidRPr="00BD3549" w:rsidRDefault="00F75A58" w:rsidP="00FF0EE8">
      <w:pPr>
        <w:spacing w:line="240" w:lineRule="auto"/>
      </w:pPr>
      <w:r w:rsidRPr="00BD3549">
        <w:t xml:space="preserve">The no-action alternative </w:t>
      </w:r>
      <w:r w:rsidR="00E11EF1" w:rsidRPr="00BD3549">
        <w:t>(</w:t>
      </w:r>
      <w:r w:rsidR="00D47147">
        <w:t xml:space="preserve">status quo, </w:t>
      </w:r>
      <w:r w:rsidR="00E11EF1" w:rsidRPr="00BD3549">
        <w:t>regulatory baseline</w:t>
      </w:r>
      <w:r w:rsidR="0059365A" w:rsidRPr="00BD3549">
        <w:t xml:space="preserve">) </w:t>
      </w:r>
      <w:r w:rsidRPr="00BD3549">
        <w:t xml:space="preserve">is </w:t>
      </w:r>
      <w:r w:rsidR="0059365A" w:rsidRPr="00BD3549">
        <w:t>a nonrulemaking alternative</w:t>
      </w:r>
      <w:r w:rsidRPr="00BD3549">
        <w:t xml:space="preserve">.  </w:t>
      </w:r>
      <w:r w:rsidR="00D47147">
        <w:t>The no</w:t>
      </w:r>
      <w:r w:rsidR="0049737B">
        <w:noBreakHyphen/>
      </w:r>
      <w:r w:rsidR="00D47147">
        <w:t>action alternative</w:t>
      </w:r>
      <w:r w:rsidR="00D47147" w:rsidRPr="00BD3549">
        <w:t xml:space="preserve"> would not </w:t>
      </w:r>
      <w:r w:rsidR="00D47147">
        <w:t>revise the NRC’s regulations</w:t>
      </w:r>
      <w:r w:rsidR="008B7F2D" w:rsidRPr="00BD3549">
        <w:t xml:space="preserve"> to </w:t>
      </w:r>
      <w:r w:rsidR="00D36A52">
        <w:t>incorporate by reference</w:t>
      </w:r>
      <w:r w:rsidR="008B7F2D" w:rsidRPr="00BD3549">
        <w:t xml:space="preserve"> the latest revisions </w:t>
      </w:r>
      <w:r w:rsidR="00A56832">
        <w:t>to</w:t>
      </w:r>
      <w:r w:rsidR="00A56832" w:rsidRPr="00BD3549">
        <w:t xml:space="preserve"> </w:t>
      </w:r>
      <w:r w:rsidR="008B7F2D" w:rsidRPr="00BD3549">
        <w:t xml:space="preserve">these three </w:t>
      </w:r>
      <w:r w:rsidR="00071DA2">
        <w:t>RG</w:t>
      </w:r>
      <w:r w:rsidR="008B7F2D" w:rsidRPr="00BD3549">
        <w:t>s</w:t>
      </w:r>
      <w:r w:rsidR="00027F76">
        <w:t xml:space="preserve"> and</w:t>
      </w:r>
      <w:r w:rsidR="008B7F2D" w:rsidRPr="00BD3549">
        <w:t xml:space="preserve"> </w:t>
      </w:r>
      <w:r w:rsidR="00027F76">
        <w:t xml:space="preserve">would not </w:t>
      </w:r>
      <w:r w:rsidR="008B7F2D" w:rsidRPr="00BD3549">
        <w:t xml:space="preserve">make conforming changes to </w:t>
      </w:r>
      <w:r w:rsidR="00530AA1">
        <w:t>10</w:t>
      </w:r>
      <w:r w:rsidR="0049737B">
        <w:t> </w:t>
      </w:r>
      <w:r w:rsidR="00530AA1">
        <w:t>CFR</w:t>
      </w:r>
      <w:r w:rsidR="0049737B">
        <w:t> </w:t>
      </w:r>
      <w:r w:rsidR="008B7F2D" w:rsidRPr="00BD3549">
        <w:t>50.55a to comply with</w:t>
      </w:r>
      <w:r w:rsidR="00A56832">
        <w:t xml:space="preserve"> guidance from</w:t>
      </w:r>
      <w:r w:rsidR="008B7F2D" w:rsidRPr="00BD3549">
        <w:t xml:space="preserve"> the </w:t>
      </w:r>
      <w:r w:rsidR="001873E2">
        <w:rPr>
          <w:color w:val="000000"/>
        </w:rPr>
        <w:t xml:space="preserve">Office of </w:t>
      </w:r>
      <w:r w:rsidR="00A56832">
        <w:rPr>
          <w:color w:val="000000"/>
        </w:rPr>
        <w:t xml:space="preserve">the </w:t>
      </w:r>
      <w:r w:rsidR="001873E2">
        <w:rPr>
          <w:color w:val="000000"/>
        </w:rPr>
        <w:t>Federal Register</w:t>
      </w:r>
      <w:r w:rsidR="008B7F2D" w:rsidRPr="00BD3549">
        <w:t xml:space="preserve"> for incorporating by reference multiple standards into regulations</w:t>
      </w:r>
      <w:r w:rsidRPr="00BD3549">
        <w:t xml:space="preserve">.  </w:t>
      </w:r>
      <w:r w:rsidR="00E11EF1" w:rsidRPr="00BD3549">
        <w:t>The no</w:t>
      </w:r>
      <w:r w:rsidR="0049737B">
        <w:noBreakHyphen/>
      </w:r>
      <w:r w:rsidR="00E11EF1" w:rsidRPr="00BD3549">
        <w:t>action alternative would cause</w:t>
      </w:r>
      <w:r w:rsidR="008B7F2D" w:rsidRPr="00BD3549">
        <w:t xml:space="preserve"> l</w:t>
      </w:r>
      <w:r w:rsidRPr="00BD3549">
        <w:t xml:space="preserve">icensees and applicants </w:t>
      </w:r>
      <w:r w:rsidR="00E11EF1" w:rsidRPr="00BD3549">
        <w:t xml:space="preserve">that desire to use these ASME </w:t>
      </w:r>
      <w:r w:rsidR="00AE121B">
        <w:t>Code Cases</w:t>
      </w:r>
      <w:r w:rsidR="00E11EF1" w:rsidRPr="00BD3549">
        <w:t xml:space="preserve"> </w:t>
      </w:r>
      <w:r w:rsidR="008B7F2D" w:rsidRPr="00BD3549">
        <w:t xml:space="preserve">to </w:t>
      </w:r>
      <w:r w:rsidRPr="00BD3549">
        <w:t xml:space="preserve">request and receive approval </w:t>
      </w:r>
      <w:r w:rsidR="008B7F2D" w:rsidRPr="00BD3549">
        <w:t xml:space="preserve">from the NRC </w:t>
      </w:r>
      <w:r w:rsidRPr="00BD3549">
        <w:t>for the use of alternatives und</w:t>
      </w:r>
      <w:r w:rsidR="007D4408" w:rsidRPr="00BD3549">
        <w:t xml:space="preserve">er </w:t>
      </w:r>
      <w:r w:rsidR="00530AA1">
        <w:t>10</w:t>
      </w:r>
      <w:r w:rsidR="0049737B">
        <w:t> </w:t>
      </w:r>
      <w:r w:rsidR="00530AA1">
        <w:t>CFR</w:t>
      </w:r>
      <w:r w:rsidR="0049737B">
        <w:t> </w:t>
      </w:r>
      <w:r w:rsidRPr="00BD3549">
        <w:t>50.55a(</w:t>
      </w:r>
      <w:r w:rsidR="008127CE">
        <w:t>z</w:t>
      </w:r>
      <w:r w:rsidRPr="00BD3549">
        <w:t>).</w:t>
      </w:r>
      <w:r w:rsidR="00E958CC" w:rsidRPr="00BD3549">
        <w:t xml:space="preserve">  </w:t>
      </w:r>
      <w:r w:rsidRPr="00BD3549">
        <w:t xml:space="preserve">The NRC does not </w:t>
      </w:r>
      <w:r w:rsidR="0059365A" w:rsidRPr="00BD3549">
        <w:t>recommend this alternative</w:t>
      </w:r>
      <w:r w:rsidR="001F0938">
        <w:t xml:space="preserve"> </w:t>
      </w:r>
      <w:r w:rsidRPr="00BD3549">
        <w:t>for the following reasons:</w:t>
      </w:r>
    </w:p>
    <w:p w14:paraId="103C30C2" w14:textId="77777777" w:rsidR="007D4408" w:rsidRPr="00BD3549" w:rsidRDefault="007D4408" w:rsidP="00FF0EE8">
      <w:pPr>
        <w:spacing w:line="240" w:lineRule="auto"/>
      </w:pPr>
    </w:p>
    <w:p w14:paraId="7027423D" w14:textId="4ABB50A4" w:rsidR="00F75A58" w:rsidRPr="00BD3549" w:rsidRDefault="00F75A58" w:rsidP="00FF0EE8">
      <w:pPr>
        <w:pStyle w:val="ListParagraph"/>
        <w:numPr>
          <w:ilvl w:val="0"/>
          <w:numId w:val="25"/>
        </w:numPr>
        <w:spacing w:line="240" w:lineRule="auto"/>
        <w:ind w:hanging="720"/>
      </w:pPr>
      <w:r w:rsidRPr="00BD3549">
        <w:t xml:space="preserve">Licensees and applicants </w:t>
      </w:r>
      <w:r w:rsidR="00027F76">
        <w:t xml:space="preserve">would need to submit </w:t>
      </w:r>
      <w:r w:rsidRPr="00BD3549">
        <w:t xml:space="preserve">requests for alternatives to apply </w:t>
      </w:r>
      <w:r w:rsidR="00AE121B">
        <w:t>Code Cases</w:t>
      </w:r>
      <w:r w:rsidRPr="00BD3549">
        <w:t xml:space="preserve"> </w:t>
      </w:r>
      <w:r w:rsidR="00240618" w:rsidRPr="00BD3549">
        <w:t xml:space="preserve">under </w:t>
      </w:r>
      <w:r w:rsidR="00530AA1">
        <w:t>10</w:t>
      </w:r>
      <w:r w:rsidR="0049737B">
        <w:t> </w:t>
      </w:r>
      <w:r w:rsidR="00530AA1">
        <w:t>CFR</w:t>
      </w:r>
      <w:r w:rsidR="0049737B">
        <w:t> </w:t>
      </w:r>
      <w:r w:rsidRPr="00BD3549">
        <w:t>50.55a(</w:t>
      </w:r>
      <w:r w:rsidR="008127CE">
        <w:t>z</w:t>
      </w:r>
      <w:r w:rsidRPr="00BD3549">
        <w:t xml:space="preserve">) </w:t>
      </w:r>
      <w:r w:rsidR="00B47D38">
        <w:t>because</w:t>
      </w:r>
      <w:r w:rsidR="00B47D38" w:rsidRPr="00BD3549">
        <w:t xml:space="preserve"> </w:t>
      </w:r>
      <w:r w:rsidRPr="00BD3549">
        <w:t xml:space="preserve">those </w:t>
      </w:r>
      <w:r w:rsidR="00AE121B">
        <w:t>Code Cases</w:t>
      </w:r>
      <w:r w:rsidRPr="00BD3549">
        <w:t xml:space="preserve"> </w:t>
      </w:r>
      <w:r w:rsidR="00B47D38">
        <w:t>have</w:t>
      </w:r>
      <w:r w:rsidR="00B47D38" w:rsidRPr="00BD3549">
        <w:t xml:space="preserve"> </w:t>
      </w:r>
      <w:r w:rsidRPr="00BD3549">
        <w:t xml:space="preserve">not </w:t>
      </w:r>
      <w:r w:rsidR="00B47D38">
        <w:t xml:space="preserve">been </w:t>
      </w:r>
      <w:r w:rsidRPr="00BD3549">
        <w:t xml:space="preserve">approved in the </w:t>
      </w:r>
      <w:r w:rsidR="00022A2D">
        <w:t>RGs</w:t>
      </w:r>
      <w:r w:rsidRPr="00BD3549">
        <w:t xml:space="preserve"> and </w:t>
      </w:r>
      <w:r w:rsidR="00B47D38">
        <w:t>have</w:t>
      </w:r>
      <w:r w:rsidR="00B47D38" w:rsidRPr="00BD3549">
        <w:t xml:space="preserve"> </w:t>
      </w:r>
      <w:r w:rsidRPr="00BD3549">
        <w:t xml:space="preserve">not </w:t>
      </w:r>
      <w:r w:rsidR="00B47D38">
        <w:t xml:space="preserve">been </w:t>
      </w:r>
      <w:r w:rsidR="00480854">
        <w:t>incorporated by reference</w:t>
      </w:r>
      <w:r w:rsidR="007D4408" w:rsidRPr="00BD3549">
        <w:t xml:space="preserve"> in </w:t>
      </w:r>
      <w:r w:rsidR="00530AA1">
        <w:t>10</w:t>
      </w:r>
      <w:r w:rsidR="0049737B">
        <w:t> </w:t>
      </w:r>
      <w:r w:rsidR="00530AA1">
        <w:t>CFR</w:t>
      </w:r>
      <w:r w:rsidR="0049737B">
        <w:t> </w:t>
      </w:r>
      <w:r w:rsidRPr="00BD3549">
        <w:t xml:space="preserve">50.55a.  This process </w:t>
      </w:r>
      <w:r w:rsidR="0020657B">
        <w:t>would</w:t>
      </w:r>
      <w:r w:rsidR="00027F76">
        <w:t xml:space="preserve"> </w:t>
      </w:r>
      <w:r w:rsidR="00240618" w:rsidRPr="00BD3549">
        <w:t xml:space="preserve">result in increased regulatory burden to </w:t>
      </w:r>
      <w:r w:rsidRPr="00BD3549">
        <w:t>licensees</w:t>
      </w:r>
      <w:r w:rsidR="00240618" w:rsidRPr="00BD3549">
        <w:t>,</w:t>
      </w:r>
      <w:r w:rsidRPr="00BD3549">
        <w:t xml:space="preserve"> app</w:t>
      </w:r>
      <w:r w:rsidR="00C424F4" w:rsidRPr="00BD3549">
        <w:t>licants</w:t>
      </w:r>
      <w:r w:rsidR="00240618" w:rsidRPr="00BD3549">
        <w:t>, and</w:t>
      </w:r>
      <w:r w:rsidR="00C424F4" w:rsidRPr="00BD3549">
        <w:t xml:space="preserve"> the NRC.</w:t>
      </w:r>
    </w:p>
    <w:p w14:paraId="2D250E1B" w14:textId="77777777" w:rsidR="007D4408" w:rsidRPr="00BD3549" w:rsidRDefault="007D4408" w:rsidP="00FF0EE8">
      <w:pPr>
        <w:pStyle w:val="ListParagraph"/>
        <w:spacing w:line="240" w:lineRule="auto"/>
        <w:ind w:hanging="720"/>
      </w:pPr>
    </w:p>
    <w:p w14:paraId="019AE3AD" w14:textId="0F118CBE" w:rsidR="00027F76" w:rsidRDefault="009158D5" w:rsidP="00FF0EE8">
      <w:pPr>
        <w:pStyle w:val="ListParagraph"/>
        <w:numPr>
          <w:ilvl w:val="0"/>
          <w:numId w:val="25"/>
        </w:numPr>
        <w:spacing w:line="240" w:lineRule="auto"/>
        <w:ind w:hanging="720"/>
      </w:pPr>
      <w:r>
        <w:t>Public confidence in the</w:t>
      </w:r>
      <w:r w:rsidR="00F75A58" w:rsidRPr="00BD3549">
        <w:t xml:space="preserve"> NRC as an effective regulator </w:t>
      </w:r>
      <w:r w:rsidR="006C627D">
        <w:t>may</w:t>
      </w:r>
      <w:r w:rsidR="00F75A58" w:rsidRPr="00BD3549">
        <w:t xml:space="preserve"> be </w:t>
      </w:r>
      <w:r>
        <w:t>reduced</w:t>
      </w:r>
      <w:r w:rsidR="00F75A58" w:rsidRPr="00BD3549">
        <w:t xml:space="preserve"> because the ASME periodically publishes, revises, and annuls its </w:t>
      </w:r>
      <w:r w:rsidR="00AE121B">
        <w:t>Code Cases</w:t>
      </w:r>
      <w:r w:rsidR="00F75A58" w:rsidRPr="00BD3549">
        <w:t xml:space="preserve">.  Under </w:t>
      </w:r>
      <w:r w:rsidR="00C3787C">
        <w:t>a</w:t>
      </w:r>
      <w:r w:rsidR="00F75A58" w:rsidRPr="00BD3549">
        <w:t>lternative</w:t>
      </w:r>
      <w:r w:rsidR="00B47D38">
        <w:t> </w:t>
      </w:r>
      <w:r w:rsidR="00F75A58" w:rsidRPr="00BD3549">
        <w:t xml:space="preserve">1, outdated material </w:t>
      </w:r>
      <w:r w:rsidR="0020657B">
        <w:t xml:space="preserve">and possibly inaccurate information </w:t>
      </w:r>
      <w:r w:rsidR="00F75A58" w:rsidRPr="00BD3549">
        <w:t xml:space="preserve">would remain </w:t>
      </w:r>
      <w:r w:rsidR="00480854">
        <w:t>incorporated by reference</w:t>
      </w:r>
      <w:r w:rsidR="00480854" w:rsidRPr="00BD3549">
        <w:t xml:space="preserve"> </w:t>
      </w:r>
      <w:r w:rsidR="00F75A58" w:rsidRPr="00BD3549">
        <w:t>in</w:t>
      </w:r>
      <w:r w:rsidR="00400B59">
        <w:t>to</w:t>
      </w:r>
      <w:r w:rsidR="00F75A58" w:rsidRPr="00BD3549">
        <w:t xml:space="preserve"> the </w:t>
      </w:r>
      <w:r w:rsidR="00F75A58" w:rsidRPr="00BD3549">
        <w:rPr>
          <w:i/>
        </w:rPr>
        <w:t>Code of Federal Regulations</w:t>
      </w:r>
      <w:r w:rsidR="00F75A58" w:rsidRPr="00BD3549">
        <w:t>.</w:t>
      </w:r>
    </w:p>
    <w:p w14:paraId="2E1D0A5D" w14:textId="77777777" w:rsidR="00027F76" w:rsidRDefault="00027F76" w:rsidP="00FF0EE8">
      <w:pPr>
        <w:pStyle w:val="ListParagraph"/>
        <w:spacing w:line="240" w:lineRule="auto"/>
        <w:ind w:hanging="720"/>
      </w:pPr>
    </w:p>
    <w:p w14:paraId="2B235333" w14:textId="77777777" w:rsidR="00F75A58" w:rsidRPr="00BD3549" w:rsidRDefault="00027F76" w:rsidP="00FF0EE8">
      <w:pPr>
        <w:pStyle w:val="ListParagraph"/>
        <w:numPr>
          <w:ilvl w:val="0"/>
          <w:numId w:val="25"/>
        </w:numPr>
        <w:spacing w:line="240" w:lineRule="auto"/>
        <w:ind w:hanging="720"/>
      </w:pPr>
      <w:r>
        <w:t>T</w:t>
      </w:r>
      <w:r w:rsidR="001F0938">
        <w:t xml:space="preserve">his alternative </w:t>
      </w:r>
      <w:r>
        <w:t>does</w:t>
      </w:r>
      <w:r w:rsidR="001F0938">
        <w:t xml:space="preserve"> not meet the </w:t>
      </w:r>
      <w:r w:rsidR="0020657B">
        <w:t>intent</w:t>
      </w:r>
      <w:r w:rsidR="001F0938">
        <w:t xml:space="preserve"> of NTTAA,</w:t>
      </w:r>
      <w:r w:rsidR="001F0938" w:rsidRPr="001F0938">
        <w:t xml:space="preserve"> </w:t>
      </w:r>
      <w:r w:rsidR="001F0938" w:rsidRPr="00BD3549">
        <w:t xml:space="preserve">which encourages Federal regulatory agencies to consider adopting voluntary consensus standards as an alternative to </w:t>
      </w:r>
      <w:r w:rsidR="001F0938" w:rsidRPr="003C65C7">
        <w:rPr>
          <w:i/>
        </w:rPr>
        <w:t>de novo</w:t>
      </w:r>
      <w:r w:rsidR="001F0938" w:rsidRPr="00BD3549">
        <w:rPr>
          <w:i/>
        </w:rPr>
        <w:t xml:space="preserve"> </w:t>
      </w:r>
      <w:r w:rsidR="001F0938" w:rsidRPr="00BD3549">
        <w:t>agency development of standards affecting an industry</w:t>
      </w:r>
      <w:r w:rsidR="001F0938">
        <w:t>.</w:t>
      </w:r>
    </w:p>
    <w:p w14:paraId="053BA076" w14:textId="64C1ABBE" w:rsidR="00F75A58" w:rsidRPr="00BD3549" w:rsidRDefault="00F75A58" w:rsidP="00FF0EE8">
      <w:pPr>
        <w:pStyle w:val="Heading2"/>
        <w:spacing w:line="240" w:lineRule="auto"/>
        <w:ind w:left="540" w:hanging="522"/>
      </w:pPr>
      <w:bookmarkStart w:id="32" w:name="_Toc462224944"/>
      <w:bookmarkStart w:id="33" w:name="_Toc468875903"/>
      <w:r w:rsidRPr="00BD3549">
        <w:t>Alternative 2</w:t>
      </w:r>
      <w:r w:rsidR="004033B4">
        <w:t>—</w:t>
      </w:r>
      <w:r w:rsidRPr="00BD3549">
        <w:t>Incorporate by Reference NRC</w:t>
      </w:r>
      <w:r w:rsidR="004033B4">
        <w:noBreakHyphen/>
      </w:r>
      <w:r w:rsidRPr="00BD3549">
        <w:t xml:space="preserve">Approved ASME </w:t>
      </w:r>
      <w:r w:rsidR="0059365A" w:rsidRPr="00BD3549">
        <w:t xml:space="preserve">BPV and </w:t>
      </w:r>
      <w:r w:rsidR="001E6FF1" w:rsidRPr="00BD3549">
        <w:t>OM</w:t>
      </w:r>
      <w:r w:rsidR="001E6FF1">
        <w:t> </w:t>
      </w:r>
      <w:r w:rsidR="00AE121B">
        <w:t>Code Cases</w:t>
      </w:r>
      <w:bookmarkEnd w:id="32"/>
      <w:bookmarkEnd w:id="33"/>
    </w:p>
    <w:p w14:paraId="5B87914A" w14:textId="77777777" w:rsidR="00F75A58" w:rsidRPr="00BD3549" w:rsidRDefault="00F75A58" w:rsidP="00FF0EE8">
      <w:pPr>
        <w:keepNext/>
        <w:spacing w:line="240" w:lineRule="auto"/>
      </w:pPr>
    </w:p>
    <w:p w14:paraId="7ADDB1D6" w14:textId="384F8D4C" w:rsidR="00F75A58" w:rsidRPr="00BD3549" w:rsidRDefault="00F75A58" w:rsidP="00FF0EE8">
      <w:pPr>
        <w:spacing w:line="240" w:lineRule="auto"/>
      </w:pPr>
      <w:r w:rsidRPr="00BD3549">
        <w:t xml:space="preserve">Alternative 2 </w:t>
      </w:r>
      <w:r w:rsidR="0020657B">
        <w:t>would</w:t>
      </w:r>
      <w:r w:rsidR="0059365A" w:rsidRPr="00BD3549">
        <w:t xml:space="preserve"> </w:t>
      </w:r>
      <w:r w:rsidR="00D36A52">
        <w:t>incorporate by reference</w:t>
      </w:r>
      <w:r w:rsidR="0059365A" w:rsidRPr="00BD3549">
        <w:t xml:space="preserve"> the </w:t>
      </w:r>
      <w:r w:rsidR="00C811B0">
        <w:t xml:space="preserve">latest revisions </w:t>
      </w:r>
      <w:r w:rsidR="004033B4">
        <w:t xml:space="preserve">to </w:t>
      </w:r>
      <w:r w:rsidR="00C811B0">
        <w:t>the</w:t>
      </w:r>
      <w:r w:rsidR="0059365A" w:rsidRPr="00BD3549">
        <w:t xml:space="preserve"> </w:t>
      </w:r>
      <w:r w:rsidR="004033B4">
        <w:t>RG</w:t>
      </w:r>
      <w:r w:rsidR="0059365A" w:rsidRPr="00BD3549">
        <w:t xml:space="preserve">s </w:t>
      </w:r>
      <w:r w:rsidRPr="00BD3549">
        <w:t xml:space="preserve">listing </w:t>
      </w:r>
      <w:r w:rsidR="00C31A3F">
        <w:t xml:space="preserve">ASME </w:t>
      </w:r>
      <w:r w:rsidR="00AE121B">
        <w:t>Code Cases</w:t>
      </w:r>
      <w:r w:rsidR="004033B4">
        <w:t xml:space="preserve"> that are</w:t>
      </w:r>
      <w:r w:rsidR="0059365A" w:rsidRPr="00BD3549">
        <w:t xml:space="preserve"> </w:t>
      </w:r>
      <w:r w:rsidR="009158D5">
        <w:t>newly approved by the NRC</w:t>
      </w:r>
      <w:r w:rsidRPr="00BD3549">
        <w:t xml:space="preserve">.  This </w:t>
      </w:r>
      <w:r w:rsidR="00E11EF1" w:rsidRPr="00BD3549">
        <w:t xml:space="preserve">alternative </w:t>
      </w:r>
      <w:r w:rsidR="000F5249" w:rsidRPr="00BD3549">
        <w:t>would</w:t>
      </w:r>
      <w:r w:rsidRPr="00BD3549">
        <w:t xml:space="preserve"> </w:t>
      </w:r>
      <w:r w:rsidR="00E04E7D" w:rsidRPr="00BD3549">
        <w:t xml:space="preserve">allow </w:t>
      </w:r>
      <w:r w:rsidRPr="00BD3549">
        <w:t xml:space="preserve">licensees and applicants to implement </w:t>
      </w:r>
      <w:r w:rsidR="00E04E7D" w:rsidRPr="00BD3549">
        <w:t xml:space="preserve">these </w:t>
      </w:r>
      <w:r w:rsidR="00E11EF1" w:rsidRPr="00BD3549">
        <w:t xml:space="preserve">ASME </w:t>
      </w:r>
      <w:r w:rsidR="00AE121B">
        <w:t>Code Cases</w:t>
      </w:r>
      <w:r w:rsidR="00E04E7D" w:rsidRPr="00BD3549">
        <w:t xml:space="preserve"> and their conditions and modifications, if any</w:t>
      </w:r>
      <w:r w:rsidR="00400530">
        <w:t>,</w:t>
      </w:r>
      <w:r w:rsidRPr="00BD3549">
        <w:t xml:space="preserve"> without </w:t>
      </w:r>
      <w:r w:rsidR="00E04E7D" w:rsidRPr="00BD3549">
        <w:t xml:space="preserve">seeking </w:t>
      </w:r>
      <w:r w:rsidRPr="00BD3549">
        <w:t>prior NRC approval</w:t>
      </w:r>
      <w:r w:rsidR="00E04E7D" w:rsidRPr="00BD3549">
        <w:t>.  This alternative continues</w:t>
      </w:r>
      <w:r w:rsidR="008A250D">
        <w:t xml:space="preserve"> the</w:t>
      </w:r>
      <w:r w:rsidR="00E04E7D" w:rsidRPr="00BD3549">
        <w:t xml:space="preserve"> NRC’s process of periodic rulemakings to </w:t>
      </w:r>
      <w:r w:rsidR="00D36A52">
        <w:t>incorporate by reference</w:t>
      </w:r>
      <w:r w:rsidR="00E04E7D" w:rsidRPr="00BD3549">
        <w:t xml:space="preserve"> in </w:t>
      </w:r>
      <w:r w:rsidR="00530AA1">
        <w:t>10</w:t>
      </w:r>
      <w:r w:rsidR="004033B4">
        <w:t> </w:t>
      </w:r>
      <w:r w:rsidR="00530AA1">
        <w:t>CFR</w:t>
      </w:r>
      <w:r w:rsidR="004033B4">
        <w:t> </w:t>
      </w:r>
      <w:r w:rsidR="00E04E7D" w:rsidRPr="00BD3549">
        <w:t xml:space="preserve">50.55a the latest </w:t>
      </w:r>
      <w:r w:rsidR="004033B4">
        <w:t>RG</w:t>
      </w:r>
      <w:r w:rsidR="008009D7" w:rsidRPr="00BD3549">
        <w:t>s that</w:t>
      </w:r>
      <w:r w:rsidR="00E04E7D" w:rsidRPr="00BD3549">
        <w:t xml:space="preserve"> list </w:t>
      </w:r>
      <w:r w:rsidR="00C424F4" w:rsidRPr="00BD3549">
        <w:t>NRC</w:t>
      </w:r>
      <w:r w:rsidR="004033B4">
        <w:noBreakHyphen/>
      </w:r>
      <w:r w:rsidRPr="00BD3549">
        <w:t>approved alternatives to the provision</w:t>
      </w:r>
      <w:r w:rsidR="002E679C">
        <w:t>s of the ASME BPV and OM Code</w:t>
      </w:r>
      <w:r w:rsidR="00C424F4" w:rsidRPr="00BD3549">
        <w:t>.</w:t>
      </w:r>
    </w:p>
    <w:p w14:paraId="25FC611F" w14:textId="77777777" w:rsidR="000C50B5" w:rsidRPr="00BD3549" w:rsidRDefault="000C50B5" w:rsidP="00FF0EE8">
      <w:pPr>
        <w:spacing w:line="240" w:lineRule="auto"/>
      </w:pPr>
    </w:p>
    <w:p w14:paraId="5E2697D5" w14:textId="77777777" w:rsidR="00B42B51" w:rsidRPr="00BD3549" w:rsidRDefault="00B42B51" w:rsidP="00FF0EE8">
      <w:pPr>
        <w:spacing w:line="240" w:lineRule="auto"/>
      </w:pPr>
      <w:r w:rsidRPr="00BD3549">
        <w:t>The NRC recommend</w:t>
      </w:r>
      <w:r>
        <w:t>s</w:t>
      </w:r>
      <w:r w:rsidRPr="00BD3549">
        <w:t xml:space="preserve"> the </w:t>
      </w:r>
      <w:r w:rsidR="00521EF4">
        <w:t xml:space="preserve">rulemaking </w:t>
      </w:r>
      <w:r w:rsidRPr="00BD3549">
        <w:t>alternative</w:t>
      </w:r>
      <w:r>
        <w:t xml:space="preserve"> </w:t>
      </w:r>
      <w:r w:rsidRPr="00BD3549">
        <w:t>for the following reasons:</w:t>
      </w:r>
    </w:p>
    <w:p w14:paraId="099BC1B7" w14:textId="77777777" w:rsidR="000C50B5" w:rsidRPr="00BD3549" w:rsidRDefault="000C50B5" w:rsidP="00FF0EE8">
      <w:pPr>
        <w:spacing w:line="240" w:lineRule="auto"/>
      </w:pPr>
    </w:p>
    <w:p w14:paraId="37633C35" w14:textId="2FAB7870" w:rsidR="00F75A58" w:rsidRPr="00BD3549" w:rsidRDefault="009158D5" w:rsidP="00FF0EE8">
      <w:pPr>
        <w:pStyle w:val="ListParagraph"/>
        <w:numPr>
          <w:ilvl w:val="0"/>
          <w:numId w:val="10"/>
        </w:numPr>
        <w:spacing w:line="240" w:lineRule="auto"/>
        <w:ind w:hanging="720"/>
      </w:pPr>
      <w:r>
        <w:t>T</w:t>
      </w:r>
      <w:r w:rsidR="00F75A58" w:rsidRPr="00BD3549">
        <w:t xml:space="preserve">his alternative </w:t>
      </w:r>
      <w:r w:rsidR="00521EF4">
        <w:t>reduces</w:t>
      </w:r>
      <w:r w:rsidR="00724404" w:rsidRPr="00BD3549">
        <w:t xml:space="preserve"> regulatory burden </w:t>
      </w:r>
      <w:r>
        <w:t xml:space="preserve">on applicants for holders of licenses for nuclear power plants </w:t>
      </w:r>
      <w:r w:rsidR="00724404" w:rsidRPr="00BD3549">
        <w:t>by eliminating the need for licensees to submit</w:t>
      </w:r>
      <w:r w:rsidR="00F75A58" w:rsidRPr="00BD3549">
        <w:t xml:space="preserve"> plant</w:t>
      </w:r>
      <w:r w:rsidR="004033B4">
        <w:noBreakHyphen/>
      </w:r>
      <w:r w:rsidR="00F75A58" w:rsidRPr="00BD3549">
        <w:t>specific requests for a</w:t>
      </w:r>
      <w:r w:rsidR="007D4408" w:rsidRPr="00BD3549">
        <w:t xml:space="preserve">lternatives in accordance with </w:t>
      </w:r>
      <w:r w:rsidR="00530AA1">
        <w:t>10</w:t>
      </w:r>
      <w:r w:rsidR="004033B4">
        <w:t> </w:t>
      </w:r>
      <w:r w:rsidR="00530AA1">
        <w:t>CFR</w:t>
      </w:r>
      <w:r w:rsidR="004033B4">
        <w:t> </w:t>
      </w:r>
      <w:r w:rsidR="00F75A58" w:rsidRPr="00BD3549">
        <w:t>50.55a(z)</w:t>
      </w:r>
      <w:r w:rsidR="00724404" w:rsidRPr="00BD3549">
        <w:t xml:space="preserve"> and </w:t>
      </w:r>
      <w:r w:rsidR="00521EF4">
        <w:t xml:space="preserve">reduces the need </w:t>
      </w:r>
      <w:r w:rsidR="00724404" w:rsidRPr="00BD3549">
        <w:t>for the NRC to review those submittals</w:t>
      </w:r>
      <w:r w:rsidR="00F75A58" w:rsidRPr="00BD3549">
        <w:t>.</w:t>
      </w:r>
    </w:p>
    <w:p w14:paraId="750995F7" w14:textId="77777777" w:rsidR="000F5249" w:rsidRPr="00BD3549" w:rsidRDefault="000F5249" w:rsidP="00FF0EE8">
      <w:pPr>
        <w:spacing w:line="240" w:lineRule="auto"/>
        <w:ind w:hanging="720"/>
      </w:pPr>
    </w:p>
    <w:p w14:paraId="0BCB2756" w14:textId="77777777" w:rsidR="000C7636" w:rsidRDefault="000C7636" w:rsidP="00FF0EE8">
      <w:pPr>
        <w:pStyle w:val="ListParagraph"/>
        <w:numPr>
          <w:ilvl w:val="0"/>
          <w:numId w:val="10"/>
        </w:numPr>
        <w:spacing w:line="240" w:lineRule="auto"/>
        <w:ind w:hanging="720"/>
      </w:pPr>
      <w:r>
        <w:t xml:space="preserve">This alternative </w:t>
      </w:r>
      <w:r w:rsidRPr="00D41352">
        <w:t>meets the NRC goal of ensuring the protection of public health and safety and the environment by continuing to provide NRC approval of new ASME Code Cases that allow the use of the most c</w:t>
      </w:r>
      <w:r>
        <w:t>urrent methods and technology.</w:t>
      </w:r>
    </w:p>
    <w:p w14:paraId="0BB0B270" w14:textId="77777777" w:rsidR="000C7636" w:rsidRDefault="000C7636" w:rsidP="00FF0EE8">
      <w:pPr>
        <w:pStyle w:val="ListParagraph"/>
        <w:spacing w:line="240" w:lineRule="auto"/>
        <w:ind w:hanging="720"/>
      </w:pPr>
    </w:p>
    <w:p w14:paraId="14BA1BE7" w14:textId="3F8990F0" w:rsidR="00B42B51" w:rsidRDefault="00F75A58" w:rsidP="00FF0EE8">
      <w:pPr>
        <w:pStyle w:val="ListParagraph"/>
        <w:numPr>
          <w:ilvl w:val="0"/>
          <w:numId w:val="10"/>
        </w:numPr>
        <w:spacing w:line="240" w:lineRule="auto"/>
        <w:ind w:hanging="720"/>
      </w:pPr>
      <w:r w:rsidRPr="00BD3549">
        <w:t>This alternative support</w:t>
      </w:r>
      <w:r w:rsidR="00B42B51">
        <w:t>s</w:t>
      </w:r>
      <w:r w:rsidRPr="00BD3549">
        <w:t xml:space="preserve"> the NRC’s goal of maintaining an open regulatory process </w:t>
      </w:r>
      <w:r w:rsidR="00B515CC" w:rsidRPr="00BD3549">
        <w:t>by informing the public about</w:t>
      </w:r>
      <w:r w:rsidR="004033B4">
        <w:t xml:space="preserve"> </w:t>
      </w:r>
      <w:r w:rsidR="00B515CC" w:rsidRPr="00BD3549">
        <w:t>the regulatory process</w:t>
      </w:r>
      <w:r w:rsidR="004033B4">
        <w:t xml:space="preserve"> and by affording the public the opportunity to participate in that process</w:t>
      </w:r>
      <w:r w:rsidR="00B515CC" w:rsidRPr="00BD3549">
        <w:t>.</w:t>
      </w:r>
    </w:p>
    <w:p w14:paraId="42CD1CA6" w14:textId="77777777" w:rsidR="00B42B51" w:rsidRDefault="00B42B51" w:rsidP="00FF0EE8">
      <w:pPr>
        <w:pStyle w:val="ListParagraph"/>
        <w:spacing w:line="240" w:lineRule="auto"/>
        <w:ind w:hanging="720"/>
      </w:pPr>
    </w:p>
    <w:p w14:paraId="51D0DAD4" w14:textId="77777777" w:rsidR="00F75A58" w:rsidRPr="00BD3549" w:rsidRDefault="00B515CC" w:rsidP="00FF0EE8">
      <w:pPr>
        <w:pStyle w:val="ListParagraph"/>
        <w:numPr>
          <w:ilvl w:val="0"/>
          <w:numId w:val="10"/>
        </w:numPr>
        <w:spacing w:line="240" w:lineRule="auto"/>
        <w:ind w:hanging="720"/>
      </w:pPr>
      <w:r w:rsidRPr="00BD3549">
        <w:t xml:space="preserve">This alternative supports </w:t>
      </w:r>
      <w:r w:rsidR="00F75A58" w:rsidRPr="00BD3549">
        <w:t xml:space="preserve">the </w:t>
      </w:r>
      <w:r w:rsidR="00C225C1">
        <w:t>NRC’s</w:t>
      </w:r>
      <w:r w:rsidR="00F75A58" w:rsidRPr="00BD3549">
        <w:t xml:space="preserve"> commitment to participate in the national consensus standard process</w:t>
      </w:r>
      <w:r w:rsidRPr="00BD3549">
        <w:t xml:space="preserve"> through the approval of these ASME </w:t>
      </w:r>
      <w:r w:rsidR="00AE121B">
        <w:t>Code Cases</w:t>
      </w:r>
      <w:r w:rsidR="004033B4">
        <w:t>,</w:t>
      </w:r>
      <w:r w:rsidR="00B42B51">
        <w:t xml:space="preserve"> and i</w:t>
      </w:r>
      <w:r w:rsidR="00530AA1">
        <w:t>t</w:t>
      </w:r>
      <w:r w:rsidR="00B42B51">
        <w:t xml:space="preserve"> conforms </w:t>
      </w:r>
      <w:r w:rsidR="00E14773">
        <w:t>to</w:t>
      </w:r>
      <w:r w:rsidR="00B42B51">
        <w:t xml:space="preserve"> </w:t>
      </w:r>
      <w:r w:rsidR="000F28D6">
        <w:t>NTTAA requirements</w:t>
      </w:r>
      <w:r w:rsidR="00F75A58" w:rsidRPr="00BD3549">
        <w:t>.</w:t>
      </w:r>
    </w:p>
    <w:p w14:paraId="5467DEA4" w14:textId="77777777" w:rsidR="000F5249" w:rsidRPr="00BD3549" w:rsidRDefault="000F5249" w:rsidP="00FF0EE8">
      <w:pPr>
        <w:spacing w:line="240" w:lineRule="auto"/>
        <w:ind w:hanging="720"/>
      </w:pPr>
    </w:p>
    <w:p w14:paraId="2FD51B70" w14:textId="1FE73068" w:rsidR="00931502" w:rsidRPr="00BD3549" w:rsidRDefault="00440E64" w:rsidP="00FF0EE8">
      <w:pPr>
        <w:pStyle w:val="ListParagraph"/>
        <w:numPr>
          <w:ilvl w:val="0"/>
          <w:numId w:val="10"/>
        </w:numPr>
        <w:spacing w:line="240" w:lineRule="auto"/>
        <w:ind w:hanging="720"/>
      </w:pPr>
      <w:r>
        <w:t>This alternative reduces the NRC</w:t>
      </w:r>
      <w:r w:rsidR="00BF1A20">
        <w:t>’s</w:t>
      </w:r>
      <w:r>
        <w:t xml:space="preserve"> burden of evaluating plant</w:t>
      </w:r>
      <w:r w:rsidR="004033B4">
        <w:noBreakHyphen/>
      </w:r>
      <w:r>
        <w:t xml:space="preserve">specific alternative requests, </w:t>
      </w:r>
      <w:r w:rsidR="004033B4">
        <w:t>al</w:t>
      </w:r>
      <w:r>
        <w:t>though this burden reduction is offset in part by t</w:t>
      </w:r>
      <w:r w:rsidR="00C53B6B" w:rsidRPr="00BD3549">
        <w:t>he</w:t>
      </w:r>
      <w:r w:rsidR="00F75A58" w:rsidRPr="00BD3549">
        <w:t xml:space="preserve"> periodic rulemakings to update the regulations </w:t>
      </w:r>
      <w:r>
        <w:t>to</w:t>
      </w:r>
      <w:r w:rsidRPr="00BD3549">
        <w:t xml:space="preserve"> </w:t>
      </w:r>
      <w:r w:rsidR="00B8064B">
        <w:t>incorporate</w:t>
      </w:r>
      <w:r w:rsidR="00D36A52">
        <w:t xml:space="preserve"> by reference</w:t>
      </w:r>
      <w:r w:rsidR="00F75A58" w:rsidRPr="00BD3549">
        <w:t xml:space="preserve"> the editions and addenda of the ASME BPV and OM Code</w:t>
      </w:r>
      <w:r w:rsidR="00E04E7D" w:rsidRPr="00BD3549">
        <w:t xml:space="preserve">. </w:t>
      </w:r>
      <w:r w:rsidR="009F6E8F" w:rsidRPr="00BD3549">
        <w:t xml:space="preserve"> </w:t>
      </w:r>
      <w:r w:rsidR="00C225C1">
        <w:t>Section</w:t>
      </w:r>
      <w:r w:rsidR="004033B4">
        <w:t> </w:t>
      </w:r>
      <w:r w:rsidR="00C225C1">
        <w:t xml:space="preserve">4 of this analysis </w:t>
      </w:r>
      <w:r w:rsidR="007B1FB1">
        <w:t>discusses</w:t>
      </w:r>
      <w:r w:rsidR="00C225C1">
        <w:t xml:space="preserve"> t</w:t>
      </w:r>
      <w:r w:rsidR="00C225C1" w:rsidRPr="00BD3549">
        <w:t>he costs and benefits</w:t>
      </w:r>
      <w:r w:rsidR="00C225C1">
        <w:t xml:space="preserve"> of this alternative</w:t>
      </w:r>
      <w:r w:rsidR="000F28D6">
        <w:t xml:space="preserve"> relative to the regulatory baseline (alternative</w:t>
      </w:r>
      <w:r w:rsidR="004033B4">
        <w:t> </w:t>
      </w:r>
      <w:r w:rsidR="000F28D6">
        <w:t>1)</w:t>
      </w:r>
      <w:r w:rsidR="009F6E8F" w:rsidRPr="00BD3549">
        <w:t>.</w:t>
      </w:r>
      <w:r>
        <w:t xml:space="preserve"> </w:t>
      </w:r>
    </w:p>
    <w:p w14:paraId="1D8A53B5" w14:textId="77777777" w:rsidR="00F75A58" w:rsidRPr="00BD3549" w:rsidRDefault="00B515CC" w:rsidP="00FF0EE8">
      <w:pPr>
        <w:pStyle w:val="Heading1"/>
        <w:spacing w:line="240" w:lineRule="auto"/>
        <w:ind w:left="360"/>
      </w:pPr>
      <w:bookmarkStart w:id="34" w:name="_Ref386989918"/>
      <w:bookmarkStart w:id="35" w:name="_Toc462224945"/>
      <w:bookmarkStart w:id="36" w:name="_Toc468875904"/>
      <w:r w:rsidRPr="00BD3549">
        <w:t xml:space="preserve">Evaluation of </w:t>
      </w:r>
      <w:r w:rsidR="00F75A58" w:rsidRPr="00BD3549">
        <w:t>Benefits</w:t>
      </w:r>
      <w:r w:rsidR="000C1588" w:rsidRPr="00BD3549">
        <w:t xml:space="preserve"> and Costs</w:t>
      </w:r>
      <w:bookmarkEnd w:id="34"/>
      <w:bookmarkEnd w:id="35"/>
      <w:bookmarkEnd w:id="36"/>
    </w:p>
    <w:p w14:paraId="5EBA0D2F" w14:textId="77777777" w:rsidR="00F75A58" w:rsidRPr="00BD3549" w:rsidRDefault="00F75A58" w:rsidP="00FF0EE8">
      <w:pPr>
        <w:keepNext/>
        <w:spacing w:line="240" w:lineRule="auto"/>
      </w:pPr>
    </w:p>
    <w:p w14:paraId="2298BA63" w14:textId="7133CCDB" w:rsidR="00745EBE" w:rsidRPr="00BD3549" w:rsidRDefault="00C225C1" w:rsidP="00FF0EE8">
      <w:pPr>
        <w:spacing w:line="240" w:lineRule="auto"/>
      </w:pPr>
      <w:r w:rsidRPr="00BD3549">
        <w:t>This section examines the benefits and costs expected to result from alternative</w:t>
      </w:r>
      <w:r w:rsidR="004033B4">
        <w:t> </w:t>
      </w:r>
      <w:r w:rsidR="00B746D8">
        <w:t xml:space="preserve">2 </w:t>
      </w:r>
      <w:r w:rsidRPr="00BD3549">
        <w:t>relative to the regulatory baseline</w:t>
      </w:r>
      <w:r>
        <w:t xml:space="preserve"> (alternative</w:t>
      </w:r>
      <w:r w:rsidR="004033B4">
        <w:t> </w:t>
      </w:r>
      <w:r>
        <w:t>1)</w:t>
      </w:r>
      <w:r w:rsidRPr="00BD3549">
        <w:t xml:space="preserve">.  </w:t>
      </w:r>
      <w:r>
        <w:t>A</w:t>
      </w:r>
      <w:r w:rsidRPr="00BD3549">
        <w:t xml:space="preserve">ll costs and benefits are </w:t>
      </w:r>
      <w:r>
        <w:t>monetized, when possible</w:t>
      </w:r>
      <w:r w:rsidRPr="00BD3549">
        <w:t xml:space="preserve">.  The costs and benefits are then summed to determine whether the difference between the costs and benefits </w:t>
      </w:r>
      <w:r w:rsidR="000F28D6">
        <w:t>results in</w:t>
      </w:r>
      <w:r w:rsidR="000F28D6" w:rsidRPr="00BD3549">
        <w:t xml:space="preserve"> </w:t>
      </w:r>
      <w:r w:rsidRPr="00BD3549">
        <w:t xml:space="preserve">a positive benefit.  </w:t>
      </w:r>
      <w:r w:rsidR="000F28D6">
        <w:t>I</w:t>
      </w:r>
      <w:r w:rsidRPr="00BD3549">
        <w:t>n some cases</w:t>
      </w:r>
      <w:r w:rsidR="000F28D6">
        <w:t>,</w:t>
      </w:r>
      <w:r w:rsidRPr="00BD3549">
        <w:t xml:space="preserve"> benefits</w:t>
      </w:r>
      <w:r>
        <w:t xml:space="preserve"> </w:t>
      </w:r>
      <w:r w:rsidR="000F28D6">
        <w:t xml:space="preserve">and costs </w:t>
      </w:r>
      <w:r>
        <w:t>are not monetized</w:t>
      </w:r>
      <w:r w:rsidRPr="00BD3549">
        <w:t xml:space="preserve"> because meaningful quantification is not possible</w:t>
      </w:r>
      <w:r w:rsidR="00745EBE" w:rsidRPr="00BD3549">
        <w:t>.</w:t>
      </w:r>
    </w:p>
    <w:p w14:paraId="58333A89" w14:textId="77777777" w:rsidR="00745EBE" w:rsidRPr="00BD3549" w:rsidRDefault="00745EBE" w:rsidP="00FF0EE8">
      <w:pPr>
        <w:pStyle w:val="Heading2"/>
        <w:spacing w:line="240" w:lineRule="auto"/>
        <w:ind w:left="540" w:hanging="522"/>
      </w:pPr>
      <w:bookmarkStart w:id="37" w:name="_Toc462224946"/>
      <w:bookmarkStart w:id="38" w:name="_Toc468875905"/>
      <w:r w:rsidRPr="00BD3549">
        <w:t>Identification of Affected Attributes</w:t>
      </w:r>
      <w:bookmarkEnd w:id="37"/>
      <w:bookmarkEnd w:id="38"/>
    </w:p>
    <w:p w14:paraId="40597A0D" w14:textId="77777777" w:rsidR="00745EBE" w:rsidRPr="00BD3549" w:rsidRDefault="00745EBE" w:rsidP="00FF0EE8">
      <w:pPr>
        <w:keepNext/>
        <w:spacing w:line="240" w:lineRule="auto"/>
      </w:pPr>
    </w:p>
    <w:p w14:paraId="43AC2E39" w14:textId="753F9EB2" w:rsidR="001660CE" w:rsidRDefault="00C225C1" w:rsidP="00FF0EE8">
      <w:pPr>
        <w:spacing w:line="240" w:lineRule="auto"/>
      </w:pPr>
      <w:r w:rsidRPr="00BD3549">
        <w:t>This section identifies the components of the public and private se</w:t>
      </w:r>
      <w:r>
        <w:t xml:space="preserve">ctors, commonly referred to as </w:t>
      </w:r>
      <w:r w:rsidR="00645C88">
        <w:t>attributes</w:t>
      </w:r>
      <w:r w:rsidR="004033B4">
        <w:t>,</w:t>
      </w:r>
      <w:r w:rsidR="00645C88">
        <w:t xml:space="preserve"> that</w:t>
      </w:r>
      <w:r w:rsidRPr="00BD3549">
        <w:t xml:space="preserve"> the </w:t>
      </w:r>
      <w:r>
        <w:t xml:space="preserve">alternatives identified in </w:t>
      </w:r>
      <w:r w:rsidR="004033B4">
        <w:t>S</w:t>
      </w:r>
      <w:r>
        <w:t>ection 3</w:t>
      </w:r>
      <w:r w:rsidR="004033B4">
        <w:t xml:space="preserve"> are expected to affect</w:t>
      </w:r>
      <w:r w:rsidRPr="00BD3549">
        <w:t xml:space="preserve">.  The </w:t>
      </w:r>
      <w:r>
        <w:t>alternatives</w:t>
      </w:r>
      <w:r w:rsidRPr="00BD3549">
        <w:t xml:space="preserve"> would </w:t>
      </w:r>
      <w:r>
        <w:t xml:space="preserve">apply </w:t>
      </w:r>
      <w:r w:rsidRPr="00BD3549">
        <w:t xml:space="preserve">to licensees and applicants of nuclear power plants and </w:t>
      </w:r>
      <w:r w:rsidR="00C811B0">
        <w:t xml:space="preserve">holders of </w:t>
      </w:r>
      <w:r w:rsidRPr="00BD3549">
        <w:t xml:space="preserve">nuclear power plant design certifications.  The NRC believes that nuclear power plant licensees will be the primary beneficiaries.  </w:t>
      </w:r>
      <w:r w:rsidR="006B7441">
        <w:t>The NRC developed a</w:t>
      </w:r>
      <w:r w:rsidRPr="00BD3549">
        <w:t xml:space="preserve">n inventory of the impacted attributes using the list provided in Chapter 5 of </w:t>
      </w:r>
      <w:r w:rsidR="0085522C">
        <w:t>NUREG/BR-0184,</w:t>
      </w:r>
      <w:r w:rsidR="006B7441" w:rsidRPr="00BD3549">
        <w:t xml:space="preserve"> </w:t>
      </w:r>
      <w:r w:rsidRPr="00BD3549">
        <w:t>“Regulatory Analysis Technical Evaluation Handbook</w:t>
      </w:r>
      <w:r w:rsidR="0085522C">
        <w:t>,</w:t>
      </w:r>
      <w:r w:rsidRPr="00BD3549">
        <w:t>”</w:t>
      </w:r>
      <w:r w:rsidR="0085522C">
        <w:t xml:space="preserve"> issued January 1997</w:t>
      </w:r>
      <w:r w:rsidR="00CD1F11">
        <w:t xml:space="preserve"> (Ref.</w:t>
      </w:r>
      <w:r w:rsidR="0085522C">
        <w:t> </w:t>
      </w:r>
      <w:r w:rsidR="00CD1F11">
        <w:fldChar w:fldCharType="begin"/>
      </w:r>
      <w:r w:rsidR="00CD1F11">
        <w:instrText xml:space="preserve"> REF _Ref430010344 \r \h </w:instrText>
      </w:r>
      <w:r w:rsidR="00CD1F11">
        <w:fldChar w:fldCharType="separate"/>
      </w:r>
      <w:r w:rsidR="00FD3AB6">
        <w:t>10</w:t>
      </w:r>
      <w:r w:rsidR="00CD1F11">
        <w:fldChar w:fldCharType="end"/>
      </w:r>
      <w:r w:rsidR="00CD1F11">
        <w:t>).</w:t>
      </w:r>
    </w:p>
    <w:p w14:paraId="3F7610F5" w14:textId="77777777" w:rsidR="001660CE" w:rsidRPr="00BD3549" w:rsidRDefault="001660CE" w:rsidP="00FF0EE8">
      <w:pPr>
        <w:spacing w:line="240" w:lineRule="auto"/>
      </w:pPr>
    </w:p>
    <w:p w14:paraId="2F754F16" w14:textId="24B8084E" w:rsidR="001660CE" w:rsidRPr="00BD3549" w:rsidRDefault="001660CE" w:rsidP="00FF0EE8">
      <w:pPr>
        <w:spacing w:line="240" w:lineRule="auto"/>
      </w:pPr>
      <w:r w:rsidRPr="00BD3549">
        <w:t xml:space="preserve">The </w:t>
      </w:r>
      <w:r w:rsidR="00747426">
        <w:t xml:space="preserve">following </w:t>
      </w:r>
      <w:r w:rsidR="007B1FB1">
        <w:t xml:space="preserve">are the </w:t>
      </w:r>
      <w:r w:rsidR="007223F2">
        <w:t>a</w:t>
      </w:r>
      <w:r w:rsidRPr="00BD3549">
        <w:t>ffected attributes:</w:t>
      </w:r>
    </w:p>
    <w:p w14:paraId="4267CECA" w14:textId="77777777" w:rsidR="001660CE" w:rsidRPr="00BD3549" w:rsidRDefault="001660CE" w:rsidP="00FF0EE8">
      <w:pPr>
        <w:spacing w:line="240" w:lineRule="auto"/>
      </w:pPr>
    </w:p>
    <w:p w14:paraId="23750662" w14:textId="2CC5673D" w:rsidR="001660CE" w:rsidRPr="00BD3549" w:rsidRDefault="001660CE" w:rsidP="00FF0EE8">
      <w:pPr>
        <w:pStyle w:val="ListParagraph"/>
        <w:numPr>
          <w:ilvl w:val="0"/>
          <w:numId w:val="5"/>
        </w:numPr>
        <w:spacing w:line="240" w:lineRule="auto"/>
        <w:ind w:hanging="720"/>
      </w:pPr>
      <w:r w:rsidRPr="00BD3549">
        <w:rPr>
          <w:u w:val="single"/>
        </w:rPr>
        <w:t>Public Health (Accident)</w:t>
      </w:r>
      <w:r w:rsidRPr="00BD3549">
        <w:t xml:space="preserve">.  This attribute </w:t>
      </w:r>
      <w:r w:rsidR="00176E25">
        <w:t>accounts for</w:t>
      </w:r>
      <w:r w:rsidRPr="00BD3549">
        <w:t xml:space="preserve"> expected changes in radiation exposure to the public caused by changes in accident frequencies or accident consequences associated with the </w:t>
      </w:r>
      <w:r w:rsidR="00C225C1">
        <w:t>alternative</w:t>
      </w:r>
      <w:r w:rsidRPr="00BD3549">
        <w:t xml:space="preserve"> (i.e.,</w:t>
      </w:r>
      <w:r w:rsidR="0085522C">
        <w:t> </w:t>
      </w:r>
      <w:r w:rsidRPr="00BD3549">
        <w:t xml:space="preserve">delta risk).  </w:t>
      </w:r>
      <w:r w:rsidR="009A1CB4">
        <w:t>Alternative</w:t>
      </w:r>
      <w:r w:rsidR="0085522C">
        <w:t> </w:t>
      </w:r>
      <w:r w:rsidR="009A1CB4">
        <w:t>2</w:t>
      </w:r>
      <w:r w:rsidR="0085522C">
        <w:t>,</w:t>
      </w:r>
      <w:r w:rsidR="009A1CB4">
        <w:t xml:space="preserve"> relative to the regulatory baseline (alternative</w:t>
      </w:r>
      <w:r w:rsidR="0085522C">
        <w:t> </w:t>
      </w:r>
      <w:r w:rsidR="009A1CB4">
        <w:t>1)</w:t>
      </w:r>
      <w:r w:rsidR="0085522C">
        <w:t>,</w:t>
      </w:r>
      <w:r w:rsidR="009A1CB4" w:rsidRPr="00BD3549">
        <w:t xml:space="preserve"> meets the NRC</w:t>
      </w:r>
      <w:r w:rsidR="00AB791D">
        <w:t>’s</w:t>
      </w:r>
      <w:r w:rsidR="009A1CB4" w:rsidRPr="00BD3549">
        <w:t xml:space="preserve"> goal of ensuring the protection of public health and safety and the environment by continuing to provide </w:t>
      </w:r>
      <w:r w:rsidR="00AB791D">
        <w:t xml:space="preserve">the </w:t>
      </w:r>
      <w:r w:rsidR="009A1CB4" w:rsidRPr="00BD3549">
        <w:t>NRC</w:t>
      </w:r>
      <w:r w:rsidR="00AB791D">
        <w:t>’s</w:t>
      </w:r>
      <w:r w:rsidR="009A1CB4" w:rsidRPr="00BD3549">
        <w:t xml:space="preserve"> approval of new ASME </w:t>
      </w:r>
      <w:r w:rsidR="00AE121B">
        <w:t>Code Cases</w:t>
      </w:r>
      <w:r w:rsidR="009A1CB4" w:rsidRPr="00BD3549">
        <w:t xml:space="preserve"> that allow the use of the most current methods and technology</w:t>
      </w:r>
      <w:r w:rsidR="009A1CB4">
        <w:t xml:space="preserve"> and </w:t>
      </w:r>
      <w:r w:rsidR="0085522C">
        <w:t xml:space="preserve">that </w:t>
      </w:r>
      <w:r w:rsidR="009A1CB4">
        <w:t xml:space="preserve">may decrease the </w:t>
      </w:r>
      <w:r w:rsidR="00521EF4">
        <w:t>likelihood</w:t>
      </w:r>
      <w:r w:rsidR="009A1CB4">
        <w:t xml:space="preserve"> for an accident and</w:t>
      </w:r>
      <w:r w:rsidR="0085522C">
        <w:t>, therefore,</w:t>
      </w:r>
      <w:r w:rsidR="009A1CB4">
        <w:t xml:space="preserve"> decrease the overall risk to public health</w:t>
      </w:r>
      <w:r w:rsidR="009A1CB4" w:rsidRPr="00BD3549">
        <w:t>.</w:t>
      </w:r>
    </w:p>
    <w:p w14:paraId="5B829FC3" w14:textId="77777777" w:rsidR="003E416F" w:rsidRPr="00BD3549" w:rsidRDefault="003E416F" w:rsidP="00FF0EE8">
      <w:pPr>
        <w:pStyle w:val="ListParagraph"/>
        <w:spacing w:line="240" w:lineRule="auto"/>
        <w:ind w:hanging="720"/>
      </w:pPr>
    </w:p>
    <w:p w14:paraId="3D37E497" w14:textId="628B4564" w:rsidR="00AD0139" w:rsidRPr="00BD3549" w:rsidRDefault="00AD0139" w:rsidP="00FF0EE8">
      <w:pPr>
        <w:pStyle w:val="ListParagraph"/>
        <w:numPr>
          <w:ilvl w:val="0"/>
          <w:numId w:val="5"/>
        </w:numPr>
        <w:spacing w:line="240" w:lineRule="auto"/>
        <w:ind w:hanging="720"/>
      </w:pPr>
      <w:r w:rsidRPr="00BD3549">
        <w:rPr>
          <w:u w:val="single"/>
        </w:rPr>
        <w:t>Occupational Health</w:t>
      </w:r>
      <w:r w:rsidR="003E416F" w:rsidRPr="00BD3549">
        <w:rPr>
          <w:u w:val="single"/>
        </w:rPr>
        <w:t xml:space="preserve"> (</w:t>
      </w:r>
      <w:r w:rsidRPr="00BD3549">
        <w:rPr>
          <w:u w:val="single"/>
        </w:rPr>
        <w:t>Accident</w:t>
      </w:r>
      <w:r w:rsidR="003E416F" w:rsidRPr="00BD3549">
        <w:rPr>
          <w:u w:val="single"/>
        </w:rPr>
        <w:t>)</w:t>
      </w:r>
      <w:r w:rsidRPr="00BD3549">
        <w:t>.</w:t>
      </w:r>
      <w:r w:rsidR="003E416F" w:rsidRPr="00BD3549">
        <w:t xml:space="preserve">  </w:t>
      </w:r>
      <w:r w:rsidR="00C225C1" w:rsidRPr="00BD3549">
        <w:t xml:space="preserve">This attribute measures </w:t>
      </w:r>
      <w:r w:rsidR="0085522C">
        <w:t>immediate and long</w:t>
      </w:r>
      <w:r w:rsidR="0085522C">
        <w:noBreakHyphen/>
        <w:t xml:space="preserve">term </w:t>
      </w:r>
      <w:r w:rsidR="00C225C1" w:rsidRPr="00BD3549">
        <w:t>health effects</w:t>
      </w:r>
      <w:r w:rsidR="0085522C">
        <w:t xml:space="preserve"> </w:t>
      </w:r>
      <w:r w:rsidR="00C225C1" w:rsidRPr="00BD3549">
        <w:t xml:space="preserve">associated with site workers because of changes in accident frequency or accident </w:t>
      </w:r>
      <w:r w:rsidR="00C225C1">
        <w:t>consequences associated with the alternative (i.e.,</w:t>
      </w:r>
      <w:r w:rsidR="0085522C">
        <w:t> </w:t>
      </w:r>
      <w:r w:rsidR="00C225C1">
        <w:t>delta risk)</w:t>
      </w:r>
      <w:r w:rsidR="00C225C1" w:rsidRPr="00BD3549">
        <w:t xml:space="preserve">.  A decrease in worker radiological exposure is </w:t>
      </w:r>
      <w:r w:rsidR="00C225C1">
        <w:t>a decrease in risk (i.e.,</w:t>
      </w:r>
      <w:r w:rsidR="0085522C">
        <w:t> </w:t>
      </w:r>
      <w:r w:rsidR="00C225C1">
        <w:t>benefit)</w:t>
      </w:r>
      <w:r w:rsidR="00C225C1" w:rsidRPr="00BD3549">
        <w:t xml:space="preserve">; an increase in worker exposures is </w:t>
      </w:r>
      <w:r w:rsidR="00C225C1">
        <w:t>an increase in risk (i.e.,</w:t>
      </w:r>
      <w:r w:rsidR="0085522C">
        <w:t> </w:t>
      </w:r>
      <w:r w:rsidR="00C225C1">
        <w:t>negative benefit)</w:t>
      </w:r>
      <w:r w:rsidR="00E14773">
        <w:t>.</w:t>
      </w:r>
      <w:r w:rsidR="00C225C1" w:rsidRPr="00BD3549">
        <w:t xml:space="preserve">  The use of ASME </w:t>
      </w:r>
      <w:r w:rsidR="00AE121B">
        <w:t>Code Cases</w:t>
      </w:r>
      <w:r w:rsidR="00C225C1" w:rsidRPr="00BD3549">
        <w:t xml:space="preserve"> may </w:t>
      </w:r>
      <w:r w:rsidR="00C225C1">
        <w:t xml:space="preserve">decrease the </w:t>
      </w:r>
      <w:r w:rsidR="000F28D6">
        <w:t xml:space="preserve">incremental </w:t>
      </w:r>
      <w:r w:rsidR="00C225C1">
        <w:t xml:space="preserve">risk to </w:t>
      </w:r>
      <w:r w:rsidR="00C225C1" w:rsidRPr="00BD3549">
        <w:t>occupational health</w:t>
      </w:r>
      <w:r w:rsidR="004E6499">
        <w:t xml:space="preserve"> following an accident</w:t>
      </w:r>
      <w:r w:rsidR="00C225C1" w:rsidRPr="00BD3549">
        <w:t xml:space="preserve">, but </w:t>
      </w:r>
      <w:r w:rsidR="000F28D6">
        <w:t xml:space="preserve">this effect is </w:t>
      </w:r>
      <w:r w:rsidR="00C225C1" w:rsidRPr="00BD3549">
        <w:t xml:space="preserve">not easily quantifiable.  For example, advancements in ISI and IST may result in an incremental decrease in the </w:t>
      </w:r>
      <w:r w:rsidR="00C225C1">
        <w:t>frequency</w:t>
      </w:r>
      <w:r w:rsidR="00C225C1" w:rsidRPr="00BD3549">
        <w:t xml:space="preserve"> of an accident resulting in </w:t>
      </w:r>
      <w:r w:rsidR="000F28D6">
        <w:t xml:space="preserve">averted </w:t>
      </w:r>
      <w:r w:rsidR="00C225C1" w:rsidRPr="00BD3549">
        <w:t xml:space="preserve">worker </w:t>
      </w:r>
      <w:r w:rsidR="004E6499">
        <w:t xml:space="preserve">postaccident </w:t>
      </w:r>
      <w:r w:rsidR="000F28D6">
        <w:t xml:space="preserve">radiological </w:t>
      </w:r>
      <w:r w:rsidR="00C225C1" w:rsidRPr="00BD3549">
        <w:t>exposure when compared to the regulatory baseline</w:t>
      </w:r>
      <w:r w:rsidR="009A1CB4">
        <w:t>.</w:t>
      </w:r>
    </w:p>
    <w:p w14:paraId="24494C26" w14:textId="77777777" w:rsidR="00AD0139" w:rsidRPr="00BD3549" w:rsidRDefault="00AD0139" w:rsidP="00FF0EE8">
      <w:pPr>
        <w:spacing w:line="240" w:lineRule="auto"/>
        <w:ind w:hanging="720"/>
      </w:pPr>
    </w:p>
    <w:p w14:paraId="2AFB18BC" w14:textId="0D8661E5" w:rsidR="00AD0139" w:rsidRPr="00BD3549" w:rsidRDefault="00AD0139" w:rsidP="00FF0EE8">
      <w:pPr>
        <w:pStyle w:val="ListParagraph"/>
        <w:numPr>
          <w:ilvl w:val="0"/>
          <w:numId w:val="5"/>
        </w:numPr>
        <w:spacing w:line="240" w:lineRule="auto"/>
        <w:ind w:hanging="720"/>
      </w:pPr>
      <w:r w:rsidRPr="00BD3549">
        <w:rPr>
          <w:u w:val="single"/>
        </w:rPr>
        <w:t>Occupational Health (Routine)</w:t>
      </w:r>
      <w:r w:rsidRPr="00BD3549">
        <w:t>.  This attribute accounts for radiological exposures to workers during normal facility operations (i.e.,</w:t>
      </w:r>
      <w:r w:rsidR="0085522C">
        <w:t> </w:t>
      </w:r>
      <w:r w:rsidRPr="00BD3549">
        <w:t xml:space="preserve">nonaccident situations).  </w:t>
      </w:r>
      <w:r w:rsidR="00004BAE">
        <w:t>S</w:t>
      </w:r>
      <w:r w:rsidR="00521CA7">
        <w:t xml:space="preserve">ome </w:t>
      </w:r>
      <w:r w:rsidR="00004BAE">
        <w:t>operations will cause</w:t>
      </w:r>
      <w:r w:rsidRPr="00BD3549">
        <w:t xml:space="preserve"> an increase in worker exposures; sometimes this </w:t>
      </w:r>
      <w:r w:rsidR="00004BAE">
        <w:t xml:space="preserve">increase </w:t>
      </w:r>
      <w:r w:rsidRPr="00BD3549">
        <w:t>will be a one</w:t>
      </w:r>
      <w:r w:rsidR="0085522C">
        <w:noBreakHyphen/>
      </w:r>
      <w:r w:rsidRPr="00BD3549">
        <w:t>time effect (e.g.,</w:t>
      </w:r>
      <w:r w:rsidR="0085522C">
        <w:t> </w:t>
      </w:r>
      <w:r w:rsidRPr="00BD3549">
        <w:t xml:space="preserve">installation or modification of equipment in a </w:t>
      </w:r>
      <w:r w:rsidR="000F28D6">
        <w:t>radiation</w:t>
      </w:r>
      <w:r w:rsidR="000F28D6" w:rsidRPr="00BD3549">
        <w:t xml:space="preserve"> </w:t>
      </w:r>
      <w:r w:rsidRPr="00BD3549">
        <w:t>area), and sometimes it will be an ongoing effect (e.g.,</w:t>
      </w:r>
      <w:r w:rsidR="0085522C">
        <w:t> </w:t>
      </w:r>
      <w:r w:rsidRPr="00BD3549">
        <w:t xml:space="preserve">routine surveillance or maintenance of contaminated equipment or equipment in a radiation area).  </w:t>
      </w:r>
      <w:r w:rsidR="009A1CB4" w:rsidRPr="00BD3549">
        <w:t xml:space="preserve">The use of ASME </w:t>
      </w:r>
      <w:r w:rsidR="00AE121B">
        <w:t>Code Cases</w:t>
      </w:r>
      <w:r w:rsidR="009A1CB4" w:rsidRPr="00BD3549">
        <w:t xml:space="preserve"> </w:t>
      </w:r>
      <w:r w:rsidR="004E6499">
        <w:t>may</w:t>
      </w:r>
      <w:r w:rsidR="009751F8">
        <w:t xml:space="preserve"> </w:t>
      </w:r>
      <w:r w:rsidR="009A1CB4" w:rsidRPr="00BD3549">
        <w:t xml:space="preserve">affect occupational health </w:t>
      </w:r>
      <w:r w:rsidR="007B1FB1">
        <w:t>as a result of</w:t>
      </w:r>
      <w:r w:rsidR="009751F8">
        <w:t xml:space="preserve"> radiological exposure</w:t>
      </w:r>
      <w:r w:rsidR="0085522C">
        <w:t xml:space="preserve"> </w:t>
      </w:r>
      <w:r w:rsidR="007B1FB1">
        <w:t>during</w:t>
      </w:r>
      <w:r w:rsidR="009751F8">
        <w:t xml:space="preserve"> the </w:t>
      </w:r>
      <w:r w:rsidR="00CF12AA">
        <w:t>time required to perform additional weld examinations and pressure testing</w:t>
      </w:r>
      <w:r w:rsidR="00004BAE">
        <w:t xml:space="preserve"> </w:t>
      </w:r>
      <w:r w:rsidR="00385FC7">
        <w:t>called for in the Code Case</w:t>
      </w:r>
      <w:r w:rsidR="00CF12AA">
        <w:t xml:space="preserve"> condition</w:t>
      </w:r>
      <w:r w:rsidR="00385FC7">
        <w:t>s</w:t>
      </w:r>
      <w:r w:rsidR="007B1FB1">
        <w:t>.  This additional work</w:t>
      </w:r>
      <w:r w:rsidR="00385FC7">
        <w:t xml:space="preserve"> will </w:t>
      </w:r>
      <w:r w:rsidR="00551302">
        <w:t xml:space="preserve">result in </w:t>
      </w:r>
      <w:r w:rsidR="00CF12AA">
        <w:t>increased occupational radiation exposure</w:t>
      </w:r>
      <w:r w:rsidR="00551302">
        <w:t xml:space="preserve"> when compared to the regulatory baseline.</w:t>
      </w:r>
    </w:p>
    <w:p w14:paraId="7DF0B058" w14:textId="77777777" w:rsidR="00AD0139" w:rsidRPr="00BD3549" w:rsidRDefault="00AD0139" w:rsidP="00FF0EE8">
      <w:pPr>
        <w:spacing w:line="240" w:lineRule="auto"/>
        <w:ind w:hanging="720"/>
      </w:pPr>
    </w:p>
    <w:p w14:paraId="15AA2E30" w14:textId="77777777" w:rsidR="001660CE" w:rsidRDefault="001660CE" w:rsidP="00FF0EE8">
      <w:pPr>
        <w:pStyle w:val="ListParagraph"/>
        <w:numPr>
          <w:ilvl w:val="0"/>
          <w:numId w:val="6"/>
        </w:numPr>
        <w:spacing w:line="240" w:lineRule="auto"/>
        <w:ind w:hanging="720"/>
      </w:pPr>
      <w:r w:rsidRPr="00BD3549">
        <w:rPr>
          <w:u w:val="single"/>
        </w:rPr>
        <w:t>Industry Implementation</w:t>
      </w:r>
      <w:r w:rsidRPr="00BD3549">
        <w:t>.  This attribute accounts for the projected net economic effect on the affected licensees to implement the mandated changes.  Costs include procedural and administrative activities</w:t>
      </w:r>
      <w:r w:rsidR="00825CE6">
        <w:t xml:space="preserve"> to maintenance, inspection, or testing procedures</w:t>
      </w:r>
      <w:r w:rsidR="00835781">
        <w:t>.</w:t>
      </w:r>
    </w:p>
    <w:p w14:paraId="3CBA919F" w14:textId="77777777" w:rsidR="003A015E" w:rsidRDefault="003A015E" w:rsidP="00FF0EE8">
      <w:pPr>
        <w:spacing w:line="240" w:lineRule="auto"/>
        <w:ind w:hanging="720"/>
      </w:pPr>
    </w:p>
    <w:p w14:paraId="5C7164B7" w14:textId="1A2FFE2B" w:rsidR="001660CE" w:rsidRDefault="001660CE" w:rsidP="00FF0EE8">
      <w:pPr>
        <w:pStyle w:val="ListParagraph"/>
        <w:numPr>
          <w:ilvl w:val="0"/>
          <w:numId w:val="6"/>
        </w:numPr>
        <w:spacing w:line="240" w:lineRule="auto"/>
        <w:ind w:hanging="720"/>
      </w:pPr>
      <w:r w:rsidRPr="00BD3549">
        <w:rPr>
          <w:u w:val="single"/>
        </w:rPr>
        <w:t>Industry Operation</w:t>
      </w:r>
      <w:r w:rsidRPr="00BD3549">
        <w:t>.  This attribute accounts for the projected net economic effect caused by routine and recurring activities required by the alternative on all affected licensees.</w:t>
      </w:r>
      <w:r w:rsidR="009A1CB4">
        <w:t xml:space="preserve">  Under </w:t>
      </w:r>
      <w:r w:rsidR="00C3787C">
        <w:t>a</w:t>
      </w:r>
      <w:r w:rsidR="009A1CB4">
        <w:t>lternative</w:t>
      </w:r>
      <w:r w:rsidR="00004BAE">
        <w:t> </w:t>
      </w:r>
      <w:r w:rsidR="009A1CB4">
        <w:t xml:space="preserve">2, a licensee of a nuclear power plant would no longer be required to submit a Code </w:t>
      </w:r>
      <w:r w:rsidR="00480854">
        <w:t>C</w:t>
      </w:r>
      <w:r w:rsidR="009A1CB4">
        <w:t xml:space="preserve">ase alternative request under the </w:t>
      </w:r>
      <w:r w:rsidR="00530AA1">
        <w:t>10</w:t>
      </w:r>
      <w:r w:rsidR="00004BAE">
        <w:t> </w:t>
      </w:r>
      <w:r w:rsidR="00530AA1">
        <w:t>CFR</w:t>
      </w:r>
      <w:r w:rsidR="00004BAE">
        <w:t> </w:t>
      </w:r>
      <w:r w:rsidR="009A1CB4">
        <w:t>50.55a(z)</w:t>
      </w:r>
      <w:r w:rsidR="0082432D">
        <w:t>,</w:t>
      </w:r>
      <w:r w:rsidR="009A1CB4">
        <w:t xml:space="preserve"> which would provide a net benefit (i.e.,</w:t>
      </w:r>
      <w:r w:rsidR="00004BAE">
        <w:t> </w:t>
      </w:r>
      <w:r w:rsidR="009A1CB4">
        <w:t>averted cost) to the licensee.</w:t>
      </w:r>
    </w:p>
    <w:p w14:paraId="0531A629" w14:textId="77777777" w:rsidR="00825CE6" w:rsidRDefault="00825CE6" w:rsidP="00FF0EE8">
      <w:pPr>
        <w:pStyle w:val="ListParagraph"/>
        <w:spacing w:line="240" w:lineRule="auto"/>
        <w:ind w:hanging="720"/>
      </w:pPr>
    </w:p>
    <w:p w14:paraId="5CC03907" w14:textId="2226FCD4" w:rsidR="00825CE6" w:rsidRDefault="00004BAE" w:rsidP="00FF0EE8">
      <w:pPr>
        <w:spacing w:line="240" w:lineRule="auto"/>
        <w:ind w:left="720"/>
      </w:pPr>
      <w:r>
        <w:t>Under 10 CFR </w:t>
      </w:r>
      <w:r w:rsidR="00825CE6" w:rsidRPr="00BD3549">
        <w:t>50.55a</w:t>
      </w:r>
      <w:r>
        <w:t xml:space="preserve">, </w:t>
      </w:r>
      <w:r w:rsidR="00825CE6" w:rsidRPr="00BD3549">
        <w:t xml:space="preserve">the NRC requires nuclear power plant owners </w:t>
      </w:r>
      <w:r>
        <w:t xml:space="preserve">to </w:t>
      </w:r>
      <w:r w:rsidR="00825CE6" w:rsidRPr="00BD3549">
        <w:t>construct Class</w:t>
      </w:r>
      <w:r>
        <w:t> </w:t>
      </w:r>
      <w:r w:rsidR="00825CE6" w:rsidRPr="00BD3549">
        <w:t>1, 2, and 3 components in accordance with Section</w:t>
      </w:r>
      <w:r>
        <w:t> </w:t>
      </w:r>
      <w:r w:rsidR="00825CE6" w:rsidRPr="00BD3549">
        <w:t>III, Division</w:t>
      </w:r>
      <w:r>
        <w:t> </w:t>
      </w:r>
      <w:r w:rsidR="00825CE6" w:rsidRPr="00BD3549">
        <w:t xml:space="preserve">1, of the </w:t>
      </w:r>
      <w:r w:rsidR="007B1FB1">
        <w:t xml:space="preserve">ASME </w:t>
      </w:r>
      <w:r w:rsidR="00825CE6" w:rsidRPr="00BD3549">
        <w:t xml:space="preserve">BPV Code.  </w:t>
      </w:r>
      <w:r>
        <w:t>Under 10 CFR </w:t>
      </w:r>
      <w:r w:rsidR="00825CE6" w:rsidRPr="00BD3549">
        <w:t>50.55a</w:t>
      </w:r>
      <w:r>
        <w:t>, the NRC</w:t>
      </w:r>
      <w:r w:rsidR="00825CE6" w:rsidRPr="00BD3549">
        <w:t xml:space="preserve"> also requires owners </w:t>
      </w:r>
      <w:r>
        <w:t xml:space="preserve">to </w:t>
      </w:r>
      <w:r w:rsidR="00825CE6" w:rsidRPr="00BD3549">
        <w:t>perform ISI of Class</w:t>
      </w:r>
      <w:r>
        <w:t> </w:t>
      </w:r>
      <w:r w:rsidR="00825CE6" w:rsidRPr="00BD3549">
        <w:t>1, Class</w:t>
      </w:r>
      <w:r>
        <w:t> </w:t>
      </w:r>
      <w:r w:rsidR="00825CE6" w:rsidRPr="00BD3549">
        <w:t>2, Class 3, Class MC, and Class CC components in accordance with Section</w:t>
      </w:r>
      <w:r>
        <w:t> </w:t>
      </w:r>
      <w:r w:rsidR="00825CE6" w:rsidRPr="00BD3549">
        <w:t>XI, Division</w:t>
      </w:r>
      <w:r>
        <w:t> </w:t>
      </w:r>
      <w:r w:rsidR="00825CE6" w:rsidRPr="00BD3549">
        <w:t xml:space="preserve">1, of the </w:t>
      </w:r>
      <w:r w:rsidR="007B1FB1">
        <w:t xml:space="preserve">ASME </w:t>
      </w:r>
      <w:r w:rsidR="00825CE6" w:rsidRPr="00BD3549">
        <w:t xml:space="preserve">BPV Code and </w:t>
      </w:r>
      <w:r>
        <w:t>to</w:t>
      </w:r>
      <w:r w:rsidR="00825CE6" w:rsidRPr="00BD3549">
        <w:t xml:space="preserve"> perform IST of Class</w:t>
      </w:r>
      <w:r>
        <w:t> </w:t>
      </w:r>
      <w:r w:rsidR="00825CE6" w:rsidRPr="00BD3549">
        <w:t>1, Class</w:t>
      </w:r>
      <w:r>
        <w:t> </w:t>
      </w:r>
      <w:r w:rsidR="00825CE6" w:rsidRPr="00BD3549">
        <w:t>2, and Class 3 safety</w:t>
      </w:r>
      <w:r>
        <w:noBreakHyphen/>
      </w:r>
      <w:r w:rsidR="00825CE6" w:rsidRPr="00BD3549">
        <w:t xml:space="preserve">related pumps and valves in accordance with the </w:t>
      </w:r>
      <w:r w:rsidR="007B1FB1">
        <w:t xml:space="preserve">ASME </w:t>
      </w:r>
      <w:r w:rsidR="00825CE6" w:rsidRPr="00BD3549">
        <w:t xml:space="preserve">OM Code.  </w:t>
      </w:r>
      <w:r w:rsidR="004E3E0C">
        <w:t>Until 2012, ASME issued</w:t>
      </w:r>
      <w:r w:rsidR="004E3E0C" w:rsidRPr="009E6AA2">
        <w:t xml:space="preserve"> new editions of the </w:t>
      </w:r>
      <w:r w:rsidR="004E3E0C">
        <w:t>BPV Code</w:t>
      </w:r>
      <w:r w:rsidR="004E3E0C" w:rsidRPr="009E6AA2">
        <w:t xml:space="preserve"> every 3</w:t>
      </w:r>
      <w:r>
        <w:t> </w:t>
      </w:r>
      <w:r w:rsidR="004E3E0C" w:rsidRPr="009E6AA2">
        <w:t xml:space="preserve">years and addenda to the editions </w:t>
      </w:r>
      <w:r w:rsidR="004E3E0C">
        <w:t>annually</w:t>
      </w:r>
      <w:r w:rsidR="004E3E0C" w:rsidRPr="009E6AA2">
        <w:t xml:space="preserve"> except in years when a new edition </w:t>
      </w:r>
      <w:r w:rsidR="004E3E0C">
        <w:t>was</w:t>
      </w:r>
      <w:r w:rsidR="004E3E0C" w:rsidRPr="009E6AA2">
        <w:t xml:space="preserve"> issued. </w:t>
      </w:r>
      <w:r w:rsidR="004E3E0C">
        <w:t xml:space="preserve"> Similarly, ASME </w:t>
      </w:r>
      <w:r w:rsidR="001A7C84">
        <w:t xml:space="preserve">has </w:t>
      </w:r>
      <w:r w:rsidR="004E3E0C">
        <w:t>published</w:t>
      </w:r>
      <w:r w:rsidR="004E3E0C" w:rsidRPr="009E6AA2">
        <w:t xml:space="preserve"> new editions and addenda of the ASME OM Code</w:t>
      </w:r>
      <w:r w:rsidR="00521CA7">
        <w:t xml:space="preserve"> regularly</w:t>
      </w:r>
      <w:r w:rsidR="004E3E0C" w:rsidRPr="009E6AA2">
        <w:t xml:space="preserve">.  </w:t>
      </w:r>
      <w:r w:rsidR="004E3E0C">
        <w:t>Starting in 2012, ASME decided to issue editio</w:t>
      </w:r>
      <w:r w:rsidR="002E679C">
        <w:t>ns of its BPV and OM Code</w:t>
      </w:r>
      <w:r w:rsidR="004E3E0C">
        <w:t xml:space="preserve"> (no addenda) every 2</w:t>
      </w:r>
      <w:r>
        <w:t> </w:t>
      </w:r>
      <w:r w:rsidR="004E3E0C">
        <w:t>years.</w:t>
      </w:r>
      <w:r w:rsidR="00825CE6" w:rsidRPr="00BD3549">
        <w:t xml:space="preserve">  </w:t>
      </w:r>
      <w:r w:rsidR="00741B8A">
        <w:t xml:space="preserve">The </w:t>
      </w:r>
      <w:r w:rsidR="00825CE6" w:rsidRPr="00BD3549">
        <w:t xml:space="preserve">ASME also publishes </w:t>
      </w:r>
      <w:r w:rsidR="00AE121B">
        <w:t>Code Cases</w:t>
      </w:r>
      <w:r w:rsidR="00825CE6" w:rsidRPr="00BD3549">
        <w:t xml:space="preserve"> on a quarterly basis (</w:t>
      </w:r>
      <w:r>
        <w:t xml:space="preserve">ASME </w:t>
      </w:r>
      <w:r w:rsidR="007B1FB1">
        <w:t xml:space="preserve">BPV Code </w:t>
      </w:r>
      <w:r w:rsidR="00825CE6" w:rsidRPr="00BD3549">
        <w:t>Sections</w:t>
      </w:r>
      <w:r>
        <w:t> </w:t>
      </w:r>
      <w:r w:rsidR="00825CE6" w:rsidRPr="00BD3549">
        <w:t xml:space="preserve">III and XI) or </w:t>
      </w:r>
      <w:r w:rsidR="00480854">
        <w:t>every two years</w:t>
      </w:r>
      <w:r w:rsidR="00825CE6" w:rsidRPr="00BD3549">
        <w:t xml:space="preserve"> (</w:t>
      </w:r>
      <w:r w:rsidR="007B1FB1">
        <w:t xml:space="preserve">ASME </w:t>
      </w:r>
      <w:r w:rsidR="00825CE6" w:rsidRPr="00BD3549">
        <w:t xml:space="preserve">OM Code) to provide alternatives to existing Code requirements developed and approved by ASME.  </w:t>
      </w:r>
      <w:r w:rsidR="00AE121B">
        <w:t>Code Cases</w:t>
      </w:r>
      <w:r w:rsidR="00825CE6" w:rsidRPr="00BD3549">
        <w:t xml:space="preserve"> are developed to </w:t>
      </w:r>
      <w:r>
        <w:t xml:space="preserve">allow licensees to </w:t>
      </w:r>
      <w:r w:rsidR="00825CE6" w:rsidRPr="00BD3549">
        <w:t xml:space="preserve">gain experience with new technology </w:t>
      </w:r>
      <w:r w:rsidR="00164305">
        <w:t xml:space="preserve">before </w:t>
      </w:r>
      <w:r w:rsidR="00825CE6" w:rsidRPr="00BD3549">
        <w:t>incorporation into the ASME Code</w:t>
      </w:r>
      <w:r>
        <w:t>,</w:t>
      </w:r>
      <w:r w:rsidR="00825CE6" w:rsidRPr="00BD3549">
        <w:t xml:space="preserve"> permit licensees to use advancements in ISI and IST</w:t>
      </w:r>
      <w:r>
        <w:t>,</w:t>
      </w:r>
      <w:r w:rsidR="00825CE6" w:rsidRPr="00BD3549">
        <w:t xml:space="preserve"> provide alternative examinations for older plants</w:t>
      </w:r>
      <w:r>
        <w:t>,</w:t>
      </w:r>
      <w:r w:rsidR="00825CE6" w:rsidRPr="00BD3549">
        <w:t xml:space="preserve"> provide an expeditious response to user needs</w:t>
      </w:r>
      <w:r>
        <w:t>,</w:t>
      </w:r>
      <w:r w:rsidR="00825CE6" w:rsidRPr="00BD3549">
        <w:t xml:space="preserve"> and provide a limited</w:t>
      </w:r>
      <w:r>
        <w:t xml:space="preserve"> and</w:t>
      </w:r>
      <w:r w:rsidR="00825CE6" w:rsidRPr="00BD3549">
        <w:t xml:space="preserve"> clearly focused alternative to specific ASME Code provisions.</w:t>
      </w:r>
    </w:p>
    <w:p w14:paraId="55589BFB" w14:textId="77777777" w:rsidR="00825CE6" w:rsidRDefault="00825CE6" w:rsidP="00FF0EE8">
      <w:pPr>
        <w:spacing w:line="240" w:lineRule="auto"/>
        <w:ind w:left="720" w:hanging="720"/>
      </w:pPr>
    </w:p>
    <w:p w14:paraId="4364CF3D" w14:textId="09A06249" w:rsidR="00825CE6" w:rsidRDefault="00825CE6" w:rsidP="00FF0EE8">
      <w:pPr>
        <w:spacing w:line="240" w:lineRule="auto"/>
        <w:ind w:left="720"/>
      </w:pPr>
      <w:r>
        <w:t xml:space="preserve">Under alternative 2, </w:t>
      </w:r>
      <w:r w:rsidRPr="00BD3549">
        <w:t xml:space="preserve">licensees and applicants </w:t>
      </w:r>
      <w:r>
        <w:t xml:space="preserve">are allowed </w:t>
      </w:r>
      <w:r w:rsidRPr="00BD3549">
        <w:t xml:space="preserve">to implement </w:t>
      </w:r>
      <w:r>
        <w:t>endorsed</w:t>
      </w:r>
      <w:r w:rsidRPr="00BD3549">
        <w:t xml:space="preserve"> ASME </w:t>
      </w:r>
      <w:r w:rsidR="00AE121B">
        <w:t>Code Cases</w:t>
      </w:r>
      <w:r w:rsidRPr="00BD3549">
        <w:t xml:space="preserve"> and their conditions and modifications without seeking prior NRC approval.  This alternative continues </w:t>
      </w:r>
      <w:r w:rsidR="00004BAE">
        <w:t xml:space="preserve">the </w:t>
      </w:r>
      <w:r w:rsidRPr="00BD3549">
        <w:t xml:space="preserve">NRC’s process of periodic rulemakings to incorporate by reference in </w:t>
      </w:r>
      <w:r w:rsidR="00530AA1">
        <w:t>10</w:t>
      </w:r>
      <w:r w:rsidR="00004BAE">
        <w:t> </w:t>
      </w:r>
      <w:r w:rsidR="00530AA1">
        <w:t>CFR</w:t>
      </w:r>
      <w:r w:rsidR="00004BAE">
        <w:t> </w:t>
      </w:r>
      <w:r w:rsidRPr="00BD3549">
        <w:t xml:space="preserve">50.55a the latest </w:t>
      </w:r>
      <w:r w:rsidR="00004BAE">
        <w:t>RG</w:t>
      </w:r>
      <w:r w:rsidR="007223F2" w:rsidRPr="00BD3549">
        <w:t>s that</w:t>
      </w:r>
      <w:r w:rsidRPr="00BD3549">
        <w:t xml:space="preserve"> list NRC</w:t>
      </w:r>
      <w:r w:rsidR="00004BAE">
        <w:noBreakHyphen/>
      </w:r>
      <w:r w:rsidRPr="00BD3549">
        <w:t>approved alternatives to the provisio</w:t>
      </w:r>
      <w:r w:rsidR="002E679C">
        <w:t>ns of the ASME BPV and OM Code</w:t>
      </w:r>
      <w:r w:rsidRPr="00BD3549">
        <w:t>.</w:t>
      </w:r>
    </w:p>
    <w:p w14:paraId="0D6F35F3" w14:textId="77777777" w:rsidR="00825CE6" w:rsidRDefault="00825CE6" w:rsidP="00FF0EE8">
      <w:pPr>
        <w:spacing w:line="240" w:lineRule="auto"/>
        <w:ind w:left="720" w:hanging="720"/>
      </w:pPr>
    </w:p>
    <w:p w14:paraId="7E755622" w14:textId="68E7475C" w:rsidR="00825CE6" w:rsidRPr="00BD3549" w:rsidRDefault="00C225C1" w:rsidP="00FF0EE8">
      <w:pPr>
        <w:spacing w:line="240" w:lineRule="auto"/>
        <w:ind w:left="720"/>
      </w:pPr>
      <w:r>
        <w:t xml:space="preserve">The Code </w:t>
      </w:r>
      <w:r w:rsidR="00480854">
        <w:t>C</w:t>
      </w:r>
      <w:r>
        <w:t xml:space="preserve">ase requests and subsequent costs are considered </w:t>
      </w:r>
      <w:r w:rsidR="00E56E43">
        <w:t>“</w:t>
      </w:r>
      <w:r>
        <w:t>sunk</w:t>
      </w:r>
      <w:r w:rsidR="00E56E43">
        <w:t>”</w:t>
      </w:r>
      <w:r>
        <w:t xml:space="preserve"> (i.e.,</w:t>
      </w:r>
      <w:r w:rsidR="00E56E43">
        <w:t> </w:t>
      </w:r>
      <w:r>
        <w:t>already incurred) for issued design certifications, submitted design certifications under review, and submitted reactor applications to the NRC</w:t>
      </w:r>
      <w:r w:rsidR="007223F2">
        <w:t>.</w:t>
      </w:r>
    </w:p>
    <w:p w14:paraId="767652A8" w14:textId="77777777" w:rsidR="00825CE6" w:rsidRPr="00BD3549" w:rsidRDefault="00825CE6" w:rsidP="00FF0EE8">
      <w:pPr>
        <w:pStyle w:val="ListParagraph"/>
        <w:spacing w:line="240" w:lineRule="auto"/>
        <w:ind w:hanging="720"/>
      </w:pPr>
    </w:p>
    <w:p w14:paraId="344DDE0F" w14:textId="093854E4" w:rsidR="001660CE" w:rsidRDefault="001660CE" w:rsidP="00FF0EE8">
      <w:pPr>
        <w:pStyle w:val="ListParagraph"/>
        <w:numPr>
          <w:ilvl w:val="0"/>
          <w:numId w:val="6"/>
        </w:numPr>
        <w:spacing w:line="240" w:lineRule="auto"/>
        <w:ind w:hanging="720"/>
      </w:pPr>
      <w:r w:rsidRPr="00BD3549">
        <w:rPr>
          <w:u w:val="single"/>
        </w:rPr>
        <w:t>NRC Implementation</w:t>
      </w:r>
      <w:r w:rsidRPr="00BD3549">
        <w:t xml:space="preserve">.  </w:t>
      </w:r>
      <w:r w:rsidR="00C225C1" w:rsidRPr="00BD3549">
        <w:t xml:space="preserve">This attribute accounts for the projected net economic effect on the NRC to place the alternative into operation.  </w:t>
      </w:r>
      <w:r w:rsidR="00C225C1">
        <w:t>To implement alternative</w:t>
      </w:r>
      <w:r w:rsidR="00E56E43">
        <w:t> </w:t>
      </w:r>
      <w:r w:rsidR="00C225C1">
        <w:t>2, the NRC incurs a cost in relation to alternative</w:t>
      </w:r>
      <w:r w:rsidR="00E56E43">
        <w:t> </w:t>
      </w:r>
      <w:r w:rsidR="00C225C1">
        <w:t>1 (i.e.,</w:t>
      </w:r>
      <w:r w:rsidR="00E56E43">
        <w:t> </w:t>
      </w:r>
      <w:r w:rsidR="00C225C1">
        <w:t xml:space="preserve">regulatory baseline) for developing the </w:t>
      </w:r>
      <w:r w:rsidR="00C62CCA">
        <w:t xml:space="preserve">proposed and </w:t>
      </w:r>
      <w:r w:rsidR="00C225C1">
        <w:t>final rule and updating corresponding guidance in RG</w:t>
      </w:r>
      <w:r w:rsidR="00E56E43">
        <w:t> </w:t>
      </w:r>
      <w:r w:rsidR="00C225C1">
        <w:t>1.84, RG</w:t>
      </w:r>
      <w:r w:rsidR="00E56E43">
        <w:t> </w:t>
      </w:r>
      <w:r w:rsidR="00C225C1">
        <w:t>1.147, and RG</w:t>
      </w:r>
      <w:r w:rsidR="00E56E43">
        <w:t> </w:t>
      </w:r>
      <w:r w:rsidR="00C225C1">
        <w:t>1.192</w:t>
      </w:r>
      <w:r w:rsidR="00C225C1" w:rsidRPr="00BD3549">
        <w:t>.</w:t>
      </w:r>
    </w:p>
    <w:p w14:paraId="2A4CB600" w14:textId="77777777" w:rsidR="001660CE" w:rsidRPr="00BD3549" w:rsidRDefault="001660CE" w:rsidP="00FF0EE8">
      <w:pPr>
        <w:pStyle w:val="ListParagraph"/>
        <w:spacing w:line="240" w:lineRule="auto"/>
        <w:ind w:hanging="720"/>
      </w:pPr>
    </w:p>
    <w:p w14:paraId="5BEEDB97" w14:textId="1FD16CB1" w:rsidR="00825CE6" w:rsidRDefault="001660CE" w:rsidP="00FF0EE8">
      <w:pPr>
        <w:pStyle w:val="ListParagraph"/>
        <w:numPr>
          <w:ilvl w:val="0"/>
          <w:numId w:val="6"/>
        </w:numPr>
        <w:spacing w:line="240" w:lineRule="auto"/>
        <w:ind w:hanging="720"/>
      </w:pPr>
      <w:r w:rsidRPr="00BD3549">
        <w:rPr>
          <w:u w:val="single"/>
        </w:rPr>
        <w:t>NRC Operation</w:t>
      </w:r>
      <w:r w:rsidRPr="00BD3549">
        <w:t xml:space="preserve">.  This attribute accounts for the projected net economic effect on the NRC after the proposed action is implemented.  </w:t>
      </w:r>
      <w:r w:rsidR="00825CE6">
        <w:t>If the NRC does not approve a</w:t>
      </w:r>
      <w:r w:rsidR="00EA147D">
        <w:t>n ASME</w:t>
      </w:r>
      <w:r w:rsidR="00825CE6">
        <w:t xml:space="preserve"> Code </w:t>
      </w:r>
      <w:r w:rsidR="00480854">
        <w:t>C</w:t>
      </w:r>
      <w:r w:rsidR="00825CE6">
        <w:t xml:space="preserve">ase that a licensee or applicant wants to use, the licensee or applicant typically will request, under </w:t>
      </w:r>
      <w:r w:rsidR="00530AA1">
        <w:t>10</w:t>
      </w:r>
      <w:r w:rsidR="00E56E43">
        <w:t> </w:t>
      </w:r>
      <w:r w:rsidR="00530AA1">
        <w:t>CFR</w:t>
      </w:r>
      <w:r w:rsidR="00E56E43">
        <w:t> </w:t>
      </w:r>
      <w:r w:rsidR="00825CE6">
        <w:t>50.55a</w:t>
      </w:r>
      <w:r w:rsidR="004D2A93">
        <w:t>(z)</w:t>
      </w:r>
      <w:r w:rsidR="00825CE6">
        <w:t xml:space="preserve">, permission to use </w:t>
      </w:r>
      <w:r w:rsidR="00C225C1">
        <w:t>the</w:t>
      </w:r>
      <w:r w:rsidR="00825CE6" w:rsidRPr="00BD3549">
        <w:t xml:space="preserve"> ASME </w:t>
      </w:r>
      <w:r w:rsidR="00AE121B">
        <w:t>Code Cases</w:t>
      </w:r>
      <w:r w:rsidR="00825CE6">
        <w:t xml:space="preserve"> through a submittal.  This submittal requires additional NRC staff time to evaluate the Code </w:t>
      </w:r>
      <w:r w:rsidR="00480854">
        <w:t>C</w:t>
      </w:r>
      <w:r w:rsidR="00825CE6">
        <w:t xml:space="preserve">ase to determine its acceptability and whether any </w:t>
      </w:r>
      <w:r w:rsidR="00825CE6" w:rsidRPr="00BD3549">
        <w:t>limitations or modifications</w:t>
      </w:r>
      <w:r w:rsidR="00825CE6">
        <w:t xml:space="preserve"> should apply.  Under alternative</w:t>
      </w:r>
      <w:r w:rsidR="00E56E43">
        <w:t> </w:t>
      </w:r>
      <w:r w:rsidR="00825CE6">
        <w:t xml:space="preserve">2, these Code </w:t>
      </w:r>
      <w:r w:rsidR="00480854">
        <w:t>C</w:t>
      </w:r>
      <w:r w:rsidR="00825CE6">
        <w:t>ase</w:t>
      </w:r>
      <w:r w:rsidR="00C225C1">
        <w:t xml:space="preserve"> alternative</w:t>
      </w:r>
      <w:r w:rsidR="00825CE6">
        <w:t xml:space="preserve"> requests would not be required, which result</w:t>
      </w:r>
      <w:r w:rsidR="00835781">
        <w:t>s</w:t>
      </w:r>
      <w:r w:rsidR="00825CE6">
        <w:t xml:space="preserve"> in a net benefit (i.e.,</w:t>
      </w:r>
      <w:r w:rsidR="00E56E43">
        <w:t> </w:t>
      </w:r>
      <w:r w:rsidR="00825CE6">
        <w:t>averted cost) for the NRC.</w:t>
      </w:r>
    </w:p>
    <w:p w14:paraId="756B1588" w14:textId="77777777" w:rsidR="00825CE6" w:rsidRDefault="00825CE6" w:rsidP="00FF0EE8">
      <w:pPr>
        <w:pStyle w:val="ListParagraph"/>
        <w:spacing w:line="240" w:lineRule="auto"/>
        <w:ind w:hanging="720"/>
      </w:pPr>
    </w:p>
    <w:p w14:paraId="2825EEE7" w14:textId="2F5628C9" w:rsidR="00385F68" w:rsidRDefault="00825CE6" w:rsidP="00FF0EE8">
      <w:pPr>
        <w:pStyle w:val="ListParagraph"/>
        <w:spacing w:line="240" w:lineRule="auto"/>
      </w:pPr>
      <w:r>
        <w:t>The NRC</w:t>
      </w:r>
      <w:r w:rsidR="002D0D42">
        <w:t>’s</w:t>
      </w:r>
      <w:r>
        <w:t xml:space="preserve"> cost </w:t>
      </w:r>
      <w:r w:rsidR="00EA147D">
        <w:t>to review requests for</w:t>
      </w:r>
      <w:r>
        <w:t xml:space="preserve"> Code </w:t>
      </w:r>
      <w:r w:rsidR="00480854">
        <w:t>C</w:t>
      </w:r>
      <w:r>
        <w:t xml:space="preserve">ase </w:t>
      </w:r>
      <w:r w:rsidR="00C225C1">
        <w:t>alternatives</w:t>
      </w:r>
      <w:r>
        <w:t xml:space="preserve"> submitted to the </w:t>
      </w:r>
      <w:r w:rsidR="00E56E43">
        <w:t xml:space="preserve">agency </w:t>
      </w:r>
      <w:r>
        <w:t>before the effective date of the final rule are sunk costs and are not considered further in this regulatory analysis.</w:t>
      </w:r>
    </w:p>
    <w:p w14:paraId="524AEE5B" w14:textId="77777777" w:rsidR="001660CE" w:rsidRPr="00BD3549" w:rsidRDefault="001660CE" w:rsidP="00FF0EE8">
      <w:pPr>
        <w:pStyle w:val="ListParagraph"/>
        <w:spacing w:line="240" w:lineRule="auto"/>
        <w:ind w:hanging="720"/>
      </w:pPr>
    </w:p>
    <w:p w14:paraId="1FA6FC1E" w14:textId="014AD48E" w:rsidR="001660CE" w:rsidRPr="00BD3549" w:rsidRDefault="001660CE" w:rsidP="00FF0EE8">
      <w:pPr>
        <w:pStyle w:val="ListParagraph"/>
        <w:numPr>
          <w:ilvl w:val="0"/>
          <w:numId w:val="6"/>
        </w:numPr>
        <w:spacing w:line="240" w:lineRule="auto"/>
        <w:ind w:hanging="720"/>
      </w:pPr>
      <w:r w:rsidRPr="00BD3549">
        <w:rPr>
          <w:u w:val="single"/>
        </w:rPr>
        <w:t>Improvements in Knowledge</w:t>
      </w:r>
      <w:r w:rsidRPr="00BD3549">
        <w:t>.  This attribute accounts for</w:t>
      </w:r>
      <w:r w:rsidR="000244DF">
        <w:t xml:space="preserve"> improvements in knowledge by industry and NRC staff </w:t>
      </w:r>
      <w:r w:rsidR="000244DF" w:rsidRPr="00BD3549">
        <w:t>gain</w:t>
      </w:r>
      <w:r w:rsidR="000244DF">
        <w:t>ing</w:t>
      </w:r>
      <w:r w:rsidR="000244DF" w:rsidRPr="00BD3549">
        <w:t xml:space="preserve"> experience with new technology </w:t>
      </w:r>
      <w:r w:rsidR="00164305">
        <w:t>before</w:t>
      </w:r>
      <w:r w:rsidR="000244DF" w:rsidRPr="00BD3549">
        <w:t xml:space="preserve"> </w:t>
      </w:r>
      <w:r w:rsidR="00EA147D">
        <w:t xml:space="preserve">its </w:t>
      </w:r>
      <w:r w:rsidR="000244DF" w:rsidRPr="00BD3549">
        <w:t>incorporation into the ASME Code</w:t>
      </w:r>
      <w:r w:rsidR="00EA147D">
        <w:t>s</w:t>
      </w:r>
      <w:r w:rsidR="000244DF" w:rsidRPr="00BD3549">
        <w:t xml:space="preserve"> </w:t>
      </w:r>
      <w:r w:rsidR="000244DF">
        <w:t xml:space="preserve">and </w:t>
      </w:r>
      <w:r w:rsidR="00EA147D">
        <w:t xml:space="preserve">by </w:t>
      </w:r>
      <w:r w:rsidR="000244DF" w:rsidRPr="00BD3549">
        <w:t>permit</w:t>
      </w:r>
      <w:r w:rsidR="000244DF">
        <w:t>ting</w:t>
      </w:r>
      <w:r w:rsidR="000244DF" w:rsidRPr="00BD3549">
        <w:t xml:space="preserve"> licensees to </w:t>
      </w:r>
      <w:r w:rsidR="000244DF">
        <w:t>use advancements in ISI and IST</w:t>
      </w:r>
      <w:r w:rsidR="000244DF" w:rsidRPr="00BD3549">
        <w:t xml:space="preserve">.  </w:t>
      </w:r>
      <w:r w:rsidR="000244DF">
        <w:t xml:space="preserve">Improvements in ISI and IST may also result in the earlier identification of material </w:t>
      </w:r>
      <w:r w:rsidR="001A7C84">
        <w:t xml:space="preserve">or equipment </w:t>
      </w:r>
      <w:r w:rsidR="000244DF">
        <w:t>degradation that</w:t>
      </w:r>
      <w:r w:rsidR="00747426">
        <w:t>,</w:t>
      </w:r>
      <w:r w:rsidR="000244DF">
        <w:t xml:space="preserve"> if undetected</w:t>
      </w:r>
      <w:r w:rsidR="00747426">
        <w:t>,</w:t>
      </w:r>
      <w:r w:rsidR="000244DF">
        <w:t xml:space="preserve"> could result in further degradation that eventually results in a plant transient</w:t>
      </w:r>
      <w:r w:rsidR="001A7C84" w:rsidRPr="001A7C84">
        <w:t xml:space="preserve"> or the unavailability of plant equipment to respond to a plant transient</w:t>
      </w:r>
      <w:r w:rsidRPr="00BD3549">
        <w:t>.</w:t>
      </w:r>
    </w:p>
    <w:p w14:paraId="6422C351" w14:textId="77777777" w:rsidR="001660CE" w:rsidRPr="00BD3549" w:rsidRDefault="001660CE" w:rsidP="00FF0EE8">
      <w:pPr>
        <w:pStyle w:val="ListParagraph"/>
        <w:spacing w:line="240" w:lineRule="auto"/>
        <w:ind w:hanging="720"/>
      </w:pPr>
    </w:p>
    <w:p w14:paraId="24ABF203" w14:textId="19AE146E" w:rsidR="001660CE" w:rsidRPr="00BD3549" w:rsidRDefault="001660CE" w:rsidP="00FF0EE8">
      <w:pPr>
        <w:pStyle w:val="ListParagraph"/>
        <w:numPr>
          <w:ilvl w:val="0"/>
          <w:numId w:val="6"/>
        </w:numPr>
        <w:spacing w:line="240" w:lineRule="auto"/>
        <w:ind w:hanging="720"/>
      </w:pPr>
      <w:r w:rsidRPr="00466E1F">
        <w:rPr>
          <w:u w:val="single"/>
        </w:rPr>
        <w:t>Regulatory Efficiency</w:t>
      </w:r>
      <w:r w:rsidRPr="00BD3549">
        <w:t xml:space="preserve">.  </w:t>
      </w:r>
      <w:r w:rsidR="00C225C1" w:rsidRPr="00BD3549">
        <w:t>This attribute accounts for</w:t>
      </w:r>
      <w:r w:rsidR="00C225C1">
        <w:t xml:space="preserve"> regulatory and compliance improvements resulting from the implementation of alternative</w:t>
      </w:r>
      <w:r w:rsidR="00747426">
        <w:t> </w:t>
      </w:r>
      <w:r w:rsidR="00C225C1">
        <w:t>2 relative to the regulatory baseline</w:t>
      </w:r>
      <w:r w:rsidR="0088499C">
        <w:t xml:space="preserve">.  </w:t>
      </w:r>
      <w:r w:rsidR="00C225C1" w:rsidRPr="002B08D8">
        <w:t>Alternative</w:t>
      </w:r>
      <w:r w:rsidR="00747426">
        <w:t> </w:t>
      </w:r>
      <w:r w:rsidR="00C225C1" w:rsidRPr="002B08D8">
        <w:t xml:space="preserve">2 would increase regulatory efficiency </w:t>
      </w:r>
      <w:r w:rsidR="00747426">
        <w:t>because</w:t>
      </w:r>
      <w:r w:rsidR="00747426" w:rsidRPr="002B08D8">
        <w:t xml:space="preserve"> </w:t>
      </w:r>
      <w:r w:rsidR="00C225C1" w:rsidRPr="002B08D8">
        <w:t xml:space="preserve">licensees </w:t>
      </w:r>
      <w:r w:rsidR="00C225C1">
        <w:t xml:space="preserve">and applicants </w:t>
      </w:r>
      <w:r w:rsidR="00C225C1" w:rsidRPr="002B08D8">
        <w:t xml:space="preserve">that wish to </w:t>
      </w:r>
      <w:r w:rsidR="00C225C1">
        <w:t>use NRC</w:t>
      </w:r>
      <w:r w:rsidR="00747426">
        <w:noBreakHyphen/>
      </w:r>
      <w:r w:rsidR="00C225C1">
        <w:t xml:space="preserve">approved ASME </w:t>
      </w:r>
      <w:r w:rsidR="00AE121B">
        <w:t>Code Cases</w:t>
      </w:r>
      <w:r w:rsidR="00C225C1" w:rsidRPr="002B08D8">
        <w:t xml:space="preserve"> would not require </w:t>
      </w:r>
      <w:r w:rsidR="00530AA1">
        <w:t>10</w:t>
      </w:r>
      <w:r w:rsidR="00747426">
        <w:t> </w:t>
      </w:r>
      <w:r w:rsidR="00530AA1">
        <w:t>CFR</w:t>
      </w:r>
      <w:r w:rsidR="00747426">
        <w:t> </w:t>
      </w:r>
      <w:r w:rsidR="00C225C1">
        <w:t>50.55a(</w:t>
      </w:r>
      <w:r w:rsidR="008127CE">
        <w:t>z</w:t>
      </w:r>
      <w:r w:rsidR="00C225C1">
        <w:t>) alternative requests</w:t>
      </w:r>
      <w:r w:rsidR="00C225C1" w:rsidRPr="002B08D8">
        <w:t>.  Further, alternative</w:t>
      </w:r>
      <w:r w:rsidR="00747426">
        <w:t> </w:t>
      </w:r>
      <w:r w:rsidR="00C225C1" w:rsidRPr="002B08D8">
        <w:t xml:space="preserve">2 </w:t>
      </w:r>
      <w:r w:rsidR="00C225C1">
        <w:t>is</w:t>
      </w:r>
      <w:r w:rsidR="00C225C1" w:rsidRPr="002B08D8">
        <w:t xml:space="preserve"> consistent with the provisions of the NTTAA</w:t>
      </w:r>
      <w:r w:rsidR="00C225C1">
        <w:t xml:space="preserve"> that</w:t>
      </w:r>
      <w:r w:rsidR="00C225C1" w:rsidRPr="002B08D8">
        <w:t xml:space="preserve"> encourages Federal agencies to consider adopting voluntary consensus standards as an alternative to </w:t>
      </w:r>
      <w:r w:rsidR="00C225C1" w:rsidRPr="003C65C7">
        <w:rPr>
          <w:i/>
        </w:rPr>
        <w:t>de novo</w:t>
      </w:r>
      <w:r w:rsidR="00C225C1" w:rsidRPr="00466E1F">
        <w:rPr>
          <w:i/>
        </w:rPr>
        <w:t xml:space="preserve"> </w:t>
      </w:r>
      <w:r w:rsidR="00C225C1" w:rsidRPr="002B08D8">
        <w:t xml:space="preserve">agency development of standards affecting an industry.  </w:t>
      </w:r>
      <w:r w:rsidR="00C225C1">
        <w:t>Alternative</w:t>
      </w:r>
      <w:r w:rsidR="00747426">
        <w:t> </w:t>
      </w:r>
      <w:r w:rsidR="00C225C1" w:rsidRPr="002B08D8">
        <w:t xml:space="preserve">2 </w:t>
      </w:r>
      <w:r w:rsidR="00C225C1">
        <w:t>is</w:t>
      </w:r>
      <w:r w:rsidR="00C225C1" w:rsidRPr="002B08D8">
        <w:t xml:space="preserve"> consistent with </w:t>
      </w:r>
      <w:r w:rsidR="002D0D42">
        <w:t xml:space="preserve">the </w:t>
      </w:r>
      <w:r w:rsidR="00C225C1" w:rsidRPr="002B08D8">
        <w:t>NRC</w:t>
      </w:r>
      <w:r w:rsidR="002D0D42">
        <w:t>’s</w:t>
      </w:r>
      <w:r w:rsidR="00C225C1" w:rsidRPr="002B08D8">
        <w:t xml:space="preserve"> policy of evaluating the latest versions of consensus standards in terms of their suitability for endorsement by regulations and </w:t>
      </w:r>
      <w:r w:rsidR="00071DA2">
        <w:t>RG</w:t>
      </w:r>
      <w:r w:rsidR="00C225C1" w:rsidRPr="002B08D8">
        <w:t xml:space="preserve">s.  </w:t>
      </w:r>
      <w:r w:rsidR="001573AA">
        <w:t>In addition</w:t>
      </w:r>
      <w:r w:rsidR="00C225C1" w:rsidRPr="002B08D8">
        <w:t>, alternative</w:t>
      </w:r>
      <w:r w:rsidR="00747426">
        <w:t> </w:t>
      </w:r>
      <w:r w:rsidR="00C225C1" w:rsidRPr="002B08D8">
        <w:t xml:space="preserve">2 </w:t>
      </w:r>
      <w:r w:rsidR="00C225C1">
        <w:t>is</w:t>
      </w:r>
      <w:r w:rsidR="00C225C1" w:rsidRPr="002B08D8">
        <w:t xml:space="preserve"> consistent with </w:t>
      </w:r>
      <w:r w:rsidR="00EA147D">
        <w:t xml:space="preserve">the </w:t>
      </w:r>
      <w:r w:rsidR="00C225C1" w:rsidRPr="002B08D8">
        <w:t>NRC’s goal to harmonize with international standards to improve regulatory efficiency for both the NRC and international standards groups</w:t>
      </w:r>
      <w:r w:rsidRPr="00BD3549">
        <w:t>.</w:t>
      </w:r>
    </w:p>
    <w:p w14:paraId="73703308" w14:textId="77777777" w:rsidR="001660CE" w:rsidRPr="00BD3549" w:rsidRDefault="001660CE" w:rsidP="00FF0EE8">
      <w:pPr>
        <w:pStyle w:val="ListParagraph"/>
        <w:spacing w:line="240" w:lineRule="auto"/>
        <w:ind w:hanging="720"/>
      </w:pPr>
    </w:p>
    <w:p w14:paraId="3262A0DC" w14:textId="30F0DB02" w:rsidR="001660CE" w:rsidRPr="00BD3549" w:rsidRDefault="001C3FF6" w:rsidP="00FF0EE8">
      <w:pPr>
        <w:pStyle w:val="ListParagraph"/>
        <w:numPr>
          <w:ilvl w:val="0"/>
          <w:numId w:val="6"/>
        </w:numPr>
        <w:spacing w:line="240" w:lineRule="auto"/>
        <w:ind w:hanging="720"/>
      </w:pPr>
      <w:r>
        <w:rPr>
          <w:u w:val="single"/>
        </w:rPr>
        <w:t xml:space="preserve">Attributes with </w:t>
      </w:r>
      <w:r w:rsidR="005908F7">
        <w:rPr>
          <w:u w:val="single"/>
        </w:rPr>
        <w:t xml:space="preserve">Minimal </w:t>
      </w:r>
      <w:r w:rsidR="000244DF" w:rsidRPr="000244DF">
        <w:rPr>
          <w:u w:val="single"/>
        </w:rPr>
        <w:t>Effects</w:t>
      </w:r>
      <w:r w:rsidR="001660CE" w:rsidRPr="00BD3549">
        <w:t xml:space="preserve">.  Attributes </w:t>
      </w:r>
      <w:r w:rsidR="00747426">
        <w:t xml:space="preserve">that are </w:t>
      </w:r>
      <w:r>
        <w:t>not expected to</w:t>
      </w:r>
      <w:r w:rsidR="001660CE" w:rsidRPr="00BD3549">
        <w:t xml:space="preserve"> </w:t>
      </w:r>
      <w:r w:rsidR="005908F7">
        <w:t xml:space="preserve">contribute to the results </w:t>
      </w:r>
      <w:r w:rsidR="001660CE" w:rsidRPr="00BD3549">
        <w:t xml:space="preserve">under any of the alternatives include public health (routine), offsite property, onsite property, other government, general public, antitrust considerations, </w:t>
      </w:r>
      <w:r w:rsidR="007223F2" w:rsidRPr="00BD3549">
        <w:t>safeguards</w:t>
      </w:r>
      <w:r w:rsidR="001660CE" w:rsidRPr="00BD3549">
        <w:t xml:space="preserve"> and security considerations, environmental considerations addressing </w:t>
      </w:r>
      <w:r w:rsidR="00480854">
        <w:t>S</w:t>
      </w:r>
      <w:r w:rsidR="001660CE" w:rsidRPr="00BD3549">
        <w:t>ection</w:t>
      </w:r>
      <w:r w:rsidR="00747426">
        <w:t> </w:t>
      </w:r>
      <w:r w:rsidR="001660CE" w:rsidRPr="00BD3549">
        <w:t>102(2) of the National Environmental Policy Act of 19</w:t>
      </w:r>
      <w:r w:rsidR="005245CA">
        <w:t>6</w:t>
      </w:r>
      <w:r w:rsidR="001660CE" w:rsidRPr="00BD3549">
        <w:t>9</w:t>
      </w:r>
      <w:r w:rsidR="000244DF">
        <w:t>, and other considerations</w:t>
      </w:r>
      <w:r w:rsidR="001660CE" w:rsidRPr="00BD3549">
        <w:t>.</w:t>
      </w:r>
    </w:p>
    <w:p w14:paraId="0CC1E194" w14:textId="77777777" w:rsidR="001660CE" w:rsidRPr="00BD3549" w:rsidRDefault="000C1588" w:rsidP="00FF0EE8">
      <w:pPr>
        <w:pStyle w:val="Heading2"/>
        <w:spacing w:line="240" w:lineRule="auto"/>
        <w:ind w:left="540" w:hanging="522"/>
      </w:pPr>
      <w:bookmarkStart w:id="39" w:name="_Toc462224947"/>
      <w:bookmarkStart w:id="40" w:name="_Toc468875906"/>
      <w:r w:rsidRPr="00BD3549">
        <w:t>Analytical Methodology</w:t>
      </w:r>
      <w:bookmarkEnd w:id="39"/>
      <w:bookmarkEnd w:id="40"/>
    </w:p>
    <w:p w14:paraId="04F7B373" w14:textId="77777777" w:rsidR="001660CE" w:rsidRPr="00BD3549" w:rsidRDefault="001660CE" w:rsidP="00FF0EE8">
      <w:pPr>
        <w:keepNext/>
        <w:spacing w:line="240" w:lineRule="auto"/>
      </w:pPr>
    </w:p>
    <w:p w14:paraId="2DABFD99" w14:textId="0DA07A52" w:rsidR="003917B0" w:rsidRPr="00BF5AC4" w:rsidRDefault="00C225C1" w:rsidP="00FF0EE8">
      <w:pPr>
        <w:spacing w:line="240" w:lineRule="auto"/>
      </w:pPr>
      <w:r w:rsidRPr="00BD3549">
        <w:t xml:space="preserve">This section describes the process used to evaluate </w:t>
      </w:r>
      <w:r>
        <w:t>costs and benefits</w:t>
      </w:r>
      <w:r w:rsidRPr="00BD3549">
        <w:t xml:space="preserve"> associated with the alternatives</w:t>
      </w:r>
      <w:r w:rsidR="003917B0">
        <w:t xml:space="preserve">, </w:t>
      </w:r>
      <w:r w:rsidR="003917B0" w:rsidRPr="00BF5AC4">
        <w:t>consistent with the guidance in NUREG/BR</w:t>
      </w:r>
      <w:r w:rsidR="00490550">
        <w:noBreakHyphen/>
      </w:r>
      <w:r w:rsidR="003917B0" w:rsidRPr="00BF5AC4">
        <w:t xml:space="preserve">0058, </w:t>
      </w:r>
      <w:r w:rsidR="003917B0">
        <w:t>“</w:t>
      </w:r>
      <w:r w:rsidR="003917B0" w:rsidRPr="00EF5FD9">
        <w:t>Regulatory Analysis Guidelines of the U.S. Nuclear Regulatory Commission</w:t>
      </w:r>
      <w:r w:rsidR="00490550">
        <w:t>,</w:t>
      </w:r>
      <w:r w:rsidR="003917B0">
        <w:t>”</w:t>
      </w:r>
      <w:r w:rsidR="00490550">
        <w:t xml:space="preserve"> </w:t>
      </w:r>
      <w:r w:rsidR="000C5A60">
        <w:t xml:space="preserve">Revision 4, </w:t>
      </w:r>
      <w:r w:rsidR="00490550">
        <w:t>issued September 2004</w:t>
      </w:r>
      <w:r w:rsidR="003917B0">
        <w:t xml:space="preserve"> </w:t>
      </w:r>
      <w:r w:rsidR="003917B0" w:rsidRPr="00DD7E7A">
        <w:t>(</w:t>
      </w:r>
      <w:r w:rsidR="003917B0">
        <w:t>Ref.</w:t>
      </w:r>
      <w:r w:rsidR="00490550">
        <w:t> </w:t>
      </w:r>
      <w:r w:rsidR="003917B0">
        <w:fldChar w:fldCharType="begin"/>
      </w:r>
      <w:r w:rsidR="003917B0">
        <w:instrText xml:space="preserve"> REF _Ref429985097 \r \h </w:instrText>
      </w:r>
      <w:r w:rsidR="003917B0">
        <w:fldChar w:fldCharType="separate"/>
      </w:r>
      <w:r w:rsidR="00FD3AB6">
        <w:t>11</w:t>
      </w:r>
      <w:r w:rsidR="003917B0">
        <w:fldChar w:fldCharType="end"/>
      </w:r>
      <w:r w:rsidR="003917B0" w:rsidRPr="00DD7E7A">
        <w:t>)</w:t>
      </w:r>
      <w:r w:rsidR="003917B0">
        <w:t>.</w:t>
      </w:r>
      <w:r w:rsidRPr="00BD3549">
        <w:t xml:space="preserve">  </w:t>
      </w:r>
      <w:r w:rsidR="003917B0" w:rsidRPr="00BF5AC4">
        <w:t>The benefits include desirable changes in affected attributes (e.g.,</w:t>
      </w:r>
      <w:r w:rsidR="00490550">
        <w:t> </w:t>
      </w:r>
      <w:r w:rsidR="003917B0" w:rsidRPr="00BF5AC4">
        <w:t>monetary savings, improved safety, reduced burden on licensees, streamlined process</w:t>
      </w:r>
      <w:r w:rsidR="00101301">
        <w:t>es</w:t>
      </w:r>
      <w:r w:rsidR="003917B0" w:rsidRPr="00BF5AC4">
        <w:t xml:space="preserve">), </w:t>
      </w:r>
      <w:r w:rsidR="00490550">
        <w:t>whereas</w:t>
      </w:r>
      <w:r w:rsidR="00490550" w:rsidRPr="00BF5AC4">
        <w:t xml:space="preserve"> </w:t>
      </w:r>
      <w:r w:rsidR="003917B0" w:rsidRPr="00BF5AC4">
        <w:t>the costs include any undesirable changes in affected attributes (e.g.,</w:t>
      </w:r>
      <w:r w:rsidR="00490550">
        <w:t> </w:t>
      </w:r>
      <w:r w:rsidR="003917B0" w:rsidRPr="00BF5AC4">
        <w:t>monetary costs).</w:t>
      </w:r>
    </w:p>
    <w:p w14:paraId="3A2CA09D" w14:textId="77777777" w:rsidR="00C225C1" w:rsidRPr="00BD3549" w:rsidRDefault="00C225C1" w:rsidP="00FF0EE8">
      <w:pPr>
        <w:spacing w:line="240" w:lineRule="auto"/>
      </w:pPr>
    </w:p>
    <w:p w14:paraId="5D1A6C31" w14:textId="012CB905" w:rsidR="00123462" w:rsidRPr="00BD3549" w:rsidRDefault="003F5761" w:rsidP="00FF0EE8">
      <w:pPr>
        <w:spacing w:line="240" w:lineRule="auto"/>
      </w:pPr>
      <w:r>
        <w:t>T</w:t>
      </w:r>
      <w:r w:rsidR="00C225C1" w:rsidRPr="00BD3549">
        <w:t xml:space="preserve">he analysis evaluates </w:t>
      </w:r>
      <w:r w:rsidR="00101301">
        <w:t xml:space="preserve">five </w:t>
      </w:r>
      <w:r w:rsidR="00C225C1">
        <w:t>attributes</w:t>
      </w:r>
      <w:r w:rsidR="00490550">
        <w:t>—</w:t>
      </w:r>
      <w:r w:rsidR="001565D6">
        <w:t xml:space="preserve">occupational health (routine), </w:t>
      </w:r>
      <w:r w:rsidR="00C225C1" w:rsidRPr="00BD3549">
        <w:t>industry implementation, industry operation, NRC implementation</w:t>
      </w:r>
      <w:r w:rsidR="00C225C1">
        <w:t>, and NRC operation</w:t>
      </w:r>
      <w:r w:rsidR="00490550">
        <w:t>—</w:t>
      </w:r>
      <w:r w:rsidR="00C225C1" w:rsidRPr="00BD3549">
        <w:t>on a quantitative basis.  Quantitative analysis requires a baseline characterization of the affected</w:t>
      </w:r>
      <w:r w:rsidR="00317D4B">
        <w:t xml:space="preserve"> </w:t>
      </w:r>
      <w:r>
        <w:t>universe</w:t>
      </w:r>
      <w:r w:rsidR="00C225C1" w:rsidRPr="00BD3549">
        <w:t xml:space="preserve">, including </w:t>
      </w:r>
      <w:r>
        <w:t xml:space="preserve">characterization of </w:t>
      </w:r>
      <w:r w:rsidR="00C225C1" w:rsidRPr="00BD3549">
        <w:t xml:space="preserve">factors such as the number of affected entities, the </w:t>
      </w:r>
      <w:r>
        <w:t xml:space="preserve">type and complexity </w:t>
      </w:r>
      <w:r w:rsidR="00C225C1" w:rsidRPr="00BD3549">
        <w:t xml:space="preserve">of the </w:t>
      </w:r>
      <w:r w:rsidR="004E6499">
        <w:t>NRC</w:t>
      </w:r>
      <w:r w:rsidR="00490550">
        <w:noBreakHyphen/>
      </w:r>
      <w:r w:rsidR="004E6499">
        <w:t xml:space="preserve">conditioned </w:t>
      </w:r>
      <w:r w:rsidR="005245CA">
        <w:t xml:space="preserve">ASME </w:t>
      </w:r>
      <w:r>
        <w:t xml:space="preserve">Code </w:t>
      </w:r>
      <w:r w:rsidR="001C19EA">
        <w:t>Case</w:t>
      </w:r>
      <w:r>
        <w:t xml:space="preserve"> tasks</w:t>
      </w:r>
      <w:r w:rsidR="00C225C1" w:rsidRPr="00BD3549">
        <w:t xml:space="preserve">, and the </w:t>
      </w:r>
      <w:r>
        <w:t xml:space="preserve">administrative processes </w:t>
      </w:r>
      <w:r w:rsidR="00C225C1" w:rsidRPr="00BD3549">
        <w:t>and procedures that licensees</w:t>
      </w:r>
      <w:r w:rsidR="00C225C1">
        <w:t xml:space="preserve"> or applicants</w:t>
      </w:r>
      <w:r w:rsidR="00C225C1" w:rsidRPr="00BD3549">
        <w:t xml:space="preserve"> would implement or no longer implement </w:t>
      </w:r>
      <w:r w:rsidR="00E14773">
        <w:t>because</w:t>
      </w:r>
      <w:r>
        <w:t xml:space="preserve"> </w:t>
      </w:r>
      <w:r w:rsidR="00C225C1">
        <w:t xml:space="preserve">of the alternative.  The </w:t>
      </w:r>
      <w:r w:rsidR="00490550">
        <w:t xml:space="preserve">NRC evaluated the </w:t>
      </w:r>
      <w:r w:rsidR="00C225C1">
        <w:t xml:space="preserve">remaining attributes </w:t>
      </w:r>
      <w:r w:rsidR="005A63B0">
        <w:t xml:space="preserve">using </w:t>
      </w:r>
      <w:r w:rsidR="004C05F6">
        <w:t>qualitative</w:t>
      </w:r>
      <w:r w:rsidR="005A63B0">
        <w:t xml:space="preserve"> techniques</w:t>
      </w:r>
      <w:r w:rsidR="00C225C1">
        <w:t xml:space="preserve"> because the benefits </w:t>
      </w:r>
      <w:r>
        <w:t xml:space="preserve">and costs </w:t>
      </w:r>
      <w:r w:rsidR="00C225C1">
        <w:t>relat</w:t>
      </w:r>
      <w:r w:rsidR="00490550">
        <w:t>ed</w:t>
      </w:r>
      <w:r w:rsidR="00C225C1">
        <w:t xml:space="preserve"> to consistent policy application and improvements in ISI and IST techniques </w:t>
      </w:r>
      <w:r w:rsidR="004E6499">
        <w:t>are not possible or practical (</w:t>
      </w:r>
      <w:r w:rsidR="00E14773">
        <w:t>i.e.</w:t>
      </w:r>
      <w:r w:rsidR="004E6499">
        <w:t>,</w:t>
      </w:r>
      <w:r w:rsidR="00490550">
        <w:t> </w:t>
      </w:r>
      <w:r w:rsidR="005245CA">
        <w:t>because of the</w:t>
      </w:r>
      <w:r w:rsidR="004E6499">
        <w:t xml:space="preserve"> lack of methodologies or data)</w:t>
      </w:r>
      <w:r w:rsidR="00123462">
        <w:t>.</w:t>
      </w:r>
      <w:r>
        <w:t xml:space="preserve">  </w:t>
      </w:r>
      <w:r w:rsidRPr="004C4DAA">
        <w:t>Sections</w:t>
      </w:r>
      <w:r w:rsidR="00490550">
        <w:t> </w:t>
      </w:r>
      <w:r w:rsidRPr="004C4DAA">
        <w:t>4.2.1 through 4.2.</w:t>
      </w:r>
      <w:r w:rsidR="00AE121B">
        <w:t>9</w:t>
      </w:r>
      <w:r w:rsidRPr="004C4DAA">
        <w:t xml:space="preserve"> describe the </w:t>
      </w:r>
      <w:r>
        <w:t>analytical method</w:t>
      </w:r>
      <w:r w:rsidRPr="004C4DAA">
        <w:t xml:space="preserve"> and assumptions used in the quantitative</w:t>
      </w:r>
      <w:r>
        <w:t xml:space="preserve"> and </w:t>
      </w:r>
      <w:r w:rsidR="004C05F6">
        <w:t>qualitative</w:t>
      </w:r>
      <w:r w:rsidRPr="004C4DAA">
        <w:t xml:space="preserve"> analysis of these attributes</w:t>
      </w:r>
      <w:r>
        <w:t>.</w:t>
      </w:r>
    </w:p>
    <w:p w14:paraId="59B586BD" w14:textId="77777777" w:rsidR="00AF5D92" w:rsidRPr="00427F42" w:rsidRDefault="002828CB" w:rsidP="00FF0EE8">
      <w:pPr>
        <w:pStyle w:val="Heading3"/>
        <w:spacing w:line="240" w:lineRule="auto"/>
        <w:ind w:left="540"/>
      </w:pPr>
      <w:bookmarkStart w:id="41" w:name="_Toc462224948"/>
      <w:bookmarkStart w:id="42" w:name="_Toc468875907"/>
      <w:r w:rsidRPr="00427F42">
        <w:t>Regulatory Baseline</w:t>
      </w:r>
      <w:bookmarkEnd w:id="41"/>
      <w:bookmarkEnd w:id="42"/>
    </w:p>
    <w:p w14:paraId="23FEF2EE" w14:textId="77777777" w:rsidR="00AF5D92" w:rsidRPr="00BD3549" w:rsidRDefault="00AF5D92" w:rsidP="00FF0EE8">
      <w:pPr>
        <w:keepNext/>
        <w:spacing w:line="240" w:lineRule="auto"/>
      </w:pPr>
    </w:p>
    <w:p w14:paraId="06BA4804" w14:textId="2CC453F1" w:rsidR="002828CB" w:rsidRPr="00BD3549" w:rsidRDefault="002828CB" w:rsidP="00FF0EE8">
      <w:pPr>
        <w:spacing w:line="240" w:lineRule="auto"/>
      </w:pPr>
      <w:r w:rsidRPr="00BD3549">
        <w:t xml:space="preserve">This </w:t>
      </w:r>
      <w:r w:rsidR="003F5761">
        <w:t xml:space="preserve">draft </w:t>
      </w:r>
      <w:r w:rsidRPr="00BD3549">
        <w:t xml:space="preserve">regulatory analysis </w:t>
      </w:r>
      <w:r w:rsidR="0036498F">
        <w:t xml:space="preserve">measures </w:t>
      </w:r>
      <w:r w:rsidRPr="00BD3549">
        <w:t xml:space="preserve">the incremental impacts of the </w:t>
      </w:r>
      <w:r w:rsidR="00126047">
        <w:t>final</w:t>
      </w:r>
      <w:r w:rsidRPr="00BD3549">
        <w:t xml:space="preserve"> rule relative to a baseline that reflects anticipated behavior in the event </w:t>
      </w:r>
      <w:r w:rsidR="00490550">
        <w:t xml:space="preserve">that the </w:t>
      </w:r>
      <w:r w:rsidRPr="00BD3549">
        <w:t xml:space="preserve">NRC undertakes no </w:t>
      </w:r>
      <w:r w:rsidR="0036498F">
        <w:t xml:space="preserve">additional </w:t>
      </w:r>
      <w:r w:rsidRPr="00BD3549">
        <w:t xml:space="preserve">regulatory </w:t>
      </w:r>
      <w:r w:rsidR="0036498F">
        <w:t>(</w:t>
      </w:r>
      <w:r w:rsidR="00C3787C">
        <w:t>a</w:t>
      </w:r>
      <w:r w:rsidR="0036498F">
        <w:t>lternative</w:t>
      </w:r>
      <w:r w:rsidR="00490550">
        <w:t> </w:t>
      </w:r>
      <w:r w:rsidR="0036498F">
        <w:t>1, the no</w:t>
      </w:r>
      <w:r w:rsidR="00490550">
        <w:noBreakHyphen/>
      </w:r>
      <w:r w:rsidRPr="00BD3549">
        <w:t>action</w:t>
      </w:r>
      <w:r w:rsidR="0036498F">
        <w:t xml:space="preserve"> alternative)</w:t>
      </w:r>
      <w:r w:rsidR="002570DF">
        <w:t xml:space="preserve"> action</w:t>
      </w:r>
      <w:r w:rsidRPr="00BD3549">
        <w:t xml:space="preserve">.  As part of the </w:t>
      </w:r>
      <w:r w:rsidR="0036498F">
        <w:t xml:space="preserve">regulatory </w:t>
      </w:r>
      <w:r w:rsidRPr="00BD3549">
        <w:t xml:space="preserve">baseline used in this analysis, the NRC staff assumes </w:t>
      </w:r>
      <w:r w:rsidR="0036498F">
        <w:t xml:space="preserve">full </w:t>
      </w:r>
      <w:r w:rsidRPr="00BD3549">
        <w:t>licensee compliance with existing NRC regulations.  Section</w:t>
      </w:r>
      <w:r w:rsidR="00490550">
        <w:t> </w:t>
      </w:r>
      <w:r w:rsidR="007B010F">
        <w:t>5</w:t>
      </w:r>
      <w:r w:rsidRPr="00BD3549">
        <w:t xml:space="preserve"> presents the estimated incremental costs and </w:t>
      </w:r>
      <w:r w:rsidR="007B010F">
        <w:t>benefits</w:t>
      </w:r>
      <w:r w:rsidRPr="00BD3549">
        <w:t xml:space="preserve"> of </w:t>
      </w:r>
      <w:r w:rsidR="002570DF">
        <w:t xml:space="preserve">the </w:t>
      </w:r>
      <w:r w:rsidR="00D36A52">
        <w:t>incorporation by reference</w:t>
      </w:r>
      <w:r w:rsidR="007B010F">
        <w:t xml:space="preserve"> </w:t>
      </w:r>
      <w:r w:rsidR="002570DF">
        <w:t xml:space="preserve">of </w:t>
      </w:r>
      <w:r w:rsidR="007B010F">
        <w:t>NRC</w:t>
      </w:r>
      <w:r w:rsidR="00490550">
        <w:noBreakHyphen/>
      </w:r>
      <w:r w:rsidR="007B010F">
        <w:t xml:space="preserve">approved ASME BPV and OM </w:t>
      </w:r>
      <w:r w:rsidR="00AE121B">
        <w:t>Code Cases</w:t>
      </w:r>
      <w:r w:rsidR="007B010F">
        <w:t xml:space="preserve"> (alternative</w:t>
      </w:r>
      <w:r w:rsidR="00490550">
        <w:t> </w:t>
      </w:r>
      <w:r w:rsidR="007B010F">
        <w:t>2)</w:t>
      </w:r>
      <w:r w:rsidRPr="00BD3549">
        <w:t xml:space="preserve"> relative to this baseline</w:t>
      </w:r>
      <w:r w:rsidR="007B010F">
        <w:t>.</w:t>
      </w:r>
    </w:p>
    <w:p w14:paraId="336973BB" w14:textId="77777777" w:rsidR="004755FE" w:rsidRPr="00BD3549" w:rsidRDefault="004755FE" w:rsidP="00FF0EE8">
      <w:pPr>
        <w:pStyle w:val="Heading3"/>
        <w:spacing w:line="240" w:lineRule="auto"/>
        <w:ind w:left="540"/>
      </w:pPr>
      <w:bookmarkStart w:id="43" w:name="_Toc462224949"/>
      <w:bookmarkStart w:id="44" w:name="_Toc468875908"/>
      <w:r w:rsidRPr="00BD3549">
        <w:t>Discount Rates</w:t>
      </w:r>
      <w:bookmarkEnd w:id="43"/>
      <w:bookmarkEnd w:id="44"/>
    </w:p>
    <w:p w14:paraId="6F89A233" w14:textId="77777777" w:rsidR="004755FE" w:rsidRPr="00BD3549" w:rsidRDefault="004755FE" w:rsidP="00FF0EE8">
      <w:pPr>
        <w:keepNext/>
        <w:spacing w:line="240" w:lineRule="auto"/>
      </w:pPr>
    </w:p>
    <w:p w14:paraId="0E20737E" w14:textId="176775B2" w:rsidR="004755FE" w:rsidRPr="00BD3549" w:rsidRDefault="004755FE" w:rsidP="00FF0EE8">
      <w:pPr>
        <w:spacing w:line="240" w:lineRule="auto"/>
      </w:pPr>
      <w:r w:rsidRPr="00BD3549">
        <w:t xml:space="preserve">In accordance with guidance </w:t>
      </w:r>
      <w:r w:rsidR="000D50A2">
        <w:t>in</w:t>
      </w:r>
      <w:r w:rsidRPr="00BD3549">
        <w:t xml:space="preserve"> Office of Management and Budget (OMB) Circular </w:t>
      </w:r>
      <w:r w:rsidR="00530AA1">
        <w:t>No.</w:t>
      </w:r>
      <w:r w:rsidR="000C5A60">
        <w:t> </w:t>
      </w:r>
      <w:r w:rsidRPr="00BD3549">
        <w:t>A</w:t>
      </w:r>
      <w:r w:rsidRPr="00BD3549">
        <w:noBreakHyphen/>
        <w:t>4</w:t>
      </w:r>
      <w:r w:rsidR="000C5A60">
        <w:t xml:space="preserve">, </w:t>
      </w:r>
      <w:r w:rsidR="00494B56">
        <w:t>“</w:t>
      </w:r>
      <w:r w:rsidR="000C5A60">
        <w:t>Regulatory Analysis,” dated September 17, 2003</w:t>
      </w:r>
      <w:r w:rsidRPr="00BD3549">
        <w:t xml:space="preserve"> </w:t>
      </w:r>
      <w:r w:rsidR="00CD1F11">
        <w:t>(Ref.</w:t>
      </w:r>
      <w:r w:rsidR="000C5A60">
        <w:t> </w:t>
      </w:r>
      <w:r w:rsidR="00CD1F11">
        <w:fldChar w:fldCharType="begin"/>
      </w:r>
      <w:r w:rsidR="00CD1F11">
        <w:instrText xml:space="preserve"> REF _Ref436891321 \r \h </w:instrText>
      </w:r>
      <w:r w:rsidR="00CD1F11">
        <w:fldChar w:fldCharType="separate"/>
      </w:r>
      <w:r w:rsidR="00FD3AB6">
        <w:t>22</w:t>
      </w:r>
      <w:r w:rsidR="00CD1F11">
        <w:fldChar w:fldCharType="end"/>
      </w:r>
      <w:r w:rsidR="00CD1F11">
        <w:t>)</w:t>
      </w:r>
      <w:r w:rsidR="000C5A60">
        <w:t>,</w:t>
      </w:r>
      <w:r w:rsidR="00CD1F11">
        <w:t xml:space="preserve"> </w:t>
      </w:r>
      <w:r w:rsidRPr="00BD3549">
        <w:t>and</w:t>
      </w:r>
      <w:r w:rsidR="00835781">
        <w:t xml:space="preserve"> NUREG/BR</w:t>
      </w:r>
      <w:r w:rsidR="000C5A60">
        <w:noBreakHyphen/>
      </w:r>
      <w:r w:rsidR="00835781">
        <w:t>0058, Rev</w:t>
      </w:r>
      <w:r w:rsidR="000C5A60">
        <w:t>ision </w:t>
      </w:r>
      <w:r w:rsidR="00835781">
        <w:t xml:space="preserve">4, net present </w:t>
      </w:r>
      <w:r w:rsidRPr="00BD3549">
        <w:t>worth calculations are used to determine how much society would need to invest today to ensure that the designated dollar amount is available in a given year in the future.  By using prese</w:t>
      </w:r>
      <w:r w:rsidR="00835781">
        <w:t xml:space="preserve">nt </w:t>
      </w:r>
      <w:r w:rsidRPr="00BD3549">
        <w:t>worth</w:t>
      </w:r>
      <w:r w:rsidR="00C225C1">
        <w:t xml:space="preserve"> values</w:t>
      </w:r>
      <w:r w:rsidR="00B35E44">
        <w:t>,</w:t>
      </w:r>
      <w:r w:rsidRPr="00BD3549">
        <w:t xml:space="preserve"> costs and benefits, regardless of when the cost or benefit is incurred in time, are valued to a reference year for comparison.  Based on OMB Circular </w:t>
      </w:r>
      <w:r w:rsidR="00530AA1">
        <w:t>No.</w:t>
      </w:r>
      <w:r w:rsidR="00B35E44">
        <w:t> </w:t>
      </w:r>
      <w:r w:rsidRPr="00BD3549">
        <w:t>A</w:t>
      </w:r>
      <w:r w:rsidR="00B35E44">
        <w:noBreakHyphen/>
      </w:r>
      <w:r w:rsidRPr="00BD3549">
        <w:t>4</w:t>
      </w:r>
      <w:r w:rsidR="00C225C1">
        <w:t xml:space="preserve"> and consistent with </w:t>
      </w:r>
      <w:r w:rsidR="002570DF">
        <w:t xml:space="preserve">the </w:t>
      </w:r>
      <w:r w:rsidR="00C225C1">
        <w:t>NRC</w:t>
      </w:r>
      <w:r w:rsidR="002570DF">
        <w:t>’s</w:t>
      </w:r>
      <w:r w:rsidR="00C225C1">
        <w:t xml:space="preserve"> past practice and guidance</w:t>
      </w:r>
      <w:r w:rsidR="00835781">
        <w:t xml:space="preserve">, present </w:t>
      </w:r>
      <w:r w:rsidRPr="00BD3549">
        <w:t>worth calculations are presented</w:t>
      </w:r>
      <w:r w:rsidR="0082432D">
        <w:t xml:space="preserve"> using </w:t>
      </w:r>
      <w:r w:rsidR="00B35E44">
        <w:t>3</w:t>
      </w:r>
      <w:r w:rsidR="00B35E44">
        <w:noBreakHyphen/>
      </w:r>
      <w:r w:rsidR="0082432D">
        <w:t xml:space="preserve">percent and </w:t>
      </w:r>
      <w:r w:rsidR="00B35E44">
        <w:t>7</w:t>
      </w:r>
      <w:r w:rsidR="00B35E44">
        <w:noBreakHyphen/>
      </w:r>
      <w:r w:rsidRPr="00BD3549">
        <w:t>percent real discount rates.</w:t>
      </w:r>
      <w:r w:rsidR="00D01688" w:rsidRPr="00D01688">
        <w:rPr>
          <w:rStyle w:val="FootnoteReference"/>
          <w:vertAlign w:val="superscript"/>
        </w:rPr>
        <w:footnoteReference w:id="2"/>
      </w:r>
      <w:r w:rsidRPr="00BD3549">
        <w:t xml:space="preserve">  A </w:t>
      </w:r>
      <w:r w:rsidR="00B35E44">
        <w:t>3</w:t>
      </w:r>
      <w:r w:rsidR="00B35E44">
        <w:noBreakHyphen/>
      </w:r>
      <w:r w:rsidRPr="00BD3549">
        <w:t>percent discount rate approximates the real rate of return on long</w:t>
      </w:r>
      <w:r w:rsidR="00B35E44">
        <w:noBreakHyphen/>
      </w:r>
      <w:r w:rsidRPr="00BD3549">
        <w:t xml:space="preserve">term </w:t>
      </w:r>
      <w:r w:rsidR="002570DF">
        <w:t>g</w:t>
      </w:r>
      <w:r w:rsidRPr="00BD3549">
        <w:t xml:space="preserve">overnment debt, which serves as a proxy for the real rate of return on savings to reflect reliance on a social rate of time preference discounting concept.  A </w:t>
      </w:r>
      <w:r w:rsidR="00B35E44">
        <w:t>7</w:t>
      </w:r>
      <w:r w:rsidR="00B35E44">
        <w:noBreakHyphen/>
      </w:r>
      <w:r w:rsidR="0082432D">
        <w:t>percent</w:t>
      </w:r>
      <w:r w:rsidRPr="00BD3549">
        <w:t xml:space="preserve"> </w:t>
      </w:r>
      <w:r w:rsidR="00C225C1">
        <w:t xml:space="preserve">discount </w:t>
      </w:r>
      <w:r w:rsidRPr="00BD3549">
        <w:t xml:space="preserve">rate approximates the marginal pretax real rate of return on an average investment in the private sector and is the appropriate discount rate whenever the main effect of a regulation is to displace or alter the use of capital in the private sector.  A </w:t>
      </w:r>
      <w:r w:rsidR="00B35E44">
        <w:t>7</w:t>
      </w:r>
      <w:r w:rsidR="00B35E44">
        <w:noBreakHyphen/>
      </w:r>
      <w:r w:rsidRPr="00BD3549">
        <w:t>percent rate is consistent with an opportunity cost of capital</w:t>
      </w:r>
      <w:r w:rsidR="00787200" w:rsidRPr="00827F4D">
        <w:rPr>
          <w:rStyle w:val="FootnoteReference"/>
          <w:vertAlign w:val="superscript"/>
        </w:rPr>
        <w:footnoteReference w:id="3"/>
      </w:r>
      <w:r w:rsidRPr="00BD3549">
        <w:t xml:space="preserve"> concept to reflect the time value of resources directed to meet regulatory requirements.</w:t>
      </w:r>
    </w:p>
    <w:p w14:paraId="0DFB7115" w14:textId="77777777" w:rsidR="00780D75" w:rsidRDefault="00780D75" w:rsidP="00FF0EE8">
      <w:pPr>
        <w:pStyle w:val="Heading3"/>
        <w:spacing w:line="240" w:lineRule="auto"/>
        <w:ind w:left="540"/>
      </w:pPr>
      <w:bookmarkStart w:id="45" w:name="_Toc418849612"/>
      <w:bookmarkStart w:id="46" w:name="_Ref430011196"/>
      <w:bookmarkStart w:id="47" w:name="_Toc462224950"/>
      <w:bookmarkStart w:id="48" w:name="_Toc468875909"/>
      <w:r>
        <w:t>Cost/Benefit Inflators</w:t>
      </w:r>
      <w:bookmarkEnd w:id="45"/>
      <w:bookmarkEnd w:id="46"/>
      <w:bookmarkEnd w:id="47"/>
      <w:bookmarkEnd w:id="48"/>
    </w:p>
    <w:p w14:paraId="022DF0F9" w14:textId="77777777" w:rsidR="00780D75" w:rsidRDefault="00780D75" w:rsidP="00FF0EE8">
      <w:pPr>
        <w:spacing w:line="240" w:lineRule="auto"/>
      </w:pPr>
    </w:p>
    <w:p w14:paraId="378238BB" w14:textId="459B4828" w:rsidR="00780D75" w:rsidRPr="00293007" w:rsidRDefault="00780D75" w:rsidP="00FF0EE8">
      <w:pPr>
        <w:spacing w:after="60" w:line="240" w:lineRule="auto"/>
      </w:pPr>
      <w:r w:rsidRPr="00293007">
        <w:t>To</w:t>
      </w:r>
      <w:r w:rsidR="00222831">
        <w:t xml:space="preserve"> </w:t>
      </w:r>
      <w:r w:rsidRPr="00293007">
        <w:t xml:space="preserve">evaluate the costs and benefits consistently, the </w:t>
      </w:r>
      <w:r>
        <w:t>analysis inputs</w:t>
      </w:r>
      <w:r w:rsidRPr="00293007">
        <w:t xml:space="preserve"> are inflated</w:t>
      </w:r>
      <w:r>
        <w:t xml:space="preserve"> into </w:t>
      </w:r>
      <w:r w:rsidR="00440E64">
        <w:t>2017 </w:t>
      </w:r>
      <w:r>
        <w:t>dollars</w:t>
      </w:r>
      <w:r w:rsidRPr="00293007">
        <w:t>.  The most common inflator is the Consumer</w:t>
      </w:r>
      <w:r>
        <w:t xml:space="preserve"> </w:t>
      </w:r>
      <w:r w:rsidRPr="00293007">
        <w:t>Price Index for all urban consumers (CPI</w:t>
      </w:r>
      <w:r w:rsidR="00B35E44">
        <w:noBreakHyphen/>
      </w:r>
      <w:r w:rsidRPr="00293007">
        <w:t>U) developed by the U.S. Department of Labor, Bureau of Labor Statistics</w:t>
      </w:r>
      <w:r w:rsidR="00480854">
        <w:t xml:space="preserve"> (BLS)</w:t>
      </w:r>
      <w:r w:rsidRPr="00293007">
        <w:t xml:space="preserve">.  </w:t>
      </w:r>
      <w:r w:rsidRPr="00D37EE3">
        <w:t>The</w:t>
      </w:r>
      <w:r w:rsidR="00573427">
        <w:t xml:space="preserve"> following</w:t>
      </w:r>
      <w:r w:rsidRPr="00D37EE3">
        <w:t xml:space="preserve"> formula </w:t>
      </w:r>
      <w:r w:rsidR="00573427">
        <w:t xml:space="preserve">is used </w:t>
      </w:r>
      <w:r w:rsidRPr="00D37EE3">
        <w:t xml:space="preserve">to determine the amount </w:t>
      </w:r>
      <w:r w:rsidRPr="005445F2">
        <w:t>in 201</w:t>
      </w:r>
      <w:r w:rsidR="00440E64">
        <w:t>7</w:t>
      </w:r>
      <w:r w:rsidRPr="005445F2">
        <w:t xml:space="preserve"> dollars</w:t>
      </w:r>
      <w:r w:rsidR="00573427">
        <w:t>:</w:t>
      </w:r>
    </w:p>
    <w:p w14:paraId="19C72139" w14:textId="60013C01" w:rsidR="00780D75" w:rsidRPr="00293007" w:rsidRDefault="00F32688" w:rsidP="00FF0EE8">
      <w:pPr>
        <w:spacing w:after="60" w:line="240" w:lineRule="auto"/>
        <w:jc w:val="center"/>
      </w:pPr>
      <m:oMathPara>
        <m:oMath>
          <m:f>
            <m:fPr>
              <m:ctrlPr>
                <w:rPr>
                  <w:rFonts w:ascii="Cambria Math" w:hAnsi="Cambria Math"/>
                </w:rPr>
              </m:ctrlPr>
            </m:fPr>
            <m:num>
              <m:sSub>
                <m:sSubPr>
                  <m:ctrlPr>
                    <w:rPr>
                      <w:rFonts w:ascii="Cambria Math" w:hAnsi="Cambria Math"/>
                    </w:rPr>
                  </m:ctrlPr>
                </m:sSubPr>
                <m:e>
                  <m:r>
                    <m:rPr>
                      <m:sty m:val="p"/>
                    </m:rPr>
                    <w:rPr>
                      <w:rFonts w:ascii="Cambria Math"/>
                    </w:rPr>
                    <m:t>CPI</m:t>
                  </m:r>
                  <m:r>
                    <m:rPr>
                      <m:sty m:val="p"/>
                    </m:rPr>
                    <w:rPr>
                      <w:rFonts w:ascii="Cambria Math"/>
                    </w:rPr>
                    <w:noBreakHyphen/>
                    <m:t>U</m:t>
                  </m:r>
                </m:e>
                <m:sub>
                  <m:r>
                    <m:rPr>
                      <m:sty m:val="p"/>
                    </m:rPr>
                    <w:rPr>
                      <w:rFonts w:ascii="Cambria Math"/>
                    </w:rPr>
                    <m:t>2017</m:t>
                  </m:r>
                </m:sub>
              </m:sSub>
            </m:num>
            <m:den>
              <m:sSub>
                <m:sSubPr>
                  <m:ctrlPr>
                    <w:rPr>
                      <w:rFonts w:ascii="Cambria Math" w:hAnsi="Cambria Math"/>
                    </w:rPr>
                  </m:ctrlPr>
                </m:sSubPr>
                <m:e>
                  <m:r>
                    <m:rPr>
                      <m:sty m:val="p"/>
                    </m:rPr>
                    <w:rPr>
                      <w:rFonts w:ascii="Cambria Math"/>
                    </w:rPr>
                    <m:t>CPI</m:t>
                  </m:r>
                  <m:r>
                    <m:rPr>
                      <m:sty m:val="p"/>
                    </m:rPr>
                    <w:rPr>
                      <w:rFonts w:ascii="Cambria Math"/>
                    </w:rPr>
                    <w:noBreakHyphen/>
                    <m:t>U</m:t>
                  </m:r>
                </m:e>
                <m:sub>
                  <m:r>
                    <m:rPr>
                      <m:sty m:val="p"/>
                    </m:rPr>
                    <w:rPr>
                      <w:rFonts w:ascii="Cambria Math"/>
                    </w:rPr>
                    <m:t>Value Year</m:t>
                  </m:r>
                </m:sub>
              </m:sSub>
            </m:den>
          </m:f>
          <m:r>
            <m:rPr>
              <m:sty m:val="p"/>
            </m:rPr>
            <w:rPr>
              <w:rFonts w:hAnsi="Cambria Math"/>
            </w:rPr>
            <m:t>*</m:t>
          </m:r>
          <m:sSub>
            <m:sSubPr>
              <m:ctrlPr>
                <w:rPr>
                  <w:rFonts w:ascii="Cambria Math" w:hAnsi="Cambria Math"/>
                </w:rPr>
              </m:ctrlPr>
            </m:sSubPr>
            <m:e>
              <m:r>
                <m:rPr>
                  <m:sty m:val="p"/>
                </m:rPr>
                <w:rPr>
                  <w:rFonts w:ascii="Cambria Math"/>
                </w:rPr>
                <m:t>Value</m:t>
              </m:r>
            </m:e>
            <m:sub>
              <m:r>
                <m:rPr>
                  <m:sty m:val="p"/>
                </m:rPr>
                <w:rPr>
                  <w:rFonts w:ascii="Cambria Math"/>
                </w:rPr>
                <m:t>Value Year</m:t>
              </m:r>
            </m:sub>
          </m:sSub>
          <m:r>
            <m:rPr>
              <m:sty m:val="p"/>
            </m:rPr>
            <w:rPr>
              <w:rFonts w:ascii="Cambria Math"/>
            </w:rPr>
            <m:t>=</m:t>
          </m:r>
          <m:sSub>
            <m:sSubPr>
              <m:ctrlPr>
                <w:rPr>
                  <w:rFonts w:ascii="Cambria Math" w:hAnsi="Cambria Math"/>
                </w:rPr>
              </m:ctrlPr>
            </m:sSubPr>
            <m:e>
              <m:r>
                <m:rPr>
                  <m:sty m:val="p"/>
                </m:rPr>
                <w:rPr>
                  <w:rFonts w:ascii="Cambria Math"/>
                </w:rPr>
                <m:t>Value</m:t>
              </m:r>
            </m:e>
            <m:sub>
              <m:r>
                <m:rPr>
                  <m:sty m:val="p"/>
                </m:rPr>
                <w:rPr>
                  <w:rFonts w:ascii="Cambria Math"/>
                </w:rPr>
                <m:t>2017</m:t>
              </m:r>
            </m:sub>
          </m:sSub>
        </m:oMath>
      </m:oMathPara>
    </w:p>
    <w:p w14:paraId="07525689" w14:textId="77777777" w:rsidR="00780D75" w:rsidRPr="005445F2" w:rsidRDefault="00780D75" w:rsidP="00FF0EE8">
      <w:pPr>
        <w:spacing w:after="60" w:line="240" w:lineRule="auto"/>
      </w:pPr>
    </w:p>
    <w:p w14:paraId="7CCE7C8A" w14:textId="2076C21F" w:rsidR="00780D75" w:rsidRPr="00293007" w:rsidRDefault="003B7BD3" w:rsidP="00FF0EE8">
      <w:pPr>
        <w:spacing w:after="60" w:line="240" w:lineRule="auto"/>
      </w:pPr>
      <w:r w:rsidRPr="00E92F35">
        <w:fldChar w:fldCharType="begin"/>
      </w:r>
      <w:r w:rsidRPr="00E92F35">
        <w:instrText xml:space="preserve"> REF _Ref421514308 \h </w:instrText>
      </w:r>
      <w:r w:rsidR="00E92F35" w:rsidRPr="00D557C2">
        <w:instrText xml:space="preserve"> \* MERGEFORMAT </w:instrText>
      </w:r>
      <w:r w:rsidRPr="00E92F35">
        <w:fldChar w:fldCharType="separate"/>
      </w:r>
      <w:r w:rsidR="00FD3AB6" w:rsidRPr="00FD3AB6">
        <w:t xml:space="preserve">Table </w:t>
      </w:r>
      <w:r w:rsidR="00FD3AB6" w:rsidRPr="00FD3AB6">
        <w:rPr>
          <w:noProof/>
        </w:rPr>
        <w:t>1</w:t>
      </w:r>
      <w:r w:rsidRPr="00E92F35">
        <w:fldChar w:fldCharType="end"/>
      </w:r>
      <w:r w:rsidRPr="00E92F35">
        <w:t xml:space="preserve"> su</w:t>
      </w:r>
      <w:r>
        <w:t>mmarizes the v</w:t>
      </w:r>
      <w:r w:rsidR="00780D75" w:rsidRPr="00293007">
        <w:t xml:space="preserve">alues of CPI-U used in this </w:t>
      </w:r>
      <w:r w:rsidR="00780D75">
        <w:t>cost-benefit</w:t>
      </w:r>
      <w:r w:rsidR="00780D75" w:rsidRPr="00293007">
        <w:t xml:space="preserve"> analysis.</w:t>
      </w:r>
    </w:p>
    <w:p w14:paraId="188CB1DF" w14:textId="77777777" w:rsidR="00780D75" w:rsidRPr="005445F2" w:rsidRDefault="00780D75" w:rsidP="00FF0EE8">
      <w:pPr>
        <w:spacing w:after="60" w:line="240" w:lineRule="auto"/>
      </w:pPr>
    </w:p>
    <w:p w14:paraId="689075AD" w14:textId="14203377" w:rsidR="00780D75" w:rsidRPr="00253733" w:rsidRDefault="00780D75" w:rsidP="00FF0EE8">
      <w:pPr>
        <w:pStyle w:val="Caption"/>
        <w:keepLines/>
        <w:spacing w:line="240" w:lineRule="auto"/>
        <w:ind w:left="1080" w:hanging="1080"/>
        <w:jc w:val="center"/>
        <w:rPr>
          <w:b/>
        </w:rPr>
      </w:pPr>
      <w:bookmarkStart w:id="49" w:name="_Ref421514308"/>
      <w:bookmarkStart w:id="50" w:name="_Toc467508490"/>
      <w:bookmarkStart w:id="51" w:name="_Toc462224996"/>
      <w:r w:rsidRPr="00253733">
        <w:rPr>
          <w:b/>
        </w:rPr>
        <w:t xml:space="preserve">Table </w:t>
      </w:r>
      <w:r w:rsidR="00782423" w:rsidRPr="00253733">
        <w:rPr>
          <w:b/>
        </w:rPr>
        <w:fldChar w:fldCharType="begin"/>
      </w:r>
      <w:r w:rsidR="00782423" w:rsidRPr="00253733">
        <w:rPr>
          <w:b/>
        </w:rPr>
        <w:instrText xml:space="preserve"> SEQ Table \* ARABIC </w:instrText>
      </w:r>
      <w:r w:rsidR="00782423" w:rsidRPr="00253733">
        <w:rPr>
          <w:b/>
        </w:rPr>
        <w:fldChar w:fldCharType="separate"/>
      </w:r>
      <w:r w:rsidR="00FD3AB6">
        <w:rPr>
          <w:b/>
          <w:noProof/>
        </w:rPr>
        <w:t>1</w:t>
      </w:r>
      <w:r w:rsidR="00782423" w:rsidRPr="00253733">
        <w:rPr>
          <w:b/>
        </w:rPr>
        <w:fldChar w:fldCharType="end"/>
      </w:r>
      <w:bookmarkEnd w:id="49"/>
      <w:r w:rsidR="003B7BD3" w:rsidRPr="00D557C2">
        <w:rPr>
          <w:b/>
          <w:noProof/>
        </w:rPr>
        <w:t xml:space="preserve">  </w:t>
      </w:r>
      <w:r w:rsidRPr="00D557C2">
        <w:rPr>
          <w:b/>
        </w:rPr>
        <w:t>CPI</w:t>
      </w:r>
      <w:r w:rsidR="00EC100B">
        <w:rPr>
          <w:b/>
        </w:rPr>
        <w:t>-U</w:t>
      </w:r>
      <w:r w:rsidR="00842EEB" w:rsidRPr="00253733">
        <w:rPr>
          <w:b/>
        </w:rPr>
        <w:t>, U.S. City Average</w:t>
      </w:r>
      <w:bookmarkEnd w:id="50"/>
      <w:bookmarkEnd w:id="51"/>
    </w:p>
    <w:tbl>
      <w:tblPr>
        <w:tblW w:w="6400" w:type="dxa"/>
        <w:jc w:val="center"/>
        <w:tblLook w:val="04A0" w:firstRow="1" w:lastRow="0" w:firstColumn="1" w:lastColumn="0" w:noHBand="0" w:noVBand="1"/>
      </w:tblPr>
      <w:tblGrid>
        <w:gridCol w:w="1622"/>
        <w:gridCol w:w="1758"/>
        <w:gridCol w:w="3020"/>
      </w:tblGrid>
      <w:tr w:rsidR="00602B86" w:rsidRPr="00BC0251" w14:paraId="050DC4F0" w14:textId="77777777" w:rsidTr="00AB6627">
        <w:trPr>
          <w:cantSplit/>
          <w:trHeight w:val="592"/>
          <w:jc w:val="center"/>
        </w:trPr>
        <w:tc>
          <w:tcPr>
            <w:tcW w:w="162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08FF5A7F" w14:textId="77777777" w:rsidR="001A1F9C" w:rsidRPr="00253733" w:rsidRDefault="001A1F9C" w:rsidP="004F5401">
            <w:pPr>
              <w:spacing w:line="240" w:lineRule="auto"/>
              <w:jc w:val="center"/>
              <w:rPr>
                <w:b/>
              </w:rPr>
            </w:pPr>
            <w:r w:rsidRPr="00253733">
              <w:rPr>
                <w:b/>
              </w:rPr>
              <w:t>Base Year</w:t>
            </w:r>
          </w:p>
        </w:tc>
        <w:tc>
          <w:tcPr>
            <w:tcW w:w="1755" w:type="dxa"/>
            <w:tcBorders>
              <w:top w:val="single" w:sz="8" w:space="0" w:color="auto"/>
              <w:left w:val="nil"/>
              <w:bottom w:val="single" w:sz="8" w:space="0" w:color="auto"/>
              <w:right w:val="single" w:sz="8" w:space="0" w:color="auto"/>
            </w:tcBorders>
            <w:shd w:val="clear" w:color="auto" w:fill="auto"/>
            <w:vAlign w:val="center"/>
            <w:hideMark/>
          </w:tcPr>
          <w:p w14:paraId="473F7C26" w14:textId="227C2A47" w:rsidR="001A1F9C" w:rsidRPr="00253733" w:rsidRDefault="001A1F9C" w:rsidP="004F5401">
            <w:pPr>
              <w:spacing w:line="240" w:lineRule="auto"/>
              <w:jc w:val="center"/>
              <w:rPr>
                <w:b/>
              </w:rPr>
            </w:pPr>
            <w:r w:rsidRPr="00253733">
              <w:rPr>
                <w:b/>
              </w:rPr>
              <w:t>CPI-U Annual Average</w:t>
            </w:r>
            <w:r w:rsidR="00F33513">
              <w:rPr>
                <w:b/>
                <w:vertAlign w:val="superscript"/>
              </w:rPr>
              <w:t>a</w:t>
            </w:r>
          </w:p>
        </w:tc>
        <w:tc>
          <w:tcPr>
            <w:tcW w:w="3015" w:type="dxa"/>
            <w:tcBorders>
              <w:top w:val="single" w:sz="8" w:space="0" w:color="auto"/>
              <w:left w:val="nil"/>
              <w:bottom w:val="single" w:sz="8" w:space="0" w:color="auto"/>
              <w:right w:val="single" w:sz="12" w:space="0" w:color="auto"/>
            </w:tcBorders>
            <w:shd w:val="clear" w:color="auto" w:fill="auto"/>
            <w:vAlign w:val="center"/>
            <w:hideMark/>
          </w:tcPr>
          <w:p w14:paraId="698A989E" w14:textId="244F6223" w:rsidR="001A1F9C" w:rsidRPr="00253733" w:rsidRDefault="001A1F9C" w:rsidP="004F5401">
            <w:pPr>
              <w:spacing w:line="240" w:lineRule="auto"/>
              <w:jc w:val="center"/>
              <w:rPr>
                <w:b/>
              </w:rPr>
            </w:pPr>
            <w:r w:rsidRPr="00253733">
              <w:rPr>
                <w:b/>
              </w:rPr>
              <w:t xml:space="preserve">Forecast </w:t>
            </w:r>
            <w:r w:rsidR="00153C84">
              <w:rPr>
                <w:b/>
              </w:rPr>
              <w:t>P</w:t>
            </w:r>
            <w:r w:rsidRPr="00D557C2">
              <w:rPr>
                <w:b/>
              </w:rPr>
              <w:t xml:space="preserve">ercent </w:t>
            </w:r>
            <w:r w:rsidR="00153C84">
              <w:rPr>
                <w:b/>
              </w:rPr>
              <w:t>C</w:t>
            </w:r>
            <w:r w:rsidRPr="00D557C2">
              <w:rPr>
                <w:b/>
              </w:rPr>
              <w:t>hange </w:t>
            </w:r>
            <w:r w:rsidRPr="00253733">
              <w:rPr>
                <w:b/>
              </w:rPr>
              <w:t xml:space="preserve">from </w:t>
            </w:r>
            <w:r w:rsidR="00153C84">
              <w:rPr>
                <w:b/>
              </w:rPr>
              <w:t>P</w:t>
            </w:r>
            <w:r w:rsidRPr="00D557C2">
              <w:rPr>
                <w:b/>
              </w:rPr>
              <w:t xml:space="preserve">revious </w:t>
            </w:r>
            <w:r w:rsidR="00153C84">
              <w:rPr>
                <w:b/>
              </w:rPr>
              <w:t>Y</w:t>
            </w:r>
            <w:r w:rsidRPr="00D557C2">
              <w:rPr>
                <w:b/>
              </w:rPr>
              <w:t>ear</w:t>
            </w:r>
          </w:p>
        </w:tc>
      </w:tr>
      <w:tr w:rsidR="001A1F9C" w:rsidRPr="00BC0251" w14:paraId="7E61CA69" w14:textId="77777777" w:rsidTr="00B8064B">
        <w:trPr>
          <w:cantSplit/>
          <w:trHeight w:val="300"/>
          <w:jc w:val="center"/>
        </w:trPr>
        <w:tc>
          <w:tcPr>
            <w:tcW w:w="1620" w:type="dxa"/>
            <w:tcBorders>
              <w:top w:val="nil"/>
              <w:left w:val="single" w:sz="12" w:space="0" w:color="auto"/>
              <w:bottom w:val="single" w:sz="4" w:space="0" w:color="auto"/>
              <w:right w:val="single" w:sz="8" w:space="0" w:color="auto"/>
            </w:tcBorders>
            <w:shd w:val="clear" w:color="auto" w:fill="auto"/>
            <w:vAlign w:val="center"/>
            <w:hideMark/>
          </w:tcPr>
          <w:p w14:paraId="7C48CF00" w14:textId="77777777" w:rsidR="001A1F9C" w:rsidRPr="00BC0251" w:rsidRDefault="001A1F9C" w:rsidP="004F5401">
            <w:pPr>
              <w:spacing w:line="240" w:lineRule="auto"/>
              <w:jc w:val="center"/>
            </w:pPr>
            <w:r w:rsidRPr="00BC0251">
              <w:t>2014</w:t>
            </w:r>
          </w:p>
        </w:tc>
        <w:tc>
          <w:tcPr>
            <w:tcW w:w="1755" w:type="dxa"/>
            <w:tcBorders>
              <w:top w:val="nil"/>
              <w:left w:val="nil"/>
              <w:bottom w:val="single" w:sz="8" w:space="0" w:color="auto"/>
              <w:right w:val="single" w:sz="8" w:space="0" w:color="auto"/>
            </w:tcBorders>
            <w:shd w:val="clear" w:color="auto" w:fill="auto"/>
            <w:vAlign w:val="center"/>
            <w:hideMark/>
          </w:tcPr>
          <w:p w14:paraId="103A2C76" w14:textId="77777777" w:rsidR="001A1F9C" w:rsidRPr="00BC0251" w:rsidRDefault="001A1F9C" w:rsidP="004F5401">
            <w:pPr>
              <w:spacing w:line="240" w:lineRule="auto"/>
              <w:jc w:val="center"/>
            </w:pPr>
            <w:r w:rsidRPr="00BC0251">
              <w:t>236.736</w:t>
            </w:r>
          </w:p>
        </w:tc>
        <w:tc>
          <w:tcPr>
            <w:tcW w:w="3015" w:type="dxa"/>
            <w:tcBorders>
              <w:top w:val="nil"/>
              <w:left w:val="nil"/>
              <w:bottom w:val="single" w:sz="8" w:space="0" w:color="auto"/>
              <w:right w:val="single" w:sz="12" w:space="0" w:color="auto"/>
            </w:tcBorders>
            <w:shd w:val="clear" w:color="auto" w:fill="auto"/>
            <w:noWrap/>
            <w:vAlign w:val="center"/>
            <w:hideMark/>
          </w:tcPr>
          <w:p w14:paraId="22C86F47" w14:textId="77777777" w:rsidR="001A1F9C" w:rsidRPr="00BC0251" w:rsidRDefault="001A1F9C" w:rsidP="004F5401">
            <w:pPr>
              <w:spacing w:line="240" w:lineRule="auto"/>
              <w:jc w:val="center"/>
            </w:pPr>
          </w:p>
        </w:tc>
      </w:tr>
      <w:tr w:rsidR="001A1F9C" w:rsidRPr="00BC0251" w14:paraId="06816739" w14:textId="77777777" w:rsidTr="00B8064B">
        <w:trPr>
          <w:cantSplit/>
          <w:trHeight w:val="300"/>
          <w:jc w:val="center"/>
        </w:trPr>
        <w:tc>
          <w:tcPr>
            <w:tcW w:w="162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89F1343" w14:textId="77777777" w:rsidR="001A1F9C" w:rsidRPr="00BC0251" w:rsidRDefault="001A1F9C" w:rsidP="004F5401">
            <w:pPr>
              <w:spacing w:line="240" w:lineRule="auto"/>
              <w:jc w:val="center"/>
            </w:pPr>
            <w:r w:rsidRPr="00BC0251">
              <w:t>2015</w:t>
            </w:r>
          </w:p>
        </w:tc>
        <w:tc>
          <w:tcPr>
            <w:tcW w:w="1755" w:type="dxa"/>
            <w:tcBorders>
              <w:top w:val="nil"/>
              <w:left w:val="nil"/>
              <w:bottom w:val="single" w:sz="8" w:space="0" w:color="auto"/>
              <w:right w:val="single" w:sz="8" w:space="0" w:color="auto"/>
            </w:tcBorders>
            <w:shd w:val="clear" w:color="auto" w:fill="auto"/>
            <w:vAlign w:val="center"/>
            <w:hideMark/>
          </w:tcPr>
          <w:p w14:paraId="59B2A138" w14:textId="22FBED29" w:rsidR="001A1F9C" w:rsidRPr="00BC0251" w:rsidRDefault="001A1F9C" w:rsidP="004F5401">
            <w:pPr>
              <w:spacing w:line="240" w:lineRule="auto"/>
              <w:jc w:val="center"/>
            </w:pPr>
            <w:r w:rsidRPr="00BC0251">
              <w:t>239.34</w:t>
            </w:r>
            <w:r w:rsidR="00982614">
              <w:t>0</w:t>
            </w:r>
          </w:p>
        </w:tc>
        <w:tc>
          <w:tcPr>
            <w:tcW w:w="3015" w:type="dxa"/>
            <w:tcBorders>
              <w:top w:val="nil"/>
              <w:left w:val="nil"/>
              <w:bottom w:val="single" w:sz="8" w:space="0" w:color="auto"/>
              <w:right w:val="single" w:sz="12" w:space="0" w:color="auto"/>
            </w:tcBorders>
            <w:shd w:val="clear" w:color="auto" w:fill="auto"/>
            <w:noWrap/>
            <w:vAlign w:val="center"/>
            <w:hideMark/>
          </w:tcPr>
          <w:p w14:paraId="34DFBDCE" w14:textId="77777777" w:rsidR="001A1F9C" w:rsidRPr="00BC0251" w:rsidRDefault="001A1F9C" w:rsidP="004F5401">
            <w:pPr>
              <w:spacing w:line="240" w:lineRule="auto"/>
              <w:jc w:val="center"/>
            </w:pPr>
            <w:r w:rsidRPr="00BC0251">
              <w:t>1.10%</w:t>
            </w:r>
          </w:p>
        </w:tc>
      </w:tr>
      <w:tr w:rsidR="001A1F9C" w:rsidRPr="00BC0251" w14:paraId="2CDFE93E" w14:textId="77777777" w:rsidTr="00B8064B">
        <w:trPr>
          <w:cantSplit/>
          <w:trHeight w:val="300"/>
          <w:jc w:val="center"/>
        </w:trPr>
        <w:tc>
          <w:tcPr>
            <w:tcW w:w="162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2D61B1F3" w14:textId="77777777" w:rsidR="001A1F9C" w:rsidRPr="00BC0251" w:rsidRDefault="001A1F9C" w:rsidP="004F5401">
            <w:pPr>
              <w:spacing w:line="240" w:lineRule="auto"/>
              <w:jc w:val="center"/>
            </w:pPr>
            <w:r w:rsidRPr="00BC0251">
              <w:t>2016</w:t>
            </w:r>
          </w:p>
        </w:tc>
        <w:tc>
          <w:tcPr>
            <w:tcW w:w="1755" w:type="dxa"/>
            <w:tcBorders>
              <w:top w:val="nil"/>
              <w:left w:val="nil"/>
              <w:bottom w:val="single" w:sz="4" w:space="0" w:color="auto"/>
              <w:right w:val="single" w:sz="8" w:space="0" w:color="auto"/>
            </w:tcBorders>
            <w:shd w:val="clear" w:color="auto" w:fill="auto"/>
            <w:vAlign w:val="center"/>
            <w:hideMark/>
          </w:tcPr>
          <w:p w14:paraId="17F4929E" w14:textId="77777777" w:rsidR="001A1F9C" w:rsidRPr="00BC0251" w:rsidRDefault="001A1F9C" w:rsidP="004F5401">
            <w:pPr>
              <w:spacing w:line="240" w:lineRule="auto"/>
              <w:jc w:val="center"/>
            </w:pPr>
            <w:r w:rsidRPr="00BC0251">
              <w:t>242.212</w:t>
            </w:r>
          </w:p>
        </w:tc>
        <w:tc>
          <w:tcPr>
            <w:tcW w:w="3015" w:type="dxa"/>
            <w:tcBorders>
              <w:top w:val="nil"/>
              <w:left w:val="nil"/>
              <w:bottom w:val="single" w:sz="4" w:space="0" w:color="auto"/>
              <w:right w:val="single" w:sz="12" w:space="0" w:color="auto"/>
            </w:tcBorders>
            <w:shd w:val="clear" w:color="auto" w:fill="auto"/>
            <w:noWrap/>
            <w:vAlign w:val="center"/>
            <w:hideMark/>
          </w:tcPr>
          <w:p w14:paraId="1CA97AFC" w14:textId="77777777" w:rsidR="001A1F9C" w:rsidRPr="00BC0251" w:rsidRDefault="001A1F9C" w:rsidP="004F5401">
            <w:pPr>
              <w:spacing w:line="240" w:lineRule="auto"/>
              <w:jc w:val="center"/>
            </w:pPr>
            <w:r w:rsidRPr="00BC0251">
              <w:t>2.20%</w:t>
            </w:r>
          </w:p>
        </w:tc>
      </w:tr>
      <w:tr w:rsidR="001A1F9C" w:rsidRPr="00BC0251" w14:paraId="22D29744" w14:textId="77777777" w:rsidTr="00B8064B">
        <w:trPr>
          <w:cantSplit/>
          <w:trHeight w:val="300"/>
          <w:jc w:val="center"/>
        </w:trPr>
        <w:tc>
          <w:tcPr>
            <w:tcW w:w="1620" w:type="dxa"/>
            <w:tcBorders>
              <w:top w:val="single" w:sz="4" w:space="0" w:color="auto"/>
              <w:left w:val="single" w:sz="12" w:space="0" w:color="auto"/>
              <w:bottom w:val="single" w:sz="12" w:space="0" w:color="auto"/>
              <w:right w:val="single" w:sz="8" w:space="0" w:color="auto"/>
            </w:tcBorders>
            <w:shd w:val="clear" w:color="auto" w:fill="auto"/>
            <w:vAlign w:val="center"/>
            <w:hideMark/>
          </w:tcPr>
          <w:p w14:paraId="2503C53E" w14:textId="77777777" w:rsidR="001A1F9C" w:rsidRPr="00BC0251" w:rsidRDefault="001A1F9C" w:rsidP="004F5401">
            <w:pPr>
              <w:spacing w:line="240" w:lineRule="auto"/>
              <w:jc w:val="center"/>
            </w:pPr>
            <w:r w:rsidRPr="00BC0251">
              <w:t>2017</w:t>
            </w:r>
          </w:p>
        </w:tc>
        <w:tc>
          <w:tcPr>
            <w:tcW w:w="1755" w:type="dxa"/>
            <w:tcBorders>
              <w:top w:val="single" w:sz="4" w:space="0" w:color="auto"/>
              <w:left w:val="nil"/>
              <w:bottom w:val="single" w:sz="12" w:space="0" w:color="auto"/>
              <w:right w:val="single" w:sz="8" w:space="0" w:color="auto"/>
            </w:tcBorders>
            <w:shd w:val="clear" w:color="auto" w:fill="auto"/>
            <w:vAlign w:val="center"/>
            <w:hideMark/>
          </w:tcPr>
          <w:p w14:paraId="1CB2AD93" w14:textId="77777777" w:rsidR="001A1F9C" w:rsidRPr="00BC0251" w:rsidRDefault="001A1F9C" w:rsidP="004F5401">
            <w:pPr>
              <w:spacing w:line="240" w:lineRule="auto"/>
              <w:jc w:val="center"/>
            </w:pPr>
            <w:r w:rsidRPr="00BC0251">
              <w:t>247.783</w:t>
            </w:r>
          </w:p>
        </w:tc>
        <w:tc>
          <w:tcPr>
            <w:tcW w:w="3015" w:type="dxa"/>
            <w:tcBorders>
              <w:top w:val="single" w:sz="4" w:space="0" w:color="auto"/>
              <w:left w:val="nil"/>
              <w:bottom w:val="single" w:sz="12" w:space="0" w:color="auto"/>
              <w:right w:val="single" w:sz="12" w:space="0" w:color="auto"/>
            </w:tcBorders>
            <w:shd w:val="clear" w:color="auto" w:fill="auto"/>
            <w:noWrap/>
            <w:vAlign w:val="center"/>
            <w:hideMark/>
          </w:tcPr>
          <w:p w14:paraId="0DB98FE9" w14:textId="77777777" w:rsidR="001A1F9C" w:rsidRPr="00BC0251" w:rsidRDefault="001A1F9C" w:rsidP="004F5401">
            <w:pPr>
              <w:spacing w:line="240" w:lineRule="auto"/>
              <w:jc w:val="center"/>
            </w:pPr>
            <w:r w:rsidRPr="00BC0251">
              <w:t>2.30%</w:t>
            </w:r>
          </w:p>
        </w:tc>
      </w:tr>
    </w:tbl>
    <w:p w14:paraId="55FB4C3F" w14:textId="65541BF3" w:rsidR="00842EEB" w:rsidRPr="00842EEB" w:rsidRDefault="00842EEB" w:rsidP="004F5401">
      <w:pPr>
        <w:spacing w:before="60" w:after="60" w:line="240" w:lineRule="auto"/>
        <w:ind w:left="1080" w:hanging="360"/>
        <w:rPr>
          <w:sz w:val="18"/>
          <w:szCs w:val="18"/>
        </w:rPr>
      </w:pPr>
      <w:r>
        <w:rPr>
          <w:sz w:val="18"/>
          <w:szCs w:val="18"/>
          <w:lang w:val="fr-FR"/>
        </w:rPr>
        <w:tab/>
      </w:r>
      <w:r w:rsidR="00F33513" w:rsidRPr="00F33513">
        <w:rPr>
          <w:sz w:val="18"/>
          <w:szCs w:val="18"/>
          <w:vertAlign w:val="superscript"/>
          <w:lang w:val="fr-FR"/>
        </w:rPr>
        <w:t>a</w:t>
      </w:r>
      <w:r w:rsidR="00F33513">
        <w:rPr>
          <w:sz w:val="18"/>
          <w:szCs w:val="18"/>
          <w:lang w:val="fr-FR"/>
        </w:rPr>
        <w:tab/>
      </w:r>
      <w:r w:rsidR="001A1F9C" w:rsidRPr="008360E1">
        <w:rPr>
          <w:sz w:val="18"/>
          <w:szCs w:val="18"/>
          <w:lang w:val="fr-FR"/>
        </w:rPr>
        <w:t xml:space="preserve">Source:  </w:t>
      </w:r>
      <w:r w:rsidR="00B91426" w:rsidRPr="00DA6A5B">
        <w:rPr>
          <w:sz w:val="18"/>
          <w:szCs w:val="18"/>
          <w:lang w:val="fr-FR"/>
        </w:rPr>
        <w:t>BLS</w:t>
      </w:r>
      <w:r w:rsidR="001A1F9C" w:rsidRPr="008B373C">
        <w:rPr>
          <w:sz w:val="18"/>
          <w:szCs w:val="18"/>
          <w:lang w:val="fr-FR"/>
        </w:rPr>
        <w:t>, “Databases, Tables &amp; Calculators by Subject:  CPI Inflation Calculator</w:t>
      </w:r>
      <w:r w:rsidR="00573427" w:rsidRPr="00D557C2">
        <w:rPr>
          <w:sz w:val="18"/>
          <w:szCs w:val="18"/>
        </w:rPr>
        <w:t>”</w:t>
      </w:r>
      <w:r w:rsidR="00573427" w:rsidRPr="00253733">
        <w:rPr>
          <w:sz w:val="18"/>
        </w:rPr>
        <w:t xml:space="preserve"> </w:t>
      </w:r>
      <w:r w:rsidR="001A1F9C" w:rsidRPr="008360E1">
        <w:rPr>
          <w:sz w:val="18"/>
          <w:szCs w:val="18"/>
          <w:lang w:val="fr-FR"/>
        </w:rPr>
        <w:t xml:space="preserve">(Ref. </w:t>
      </w:r>
      <w:r w:rsidR="001C3FF6">
        <w:rPr>
          <w:sz w:val="18"/>
          <w:szCs w:val="18"/>
          <w:lang w:val="fr-FR"/>
        </w:rPr>
        <w:t>3</w:t>
      </w:r>
      <w:r w:rsidR="001A1F9C" w:rsidRPr="008360E1">
        <w:rPr>
          <w:sz w:val="18"/>
          <w:szCs w:val="18"/>
          <w:lang w:val="fr-FR"/>
        </w:rPr>
        <w:t>)</w:t>
      </w:r>
    </w:p>
    <w:p w14:paraId="24A8F9D6" w14:textId="77777777" w:rsidR="004755FE" w:rsidRPr="00BD3549" w:rsidRDefault="004755FE" w:rsidP="00FF0EE8">
      <w:pPr>
        <w:pStyle w:val="Heading3"/>
        <w:spacing w:line="240" w:lineRule="auto"/>
        <w:ind w:left="540"/>
      </w:pPr>
      <w:bookmarkStart w:id="52" w:name="_Toc462224951"/>
      <w:bookmarkStart w:id="53" w:name="_Toc468875910"/>
      <w:r w:rsidRPr="00BD3549">
        <w:t>Labor Rates</w:t>
      </w:r>
      <w:bookmarkEnd w:id="52"/>
      <w:bookmarkEnd w:id="53"/>
    </w:p>
    <w:p w14:paraId="01853E45" w14:textId="77777777" w:rsidR="004755FE" w:rsidRPr="00BD3549" w:rsidRDefault="004755FE" w:rsidP="00FF0EE8">
      <w:pPr>
        <w:keepNext/>
        <w:spacing w:line="240" w:lineRule="auto"/>
      </w:pPr>
    </w:p>
    <w:p w14:paraId="6FB28108" w14:textId="491A2621" w:rsidR="004755FE" w:rsidRPr="00BD3549" w:rsidRDefault="004755FE" w:rsidP="00FF0EE8">
      <w:pPr>
        <w:spacing w:line="240" w:lineRule="auto"/>
      </w:pPr>
      <w:r w:rsidRPr="00BD3549">
        <w:t xml:space="preserve">For regulatory analysis purposes, labor rates are developed wherein only variable costs that are directly related to the implementation and operation and maintenance of the requirement are included. </w:t>
      </w:r>
      <w:r w:rsidR="00123B56" w:rsidRPr="00BD3549">
        <w:t xml:space="preserve"> </w:t>
      </w:r>
      <w:r w:rsidRPr="00BD3549">
        <w:t>This approach is consistent with guidance in NUREG/CR</w:t>
      </w:r>
      <w:r w:rsidR="00752054">
        <w:noBreakHyphen/>
      </w:r>
      <w:r w:rsidR="00B7487C">
        <w:t>4627</w:t>
      </w:r>
      <w:r w:rsidR="00C70566">
        <w:t>, “</w:t>
      </w:r>
      <w:r w:rsidR="00B7487C">
        <w:t>Generic Cost Estimates</w:t>
      </w:r>
      <w:r w:rsidR="00C70566">
        <w:t>,”</w:t>
      </w:r>
      <w:r w:rsidRPr="00BD3549">
        <w:t xml:space="preserve"> </w:t>
      </w:r>
      <w:r w:rsidR="00752054">
        <w:t xml:space="preserve">issued February 1992 </w:t>
      </w:r>
      <w:r w:rsidR="00B30EAC">
        <w:t xml:space="preserve">(Ref. </w:t>
      </w:r>
      <w:r w:rsidR="00B30EAC">
        <w:fldChar w:fldCharType="begin"/>
      </w:r>
      <w:r w:rsidR="00B30EAC">
        <w:instrText xml:space="preserve"> REF _Ref430011025 \r \h </w:instrText>
      </w:r>
      <w:r w:rsidR="00B30EAC">
        <w:fldChar w:fldCharType="separate"/>
      </w:r>
      <w:r w:rsidR="00FD3AB6">
        <w:t>8</w:t>
      </w:r>
      <w:r w:rsidR="00B30EAC">
        <w:fldChar w:fldCharType="end"/>
      </w:r>
      <w:r w:rsidR="00B30EAC">
        <w:t>)</w:t>
      </w:r>
      <w:r w:rsidR="00752054">
        <w:t>,</w:t>
      </w:r>
      <w:r w:rsidR="00B30EAC">
        <w:t xml:space="preserve"> </w:t>
      </w:r>
      <w:r w:rsidRPr="00BD3549">
        <w:t xml:space="preserve">and general cost-benefit methodology.  The </w:t>
      </w:r>
      <w:r w:rsidR="00123B56" w:rsidRPr="00BD3549">
        <w:t>NRC incremental labor rate</w:t>
      </w:r>
      <w:r w:rsidRPr="00BD3549">
        <w:t xml:space="preserve"> is $</w:t>
      </w:r>
      <w:r w:rsidR="001A1F9C">
        <w:t>128 </w:t>
      </w:r>
      <w:r w:rsidRPr="00BD3549">
        <w:t>per hour.</w:t>
      </w:r>
      <w:r w:rsidRPr="000D0ED7">
        <w:rPr>
          <w:rStyle w:val="FootnoteReference"/>
          <w:sz w:val="24"/>
          <w:vertAlign w:val="superscript"/>
        </w:rPr>
        <w:footnoteReference w:id="4"/>
      </w:r>
    </w:p>
    <w:p w14:paraId="2E0CF0F1" w14:textId="77777777" w:rsidR="00123B56" w:rsidRPr="00BD3549" w:rsidRDefault="00123B56" w:rsidP="00FF0EE8">
      <w:pPr>
        <w:spacing w:line="240" w:lineRule="auto"/>
      </w:pPr>
    </w:p>
    <w:p w14:paraId="41841542" w14:textId="73D2B9CE" w:rsidR="00123B56" w:rsidRDefault="00123B56" w:rsidP="00FF0EE8">
      <w:pPr>
        <w:spacing w:line="240" w:lineRule="auto"/>
      </w:pPr>
      <w:r w:rsidRPr="00BD3549">
        <w:t xml:space="preserve">The estimated </w:t>
      </w:r>
      <w:r w:rsidR="00EA6A64">
        <w:t xml:space="preserve">mean </w:t>
      </w:r>
      <w:r w:rsidRPr="00BD3549">
        <w:t>industry incremental labor rate is $</w:t>
      </w:r>
      <w:r w:rsidR="001A1F9C">
        <w:t>12</w:t>
      </w:r>
      <w:r w:rsidR="00B8064B">
        <w:t>6</w:t>
      </w:r>
      <w:r w:rsidR="001A1F9C" w:rsidRPr="00BD3549">
        <w:t xml:space="preserve"> </w:t>
      </w:r>
      <w:r w:rsidRPr="00BD3549">
        <w:t xml:space="preserve">per hour.  </w:t>
      </w:r>
      <w:r w:rsidR="00EA6A64" w:rsidRPr="00ED1D75">
        <w:rPr>
          <w:rFonts w:eastAsiaTheme="minorEastAsia"/>
          <w:lang w:eastAsia="ja-JP"/>
        </w:rPr>
        <w:t xml:space="preserve">The NRC staff </w:t>
      </w:r>
      <w:r w:rsidR="00EA6A64">
        <w:rPr>
          <w:rFonts w:eastAsiaTheme="minorEastAsia"/>
          <w:lang w:eastAsia="ja-JP"/>
        </w:rPr>
        <w:t xml:space="preserve">derived these </w:t>
      </w:r>
      <w:r w:rsidR="00EA6A64" w:rsidRPr="00ED1D75">
        <w:rPr>
          <w:rFonts w:eastAsiaTheme="minorEastAsia"/>
          <w:lang w:eastAsia="ja-JP"/>
        </w:rPr>
        <w:t xml:space="preserve">labor </w:t>
      </w:r>
      <w:r w:rsidR="00EA6A64">
        <w:rPr>
          <w:rFonts w:eastAsiaTheme="minorEastAsia"/>
          <w:lang w:eastAsia="ja-JP"/>
        </w:rPr>
        <w:t>rates</w:t>
      </w:r>
      <w:r w:rsidR="00EA6A64" w:rsidRPr="00ED1D75">
        <w:rPr>
          <w:rFonts w:eastAsiaTheme="minorEastAsia"/>
          <w:lang w:eastAsia="ja-JP"/>
        </w:rPr>
        <w:t xml:space="preserve"> according to data provided by BLS.  The NRC staff used the </w:t>
      </w:r>
      <w:r w:rsidR="001A1F9C">
        <w:rPr>
          <w:rFonts w:eastAsiaTheme="minorEastAsia"/>
          <w:lang w:eastAsia="ja-JP"/>
        </w:rPr>
        <w:t xml:space="preserve">2015 </w:t>
      </w:r>
      <w:r w:rsidR="00EA6A64" w:rsidRPr="00ED1D75">
        <w:rPr>
          <w:rFonts w:eastAsiaTheme="minorEastAsia"/>
          <w:lang w:eastAsia="ja-JP"/>
        </w:rPr>
        <w:t>Occupational Employment and Wages data</w:t>
      </w:r>
      <w:r w:rsidR="00EA6A64" w:rsidRPr="005368D1">
        <w:rPr>
          <w:rFonts w:eastAsiaTheme="minorEastAsia"/>
          <w:lang w:eastAsia="ja-JP"/>
        </w:rPr>
        <w:t>,</w:t>
      </w:r>
      <w:r w:rsidR="00EA6A64" w:rsidRPr="00ED1D75">
        <w:rPr>
          <w:rFonts w:eastAsiaTheme="minorEastAsia"/>
          <w:lang w:eastAsia="ja-JP"/>
        </w:rPr>
        <w:t xml:space="preserve"> which provided labor categories and the mean hourly wage rate by job type</w:t>
      </w:r>
      <w:r w:rsidR="004E7620">
        <w:rPr>
          <w:rFonts w:eastAsiaTheme="minorEastAsia"/>
          <w:lang w:eastAsia="ja-JP"/>
        </w:rPr>
        <w:t>,</w:t>
      </w:r>
      <w:r w:rsidR="00B30EAC">
        <w:rPr>
          <w:rFonts w:eastAsiaTheme="minorEastAsia"/>
          <w:lang w:eastAsia="ja-JP"/>
        </w:rPr>
        <w:t xml:space="preserve"> and used the inflator discussed in Section</w:t>
      </w:r>
      <w:r w:rsidR="004E7620">
        <w:rPr>
          <w:rFonts w:eastAsiaTheme="minorEastAsia"/>
          <w:lang w:eastAsia="ja-JP"/>
        </w:rPr>
        <w:t> </w:t>
      </w:r>
      <w:r w:rsidR="00B30EAC">
        <w:rPr>
          <w:rFonts w:eastAsiaTheme="minorEastAsia"/>
          <w:lang w:eastAsia="ja-JP"/>
        </w:rPr>
        <w:fldChar w:fldCharType="begin"/>
      </w:r>
      <w:r w:rsidR="00B30EAC">
        <w:rPr>
          <w:rFonts w:eastAsiaTheme="minorEastAsia"/>
          <w:lang w:eastAsia="ja-JP"/>
        </w:rPr>
        <w:instrText xml:space="preserve"> REF _Ref430011196 \r \h </w:instrText>
      </w:r>
      <w:r w:rsidR="00B30EAC">
        <w:rPr>
          <w:rFonts w:eastAsiaTheme="minorEastAsia"/>
          <w:lang w:eastAsia="ja-JP"/>
        </w:rPr>
      </w:r>
      <w:r w:rsidR="00B30EAC">
        <w:rPr>
          <w:rFonts w:eastAsiaTheme="minorEastAsia"/>
          <w:lang w:eastAsia="ja-JP"/>
        </w:rPr>
        <w:fldChar w:fldCharType="separate"/>
      </w:r>
      <w:r w:rsidR="00FD3AB6">
        <w:rPr>
          <w:rFonts w:eastAsiaTheme="minorEastAsia"/>
          <w:lang w:eastAsia="ja-JP"/>
        </w:rPr>
        <w:t>4.2.3</w:t>
      </w:r>
      <w:r w:rsidR="00B30EAC">
        <w:rPr>
          <w:rFonts w:eastAsiaTheme="minorEastAsia"/>
          <w:lang w:eastAsia="ja-JP"/>
        </w:rPr>
        <w:fldChar w:fldCharType="end"/>
      </w:r>
      <w:r w:rsidR="00B30EAC">
        <w:rPr>
          <w:rFonts w:eastAsiaTheme="minorEastAsia"/>
          <w:lang w:eastAsia="ja-JP"/>
        </w:rPr>
        <w:t xml:space="preserve"> to inflate these </w:t>
      </w:r>
      <w:r w:rsidR="00660501">
        <w:rPr>
          <w:rFonts w:eastAsiaTheme="minorEastAsia"/>
          <w:lang w:eastAsia="ja-JP"/>
        </w:rPr>
        <w:t xml:space="preserve">labor </w:t>
      </w:r>
      <w:r w:rsidR="00B30EAC">
        <w:rPr>
          <w:rFonts w:eastAsiaTheme="minorEastAsia"/>
          <w:lang w:eastAsia="ja-JP"/>
        </w:rPr>
        <w:t xml:space="preserve">rate </w:t>
      </w:r>
      <w:r w:rsidR="00660501">
        <w:rPr>
          <w:rFonts w:eastAsiaTheme="minorEastAsia"/>
          <w:lang w:eastAsia="ja-JP"/>
        </w:rPr>
        <w:t xml:space="preserve">data </w:t>
      </w:r>
      <w:r w:rsidR="00B30EAC">
        <w:rPr>
          <w:rFonts w:eastAsiaTheme="minorEastAsia"/>
          <w:lang w:eastAsia="ja-JP"/>
        </w:rPr>
        <w:t xml:space="preserve">to </w:t>
      </w:r>
      <w:r w:rsidR="001A1F9C">
        <w:rPr>
          <w:rFonts w:eastAsiaTheme="minorEastAsia"/>
          <w:lang w:eastAsia="ja-JP"/>
        </w:rPr>
        <w:t xml:space="preserve">2017 </w:t>
      </w:r>
      <w:r w:rsidR="00B30EAC">
        <w:rPr>
          <w:rFonts w:eastAsiaTheme="minorEastAsia"/>
          <w:lang w:eastAsia="ja-JP"/>
        </w:rPr>
        <w:t>dollars</w:t>
      </w:r>
      <w:r w:rsidR="00EA6A64" w:rsidRPr="00ED1D75">
        <w:rPr>
          <w:rFonts w:eastAsiaTheme="minorEastAsia"/>
          <w:lang w:eastAsia="ja-JP"/>
        </w:rPr>
        <w:t>.</w:t>
      </w:r>
      <w:r w:rsidR="00EA6A64">
        <w:rPr>
          <w:rFonts w:eastAsiaTheme="minorEastAsia"/>
          <w:lang w:eastAsia="ja-JP"/>
        </w:rPr>
        <w:t xml:space="preserve">  The labor</w:t>
      </w:r>
      <w:r w:rsidR="00EA6A64" w:rsidRPr="00DE1299">
        <w:rPr>
          <w:rFonts w:eastAsiaTheme="minorEastAsia"/>
          <w:lang w:eastAsia="ja-JP"/>
        </w:rPr>
        <w:t xml:space="preserve"> rates </w:t>
      </w:r>
      <w:r w:rsidR="00EA6A64">
        <w:rPr>
          <w:rFonts w:eastAsiaTheme="minorEastAsia"/>
          <w:lang w:eastAsia="ja-JP"/>
        </w:rPr>
        <w:t xml:space="preserve">used in the analysis </w:t>
      </w:r>
      <w:r w:rsidR="00EA6A64" w:rsidRPr="00DE1299">
        <w:rPr>
          <w:rFonts w:eastAsiaTheme="minorEastAsia"/>
          <w:lang w:eastAsia="ja-JP"/>
        </w:rPr>
        <w:t>reflect total compensation, which includes h</w:t>
      </w:r>
      <w:r w:rsidR="00EA6A64">
        <w:rPr>
          <w:rFonts w:eastAsiaTheme="minorEastAsia"/>
          <w:lang w:eastAsia="ja-JP"/>
        </w:rPr>
        <w:t xml:space="preserve">ealth and retirement benefits (using a </w:t>
      </w:r>
      <w:r w:rsidR="00B30EAC">
        <w:rPr>
          <w:rFonts w:eastAsiaTheme="minorEastAsia"/>
          <w:lang w:eastAsia="ja-JP"/>
        </w:rPr>
        <w:t>burden</w:t>
      </w:r>
      <w:r w:rsidR="00EA6A64">
        <w:rPr>
          <w:rFonts w:eastAsiaTheme="minorEastAsia"/>
          <w:lang w:eastAsia="ja-JP"/>
        </w:rPr>
        <w:t xml:space="preserve"> factor </w:t>
      </w:r>
      <w:r w:rsidR="00EA6A64" w:rsidRPr="008831F5">
        <w:rPr>
          <w:rFonts w:eastAsiaTheme="minorEastAsia"/>
          <w:lang w:eastAsia="ja-JP"/>
        </w:rPr>
        <w:t>of 2.0</w:t>
      </w:r>
      <w:r w:rsidR="00AC521C" w:rsidRPr="008831F5">
        <w:rPr>
          <w:rFonts w:eastAsiaTheme="minorEastAsia"/>
          <w:lang w:eastAsia="ja-JP"/>
        </w:rPr>
        <w:t>)</w:t>
      </w:r>
      <w:r w:rsidR="00AC521C" w:rsidRPr="008831F5">
        <w:t xml:space="preserve">.  </w:t>
      </w:r>
      <w:r w:rsidRPr="008831F5">
        <w:t>The</w:t>
      </w:r>
      <w:r w:rsidR="00AC521C" w:rsidRPr="008831F5">
        <w:t xml:space="preserve"> </w:t>
      </w:r>
      <w:r w:rsidR="008831F5">
        <w:t xml:space="preserve">NRC staff used the </w:t>
      </w:r>
      <w:r w:rsidR="00AC521C" w:rsidRPr="008831F5">
        <w:t>BLS data</w:t>
      </w:r>
      <w:r w:rsidRPr="008831F5">
        <w:t xml:space="preserve"> tables to select appropriate hourly labor rate</w:t>
      </w:r>
      <w:r w:rsidR="00AC521C" w:rsidRPr="008831F5">
        <w:t>s</w:t>
      </w:r>
      <w:r w:rsidRPr="008831F5">
        <w:t xml:space="preserve"> </w:t>
      </w:r>
      <w:r w:rsidR="00AC521C" w:rsidRPr="008831F5">
        <w:t>for</w:t>
      </w:r>
      <w:r w:rsidRPr="008831F5">
        <w:t xml:space="preserve"> perform</w:t>
      </w:r>
      <w:r w:rsidR="00AC521C" w:rsidRPr="008831F5">
        <w:t>ing</w:t>
      </w:r>
      <w:r w:rsidRPr="008831F5">
        <w:t xml:space="preserve"> the estimated procedural, licensing, and utility</w:t>
      </w:r>
      <w:r w:rsidR="004E7620">
        <w:noBreakHyphen/>
      </w:r>
      <w:r w:rsidRPr="008831F5">
        <w:t>related work necessary during and following implementation of the alternative.  In establishing this labor rate, wages paid for the individuals performing the work plus the associated fringe benefit component of labor cost (i.e.,</w:t>
      </w:r>
      <w:r w:rsidR="004E7620">
        <w:t> </w:t>
      </w:r>
      <w:r w:rsidRPr="008831F5">
        <w:t xml:space="preserve">the time for plant management over and above those directly expensed) are considered </w:t>
      </w:r>
      <w:r w:rsidR="007223F2" w:rsidRPr="008831F5">
        <w:t>incremental</w:t>
      </w:r>
      <w:r w:rsidRPr="008831F5">
        <w:t xml:space="preserve"> expenses and are included.</w:t>
      </w:r>
      <w:r w:rsidR="00AC521C" w:rsidRPr="008831F5">
        <w:rPr>
          <w:rFonts w:eastAsiaTheme="minorEastAsia"/>
          <w:lang w:eastAsia="ja-JP"/>
        </w:rPr>
        <w:t xml:space="preserve">  The NRC staff also verified that these</w:t>
      </w:r>
      <w:r w:rsidR="00AC521C" w:rsidRPr="008831F5">
        <w:t xml:space="preserve"> labor rates are consistent with wage rates submitted by industry in recent severe accident mitigation alternatives cost estimates.</w:t>
      </w:r>
      <w:r w:rsidR="0024798A" w:rsidRPr="008831F5">
        <w:t xml:space="preserve">  Appendix</w:t>
      </w:r>
      <w:r w:rsidR="004E7620">
        <w:t> </w:t>
      </w:r>
      <w:r w:rsidR="00393865">
        <w:t>A</w:t>
      </w:r>
      <w:r w:rsidR="0024798A" w:rsidRPr="008831F5">
        <w:t xml:space="preserve"> </w:t>
      </w:r>
      <w:r w:rsidR="00EC100B">
        <w:t>t</w:t>
      </w:r>
      <w:r w:rsidR="0024798A" w:rsidRPr="008831F5">
        <w:t xml:space="preserve">o this regulatory analysis provides a breakdown of </w:t>
      </w:r>
      <w:r w:rsidR="008831F5" w:rsidRPr="008831F5">
        <w:t>the</w:t>
      </w:r>
      <w:r w:rsidR="0024798A" w:rsidRPr="008831F5">
        <w:t xml:space="preserve"> </w:t>
      </w:r>
      <w:r w:rsidR="00E308D8" w:rsidRPr="008831F5">
        <w:t>labor categories</w:t>
      </w:r>
      <w:r w:rsidR="0024798A" w:rsidRPr="008831F5">
        <w:t xml:space="preserve"> </w:t>
      </w:r>
      <w:r w:rsidR="008831F5" w:rsidRPr="008831F5">
        <w:t xml:space="preserve">considered </w:t>
      </w:r>
      <w:r w:rsidR="0024798A" w:rsidRPr="008831F5">
        <w:t xml:space="preserve">that may be required to implement this </w:t>
      </w:r>
      <w:r w:rsidR="00126047">
        <w:t>final</w:t>
      </w:r>
      <w:r w:rsidR="008831F5">
        <w:t xml:space="preserve"> </w:t>
      </w:r>
      <w:r w:rsidR="0024798A" w:rsidRPr="008831F5">
        <w:t xml:space="preserve">rule.  </w:t>
      </w:r>
      <w:r w:rsidR="008831F5">
        <w:t>The NRC staff performed an u</w:t>
      </w:r>
      <w:r w:rsidR="0024798A" w:rsidRPr="008831F5">
        <w:t>ncertainty analys</w:t>
      </w:r>
      <w:r w:rsidR="008831F5">
        <w:t>i</w:t>
      </w:r>
      <w:r w:rsidR="0024798A" w:rsidRPr="008831F5">
        <w:t>s</w:t>
      </w:r>
      <w:r w:rsidR="00660501">
        <w:t>, which</w:t>
      </w:r>
      <w:r w:rsidR="008831F5">
        <w:t xml:space="preserve"> is</w:t>
      </w:r>
      <w:r w:rsidR="0024798A" w:rsidRPr="008831F5">
        <w:t xml:space="preserve"> </w:t>
      </w:r>
      <w:r w:rsidR="008831F5">
        <w:t>discussed</w:t>
      </w:r>
      <w:r w:rsidR="0024798A" w:rsidRPr="008831F5">
        <w:t xml:space="preserve"> in Section</w:t>
      </w:r>
      <w:r w:rsidR="004E7620">
        <w:t> </w:t>
      </w:r>
      <w:r w:rsidR="00660501">
        <w:fldChar w:fldCharType="begin"/>
      </w:r>
      <w:r w:rsidR="00660501">
        <w:instrText xml:space="preserve"> REF _Ref435702621 \r \h </w:instrText>
      </w:r>
      <w:r w:rsidR="00660501">
        <w:fldChar w:fldCharType="separate"/>
      </w:r>
      <w:r w:rsidR="00FD3AB6">
        <w:t>5.12</w:t>
      </w:r>
      <w:r w:rsidR="00660501">
        <w:fldChar w:fldCharType="end"/>
      </w:r>
      <w:r w:rsidR="0024798A" w:rsidRPr="008831F5">
        <w:t>.</w:t>
      </w:r>
    </w:p>
    <w:p w14:paraId="0330584D" w14:textId="77777777" w:rsidR="002462C0" w:rsidRDefault="002462C0" w:rsidP="00FF0EE8">
      <w:pPr>
        <w:spacing w:line="240" w:lineRule="auto"/>
      </w:pPr>
    </w:p>
    <w:p w14:paraId="70B834D9" w14:textId="77777777" w:rsidR="000A3175" w:rsidRPr="00253733" w:rsidRDefault="000A3175" w:rsidP="00F33513">
      <w:pPr>
        <w:pStyle w:val="Caption"/>
        <w:spacing w:line="240" w:lineRule="auto"/>
        <w:jc w:val="center"/>
        <w:rPr>
          <w:b/>
        </w:rPr>
      </w:pPr>
      <w:bookmarkStart w:id="54" w:name="_Toc467508491"/>
      <w:bookmarkStart w:id="55" w:name="_Toc462224997"/>
      <w:r w:rsidRPr="00253733">
        <w:rPr>
          <w:b/>
        </w:rPr>
        <w:t xml:space="preserve">Table </w:t>
      </w:r>
      <w:r w:rsidR="00782423" w:rsidRPr="00253733">
        <w:rPr>
          <w:b/>
        </w:rPr>
        <w:fldChar w:fldCharType="begin"/>
      </w:r>
      <w:r w:rsidR="00782423" w:rsidRPr="00253733">
        <w:rPr>
          <w:b/>
        </w:rPr>
        <w:instrText xml:space="preserve"> SEQ Table \* ARABIC </w:instrText>
      </w:r>
      <w:r w:rsidR="00782423" w:rsidRPr="00253733">
        <w:rPr>
          <w:b/>
        </w:rPr>
        <w:fldChar w:fldCharType="separate"/>
      </w:r>
      <w:r w:rsidR="00FD3AB6">
        <w:rPr>
          <w:b/>
          <w:noProof/>
        </w:rPr>
        <w:t>2</w:t>
      </w:r>
      <w:r w:rsidR="00782423" w:rsidRPr="00253733">
        <w:rPr>
          <w:b/>
        </w:rPr>
        <w:fldChar w:fldCharType="end"/>
      </w:r>
      <w:r w:rsidRPr="00253733">
        <w:rPr>
          <w:b/>
        </w:rPr>
        <w:t xml:space="preserve"> </w:t>
      </w:r>
      <w:r w:rsidR="006C3FF0" w:rsidRPr="00D557C2">
        <w:rPr>
          <w:b/>
        </w:rPr>
        <w:t xml:space="preserve"> </w:t>
      </w:r>
      <w:r w:rsidRPr="00253733">
        <w:rPr>
          <w:b/>
        </w:rPr>
        <w:t>Position Titles and Occupations</w:t>
      </w:r>
      <w:bookmarkEnd w:id="54"/>
      <w:bookmarkEnd w:id="55"/>
    </w:p>
    <w:tbl>
      <w:tblPr>
        <w:tblW w:w="9445" w:type="dxa"/>
        <w:tblLook w:val="04A0" w:firstRow="1" w:lastRow="0" w:firstColumn="1" w:lastColumn="0" w:noHBand="0" w:noVBand="1"/>
      </w:tblPr>
      <w:tblGrid>
        <w:gridCol w:w="2065"/>
        <w:gridCol w:w="7380"/>
      </w:tblGrid>
      <w:tr w:rsidR="000A3175" w:rsidRPr="000A3175" w14:paraId="4E63F564" w14:textId="77777777" w:rsidTr="00AB6627">
        <w:trPr>
          <w:trHeight w:val="629"/>
          <w:tblHeader/>
        </w:trPr>
        <w:tc>
          <w:tcPr>
            <w:tcW w:w="2065" w:type="dxa"/>
            <w:tcBorders>
              <w:top w:val="single" w:sz="4" w:space="0" w:color="auto"/>
              <w:left w:val="single" w:sz="4" w:space="0" w:color="auto"/>
              <w:bottom w:val="single" w:sz="4" w:space="0" w:color="auto"/>
              <w:right w:val="single" w:sz="4" w:space="0" w:color="auto"/>
            </w:tcBorders>
            <w:shd w:val="clear" w:color="auto" w:fill="auto"/>
            <w:hideMark/>
          </w:tcPr>
          <w:p w14:paraId="65D04F7C" w14:textId="762F13A9" w:rsidR="000A3175" w:rsidRPr="00253733" w:rsidRDefault="000A3175" w:rsidP="00AB6627">
            <w:pPr>
              <w:keepNext/>
              <w:autoSpaceDE/>
              <w:autoSpaceDN/>
              <w:adjustRightInd/>
              <w:spacing w:line="240" w:lineRule="auto"/>
              <w:jc w:val="center"/>
              <w:rPr>
                <w:b/>
                <w:color w:val="000000"/>
              </w:rPr>
            </w:pPr>
            <w:bookmarkStart w:id="56" w:name="RANGE!A1"/>
            <w:r w:rsidRPr="00253733">
              <w:rPr>
                <w:b/>
                <w:color w:val="000000"/>
              </w:rPr>
              <w:t>Position Title</w:t>
            </w:r>
            <w:bookmarkEnd w:id="56"/>
            <w:r w:rsidRPr="00253733">
              <w:rPr>
                <w:b/>
                <w:color w:val="000000"/>
              </w:rPr>
              <w:t xml:space="preserve"> (in </w:t>
            </w:r>
            <w:r w:rsidR="004E7620">
              <w:rPr>
                <w:rFonts w:eastAsia="Times New Roman"/>
                <w:b/>
                <w:bCs/>
                <w:color w:val="000000"/>
              </w:rPr>
              <w:t>T</w:t>
            </w:r>
            <w:r w:rsidRPr="00D557C2">
              <w:rPr>
                <w:rFonts w:eastAsia="Times New Roman"/>
                <w:b/>
                <w:bCs/>
                <w:color w:val="000000"/>
              </w:rPr>
              <w:t xml:space="preserve">his </w:t>
            </w:r>
            <w:r w:rsidR="004E7620">
              <w:rPr>
                <w:rFonts w:eastAsia="Times New Roman"/>
                <w:b/>
                <w:bCs/>
                <w:color w:val="000000"/>
              </w:rPr>
              <w:t>R</w:t>
            </w:r>
            <w:r w:rsidRPr="00D557C2">
              <w:rPr>
                <w:rFonts w:eastAsia="Times New Roman"/>
                <w:b/>
                <w:bCs/>
                <w:color w:val="000000"/>
              </w:rPr>
              <w:t xml:space="preserve">egulatory </w:t>
            </w:r>
            <w:r w:rsidR="004E7620">
              <w:rPr>
                <w:rFonts w:eastAsia="Times New Roman"/>
                <w:b/>
                <w:bCs/>
                <w:color w:val="000000"/>
              </w:rPr>
              <w:t>A</w:t>
            </w:r>
            <w:r w:rsidRPr="00D557C2">
              <w:rPr>
                <w:rFonts w:eastAsia="Times New Roman"/>
                <w:b/>
                <w:bCs/>
                <w:color w:val="000000"/>
              </w:rPr>
              <w:t>nalysis</w:t>
            </w:r>
            <w:r w:rsidRPr="00253733">
              <w:rPr>
                <w:b/>
                <w:color w:val="000000"/>
              </w:rPr>
              <w:t>)</w:t>
            </w:r>
          </w:p>
        </w:tc>
        <w:tc>
          <w:tcPr>
            <w:tcW w:w="7380" w:type="dxa"/>
            <w:tcBorders>
              <w:top w:val="single" w:sz="4" w:space="0" w:color="auto"/>
              <w:left w:val="nil"/>
              <w:bottom w:val="single" w:sz="4" w:space="0" w:color="auto"/>
              <w:right w:val="single" w:sz="4" w:space="0" w:color="auto"/>
            </w:tcBorders>
            <w:shd w:val="clear" w:color="auto" w:fill="auto"/>
            <w:vAlign w:val="center"/>
            <w:hideMark/>
          </w:tcPr>
          <w:p w14:paraId="03863320" w14:textId="0712361B" w:rsidR="000A3175" w:rsidRPr="00253733" w:rsidRDefault="000A3175" w:rsidP="00AB6627">
            <w:pPr>
              <w:keepNext/>
              <w:autoSpaceDE/>
              <w:autoSpaceDN/>
              <w:adjustRightInd/>
              <w:spacing w:line="240" w:lineRule="auto"/>
              <w:jc w:val="center"/>
              <w:rPr>
                <w:b/>
                <w:color w:val="000000"/>
              </w:rPr>
            </w:pPr>
            <w:r w:rsidRPr="00253733">
              <w:rPr>
                <w:b/>
                <w:color w:val="000000"/>
              </w:rPr>
              <w:t xml:space="preserve">Occupation (SOC </w:t>
            </w:r>
            <w:r w:rsidR="00EC100B">
              <w:rPr>
                <w:rFonts w:eastAsia="Times New Roman"/>
                <w:b/>
                <w:bCs/>
                <w:color w:val="000000"/>
              </w:rPr>
              <w:t>C</w:t>
            </w:r>
            <w:r w:rsidRPr="00D557C2">
              <w:rPr>
                <w:rFonts w:eastAsia="Times New Roman"/>
                <w:b/>
                <w:bCs/>
                <w:color w:val="000000"/>
              </w:rPr>
              <w:t>ode</w:t>
            </w:r>
            <w:r w:rsidRPr="00253733">
              <w:rPr>
                <w:b/>
                <w:color w:val="000000"/>
              </w:rPr>
              <w:t>)</w:t>
            </w:r>
          </w:p>
        </w:tc>
      </w:tr>
      <w:tr w:rsidR="000A3175" w:rsidRPr="000A3175" w14:paraId="62D9CD0A" w14:textId="77777777" w:rsidTr="00E311C2">
        <w:trPr>
          <w:trHeight w:val="251"/>
        </w:trPr>
        <w:tc>
          <w:tcPr>
            <w:tcW w:w="20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C9E1F4" w14:textId="77777777" w:rsidR="000A3175" w:rsidRPr="00253733" w:rsidRDefault="000A3175" w:rsidP="00AB6627">
            <w:pPr>
              <w:keepNext/>
              <w:autoSpaceDE/>
              <w:autoSpaceDN/>
              <w:adjustRightInd/>
              <w:spacing w:line="240" w:lineRule="auto"/>
              <w:jc w:val="center"/>
              <w:rPr>
                <w:color w:val="000000"/>
              </w:rPr>
            </w:pPr>
            <w:r w:rsidRPr="00253733">
              <w:rPr>
                <w:color w:val="000000"/>
              </w:rPr>
              <w:t>Managers</w:t>
            </w:r>
          </w:p>
        </w:tc>
        <w:tc>
          <w:tcPr>
            <w:tcW w:w="7380" w:type="dxa"/>
            <w:tcBorders>
              <w:top w:val="nil"/>
              <w:left w:val="nil"/>
              <w:bottom w:val="single" w:sz="4" w:space="0" w:color="auto"/>
              <w:right w:val="single" w:sz="4" w:space="0" w:color="auto"/>
            </w:tcBorders>
            <w:shd w:val="clear" w:color="auto" w:fill="auto"/>
            <w:vAlign w:val="center"/>
            <w:hideMark/>
          </w:tcPr>
          <w:p w14:paraId="3AEE4BAC" w14:textId="77777777" w:rsidR="000A3175" w:rsidRPr="00253733" w:rsidRDefault="000A3175" w:rsidP="00AB6627">
            <w:pPr>
              <w:keepNext/>
              <w:autoSpaceDE/>
              <w:autoSpaceDN/>
              <w:adjustRightInd/>
              <w:spacing w:line="240" w:lineRule="auto"/>
              <w:rPr>
                <w:color w:val="000000"/>
              </w:rPr>
            </w:pPr>
            <w:r w:rsidRPr="00253733">
              <w:rPr>
                <w:color w:val="000000"/>
              </w:rPr>
              <w:t>Top Executives (111000)</w:t>
            </w:r>
          </w:p>
        </w:tc>
      </w:tr>
      <w:tr w:rsidR="000A3175" w:rsidRPr="000A3175" w14:paraId="4B93FEBF" w14:textId="77777777" w:rsidTr="00E311C2">
        <w:trPr>
          <w:trHeight w:val="269"/>
        </w:trPr>
        <w:tc>
          <w:tcPr>
            <w:tcW w:w="2065" w:type="dxa"/>
            <w:vMerge/>
            <w:tcBorders>
              <w:top w:val="nil"/>
              <w:left w:val="single" w:sz="4" w:space="0" w:color="auto"/>
              <w:bottom w:val="single" w:sz="4" w:space="0" w:color="auto"/>
              <w:right w:val="single" w:sz="4" w:space="0" w:color="auto"/>
            </w:tcBorders>
            <w:vAlign w:val="center"/>
          </w:tcPr>
          <w:p w14:paraId="589BE461" w14:textId="77777777" w:rsidR="000A3175" w:rsidRPr="00253733" w:rsidRDefault="000A3175" w:rsidP="004F5401">
            <w:pPr>
              <w:keepNext/>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tcPr>
          <w:p w14:paraId="6F953EB8" w14:textId="77777777" w:rsidR="000A3175" w:rsidRPr="00253733" w:rsidRDefault="000A3175" w:rsidP="004F5401">
            <w:pPr>
              <w:keepNext/>
              <w:autoSpaceDE/>
              <w:autoSpaceDN/>
              <w:adjustRightInd/>
              <w:spacing w:line="240" w:lineRule="auto"/>
              <w:rPr>
                <w:color w:val="000000"/>
              </w:rPr>
            </w:pPr>
            <w:r w:rsidRPr="00253733">
              <w:rPr>
                <w:color w:val="000000"/>
              </w:rPr>
              <w:t>Chief Executives (111011)</w:t>
            </w:r>
          </w:p>
        </w:tc>
      </w:tr>
      <w:tr w:rsidR="000A3175" w:rsidRPr="000A3175" w14:paraId="32E521AA" w14:textId="77777777" w:rsidTr="00E311C2">
        <w:trPr>
          <w:trHeight w:val="269"/>
        </w:trPr>
        <w:tc>
          <w:tcPr>
            <w:tcW w:w="2065" w:type="dxa"/>
            <w:vMerge/>
            <w:tcBorders>
              <w:top w:val="nil"/>
              <w:left w:val="single" w:sz="4" w:space="0" w:color="auto"/>
              <w:bottom w:val="single" w:sz="4" w:space="0" w:color="auto"/>
              <w:right w:val="single" w:sz="4" w:space="0" w:color="auto"/>
            </w:tcBorders>
            <w:vAlign w:val="center"/>
          </w:tcPr>
          <w:p w14:paraId="07A0C06E" w14:textId="77777777" w:rsidR="000A3175" w:rsidRPr="00253733" w:rsidRDefault="000A3175" w:rsidP="004F5401">
            <w:pPr>
              <w:keepNext/>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tcPr>
          <w:p w14:paraId="3D02E3AC" w14:textId="77777777" w:rsidR="000A3175" w:rsidRPr="00253733" w:rsidRDefault="000A3175" w:rsidP="004F5401">
            <w:pPr>
              <w:keepNext/>
              <w:autoSpaceDE/>
              <w:autoSpaceDN/>
              <w:adjustRightInd/>
              <w:spacing w:line="240" w:lineRule="auto"/>
              <w:rPr>
                <w:color w:val="000000"/>
              </w:rPr>
            </w:pPr>
            <w:r w:rsidRPr="00253733">
              <w:rPr>
                <w:color w:val="000000"/>
              </w:rPr>
              <w:t>General and Operations Managers (111021)</w:t>
            </w:r>
          </w:p>
        </w:tc>
      </w:tr>
      <w:tr w:rsidR="000A3175" w:rsidRPr="000A3175" w14:paraId="336BC434" w14:textId="77777777" w:rsidTr="00E311C2">
        <w:trPr>
          <w:trHeight w:val="269"/>
        </w:trPr>
        <w:tc>
          <w:tcPr>
            <w:tcW w:w="2065" w:type="dxa"/>
            <w:vMerge/>
            <w:tcBorders>
              <w:top w:val="nil"/>
              <w:left w:val="single" w:sz="4" w:space="0" w:color="auto"/>
              <w:bottom w:val="single" w:sz="4" w:space="0" w:color="auto"/>
              <w:right w:val="single" w:sz="4" w:space="0" w:color="auto"/>
            </w:tcBorders>
            <w:vAlign w:val="center"/>
          </w:tcPr>
          <w:p w14:paraId="1B494AFB" w14:textId="77777777" w:rsidR="000A3175" w:rsidRPr="00253733" w:rsidRDefault="000A3175" w:rsidP="004F5401">
            <w:pPr>
              <w:keepNext/>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tcPr>
          <w:p w14:paraId="65CE38F4" w14:textId="77777777" w:rsidR="000A3175" w:rsidRPr="00253733" w:rsidRDefault="000A3175" w:rsidP="004F5401">
            <w:pPr>
              <w:keepNext/>
              <w:autoSpaceDE/>
              <w:autoSpaceDN/>
              <w:adjustRightInd/>
              <w:spacing w:line="240" w:lineRule="auto"/>
              <w:rPr>
                <w:color w:val="000000"/>
              </w:rPr>
            </w:pPr>
            <w:r w:rsidRPr="00253733">
              <w:rPr>
                <w:color w:val="000000"/>
              </w:rPr>
              <w:t>Industrial Production Managers (113051)</w:t>
            </w:r>
          </w:p>
        </w:tc>
      </w:tr>
      <w:tr w:rsidR="000A3175" w:rsidRPr="000A3175" w14:paraId="627454AA" w14:textId="77777777" w:rsidTr="00E311C2">
        <w:trPr>
          <w:trHeight w:val="269"/>
        </w:trPr>
        <w:tc>
          <w:tcPr>
            <w:tcW w:w="2065" w:type="dxa"/>
            <w:vMerge/>
            <w:tcBorders>
              <w:top w:val="nil"/>
              <w:left w:val="single" w:sz="4" w:space="0" w:color="auto"/>
              <w:bottom w:val="single" w:sz="4" w:space="0" w:color="auto"/>
              <w:right w:val="single" w:sz="4" w:space="0" w:color="auto"/>
            </w:tcBorders>
            <w:vAlign w:val="center"/>
          </w:tcPr>
          <w:p w14:paraId="4852D761" w14:textId="77777777" w:rsidR="000A3175" w:rsidRPr="00253733" w:rsidRDefault="000A3175" w:rsidP="004F5401">
            <w:pPr>
              <w:keepNext/>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tcPr>
          <w:p w14:paraId="2D1D91EF" w14:textId="77777777" w:rsidR="000A3175" w:rsidRPr="00253733" w:rsidRDefault="000A3175" w:rsidP="004F5401">
            <w:pPr>
              <w:keepNext/>
              <w:autoSpaceDE/>
              <w:autoSpaceDN/>
              <w:adjustRightInd/>
              <w:spacing w:line="240" w:lineRule="auto"/>
              <w:rPr>
                <w:color w:val="000000"/>
              </w:rPr>
            </w:pPr>
            <w:r w:rsidRPr="00253733">
              <w:rPr>
                <w:color w:val="000000"/>
              </w:rPr>
              <w:t>First-Line Supervisors of Mechanics Installers and Repairers (491011)</w:t>
            </w:r>
          </w:p>
        </w:tc>
      </w:tr>
      <w:tr w:rsidR="000A3175" w:rsidRPr="000A3175" w14:paraId="5C2139CF" w14:textId="77777777" w:rsidTr="00E311C2">
        <w:trPr>
          <w:trHeight w:val="269"/>
        </w:trPr>
        <w:tc>
          <w:tcPr>
            <w:tcW w:w="2065" w:type="dxa"/>
            <w:vMerge/>
            <w:tcBorders>
              <w:top w:val="nil"/>
              <w:left w:val="single" w:sz="4" w:space="0" w:color="auto"/>
              <w:bottom w:val="single" w:sz="4" w:space="0" w:color="auto"/>
              <w:right w:val="single" w:sz="4" w:space="0" w:color="auto"/>
            </w:tcBorders>
            <w:vAlign w:val="center"/>
          </w:tcPr>
          <w:p w14:paraId="23E0EB9B" w14:textId="77777777" w:rsidR="000A3175" w:rsidRPr="00253733" w:rsidRDefault="000A3175" w:rsidP="004F5401">
            <w:pPr>
              <w:keepNext/>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tcPr>
          <w:p w14:paraId="06BB57BA" w14:textId="77777777" w:rsidR="000A3175" w:rsidRPr="00253733" w:rsidRDefault="000A3175" w:rsidP="004F5401">
            <w:pPr>
              <w:keepNext/>
              <w:autoSpaceDE/>
              <w:autoSpaceDN/>
              <w:adjustRightInd/>
              <w:spacing w:line="240" w:lineRule="auto"/>
              <w:rPr>
                <w:color w:val="000000"/>
              </w:rPr>
            </w:pPr>
            <w:r w:rsidRPr="00253733">
              <w:rPr>
                <w:color w:val="000000"/>
              </w:rPr>
              <w:t>First-Line Supervisors of Production and Operating Workers (511011)</w:t>
            </w:r>
          </w:p>
        </w:tc>
      </w:tr>
      <w:tr w:rsidR="000A3175" w:rsidRPr="000A3175" w14:paraId="187DB1AD" w14:textId="77777777" w:rsidTr="00E311C2">
        <w:trPr>
          <w:trHeight w:val="269"/>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01B39FBB" w14:textId="77777777" w:rsidR="000A3175" w:rsidRPr="00253733" w:rsidRDefault="000A3175" w:rsidP="00FF0EE8">
            <w:pPr>
              <w:autoSpaceDE/>
              <w:autoSpaceDN/>
              <w:adjustRightInd/>
              <w:spacing w:line="240" w:lineRule="auto"/>
              <w:jc w:val="center"/>
              <w:rPr>
                <w:color w:val="000000"/>
              </w:rPr>
            </w:pPr>
            <w:r w:rsidRPr="00253733">
              <w:rPr>
                <w:color w:val="000000"/>
              </w:rPr>
              <w:t>Technical Staff</w:t>
            </w:r>
          </w:p>
        </w:tc>
        <w:tc>
          <w:tcPr>
            <w:tcW w:w="7380" w:type="dxa"/>
            <w:tcBorders>
              <w:top w:val="nil"/>
              <w:left w:val="nil"/>
              <w:bottom w:val="single" w:sz="4" w:space="0" w:color="auto"/>
              <w:right w:val="single" w:sz="4" w:space="0" w:color="auto"/>
            </w:tcBorders>
            <w:shd w:val="clear" w:color="auto" w:fill="auto"/>
            <w:vAlign w:val="center"/>
            <w:hideMark/>
          </w:tcPr>
          <w:p w14:paraId="63038121" w14:textId="77777777" w:rsidR="000A3175" w:rsidRPr="00253733" w:rsidRDefault="000A3175" w:rsidP="00FF0EE8">
            <w:pPr>
              <w:autoSpaceDE/>
              <w:autoSpaceDN/>
              <w:adjustRightInd/>
              <w:spacing w:line="240" w:lineRule="auto"/>
              <w:rPr>
                <w:color w:val="000000"/>
              </w:rPr>
            </w:pPr>
            <w:r w:rsidRPr="00253733">
              <w:rPr>
                <w:color w:val="000000"/>
              </w:rPr>
              <w:t>Nuclear Engineers (172161)</w:t>
            </w:r>
          </w:p>
        </w:tc>
      </w:tr>
      <w:tr w:rsidR="000A3175" w:rsidRPr="000A3175" w14:paraId="56E11C1A" w14:textId="77777777" w:rsidTr="00E311C2">
        <w:trPr>
          <w:trHeight w:val="260"/>
        </w:trPr>
        <w:tc>
          <w:tcPr>
            <w:tcW w:w="2065" w:type="dxa"/>
            <w:vMerge/>
            <w:tcBorders>
              <w:top w:val="nil"/>
              <w:left w:val="single" w:sz="4" w:space="0" w:color="auto"/>
              <w:bottom w:val="single" w:sz="4" w:space="0" w:color="auto"/>
              <w:right w:val="single" w:sz="4" w:space="0" w:color="auto"/>
            </w:tcBorders>
            <w:vAlign w:val="center"/>
          </w:tcPr>
          <w:p w14:paraId="2915E66F" w14:textId="77777777" w:rsidR="000A3175" w:rsidRPr="00253733" w:rsidRDefault="000A3175" w:rsidP="00FF0EE8">
            <w:pPr>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tcPr>
          <w:p w14:paraId="4835E6B9" w14:textId="77777777" w:rsidR="000A3175" w:rsidRPr="00253733" w:rsidRDefault="000A3175" w:rsidP="00FF0EE8">
            <w:pPr>
              <w:autoSpaceDE/>
              <w:autoSpaceDN/>
              <w:adjustRightInd/>
              <w:spacing w:line="240" w:lineRule="auto"/>
              <w:rPr>
                <w:color w:val="000000"/>
              </w:rPr>
            </w:pPr>
            <w:r w:rsidRPr="00253733">
              <w:rPr>
                <w:color w:val="000000"/>
              </w:rPr>
              <w:t>Physicists (192012)</w:t>
            </w:r>
          </w:p>
        </w:tc>
      </w:tr>
      <w:tr w:rsidR="000A3175" w:rsidRPr="000A3175" w14:paraId="5D9B9373" w14:textId="77777777" w:rsidTr="00E311C2">
        <w:trPr>
          <w:trHeight w:val="260"/>
        </w:trPr>
        <w:tc>
          <w:tcPr>
            <w:tcW w:w="2065" w:type="dxa"/>
            <w:vMerge/>
            <w:tcBorders>
              <w:top w:val="nil"/>
              <w:left w:val="single" w:sz="4" w:space="0" w:color="auto"/>
              <w:bottom w:val="single" w:sz="4" w:space="0" w:color="auto"/>
              <w:right w:val="single" w:sz="4" w:space="0" w:color="auto"/>
            </w:tcBorders>
            <w:vAlign w:val="center"/>
            <w:hideMark/>
          </w:tcPr>
          <w:p w14:paraId="14FFE392" w14:textId="77777777" w:rsidR="000A3175" w:rsidRPr="00253733" w:rsidRDefault="000A3175" w:rsidP="00FF0EE8">
            <w:pPr>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hideMark/>
          </w:tcPr>
          <w:p w14:paraId="37CA0E83" w14:textId="77777777" w:rsidR="000A3175" w:rsidRPr="00253733" w:rsidRDefault="000A3175" w:rsidP="00FF0EE8">
            <w:pPr>
              <w:autoSpaceDE/>
              <w:autoSpaceDN/>
              <w:adjustRightInd/>
              <w:spacing w:line="240" w:lineRule="auto"/>
              <w:rPr>
                <w:color w:val="000000"/>
              </w:rPr>
            </w:pPr>
            <w:r w:rsidRPr="00253733">
              <w:rPr>
                <w:color w:val="000000"/>
              </w:rPr>
              <w:t>Nuclear Technicians (194051)</w:t>
            </w:r>
          </w:p>
        </w:tc>
      </w:tr>
      <w:tr w:rsidR="000A3175" w:rsidRPr="000A3175" w14:paraId="128B783A" w14:textId="77777777" w:rsidTr="00E311C2">
        <w:trPr>
          <w:trHeight w:val="260"/>
        </w:trPr>
        <w:tc>
          <w:tcPr>
            <w:tcW w:w="2065" w:type="dxa"/>
            <w:vMerge/>
            <w:tcBorders>
              <w:top w:val="nil"/>
              <w:left w:val="single" w:sz="4" w:space="0" w:color="auto"/>
              <w:bottom w:val="single" w:sz="4" w:space="0" w:color="auto"/>
              <w:right w:val="single" w:sz="4" w:space="0" w:color="auto"/>
            </w:tcBorders>
            <w:vAlign w:val="center"/>
          </w:tcPr>
          <w:p w14:paraId="34749724" w14:textId="77777777" w:rsidR="000A3175" w:rsidRPr="00253733" w:rsidRDefault="000A3175" w:rsidP="00FF0EE8">
            <w:pPr>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tcPr>
          <w:p w14:paraId="77D71D49" w14:textId="77777777" w:rsidR="000A3175" w:rsidRPr="00253733" w:rsidRDefault="000A3175" w:rsidP="00FF0EE8">
            <w:pPr>
              <w:autoSpaceDE/>
              <w:autoSpaceDN/>
              <w:adjustRightInd/>
              <w:spacing w:line="240" w:lineRule="auto"/>
              <w:rPr>
                <w:color w:val="000000"/>
              </w:rPr>
            </w:pPr>
            <w:r w:rsidRPr="00253733">
              <w:rPr>
                <w:color w:val="000000"/>
              </w:rPr>
              <w:t>Industrial Machinery Mechanics (499041)</w:t>
            </w:r>
          </w:p>
        </w:tc>
      </w:tr>
      <w:tr w:rsidR="000A3175" w:rsidRPr="000A3175" w14:paraId="55CA4A0C" w14:textId="77777777" w:rsidTr="00E311C2">
        <w:trPr>
          <w:trHeight w:val="260"/>
        </w:trPr>
        <w:tc>
          <w:tcPr>
            <w:tcW w:w="2065" w:type="dxa"/>
            <w:vMerge/>
            <w:tcBorders>
              <w:top w:val="nil"/>
              <w:left w:val="single" w:sz="4" w:space="0" w:color="auto"/>
              <w:bottom w:val="single" w:sz="4" w:space="0" w:color="auto"/>
              <w:right w:val="single" w:sz="4" w:space="0" w:color="auto"/>
            </w:tcBorders>
            <w:vAlign w:val="center"/>
            <w:hideMark/>
          </w:tcPr>
          <w:p w14:paraId="0B90028B" w14:textId="77777777" w:rsidR="000A3175" w:rsidRPr="00253733" w:rsidRDefault="000A3175" w:rsidP="00FF0EE8">
            <w:pPr>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hideMark/>
          </w:tcPr>
          <w:p w14:paraId="2EBE4E30" w14:textId="77777777" w:rsidR="000A3175" w:rsidRPr="00253733" w:rsidRDefault="000A3175" w:rsidP="00FF0EE8">
            <w:pPr>
              <w:autoSpaceDE/>
              <w:autoSpaceDN/>
              <w:adjustRightInd/>
              <w:spacing w:line="240" w:lineRule="auto"/>
              <w:rPr>
                <w:color w:val="000000"/>
              </w:rPr>
            </w:pPr>
            <w:r w:rsidRPr="00253733">
              <w:rPr>
                <w:color w:val="000000"/>
              </w:rPr>
              <w:t>Nuclear Power Reactor Operators (518011)</w:t>
            </w:r>
          </w:p>
        </w:tc>
      </w:tr>
      <w:tr w:rsidR="000A3175" w:rsidRPr="000A3175" w14:paraId="223C7B22" w14:textId="77777777" w:rsidTr="00E311C2">
        <w:trPr>
          <w:trHeight w:val="26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4C879A8E" w14:textId="77777777" w:rsidR="000A3175" w:rsidRPr="00253733" w:rsidRDefault="000A3175" w:rsidP="00FF0EE8">
            <w:pPr>
              <w:autoSpaceDE/>
              <w:autoSpaceDN/>
              <w:adjustRightInd/>
              <w:spacing w:line="240" w:lineRule="auto"/>
              <w:jc w:val="center"/>
              <w:rPr>
                <w:color w:val="000000"/>
              </w:rPr>
            </w:pPr>
            <w:r w:rsidRPr="00253733">
              <w:rPr>
                <w:color w:val="000000"/>
              </w:rPr>
              <w:t>Administrative Staff</w:t>
            </w:r>
          </w:p>
        </w:tc>
        <w:tc>
          <w:tcPr>
            <w:tcW w:w="7380" w:type="dxa"/>
            <w:tcBorders>
              <w:top w:val="nil"/>
              <w:left w:val="nil"/>
              <w:bottom w:val="single" w:sz="4" w:space="0" w:color="auto"/>
              <w:right w:val="single" w:sz="4" w:space="0" w:color="auto"/>
            </w:tcBorders>
            <w:shd w:val="clear" w:color="auto" w:fill="auto"/>
            <w:vAlign w:val="center"/>
            <w:hideMark/>
          </w:tcPr>
          <w:p w14:paraId="09411E85" w14:textId="77777777" w:rsidR="000A3175" w:rsidRPr="00253733" w:rsidRDefault="000A3175" w:rsidP="00FF0EE8">
            <w:pPr>
              <w:autoSpaceDE/>
              <w:autoSpaceDN/>
              <w:adjustRightInd/>
              <w:spacing w:line="240" w:lineRule="auto"/>
              <w:rPr>
                <w:color w:val="000000"/>
              </w:rPr>
            </w:pPr>
            <w:r w:rsidRPr="00253733">
              <w:rPr>
                <w:color w:val="000000"/>
              </w:rPr>
              <w:t>Office and Administrative Support Occupations (430000)</w:t>
            </w:r>
          </w:p>
        </w:tc>
      </w:tr>
      <w:tr w:rsidR="000A3175" w:rsidRPr="000A3175" w14:paraId="0E62884D" w14:textId="77777777" w:rsidTr="00E311C2">
        <w:trPr>
          <w:trHeight w:val="260"/>
        </w:trPr>
        <w:tc>
          <w:tcPr>
            <w:tcW w:w="2065" w:type="dxa"/>
            <w:vMerge/>
            <w:tcBorders>
              <w:top w:val="nil"/>
              <w:left w:val="single" w:sz="4" w:space="0" w:color="auto"/>
              <w:bottom w:val="single" w:sz="4" w:space="0" w:color="auto"/>
              <w:right w:val="single" w:sz="4" w:space="0" w:color="auto"/>
            </w:tcBorders>
            <w:vAlign w:val="center"/>
            <w:hideMark/>
          </w:tcPr>
          <w:p w14:paraId="054C7E47" w14:textId="77777777" w:rsidR="000A3175" w:rsidRPr="00253733" w:rsidRDefault="000A3175" w:rsidP="00FF0EE8">
            <w:pPr>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hideMark/>
          </w:tcPr>
          <w:p w14:paraId="629522BD" w14:textId="77777777" w:rsidR="000A3175" w:rsidRPr="00253733" w:rsidRDefault="000A3175" w:rsidP="00FF0EE8">
            <w:pPr>
              <w:autoSpaceDE/>
              <w:autoSpaceDN/>
              <w:adjustRightInd/>
              <w:spacing w:line="240" w:lineRule="auto"/>
              <w:rPr>
                <w:color w:val="000000"/>
              </w:rPr>
            </w:pPr>
            <w:r w:rsidRPr="00253733">
              <w:rPr>
                <w:color w:val="000000"/>
              </w:rPr>
              <w:t>First-Line Supervisors of Office and Administrative Support Workers (431011)</w:t>
            </w:r>
          </w:p>
        </w:tc>
      </w:tr>
      <w:tr w:rsidR="000A3175" w:rsidRPr="000A3175" w14:paraId="41D5610B" w14:textId="77777777" w:rsidTr="00E311C2">
        <w:trPr>
          <w:trHeight w:val="251"/>
        </w:trPr>
        <w:tc>
          <w:tcPr>
            <w:tcW w:w="2065" w:type="dxa"/>
            <w:vMerge/>
            <w:tcBorders>
              <w:top w:val="nil"/>
              <w:left w:val="single" w:sz="4" w:space="0" w:color="auto"/>
              <w:bottom w:val="single" w:sz="4" w:space="0" w:color="auto"/>
              <w:right w:val="single" w:sz="4" w:space="0" w:color="auto"/>
            </w:tcBorders>
            <w:vAlign w:val="center"/>
            <w:hideMark/>
          </w:tcPr>
          <w:p w14:paraId="7513AB11" w14:textId="77777777" w:rsidR="000A3175" w:rsidRPr="00253733" w:rsidRDefault="000A3175" w:rsidP="00FF0EE8">
            <w:pPr>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hideMark/>
          </w:tcPr>
          <w:p w14:paraId="0E9694C1" w14:textId="77777777" w:rsidR="000A3175" w:rsidRPr="00253733" w:rsidRDefault="000A3175" w:rsidP="00FF0EE8">
            <w:pPr>
              <w:autoSpaceDE/>
              <w:autoSpaceDN/>
              <w:adjustRightInd/>
              <w:spacing w:line="240" w:lineRule="auto"/>
              <w:rPr>
                <w:color w:val="000000"/>
              </w:rPr>
            </w:pPr>
            <w:r w:rsidRPr="00253733">
              <w:rPr>
                <w:color w:val="000000"/>
              </w:rPr>
              <w:t>Office Clerks General (439061)</w:t>
            </w:r>
          </w:p>
        </w:tc>
      </w:tr>
      <w:tr w:rsidR="000A3175" w:rsidRPr="000A3175" w14:paraId="0E787EA9" w14:textId="77777777" w:rsidTr="00E311C2">
        <w:trPr>
          <w:trHeight w:val="26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31F8ADED" w14:textId="77777777" w:rsidR="000A3175" w:rsidRPr="00253733" w:rsidRDefault="000A3175" w:rsidP="00FF0EE8">
            <w:pPr>
              <w:autoSpaceDE/>
              <w:autoSpaceDN/>
              <w:adjustRightInd/>
              <w:spacing w:line="240" w:lineRule="auto"/>
              <w:jc w:val="center"/>
              <w:rPr>
                <w:color w:val="000000"/>
              </w:rPr>
            </w:pPr>
            <w:r w:rsidRPr="00253733">
              <w:rPr>
                <w:color w:val="000000"/>
              </w:rPr>
              <w:t>Licensing Staff </w:t>
            </w:r>
          </w:p>
        </w:tc>
        <w:tc>
          <w:tcPr>
            <w:tcW w:w="7380" w:type="dxa"/>
            <w:tcBorders>
              <w:top w:val="nil"/>
              <w:left w:val="nil"/>
              <w:bottom w:val="single" w:sz="4" w:space="0" w:color="auto"/>
              <w:right w:val="single" w:sz="4" w:space="0" w:color="auto"/>
            </w:tcBorders>
            <w:shd w:val="clear" w:color="auto" w:fill="auto"/>
            <w:vAlign w:val="center"/>
            <w:hideMark/>
          </w:tcPr>
          <w:p w14:paraId="2C352927" w14:textId="77777777" w:rsidR="000A3175" w:rsidRPr="00253733" w:rsidRDefault="000A3175" w:rsidP="00FF0EE8">
            <w:pPr>
              <w:autoSpaceDE/>
              <w:autoSpaceDN/>
              <w:adjustRightInd/>
              <w:spacing w:line="240" w:lineRule="auto"/>
              <w:rPr>
                <w:color w:val="000000"/>
              </w:rPr>
            </w:pPr>
            <w:r w:rsidRPr="00253733">
              <w:rPr>
                <w:color w:val="000000"/>
              </w:rPr>
              <w:t>Lawyers (231011)</w:t>
            </w:r>
          </w:p>
        </w:tc>
      </w:tr>
      <w:tr w:rsidR="000A3175" w:rsidRPr="000A3175" w14:paraId="3345ECBE" w14:textId="77777777" w:rsidTr="00E311C2">
        <w:trPr>
          <w:trHeight w:val="251"/>
        </w:trPr>
        <w:tc>
          <w:tcPr>
            <w:tcW w:w="2065" w:type="dxa"/>
            <w:vMerge/>
            <w:tcBorders>
              <w:top w:val="nil"/>
              <w:left w:val="single" w:sz="4" w:space="0" w:color="auto"/>
              <w:bottom w:val="single" w:sz="4" w:space="0" w:color="auto"/>
              <w:right w:val="single" w:sz="4" w:space="0" w:color="auto"/>
            </w:tcBorders>
            <w:vAlign w:val="center"/>
          </w:tcPr>
          <w:p w14:paraId="3F9FC36E" w14:textId="77777777" w:rsidR="000A3175" w:rsidRPr="00253733" w:rsidRDefault="000A3175" w:rsidP="00FF0EE8">
            <w:pPr>
              <w:autoSpaceDE/>
              <w:autoSpaceDN/>
              <w:adjustRightInd/>
              <w:spacing w:line="240" w:lineRule="auto"/>
              <w:rPr>
                <w:color w:val="000000"/>
              </w:rPr>
            </w:pPr>
          </w:p>
        </w:tc>
        <w:tc>
          <w:tcPr>
            <w:tcW w:w="7380" w:type="dxa"/>
            <w:tcBorders>
              <w:top w:val="nil"/>
              <w:left w:val="nil"/>
              <w:bottom w:val="single" w:sz="4" w:space="0" w:color="auto"/>
              <w:right w:val="single" w:sz="4" w:space="0" w:color="auto"/>
            </w:tcBorders>
            <w:shd w:val="clear" w:color="auto" w:fill="auto"/>
            <w:vAlign w:val="center"/>
          </w:tcPr>
          <w:p w14:paraId="6F1928FA" w14:textId="77777777" w:rsidR="000A3175" w:rsidRPr="00253733" w:rsidRDefault="000A3175" w:rsidP="00FF0EE8">
            <w:pPr>
              <w:autoSpaceDE/>
              <w:autoSpaceDN/>
              <w:adjustRightInd/>
              <w:spacing w:line="240" w:lineRule="auto"/>
              <w:rPr>
                <w:color w:val="000000"/>
              </w:rPr>
            </w:pPr>
            <w:r w:rsidRPr="00253733">
              <w:rPr>
                <w:color w:val="000000"/>
              </w:rPr>
              <w:t>Paralegals and Legal Assistants (232011)</w:t>
            </w:r>
          </w:p>
        </w:tc>
      </w:tr>
    </w:tbl>
    <w:p w14:paraId="0D712923" w14:textId="77777777" w:rsidR="00AA7B04" w:rsidRPr="00BD3549" w:rsidRDefault="00AA7B04" w:rsidP="00FF0EE8">
      <w:pPr>
        <w:pStyle w:val="Heading3"/>
        <w:spacing w:line="240" w:lineRule="auto"/>
        <w:ind w:left="540"/>
      </w:pPr>
      <w:bookmarkStart w:id="57" w:name="_Toc467508199"/>
      <w:bookmarkStart w:id="58" w:name="_Toc462224952"/>
      <w:bookmarkStart w:id="59" w:name="_Toc468875911"/>
      <w:bookmarkEnd w:id="57"/>
      <w:r w:rsidRPr="00BD3549">
        <w:t xml:space="preserve">Affected </w:t>
      </w:r>
      <w:r w:rsidR="00292D77" w:rsidRPr="00BD3549">
        <w:t>Entities</w:t>
      </w:r>
      <w:bookmarkEnd w:id="58"/>
      <w:bookmarkEnd w:id="59"/>
    </w:p>
    <w:p w14:paraId="4943DF22" w14:textId="77777777" w:rsidR="00AA7B04" w:rsidRDefault="00AA7B04" w:rsidP="00FF0EE8">
      <w:pPr>
        <w:keepNext/>
        <w:spacing w:line="240" w:lineRule="auto"/>
      </w:pPr>
    </w:p>
    <w:p w14:paraId="4BD3F6C4" w14:textId="77777777" w:rsidR="004E7620" w:rsidRDefault="004E7620" w:rsidP="00AB6627">
      <w:pPr>
        <w:spacing w:line="240" w:lineRule="auto"/>
      </w:pPr>
      <w:r>
        <w:t>Th</w:t>
      </w:r>
      <w:r w:rsidR="00EC100B">
        <w:t>is rule would affect th</w:t>
      </w:r>
      <w:r>
        <w:t>e following entities:</w:t>
      </w:r>
    </w:p>
    <w:p w14:paraId="1DAE87C2" w14:textId="77777777" w:rsidR="004E7620" w:rsidRPr="00BD3549" w:rsidRDefault="004E7620" w:rsidP="00AB6627">
      <w:pPr>
        <w:spacing w:line="240" w:lineRule="auto"/>
      </w:pPr>
    </w:p>
    <w:p w14:paraId="4B9AED0D" w14:textId="45BC9639" w:rsidR="006A652F" w:rsidRPr="00BD3549" w:rsidRDefault="002828CB" w:rsidP="00FF0EE8">
      <w:pPr>
        <w:pStyle w:val="ListParagraph"/>
        <w:numPr>
          <w:ilvl w:val="0"/>
          <w:numId w:val="3"/>
        </w:numPr>
        <w:spacing w:line="240" w:lineRule="auto"/>
        <w:ind w:left="720" w:hanging="720"/>
      </w:pPr>
      <w:r w:rsidRPr="00253733">
        <w:rPr>
          <w:u w:val="single"/>
        </w:rPr>
        <w:t xml:space="preserve">Operating </w:t>
      </w:r>
      <w:r w:rsidR="004E7620" w:rsidRPr="00D557C2">
        <w:rPr>
          <w:u w:val="single"/>
        </w:rPr>
        <w:t>R</w:t>
      </w:r>
      <w:r w:rsidRPr="00D557C2">
        <w:rPr>
          <w:u w:val="single"/>
        </w:rPr>
        <w:t xml:space="preserve">eactor </w:t>
      </w:r>
      <w:r w:rsidR="004E7620" w:rsidRPr="00D557C2">
        <w:rPr>
          <w:u w:val="single"/>
        </w:rPr>
        <w:t>U</w:t>
      </w:r>
      <w:r w:rsidRPr="00D557C2">
        <w:rPr>
          <w:u w:val="single"/>
        </w:rPr>
        <w:t>nits</w:t>
      </w:r>
      <w:r w:rsidR="004E7620">
        <w:t xml:space="preserve">.  </w:t>
      </w:r>
      <w:r w:rsidR="00AA7B04" w:rsidRPr="00BD3549">
        <w:t xml:space="preserve">The </w:t>
      </w:r>
      <w:r w:rsidR="008831F5">
        <w:t xml:space="preserve">NRC staff </w:t>
      </w:r>
      <w:r w:rsidR="006A652F" w:rsidRPr="00BD3549">
        <w:t xml:space="preserve">models </w:t>
      </w:r>
      <w:r w:rsidR="00982614">
        <w:t>62</w:t>
      </w:r>
      <w:r w:rsidR="001A1F9C" w:rsidRPr="00BD3549">
        <w:t xml:space="preserve"> </w:t>
      </w:r>
      <w:r w:rsidR="00AA7B04" w:rsidRPr="00BD3549">
        <w:t>U.S. light</w:t>
      </w:r>
      <w:r w:rsidR="00904378">
        <w:noBreakHyphen/>
      </w:r>
      <w:r w:rsidR="00AA7B04" w:rsidRPr="00BD3549">
        <w:t xml:space="preserve">water nuclear power reactors </w:t>
      </w:r>
      <w:r w:rsidR="00046896">
        <w:t>sites</w:t>
      </w:r>
      <w:r w:rsidR="008831F5">
        <w:t xml:space="preserve"> in this analysis</w:t>
      </w:r>
      <w:r w:rsidR="00982614">
        <w:t>, which reduces to 56</w:t>
      </w:r>
      <w:r w:rsidR="001A1F9C" w:rsidRPr="001A1F9C">
        <w:t xml:space="preserve"> plant sites in 2019</w:t>
      </w:r>
      <w:r w:rsidR="006A652F" w:rsidRPr="00BD3549">
        <w:t>.</w:t>
      </w:r>
      <w:r w:rsidR="008E61F8" w:rsidRPr="00827F4D">
        <w:rPr>
          <w:rStyle w:val="FootnoteReference"/>
          <w:vertAlign w:val="superscript"/>
        </w:rPr>
        <w:footnoteReference w:id="5"/>
      </w:r>
      <w:r w:rsidR="00046896">
        <w:t xml:space="preserve">  </w:t>
      </w:r>
      <w:r w:rsidR="001A1F9C" w:rsidRPr="001A1F9C">
        <w:t xml:space="preserve">This list of operating reactor units includes Watts Bar </w:t>
      </w:r>
      <w:r w:rsidR="004E7620">
        <w:t>Nuclear Plant,</w:t>
      </w:r>
      <w:r w:rsidR="009101D6">
        <w:t xml:space="preserve"> </w:t>
      </w:r>
      <w:r w:rsidR="001A1F9C" w:rsidRPr="001A1F9C">
        <w:t>Unit 2</w:t>
      </w:r>
      <w:r w:rsidR="004E7620">
        <w:t>;</w:t>
      </w:r>
      <w:r w:rsidR="001A1F9C" w:rsidRPr="001A1F9C">
        <w:t xml:space="preserve"> Vogtle</w:t>
      </w:r>
      <w:r w:rsidR="004E7620">
        <w:t xml:space="preserve"> Electric Generating Plant,</w:t>
      </w:r>
      <w:r w:rsidR="001A1F9C" w:rsidRPr="001A1F9C">
        <w:t xml:space="preserve"> Units</w:t>
      </w:r>
      <w:r w:rsidR="004E7620">
        <w:t> </w:t>
      </w:r>
      <w:r w:rsidR="001A1F9C" w:rsidRPr="001A1F9C">
        <w:t>3 and 4 (expected to begin operations in 2019 and 2020, respectively)</w:t>
      </w:r>
      <w:r w:rsidR="004E7620">
        <w:t>;</w:t>
      </w:r>
      <w:r w:rsidR="001A1F9C" w:rsidRPr="001A1F9C">
        <w:t xml:space="preserve"> and V.C. Summer </w:t>
      </w:r>
      <w:r w:rsidR="004E7620">
        <w:t xml:space="preserve">Nuclear Station, </w:t>
      </w:r>
      <w:r w:rsidR="001A1F9C" w:rsidRPr="001A1F9C">
        <w:t>Units</w:t>
      </w:r>
      <w:r w:rsidR="004E7620">
        <w:t> </w:t>
      </w:r>
      <w:r w:rsidR="001A1F9C" w:rsidRPr="001A1F9C">
        <w:t>2 and 3 (expected to begin operations in 2019 and 2020, respectively)</w:t>
      </w:r>
      <w:r w:rsidR="004E7620">
        <w:t>,</w:t>
      </w:r>
      <w:r w:rsidR="001A1F9C" w:rsidRPr="001A1F9C">
        <w:t xml:space="preserve"> for the purposes of this analysis.</w:t>
      </w:r>
      <w:r w:rsidR="001A1F9C">
        <w:t xml:space="preserve">  </w:t>
      </w:r>
      <w:r w:rsidR="00046896">
        <w:t xml:space="preserve">One conditioned </w:t>
      </w:r>
      <w:r w:rsidR="00EC100B">
        <w:t xml:space="preserve">ASME </w:t>
      </w:r>
      <w:r w:rsidR="00046896">
        <w:t>Code Case, N</w:t>
      </w:r>
      <w:r w:rsidR="00904378">
        <w:noBreakHyphen/>
      </w:r>
      <w:r w:rsidR="00046896">
        <w:t xml:space="preserve">795, is specific to </w:t>
      </w:r>
      <w:r w:rsidR="00660501">
        <w:t>boiling</w:t>
      </w:r>
      <w:r w:rsidR="00904378">
        <w:noBreakHyphen/>
      </w:r>
      <w:r w:rsidR="00660501">
        <w:t>water reactor</w:t>
      </w:r>
      <w:r w:rsidR="00B704FC">
        <w:t xml:space="preserve"> (BWR) designs</w:t>
      </w:r>
      <w:r w:rsidR="00046896">
        <w:t xml:space="preserve"> </w:t>
      </w:r>
      <w:r w:rsidR="00660501">
        <w:t>for which</w:t>
      </w:r>
      <w:r w:rsidR="00046896">
        <w:t xml:space="preserve"> there are </w:t>
      </w:r>
      <w:r w:rsidR="002462C0">
        <w:t xml:space="preserve">22 </w:t>
      </w:r>
      <w:r w:rsidR="00046896">
        <w:t>BWR sites.</w:t>
      </w:r>
      <w:r w:rsidR="00D753D1">
        <w:t xml:space="preserve"> </w:t>
      </w:r>
      <w:r w:rsidR="00CF12AA">
        <w:t xml:space="preserve"> </w:t>
      </w:r>
      <w:r w:rsidR="00E564F1">
        <w:t>D</w:t>
      </w:r>
      <w:r w:rsidR="001565D6">
        <w:t>uring calendar year</w:t>
      </w:r>
      <w:r w:rsidR="00D753D1">
        <w:t xml:space="preserve"> 2019, Oyster Creek</w:t>
      </w:r>
      <w:r w:rsidR="00904378">
        <w:t xml:space="preserve"> Nuclear Generating Station</w:t>
      </w:r>
      <w:r w:rsidR="00DC7BB2">
        <w:t xml:space="preserve"> (Oyster Creek)</w:t>
      </w:r>
      <w:r w:rsidR="001565D6">
        <w:t xml:space="preserve"> and Pilgrim </w:t>
      </w:r>
      <w:r w:rsidR="00904378">
        <w:t>Nuclear Power Station</w:t>
      </w:r>
      <w:r w:rsidR="00DC7BB2">
        <w:t xml:space="preserve"> (Pilgrim)</w:t>
      </w:r>
      <w:r w:rsidR="00D753D1">
        <w:t xml:space="preserve">, </w:t>
      </w:r>
      <w:r w:rsidR="001565D6">
        <w:t>both</w:t>
      </w:r>
      <w:r w:rsidR="00D753D1">
        <w:t xml:space="preserve"> BWR site</w:t>
      </w:r>
      <w:r w:rsidR="001565D6">
        <w:t>s</w:t>
      </w:r>
      <w:r w:rsidR="00D753D1">
        <w:t xml:space="preserve">, </w:t>
      </w:r>
      <w:r w:rsidR="001565D6">
        <w:t>plan to</w:t>
      </w:r>
      <w:r w:rsidR="00D753D1">
        <w:t xml:space="preserve"> </w:t>
      </w:r>
      <w:r w:rsidR="001565D6">
        <w:t xml:space="preserve">prematurely </w:t>
      </w:r>
      <w:r w:rsidR="00D753D1">
        <w:t>shut</w:t>
      </w:r>
      <w:r w:rsidR="00904378">
        <w:t xml:space="preserve"> </w:t>
      </w:r>
      <w:r w:rsidR="00D753D1">
        <w:t>down</w:t>
      </w:r>
      <w:r w:rsidR="00EC100B">
        <w:t>,</w:t>
      </w:r>
      <w:r w:rsidR="00D753D1">
        <w:t xml:space="preserve"> resulting in </w:t>
      </w:r>
      <w:r w:rsidR="002462C0">
        <w:t xml:space="preserve">20 </w:t>
      </w:r>
      <w:r w:rsidR="00D753D1">
        <w:t>BWR sites.</w:t>
      </w:r>
      <w:r w:rsidR="003E6048" w:rsidRPr="003E6048">
        <w:rPr>
          <w:rStyle w:val="FootnoteReference"/>
          <w:vertAlign w:val="superscript"/>
        </w:rPr>
        <w:footnoteReference w:id="6"/>
      </w:r>
    </w:p>
    <w:p w14:paraId="1184E1D2" w14:textId="77777777" w:rsidR="006A652F" w:rsidRPr="00BD3549" w:rsidRDefault="006A652F" w:rsidP="00FF0EE8">
      <w:pPr>
        <w:spacing w:line="240" w:lineRule="auto"/>
      </w:pPr>
    </w:p>
    <w:p w14:paraId="31D7DD74" w14:textId="7F3313E1" w:rsidR="00AA7B04" w:rsidRPr="00BD3549" w:rsidRDefault="006A652F" w:rsidP="00FF0EE8">
      <w:pPr>
        <w:pStyle w:val="ListParagraph"/>
        <w:numPr>
          <w:ilvl w:val="0"/>
          <w:numId w:val="3"/>
        </w:numPr>
        <w:spacing w:line="240" w:lineRule="auto"/>
        <w:ind w:left="720" w:hanging="720"/>
      </w:pPr>
      <w:r w:rsidRPr="00253733">
        <w:rPr>
          <w:u w:val="single"/>
        </w:rPr>
        <w:t xml:space="preserve">Future </w:t>
      </w:r>
      <w:r w:rsidR="004E7620" w:rsidRPr="00D557C2">
        <w:rPr>
          <w:u w:val="single"/>
        </w:rPr>
        <w:t>O</w:t>
      </w:r>
      <w:r w:rsidRPr="00D557C2">
        <w:rPr>
          <w:u w:val="single"/>
        </w:rPr>
        <w:t xml:space="preserve">perating </w:t>
      </w:r>
      <w:r w:rsidR="004E7620" w:rsidRPr="00D557C2">
        <w:rPr>
          <w:u w:val="single"/>
        </w:rPr>
        <w:t>R</w:t>
      </w:r>
      <w:r w:rsidRPr="00D557C2">
        <w:rPr>
          <w:u w:val="single"/>
        </w:rPr>
        <w:t xml:space="preserve">eactor </w:t>
      </w:r>
      <w:r w:rsidR="004E7620" w:rsidRPr="00D557C2">
        <w:rPr>
          <w:u w:val="single"/>
        </w:rPr>
        <w:t>U</w:t>
      </w:r>
      <w:r w:rsidRPr="00D557C2">
        <w:rPr>
          <w:u w:val="single"/>
        </w:rPr>
        <w:t>nits</w:t>
      </w:r>
      <w:r w:rsidR="004E7620">
        <w:t xml:space="preserve">.  </w:t>
      </w:r>
      <w:r w:rsidR="00292D77" w:rsidRPr="00BD3549">
        <w:t xml:space="preserve">The NRC staff assumes that </w:t>
      </w:r>
      <w:r w:rsidR="002462C0">
        <w:t xml:space="preserve">five </w:t>
      </w:r>
      <w:r w:rsidR="00292D77" w:rsidRPr="00BD3549">
        <w:t>future operating light</w:t>
      </w:r>
      <w:r w:rsidR="00904378">
        <w:noBreakHyphen/>
      </w:r>
      <w:r w:rsidR="00292D77" w:rsidRPr="00BD3549">
        <w:t xml:space="preserve">water nuclear power reactors would be affected by the </w:t>
      </w:r>
      <w:r w:rsidR="00787200">
        <w:t xml:space="preserve">final </w:t>
      </w:r>
      <w:r w:rsidR="00292D77" w:rsidRPr="00BD3549">
        <w:t xml:space="preserve">rule and </w:t>
      </w:r>
      <w:r w:rsidR="00385F68">
        <w:t xml:space="preserve">are </w:t>
      </w:r>
      <w:r w:rsidR="00292D77" w:rsidRPr="00BD3549">
        <w:t xml:space="preserve">considered in this analysis.  </w:t>
      </w:r>
      <w:r w:rsidR="002462C0" w:rsidRPr="002462C0">
        <w:t>The</w:t>
      </w:r>
      <w:r w:rsidR="00E564F1">
        <w:t xml:space="preserve">se </w:t>
      </w:r>
      <w:r w:rsidR="002462C0" w:rsidRPr="002462C0">
        <w:t>are South Texas Project</w:t>
      </w:r>
      <w:r w:rsidR="00904378">
        <w:t>,</w:t>
      </w:r>
      <w:r w:rsidR="002462C0" w:rsidRPr="002462C0">
        <w:t xml:space="preserve"> Units 3 and 4</w:t>
      </w:r>
      <w:r w:rsidR="008360E1">
        <w:t xml:space="preserve"> (South Texas)</w:t>
      </w:r>
      <w:r w:rsidR="00904378">
        <w:t>;</w:t>
      </w:r>
      <w:r w:rsidR="002462C0" w:rsidRPr="002462C0">
        <w:t xml:space="preserve"> Enrico</w:t>
      </w:r>
      <w:r w:rsidR="00E564F1">
        <w:t> </w:t>
      </w:r>
      <w:r w:rsidR="002462C0" w:rsidRPr="002462C0">
        <w:t>Fermi</w:t>
      </w:r>
      <w:r w:rsidR="00904378">
        <w:t>,</w:t>
      </w:r>
      <w:r w:rsidR="002462C0" w:rsidRPr="002462C0">
        <w:t xml:space="preserve"> Unit 3</w:t>
      </w:r>
      <w:r w:rsidR="00904378">
        <w:t>;</w:t>
      </w:r>
      <w:r w:rsidR="002462C0" w:rsidRPr="002462C0">
        <w:t xml:space="preserve"> Levy County</w:t>
      </w:r>
      <w:r w:rsidR="00904378">
        <w:t xml:space="preserve"> Nuclear Power Plant</w:t>
      </w:r>
      <w:r w:rsidR="008360E1">
        <w:t xml:space="preserve"> (Levy County)</w:t>
      </w:r>
      <w:r w:rsidR="00904378">
        <w:t>;</w:t>
      </w:r>
      <w:r w:rsidR="002462C0" w:rsidRPr="002462C0">
        <w:t xml:space="preserve"> and</w:t>
      </w:r>
      <w:r w:rsidR="00904378" w:rsidRPr="00253733">
        <w:rPr>
          <w:sz w:val="20"/>
          <w:lang w:val="en"/>
        </w:rPr>
        <w:t xml:space="preserve"> </w:t>
      </w:r>
      <w:r w:rsidR="00904378">
        <w:t xml:space="preserve">William States </w:t>
      </w:r>
      <w:r w:rsidR="002462C0" w:rsidRPr="002462C0">
        <w:t xml:space="preserve">Lee </w:t>
      </w:r>
      <w:r w:rsidR="00904378">
        <w:t xml:space="preserve">III Nuclear </w:t>
      </w:r>
      <w:r w:rsidR="002462C0" w:rsidRPr="002462C0">
        <w:t>Station</w:t>
      </w:r>
      <w:r w:rsidR="008360E1">
        <w:t xml:space="preserve"> (Lee Station)</w:t>
      </w:r>
      <w:r w:rsidR="002462C0" w:rsidRPr="002462C0">
        <w:t>.</w:t>
      </w:r>
      <w:r w:rsidR="00292D77" w:rsidRPr="000D0ED7">
        <w:rPr>
          <w:sz w:val="24"/>
          <w:vertAlign w:val="superscript"/>
        </w:rPr>
        <w:footnoteReference w:id="7"/>
      </w:r>
    </w:p>
    <w:p w14:paraId="41576C67" w14:textId="77777777" w:rsidR="00D038FE" w:rsidRPr="00BD3549" w:rsidRDefault="00D038FE" w:rsidP="00FF0EE8">
      <w:pPr>
        <w:spacing w:line="240" w:lineRule="auto"/>
      </w:pPr>
    </w:p>
    <w:p w14:paraId="51E68D46" w14:textId="5153A3FA" w:rsidR="00D038FE" w:rsidRDefault="00D038FE" w:rsidP="00FF0EE8">
      <w:pPr>
        <w:spacing w:line="240" w:lineRule="auto"/>
      </w:pPr>
      <w:r w:rsidRPr="00BD3549">
        <w:t xml:space="preserve">To account for new nuclear power reactors under construction that are anticipated to begin operation </w:t>
      </w:r>
      <w:r w:rsidR="003917B0">
        <w:t>beginning in 2019</w:t>
      </w:r>
      <w:r w:rsidRPr="00BD3549">
        <w:t xml:space="preserve">, the NRC modeled a hypothetical nuclear power reactor to analyze </w:t>
      </w:r>
      <w:r w:rsidR="00787200">
        <w:t>the</w:t>
      </w:r>
      <w:r w:rsidRPr="00BD3549">
        <w:t xml:space="preserve"> costs and benefits.  The NRC assumes that there would be no significant differences between the future operating reactor units listed above and the modeled </w:t>
      </w:r>
      <w:r w:rsidR="00787200">
        <w:t xml:space="preserve">hypothetical nuclear power </w:t>
      </w:r>
      <w:r w:rsidRPr="00BD3549">
        <w:t>reactor.</w:t>
      </w:r>
      <w:r w:rsidR="00046896">
        <w:t xml:space="preserve">  The NRC staff assumes </w:t>
      </w:r>
      <w:r w:rsidR="003917B0">
        <w:t>these</w:t>
      </w:r>
      <w:r w:rsidR="00046896">
        <w:t xml:space="preserve"> </w:t>
      </w:r>
      <w:r w:rsidR="003917B0">
        <w:t>new</w:t>
      </w:r>
      <w:r w:rsidR="008831F5">
        <w:t xml:space="preserve"> </w:t>
      </w:r>
      <w:r w:rsidR="00046896">
        <w:t xml:space="preserve">reactor </w:t>
      </w:r>
      <w:r w:rsidR="003917B0">
        <w:t xml:space="preserve">units </w:t>
      </w:r>
      <w:r w:rsidR="00046896">
        <w:t xml:space="preserve">would be a </w:t>
      </w:r>
      <w:r w:rsidR="008831F5">
        <w:t>pressurized</w:t>
      </w:r>
      <w:r w:rsidR="00904378">
        <w:noBreakHyphen/>
      </w:r>
      <w:r w:rsidR="008831F5">
        <w:t xml:space="preserve">water reactor </w:t>
      </w:r>
      <w:r w:rsidR="00B704FC">
        <w:t>(PWR)</w:t>
      </w:r>
      <w:r w:rsidR="00046896">
        <w:t xml:space="preserve"> design.</w:t>
      </w:r>
    </w:p>
    <w:p w14:paraId="14C698D0" w14:textId="77777777" w:rsidR="00361512" w:rsidRDefault="00361512" w:rsidP="00FF0EE8">
      <w:pPr>
        <w:spacing w:line="240" w:lineRule="auto"/>
      </w:pPr>
    </w:p>
    <w:p w14:paraId="21E129FF" w14:textId="77777777" w:rsidR="00361512" w:rsidRDefault="00361512" w:rsidP="00FF0EE8">
      <w:pPr>
        <w:keepNext/>
        <w:spacing w:line="240" w:lineRule="auto"/>
      </w:pPr>
      <w:r>
        <w:rPr>
          <w:i/>
        </w:rPr>
        <w:t>Assumptions Related to Affected Entities</w:t>
      </w:r>
    </w:p>
    <w:p w14:paraId="5614EB96" w14:textId="77777777" w:rsidR="00361512" w:rsidRDefault="00361512" w:rsidP="00FF0EE8">
      <w:pPr>
        <w:keepNext/>
        <w:spacing w:line="240" w:lineRule="auto"/>
      </w:pPr>
    </w:p>
    <w:p w14:paraId="7B9EAC0F" w14:textId="28EA7B9A" w:rsidR="005E42E8" w:rsidRPr="00E564F1" w:rsidRDefault="000E6B74" w:rsidP="00FF0EE8">
      <w:pPr>
        <w:spacing w:line="240" w:lineRule="auto"/>
      </w:pPr>
      <w:r>
        <w:t>This analysis does not include o</w:t>
      </w:r>
      <w:r w:rsidR="00361512">
        <w:t xml:space="preserve">ther potential new reactors licensed under </w:t>
      </w:r>
      <w:r w:rsidR="00530AA1">
        <w:t>10</w:t>
      </w:r>
      <w:r>
        <w:t> </w:t>
      </w:r>
      <w:r w:rsidR="00530AA1">
        <w:t>CFR</w:t>
      </w:r>
      <w:r>
        <w:t> </w:t>
      </w:r>
      <w:r w:rsidR="00361512">
        <w:t>Part</w:t>
      </w:r>
      <w:r>
        <w:t> </w:t>
      </w:r>
      <w:r w:rsidR="00361512">
        <w:t>52</w:t>
      </w:r>
      <w:r>
        <w:t xml:space="preserve">, “Licenses, Certifications, and Approvals of </w:t>
      </w:r>
      <w:r w:rsidR="008360E1">
        <w:t>Nuc</w:t>
      </w:r>
      <w:r>
        <w:t>lear Power Plants,”</w:t>
      </w:r>
      <w:r w:rsidR="00361512">
        <w:t xml:space="preserve"> and small modular reactors.</w:t>
      </w:r>
      <w:r w:rsidR="00C16E67" w:rsidRPr="00E564F1">
        <w:rPr>
          <w:rStyle w:val="FootnoteReference"/>
          <w:vertAlign w:val="superscript"/>
        </w:rPr>
        <w:footnoteReference w:id="8"/>
      </w:r>
      <w:r w:rsidR="003E6048">
        <w:t xml:space="preserve">  </w:t>
      </w:r>
      <w:r w:rsidR="003E6048">
        <w:rPr>
          <w:rFonts w:eastAsiaTheme="minorEastAsia"/>
          <w:lang w:eastAsia="ja-JP"/>
        </w:rPr>
        <w:t>T</w:t>
      </w:r>
      <w:r w:rsidR="003E6048" w:rsidRPr="00DD6DBD">
        <w:t xml:space="preserve">he NRC </w:t>
      </w:r>
      <w:r w:rsidR="003E6048">
        <w:t>does not account for any incremental costs for</w:t>
      </w:r>
      <w:r w:rsidR="003E6048" w:rsidRPr="00DD6DBD">
        <w:t xml:space="preserve"> </w:t>
      </w:r>
      <w:r w:rsidR="003E6048">
        <w:t>other</w:t>
      </w:r>
      <w:r w:rsidR="003E6048" w:rsidRPr="00DD6DBD">
        <w:t xml:space="preserve"> </w:t>
      </w:r>
      <w:r w:rsidR="00BF4D7E">
        <w:t xml:space="preserve">combined license </w:t>
      </w:r>
      <w:r w:rsidR="003E6048" w:rsidRPr="00DD6DBD">
        <w:t xml:space="preserve">applications that </w:t>
      </w:r>
      <w:r w:rsidR="003E6048">
        <w:t>may</w:t>
      </w:r>
      <w:r w:rsidR="003E6048" w:rsidRPr="00DD6DBD">
        <w:t xml:space="preserve"> be </w:t>
      </w:r>
      <w:r w:rsidR="003E6048">
        <w:t xml:space="preserve">submitted and </w:t>
      </w:r>
      <w:r w:rsidR="003E6048" w:rsidRPr="00DD6DBD">
        <w:t>affected by the alternatives</w:t>
      </w:r>
      <w:r w:rsidR="003E6048">
        <w:t xml:space="preserve"> (e.g., a potential application associated with the NuScale design)</w:t>
      </w:r>
      <w:r w:rsidR="003E6048" w:rsidRPr="00DD6DBD">
        <w:t xml:space="preserve">.  The staff considered forecasts </w:t>
      </w:r>
      <w:r w:rsidR="003E6048">
        <w:t>of the timing of these applications and the future construction of these reactors</w:t>
      </w:r>
      <w:r w:rsidR="003E6048" w:rsidRPr="00DD6DBD">
        <w:t xml:space="preserve"> as too speculative for this analysis.</w:t>
      </w:r>
    </w:p>
    <w:p w14:paraId="113BC219" w14:textId="77777777" w:rsidR="008669FB" w:rsidRPr="00253733" w:rsidRDefault="008669FB" w:rsidP="00FF0EE8">
      <w:pPr>
        <w:pStyle w:val="Heading3"/>
        <w:spacing w:line="240" w:lineRule="auto"/>
        <w:ind w:left="540"/>
        <w:rPr>
          <w:color w:val="auto"/>
        </w:rPr>
      </w:pPr>
      <w:bookmarkStart w:id="60" w:name="_Toc414345366"/>
      <w:bookmarkStart w:id="61" w:name="_Toc414345744"/>
      <w:bookmarkStart w:id="62" w:name="_Toc414345962"/>
      <w:bookmarkStart w:id="63" w:name="_Toc462224953"/>
      <w:bookmarkStart w:id="64" w:name="_Toc468875912"/>
      <w:bookmarkEnd w:id="60"/>
      <w:bookmarkEnd w:id="61"/>
      <w:bookmarkEnd w:id="62"/>
      <w:r w:rsidRPr="00253733">
        <w:rPr>
          <w:color w:val="auto"/>
        </w:rPr>
        <w:t>Sign Conventions</w:t>
      </w:r>
      <w:bookmarkEnd w:id="63"/>
      <w:bookmarkEnd w:id="64"/>
    </w:p>
    <w:p w14:paraId="3C91FC4B" w14:textId="77777777" w:rsidR="008669FB" w:rsidRPr="00E564F1" w:rsidRDefault="008669FB" w:rsidP="00FF0EE8">
      <w:pPr>
        <w:keepNext/>
        <w:spacing w:line="240" w:lineRule="auto"/>
      </w:pPr>
    </w:p>
    <w:p w14:paraId="4788A076" w14:textId="326E246B" w:rsidR="008669FB" w:rsidRPr="008669FB" w:rsidRDefault="008669FB" w:rsidP="00FF0EE8">
      <w:pPr>
        <w:spacing w:line="240" w:lineRule="auto"/>
      </w:pPr>
      <w:r w:rsidRPr="00D557C2">
        <w:t>Th</w:t>
      </w:r>
      <w:r w:rsidR="00E564F1">
        <w:t>is</w:t>
      </w:r>
      <w:r w:rsidRPr="00253733">
        <w:t xml:space="preserve"> analysis </w:t>
      </w:r>
      <w:r w:rsidR="00E564F1">
        <w:t>considers</w:t>
      </w:r>
      <w:r w:rsidRPr="00D557C2">
        <w:t xml:space="preserve"> </w:t>
      </w:r>
      <w:r w:rsidR="008360E1" w:rsidRPr="00D557C2">
        <w:t>that</w:t>
      </w:r>
      <w:r w:rsidR="008360E1" w:rsidRPr="00253733">
        <w:t xml:space="preserve"> </w:t>
      </w:r>
      <w:r w:rsidRPr="00253733">
        <w:t xml:space="preserve">all favorable consequences </w:t>
      </w:r>
      <w:r w:rsidR="00787200" w:rsidRPr="00253733">
        <w:t xml:space="preserve">for the alternative </w:t>
      </w:r>
      <w:r w:rsidRPr="00253733">
        <w:t xml:space="preserve">are positive and </w:t>
      </w:r>
      <w:r w:rsidR="008360E1" w:rsidRPr="00D557C2">
        <w:t xml:space="preserve">that </w:t>
      </w:r>
      <w:r w:rsidRPr="00253733">
        <w:t xml:space="preserve">all adverse consequences </w:t>
      </w:r>
      <w:r w:rsidR="00787200" w:rsidRPr="00253733">
        <w:t xml:space="preserve">for the alternative </w:t>
      </w:r>
      <w:r w:rsidRPr="00253733">
        <w:t>are negative</w:t>
      </w:r>
      <w:r w:rsidRPr="00E564F1">
        <w:t xml:space="preserve">.  </w:t>
      </w:r>
      <w:r w:rsidR="00E564F1">
        <w:t>Therefore</w:t>
      </w:r>
      <w:r w:rsidR="00835781" w:rsidRPr="00E564F1">
        <w:t xml:space="preserve">, additional costs above the regulatory baseline are shown as negative </w:t>
      </w:r>
      <w:r w:rsidR="00835781">
        <w:t>values</w:t>
      </w:r>
      <w:r w:rsidR="008360E1">
        <w:t>,</w:t>
      </w:r>
      <w:r w:rsidR="00835781">
        <w:t xml:space="preserve"> </w:t>
      </w:r>
      <w:r w:rsidR="00835781" w:rsidRPr="00BD3549">
        <w:t>and cost savings</w:t>
      </w:r>
      <w:r w:rsidR="00835781">
        <w:t xml:space="preserve"> and averted costs</w:t>
      </w:r>
      <w:r w:rsidR="00835781" w:rsidRPr="00BD3549">
        <w:t xml:space="preserve"> are </w:t>
      </w:r>
      <w:r w:rsidR="00835781">
        <w:t>shown as</w:t>
      </w:r>
      <w:r w:rsidR="00835781" w:rsidRPr="00BD3549">
        <w:t xml:space="preserve"> positive</w:t>
      </w:r>
      <w:r w:rsidR="00835781">
        <w:t xml:space="preserve"> values.  </w:t>
      </w:r>
      <w:r>
        <w:t>Negative values are shown using parentheses (e.g.,</w:t>
      </w:r>
      <w:r w:rsidR="008360E1">
        <w:t> </w:t>
      </w:r>
      <w:r>
        <w:t>negative $500 is displayed as ($500)).</w:t>
      </w:r>
    </w:p>
    <w:p w14:paraId="5F80B930" w14:textId="77777777" w:rsidR="00D770E4" w:rsidRDefault="00D770E4" w:rsidP="00FF0EE8">
      <w:pPr>
        <w:pStyle w:val="Heading3"/>
        <w:spacing w:line="240" w:lineRule="auto"/>
        <w:ind w:left="540"/>
      </w:pPr>
      <w:bookmarkStart w:id="65" w:name="_Toc462224954"/>
      <w:bookmarkStart w:id="66" w:name="_Toc468875913"/>
      <w:r>
        <w:t>Code Case Horizon</w:t>
      </w:r>
      <w:bookmarkEnd w:id="65"/>
      <w:bookmarkEnd w:id="66"/>
    </w:p>
    <w:p w14:paraId="684D5CF9" w14:textId="77777777" w:rsidR="00D770E4" w:rsidRDefault="00D770E4" w:rsidP="00FF0EE8">
      <w:pPr>
        <w:keepNext/>
        <w:spacing w:line="240" w:lineRule="auto"/>
      </w:pPr>
    </w:p>
    <w:p w14:paraId="7AF4A3EE" w14:textId="1A25837D" w:rsidR="00CC70F9" w:rsidRDefault="00D770E4" w:rsidP="00FF0EE8">
      <w:pPr>
        <w:spacing w:line="240" w:lineRule="auto"/>
      </w:pPr>
      <w:r>
        <w:t xml:space="preserve">The NRC staff </w:t>
      </w:r>
      <w:r w:rsidR="00787200">
        <w:t>assumes</w:t>
      </w:r>
      <w:r>
        <w:t xml:space="preserve"> that </w:t>
      </w:r>
      <w:r w:rsidR="00AA5438">
        <w:t xml:space="preserve">the </w:t>
      </w:r>
      <w:r>
        <w:t xml:space="preserve">incorporation of </w:t>
      </w:r>
      <w:r w:rsidR="00787200">
        <w:t xml:space="preserve">ASME </w:t>
      </w:r>
      <w:r w:rsidR="00AE121B">
        <w:t>Code Cases</w:t>
      </w:r>
      <w:r>
        <w:t xml:space="preserve"> would occur within two cycles of issuing a new edition of the Code or within </w:t>
      </w:r>
      <w:r w:rsidR="006B3DAF">
        <w:t>six</w:t>
      </w:r>
      <w:r>
        <w:t xml:space="preserve"> years</w:t>
      </w:r>
      <w:r w:rsidR="00787200">
        <w:t>, whichever occurs first</w:t>
      </w:r>
      <w:r>
        <w:t xml:space="preserve">.  A </w:t>
      </w:r>
      <w:r w:rsidR="006B3DAF">
        <w:t>six</w:t>
      </w:r>
      <w:r>
        <w:t xml:space="preserve">-year </w:t>
      </w:r>
      <w:r w:rsidR="007223F2">
        <w:t>period</w:t>
      </w:r>
      <w:r>
        <w:t xml:space="preserve"> for the effective use of </w:t>
      </w:r>
      <w:r w:rsidR="003640F4">
        <w:t xml:space="preserve">a </w:t>
      </w:r>
      <w:r>
        <w:t xml:space="preserve">Code </w:t>
      </w:r>
      <w:r w:rsidR="00C70566">
        <w:t>C</w:t>
      </w:r>
      <w:r>
        <w:t xml:space="preserve">ase, a relatively short </w:t>
      </w:r>
      <w:r w:rsidR="007223F2">
        <w:t>period</w:t>
      </w:r>
      <w:r>
        <w:t xml:space="preserve">, was </w:t>
      </w:r>
      <w:r w:rsidR="007223F2">
        <w:t>used</w:t>
      </w:r>
      <w:r>
        <w:t xml:space="preserve"> for two reasons.  First, because ASME updates the edition of the Code every</w:t>
      </w:r>
      <w:r w:rsidR="003640F4">
        <w:t xml:space="preserve"> </w:t>
      </w:r>
      <w:r w:rsidR="004E3E0C">
        <w:t xml:space="preserve">two </w:t>
      </w:r>
      <w:r>
        <w:t xml:space="preserve">years, those </w:t>
      </w:r>
      <w:r w:rsidR="00AE121B">
        <w:t>Code Cases</w:t>
      </w:r>
      <w:r>
        <w:t xml:space="preserve"> used by industry would </w:t>
      </w:r>
      <w:r w:rsidR="003640F4">
        <w:t xml:space="preserve">likely </w:t>
      </w:r>
      <w:r>
        <w:t xml:space="preserve">be incorporated into the Code.  </w:t>
      </w:r>
      <w:r w:rsidR="00787200">
        <w:t xml:space="preserve">Second, </w:t>
      </w:r>
      <w:r w:rsidR="003640F4">
        <w:t xml:space="preserve">because </w:t>
      </w:r>
      <w:r w:rsidR="00787200">
        <w:t>the alternatives within this regulatory analysis have up</w:t>
      </w:r>
      <w:r w:rsidR="003640F4">
        <w:noBreakHyphen/>
      </w:r>
      <w:r w:rsidR="00787200">
        <w:t>front costs with benefits that accrue in later years through averted costs (e.g.,</w:t>
      </w:r>
      <w:r w:rsidR="003640F4">
        <w:t> </w:t>
      </w:r>
      <w:r w:rsidR="00787200">
        <w:t xml:space="preserve">licensees and applicants no longer need to submit a Code </w:t>
      </w:r>
      <w:r w:rsidR="00C70566">
        <w:t>C</w:t>
      </w:r>
      <w:r w:rsidR="00787200">
        <w:t>ase alternative request), shorter time horizons place heavier emphasis on the implementation costs than on benefits.  In this analysis, a short time horizon is selected to provide a conservative estimate of the alternative</w:t>
      </w:r>
      <w:r w:rsidR="003640F4">
        <w:t> </w:t>
      </w:r>
      <w:r w:rsidR="00787200">
        <w:t>2 impact</w:t>
      </w:r>
      <w:r w:rsidR="00DB1810">
        <w:t>.</w:t>
      </w:r>
    </w:p>
    <w:p w14:paraId="1641DBBF" w14:textId="77777777" w:rsidR="0041427E" w:rsidRDefault="0041427E" w:rsidP="00FF0EE8">
      <w:pPr>
        <w:pStyle w:val="Heading3"/>
        <w:spacing w:line="240" w:lineRule="auto"/>
        <w:ind w:left="720" w:hanging="720"/>
      </w:pPr>
      <w:bookmarkStart w:id="67" w:name="_Toc462224955"/>
      <w:bookmarkStart w:id="68" w:name="_Toc468875914"/>
      <w:r>
        <w:t>Dollar per Person-Rem Conversion Factor</w:t>
      </w:r>
      <w:bookmarkEnd w:id="67"/>
      <w:bookmarkEnd w:id="68"/>
    </w:p>
    <w:p w14:paraId="7797F2A5" w14:textId="77777777" w:rsidR="0041427E" w:rsidRDefault="0041427E" w:rsidP="00FF0EE8">
      <w:pPr>
        <w:keepNext/>
        <w:spacing w:line="240" w:lineRule="auto"/>
      </w:pPr>
    </w:p>
    <w:p w14:paraId="1B448FFE" w14:textId="4981540B" w:rsidR="0041427E" w:rsidRDefault="0041427E" w:rsidP="00FF0EE8">
      <w:pPr>
        <w:spacing w:line="240" w:lineRule="auto"/>
      </w:pPr>
      <w:r>
        <w:t xml:space="preserve">The NRC is currently revising the dollar per person-rem averted conversion factor </w:t>
      </w:r>
      <w:r w:rsidR="00854129">
        <w:t>of $2,000 per person</w:t>
      </w:r>
      <w:r w:rsidR="003640F4">
        <w:noBreakHyphen/>
      </w:r>
      <w:r w:rsidR="00854129">
        <w:t xml:space="preserve">rem </w:t>
      </w:r>
      <w:r>
        <w:t xml:space="preserve">based on recent information </w:t>
      </w:r>
      <w:r w:rsidR="00873634">
        <w:t>on</w:t>
      </w:r>
      <w:r>
        <w:t xml:space="preserve"> the value of a statistical life</w:t>
      </w:r>
      <w:r w:rsidR="00854129">
        <w:t xml:space="preserve"> and cancer risk factors</w:t>
      </w:r>
      <w:r>
        <w:t xml:space="preserve">.  The NRC </w:t>
      </w:r>
      <w:r w:rsidR="00854129">
        <w:t xml:space="preserve">staff </w:t>
      </w:r>
      <w:r w:rsidR="00660501">
        <w:t>included</w:t>
      </w:r>
      <w:r>
        <w:t xml:space="preserve"> </w:t>
      </w:r>
      <w:r w:rsidR="00854129">
        <w:t xml:space="preserve">the </w:t>
      </w:r>
      <w:r>
        <w:t xml:space="preserve">proposed </w:t>
      </w:r>
      <w:r w:rsidR="00854129">
        <w:t xml:space="preserve">updated </w:t>
      </w:r>
      <w:r>
        <w:t>dollar per person</w:t>
      </w:r>
      <w:r w:rsidR="003640F4">
        <w:noBreakHyphen/>
      </w:r>
      <w:r>
        <w:t>rem value</w:t>
      </w:r>
      <w:r w:rsidR="00B20FDB">
        <w:t>s</w:t>
      </w:r>
      <w:r>
        <w:t xml:space="preserve"> </w:t>
      </w:r>
      <w:r w:rsidR="00423E56">
        <w:t>provided in</w:t>
      </w:r>
      <w:r w:rsidR="00B20FDB">
        <w:t xml:space="preserve"> this</w:t>
      </w:r>
      <w:r>
        <w:t xml:space="preserve"> </w:t>
      </w:r>
      <w:r w:rsidR="00423E56">
        <w:t>analysis</w:t>
      </w:r>
      <w:r w:rsidR="00854129">
        <w:t>.</w:t>
      </w:r>
      <w:r w:rsidR="00121E78" w:rsidRPr="00121E78">
        <w:rPr>
          <w:rStyle w:val="FootnoteReference"/>
          <w:vertAlign w:val="superscript"/>
        </w:rPr>
        <w:footnoteReference w:id="9"/>
      </w:r>
    </w:p>
    <w:p w14:paraId="3054B40E" w14:textId="109F3507" w:rsidR="00BB4884" w:rsidRDefault="00BB4884">
      <w:pPr>
        <w:autoSpaceDE/>
        <w:autoSpaceDN/>
        <w:adjustRightInd/>
      </w:pPr>
      <w:r>
        <w:br w:type="page"/>
      </w:r>
    </w:p>
    <w:p w14:paraId="46C203CA" w14:textId="77777777" w:rsidR="00423E56" w:rsidRPr="00423E56" w:rsidRDefault="00423E56" w:rsidP="00FF0EE8">
      <w:pPr>
        <w:spacing w:line="240" w:lineRule="auto"/>
      </w:pPr>
    </w:p>
    <w:p w14:paraId="3C8C3A14" w14:textId="2F8B56CC" w:rsidR="00423E56" w:rsidRPr="00253733" w:rsidRDefault="00423E56" w:rsidP="00FF0EE8">
      <w:pPr>
        <w:pStyle w:val="Caption"/>
        <w:spacing w:line="240" w:lineRule="auto"/>
        <w:ind w:left="1080" w:hanging="1080"/>
        <w:jc w:val="center"/>
        <w:rPr>
          <w:b/>
        </w:rPr>
      </w:pPr>
      <w:bookmarkStart w:id="69" w:name="_Ref462056571"/>
      <w:bookmarkStart w:id="70" w:name="_Toc467508492"/>
      <w:bookmarkStart w:id="71" w:name="_Toc462224998"/>
      <w:r w:rsidRPr="00253733">
        <w:rPr>
          <w:b/>
        </w:rPr>
        <w:t xml:space="preserve">Table </w:t>
      </w:r>
      <w:r w:rsidR="00782423" w:rsidRPr="00253733">
        <w:rPr>
          <w:b/>
        </w:rPr>
        <w:fldChar w:fldCharType="begin"/>
      </w:r>
      <w:r w:rsidR="00782423" w:rsidRPr="00253733">
        <w:rPr>
          <w:b/>
        </w:rPr>
        <w:instrText xml:space="preserve"> SEQ Table \* ARABIC </w:instrText>
      </w:r>
      <w:r w:rsidR="00782423" w:rsidRPr="00253733">
        <w:rPr>
          <w:b/>
        </w:rPr>
        <w:fldChar w:fldCharType="separate"/>
      </w:r>
      <w:r w:rsidR="00FD3AB6">
        <w:rPr>
          <w:b/>
          <w:noProof/>
        </w:rPr>
        <w:t>3</w:t>
      </w:r>
      <w:r w:rsidR="00782423" w:rsidRPr="00253733">
        <w:rPr>
          <w:b/>
        </w:rPr>
        <w:fldChar w:fldCharType="end"/>
      </w:r>
      <w:bookmarkEnd w:id="69"/>
      <w:r w:rsidR="006C3FF0" w:rsidRPr="00D557C2">
        <w:rPr>
          <w:b/>
        </w:rPr>
        <w:t xml:space="preserve">  </w:t>
      </w:r>
      <w:r w:rsidRPr="00253733">
        <w:rPr>
          <w:b/>
        </w:rPr>
        <w:t>Dollar per Person-Rem Conversion Factor</w:t>
      </w:r>
      <w:r w:rsidR="000A3175" w:rsidRPr="00253733">
        <w:rPr>
          <w:b/>
        </w:rPr>
        <w:t xml:space="preserve"> Sensitivity Values</w:t>
      </w:r>
      <w:bookmarkEnd w:id="70"/>
      <w:bookmarkEnd w:id="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585"/>
        <w:gridCol w:w="1870"/>
        <w:gridCol w:w="1870"/>
        <w:gridCol w:w="1870"/>
      </w:tblGrid>
      <w:tr w:rsidR="000A3175" w:rsidRPr="000A3175" w14:paraId="1A1CBC20" w14:textId="77777777" w:rsidTr="005B1852">
        <w:trPr>
          <w:jc w:val="center"/>
        </w:trPr>
        <w:tc>
          <w:tcPr>
            <w:tcW w:w="2155" w:type="dxa"/>
            <w:vMerge w:val="restart"/>
            <w:vAlign w:val="center"/>
          </w:tcPr>
          <w:p w14:paraId="6A9CE58F" w14:textId="77777777" w:rsidR="000A3175" w:rsidRPr="00253733" w:rsidRDefault="000A3175" w:rsidP="00FF0EE8">
            <w:pPr>
              <w:spacing w:line="240" w:lineRule="auto"/>
              <w:jc w:val="center"/>
              <w:rPr>
                <w:b/>
                <w:color w:val="000000" w:themeColor="text1"/>
              </w:rPr>
            </w:pPr>
            <w:r w:rsidRPr="00253733">
              <w:rPr>
                <w:b/>
                <w:color w:val="000000" w:themeColor="text1"/>
              </w:rPr>
              <w:t>Parameter</w:t>
            </w:r>
          </w:p>
        </w:tc>
        <w:tc>
          <w:tcPr>
            <w:tcW w:w="1585" w:type="dxa"/>
            <w:vMerge w:val="restart"/>
            <w:vAlign w:val="center"/>
          </w:tcPr>
          <w:p w14:paraId="201F860E" w14:textId="77777777" w:rsidR="000A3175" w:rsidRPr="00253733" w:rsidRDefault="000A3175" w:rsidP="00FF0EE8">
            <w:pPr>
              <w:spacing w:line="240" w:lineRule="auto"/>
              <w:jc w:val="center"/>
              <w:rPr>
                <w:b/>
                <w:color w:val="000000" w:themeColor="text1"/>
              </w:rPr>
            </w:pPr>
            <w:r w:rsidRPr="00253733">
              <w:rPr>
                <w:b/>
                <w:color w:val="000000" w:themeColor="text1"/>
              </w:rPr>
              <w:t>Base Case</w:t>
            </w:r>
          </w:p>
        </w:tc>
        <w:tc>
          <w:tcPr>
            <w:tcW w:w="5610" w:type="dxa"/>
            <w:gridSpan w:val="3"/>
            <w:vAlign w:val="center"/>
          </w:tcPr>
          <w:p w14:paraId="74667829" w14:textId="77777777" w:rsidR="000A3175" w:rsidRPr="00253733" w:rsidRDefault="000A3175" w:rsidP="00FF0EE8">
            <w:pPr>
              <w:spacing w:line="240" w:lineRule="auto"/>
              <w:jc w:val="center"/>
              <w:rPr>
                <w:b/>
                <w:color w:val="000000" w:themeColor="text1"/>
              </w:rPr>
            </w:pPr>
            <w:r w:rsidRPr="00253733">
              <w:rPr>
                <w:b/>
                <w:color w:val="000000" w:themeColor="text1"/>
              </w:rPr>
              <w:t>Sensitivity Analysis Values (2017 dollars)</w:t>
            </w:r>
          </w:p>
        </w:tc>
      </w:tr>
      <w:tr w:rsidR="000A3175" w:rsidRPr="000A3175" w14:paraId="0D01937F" w14:textId="77777777" w:rsidTr="005B1852">
        <w:trPr>
          <w:jc w:val="center"/>
        </w:trPr>
        <w:tc>
          <w:tcPr>
            <w:tcW w:w="2155" w:type="dxa"/>
            <w:vMerge/>
            <w:vAlign w:val="center"/>
          </w:tcPr>
          <w:p w14:paraId="5B69DB95" w14:textId="77777777" w:rsidR="000A3175" w:rsidRPr="00253733" w:rsidRDefault="000A3175" w:rsidP="00FF0EE8">
            <w:pPr>
              <w:spacing w:line="240" w:lineRule="auto"/>
              <w:jc w:val="center"/>
              <w:rPr>
                <w:b/>
                <w:color w:val="000000" w:themeColor="text1"/>
              </w:rPr>
            </w:pPr>
          </w:p>
        </w:tc>
        <w:tc>
          <w:tcPr>
            <w:tcW w:w="1585" w:type="dxa"/>
            <w:vMerge/>
            <w:vAlign w:val="center"/>
          </w:tcPr>
          <w:p w14:paraId="0719D9AB" w14:textId="77777777" w:rsidR="000A3175" w:rsidRPr="00253733" w:rsidRDefault="000A3175" w:rsidP="00FF0EE8">
            <w:pPr>
              <w:spacing w:line="240" w:lineRule="auto"/>
              <w:jc w:val="center"/>
              <w:rPr>
                <w:b/>
                <w:color w:val="000000" w:themeColor="text1"/>
              </w:rPr>
            </w:pPr>
          </w:p>
        </w:tc>
        <w:tc>
          <w:tcPr>
            <w:tcW w:w="1870" w:type="dxa"/>
            <w:vAlign w:val="center"/>
          </w:tcPr>
          <w:p w14:paraId="05C0363D" w14:textId="77777777" w:rsidR="000A3175" w:rsidRPr="00253733" w:rsidRDefault="000A3175" w:rsidP="00FF0EE8">
            <w:pPr>
              <w:spacing w:line="240" w:lineRule="auto"/>
              <w:jc w:val="center"/>
              <w:rPr>
                <w:b/>
                <w:color w:val="000000" w:themeColor="text1"/>
              </w:rPr>
            </w:pPr>
            <w:r w:rsidRPr="00253733">
              <w:rPr>
                <w:b/>
                <w:color w:val="000000" w:themeColor="text1"/>
              </w:rPr>
              <w:t>Low Estimate</w:t>
            </w:r>
          </w:p>
        </w:tc>
        <w:tc>
          <w:tcPr>
            <w:tcW w:w="1870" w:type="dxa"/>
            <w:vAlign w:val="center"/>
          </w:tcPr>
          <w:p w14:paraId="39ED6FB8" w14:textId="2C0CAAC6" w:rsidR="000A3175" w:rsidRPr="00253733" w:rsidRDefault="000A3175" w:rsidP="00FF0EE8">
            <w:pPr>
              <w:spacing w:line="240" w:lineRule="auto"/>
              <w:jc w:val="center"/>
              <w:rPr>
                <w:b/>
                <w:color w:val="000000" w:themeColor="text1"/>
              </w:rPr>
            </w:pPr>
            <w:r w:rsidRPr="00253733">
              <w:rPr>
                <w:b/>
                <w:color w:val="000000" w:themeColor="text1"/>
              </w:rPr>
              <w:t xml:space="preserve">Proposed </w:t>
            </w:r>
            <w:r w:rsidR="00EE1E25">
              <w:rPr>
                <w:b/>
                <w:color w:val="000000" w:themeColor="text1"/>
              </w:rPr>
              <w:t>V</w:t>
            </w:r>
            <w:r w:rsidRPr="00D557C2">
              <w:rPr>
                <w:b/>
                <w:color w:val="000000" w:themeColor="text1"/>
              </w:rPr>
              <w:t>alue</w:t>
            </w:r>
          </w:p>
        </w:tc>
        <w:tc>
          <w:tcPr>
            <w:tcW w:w="1870" w:type="dxa"/>
            <w:vAlign w:val="center"/>
          </w:tcPr>
          <w:p w14:paraId="64E3AA1A" w14:textId="77777777" w:rsidR="000A3175" w:rsidRPr="00253733" w:rsidRDefault="000A3175" w:rsidP="00FF0EE8">
            <w:pPr>
              <w:spacing w:line="240" w:lineRule="auto"/>
              <w:jc w:val="center"/>
              <w:rPr>
                <w:b/>
                <w:color w:val="000000" w:themeColor="text1"/>
              </w:rPr>
            </w:pPr>
            <w:r w:rsidRPr="00253733">
              <w:rPr>
                <w:b/>
                <w:color w:val="000000" w:themeColor="text1"/>
              </w:rPr>
              <w:t>High Estimate</w:t>
            </w:r>
          </w:p>
        </w:tc>
      </w:tr>
      <w:tr w:rsidR="000A3175" w:rsidRPr="000A3175" w14:paraId="55A35DE8" w14:textId="77777777" w:rsidTr="00E311C2">
        <w:trPr>
          <w:jc w:val="center"/>
        </w:trPr>
        <w:tc>
          <w:tcPr>
            <w:tcW w:w="2155" w:type="dxa"/>
            <w:vAlign w:val="center"/>
          </w:tcPr>
          <w:p w14:paraId="10841FC5" w14:textId="58FE2240" w:rsidR="000A3175" w:rsidRPr="00253733" w:rsidRDefault="000A3175" w:rsidP="00FF0EE8">
            <w:pPr>
              <w:spacing w:line="240" w:lineRule="auto"/>
              <w:jc w:val="center"/>
              <w:rPr>
                <w:color w:val="000000" w:themeColor="text1"/>
              </w:rPr>
            </w:pPr>
            <w:r w:rsidRPr="00253733">
              <w:rPr>
                <w:color w:val="000000" w:themeColor="text1"/>
              </w:rPr>
              <w:t>Dollar per person</w:t>
            </w:r>
            <w:r w:rsidR="00EE1E25">
              <w:rPr>
                <w:color w:val="000000" w:themeColor="text1"/>
              </w:rPr>
              <w:noBreakHyphen/>
            </w:r>
            <w:r w:rsidRPr="00253733">
              <w:rPr>
                <w:color w:val="000000" w:themeColor="text1"/>
              </w:rPr>
              <w:t>rem conversion factor</w:t>
            </w:r>
          </w:p>
        </w:tc>
        <w:tc>
          <w:tcPr>
            <w:tcW w:w="1585" w:type="dxa"/>
            <w:vAlign w:val="center"/>
          </w:tcPr>
          <w:p w14:paraId="37C3779F" w14:textId="59ED18C2" w:rsidR="000A3175" w:rsidRPr="00253733" w:rsidRDefault="000A3175" w:rsidP="00FF0EE8">
            <w:pPr>
              <w:spacing w:line="240" w:lineRule="auto"/>
              <w:jc w:val="center"/>
              <w:rPr>
                <w:color w:val="000000" w:themeColor="text1"/>
              </w:rPr>
            </w:pPr>
            <w:r w:rsidRPr="00253733">
              <w:rPr>
                <w:color w:val="000000" w:themeColor="text1"/>
              </w:rPr>
              <w:t>$</w:t>
            </w:r>
            <w:r w:rsidRPr="00D557C2">
              <w:rPr>
                <w:color w:val="000000" w:themeColor="text1"/>
              </w:rPr>
              <w:t>2</w:t>
            </w:r>
            <w:r w:rsidR="006C3FF0" w:rsidRPr="00D557C2">
              <w:rPr>
                <w:color w:val="000000" w:themeColor="text1"/>
              </w:rPr>
              <w:t>,</w:t>
            </w:r>
            <w:r w:rsidRPr="00D557C2">
              <w:rPr>
                <w:color w:val="000000" w:themeColor="text1"/>
              </w:rPr>
              <w:t>000</w:t>
            </w:r>
          </w:p>
        </w:tc>
        <w:tc>
          <w:tcPr>
            <w:tcW w:w="1870" w:type="dxa"/>
            <w:vAlign w:val="center"/>
          </w:tcPr>
          <w:p w14:paraId="60D0EB4C" w14:textId="77777777" w:rsidR="000A3175" w:rsidRPr="00253733" w:rsidRDefault="000A3175" w:rsidP="00FF0EE8">
            <w:pPr>
              <w:spacing w:line="240" w:lineRule="auto"/>
              <w:jc w:val="center"/>
              <w:rPr>
                <w:color w:val="000000" w:themeColor="text1"/>
              </w:rPr>
            </w:pPr>
            <w:r w:rsidRPr="00253733">
              <w:rPr>
                <w:color w:val="000000" w:themeColor="text1"/>
              </w:rPr>
              <w:t>$3,100</w:t>
            </w:r>
          </w:p>
        </w:tc>
        <w:tc>
          <w:tcPr>
            <w:tcW w:w="1870" w:type="dxa"/>
            <w:vAlign w:val="center"/>
          </w:tcPr>
          <w:p w14:paraId="49DFA8F6" w14:textId="77777777" w:rsidR="000A3175" w:rsidRPr="00253733" w:rsidRDefault="000A3175" w:rsidP="00FF0EE8">
            <w:pPr>
              <w:spacing w:line="240" w:lineRule="auto"/>
              <w:jc w:val="center"/>
              <w:rPr>
                <w:color w:val="000000" w:themeColor="text1"/>
              </w:rPr>
            </w:pPr>
            <w:r w:rsidRPr="00253733">
              <w:rPr>
                <w:color w:val="000000" w:themeColor="text1"/>
              </w:rPr>
              <w:t>$5,200</w:t>
            </w:r>
          </w:p>
        </w:tc>
        <w:tc>
          <w:tcPr>
            <w:tcW w:w="1870" w:type="dxa"/>
            <w:vAlign w:val="center"/>
          </w:tcPr>
          <w:p w14:paraId="2461C3DB" w14:textId="77777777" w:rsidR="000A3175" w:rsidRPr="00253733" w:rsidRDefault="000A3175" w:rsidP="00FF0EE8">
            <w:pPr>
              <w:spacing w:line="240" w:lineRule="auto"/>
              <w:jc w:val="center"/>
              <w:rPr>
                <w:color w:val="000000" w:themeColor="text1"/>
              </w:rPr>
            </w:pPr>
            <w:r w:rsidRPr="00253733">
              <w:rPr>
                <w:color w:val="000000" w:themeColor="text1"/>
              </w:rPr>
              <w:t>$7,700</w:t>
            </w:r>
          </w:p>
        </w:tc>
      </w:tr>
    </w:tbl>
    <w:p w14:paraId="775673B5" w14:textId="77777777" w:rsidR="000A3175" w:rsidRDefault="000A3175" w:rsidP="00FF0EE8">
      <w:pPr>
        <w:spacing w:line="240" w:lineRule="auto"/>
      </w:pPr>
    </w:p>
    <w:p w14:paraId="4AA1CC35" w14:textId="77777777" w:rsidR="00CF131A" w:rsidRDefault="00CF131A" w:rsidP="00FF0EE8">
      <w:pPr>
        <w:pStyle w:val="Heading3"/>
        <w:spacing w:before="0" w:line="240" w:lineRule="auto"/>
        <w:ind w:left="547"/>
      </w:pPr>
      <w:bookmarkStart w:id="72" w:name="_Ref435704698"/>
      <w:bookmarkStart w:id="73" w:name="_Ref435704702"/>
      <w:bookmarkStart w:id="74" w:name="_Toc462224956"/>
      <w:bookmarkStart w:id="75" w:name="_Toc468875915"/>
      <w:r>
        <w:t>Replacement Power Cost</w:t>
      </w:r>
      <w:bookmarkEnd w:id="72"/>
      <w:bookmarkEnd w:id="73"/>
      <w:bookmarkEnd w:id="74"/>
      <w:bookmarkEnd w:id="75"/>
    </w:p>
    <w:p w14:paraId="3C23E4FF" w14:textId="77777777" w:rsidR="00CF131A" w:rsidRDefault="00CF131A" w:rsidP="00FF0EE8">
      <w:pPr>
        <w:keepNext/>
        <w:spacing w:line="240" w:lineRule="auto"/>
      </w:pPr>
    </w:p>
    <w:p w14:paraId="4814D903" w14:textId="4C1C1FD5" w:rsidR="00D73918" w:rsidRDefault="00CF131A" w:rsidP="00FF0EE8">
      <w:pPr>
        <w:spacing w:line="240" w:lineRule="auto"/>
      </w:pPr>
      <w:r>
        <w:t xml:space="preserve">Replacement </w:t>
      </w:r>
      <w:r w:rsidR="00D73918">
        <w:t>power</w:t>
      </w:r>
      <w:r>
        <w:t xml:space="preserve"> costs are the costs for replacing the energy when the NRC requirements on a</w:t>
      </w:r>
      <w:r w:rsidR="00873634">
        <w:t>n ASME</w:t>
      </w:r>
      <w:r>
        <w:t xml:space="preserve"> Code Case specify or result in extended downtime. </w:t>
      </w:r>
      <w:r w:rsidR="00D73918">
        <w:t xml:space="preserve"> </w:t>
      </w:r>
      <w:r>
        <w:t>The NRC assumes that licensees engage in power purchase agreements (PPA</w:t>
      </w:r>
      <w:r w:rsidR="000D7AB7">
        <w:t>s</w:t>
      </w:r>
      <w:r>
        <w:t xml:space="preserve">) to economically replace power. </w:t>
      </w:r>
      <w:r w:rsidR="00D73918">
        <w:t xml:space="preserve"> </w:t>
      </w:r>
      <w:r>
        <w:t>Although not all licensees may have PPAs, the licensee will still need to replace the lost power any time the nuclear power plant is not operating to meet its electrical supply obligations.</w:t>
      </w:r>
    </w:p>
    <w:p w14:paraId="62D621C7" w14:textId="77777777" w:rsidR="00D73918" w:rsidRDefault="00D73918" w:rsidP="00FF0EE8">
      <w:pPr>
        <w:spacing w:line="240" w:lineRule="auto"/>
      </w:pPr>
    </w:p>
    <w:p w14:paraId="4BDAB964" w14:textId="3F5F1676" w:rsidR="00D73918" w:rsidRDefault="00D73918" w:rsidP="00FF0EE8">
      <w:pPr>
        <w:spacing w:line="240" w:lineRule="auto"/>
      </w:pPr>
      <w:r>
        <w:t xml:space="preserve">The NRC is currently updating its estimates for replacement energy costs based on a U.S. competitive electricity market area model.  The updated model provides the replacement energy costs by day, week, and year based on the market area for each year between 2010 and 2020.  For each U.S. power market area, a lowest and highest cost replacement energy cost estimate was calculated, normalizing for reactor megawatt rating differences.  </w:t>
      </w:r>
      <w:r w:rsidR="000D7AB7" w:rsidRPr="00C129C5">
        <w:fldChar w:fldCharType="begin"/>
      </w:r>
      <w:r w:rsidR="000D7AB7" w:rsidRPr="00C129C5">
        <w:instrText xml:space="preserve"> REF _Ref434300176 \h </w:instrText>
      </w:r>
      <w:r w:rsidR="00C129C5" w:rsidRPr="00D557C2">
        <w:instrText xml:space="preserve"> \* MERGEFORMAT </w:instrText>
      </w:r>
      <w:r w:rsidR="000D7AB7" w:rsidRPr="00C129C5">
        <w:fldChar w:fldCharType="separate"/>
      </w:r>
      <w:r w:rsidR="00FD3AB6" w:rsidRPr="00FD3AB6">
        <w:t xml:space="preserve">Table </w:t>
      </w:r>
      <w:r w:rsidR="00FD3AB6" w:rsidRPr="00FD3AB6">
        <w:rPr>
          <w:noProof/>
        </w:rPr>
        <w:t>4</w:t>
      </w:r>
      <w:r w:rsidR="000D7AB7" w:rsidRPr="00C129C5">
        <w:fldChar w:fldCharType="end"/>
      </w:r>
      <w:r w:rsidR="000D7AB7" w:rsidRPr="00C129C5">
        <w:t xml:space="preserve"> lists t</w:t>
      </w:r>
      <w:r w:rsidRPr="00C129C5">
        <w:t xml:space="preserve">he </w:t>
      </w:r>
      <w:r>
        <w:t>estimated replacement energy costs per megawatt</w:t>
      </w:r>
      <w:r w:rsidR="000D7AB7">
        <w:noBreakHyphen/>
      </w:r>
      <w:r>
        <w:t xml:space="preserve">hour for all </w:t>
      </w:r>
      <w:r w:rsidR="00A251A9">
        <w:t>seven U.S. power</w:t>
      </w:r>
      <w:r>
        <w:t xml:space="preserve"> market area</w:t>
      </w:r>
      <w:r w:rsidR="00A251A9">
        <w:t>s</w:t>
      </w:r>
      <w:r>
        <w:t>.</w:t>
      </w:r>
    </w:p>
    <w:p w14:paraId="210712F6" w14:textId="77777777" w:rsidR="00D73918" w:rsidRDefault="00D73918" w:rsidP="00FF0EE8">
      <w:pPr>
        <w:spacing w:line="240" w:lineRule="auto"/>
      </w:pPr>
    </w:p>
    <w:p w14:paraId="276F34D8" w14:textId="1E2DE76D" w:rsidR="00D73918" w:rsidRPr="00253733" w:rsidRDefault="00D73918" w:rsidP="00FF0EE8">
      <w:pPr>
        <w:pStyle w:val="Caption"/>
        <w:spacing w:line="240" w:lineRule="auto"/>
        <w:ind w:left="1080" w:hanging="1080"/>
        <w:jc w:val="center"/>
        <w:rPr>
          <w:b/>
        </w:rPr>
      </w:pPr>
      <w:bookmarkStart w:id="76" w:name="_Ref434300176"/>
      <w:bookmarkStart w:id="77" w:name="_Toc467508493"/>
      <w:bookmarkStart w:id="78" w:name="_Toc462224999"/>
      <w:r w:rsidRPr="00253733">
        <w:rPr>
          <w:b/>
        </w:rPr>
        <w:t xml:space="preserve">Table </w:t>
      </w:r>
      <w:r w:rsidR="00782423" w:rsidRPr="00253733">
        <w:rPr>
          <w:b/>
        </w:rPr>
        <w:fldChar w:fldCharType="begin"/>
      </w:r>
      <w:r w:rsidR="00782423" w:rsidRPr="00253733">
        <w:rPr>
          <w:b/>
        </w:rPr>
        <w:instrText xml:space="preserve"> SEQ Table \* ARABIC </w:instrText>
      </w:r>
      <w:r w:rsidR="00782423" w:rsidRPr="00253733">
        <w:rPr>
          <w:b/>
        </w:rPr>
        <w:fldChar w:fldCharType="separate"/>
      </w:r>
      <w:r w:rsidR="00FD3AB6">
        <w:rPr>
          <w:b/>
          <w:noProof/>
        </w:rPr>
        <w:t>4</w:t>
      </w:r>
      <w:r w:rsidR="00782423" w:rsidRPr="00253733">
        <w:rPr>
          <w:b/>
        </w:rPr>
        <w:fldChar w:fldCharType="end"/>
      </w:r>
      <w:bookmarkEnd w:id="76"/>
      <w:r w:rsidR="006C3FF0" w:rsidRPr="00D557C2">
        <w:rPr>
          <w:b/>
        </w:rPr>
        <w:t xml:space="preserve">  </w:t>
      </w:r>
      <w:r w:rsidRPr="00253733">
        <w:rPr>
          <w:b/>
        </w:rPr>
        <w:t xml:space="preserve">Average Wholesale Electricity Price </w:t>
      </w:r>
      <w:r w:rsidR="00114987" w:rsidRPr="00253733">
        <w:rPr>
          <w:b/>
        </w:rPr>
        <w:t>with a Nuclear Power Plant</w:t>
      </w:r>
      <w:r w:rsidRPr="00253733">
        <w:rPr>
          <w:b/>
        </w:rPr>
        <w:t xml:space="preserve"> Outage</w:t>
      </w:r>
      <w:bookmarkEnd w:id="77"/>
      <w:bookmarkEnd w:id="78"/>
    </w:p>
    <w:tbl>
      <w:tblPr>
        <w:tblW w:w="9038" w:type="dxa"/>
        <w:jc w:val="center"/>
        <w:tblLook w:val="04A0" w:firstRow="1" w:lastRow="0" w:firstColumn="1" w:lastColumn="0" w:noHBand="0" w:noVBand="1"/>
      </w:tblPr>
      <w:tblGrid>
        <w:gridCol w:w="2300"/>
        <w:gridCol w:w="3360"/>
        <w:gridCol w:w="3378"/>
      </w:tblGrid>
      <w:tr w:rsidR="00602B86" w:rsidRPr="00D73918" w14:paraId="08DA0E16" w14:textId="77777777" w:rsidTr="00D557C2">
        <w:trPr>
          <w:trHeight w:val="526"/>
          <w:jc w:val="center"/>
        </w:trPr>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704B1543" w14:textId="7E59D2B5" w:rsidR="00D73918" w:rsidRPr="00D73918" w:rsidRDefault="00D73918" w:rsidP="00FF0EE8">
            <w:pPr>
              <w:autoSpaceDE/>
              <w:autoSpaceDN/>
              <w:adjustRightInd/>
              <w:spacing w:line="240" w:lineRule="auto"/>
              <w:jc w:val="center"/>
              <w:rPr>
                <w:rFonts w:eastAsia="Times New Roman"/>
                <w:b/>
                <w:bCs/>
                <w:color w:val="000000"/>
              </w:rPr>
            </w:pPr>
            <w:r w:rsidRPr="00D73918">
              <w:rPr>
                <w:rFonts w:eastAsia="Times New Roman"/>
                <w:b/>
                <w:bCs/>
                <w:color w:val="000000"/>
              </w:rPr>
              <w:t xml:space="preserve">U.S. </w:t>
            </w:r>
            <w:r w:rsidR="000D7AB7">
              <w:rPr>
                <w:rFonts w:eastAsia="Times New Roman"/>
                <w:b/>
                <w:bCs/>
                <w:color w:val="000000"/>
              </w:rPr>
              <w:t>P</w:t>
            </w:r>
            <w:r w:rsidRPr="00D73918">
              <w:rPr>
                <w:rFonts w:eastAsia="Times New Roman"/>
                <w:b/>
                <w:bCs/>
                <w:color w:val="000000"/>
              </w:rPr>
              <w:t xml:space="preserve">ower </w:t>
            </w:r>
            <w:r w:rsidR="000D7AB7">
              <w:rPr>
                <w:rFonts w:eastAsia="Times New Roman"/>
                <w:b/>
                <w:bCs/>
                <w:color w:val="000000"/>
              </w:rPr>
              <w:t>M</w:t>
            </w:r>
            <w:r w:rsidRPr="00D73918">
              <w:rPr>
                <w:rFonts w:eastAsia="Times New Roman"/>
                <w:b/>
                <w:bCs/>
                <w:color w:val="000000"/>
              </w:rPr>
              <w:t xml:space="preserve">arket </w:t>
            </w:r>
            <w:r w:rsidR="000D7AB7">
              <w:rPr>
                <w:rFonts w:eastAsia="Times New Roman"/>
                <w:b/>
                <w:bCs/>
                <w:color w:val="000000"/>
              </w:rPr>
              <w:t>A</w:t>
            </w:r>
            <w:r w:rsidRPr="00D73918">
              <w:rPr>
                <w:rFonts w:eastAsia="Times New Roman"/>
                <w:b/>
                <w:bCs/>
                <w:color w:val="000000"/>
              </w:rPr>
              <w:t>rea</w:t>
            </w:r>
          </w:p>
        </w:tc>
        <w:tc>
          <w:tcPr>
            <w:tcW w:w="3360" w:type="dxa"/>
            <w:tcBorders>
              <w:top w:val="single" w:sz="4" w:space="0" w:color="auto"/>
              <w:left w:val="nil"/>
              <w:bottom w:val="single" w:sz="4" w:space="0" w:color="auto"/>
              <w:right w:val="single" w:sz="4" w:space="0" w:color="auto"/>
            </w:tcBorders>
            <w:shd w:val="clear" w:color="auto" w:fill="auto"/>
            <w:hideMark/>
          </w:tcPr>
          <w:p w14:paraId="0B7BA088" w14:textId="45DBBF49" w:rsidR="00D73918" w:rsidRPr="00D73918" w:rsidRDefault="00CD1F11" w:rsidP="00FF0EE8">
            <w:pPr>
              <w:autoSpaceDE/>
              <w:autoSpaceDN/>
              <w:adjustRightInd/>
              <w:spacing w:line="240" w:lineRule="auto"/>
              <w:jc w:val="center"/>
              <w:rPr>
                <w:rFonts w:eastAsia="Times New Roman"/>
                <w:b/>
                <w:bCs/>
                <w:color w:val="000000"/>
              </w:rPr>
            </w:pPr>
            <w:r>
              <w:rPr>
                <w:rFonts w:eastAsia="Times New Roman"/>
                <w:b/>
                <w:bCs/>
                <w:color w:val="000000"/>
              </w:rPr>
              <w:t xml:space="preserve">Low </w:t>
            </w:r>
            <w:r w:rsidR="000D7AB7">
              <w:rPr>
                <w:rFonts w:eastAsia="Times New Roman"/>
                <w:b/>
                <w:bCs/>
                <w:color w:val="000000"/>
              </w:rPr>
              <w:t>R</w:t>
            </w:r>
            <w:r>
              <w:rPr>
                <w:rFonts w:eastAsia="Times New Roman"/>
                <w:b/>
                <w:bCs/>
                <w:color w:val="000000"/>
              </w:rPr>
              <w:t>ange</w:t>
            </w:r>
            <w:r w:rsidR="00D73918" w:rsidRPr="00D73918">
              <w:rPr>
                <w:rFonts w:eastAsia="Times New Roman"/>
                <w:b/>
                <w:bCs/>
                <w:color w:val="000000"/>
              </w:rPr>
              <w:br/>
              <w:t>$/M</w:t>
            </w:r>
            <w:r w:rsidR="00D73918">
              <w:rPr>
                <w:rFonts w:eastAsia="Times New Roman"/>
                <w:b/>
                <w:bCs/>
                <w:color w:val="000000"/>
              </w:rPr>
              <w:t>W</w:t>
            </w:r>
            <w:r w:rsidR="00D73918" w:rsidRPr="00D73918">
              <w:rPr>
                <w:rFonts w:eastAsia="Times New Roman"/>
                <w:b/>
                <w:bCs/>
                <w:color w:val="000000"/>
              </w:rPr>
              <w:t>e-hr (</w:t>
            </w:r>
            <w:r w:rsidR="00453E52" w:rsidRPr="00D73918">
              <w:rPr>
                <w:rFonts w:eastAsia="Times New Roman"/>
                <w:b/>
                <w:bCs/>
                <w:color w:val="000000"/>
              </w:rPr>
              <w:t>201</w:t>
            </w:r>
            <w:r w:rsidR="00453E52">
              <w:rPr>
                <w:rFonts w:eastAsia="Times New Roman"/>
                <w:b/>
                <w:bCs/>
                <w:color w:val="000000"/>
              </w:rPr>
              <w:t>7</w:t>
            </w:r>
            <w:r w:rsidR="00061ADA">
              <w:rPr>
                <w:rFonts w:eastAsia="Times New Roman"/>
                <w:b/>
                <w:bCs/>
                <w:color w:val="000000"/>
              </w:rPr>
              <w:t xml:space="preserve"> </w:t>
            </w:r>
            <w:r w:rsidR="0092662F">
              <w:rPr>
                <w:rFonts w:eastAsia="Times New Roman"/>
                <w:b/>
                <w:bCs/>
                <w:color w:val="000000"/>
              </w:rPr>
              <w:t>D</w:t>
            </w:r>
            <w:r w:rsidR="00D73918" w:rsidRPr="00D73918">
              <w:rPr>
                <w:rFonts w:eastAsia="Times New Roman"/>
                <w:b/>
                <w:bCs/>
                <w:color w:val="000000"/>
              </w:rPr>
              <w:t>ollars)</w:t>
            </w:r>
          </w:p>
        </w:tc>
        <w:tc>
          <w:tcPr>
            <w:tcW w:w="3378" w:type="dxa"/>
            <w:tcBorders>
              <w:top w:val="single" w:sz="4" w:space="0" w:color="auto"/>
              <w:left w:val="nil"/>
              <w:bottom w:val="single" w:sz="4" w:space="0" w:color="auto"/>
              <w:right w:val="single" w:sz="4" w:space="0" w:color="auto"/>
            </w:tcBorders>
            <w:shd w:val="clear" w:color="auto" w:fill="auto"/>
            <w:hideMark/>
          </w:tcPr>
          <w:p w14:paraId="20CA382E" w14:textId="65EF89E4" w:rsidR="00D73918" w:rsidRPr="00D73918" w:rsidRDefault="00D73918" w:rsidP="00FF0EE8">
            <w:pPr>
              <w:autoSpaceDE/>
              <w:autoSpaceDN/>
              <w:adjustRightInd/>
              <w:spacing w:line="240" w:lineRule="auto"/>
              <w:jc w:val="center"/>
              <w:rPr>
                <w:rFonts w:eastAsia="Times New Roman"/>
                <w:b/>
                <w:bCs/>
                <w:color w:val="000000"/>
              </w:rPr>
            </w:pPr>
            <w:r w:rsidRPr="00D73918">
              <w:rPr>
                <w:rFonts w:eastAsia="Times New Roman"/>
                <w:b/>
                <w:bCs/>
                <w:color w:val="000000"/>
              </w:rPr>
              <w:t xml:space="preserve">High </w:t>
            </w:r>
            <w:r w:rsidR="000D7AB7">
              <w:rPr>
                <w:rFonts w:eastAsia="Times New Roman"/>
                <w:b/>
                <w:bCs/>
                <w:color w:val="000000"/>
              </w:rPr>
              <w:t>R</w:t>
            </w:r>
            <w:r w:rsidRPr="00D73918">
              <w:rPr>
                <w:rFonts w:eastAsia="Times New Roman"/>
                <w:b/>
                <w:bCs/>
                <w:color w:val="000000"/>
              </w:rPr>
              <w:t>ange</w:t>
            </w:r>
            <w:r w:rsidRPr="00D73918">
              <w:rPr>
                <w:rFonts w:eastAsia="Times New Roman"/>
                <w:b/>
                <w:bCs/>
                <w:color w:val="000000"/>
              </w:rPr>
              <w:br/>
              <w:t>$/M</w:t>
            </w:r>
            <w:r>
              <w:rPr>
                <w:rFonts w:eastAsia="Times New Roman"/>
                <w:b/>
                <w:bCs/>
                <w:color w:val="000000"/>
              </w:rPr>
              <w:t>W</w:t>
            </w:r>
            <w:r w:rsidRPr="00D73918">
              <w:rPr>
                <w:rFonts w:eastAsia="Times New Roman"/>
                <w:b/>
                <w:bCs/>
                <w:color w:val="000000"/>
              </w:rPr>
              <w:t>e-hr</w:t>
            </w:r>
            <w:r w:rsidR="00061ADA">
              <w:rPr>
                <w:rFonts w:eastAsia="Times New Roman"/>
                <w:b/>
                <w:bCs/>
                <w:color w:val="000000"/>
              </w:rPr>
              <w:t xml:space="preserve"> </w:t>
            </w:r>
            <w:r w:rsidRPr="00D73918">
              <w:rPr>
                <w:rFonts w:eastAsia="Times New Roman"/>
                <w:b/>
                <w:bCs/>
                <w:color w:val="000000"/>
              </w:rPr>
              <w:t>(201</w:t>
            </w:r>
            <w:r w:rsidR="00453E52">
              <w:rPr>
                <w:rFonts w:eastAsia="Times New Roman"/>
                <w:b/>
                <w:bCs/>
                <w:color w:val="000000"/>
              </w:rPr>
              <w:t>7</w:t>
            </w:r>
            <w:r w:rsidRPr="00D73918">
              <w:rPr>
                <w:rFonts w:eastAsia="Times New Roman"/>
                <w:b/>
                <w:bCs/>
                <w:color w:val="000000"/>
              </w:rPr>
              <w:t xml:space="preserve"> </w:t>
            </w:r>
            <w:r w:rsidR="0092662F">
              <w:rPr>
                <w:rFonts w:eastAsia="Times New Roman"/>
                <w:b/>
                <w:bCs/>
                <w:color w:val="000000"/>
              </w:rPr>
              <w:t>D</w:t>
            </w:r>
            <w:r w:rsidRPr="00D73918">
              <w:rPr>
                <w:rFonts w:eastAsia="Times New Roman"/>
                <w:b/>
                <w:bCs/>
                <w:color w:val="000000"/>
              </w:rPr>
              <w:t>ollars)</w:t>
            </w:r>
          </w:p>
        </w:tc>
      </w:tr>
      <w:tr w:rsidR="00602B86" w:rsidRPr="00D73918" w14:paraId="7C94621C" w14:textId="77777777" w:rsidTr="005B1852">
        <w:trPr>
          <w:trHeight w:val="280"/>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305B1F82"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NYISO</w:t>
            </w:r>
          </w:p>
        </w:tc>
        <w:tc>
          <w:tcPr>
            <w:tcW w:w="3360" w:type="dxa"/>
            <w:tcBorders>
              <w:top w:val="nil"/>
              <w:left w:val="nil"/>
              <w:bottom w:val="single" w:sz="4" w:space="0" w:color="auto"/>
              <w:right w:val="single" w:sz="4" w:space="0" w:color="auto"/>
            </w:tcBorders>
            <w:shd w:val="clear" w:color="auto" w:fill="auto"/>
            <w:noWrap/>
            <w:vAlign w:val="center"/>
            <w:hideMark/>
          </w:tcPr>
          <w:p w14:paraId="32D49CF0"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453E52">
              <w:rPr>
                <w:rFonts w:eastAsia="Times New Roman"/>
                <w:color w:val="000000"/>
              </w:rPr>
              <w:t>44.82</w:t>
            </w:r>
          </w:p>
        </w:tc>
        <w:tc>
          <w:tcPr>
            <w:tcW w:w="3378" w:type="dxa"/>
            <w:tcBorders>
              <w:top w:val="nil"/>
              <w:left w:val="nil"/>
              <w:bottom w:val="single" w:sz="4" w:space="0" w:color="auto"/>
              <w:right w:val="single" w:sz="4" w:space="0" w:color="auto"/>
            </w:tcBorders>
            <w:shd w:val="clear" w:color="auto" w:fill="auto"/>
            <w:noWrap/>
            <w:vAlign w:val="center"/>
            <w:hideMark/>
          </w:tcPr>
          <w:p w14:paraId="21956D72"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453E52">
              <w:rPr>
                <w:rFonts w:eastAsia="Times New Roman"/>
                <w:color w:val="000000"/>
              </w:rPr>
              <w:t>49.74</w:t>
            </w:r>
          </w:p>
        </w:tc>
      </w:tr>
      <w:tr w:rsidR="00602B86" w:rsidRPr="00D73918" w14:paraId="1983E5D7" w14:textId="77777777" w:rsidTr="005B1852">
        <w:trPr>
          <w:trHeight w:val="280"/>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6384D91C"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PJM</w:t>
            </w:r>
          </w:p>
        </w:tc>
        <w:tc>
          <w:tcPr>
            <w:tcW w:w="3360" w:type="dxa"/>
            <w:tcBorders>
              <w:top w:val="nil"/>
              <w:left w:val="nil"/>
              <w:bottom w:val="single" w:sz="4" w:space="0" w:color="auto"/>
              <w:right w:val="single" w:sz="4" w:space="0" w:color="auto"/>
            </w:tcBorders>
            <w:shd w:val="clear" w:color="auto" w:fill="auto"/>
            <w:noWrap/>
            <w:vAlign w:val="center"/>
            <w:hideMark/>
          </w:tcPr>
          <w:p w14:paraId="7A89FAA2"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453E52">
              <w:rPr>
                <w:rFonts w:eastAsia="Times New Roman"/>
                <w:color w:val="000000"/>
              </w:rPr>
              <w:t>43.86</w:t>
            </w:r>
          </w:p>
        </w:tc>
        <w:tc>
          <w:tcPr>
            <w:tcW w:w="3378" w:type="dxa"/>
            <w:tcBorders>
              <w:top w:val="nil"/>
              <w:left w:val="nil"/>
              <w:bottom w:val="single" w:sz="4" w:space="0" w:color="auto"/>
              <w:right w:val="single" w:sz="4" w:space="0" w:color="auto"/>
            </w:tcBorders>
            <w:shd w:val="clear" w:color="auto" w:fill="auto"/>
            <w:noWrap/>
            <w:vAlign w:val="center"/>
            <w:hideMark/>
          </w:tcPr>
          <w:p w14:paraId="1A611589"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453E52">
              <w:rPr>
                <w:rFonts w:eastAsia="Times New Roman"/>
                <w:color w:val="000000"/>
              </w:rPr>
              <w:t>44.23</w:t>
            </w:r>
          </w:p>
        </w:tc>
      </w:tr>
      <w:tr w:rsidR="00602B86" w:rsidRPr="00D73918" w14:paraId="6267063B" w14:textId="77777777" w:rsidTr="005B1852">
        <w:trPr>
          <w:trHeight w:val="280"/>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74151E01"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MISO</w:t>
            </w:r>
          </w:p>
        </w:tc>
        <w:tc>
          <w:tcPr>
            <w:tcW w:w="3360" w:type="dxa"/>
            <w:tcBorders>
              <w:top w:val="nil"/>
              <w:left w:val="nil"/>
              <w:bottom w:val="single" w:sz="4" w:space="0" w:color="auto"/>
              <w:right w:val="single" w:sz="4" w:space="0" w:color="auto"/>
            </w:tcBorders>
            <w:shd w:val="clear" w:color="auto" w:fill="auto"/>
            <w:noWrap/>
            <w:vAlign w:val="center"/>
            <w:hideMark/>
          </w:tcPr>
          <w:p w14:paraId="692CEF57"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453E52">
              <w:rPr>
                <w:rFonts w:eastAsia="Times New Roman"/>
                <w:color w:val="000000"/>
              </w:rPr>
              <w:t>39.20</w:t>
            </w:r>
          </w:p>
        </w:tc>
        <w:tc>
          <w:tcPr>
            <w:tcW w:w="3378" w:type="dxa"/>
            <w:tcBorders>
              <w:top w:val="nil"/>
              <w:left w:val="nil"/>
              <w:bottom w:val="single" w:sz="4" w:space="0" w:color="auto"/>
              <w:right w:val="single" w:sz="4" w:space="0" w:color="auto"/>
            </w:tcBorders>
            <w:shd w:val="clear" w:color="auto" w:fill="auto"/>
            <w:noWrap/>
            <w:vAlign w:val="center"/>
            <w:hideMark/>
          </w:tcPr>
          <w:p w14:paraId="7BE6DADB"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453E52">
              <w:rPr>
                <w:rFonts w:eastAsia="Times New Roman"/>
                <w:color w:val="000000"/>
              </w:rPr>
              <w:t>42.37</w:t>
            </w:r>
          </w:p>
        </w:tc>
      </w:tr>
      <w:tr w:rsidR="00602B86" w:rsidRPr="00D73918" w14:paraId="658D9926" w14:textId="77777777" w:rsidTr="005B1852">
        <w:trPr>
          <w:trHeight w:val="280"/>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2566FD3F"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SPP</w:t>
            </w:r>
          </w:p>
        </w:tc>
        <w:tc>
          <w:tcPr>
            <w:tcW w:w="3360" w:type="dxa"/>
            <w:tcBorders>
              <w:top w:val="nil"/>
              <w:left w:val="nil"/>
              <w:bottom w:val="single" w:sz="4" w:space="0" w:color="auto"/>
              <w:right w:val="single" w:sz="4" w:space="0" w:color="auto"/>
            </w:tcBorders>
            <w:shd w:val="clear" w:color="auto" w:fill="auto"/>
            <w:noWrap/>
            <w:vAlign w:val="center"/>
            <w:hideMark/>
          </w:tcPr>
          <w:p w14:paraId="7B0E1E5E"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453E52">
              <w:rPr>
                <w:rFonts w:eastAsia="Times New Roman"/>
                <w:color w:val="000000"/>
              </w:rPr>
              <w:t>39.01</w:t>
            </w:r>
          </w:p>
        </w:tc>
        <w:tc>
          <w:tcPr>
            <w:tcW w:w="3378" w:type="dxa"/>
            <w:tcBorders>
              <w:top w:val="nil"/>
              <w:left w:val="nil"/>
              <w:bottom w:val="single" w:sz="4" w:space="0" w:color="auto"/>
              <w:right w:val="single" w:sz="4" w:space="0" w:color="auto"/>
            </w:tcBorders>
            <w:shd w:val="clear" w:color="auto" w:fill="auto"/>
            <w:noWrap/>
            <w:vAlign w:val="center"/>
            <w:hideMark/>
          </w:tcPr>
          <w:p w14:paraId="67AFFD19"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453E52">
              <w:rPr>
                <w:rFonts w:eastAsia="Times New Roman"/>
                <w:color w:val="000000"/>
              </w:rPr>
              <w:t>39.20</w:t>
            </w:r>
          </w:p>
        </w:tc>
      </w:tr>
      <w:tr w:rsidR="00602B86" w:rsidRPr="00D73918" w14:paraId="526620C2" w14:textId="77777777" w:rsidTr="005B1852">
        <w:trPr>
          <w:trHeight w:val="280"/>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04392452"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SERC</w:t>
            </w:r>
          </w:p>
        </w:tc>
        <w:tc>
          <w:tcPr>
            <w:tcW w:w="3360" w:type="dxa"/>
            <w:tcBorders>
              <w:top w:val="nil"/>
              <w:left w:val="nil"/>
              <w:bottom w:val="single" w:sz="4" w:space="0" w:color="auto"/>
              <w:right w:val="single" w:sz="4" w:space="0" w:color="auto"/>
            </w:tcBorders>
            <w:shd w:val="clear" w:color="auto" w:fill="auto"/>
            <w:noWrap/>
            <w:vAlign w:val="center"/>
            <w:hideMark/>
          </w:tcPr>
          <w:p w14:paraId="1F330547"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453E52">
              <w:rPr>
                <w:rFonts w:eastAsia="Times New Roman"/>
                <w:color w:val="000000"/>
              </w:rPr>
              <w:t>42.03</w:t>
            </w:r>
          </w:p>
        </w:tc>
        <w:tc>
          <w:tcPr>
            <w:tcW w:w="3378" w:type="dxa"/>
            <w:tcBorders>
              <w:top w:val="nil"/>
              <w:left w:val="nil"/>
              <w:bottom w:val="single" w:sz="4" w:space="0" w:color="auto"/>
              <w:right w:val="single" w:sz="4" w:space="0" w:color="auto"/>
            </w:tcBorders>
            <w:shd w:val="clear" w:color="auto" w:fill="auto"/>
            <w:noWrap/>
            <w:vAlign w:val="center"/>
            <w:hideMark/>
          </w:tcPr>
          <w:p w14:paraId="035E4412"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7A1205">
              <w:rPr>
                <w:rFonts w:eastAsia="Times New Roman"/>
                <w:color w:val="000000"/>
              </w:rPr>
              <w:t>42.61</w:t>
            </w:r>
          </w:p>
        </w:tc>
      </w:tr>
      <w:tr w:rsidR="00602B86" w:rsidRPr="00D73918" w14:paraId="7132DF2C" w14:textId="77777777" w:rsidTr="005B1852">
        <w:trPr>
          <w:trHeight w:val="280"/>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3303917D"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ERCOT</w:t>
            </w:r>
          </w:p>
        </w:tc>
        <w:tc>
          <w:tcPr>
            <w:tcW w:w="3360" w:type="dxa"/>
            <w:tcBorders>
              <w:top w:val="nil"/>
              <w:left w:val="nil"/>
              <w:bottom w:val="single" w:sz="4" w:space="0" w:color="auto"/>
              <w:right w:val="single" w:sz="4" w:space="0" w:color="auto"/>
            </w:tcBorders>
            <w:shd w:val="clear" w:color="auto" w:fill="auto"/>
            <w:noWrap/>
            <w:vAlign w:val="center"/>
            <w:hideMark/>
          </w:tcPr>
          <w:p w14:paraId="2AF1282D"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453E52">
              <w:rPr>
                <w:rFonts w:eastAsia="Times New Roman"/>
                <w:color w:val="000000"/>
              </w:rPr>
              <w:t>42.61</w:t>
            </w:r>
          </w:p>
        </w:tc>
        <w:tc>
          <w:tcPr>
            <w:tcW w:w="3378" w:type="dxa"/>
            <w:tcBorders>
              <w:top w:val="nil"/>
              <w:left w:val="nil"/>
              <w:bottom w:val="single" w:sz="4" w:space="0" w:color="auto"/>
              <w:right w:val="single" w:sz="4" w:space="0" w:color="auto"/>
            </w:tcBorders>
            <w:shd w:val="clear" w:color="auto" w:fill="auto"/>
            <w:noWrap/>
            <w:vAlign w:val="center"/>
            <w:hideMark/>
          </w:tcPr>
          <w:p w14:paraId="009F0FEE"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7A1205">
              <w:rPr>
                <w:rFonts w:eastAsia="Times New Roman"/>
                <w:color w:val="000000"/>
              </w:rPr>
              <w:t>42.61</w:t>
            </w:r>
          </w:p>
        </w:tc>
      </w:tr>
      <w:tr w:rsidR="00602B86" w:rsidRPr="00D73918" w14:paraId="549CFDE8" w14:textId="77777777" w:rsidTr="005B1852">
        <w:trPr>
          <w:trHeight w:val="280"/>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47A8804A"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WECC</w:t>
            </w:r>
          </w:p>
        </w:tc>
        <w:tc>
          <w:tcPr>
            <w:tcW w:w="3360" w:type="dxa"/>
            <w:tcBorders>
              <w:top w:val="nil"/>
              <w:left w:val="nil"/>
              <w:bottom w:val="single" w:sz="4" w:space="0" w:color="auto"/>
              <w:right w:val="single" w:sz="4" w:space="0" w:color="auto"/>
            </w:tcBorders>
            <w:shd w:val="clear" w:color="auto" w:fill="auto"/>
            <w:noWrap/>
            <w:vAlign w:val="center"/>
            <w:hideMark/>
          </w:tcPr>
          <w:p w14:paraId="264E6C14"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453E52">
              <w:rPr>
                <w:rFonts w:eastAsia="Times New Roman"/>
                <w:color w:val="000000"/>
              </w:rPr>
              <w:t>40.63</w:t>
            </w:r>
          </w:p>
        </w:tc>
        <w:tc>
          <w:tcPr>
            <w:tcW w:w="3378" w:type="dxa"/>
            <w:tcBorders>
              <w:top w:val="nil"/>
              <w:left w:val="nil"/>
              <w:bottom w:val="single" w:sz="4" w:space="0" w:color="auto"/>
              <w:right w:val="single" w:sz="4" w:space="0" w:color="auto"/>
            </w:tcBorders>
            <w:shd w:val="clear" w:color="auto" w:fill="auto"/>
            <w:noWrap/>
            <w:vAlign w:val="center"/>
            <w:hideMark/>
          </w:tcPr>
          <w:p w14:paraId="299502E6" w14:textId="77777777" w:rsidR="00D73918" w:rsidRPr="00D73918" w:rsidRDefault="00D73918" w:rsidP="00FF0EE8">
            <w:pPr>
              <w:autoSpaceDE/>
              <w:autoSpaceDN/>
              <w:adjustRightInd/>
              <w:spacing w:line="240" w:lineRule="auto"/>
              <w:jc w:val="center"/>
              <w:rPr>
                <w:rFonts w:eastAsia="Times New Roman"/>
                <w:color w:val="000000"/>
              </w:rPr>
            </w:pPr>
            <w:r w:rsidRPr="00D73918">
              <w:rPr>
                <w:rFonts w:eastAsia="Times New Roman"/>
                <w:color w:val="000000"/>
              </w:rPr>
              <w:t>$</w:t>
            </w:r>
            <w:r w:rsidR="007A1205">
              <w:rPr>
                <w:rFonts w:eastAsia="Times New Roman"/>
                <w:color w:val="000000"/>
              </w:rPr>
              <w:t>41.91</w:t>
            </w:r>
          </w:p>
        </w:tc>
      </w:tr>
    </w:tbl>
    <w:p w14:paraId="25C58AA5" w14:textId="77777777" w:rsidR="00D73918" w:rsidRDefault="00D73918" w:rsidP="00FF0EE8">
      <w:pPr>
        <w:spacing w:line="240" w:lineRule="auto"/>
      </w:pPr>
    </w:p>
    <w:p w14:paraId="26649BDB" w14:textId="38A13F16" w:rsidR="00D73918" w:rsidRDefault="00D73918" w:rsidP="00FF0EE8">
      <w:pPr>
        <w:spacing w:line="240" w:lineRule="auto"/>
      </w:pPr>
      <w:r>
        <w:t>The estimated replacement power cost ranges from a low estimate of $</w:t>
      </w:r>
      <w:r w:rsidR="007A1205">
        <w:t>39.01</w:t>
      </w:r>
      <w:r>
        <w:t xml:space="preserve"> per </w:t>
      </w:r>
      <w:r w:rsidR="00DA6A5B">
        <w:t>megawatt</w:t>
      </w:r>
      <w:r w:rsidR="00DA6A5B">
        <w:noBreakHyphen/>
      </w:r>
      <w:r>
        <w:t>h</w:t>
      </w:r>
      <w:r w:rsidR="00114987">
        <w:t>ou</w:t>
      </w:r>
      <w:r>
        <w:t>r to a high estimate of $</w:t>
      </w:r>
      <w:r w:rsidR="007A1205">
        <w:t>49.74</w:t>
      </w:r>
      <w:r>
        <w:t xml:space="preserve"> per </w:t>
      </w:r>
      <w:r w:rsidR="00DA6A5B">
        <w:t>megawatt</w:t>
      </w:r>
      <w:r w:rsidR="00DA6A5B">
        <w:noBreakHyphen/>
      </w:r>
      <w:r>
        <w:t>h</w:t>
      </w:r>
      <w:r w:rsidR="00114987">
        <w:t>ou</w:t>
      </w:r>
      <w:r>
        <w:t>r with an average value of $</w:t>
      </w:r>
      <w:r w:rsidR="007A1205">
        <w:t>42.49</w:t>
      </w:r>
      <w:r>
        <w:t xml:space="preserve"> per </w:t>
      </w:r>
      <w:r w:rsidR="00DA6A5B">
        <w:t>megawatt</w:t>
      </w:r>
      <w:r w:rsidR="00DA6A5B">
        <w:noBreakHyphen/>
      </w:r>
      <w:r>
        <w:t>h</w:t>
      </w:r>
      <w:r w:rsidR="00DA6A5B">
        <w:t>ou</w:t>
      </w:r>
      <w:r>
        <w:t xml:space="preserve">r.  The average BWR </w:t>
      </w:r>
      <w:r w:rsidR="00A251A9">
        <w:t xml:space="preserve">rated electrical output is 1,049 </w:t>
      </w:r>
      <w:r w:rsidR="00087460">
        <w:t>me</w:t>
      </w:r>
      <w:r w:rsidR="00DA6A5B">
        <w:t>gawatt electric (</w:t>
      </w:r>
      <w:r w:rsidR="00A251A9">
        <w:t>MWe</w:t>
      </w:r>
      <w:r w:rsidR="00DA6A5B">
        <w:t>)</w:t>
      </w:r>
      <w:r w:rsidR="00A251A9">
        <w:t>.</w:t>
      </w:r>
      <w:r w:rsidR="00A251A9" w:rsidRPr="00A251A9">
        <w:rPr>
          <w:rStyle w:val="FootnoteReference"/>
          <w:vertAlign w:val="superscript"/>
        </w:rPr>
        <w:footnoteReference w:id="10"/>
      </w:r>
    </w:p>
    <w:p w14:paraId="7CBBF812" w14:textId="77777777" w:rsidR="00D73918" w:rsidRDefault="00D73918" w:rsidP="00FF0EE8">
      <w:pPr>
        <w:spacing w:line="240" w:lineRule="auto"/>
      </w:pPr>
    </w:p>
    <w:p w14:paraId="5228D0BC" w14:textId="5B922838" w:rsidR="00D73918" w:rsidRDefault="00A251A9" w:rsidP="00FF0EE8">
      <w:pPr>
        <w:spacing w:line="240" w:lineRule="auto"/>
      </w:pPr>
      <w:r>
        <w:t>Based on these estimates</w:t>
      </w:r>
      <w:r w:rsidRPr="00087460">
        <w:t xml:space="preserve">, </w:t>
      </w:r>
      <w:r w:rsidR="0092662F" w:rsidRPr="00087460">
        <w:fldChar w:fldCharType="begin"/>
      </w:r>
      <w:r w:rsidR="0092662F" w:rsidRPr="00087460">
        <w:instrText xml:space="preserve"> REF _Ref434308397 \h </w:instrText>
      </w:r>
      <w:r w:rsidR="00087460" w:rsidRPr="00D557C2">
        <w:instrText xml:space="preserve"> \* MERGEFORMAT </w:instrText>
      </w:r>
      <w:r w:rsidR="0092662F" w:rsidRPr="00087460">
        <w:fldChar w:fldCharType="separate"/>
      </w:r>
      <w:r w:rsidR="00FD3AB6" w:rsidRPr="00FD3AB6">
        <w:t xml:space="preserve">Table </w:t>
      </w:r>
      <w:r w:rsidR="00FD3AB6" w:rsidRPr="00FD3AB6">
        <w:rPr>
          <w:noProof/>
        </w:rPr>
        <w:t>5</w:t>
      </w:r>
      <w:r w:rsidR="0092662F" w:rsidRPr="00087460">
        <w:fldChar w:fldCharType="end"/>
      </w:r>
      <w:r w:rsidR="0092662F" w:rsidRPr="00087460">
        <w:t xml:space="preserve"> lists </w:t>
      </w:r>
      <w:r w:rsidRPr="00087460">
        <w:t>the</w:t>
      </w:r>
      <w:r>
        <w:t xml:space="preserve"> average estimated replacement energy </w:t>
      </w:r>
      <w:r w:rsidR="009E7865">
        <w:t xml:space="preserve">hourly </w:t>
      </w:r>
      <w:r>
        <w:t>cost for a typical BWR reactor.</w:t>
      </w:r>
    </w:p>
    <w:p w14:paraId="02DCA26E" w14:textId="77777777" w:rsidR="00D73918" w:rsidRDefault="00D73918" w:rsidP="00FF0EE8">
      <w:pPr>
        <w:spacing w:line="240" w:lineRule="auto"/>
      </w:pPr>
    </w:p>
    <w:p w14:paraId="654FF92D" w14:textId="0D8EC823" w:rsidR="009E7865" w:rsidRPr="00253733" w:rsidRDefault="009E7865" w:rsidP="00FF0EE8">
      <w:pPr>
        <w:pStyle w:val="Caption"/>
        <w:spacing w:line="240" w:lineRule="auto"/>
        <w:ind w:left="1080" w:hanging="1080"/>
        <w:jc w:val="center"/>
        <w:rPr>
          <w:b/>
        </w:rPr>
      </w:pPr>
      <w:bookmarkStart w:id="79" w:name="_Ref434308397"/>
      <w:bookmarkStart w:id="80" w:name="_Toc467508494"/>
      <w:bookmarkStart w:id="81" w:name="_Toc462225000"/>
      <w:r w:rsidRPr="00253733">
        <w:rPr>
          <w:b/>
        </w:rPr>
        <w:t xml:space="preserve">Table </w:t>
      </w:r>
      <w:r w:rsidR="00782423" w:rsidRPr="00253733">
        <w:rPr>
          <w:b/>
        </w:rPr>
        <w:fldChar w:fldCharType="begin"/>
      </w:r>
      <w:r w:rsidR="00782423" w:rsidRPr="00253733">
        <w:rPr>
          <w:b/>
        </w:rPr>
        <w:instrText xml:space="preserve"> SEQ Table \* ARABIC </w:instrText>
      </w:r>
      <w:r w:rsidR="00782423" w:rsidRPr="00253733">
        <w:rPr>
          <w:b/>
        </w:rPr>
        <w:fldChar w:fldCharType="separate"/>
      </w:r>
      <w:r w:rsidR="00FD3AB6">
        <w:rPr>
          <w:b/>
          <w:noProof/>
        </w:rPr>
        <w:t>5</w:t>
      </w:r>
      <w:r w:rsidR="00782423" w:rsidRPr="00253733">
        <w:rPr>
          <w:b/>
        </w:rPr>
        <w:fldChar w:fldCharType="end"/>
      </w:r>
      <w:bookmarkEnd w:id="79"/>
      <w:r w:rsidR="006C3FF0" w:rsidRPr="00D557C2">
        <w:rPr>
          <w:b/>
        </w:rPr>
        <w:t xml:space="preserve">  </w:t>
      </w:r>
      <w:r w:rsidRPr="00253733">
        <w:rPr>
          <w:b/>
        </w:rPr>
        <w:t>Estimated Replacement Power Hourly Costs for a Typical BWR</w:t>
      </w:r>
      <w:bookmarkEnd w:id="80"/>
      <w:bookmarkEnd w:id="81"/>
    </w:p>
    <w:tbl>
      <w:tblPr>
        <w:tblW w:w="8766" w:type="dxa"/>
        <w:jc w:val="center"/>
        <w:tblLook w:val="04A0" w:firstRow="1" w:lastRow="0" w:firstColumn="1" w:lastColumn="0" w:noHBand="0" w:noVBand="1"/>
      </w:tblPr>
      <w:tblGrid>
        <w:gridCol w:w="2555"/>
        <w:gridCol w:w="3092"/>
        <w:gridCol w:w="3119"/>
      </w:tblGrid>
      <w:tr w:rsidR="00602B86" w:rsidRPr="00C60C5E" w14:paraId="10928080" w14:textId="77777777" w:rsidTr="005B1852">
        <w:trPr>
          <w:trHeight w:val="590"/>
          <w:jc w:val="center"/>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71B6D" w14:textId="1E87CDBA" w:rsidR="00C60C5E" w:rsidRPr="00C60C5E" w:rsidRDefault="00C60C5E" w:rsidP="00FF0EE8">
            <w:pPr>
              <w:autoSpaceDE/>
              <w:autoSpaceDN/>
              <w:adjustRightInd/>
              <w:spacing w:line="240" w:lineRule="auto"/>
              <w:jc w:val="center"/>
              <w:rPr>
                <w:rFonts w:eastAsia="Times New Roman"/>
                <w:b/>
                <w:bCs/>
                <w:color w:val="000000"/>
              </w:rPr>
            </w:pPr>
            <w:r>
              <w:rPr>
                <w:rFonts w:eastAsia="Times New Roman"/>
                <w:b/>
                <w:bCs/>
                <w:color w:val="000000"/>
              </w:rPr>
              <w:t>Low</w:t>
            </w:r>
            <w:r w:rsidRPr="00C60C5E">
              <w:rPr>
                <w:rFonts w:eastAsia="Times New Roman"/>
                <w:b/>
                <w:bCs/>
                <w:color w:val="000000"/>
              </w:rPr>
              <w:t xml:space="preserve"> </w:t>
            </w:r>
            <w:r w:rsidR="0092662F">
              <w:rPr>
                <w:rFonts w:eastAsia="Times New Roman"/>
                <w:b/>
                <w:bCs/>
                <w:color w:val="000000"/>
              </w:rPr>
              <w:t>E</w:t>
            </w:r>
            <w:r w:rsidRPr="00C60C5E">
              <w:rPr>
                <w:rFonts w:eastAsia="Times New Roman"/>
                <w:b/>
                <w:bCs/>
                <w:color w:val="000000"/>
              </w:rPr>
              <w:t xml:space="preserve">stimate </w:t>
            </w:r>
            <w:r w:rsidRPr="00C60C5E">
              <w:rPr>
                <w:rFonts w:eastAsia="Times New Roman"/>
                <w:b/>
                <w:bCs/>
                <w:color w:val="000000"/>
              </w:rPr>
              <w:br/>
              <w:t>(201</w:t>
            </w:r>
            <w:r w:rsidR="00C852EB">
              <w:rPr>
                <w:rFonts w:eastAsia="Times New Roman"/>
                <w:b/>
                <w:bCs/>
                <w:color w:val="000000"/>
              </w:rPr>
              <w:t>7</w:t>
            </w:r>
            <w:r w:rsidRPr="00C60C5E">
              <w:rPr>
                <w:rFonts w:eastAsia="Times New Roman"/>
                <w:b/>
                <w:bCs/>
                <w:color w:val="000000"/>
              </w:rPr>
              <w:t xml:space="preserve"> </w:t>
            </w:r>
            <w:r w:rsidR="0092662F">
              <w:rPr>
                <w:rFonts w:eastAsia="Times New Roman"/>
                <w:b/>
                <w:bCs/>
                <w:color w:val="000000"/>
              </w:rPr>
              <w:t>D</w:t>
            </w:r>
            <w:r w:rsidRPr="00C60C5E">
              <w:rPr>
                <w:rFonts w:eastAsia="Times New Roman"/>
                <w:b/>
                <w:bCs/>
                <w:color w:val="000000"/>
              </w:rPr>
              <w:t>ollars)</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3983FA8B" w14:textId="46568946" w:rsidR="00C60C5E" w:rsidRPr="00C60C5E" w:rsidRDefault="009E7865" w:rsidP="00FF0EE8">
            <w:pPr>
              <w:autoSpaceDE/>
              <w:autoSpaceDN/>
              <w:adjustRightInd/>
              <w:spacing w:line="240" w:lineRule="auto"/>
              <w:jc w:val="center"/>
              <w:rPr>
                <w:rFonts w:eastAsia="Times New Roman"/>
                <w:b/>
                <w:bCs/>
                <w:color w:val="000000"/>
              </w:rPr>
            </w:pPr>
            <w:r>
              <w:rPr>
                <w:rFonts w:eastAsia="Times New Roman"/>
                <w:b/>
                <w:bCs/>
                <w:color w:val="000000"/>
              </w:rPr>
              <w:t xml:space="preserve">Base </w:t>
            </w:r>
            <w:r w:rsidR="0092662F">
              <w:rPr>
                <w:rFonts w:eastAsia="Times New Roman"/>
                <w:b/>
                <w:bCs/>
                <w:color w:val="000000"/>
              </w:rPr>
              <w:t>C</w:t>
            </w:r>
            <w:r>
              <w:rPr>
                <w:rFonts w:eastAsia="Times New Roman"/>
                <w:b/>
                <w:bCs/>
                <w:color w:val="000000"/>
              </w:rPr>
              <w:t>ase</w:t>
            </w:r>
            <w:r w:rsidR="00C60C5E" w:rsidRPr="00C60C5E">
              <w:rPr>
                <w:rFonts w:eastAsia="Times New Roman"/>
                <w:b/>
                <w:bCs/>
                <w:color w:val="000000"/>
              </w:rPr>
              <w:t xml:space="preserve"> </w:t>
            </w:r>
            <w:r w:rsidR="0092662F">
              <w:rPr>
                <w:rFonts w:eastAsia="Times New Roman"/>
                <w:b/>
                <w:bCs/>
                <w:color w:val="000000"/>
              </w:rPr>
              <w:t>E</w:t>
            </w:r>
            <w:r w:rsidR="00C60C5E" w:rsidRPr="00C60C5E">
              <w:rPr>
                <w:rFonts w:eastAsia="Times New Roman"/>
                <w:b/>
                <w:bCs/>
                <w:color w:val="000000"/>
              </w:rPr>
              <w:t>stimate</w:t>
            </w:r>
            <w:r w:rsidR="00C60C5E" w:rsidRPr="00C60C5E">
              <w:rPr>
                <w:rFonts w:eastAsia="Times New Roman"/>
                <w:b/>
                <w:bCs/>
                <w:color w:val="000000"/>
              </w:rPr>
              <w:br/>
              <w:t>(201</w:t>
            </w:r>
            <w:r w:rsidR="00C852EB">
              <w:rPr>
                <w:rFonts w:eastAsia="Times New Roman"/>
                <w:b/>
                <w:bCs/>
                <w:color w:val="000000"/>
              </w:rPr>
              <w:t>7</w:t>
            </w:r>
            <w:r w:rsidR="00C60C5E" w:rsidRPr="00C60C5E">
              <w:rPr>
                <w:rFonts w:eastAsia="Times New Roman"/>
                <w:b/>
                <w:bCs/>
                <w:color w:val="000000"/>
              </w:rPr>
              <w:t xml:space="preserve"> </w:t>
            </w:r>
            <w:r w:rsidR="0092662F">
              <w:rPr>
                <w:rFonts w:eastAsia="Times New Roman"/>
                <w:b/>
                <w:bCs/>
                <w:color w:val="000000"/>
              </w:rPr>
              <w:t>D</w:t>
            </w:r>
            <w:r w:rsidR="00C60C5E" w:rsidRPr="00C60C5E">
              <w:rPr>
                <w:rFonts w:eastAsia="Times New Roman"/>
                <w:b/>
                <w:bCs/>
                <w:color w:val="000000"/>
              </w:rPr>
              <w:t>ollars)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2F6716" w14:textId="6617FF96" w:rsidR="00C60C5E" w:rsidRPr="00C60C5E" w:rsidRDefault="00C60C5E" w:rsidP="00FF0EE8">
            <w:pPr>
              <w:autoSpaceDE/>
              <w:autoSpaceDN/>
              <w:adjustRightInd/>
              <w:spacing w:line="240" w:lineRule="auto"/>
              <w:jc w:val="center"/>
              <w:rPr>
                <w:rFonts w:eastAsia="Times New Roman"/>
                <w:b/>
                <w:bCs/>
                <w:color w:val="000000"/>
              </w:rPr>
            </w:pPr>
            <w:r w:rsidRPr="00C60C5E">
              <w:rPr>
                <w:rFonts w:eastAsia="Times New Roman"/>
                <w:b/>
                <w:bCs/>
                <w:color w:val="000000"/>
              </w:rPr>
              <w:t xml:space="preserve">High </w:t>
            </w:r>
            <w:r w:rsidR="0092662F">
              <w:rPr>
                <w:rFonts w:eastAsia="Times New Roman"/>
                <w:b/>
                <w:bCs/>
                <w:color w:val="000000"/>
              </w:rPr>
              <w:t>E</w:t>
            </w:r>
            <w:r w:rsidRPr="00C60C5E">
              <w:rPr>
                <w:rFonts w:eastAsia="Times New Roman"/>
                <w:b/>
                <w:bCs/>
                <w:color w:val="000000"/>
              </w:rPr>
              <w:t xml:space="preserve">stimate </w:t>
            </w:r>
            <w:r w:rsidRPr="00C60C5E">
              <w:rPr>
                <w:rFonts w:eastAsia="Times New Roman"/>
                <w:b/>
                <w:bCs/>
                <w:color w:val="000000"/>
              </w:rPr>
              <w:br/>
              <w:t>(201</w:t>
            </w:r>
            <w:r w:rsidR="00C852EB">
              <w:rPr>
                <w:rFonts w:eastAsia="Times New Roman"/>
                <w:b/>
                <w:bCs/>
                <w:color w:val="000000"/>
              </w:rPr>
              <w:t>7</w:t>
            </w:r>
            <w:r w:rsidRPr="00C60C5E">
              <w:rPr>
                <w:rFonts w:eastAsia="Times New Roman"/>
                <w:b/>
                <w:bCs/>
                <w:color w:val="000000"/>
              </w:rPr>
              <w:t xml:space="preserve"> </w:t>
            </w:r>
            <w:r w:rsidR="0092662F">
              <w:rPr>
                <w:rFonts w:eastAsia="Times New Roman"/>
                <w:b/>
                <w:bCs/>
                <w:color w:val="000000"/>
              </w:rPr>
              <w:t>D</w:t>
            </w:r>
            <w:r w:rsidRPr="00C60C5E">
              <w:rPr>
                <w:rFonts w:eastAsia="Times New Roman"/>
                <w:b/>
                <w:bCs/>
                <w:color w:val="000000"/>
              </w:rPr>
              <w:t>ollars)</w:t>
            </w:r>
          </w:p>
        </w:tc>
      </w:tr>
      <w:tr w:rsidR="00602B86" w:rsidRPr="00C60C5E" w14:paraId="786AD926" w14:textId="77777777" w:rsidTr="005B1852">
        <w:trPr>
          <w:trHeight w:val="295"/>
          <w:jc w:val="center"/>
        </w:trPr>
        <w:tc>
          <w:tcPr>
            <w:tcW w:w="2555" w:type="dxa"/>
            <w:tcBorders>
              <w:top w:val="nil"/>
              <w:left w:val="single" w:sz="4" w:space="0" w:color="auto"/>
              <w:bottom w:val="single" w:sz="4" w:space="0" w:color="auto"/>
              <w:right w:val="single" w:sz="4" w:space="0" w:color="auto"/>
            </w:tcBorders>
            <w:shd w:val="clear" w:color="auto" w:fill="auto"/>
            <w:noWrap/>
            <w:vAlign w:val="center"/>
            <w:hideMark/>
          </w:tcPr>
          <w:p w14:paraId="5F58693E" w14:textId="77777777" w:rsidR="00C60C5E" w:rsidRPr="00C60C5E" w:rsidRDefault="00C60C5E" w:rsidP="00FF0EE8">
            <w:pPr>
              <w:autoSpaceDE/>
              <w:autoSpaceDN/>
              <w:adjustRightInd/>
              <w:spacing w:line="240" w:lineRule="auto"/>
              <w:jc w:val="center"/>
              <w:rPr>
                <w:rFonts w:eastAsia="Times New Roman"/>
                <w:color w:val="000000"/>
              </w:rPr>
            </w:pPr>
            <w:r w:rsidRPr="00C60C5E">
              <w:rPr>
                <w:rFonts w:eastAsia="Times New Roman"/>
                <w:color w:val="000000"/>
              </w:rPr>
              <w:t>$</w:t>
            </w:r>
            <w:r w:rsidR="007A1205">
              <w:rPr>
                <w:rFonts w:eastAsia="Times New Roman"/>
                <w:color w:val="000000"/>
              </w:rPr>
              <w:t>40,900</w:t>
            </w:r>
          </w:p>
        </w:tc>
        <w:tc>
          <w:tcPr>
            <w:tcW w:w="3092" w:type="dxa"/>
            <w:tcBorders>
              <w:top w:val="nil"/>
              <w:left w:val="nil"/>
              <w:bottom w:val="single" w:sz="4" w:space="0" w:color="auto"/>
              <w:right w:val="single" w:sz="4" w:space="0" w:color="auto"/>
            </w:tcBorders>
            <w:shd w:val="clear" w:color="auto" w:fill="auto"/>
            <w:noWrap/>
            <w:vAlign w:val="center"/>
            <w:hideMark/>
          </w:tcPr>
          <w:p w14:paraId="5DCA58F2" w14:textId="77777777" w:rsidR="00C60C5E" w:rsidRPr="00C60C5E" w:rsidRDefault="00C60C5E" w:rsidP="00FF0EE8">
            <w:pPr>
              <w:autoSpaceDE/>
              <w:autoSpaceDN/>
              <w:adjustRightInd/>
              <w:spacing w:line="240" w:lineRule="auto"/>
              <w:jc w:val="center"/>
              <w:rPr>
                <w:rFonts w:eastAsia="Times New Roman"/>
                <w:color w:val="000000"/>
              </w:rPr>
            </w:pPr>
            <w:r w:rsidRPr="00C60C5E">
              <w:rPr>
                <w:rFonts w:eastAsia="Times New Roman"/>
                <w:color w:val="000000"/>
              </w:rPr>
              <w:t>$</w:t>
            </w:r>
            <w:r w:rsidR="007A1205">
              <w:rPr>
                <w:rFonts w:eastAsia="Times New Roman"/>
                <w:color w:val="000000"/>
              </w:rPr>
              <w:t>44,600</w:t>
            </w:r>
          </w:p>
        </w:tc>
        <w:tc>
          <w:tcPr>
            <w:tcW w:w="3119" w:type="dxa"/>
            <w:tcBorders>
              <w:top w:val="nil"/>
              <w:left w:val="nil"/>
              <w:bottom w:val="single" w:sz="4" w:space="0" w:color="auto"/>
              <w:right w:val="single" w:sz="4" w:space="0" w:color="auto"/>
            </w:tcBorders>
            <w:shd w:val="clear" w:color="auto" w:fill="auto"/>
            <w:noWrap/>
            <w:vAlign w:val="center"/>
            <w:hideMark/>
          </w:tcPr>
          <w:p w14:paraId="36C32B8F" w14:textId="77777777" w:rsidR="00C60C5E" w:rsidRPr="00C60C5E" w:rsidRDefault="00C60C5E" w:rsidP="00FF0EE8">
            <w:pPr>
              <w:autoSpaceDE/>
              <w:autoSpaceDN/>
              <w:adjustRightInd/>
              <w:spacing w:line="240" w:lineRule="auto"/>
              <w:jc w:val="center"/>
              <w:rPr>
                <w:rFonts w:eastAsia="Times New Roman"/>
                <w:color w:val="000000"/>
              </w:rPr>
            </w:pPr>
            <w:r w:rsidRPr="00C60C5E">
              <w:rPr>
                <w:rFonts w:eastAsia="Times New Roman"/>
                <w:color w:val="000000"/>
              </w:rPr>
              <w:t>$</w:t>
            </w:r>
            <w:r w:rsidR="007A1205">
              <w:rPr>
                <w:rFonts w:eastAsia="Times New Roman"/>
                <w:color w:val="000000"/>
              </w:rPr>
              <w:t>52,200</w:t>
            </w:r>
          </w:p>
        </w:tc>
      </w:tr>
    </w:tbl>
    <w:p w14:paraId="36197C98" w14:textId="77777777" w:rsidR="00D73918" w:rsidRDefault="00D73918" w:rsidP="00FF0EE8">
      <w:pPr>
        <w:spacing w:line="240" w:lineRule="auto"/>
      </w:pPr>
    </w:p>
    <w:p w14:paraId="0ACD9B61" w14:textId="77777777" w:rsidR="00BA0364" w:rsidRPr="00696FA9" w:rsidRDefault="0092662F" w:rsidP="00FF0EE8">
      <w:pPr>
        <w:pStyle w:val="Heading3"/>
        <w:spacing w:before="0" w:line="240" w:lineRule="auto"/>
        <w:ind w:left="734" w:hanging="691"/>
      </w:pPr>
      <w:r>
        <w:t xml:space="preserve"> </w:t>
      </w:r>
      <w:bookmarkStart w:id="82" w:name="_Toc462224957"/>
      <w:bookmarkStart w:id="83" w:name="_Toc468875916"/>
      <w:r w:rsidR="00BA0364" w:rsidRPr="00696FA9">
        <w:t>Base Year</w:t>
      </w:r>
      <w:bookmarkEnd w:id="82"/>
      <w:bookmarkEnd w:id="83"/>
    </w:p>
    <w:p w14:paraId="0CCE88A5" w14:textId="77777777" w:rsidR="00BA0364" w:rsidRPr="00BD3549" w:rsidRDefault="00BA0364" w:rsidP="00FF0EE8">
      <w:pPr>
        <w:keepNext/>
        <w:spacing w:line="240" w:lineRule="auto"/>
      </w:pPr>
    </w:p>
    <w:p w14:paraId="6A5CE274" w14:textId="429AF1D9" w:rsidR="00BA0364" w:rsidRPr="00BD3549" w:rsidRDefault="00BA0364" w:rsidP="00FF0EE8">
      <w:pPr>
        <w:spacing w:line="240" w:lineRule="auto"/>
      </w:pPr>
      <w:r w:rsidRPr="00BD3549">
        <w:t xml:space="preserve">The </w:t>
      </w:r>
      <w:r w:rsidR="00873634">
        <w:t xml:space="preserve">final rule </w:t>
      </w:r>
      <w:r w:rsidRPr="00BD3549">
        <w:t>assume</w:t>
      </w:r>
      <w:r w:rsidR="00873634">
        <w:t>s</w:t>
      </w:r>
      <w:r w:rsidRPr="00BD3549">
        <w:t xml:space="preserve"> implementation </w:t>
      </w:r>
      <w:r w:rsidR="00873634">
        <w:t>in</w:t>
      </w:r>
      <w:r w:rsidR="00121E78">
        <w:t xml:space="preserve"> </w:t>
      </w:r>
      <w:r w:rsidR="007A1205" w:rsidRPr="00BD3549">
        <w:t>201</w:t>
      </w:r>
      <w:r w:rsidR="007A1205">
        <w:t>7</w:t>
      </w:r>
      <w:r w:rsidR="0092662F">
        <w:t>; therefore,</w:t>
      </w:r>
      <w:r w:rsidRPr="00BD3549">
        <w:t xml:space="preserve"> the monetized benefits and costs in this analysis </w:t>
      </w:r>
      <w:r>
        <w:t>are</w:t>
      </w:r>
      <w:r w:rsidRPr="00BD3549">
        <w:t xml:space="preserve"> expressed in </w:t>
      </w:r>
      <w:r w:rsidR="007A1205" w:rsidRPr="00BD3549">
        <w:t>201</w:t>
      </w:r>
      <w:r w:rsidR="007A1205">
        <w:t>7</w:t>
      </w:r>
      <w:r w:rsidR="007A1205" w:rsidRPr="00BD3549">
        <w:t xml:space="preserve"> </w:t>
      </w:r>
      <w:r w:rsidRPr="00BD3549">
        <w:t xml:space="preserve">dollars.  </w:t>
      </w:r>
      <w:r w:rsidR="00CC70F9">
        <w:t>O</w:t>
      </w:r>
      <w:r w:rsidR="00CC70F9" w:rsidRPr="00BD3549">
        <w:t>ne</w:t>
      </w:r>
      <w:r w:rsidR="0092662F">
        <w:noBreakHyphen/>
      </w:r>
      <w:r w:rsidR="00CC70F9" w:rsidRPr="00BD3549">
        <w:t>time implementation costs</w:t>
      </w:r>
      <w:r w:rsidR="00CC70F9">
        <w:t xml:space="preserve"> are assumed to be incurred in </w:t>
      </w:r>
      <w:r w:rsidR="007A1205">
        <w:t>2017</w:t>
      </w:r>
      <w:r w:rsidR="00CC70F9" w:rsidRPr="00BD3549">
        <w:t xml:space="preserve">.  </w:t>
      </w:r>
      <w:r w:rsidRPr="00BD3549">
        <w:t xml:space="preserve">Ongoing </w:t>
      </w:r>
      <w:r w:rsidR="00CC70F9">
        <w:t xml:space="preserve">and annual </w:t>
      </w:r>
      <w:r w:rsidRPr="00BD3549">
        <w:t xml:space="preserve">costs of operation related to the alternatives are assumed to begin </w:t>
      </w:r>
      <w:r>
        <w:t xml:space="preserve">in </w:t>
      </w:r>
      <w:r w:rsidR="007A1205">
        <w:t xml:space="preserve">2018 </w:t>
      </w:r>
      <w:r>
        <w:t>unless otherwise stated</w:t>
      </w:r>
      <w:r w:rsidR="005425A6">
        <w:t xml:space="preserve"> and are then discounted into </w:t>
      </w:r>
      <w:r w:rsidR="007A1205">
        <w:t xml:space="preserve">2017 </w:t>
      </w:r>
      <w:r w:rsidR="005425A6">
        <w:t>dollars</w:t>
      </w:r>
      <w:r w:rsidRPr="00BD3549">
        <w:t>.</w:t>
      </w:r>
    </w:p>
    <w:p w14:paraId="0868650B" w14:textId="77777777" w:rsidR="00F366EA" w:rsidRDefault="0092662F" w:rsidP="00FF0EE8">
      <w:pPr>
        <w:pStyle w:val="Heading3"/>
        <w:spacing w:line="240" w:lineRule="auto"/>
        <w:ind w:left="720" w:hanging="684"/>
      </w:pPr>
      <w:bookmarkStart w:id="84" w:name="_Toc414345370"/>
      <w:bookmarkStart w:id="85" w:name="_Toc414345748"/>
      <w:bookmarkStart w:id="86" w:name="_Toc414345966"/>
      <w:bookmarkEnd w:id="84"/>
      <w:bookmarkEnd w:id="85"/>
      <w:bookmarkEnd w:id="86"/>
      <w:r>
        <w:t xml:space="preserve"> </w:t>
      </w:r>
      <w:bookmarkStart w:id="87" w:name="_Toc462224958"/>
      <w:bookmarkStart w:id="88" w:name="_Toc468875917"/>
      <w:r w:rsidR="003917B0">
        <w:t>Cost Estimation</w:t>
      </w:r>
      <w:bookmarkEnd w:id="87"/>
      <w:bookmarkEnd w:id="88"/>
    </w:p>
    <w:p w14:paraId="27F915DD" w14:textId="77777777" w:rsidR="00F366EA" w:rsidRDefault="00F366EA" w:rsidP="00FF0EE8">
      <w:pPr>
        <w:keepNext/>
        <w:spacing w:line="240" w:lineRule="auto"/>
      </w:pPr>
    </w:p>
    <w:p w14:paraId="19C881F9" w14:textId="039050E4" w:rsidR="003917B0" w:rsidRPr="00BF5AC4" w:rsidRDefault="003917B0" w:rsidP="00FF0EE8">
      <w:pPr>
        <w:spacing w:line="240" w:lineRule="auto"/>
        <w:rPr>
          <w:rFonts w:eastAsiaTheme="minorEastAsia"/>
          <w:lang w:eastAsia="ja-JP"/>
        </w:rPr>
      </w:pPr>
      <w:r w:rsidRPr="00BF5AC4">
        <w:rPr>
          <w:rFonts w:eastAsiaTheme="minorEastAsia"/>
          <w:lang w:eastAsia="ja-JP"/>
        </w:rPr>
        <w:t xml:space="preserve">In order to estimate the costs associated with the </w:t>
      </w:r>
      <w:r>
        <w:rPr>
          <w:rFonts w:eastAsiaTheme="minorEastAsia"/>
          <w:lang w:eastAsia="ja-JP"/>
        </w:rPr>
        <w:t>evaluated alternatives</w:t>
      </w:r>
      <w:r w:rsidRPr="00BF5AC4">
        <w:rPr>
          <w:rFonts w:eastAsiaTheme="minorEastAsia"/>
          <w:lang w:eastAsia="ja-JP"/>
        </w:rPr>
        <w:t>, the NRC staff used a work breakdown approach to deconstruct the requirements according to the required activities for each requirement.  For each required activity, the NRC further subdivided the work across labor categories (i.e.,</w:t>
      </w:r>
      <w:r w:rsidR="0092662F">
        <w:rPr>
          <w:rFonts w:eastAsiaTheme="minorEastAsia"/>
          <w:lang w:eastAsia="ja-JP"/>
        </w:rPr>
        <w:t> </w:t>
      </w:r>
      <w:r>
        <w:rPr>
          <w:rFonts w:eastAsiaTheme="minorEastAsia"/>
          <w:lang w:eastAsia="ja-JP"/>
        </w:rPr>
        <w:t>executives, managers, technical staff, administrative staff, and licensing staff</w:t>
      </w:r>
      <w:r w:rsidRPr="00BF5AC4">
        <w:rPr>
          <w:rFonts w:eastAsiaTheme="minorEastAsia"/>
          <w:lang w:eastAsia="ja-JP"/>
        </w:rPr>
        <w:t>).  The NRC staff estimated the required level of effort for each required activity</w:t>
      </w:r>
      <w:r>
        <w:rPr>
          <w:rFonts w:eastAsiaTheme="minorEastAsia"/>
          <w:lang w:eastAsia="ja-JP"/>
        </w:rPr>
        <w:t xml:space="preserve"> and used a blended labor rate</w:t>
      </w:r>
      <w:r w:rsidRPr="00BF5AC4">
        <w:rPr>
          <w:rFonts w:eastAsiaTheme="minorEastAsia"/>
          <w:lang w:eastAsia="ja-JP"/>
        </w:rPr>
        <w:t xml:space="preserve"> to develop bottom</w:t>
      </w:r>
      <w:r w:rsidR="0092662F">
        <w:rPr>
          <w:rFonts w:eastAsiaTheme="minorEastAsia"/>
          <w:lang w:eastAsia="ja-JP"/>
        </w:rPr>
        <w:noBreakHyphen/>
      </w:r>
      <w:r w:rsidRPr="00BF5AC4">
        <w:rPr>
          <w:rFonts w:eastAsiaTheme="minorEastAsia"/>
          <w:lang w:eastAsia="ja-JP"/>
        </w:rPr>
        <w:t>up cost estimates.</w:t>
      </w:r>
    </w:p>
    <w:p w14:paraId="3C2EFA42" w14:textId="77777777" w:rsidR="003917B0" w:rsidRPr="00BF5AC4" w:rsidRDefault="003917B0" w:rsidP="00FF0EE8">
      <w:pPr>
        <w:spacing w:line="240" w:lineRule="auto"/>
      </w:pPr>
    </w:p>
    <w:p w14:paraId="714396C8" w14:textId="5D62C2D6" w:rsidR="00DE497B" w:rsidRPr="00BF5AC4" w:rsidRDefault="003917B0" w:rsidP="00FF0EE8">
      <w:pPr>
        <w:spacing w:line="240" w:lineRule="auto"/>
        <w:rPr>
          <w:rFonts w:eastAsiaTheme="minorEastAsia"/>
          <w:lang w:eastAsia="ja-JP"/>
        </w:rPr>
      </w:pPr>
      <w:r w:rsidRPr="00BF5AC4">
        <w:rPr>
          <w:rFonts w:eastAsiaTheme="minorEastAsia"/>
          <w:lang w:eastAsia="ja-JP"/>
        </w:rPr>
        <w:t xml:space="preserve">The NRC </w:t>
      </w:r>
      <w:r w:rsidR="00DE497B">
        <w:rPr>
          <w:rFonts w:eastAsiaTheme="minorEastAsia"/>
          <w:lang w:eastAsia="ja-JP"/>
        </w:rPr>
        <w:t xml:space="preserve">staff </w:t>
      </w:r>
      <w:r w:rsidRPr="00BF5AC4">
        <w:rPr>
          <w:rFonts w:eastAsiaTheme="minorEastAsia"/>
          <w:lang w:eastAsia="ja-JP"/>
        </w:rPr>
        <w:t xml:space="preserve">gathered data from several sources and consulted </w:t>
      </w:r>
      <w:r>
        <w:rPr>
          <w:rFonts w:eastAsiaTheme="minorEastAsia"/>
          <w:lang w:eastAsia="ja-JP"/>
        </w:rPr>
        <w:t xml:space="preserve">ASME Code working group </w:t>
      </w:r>
      <w:r w:rsidR="00DE497B">
        <w:rPr>
          <w:rFonts w:eastAsiaTheme="minorEastAsia"/>
          <w:lang w:eastAsia="ja-JP"/>
        </w:rPr>
        <w:t xml:space="preserve">members </w:t>
      </w:r>
      <w:r w:rsidR="00DE497B" w:rsidRPr="00BF5AC4">
        <w:rPr>
          <w:rFonts w:eastAsiaTheme="minorEastAsia"/>
          <w:lang w:eastAsia="ja-JP"/>
        </w:rPr>
        <w:t>to</w:t>
      </w:r>
      <w:r w:rsidRPr="00BF5AC4">
        <w:rPr>
          <w:rFonts w:eastAsiaTheme="minorEastAsia"/>
          <w:lang w:eastAsia="ja-JP"/>
        </w:rPr>
        <w:t xml:space="preserve"> develop </w:t>
      </w:r>
      <w:r w:rsidR="00DE497B">
        <w:rPr>
          <w:rFonts w:eastAsiaTheme="minorEastAsia"/>
          <w:lang w:eastAsia="ja-JP"/>
        </w:rPr>
        <w:t xml:space="preserve">levels of effort and unit cost estimates.  </w:t>
      </w:r>
      <w:r w:rsidR="00DE497B" w:rsidRPr="00BF5AC4">
        <w:rPr>
          <w:rFonts w:eastAsiaTheme="minorEastAsia"/>
          <w:lang w:eastAsia="ja-JP"/>
        </w:rPr>
        <w:t xml:space="preserve">The NRC </w:t>
      </w:r>
      <w:r w:rsidR="00DE497B">
        <w:rPr>
          <w:rFonts w:eastAsiaTheme="minorEastAsia"/>
          <w:lang w:eastAsia="ja-JP"/>
        </w:rPr>
        <w:t xml:space="preserve">staff </w:t>
      </w:r>
      <w:r w:rsidR="00DE497B" w:rsidRPr="00BF5AC4">
        <w:rPr>
          <w:rFonts w:eastAsiaTheme="minorEastAsia"/>
          <w:lang w:eastAsia="ja-JP"/>
        </w:rPr>
        <w:t xml:space="preserve">applied several cost estimation methods in this analysis.  The professional knowledge and judgment of the NRC staff were used to estimate many of the costs and benefits.  Additionally, </w:t>
      </w:r>
      <w:r w:rsidR="0092662F">
        <w:rPr>
          <w:rFonts w:eastAsiaTheme="minorEastAsia"/>
          <w:lang w:eastAsia="ja-JP"/>
        </w:rPr>
        <w:t xml:space="preserve">the NRC used </w:t>
      </w:r>
      <w:r w:rsidR="00DE497B" w:rsidRPr="00BF5AC4">
        <w:rPr>
          <w:rFonts w:eastAsiaTheme="minorEastAsia"/>
          <w:lang w:eastAsia="ja-JP"/>
        </w:rPr>
        <w:t>a buildup method, solicitation of licensee input, and extrapolation techniques to estimate costs and benefits.</w:t>
      </w:r>
      <w:r w:rsidR="00DE497B">
        <w:rPr>
          <w:rFonts w:eastAsiaTheme="minorEastAsia"/>
          <w:lang w:eastAsia="ja-JP"/>
        </w:rPr>
        <w:t xml:space="preserve">  Finally, </w:t>
      </w:r>
      <w:r w:rsidR="00082FB4">
        <w:rPr>
          <w:rFonts w:eastAsiaTheme="minorEastAsia"/>
          <w:lang w:eastAsia="ja-JP"/>
        </w:rPr>
        <w:t xml:space="preserve">the staff performed </w:t>
      </w:r>
      <w:r w:rsidR="00DE497B">
        <w:rPr>
          <w:rFonts w:eastAsiaTheme="minorEastAsia"/>
          <w:lang w:eastAsia="ja-JP"/>
        </w:rPr>
        <w:t>an independent cost estimate</w:t>
      </w:r>
      <w:r w:rsidR="00A80366">
        <w:rPr>
          <w:rFonts w:eastAsiaTheme="minorEastAsia"/>
          <w:lang w:eastAsia="ja-JP"/>
        </w:rPr>
        <w:t xml:space="preserve"> (</w:t>
      </w:r>
      <w:r w:rsidR="002D59BF">
        <w:rPr>
          <w:rFonts w:eastAsiaTheme="minorEastAsia"/>
          <w:lang w:eastAsia="ja-JP"/>
        </w:rPr>
        <w:t>ICE</w:t>
      </w:r>
      <w:r w:rsidR="00A80366">
        <w:rPr>
          <w:rFonts w:eastAsiaTheme="minorEastAsia"/>
          <w:lang w:eastAsia="ja-JP"/>
        </w:rPr>
        <w:t>)</w:t>
      </w:r>
      <w:r w:rsidR="00DE497B">
        <w:rPr>
          <w:rFonts w:eastAsiaTheme="minorEastAsia"/>
          <w:lang w:eastAsia="ja-JP"/>
        </w:rPr>
        <w:t xml:space="preserve"> to compare </w:t>
      </w:r>
      <w:r w:rsidR="00082FB4">
        <w:rPr>
          <w:rFonts w:eastAsiaTheme="minorEastAsia"/>
          <w:lang w:eastAsia="ja-JP"/>
        </w:rPr>
        <w:t xml:space="preserve">it </w:t>
      </w:r>
      <w:r w:rsidR="00DE497B">
        <w:rPr>
          <w:rFonts w:eastAsiaTheme="minorEastAsia"/>
          <w:lang w:eastAsia="ja-JP"/>
        </w:rPr>
        <w:t xml:space="preserve">to </w:t>
      </w:r>
      <w:r w:rsidR="00082FB4">
        <w:rPr>
          <w:rFonts w:eastAsiaTheme="minorEastAsia"/>
          <w:lang w:eastAsia="ja-JP"/>
        </w:rPr>
        <w:t xml:space="preserve">the NRC’s </w:t>
      </w:r>
      <w:r w:rsidR="00DE497B">
        <w:rPr>
          <w:rFonts w:eastAsiaTheme="minorEastAsia"/>
          <w:lang w:eastAsia="ja-JP"/>
        </w:rPr>
        <w:t xml:space="preserve">cost estimates </w:t>
      </w:r>
      <w:r w:rsidR="00082FB4">
        <w:rPr>
          <w:rFonts w:eastAsiaTheme="minorEastAsia"/>
          <w:lang w:eastAsia="ja-JP"/>
        </w:rPr>
        <w:t>in response</w:t>
      </w:r>
      <w:r w:rsidR="00DE497B">
        <w:rPr>
          <w:rFonts w:eastAsiaTheme="minorEastAsia"/>
          <w:lang w:eastAsia="ja-JP"/>
        </w:rPr>
        <w:t xml:space="preserve"> to the </w:t>
      </w:r>
      <w:r w:rsidR="00D96580">
        <w:rPr>
          <w:rFonts w:eastAsiaTheme="minorEastAsia"/>
          <w:lang w:eastAsia="ja-JP"/>
        </w:rPr>
        <w:t>U.S. </w:t>
      </w:r>
      <w:r w:rsidR="00DE497B">
        <w:rPr>
          <w:rFonts w:eastAsiaTheme="minorEastAsia"/>
          <w:lang w:eastAsia="ja-JP"/>
        </w:rPr>
        <w:t>G</w:t>
      </w:r>
      <w:r w:rsidR="00D84B31">
        <w:rPr>
          <w:rFonts w:eastAsiaTheme="minorEastAsia"/>
          <w:lang w:eastAsia="ja-JP"/>
        </w:rPr>
        <w:t>overnment</w:t>
      </w:r>
      <w:r w:rsidR="00DE497B">
        <w:rPr>
          <w:rFonts w:eastAsiaTheme="minorEastAsia"/>
          <w:lang w:eastAsia="ja-JP"/>
        </w:rPr>
        <w:t xml:space="preserve"> Accountability Office (GAO) concerns and recommendations</w:t>
      </w:r>
      <w:r w:rsidR="004828EC">
        <w:rPr>
          <w:rFonts w:eastAsiaTheme="minorEastAsia"/>
          <w:lang w:eastAsia="ja-JP"/>
        </w:rPr>
        <w:t xml:space="preserve"> (Ref.</w:t>
      </w:r>
      <w:r w:rsidR="00B85C9C">
        <w:rPr>
          <w:rFonts w:eastAsiaTheme="minorEastAsia"/>
          <w:lang w:eastAsia="ja-JP"/>
        </w:rPr>
        <w:t> </w:t>
      </w:r>
      <w:r w:rsidR="004828EC">
        <w:rPr>
          <w:rFonts w:eastAsiaTheme="minorEastAsia"/>
          <w:lang w:eastAsia="ja-JP"/>
        </w:rPr>
        <w:fldChar w:fldCharType="begin"/>
      </w:r>
      <w:r w:rsidR="004828EC">
        <w:rPr>
          <w:rFonts w:eastAsiaTheme="minorEastAsia"/>
          <w:lang w:eastAsia="ja-JP"/>
        </w:rPr>
        <w:instrText xml:space="preserve"> REF _Ref436893530 \r \h </w:instrText>
      </w:r>
      <w:r w:rsidR="004828EC">
        <w:rPr>
          <w:rFonts w:eastAsiaTheme="minorEastAsia"/>
          <w:lang w:eastAsia="ja-JP"/>
        </w:rPr>
      </w:r>
      <w:r w:rsidR="004828EC">
        <w:rPr>
          <w:rFonts w:eastAsiaTheme="minorEastAsia"/>
          <w:lang w:eastAsia="ja-JP"/>
        </w:rPr>
        <w:fldChar w:fldCharType="separate"/>
      </w:r>
      <w:r w:rsidR="00FD3AB6">
        <w:rPr>
          <w:rFonts w:eastAsiaTheme="minorEastAsia"/>
          <w:lang w:eastAsia="ja-JP"/>
        </w:rPr>
        <w:t>27</w:t>
      </w:r>
      <w:r w:rsidR="004828EC">
        <w:rPr>
          <w:rFonts w:eastAsiaTheme="minorEastAsia"/>
          <w:lang w:eastAsia="ja-JP"/>
        </w:rPr>
        <w:fldChar w:fldCharType="end"/>
      </w:r>
      <w:r w:rsidR="004828EC">
        <w:rPr>
          <w:rFonts w:eastAsiaTheme="minorEastAsia"/>
          <w:lang w:eastAsia="ja-JP"/>
        </w:rPr>
        <w:t>)</w:t>
      </w:r>
      <w:r w:rsidR="00DE497B">
        <w:rPr>
          <w:rFonts w:eastAsiaTheme="minorEastAsia"/>
          <w:lang w:eastAsia="ja-JP"/>
        </w:rPr>
        <w:t>.</w:t>
      </w:r>
    </w:p>
    <w:p w14:paraId="48FC6A92" w14:textId="77777777" w:rsidR="00DE497B" w:rsidRPr="00AA724B" w:rsidRDefault="00DE497B" w:rsidP="00FF0EE8">
      <w:pPr>
        <w:spacing w:line="240" w:lineRule="auto"/>
        <w:rPr>
          <w:rFonts w:eastAsiaTheme="minorEastAsia"/>
          <w:lang w:eastAsia="ja-JP"/>
        </w:rPr>
      </w:pPr>
    </w:p>
    <w:p w14:paraId="16913CE2" w14:textId="5D25ADD3" w:rsidR="00DE497B" w:rsidRPr="00BF5AC4" w:rsidRDefault="00AA724B" w:rsidP="00FF0EE8">
      <w:pPr>
        <w:spacing w:line="240" w:lineRule="auto"/>
        <w:rPr>
          <w:rFonts w:eastAsiaTheme="minorEastAsia"/>
          <w:lang w:eastAsia="ja-JP"/>
        </w:rPr>
      </w:pPr>
      <w:r>
        <w:rPr>
          <w:rFonts w:eastAsiaTheme="minorEastAsia"/>
          <w:lang w:eastAsia="ja-JP"/>
        </w:rPr>
        <w:t>The NRC staff began by estimating some activities</w:t>
      </w:r>
      <w:r w:rsidR="00DE497B" w:rsidRPr="00BF5AC4">
        <w:rPr>
          <w:rFonts w:eastAsiaTheme="minorEastAsia"/>
          <w:lang w:eastAsia="ja-JP"/>
        </w:rPr>
        <w:t xml:space="preserve"> using the engineering buildup method of cost estimation</w:t>
      </w:r>
      <w:r w:rsidR="00056B30">
        <w:rPr>
          <w:rFonts w:eastAsiaTheme="minorEastAsia"/>
          <w:lang w:eastAsia="ja-JP"/>
        </w:rPr>
        <w:t>, combining</w:t>
      </w:r>
      <w:r w:rsidR="00560915" w:rsidRPr="00BF5AC4">
        <w:rPr>
          <w:rFonts w:eastAsiaTheme="minorEastAsia"/>
          <w:lang w:eastAsia="ja-JP"/>
        </w:rPr>
        <w:t xml:space="preserve"> </w:t>
      </w:r>
      <w:r w:rsidR="00DE497B" w:rsidRPr="00BF5AC4">
        <w:rPr>
          <w:rFonts w:eastAsiaTheme="minorEastAsia"/>
          <w:lang w:eastAsia="ja-JP"/>
        </w:rPr>
        <w:t xml:space="preserve">incremental costs of an activity from the bottom up to estimate a total cost.  For this step, the NRC reviewed previous license </w:t>
      </w:r>
      <w:r w:rsidR="006777A1">
        <w:rPr>
          <w:rFonts w:eastAsiaTheme="minorEastAsia"/>
          <w:lang w:eastAsia="ja-JP"/>
        </w:rPr>
        <w:t>submittals</w:t>
      </w:r>
      <w:r w:rsidR="00DE497B" w:rsidRPr="00BF5AC4">
        <w:rPr>
          <w:rFonts w:eastAsiaTheme="minorEastAsia"/>
          <w:lang w:eastAsia="ja-JP"/>
        </w:rPr>
        <w:t xml:space="preserve"> and extracted the length of each section</w:t>
      </w:r>
      <w:r w:rsidR="00082FB4">
        <w:rPr>
          <w:rFonts w:eastAsiaTheme="minorEastAsia"/>
          <w:lang w:eastAsia="ja-JP"/>
        </w:rPr>
        <w:t xml:space="preserve"> (</w:t>
      </w:r>
      <w:r w:rsidR="00DE497B" w:rsidRPr="00BF5AC4">
        <w:rPr>
          <w:rFonts w:eastAsiaTheme="minorEastAsia"/>
          <w:lang w:eastAsia="ja-JP"/>
        </w:rPr>
        <w:t>in page numbers</w:t>
      </w:r>
      <w:r w:rsidR="00082FB4">
        <w:rPr>
          <w:rFonts w:eastAsiaTheme="minorEastAsia"/>
          <w:lang w:eastAsia="ja-JP"/>
        </w:rPr>
        <w:t>)</w:t>
      </w:r>
      <w:r w:rsidR="00DE497B" w:rsidRPr="00BF5AC4">
        <w:rPr>
          <w:rFonts w:eastAsiaTheme="minorEastAsia"/>
          <w:lang w:eastAsia="ja-JP"/>
        </w:rPr>
        <w:t xml:space="preserve"> and used these data to develop preliminary </w:t>
      </w:r>
      <w:r w:rsidR="006777A1">
        <w:rPr>
          <w:rFonts w:eastAsiaTheme="minorEastAsia"/>
          <w:lang w:eastAsia="ja-JP"/>
        </w:rPr>
        <w:t>level</w:t>
      </w:r>
      <w:r w:rsidR="00DE497B" w:rsidRPr="00BF5AC4">
        <w:rPr>
          <w:rFonts w:eastAsiaTheme="minorEastAsia"/>
          <w:lang w:eastAsia="ja-JP"/>
        </w:rPr>
        <w:t xml:space="preserve">s </w:t>
      </w:r>
      <w:r w:rsidR="006777A1">
        <w:rPr>
          <w:rFonts w:eastAsiaTheme="minorEastAsia"/>
          <w:lang w:eastAsia="ja-JP"/>
        </w:rPr>
        <w:t>of effort.</w:t>
      </w:r>
    </w:p>
    <w:p w14:paraId="5CD95569" w14:textId="77777777" w:rsidR="00DE497B" w:rsidRPr="00BF5AC4" w:rsidRDefault="00DE497B" w:rsidP="00FF0EE8">
      <w:pPr>
        <w:spacing w:line="240" w:lineRule="auto"/>
        <w:rPr>
          <w:rFonts w:eastAsiaTheme="minorEastAsia"/>
          <w:lang w:eastAsia="ja-JP"/>
        </w:rPr>
      </w:pPr>
    </w:p>
    <w:p w14:paraId="18AE7689" w14:textId="0369A788" w:rsidR="00DE497B" w:rsidRPr="00BF5AC4" w:rsidRDefault="00DE497B" w:rsidP="00FF0EE8">
      <w:pPr>
        <w:spacing w:line="240" w:lineRule="auto"/>
        <w:rPr>
          <w:rFonts w:eastAsiaTheme="minorEastAsia"/>
          <w:lang w:eastAsia="ja-JP"/>
        </w:rPr>
      </w:pPr>
      <w:r w:rsidRPr="00BF5AC4">
        <w:rPr>
          <w:rFonts w:eastAsiaTheme="minorEastAsia"/>
          <w:lang w:eastAsia="ja-JP"/>
        </w:rPr>
        <w:t xml:space="preserve">The NRC staff consulted </w:t>
      </w:r>
      <w:r w:rsidR="006777A1">
        <w:rPr>
          <w:rFonts w:eastAsiaTheme="minorEastAsia"/>
          <w:lang w:eastAsia="ja-JP"/>
        </w:rPr>
        <w:t>subject</w:t>
      </w:r>
      <w:r w:rsidR="00082FB4">
        <w:rPr>
          <w:rFonts w:eastAsiaTheme="minorEastAsia"/>
          <w:lang w:eastAsia="ja-JP"/>
        </w:rPr>
        <w:noBreakHyphen/>
      </w:r>
      <w:r w:rsidR="006777A1">
        <w:rPr>
          <w:rFonts w:eastAsiaTheme="minorEastAsia"/>
          <w:lang w:eastAsia="ja-JP"/>
        </w:rPr>
        <w:t>matter</w:t>
      </w:r>
      <w:r w:rsidRPr="00BF5AC4">
        <w:rPr>
          <w:rFonts w:eastAsiaTheme="minorEastAsia"/>
          <w:lang w:eastAsia="ja-JP"/>
        </w:rPr>
        <w:t xml:space="preserve"> experts within and outside of the agency to develop most of the </w:t>
      </w:r>
      <w:r w:rsidR="0092662F">
        <w:rPr>
          <w:rFonts w:eastAsiaTheme="minorEastAsia"/>
          <w:lang w:eastAsia="ja-JP"/>
        </w:rPr>
        <w:t>level of effort</w:t>
      </w:r>
      <w:r w:rsidR="0092662F" w:rsidRPr="00BF5AC4">
        <w:rPr>
          <w:rFonts w:eastAsiaTheme="minorEastAsia"/>
          <w:lang w:eastAsia="ja-JP"/>
        </w:rPr>
        <w:t xml:space="preserve"> </w:t>
      </w:r>
      <w:r w:rsidRPr="00BF5AC4">
        <w:rPr>
          <w:rFonts w:eastAsiaTheme="minorEastAsia"/>
          <w:lang w:eastAsia="ja-JP"/>
        </w:rPr>
        <w:t xml:space="preserve">estimates used in the analysis.  For example, for both </w:t>
      </w:r>
      <w:r w:rsidR="00560915">
        <w:rPr>
          <w:rFonts w:eastAsiaTheme="minorEastAsia"/>
          <w:lang w:eastAsia="ja-JP"/>
        </w:rPr>
        <w:t>costs and averted</w:t>
      </w:r>
      <w:r w:rsidRPr="00BF5AC4">
        <w:rPr>
          <w:rFonts w:eastAsiaTheme="minorEastAsia"/>
          <w:lang w:eastAsia="ja-JP"/>
        </w:rPr>
        <w:t xml:space="preserve"> costs of the </w:t>
      </w:r>
      <w:r w:rsidR="00126047">
        <w:rPr>
          <w:rFonts w:eastAsiaTheme="minorEastAsia"/>
          <w:lang w:eastAsia="ja-JP"/>
        </w:rPr>
        <w:t>final</w:t>
      </w:r>
      <w:r w:rsidRPr="00BF5AC4">
        <w:rPr>
          <w:rFonts w:eastAsiaTheme="minorEastAsia"/>
          <w:lang w:eastAsia="ja-JP"/>
        </w:rPr>
        <w:t xml:space="preserve"> rule, the NRC staff consulted licensees when estimating the </w:t>
      </w:r>
      <w:r w:rsidR="006777A1">
        <w:rPr>
          <w:rFonts w:eastAsiaTheme="minorEastAsia"/>
          <w:lang w:eastAsia="ja-JP"/>
        </w:rPr>
        <w:t>level of effort</w:t>
      </w:r>
      <w:r w:rsidRPr="00BF5AC4">
        <w:rPr>
          <w:rFonts w:eastAsiaTheme="minorEastAsia"/>
          <w:lang w:eastAsia="ja-JP"/>
        </w:rPr>
        <w:t xml:space="preserve"> required for </w:t>
      </w:r>
      <w:r w:rsidR="006777A1">
        <w:rPr>
          <w:rFonts w:eastAsiaTheme="minorEastAsia"/>
          <w:lang w:eastAsia="ja-JP"/>
        </w:rPr>
        <w:t>ASME Code Case impacts</w:t>
      </w:r>
      <w:r w:rsidRPr="00BF5AC4">
        <w:rPr>
          <w:rFonts w:eastAsiaTheme="minorEastAsia"/>
          <w:lang w:eastAsia="ja-JP"/>
        </w:rPr>
        <w:t xml:space="preserve">.  Additionally, the NRC staff contributed to the estimation of </w:t>
      </w:r>
      <w:r w:rsidR="005524A0">
        <w:rPr>
          <w:rFonts w:eastAsiaTheme="minorEastAsia"/>
          <w:lang w:eastAsia="ja-JP"/>
        </w:rPr>
        <w:t>levels of effort for review</w:t>
      </w:r>
      <w:r w:rsidR="00082FB4">
        <w:rPr>
          <w:rFonts w:eastAsiaTheme="minorEastAsia"/>
          <w:lang w:eastAsia="ja-JP"/>
        </w:rPr>
        <w:noBreakHyphen/>
      </w:r>
      <w:r w:rsidRPr="00BF5AC4">
        <w:rPr>
          <w:rFonts w:eastAsiaTheme="minorEastAsia"/>
          <w:lang w:eastAsia="ja-JP"/>
        </w:rPr>
        <w:t>related activities.</w:t>
      </w:r>
    </w:p>
    <w:p w14:paraId="780633FE" w14:textId="77777777" w:rsidR="00DE497B" w:rsidRPr="00BF5AC4" w:rsidRDefault="00DE497B" w:rsidP="00FF0EE8">
      <w:pPr>
        <w:spacing w:line="240" w:lineRule="auto"/>
        <w:rPr>
          <w:rFonts w:eastAsiaTheme="minorEastAsia"/>
          <w:lang w:eastAsia="ja-JP"/>
        </w:rPr>
      </w:pPr>
    </w:p>
    <w:p w14:paraId="21058964" w14:textId="7BF87D7F" w:rsidR="00DE497B" w:rsidRPr="00BF5AC4" w:rsidRDefault="00114987" w:rsidP="00FF0EE8">
      <w:pPr>
        <w:spacing w:line="240" w:lineRule="auto"/>
        <w:rPr>
          <w:rFonts w:eastAsiaTheme="minorEastAsia"/>
          <w:lang w:eastAsia="ja-JP"/>
        </w:rPr>
      </w:pPr>
      <w:r>
        <w:rPr>
          <w:rFonts w:eastAsiaTheme="minorEastAsia"/>
          <w:lang w:eastAsia="ja-JP"/>
        </w:rPr>
        <w:t xml:space="preserve">The NRC staff </w:t>
      </w:r>
      <w:r w:rsidR="006331E8">
        <w:rPr>
          <w:rFonts w:eastAsiaTheme="minorEastAsia"/>
          <w:lang w:eastAsia="ja-JP"/>
        </w:rPr>
        <w:t xml:space="preserve">used an </w:t>
      </w:r>
      <w:r>
        <w:rPr>
          <w:rFonts w:eastAsiaTheme="minorEastAsia"/>
          <w:lang w:eastAsia="ja-JP"/>
        </w:rPr>
        <w:t>extrapolat</w:t>
      </w:r>
      <w:r w:rsidR="006331E8">
        <w:rPr>
          <w:rFonts w:eastAsiaTheme="minorEastAsia"/>
          <w:lang w:eastAsia="ja-JP"/>
        </w:rPr>
        <w:t>ion method</w:t>
      </w:r>
      <w:r w:rsidR="00DE497B" w:rsidRPr="00BF5AC4">
        <w:rPr>
          <w:rFonts w:eastAsiaTheme="minorEastAsia"/>
          <w:lang w:eastAsia="ja-JP"/>
        </w:rPr>
        <w:t xml:space="preserve"> to estimate some cost activities, which relies on actual past or current costs to estimate the future cost of similar activities.  For instance, to calculate the estimated </w:t>
      </w:r>
      <w:r w:rsidR="005524A0">
        <w:rPr>
          <w:rFonts w:eastAsiaTheme="minorEastAsia"/>
          <w:lang w:eastAsia="ja-JP"/>
        </w:rPr>
        <w:t xml:space="preserve">averted </w:t>
      </w:r>
      <w:r w:rsidR="00DE497B" w:rsidRPr="00BF5AC4">
        <w:rPr>
          <w:rFonts w:eastAsiaTheme="minorEastAsia"/>
          <w:lang w:eastAsia="ja-JP"/>
        </w:rPr>
        <w:t xml:space="preserve">costs of </w:t>
      </w:r>
      <w:r w:rsidR="005524A0">
        <w:rPr>
          <w:rFonts w:eastAsiaTheme="minorEastAsia"/>
          <w:lang w:eastAsia="ja-JP"/>
        </w:rPr>
        <w:t>alternative requests and the preparation of the final rule and a</w:t>
      </w:r>
      <w:r>
        <w:rPr>
          <w:rFonts w:eastAsiaTheme="minorEastAsia"/>
          <w:lang w:eastAsia="ja-JP"/>
        </w:rPr>
        <w:t>ccompanying regulatory guidance</w:t>
      </w:r>
      <w:r w:rsidR="00DE497B" w:rsidRPr="00BF5AC4">
        <w:rPr>
          <w:rFonts w:eastAsiaTheme="minorEastAsia"/>
          <w:lang w:eastAsia="ja-JP"/>
        </w:rPr>
        <w:t xml:space="preserve">, the NRC </w:t>
      </w:r>
      <w:r w:rsidR="005524A0">
        <w:rPr>
          <w:rFonts w:eastAsiaTheme="minorEastAsia"/>
          <w:lang w:eastAsia="ja-JP"/>
        </w:rPr>
        <w:t xml:space="preserve">staff </w:t>
      </w:r>
      <w:r w:rsidR="00082FB4">
        <w:rPr>
          <w:rFonts w:eastAsiaTheme="minorEastAsia"/>
          <w:lang w:eastAsia="ja-JP"/>
        </w:rPr>
        <w:t xml:space="preserve">needed </w:t>
      </w:r>
      <w:r w:rsidR="005524A0">
        <w:rPr>
          <w:rFonts w:eastAsiaTheme="minorEastAsia"/>
          <w:lang w:eastAsia="ja-JP"/>
        </w:rPr>
        <w:t>t</w:t>
      </w:r>
      <w:r w:rsidR="00DE497B" w:rsidRPr="00BF5AC4">
        <w:rPr>
          <w:rFonts w:eastAsiaTheme="minorEastAsia"/>
          <w:lang w:eastAsia="ja-JP"/>
        </w:rPr>
        <w:t xml:space="preserve">o extrapolate the labor categories responsible for the work based on </w:t>
      </w:r>
      <w:r w:rsidR="005524A0">
        <w:rPr>
          <w:rFonts w:eastAsiaTheme="minorEastAsia"/>
          <w:lang w:eastAsia="ja-JP"/>
        </w:rPr>
        <w:t>past</w:t>
      </w:r>
      <w:r w:rsidR="00DE497B" w:rsidRPr="00BF5AC4">
        <w:rPr>
          <w:rFonts w:eastAsiaTheme="minorEastAsia"/>
          <w:lang w:eastAsia="ja-JP"/>
        </w:rPr>
        <w:t xml:space="preserve"> data.  For </w:t>
      </w:r>
      <w:r w:rsidR="00205DF0">
        <w:rPr>
          <w:rFonts w:eastAsiaTheme="minorEastAsia"/>
          <w:lang w:eastAsia="ja-JP"/>
        </w:rPr>
        <w:t>activities</w:t>
      </w:r>
      <w:r w:rsidR="00095A7A">
        <w:rPr>
          <w:rFonts w:eastAsiaTheme="minorEastAsia"/>
          <w:lang w:eastAsia="ja-JP"/>
        </w:rPr>
        <w:t xml:space="preserve"> </w:t>
      </w:r>
      <w:r w:rsidR="00DE497B" w:rsidRPr="00BF5AC4">
        <w:rPr>
          <w:rFonts w:eastAsiaTheme="minorEastAsia"/>
          <w:lang w:eastAsia="ja-JP"/>
        </w:rPr>
        <w:t xml:space="preserve">with no </w:t>
      </w:r>
      <w:r w:rsidR="00205DF0">
        <w:rPr>
          <w:rFonts w:eastAsiaTheme="minorEastAsia"/>
          <w:lang w:eastAsia="ja-JP"/>
        </w:rPr>
        <w:t xml:space="preserve">available </w:t>
      </w:r>
      <w:r w:rsidR="00DE497B" w:rsidRPr="00BF5AC4">
        <w:rPr>
          <w:rFonts w:eastAsiaTheme="minorEastAsia"/>
          <w:lang w:eastAsia="ja-JP"/>
        </w:rPr>
        <w:t xml:space="preserve">data, however, the NRC </w:t>
      </w:r>
      <w:r w:rsidR="005524A0">
        <w:rPr>
          <w:rFonts w:eastAsiaTheme="minorEastAsia"/>
          <w:lang w:eastAsia="ja-JP"/>
        </w:rPr>
        <w:t>staff estimated the level of effort based on</w:t>
      </w:r>
      <w:r w:rsidR="00DE497B" w:rsidRPr="00BF5AC4">
        <w:rPr>
          <w:rFonts w:eastAsiaTheme="minorEastAsia"/>
          <w:lang w:eastAsia="ja-JP"/>
        </w:rPr>
        <w:t xml:space="preserve"> similar steps in the process for which data are available.</w:t>
      </w:r>
    </w:p>
    <w:p w14:paraId="6C748D61" w14:textId="77777777" w:rsidR="00DE497B" w:rsidRPr="00BF5AC4" w:rsidRDefault="00DE497B" w:rsidP="00FF0EE8">
      <w:pPr>
        <w:spacing w:line="240" w:lineRule="auto"/>
        <w:rPr>
          <w:rFonts w:eastAsiaTheme="minorEastAsia"/>
          <w:lang w:eastAsia="ja-JP"/>
        </w:rPr>
      </w:pPr>
    </w:p>
    <w:p w14:paraId="4E60AA17" w14:textId="6957915A" w:rsidR="003917B0" w:rsidRPr="00BF5AC4" w:rsidRDefault="00DE497B" w:rsidP="00FF0EE8">
      <w:pPr>
        <w:spacing w:line="240" w:lineRule="auto"/>
        <w:rPr>
          <w:rFonts w:eastAsiaTheme="minorEastAsia"/>
          <w:lang w:eastAsia="ja-JP"/>
        </w:rPr>
      </w:pPr>
      <w:r w:rsidRPr="00BF5AC4">
        <w:rPr>
          <w:rFonts w:eastAsiaTheme="minorEastAsia"/>
          <w:lang w:eastAsia="ja-JP"/>
        </w:rPr>
        <w:t xml:space="preserve">To incorporate uncertainty into the model, the NRC staff employed Monte Carlo simulation, which is an approach to uncertainty analysis where input variables are expressed as distributions.  The </w:t>
      </w:r>
      <w:r w:rsidR="00114987">
        <w:rPr>
          <w:rFonts w:eastAsiaTheme="minorEastAsia"/>
          <w:lang w:eastAsia="ja-JP"/>
        </w:rPr>
        <w:t>simulation was</w:t>
      </w:r>
      <w:r w:rsidRPr="00BF5AC4">
        <w:rPr>
          <w:rFonts w:eastAsiaTheme="minorEastAsia"/>
          <w:lang w:eastAsia="ja-JP"/>
        </w:rPr>
        <w:t xml:space="preserve"> run 1</w:t>
      </w:r>
      <w:r w:rsidR="005524A0">
        <w:rPr>
          <w:rFonts w:eastAsiaTheme="minorEastAsia"/>
          <w:lang w:eastAsia="ja-JP"/>
        </w:rPr>
        <w:t>0</w:t>
      </w:r>
      <w:r w:rsidRPr="00BF5AC4">
        <w:rPr>
          <w:rFonts w:eastAsiaTheme="minorEastAsia"/>
          <w:lang w:eastAsia="ja-JP"/>
        </w:rPr>
        <w:t xml:space="preserve">,000 </w:t>
      </w:r>
      <w:r w:rsidR="005524A0" w:rsidRPr="00BF5AC4">
        <w:rPr>
          <w:rFonts w:eastAsiaTheme="minorEastAsia"/>
          <w:lang w:eastAsia="ja-JP"/>
        </w:rPr>
        <w:t>times</w:t>
      </w:r>
      <w:r w:rsidR="00082FB4">
        <w:rPr>
          <w:rFonts w:eastAsiaTheme="minorEastAsia"/>
          <w:lang w:eastAsia="ja-JP"/>
        </w:rPr>
        <w:t>,</w:t>
      </w:r>
      <w:r w:rsidR="005524A0" w:rsidRPr="00BF5AC4">
        <w:rPr>
          <w:rFonts w:eastAsiaTheme="minorEastAsia"/>
          <w:lang w:eastAsia="ja-JP"/>
        </w:rPr>
        <w:t xml:space="preserve"> and values were chosen at random from the distributions of the input variables</w:t>
      </w:r>
      <w:r w:rsidR="005524A0">
        <w:rPr>
          <w:rFonts w:eastAsiaTheme="minorEastAsia"/>
          <w:lang w:eastAsia="ja-JP"/>
        </w:rPr>
        <w:t xml:space="preserve"> provided in Appendix</w:t>
      </w:r>
      <w:r w:rsidR="00082FB4">
        <w:rPr>
          <w:rFonts w:eastAsiaTheme="minorEastAsia"/>
          <w:lang w:eastAsia="ja-JP"/>
        </w:rPr>
        <w:t> </w:t>
      </w:r>
      <w:r w:rsidR="005524A0">
        <w:rPr>
          <w:rFonts w:eastAsiaTheme="minorEastAsia"/>
          <w:lang w:eastAsia="ja-JP"/>
        </w:rPr>
        <w:t>B</w:t>
      </w:r>
      <w:r w:rsidR="005524A0" w:rsidRPr="00BF5AC4">
        <w:rPr>
          <w:rFonts w:eastAsiaTheme="minorEastAsia"/>
          <w:lang w:eastAsia="ja-JP"/>
        </w:rPr>
        <w:t xml:space="preserve">.  The result was a distribution of values for the output variable of interest.  </w:t>
      </w:r>
      <w:r w:rsidR="00BF4D7E">
        <w:rPr>
          <w:rFonts w:eastAsiaTheme="minorEastAsia"/>
          <w:lang w:eastAsia="ja-JP"/>
        </w:rPr>
        <w:t xml:space="preserve">The </w:t>
      </w:r>
      <w:r w:rsidR="005524A0" w:rsidRPr="00BF5AC4">
        <w:rPr>
          <w:rFonts w:eastAsiaTheme="minorEastAsia"/>
          <w:lang w:eastAsia="ja-JP"/>
        </w:rPr>
        <w:t xml:space="preserve">Monte Carlo simulation also </w:t>
      </w:r>
      <w:r w:rsidR="00082FB4">
        <w:rPr>
          <w:rFonts w:eastAsiaTheme="minorEastAsia"/>
          <w:lang w:eastAsia="ja-JP"/>
        </w:rPr>
        <w:t>allows for the</w:t>
      </w:r>
      <w:r w:rsidR="005524A0" w:rsidRPr="00BF5AC4">
        <w:rPr>
          <w:rFonts w:eastAsiaTheme="minorEastAsia"/>
          <w:lang w:eastAsia="ja-JP"/>
        </w:rPr>
        <w:t xml:space="preserve"> determin</w:t>
      </w:r>
      <w:r w:rsidR="00082FB4">
        <w:rPr>
          <w:rFonts w:eastAsiaTheme="minorEastAsia"/>
          <w:lang w:eastAsia="ja-JP"/>
        </w:rPr>
        <w:t>ation of</w:t>
      </w:r>
      <w:r w:rsidR="005524A0" w:rsidRPr="00BF5AC4">
        <w:rPr>
          <w:rFonts w:eastAsiaTheme="minorEastAsia"/>
          <w:lang w:eastAsia="ja-JP"/>
        </w:rPr>
        <w:t xml:space="preserve"> input variables that have the greatest effect on the value of the output variable.  Section</w:t>
      </w:r>
      <w:r w:rsidR="00095A7A">
        <w:rPr>
          <w:rFonts w:eastAsiaTheme="minorEastAsia"/>
          <w:lang w:eastAsia="ja-JP"/>
        </w:rPr>
        <w:t> </w:t>
      </w:r>
      <w:r w:rsidR="005524A0">
        <w:rPr>
          <w:rFonts w:eastAsiaTheme="minorEastAsia"/>
          <w:lang w:eastAsia="ja-JP"/>
        </w:rPr>
        <w:fldChar w:fldCharType="begin"/>
      </w:r>
      <w:r w:rsidR="005524A0">
        <w:rPr>
          <w:rFonts w:eastAsiaTheme="minorEastAsia"/>
          <w:lang w:eastAsia="ja-JP"/>
        </w:rPr>
        <w:instrText xml:space="preserve"> REF _Ref435702621 \r \h </w:instrText>
      </w:r>
      <w:r w:rsidR="005524A0">
        <w:rPr>
          <w:rFonts w:eastAsiaTheme="minorEastAsia"/>
          <w:lang w:eastAsia="ja-JP"/>
        </w:rPr>
      </w:r>
      <w:r w:rsidR="005524A0">
        <w:rPr>
          <w:rFonts w:eastAsiaTheme="minorEastAsia"/>
          <w:lang w:eastAsia="ja-JP"/>
        </w:rPr>
        <w:fldChar w:fldCharType="separate"/>
      </w:r>
      <w:r w:rsidR="00FD3AB6">
        <w:rPr>
          <w:rFonts w:eastAsiaTheme="minorEastAsia"/>
          <w:lang w:eastAsia="ja-JP"/>
        </w:rPr>
        <w:t>5.12</w:t>
      </w:r>
      <w:r w:rsidR="005524A0">
        <w:rPr>
          <w:rFonts w:eastAsiaTheme="minorEastAsia"/>
          <w:lang w:eastAsia="ja-JP"/>
        </w:rPr>
        <w:fldChar w:fldCharType="end"/>
      </w:r>
      <w:r w:rsidR="005524A0" w:rsidRPr="00BF5AC4">
        <w:rPr>
          <w:rFonts w:eastAsiaTheme="minorEastAsia"/>
          <w:lang w:eastAsia="ja-JP"/>
        </w:rPr>
        <w:t xml:space="preserve"> </w:t>
      </w:r>
      <w:r w:rsidR="00205DF0">
        <w:rPr>
          <w:rFonts w:eastAsiaTheme="minorEastAsia"/>
          <w:lang w:eastAsia="ja-JP"/>
        </w:rPr>
        <w:t>contains</w:t>
      </w:r>
      <w:r w:rsidR="005524A0" w:rsidRPr="00BF5AC4">
        <w:rPr>
          <w:rFonts w:eastAsiaTheme="minorEastAsia"/>
          <w:lang w:eastAsia="ja-JP"/>
        </w:rPr>
        <w:t xml:space="preserve"> a detailed description of the Monte Carlo simulation methods and a presentation of the results.</w:t>
      </w:r>
    </w:p>
    <w:p w14:paraId="6D6A04E7" w14:textId="77777777" w:rsidR="00AE121B" w:rsidRDefault="001E6FF1" w:rsidP="00FF0EE8">
      <w:pPr>
        <w:pStyle w:val="Heading3"/>
        <w:spacing w:line="240" w:lineRule="auto"/>
        <w:ind w:left="720" w:hanging="684"/>
      </w:pPr>
      <w:bookmarkStart w:id="89" w:name="_Ref435713613"/>
      <w:r>
        <w:t xml:space="preserve"> </w:t>
      </w:r>
      <w:bookmarkStart w:id="90" w:name="_Toc462224959"/>
      <w:bookmarkStart w:id="91" w:name="_Toc468875918"/>
      <w:r w:rsidR="00AE121B">
        <w:t>Conditioned Code Cases</w:t>
      </w:r>
      <w:bookmarkEnd w:id="89"/>
      <w:bookmarkEnd w:id="90"/>
      <w:bookmarkEnd w:id="91"/>
    </w:p>
    <w:p w14:paraId="174AF5E0" w14:textId="77777777" w:rsidR="00AE121B" w:rsidRDefault="00AE121B" w:rsidP="00FF0EE8">
      <w:pPr>
        <w:keepNext/>
        <w:spacing w:line="240" w:lineRule="auto"/>
      </w:pPr>
    </w:p>
    <w:p w14:paraId="31C751D7" w14:textId="3FF7F759" w:rsidR="00AD017A" w:rsidRDefault="00AE121B" w:rsidP="00FF0EE8">
      <w:pPr>
        <w:spacing w:line="240" w:lineRule="auto"/>
      </w:pPr>
      <w:r>
        <w:t xml:space="preserve">The NRC staff analyzes ASME Code Cases </w:t>
      </w:r>
      <w:r w:rsidR="00121E78">
        <w:t>to determine whether the Code Cases</w:t>
      </w:r>
      <w:r>
        <w:t xml:space="preserve"> are </w:t>
      </w:r>
      <w:r w:rsidR="00095A7A">
        <w:t>(1</w:t>
      </w:r>
      <w:r>
        <w:t>)</w:t>
      </w:r>
      <w:r w:rsidR="00095A7A">
        <w:t> </w:t>
      </w:r>
      <w:r>
        <w:t xml:space="preserve">acceptable without conditions, </w:t>
      </w:r>
      <w:r w:rsidR="00095A7A">
        <w:t>(2</w:t>
      </w:r>
      <w:r>
        <w:t>)</w:t>
      </w:r>
      <w:r w:rsidR="00C70566">
        <w:t> </w:t>
      </w:r>
      <w:r>
        <w:t xml:space="preserve">generally acceptable with conditions, or </w:t>
      </w:r>
      <w:r w:rsidR="00095A7A">
        <w:t>(3</w:t>
      </w:r>
      <w:r>
        <w:t>)</w:t>
      </w:r>
      <w:r w:rsidR="00095A7A">
        <w:t> </w:t>
      </w:r>
      <w:r>
        <w:t xml:space="preserve">not approved.  When the NRC generally approves Code Cases with conditions, </w:t>
      </w:r>
      <w:r w:rsidR="00095A7A">
        <w:t xml:space="preserve">licensees may incur </w:t>
      </w:r>
      <w:r>
        <w:t xml:space="preserve">additional regulatory burden to meet the conditioned Code Cases.  </w:t>
      </w:r>
      <w:r w:rsidRPr="005A5E07">
        <w:t xml:space="preserve">The conditions would specify </w:t>
      </w:r>
      <w:r w:rsidR="00095A7A">
        <w:t>(</w:t>
      </w:r>
      <w:r w:rsidRPr="005A5E07">
        <w:t>for each applicable Code Case</w:t>
      </w:r>
      <w:r w:rsidR="00095A7A">
        <w:t>)</w:t>
      </w:r>
      <w:r w:rsidRPr="005A5E07">
        <w:t xml:space="preserve"> the additional activities that must be performed, the limits on the activities specified in the Code Case, and the supplemental information needed to provide clarity.  </w:t>
      </w:r>
      <w:r>
        <w:t>Table</w:t>
      </w:r>
      <w:r w:rsidR="00095A7A">
        <w:t> </w:t>
      </w:r>
      <w:r>
        <w:t>2 of</w:t>
      </w:r>
      <w:r w:rsidRPr="005A5E07">
        <w:t xml:space="preserve"> DG-1295, DG-1296, and DG</w:t>
      </w:r>
      <w:r w:rsidR="00095A7A">
        <w:noBreakHyphen/>
      </w:r>
      <w:r w:rsidRPr="005A5E07">
        <w:t>1297</w:t>
      </w:r>
      <w:r w:rsidR="00095A7A">
        <w:t xml:space="preserve"> include</w:t>
      </w:r>
      <w:r w:rsidR="00205DF0">
        <w:t>s</w:t>
      </w:r>
      <w:r w:rsidR="00095A7A">
        <w:t xml:space="preserve"> these ASME Code Cases</w:t>
      </w:r>
      <w:r w:rsidRPr="005A5E07">
        <w:t>.  The</w:t>
      </w:r>
      <w:r w:rsidR="00254BC3">
        <w:t xml:space="preserve"> </w:t>
      </w:r>
      <w:r w:rsidR="00095A7A">
        <w:t>final rule and the RGs</w:t>
      </w:r>
      <w:r w:rsidRPr="005A5E07">
        <w:t xml:space="preserve"> </w:t>
      </w:r>
      <w:r w:rsidR="00095A7A">
        <w:t>di</w:t>
      </w:r>
      <w:r w:rsidR="00254BC3">
        <w:t>s</w:t>
      </w:r>
      <w:r w:rsidR="00095A7A">
        <w:t xml:space="preserve">cuss the </w:t>
      </w:r>
      <w:r w:rsidRPr="005A5E07">
        <w:t xml:space="preserve">NRC’s evaluation of the </w:t>
      </w:r>
      <w:r>
        <w:t>Code Cases</w:t>
      </w:r>
      <w:r w:rsidRPr="005A5E07">
        <w:t xml:space="preserve"> and the reasons for the</w:t>
      </w:r>
      <w:r w:rsidR="00095A7A">
        <w:t xml:space="preserve"> agency</w:t>
      </w:r>
      <w:r w:rsidRPr="005A5E07">
        <w:t xml:space="preserve">’s </w:t>
      </w:r>
      <w:r>
        <w:t>conditions</w:t>
      </w:r>
      <w:r w:rsidRPr="005A5E07">
        <w:t>.</w:t>
      </w:r>
      <w:r w:rsidR="00AD017A">
        <w:t xml:space="preserve">  </w:t>
      </w:r>
      <w:r w:rsidR="009A19CC">
        <w:t xml:space="preserve">The conditioned Code Cases would have additional resource burden on licensees under the </w:t>
      </w:r>
      <w:r w:rsidR="00095A7A">
        <w:t>i</w:t>
      </w:r>
      <w:r w:rsidR="009A19CC">
        <w:t xml:space="preserve">ndustry </w:t>
      </w:r>
      <w:r w:rsidR="00095A7A">
        <w:t>o</w:t>
      </w:r>
      <w:r w:rsidR="009A19CC">
        <w:t>peration</w:t>
      </w:r>
      <w:r w:rsidR="00095A7A">
        <w:t xml:space="preserve"> </w:t>
      </w:r>
      <w:r w:rsidR="009A19CC">
        <w:t>affected attribute</w:t>
      </w:r>
      <w:r w:rsidR="009A19CC" w:rsidRPr="006E5706">
        <w:t xml:space="preserve">.  </w:t>
      </w:r>
      <w:r w:rsidR="00095A7A" w:rsidRPr="000D50A2">
        <w:fldChar w:fldCharType="begin"/>
      </w:r>
      <w:r w:rsidR="00095A7A" w:rsidRPr="000D50A2">
        <w:instrText xml:space="preserve"> REF _Ref435703592 \h </w:instrText>
      </w:r>
      <w:r w:rsidR="00CF5AC3" w:rsidRPr="00D557C2">
        <w:instrText xml:space="preserve"> \* MERGEFORMAT </w:instrText>
      </w:r>
      <w:r w:rsidR="00095A7A" w:rsidRPr="000D50A2">
        <w:fldChar w:fldCharType="separate"/>
      </w:r>
      <w:r w:rsidR="00FD3AB6" w:rsidRPr="00FD3AB6">
        <w:t xml:space="preserve">Table </w:t>
      </w:r>
      <w:r w:rsidR="00FD3AB6" w:rsidRPr="00FD3AB6">
        <w:rPr>
          <w:noProof/>
        </w:rPr>
        <w:t>6</w:t>
      </w:r>
      <w:r w:rsidR="00095A7A" w:rsidRPr="000D50A2">
        <w:fldChar w:fldCharType="end"/>
      </w:r>
      <w:r w:rsidR="002430B8" w:rsidRPr="000D50A2">
        <w:t xml:space="preserve"> list</w:t>
      </w:r>
      <w:r w:rsidR="00095A7A" w:rsidRPr="000D50A2">
        <w:t>s</w:t>
      </w:r>
      <w:r w:rsidR="00095A7A">
        <w:t xml:space="preserve"> the </w:t>
      </w:r>
      <w:r w:rsidR="002430B8">
        <w:t>conditioned Code Cases.</w:t>
      </w:r>
    </w:p>
    <w:p w14:paraId="469B792D" w14:textId="77777777" w:rsidR="00AD017A" w:rsidRDefault="00AD017A" w:rsidP="00FF0EE8">
      <w:pPr>
        <w:spacing w:line="240" w:lineRule="auto"/>
      </w:pPr>
    </w:p>
    <w:p w14:paraId="5584858B" w14:textId="19CE6014" w:rsidR="00AD017A" w:rsidRPr="00196E28" w:rsidRDefault="00AD017A" w:rsidP="00FF0EE8">
      <w:pPr>
        <w:keepNext/>
        <w:spacing w:line="240" w:lineRule="auto"/>
        <w:ind w:left="1080" w:hanging="1080"/>
        <w:jc w:val="center"/>
        <w:rPr>
          <w:b/>
        </w:rPr>
      </w:pPr>
      <w:bookmarkStart w:id="92" w:name="_Ref435703592"/>
      <w:bookmarkStart w:id="93" w:name="_Toc467508495"/>
      <w:bookmarkStart w:id="94" w:name="_Toc462225001"/>
      <w:r w:rsidRPr="00196E28">
        <w:rPr>
          <w:b/>
        </w:rPr>
        <w:t xml:space="preserve">Table </w:t>
      </w:r>
      <w:r w:rsidR="00782423" w:rsidRPr="00196E28">
        <w:rPr>
          <w:b/>
        </w:rPr>
        <w:fldChar w:fldCharType="begin"/>
      </w:r>
      <w:r w:rsidR="00782423" w:rsidRPr="00196E28">
        <w:rPr>
          <w:b/>
        </w:rPr>
        <w:instrText xml:space="preserve"> SEQ Table \* ARABIC </w:instrText>
      </w:r>
      <w:r w:rsidR="00782423" w:rsidRPr="00196E28">
        <w:rPr>
          <w:b/>
        </w:rPr>
        <w:fldChar w:fldCharType="separate"/>
      </w:r>
      <w:r w:rsidR="00FD3AB6">
        <w:rPr>
          <w:b/>
          <w:noProof/>
        </w:rPr>
        <w:t>6</w:t>
      </w:r>
      <w:r w:rsidR="00782423" w:rsidRPr="00196E28">
        <w:rPr>
          <w:b/>
        </w:rPr>
        <w:fldChar w:fldCharType="end"/>
      </w:r>
      <w:bookmarkEnd w:id="92"/>
      <w:r w:rsidR="006C3FF0" w:rsidRPr="00D557C2">
        <w:rPr>
          <w:b/>
        </w:rPr>
        <w:t xml:space="preserve">  </w:t>
      </w:r>
      <w:r w:rsidRPr="00196E28">
        <w:rPr>
          <w:b/>
        </w:rPr>
        <w:t>List of Conditioned Code Cases</w:t>
      </w:r>
      <w:bookmarkEnd w:id="93"/>
      <w:bookmarkEnd w:id="94"/>
    </w:p>
    <w:p w14:paraId="5804094D" w14:textId="77777777" w:rsidR="00AD017A" w:rsidRDefault="00AD017A" w:rsidP="00FF0EE8">
      <w:pPr>
        <w:keepNext/>
        <w:spacing w:line="240" w:lineRule="auto"/>
      </w:pPr>
    </w:p>
    <w:tbl>
      <w:tblPr>
        <w:tblStyle w:val="TableGrid"/>
        <w:tblW w:w="0" w:type="auto"/>
        <w:tblLook w:val="04A0" w:firstRow="1" w:lastRow="0" w:firstColumn="1" w:lastColumn="0" w:noHBand="0" w:noVBand="1"/>
      </w:tblPr>
      <w:tblGrid>
        <w:gridCol w:w="1045"/>
        <w:gridCol w:w="1383"/>
        <w:gridCol w:w="4364"/>
        <w:gridCol w:w="2558"/>
      </w:tblGrid>
      <w:tr w:rsidR="001F2BCD" w:rsidRPr="00E76100" w14:paraId="4827422E" w14:textId="77777777" w:rsidTr="009B6281">
        <w:trPr>
          <w:tblHeader/>
        </w:trPr>
        <w:tc>
          <w:tcPr>
            <w:tcW w:w="1045" w:type="dxa"/>
            <w:vAlign w:val="center"/>
          </w:tcPr>
          <w:p w14:paraId="2DE5A6B7" w14:textId="77777777" w:rsidR="00AD017A" w:rsidRPr="0049737B" w:rsidRDefault="00AD017A" w:rsidP="00FF0EE8">
            <w:pPr>
              <w:keepNext/>
              <w:jc w:val="center"/>
              <w:rPr>
                <w:b/>
                <w:sz w:val="20"/>
                <w:szCs w:val="20"/>
              </w:rPr>
            </w:pPr>
            <w:r w:rsidRPr="0049737B">
              <w:rPr>
                <w:b/>
                <w:sz w:val="20"/>
                <w:szCs w:val="20"/>
              </w:rPr>
              <w:t>DG Listing</w:t>
            </w:r>
          </w:p>
        </w:tc>
        <w:tc>
          <w:tcPr>
            <w:tcW w:w="1383" w:type="dxa"/>
            <w:vAlign w:val="center"/>
          </w:tcPr>
          <w:p w14:paraId="5E3988DB" w14:textId="77777777" w:rsidR="00AD017A" w:rsidRPr="008360E1" w:rsidRDefault="00AD017A" w:rsidP="00FF0EE8">
            <w:pPr>
              <w:keepNext/>
              <w:jc w:val="center"/>
              <w:rPr>
                <w:b/>
                <w:sz w:val="20"/>
                <w:szCs w:val="20"/>
              </w:rPr>
            </w:pPr>
            <w:r w:rsidRPr="004033B4">
              <w:rPr>
                <w:b/>
                <w:sz w:val="20"/>
                <w:szCs w:val="20"/>
              </w:rPr>
              <w:t>Conditioned Code Case Number</w:t>
            </w:r>
          </w:p>
        </w:tc>
        <w:tc>
          <w:tcPr>
            <w:tcW w:w="4364" w:type="dxa"/>
            <w:vAlign w:val="center"/>
          </w:tcPr>
          <w:p w14:paraId="6044133F" w14:textId="7C8F6CE0" w:rsidR="00AD017A" w:rsidRPr="0049737B" w:rsidRDefault="00AD017A" w:rsidP="005B1852">
            <w:pPr>
              <w:keepNext/>
              <w:jc w:val="center"/>
              <w:rPr>
                <w:b/>
                <w:sz w:val="20"/>
                <w:szCs w:val="20"/>
              </w:rPr>
            </w:pPr>
            <w:r w:rsidRPr="000D7AB7">
              <w:rPr>
                <w:b/>
                <w:sz w:val="20"/>
                <w:szCs w:val="20"/>
              </w:rPr>
              <w:t>New Condition Description</w:t>
            </w:r>
            <w:r w:rsidR="005B1852" w:rsidRPr="001C3FF6">
              <w:rPr>
                <w:b/>
                <w:sz w:val="20"/>
                <w:szCs w:val="20"/>
                <w:vertAlign w:val="superscript"/>
              </w:rPr>
              <w:t>a</w:t>
            </w:r>
          </w:p>
        </w:tc>
        <w:tc>
          <w:tcPr>
            <w:tcW w:w="2558" w:type="dxa"/>
            <w:vAlign w:val="center"/>
          </w:tcPr>
          <w:p w14:paraId="2EA341FD" w14:textId="2550D66C" w:rsidR="00AD017A" w:rsidRPr="0049737B" w:rsidRDefault="009A19CC" w:rsidP="005B1852">
            <w:pPr>
              <w:keepNext/>
              <w:jc w:val="center"/>
              <w:rPr>
                <w:b/>
                <w:sz w:val="20"/>
                <w:szCs w:val="20"/>
              </w:rPr>
            </w:pPr>
            <w:r w:rsidRPr="004033B4">
              <w:rPr>
                <w:b/>
                <w:sz w:val="20"/>
                <w:szCs w:val="20"/>
              </w:rPr>
              <w:t>Incremental</w:t>
            </w:r>
            <w:r w:rsidR="00AD017A" w:rsidRPr="004033B4">
              <w:rPr>
                <w:b/>
                <w:sz w:val="20"/>
                <w:szCs w:val="20"/>
              </w:rPr>
              <w:t xml:space="preserve"> </w:t>
            </w:r>
            <w:r w:rsidR="00731FF8" w:rsidRPr="008360E1">
              <w:rPr>
                <w:b/>
                <w:sz w:val="20"/>
                <w:szCs w:val="20"/>
              </w:rPr>
              <w:t>Resources Required</w:t>
            </w:r>
            <w:r w:rsidR="005B1852" w:rsidRPr="001C3FF6">
              <w:rPr>
                <w:b/>
                <w:sz w:val="20"/>
                <w:szCs w:val="20"/>
                <w:vertAlign w:val="superscript"/>
              </w:rPr>
              <w:t>b</w:t>
            </w:r>
          </w:p>
        </w:tc>
      </w:tr>
      <w:tr w:rsidR="00243605" w14:paraId="3462E501" w14:textId="77777777" w:rsidTr="009B6281">
        <w:tc>
          <w:tcPr>
            <w:tcW w:w="1045" w:type="dxa"/>
          </w:tcPr>
          <w:p w14:paraId="2522AC30" w14:textId="77777777" w:rsidR="00243605" w:rsidRPr="00A03C45" w:rsidRDefault="009E3EDE" w:rsidP="00FF0EE8">
            <w:pPr>
              <w:rPr>
                <w:sz w:val="18"/>
                <w:szCs w:val="18"/>
              </w:rPr>
            </w:pPr>
            <w:r w:rsidRPr="00A03C45">
              <w:rPr>
                <w:sz w:val="18"/>
                <w:szCs w:val="18"/>
              </w:rPr>
              <w:t>DG-1296</w:t>
            </w:r>
          </w:p>
        </w:tc>
        <w:tc>
          <w:tcPr>
            <w:tcW w:w="1383" w:type="dxa"/>
          </w:tcPr>
          <w:p w14:paraId="3E34803C" w14:textId="77777777" w:rsidR="00243605" w:rsidRPr="00A03C45" w:rsidRDefault="00243605" w:rsidP="00FF0EE8">
            <w:pPr>
              <w:jc w:val="center"/>
              <w:rPr>
                <w:sz w:val="18"/>
                <w:szCs w:val="18"/>
              </w:rPr>
            </w:pPr>
            <w:r w:rsidRPr="00A03C45">
              <w:rPr>
                <w:sz w:val="18"/>
                <w:szCs w:val="18"/>
              </w:rPr>
              <w:t>N-576-2</w:t>
            </w:r>
          </w:p>
        </w:tc>
        <w:tc>
          <w:tcPr>
            <w:tcW w:w="4364" w:type="dxa"/>
            <w:shd w:val="clear" w:color="auto" w:fill="auto"/>
          </w:tcPr>
          <w:p w14:paraId="7F284C9E" w14:textId="77777777" w:rsidR="00243605" w:rsidRPr="00A03C45" w:rsidRDefault="00243605" w:rsidP="00FF0EE8">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autoSpaceDE/>
              <w:autoSpaceDN/>
              <w:adjustRightInd/>
              <w:rPr>
                <w:sz w:val="18"/>
                <w:szCs w:val="18"/>
              </w:rPr>
            </w:pPr>
            <w:r w:rsidRPr="00A03C45">
              <w:rPr>
                <w:sz w:val="18"/>
                <w:szCs w:val="18"/>
              </w:rPr>
              <w:t>Revised the note to state s</w:t>
            </w:r>
            <w:r w:rsidRPr="00A03C45">
              <w:rPr>
                <w:iCs/>
                <w:sz w:val="18"/>
                <w:szCs w:val="18"/>
              </w:rPr>
              <w:t>team generator tube repair methods require prior NRC approval through the Technical Specifications and that the Code Case does not address certain aspects of this repair.</w:t>
            </w:r>
          </w:p>
        </w:tc>
        <w:tc>
          <w:tcPr>
            <w:tcW w:w="2558" w:type="dxa"/>
          </w:tcPr>
          <w:p w14:paraId="48104CE6" w14:textId="77777777" w:rsidR="00243605" w:rsidRPr="00A03C45" w:rsidRDefault="00243605" w:rsidP="00FF0EE8">
            <w:pPr>
              <w:rPr>
                <w:sz w:val="18"/>
                <w:szCs w:val="18"/>
              </w:rPr>
            </w:pPr>
            <w:r w:rsidRPr="00A03C45">
              <w:rPr>
                <w:sz w:val="18"/>
                <w:szCs w:val="18"/>
              </w:rPr>
              <w:t>No additional hours</w:t>
            </w:r>
            <w:r w:rsidR="00C00E0D" w:rsidRPr="00D557C2">
              <w:rPr>
                <w:sz w:val="18"/>
                <w:szCs w:val="18"/>
              </w:rPr>
              <w:t xml:space="preserve"> are required</w:t>
            </w:r>
            <w:r w:rsidRPr="00A03C45">
              <w:rPr>
                <w:sz w:val="18"/>
                <w:szCs w:val="18"/>
              </w:rPr>
              <w:t xml:space="preserve"> for </w:t>
            </w:r>
            <w:r w:rsidR="00C00E0D" w:rsidRPr="00D557C2">
              <w:rPr>
                <w:sz w:val="18"/>
                <w:szCs w:val="18"/>
              </w:rPr>
              <w:t xml:space="preserve">the </w:t>
            </w:r>
            <w:r w:rsidRPr="00A03C45">
              <w:rPr>
                <w:sz w:val="18"/>
                <w:szCs w:val="18"/>
              </w:rPr>
              <w:t>note change</w:t>
            </w:r>
            <w:r w:rsidR="00C00E0D" w:rsidRPr="00D557C2">
              <w:rPr>
                <w:sz w:val="18"/>
                <w:szCs w:val="18"/>
              </w:rPr>
              <w:t xml:space="preserve"> </w:t>
            </w:r>
            <w:r w:rsidRPr="00A03C45">
              <w:rPr>
                <w:sz w:val="18"/>
                <w:szCs w:val="18"/>
              </w:rPr>
              <w:t xml:space="preserve">compared to </w:t>
            </w:r>
            <w:r w:rsidR="00C00E0D" w:rsidRPr="00D557C2">
              <w:rPr>
                <w:sz w:val="18"/>
                <w:szCs w:val="18"/>
              </w:rPr>
              <w:t xml:space="preserve">the </w:t>
            </w:r>
            <w:r w:rsidRPr="00A03C45">
              <w:rPr>
                <w:sz w:val="18"/>
                <w:szCs w:val="18"/>
              </w:rPr>
              <w:t>regulatory baseline</w:t>
            </w:r>
            <w:r w:rsidR="00C00E0D" w:rsidRPr="00D557C2">
              <w:rPr>
                <w:sz w:val="18"/>
                <w:szCs w:val="18"/>
              </w:rPr>
              <w:t>.</w:t>
            </w:r>
          </w:p>
        </w:tc>
      </w:tr>
      <w:tr w:rsidR="001F2BCD" w14:paraId="22C335D0" w14:textId="77777777" w:rsidTr="009B6281">
        <w:tc>
          <w:tcPr>
            <w:tcW w:w="1045" w:type="dxa"/>
          </w:tcPr>
          <w:p w14:paraId="50F81BD9" w14:textId="77777777" w:rsidR="00AD017A" w:rsidRPr="00A03C45" w:rsidRDefault="00AD017A" w:rsidP="00FF0EE8">
            <w:pPr>
              <w:rPr>
                <w:sz w:val="18"/>
                <w:szCs w:val="18"/>
              </w:rPr>
            </w:pPr>
            <w:r w:rsidRPr="00A03C45">
              <w:rPr>
                <w:sz w:val="18"/>
                <w:szCs w:val="18"/>
              </w:rPr>
              <w:t>DG-1296</w:t>
            </w:r>
          </w:p>
        </w:tc>
        <w:tc>
          <w:tcPr>
            <w:tcW w:w="1383" w:type="dxa"/>
          </w:tcPr>
          <w:p w14:paraId="59512E6B" w14:textId="77777777" w:rsidR="00AD017A" w:rsidRPr="00A03C45" w:rsidRDefault="00AD017A" w:rsidP="00FF0EE8">
            <w:pPr>
              <w:jc w:val="center"/>
              <w:rPr>
                <w:sz w:val="18"/>
                <w:szCs w:val="18"/>
              </w:rPr>
            </w:pPr>
            <w:r w:rsidRPr="00A03C45">
              <w:rPr>
                <w:sz w:val="18"/>
                <w:szCs w:val="18"/>
              </w:rPr>
              <w:t>N-593-2</w:t>
            </w:r>
          </w:p>
        </w:tc>
        <w:tc>
          <w:tcPr>
            <w:tcW w:w="4364" w:type="dxa"/>
            <w:shd w:val="clear" w:color="auto" w:fill="auto"/>
          </w:tcPr>
          <w:p w14:paraId="1A6EAFDE" w14:textId="0EACBA06" w:rsidR="00AD017A" w:rsidRPr="00706D98" w:rsidRDefault="00AD017A" w:rsidP="00FF0EE8">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autoSpaceDE/>
              <w:autoSpaceDN/>
              <w:adjustRightInd/>
              <w:spacing w:after="60"/>
              <w:rPr>
                <w:sz w:val="18"/>
                <w:szCs w:val="18"/>
              </w:rPr>
            </w:pPr>
            <w:r w:rsidRPr="00A03C45">
              <w:rPr>
                <w:sz w:val="18"/>
                <w:szCs w:val="18"/>
              </w:rPr>
              <w:t>(1) Essentially 100</w:t>
            </w:r>
            <w:r w:rsidR="001D4174" w:rsidRPr="00D557C2">
              <w:rPr>
                <w:sz w:val="18"/>
                <w:szCs w:val="18"/>
              </w:rPr>
              <w:t> </w:t>
            </w:r>
            <w:r w:rsidRPr="00A03C45">
              <w:rPr>
                <w:sz w:val="18"/>
                <w:szCs w:val="18"/>
              </w:rPr>
              <w:t>percent (not less than 90</w:t>
            </w:r>
            <w:r w:rsidR="000C4397" w:rsidRPr="00D557C2">
              <w:rPr>
                <w:sz w:val="18"/>
                <w:szCs w:val="18"/>
              </w:rPr>
              <w:t> </w:t>
            </w:r>
            <w:r w:rsidRPr="00A03C45">
              <w:rPr>
                <w:sz w:val="18"/>
                <w:szCs w:val="18"/>
              </w:rPr>
              <w:t>percent) of the examination volume</w:t>
            </w:r>
            <w:r w:rsidR="001F2BCD" w:rsidRPr="00A03C45">
              <w:rPr>
                <w:sz w:val="18"/>
                <w:szCs w:val="18"/>
              </w:rPr>
              <w:t xml:space="preserve"> </w:t>
            </w:r>
            <w:r w:rsidRPr="00706D98">
              <w:rPr>
                <w:sz w:val="18"/>
                <w:szCs w:val="18"/>
              </w:rPr>
              <w:t>A</w:t>
            </w:r>
            <w:r w:rsidR="001F2BCD" w:rsidRPr="00706D98">
              <w:rPr>
                <w:sz w:val="18"/>
                <w:szCs w:val="18"/>
              </w:rPr>
              <w:noBreakHyphen/>
            </w:r>
            <w:r w:rsidRPr="00A03C45">
              <w:rPr>
                <w:sz w:val="18"/>
                <w:szCs w:val="18"/>
              </w:rPr>
              <w:t>B</w:t>
            </w:r>
            <w:r w:rsidR="001F2BCD" w:rsidRPr="00A03C45">
              <w:rPr>
                <w:sz w:val="18"/>
                <w:szCs w:val="18"/>
              </w:rPr>
              <w:noBreakHyphen/>
            </w:r>
            <w:r w:rsidRPr="00A03C45">
              <w:rPr>
                <w:sz w:val="18"/>
                <w:szCs w:val="18"/>
              </w:rPr>
              <w:t>C</w:t>
            </w:r>
            <w:r w:rsidR="001F2BCD" w:rsidRPr="00A03C45">
              <w:rPr>
                <w:sz w:val="18"/>
                <w:szCs w:val="18"/>
              </w:rPr>
              <w:noBreakHyphen/>
            </w:r>
            <w:r w:rsidRPr="00A03C45">
              <w:rPr>
                <w:sz w:val="18"/>
                <w:szCs w:val="18"/>
              </w:rPr>
              <w:t>D</w:t>
            </w:r>
            <w:r w:rsidR="001F2BCD" w:rsidRPr="00A03C45">
              <w:rPr>
                <w:sz w:val="18"/>
                <w:szCs w:val="18"/>
              </w:rPr>
              <w:noBreakHyphen/>
            </w:r>
            <w:r w:rsidRPr="00A03C45">
              <w:rPr>
                <w:sz w:val="18"/>
                <w:szCs w:val="18"/>
              </w:rPr>
              <w:t>E</w:t>
            </w:r>
            <w:r w:rsidR="001F2BCD" w:rsidRPr="00A03C45">
              <w:rPr>
                <w:sz w:val="18"/>
                <w:szCs w:val="18"/>
              </w:rPr>
              <w:noBreakHyphen/>
            </w:r>
            <w:r w:rsidRPr="00A03C45">
              <w:rPr>
                <w:sz w:val="18"/>
                <w:szCs w:val="18"/>
              </w:rPr>
              <w:t>F</w:t>
            </w:r>
            <w:r w:rsidR="001F2BCD" w:rsidRPr="00A03C45">
              <w:rPr>
                <w:sz w:val="18"/>
                <w:szCs w:val="18"/>
              </w:rPr>
              <w:noBreakHyphen/>
            </w:r>
            <w:r w:rsidRPr="00A03C45">
              <w:rPr>
                <w:sz w:val="18"/>
                <w:szCs w:val="18"/>
              </w:rPr>
              <w:t>G</w:t>
            </w:r>
            <w:r w:rsidR="001F2BCD" w:rsidRPr="00A03C45">
              <w:rPr>
                <w:sz w:val="18"/>
                <w:szCs w:val="18"/>
              </w:rPr>
              <w:noBreakHyphen/>
            </w:r>
            <w:r w:rsidRPr="00A03C45">
              <w:rPr>
                <w:sz w:val="18"/>
                <w:szCs w:val="18"/>
              </w:rPr>
              <w:t>H must be inspected.</w:t>
            </w:r>
            <w:r w:rsidR="00121E78" w:rsidRPr="00A03C45">
              <w:rPr>
                <w:sz w:val="18"/>
                <w:szCs w:val="18"/>
              </w:rPr>
              <w:t xml:space="preserve">  </w:t>
            </w:r>
            <w:r w:rsidRPr="00A03C45">
              <w:rPr>
                <w:sz w:val="18"/>
                <w:szCs w:val="18"/>
              </w:rPr>
              <w:t xml:space="preserve">(Note: </w:t>
            </w:r>
            <w:r w:rsidR="001D4174" w:rsidRPr="00D557C2">
              <w:rPr>
                <w:sz w:val="18"/>
                <w:szCs w:val="18"/>
              </w:rPr>
              <w:t xml:space="preserve"> </w:t>
            </w:r>
            <w:r w:rsidRPr="00A03C45">
              <w:rPr>
                <w:sz w:val="18"/>
                <w:szCs w:val="18"/>
              </w:rPr>
              <w:t>the above condition is identical to condition on the use of Code Case N</w:t>
            </w:r>
            <w:r w:rsidR="00B50F8D" w:rsidRPr="00A03C45">
              <w:rPr>
                <w:sz w:val="18"/>
                <w:szCs w:val="18"/>
              </w:rPr>
              <w:noBreakHyphen/>
            </w:r>
            <w:r w:rsidRPr="00A03C45">
              <w:rPr>
                <w:sz w:val="18"/>
                <w:szCs w:val="18"/>
              </w:rPr>
              <w:t>593, RG</w:t>
            </w:r>
            <w:r w:rsidR="001D4174" w:rsidRPr="00D557C2">
              <w:rPr>
                <w:sz w:val="18"/>
                <w:szCs w:val="18"/>
              </w:rPr>
              <w:t> </w:t>
            </w:r>
            <w:r w:rsidRPr="00A03C45">
              <w:rPr>
                <w:sz w:val="18"/>
                <w:szCs w:val="18"/>
              </w:rPr>
              <w:t>1.147, Rev.</w:t>
            </w:r>
            <w:r w:rsidR="001D4174" w:rsidRPr="00D557C2">
              <w:rPr>
                <w:sz w:val="18"/>
                <w:szCs w:val="18"/>
              </w:rPr>
              <w:t> </w:t>
            </w:r>
            <w:r w:rsidRPr="00A03C45">
              <w:rPr>
                <w:sz w:val="18"/>
                <w:szCs w:val="18"/>
              </w:rPr>
              <w:t>1</w:t>
            </w:r>
            <w:r w:rsidR="000E324D">
              <w:rPr>
                <w:sz w:val="18"/>
                <w:szCs w:val="18"/>
              </w:rPr>
              <w:t>7</w:t>
            </w:r>
            <w:r w:rsidR="005425A6" w:rsidRPr="00A03C45">
              <w:rPr>
                <w:sz w:val="18"/>
                <w:szCs w:val="18"/>
              </w:rPr>
              <w:t>.</w:t>
            </w:r>
            <w:r w:rsidRPr="00706D98">
              <w:rPr>
                <w:sz w:val="18"/>
                <w:szCs w:val="18"/>
              </w:rPr>
              <w:t>)</w:t>
            </w:r>
          </w:p>
          <w:p w14:paraId="235D87D4" w14:textId="14173AF7" w:rsidR="00AD017A" w:rsidRPr="00A03C45" w:rsidRDefault="00AD017A" w:rsidP="00FF0EE8">
            <w:pPr>
              <w:rPr>
                <w:sz w:val="18"/>
                <w:szCs w:val="18"/>
              </w:rPr>
            </w:pPr>
            <w:r w:rsidRPr="00706D98">
              <w:rPr>
                <w:sz w:val="18"/>
                <w:szCs w:val="18"/>
              </w:rPr>
              <w:t>(2)</w:t>
            </w:r>
            <w:r w:rsidR="001D4174" w:rsidRPr="00D557C2">
              <w:rPr>
                <w:sz w:val="18"/>
                <w:szCs w:val="18"/>
              </w:rPr>
              <w:t> </w:t>
            </w:r>
            <w:r w:rsidRPr="00A03C45">
              <w:rPr>
                <w:sz w:val="18"/>
                <w:szCs w:val="18"/>
              </w:rPr>
              <w:t>The examination volume specified in Section</w:t>
            </w:r>
            <w:r w:rsidR="001D4174" w:rsidRPr="00D557C2">
              <w:rPr>
                <w:sz w:val="18"/>
                <w:szCs w:val="18"/>
              </w:rPr>
              <w:t> </w:t>
            </w:r>
            <w:r w:rsidRPr="00A03C45">
              <w:rPr>
                <w:sz w:val="18"/>
                <w:szCs w:val="18"/>
              </w:rPr>
              <w:t>XI, Table</w:t>
            </w:r>
            <w:r w:rsidR="001D4174" w:rsidRPr="00D557C2">
              <w:rPr>
                <w:sz w:val="18"/>
                <w:szCs w:val="18"/>
              </w:rPr>
              <w:t> </w:t>
            </w:r>
            <w:r w:rsidRPr="00A03C45">
              <w:rPr>
                <w:sz w:val="18"/>
                <w:szCs w:val="18"/>
              </w:rPr>
              <w:t>IWB-2500-1, Examination Category B</w:t>
            </w:r>
            <w:r w:rsidR="001D4174" w:rsidRPr="00D557C2">
              <w:rPr>
                <w:sz w:val="18"/>
                <w:szCs w:val="18"/>
              </w:rPr>
              <w:noBreakHyphen/>
            </w:r>
            <w:r w:rsidRPr="00A03C45">
              <w:rPr>
                <w:sz w:val="18"/>
                <w:szCs w:val="18"/>
              </w:rPr>
              <w:t>D, must be used for the examination of steam generator nozzle</w:t>
            </w:r>
            <w:r w:rsidR="001D4174" w:rsidRPr="00D557C2">
              <w:rPr>
                <w:sz w:val="18"/>
                <w:szCs w:val="18"/>
              </w:rPr>
              <w:noBreakHyphen/>
            </w:r>
            <w:r w:rsidRPr="00A03C45">
              <w:rPr>
                <w:sz w:val="18"/>
                <w:szCs w:val="18"/>
              </w:rPr>
              <w:t>to</w:t>
            </w:r>
            <w:r w:rsidR="001D4174" w:rsidRPr="00D557C2">
              <w:rPr>
                <w:sz w:val="18"/>
                <w:szCs w:val="18"/>
              </w:rPr>
              <w:noBreakHyphen/>
            </w:r>
            <w:r w:rsidRPr="00A03C45">
              <w:rPr>
                <w:sz w:val="18"/>
                <w:szCs w:val="18"/>
              </w:rPr>
              <w:t>vessel welds at least once prior to using the reduced examination volume allowed by Code Case</w:t>
            </w:r>
            <w:r w:rsidR="005425A6" w:rsidRPr="00A03C45">
              <w:rPr>
                <w:sz w:val="18"/>
                <w:szCs w:val="18"/>
              </w:rPr>
              <w:t> </w:t>
            </w:r>
            <w:r w:rsidRPr="00A03C45">
              <w:rPr>
                <w:sz w:val="18"/>
                <w:szCs w:val="18"/>
              </w:rPr>
              <w:t>N</w:t>
            </w:r>
            <w:r w:rsidR="005C0F6D" w:rsidRPr="00D557C2">
              <w:rPr>
                <w:sz w:val="18"/>
                <w:szCs w:val="18"/>
              </w:rPr>
              <w:noBreakHyphen/>
            </w:r>
            <w:r w:rsidRPr="00A03C45">
              <w:rPr>
                <w:sz w:val="18"/>
                <w:szCs w:val="18"/>
              </w:rPr>
              <w:t>593</w:t>
            </w:r>
            <w:r w:rsidR="005C0F6D" w:rsidRPr="00D557C2">
              <w:rPr>
                <w:sz w:val="18"/>
                <w:szCs w:val="18"/>
              </w:rPr>
              <w:noBreakHyphen/>
            </w:r>
            <w:r w:rsidRPr="00A03C45">
              <w:rPr>
                <w:sz w:val="18"/>
                <w:szCs w:val="18"/>
              </w:rPr>
              <w:t>2.</w:t>
            </w:r>
          </w:p>
        </w:tc>
        <w:tc>
          <w:tcPr>
            <w:tcW w:w="2558" w:type="dxa"/>
          </w:tcPr>
          <w:p w14:paraId="5630A1FC" w14:textId="70B84B61" w:rsidR="00AD017A" w:rsidRPr="00A03C45" w:rsidRDefault="00E700EC" w:rsidP="00FF0EE8">
            <w:pPr>
              <w:rPr>
                <w:sz w:val="18"/>
                <w:szCs w:val="18"/>
              </w:rPr>
            </w:pPr>
            <w:r w:rsidRPr="00A03C45">
              <w:rPr>
                <w:sz w:val="18"/>
                <w:szCs w:val="18"/>
              </w:rPr>
              <w:t>No</w:t>
            </w:r>
            <w:r w:rsidR="00B50F8D" w:rsidRPr="00A03C45">
              <w:rPr>
                <w:sz w:val="18"/>
                <w:szCs w:val="18"/>
              </w:rPr>
              <w:t xml:space="preserve"> additional hours</w:t>
            </w:r>
            <w:r w:rsidR="00C00E0D" w:rsidRPr="00D557C2">
              <w:rPr>
                <w:sz w:val="18"/>
                <w:szCs w:val="18"/>
              </w:rPr>
              <w:t xml:space="preserve"> are required</w:t>
            </w:r>
            <w:r w:rsidR="00B50F8D" w:rsidRPr="00A03C45">
              <w:rPr>
                <w:sz w:val="18"/>
                <w:szCs w:val="18"/>
              </w:rPr>
              <w:t xml:space="preserve"> for </w:t>
            </w:r>
            <w:r w:rsidR="001F5BF9" w:rsidRPr="00A03C45">
              <w:rPr>
                <w:sz w:val="18"/>
                <w:szCs w:val="18"/>
              </w:rPr>
              <w:t>condition</w:t>
            </w:r>
            <w:r w:rsidR="001D4174" w:rsidRPr="00D557C2">
              <w:rPr>
                <w:sz w:val="18"/>
                <w:szCs w:val="18"/>
              </w:rPr>
              <w:t> </w:t>
            </w:r>
            <w:r w:rsidR="00B50F8D" w:rsidRPr="00A03C45">
              <w:rPr>
                <w:sz w:val="18"/>
                <w:szCs w:val="18"/>
              </w:rPr>
              <w:t>(1)</w:t>
            </w:r>
            <w:r w:rsidR="00C00E0D" w:rsidRPr="00D557C2">
              <w:rPr>
                <w:sz w:val="18"/>
                <w:szCs w:val="18"/>
              </w:rPr>
              <w:t> </w:t>
            </w:r>
            <w:r w:rsidR="00B50F8D" w:rsidRPr="00A03C45">
              <w:rPr>
                <w:sz w:val="18"/>
                <w:szCs w:val="18"/>
              </w:rPr>
              <w:t xml:space="preserve">because it is part of the regulatory baseline.  </w:t>
            </w:r>
            <w:r w:rsidR="001F5BF9" w:rsidRPr="00A03C45">
              <w:rPr>
                <w:sz w:val="18"/>
                <w:szCs w:val="18"/>
              </w:rPr>
              <w:t>Cond</w:t>
            </w:r>
            <w:r w:rsidR="001F5BF9" w:rsidRPr="00706D98">
              <w:rPr>
                <w:sz w:val="18"/>
                <w:szCs w:val="18"/>
              </w:rPr>
              <w:t>ition</w:t>
            </w:r>
            <w:r w:rsidR="001D4174" w:rsidRPr="00D557C2">
              <w:rPr>
                <w:sz w:val="18"/>
                <w:szCs w:val="18"/>
              </w:rPr>
              <w:t> </w:t>
            </w:r>
            <w:r w:rsidR="00B50F8D" w:rsidRPr="00A03C45">
              <w:rPr>
                <w:sz w:val="18"/>
                <w:szCs w:val="18"/>
              </w:rPr>
              <w:t xml:space="preserve">(2) is related to scheduling and requires </w:t>
            </w:r>
            <w:r w:rsidR="005425A6" w:rsidRPr="00A03C45">
              <w:rPr>
                <w:sz w:val="18"/>
                <w:szCs w:val="18"/>
              </w:rPr>
              <w:t>no</w:t>
            </w:r>
            <w:r w:rsidR="00B50F8D" w:rsidRPr="00A03C45">
              <w:rPr>
                <w:sz w:val="18"/>
                <w:szCs w:val="18"/>
              </w:rPr>
              <w:t xml:space="preserve"> additional </w:t>
            </w:r>
            <w:r w:rsidR="00731FF8" w:rsidRPr="00A03C45">
              <w:rPr>
                <w:sz w:val="18"/>
                <w:szCs w:val="18"/>
              </w:rPr>
              <w:t>hours compared to unconditionally approving the Code Case</w:t>
            </w:r>
            <w:r w:rsidR="00B50F8D" w:rsidRPr="00A03C45">
              <w:rPr>
                <w:sz w:val="18"/>
                <w:szCs w:val="18"/>
              </w:rPr>
              <w:t>.</w:t>
            </w:r>
          </w:p>
        </w:tc>
      </w:tr>
      <w:tr w:rsidR="001F2BCD" w14:paraId="03F7983B" w14:textId="77777777" w:rsidTr="009B6281">
        <w:tc>
          <w:tcPr>
            <w:tcW w:w="1045" w:type="dxa"/>
          </w:tcPr>
          <w:p w14:paraId="35F42A4E" w14:textId="77777777" w:rsidR="00AD017A" w:rsidRPr="00A03C45" w:rsidRDefault="00B50F8D" w:rsidP="00FF0EE8">
            <w:pPr>
              <w:rPr>
                <w:sz w:val="18"/>
                <w:szCs w:val="18"/>
              </w:rPr>
            </w:pPr>
            <w:r w:rsidRPr="00A03C45">
              <w:rPr>
                <w:sz w:val="18"/>
                <w:szCs w:val="18"/>
              </w:rPr>
              <w:t>DG-1296</w:t>
            </w:r>
          </w:p>
        </w:tc>
        <w:tc>
          <w:tcPr>
            <w:tcW w:w="1383" w:type="dxa"/>
          </w:tcPr>
          <w:p w14:paraId="7307BF96" w14:textId="77777777" w:rsidR="00AD017A" w:rsidRPr="00A03C45" w:rsidRDefault="00B50F8D" w:rsidP="00FF0EE8">
            <w:pPr>
              <w:jc w:val="center"/>
              <w:rPr>
                <w:sz w:val="18"/>
                <w:szCs w:val="18"/>
              </w:rPr>
            </w:pPr>
            <w:r w:rsidRPr="00A03C45">
              <w:rPr>
                <w:bCs/>
                <w:sz w:val="18"/>
                <w:szCs w:val="18"/>
              </w:rPr>
              <w:t>N-638-6</w:t>
            </w:r>
          </w:p>
        </w:tc>
        <w:tc>
          <w:tcPr>
            <w:tcW w:w="4364" w:type="dxa"/>
          </w:tcPr>
          <w:p w14:paraId="410E97B9" w14:textId="3143E1FE" w:rsidR="00AD017A" w:rsidRPr="00A03C45" w:rsidRDefault="00B50F8D" w:rsidP="005B1852">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autoSpaceDE/>
              <w:autoSpaceDN/>
              <w:adjustRightInd/>
              <w:rPr>
                <w:sz w:val="18"/>
                <w:szCs w:val="18"/>
              </w:rPr>
            </w:pPr>
            <w:r w:rsidRPr="00A03C45">
              <w:rPr>
                <w:sz w:val="18"/>
                <w:szCs w:val="18"/>
              </w:rPr>
              <w:t>(1) Demonstration for ultrasonic examination of the repaired volume is required using representative samples</w:t>
            </w:r>
            <w:r w:rsidR="005425A6" w:rsidRPr="00A03C45">
              <w:rPr>
                <w:sz w:val="18"/>
                <w:szCs w:val="18"/>
              </w:rPr>
              <w:t>,</w:t>
            </w:r>
            <w:r w:rsidRPr="00A03C45">
              <w:rPr>
                <w:sz w:val="18"/>
                <w:szCs w:val="18"/>
              </w:rPr>
              <w:t xml:space="preserve"> which contain construction type flaws.</w:t>
            </w:r>
          </w:p>
        </w:tc>
        <w:tc>
          <w:tcPr>
            <w:tcW w:w="2558" w:type="dxa"/>
          </w:tcPr>
          <w:p w14:paraId="67DF7E27" w14:textId="4F133F22" w:rsidR="00AD017A" w:rsidRPr="00A03C45" w:rsidRDefault="00B50F8D" w:rsidP="00FF0EE8">
            <w:pPr>
              <w:rPr>
                <w:sz w:val="18"/>
                <w:szCs w:val="18"/>
              </w:rPr>
            </w:pPr>
            <w:r w:rsidRPr="00A03C45">
              <w:rPr>
                <w:sz w:val="18"/>
                <w:szCs w:val="18"/>
              </w:rPr>
              <w:t>Th</w:t>
            </w:r>
            <w:r w:rsidR="000A73EA" w:rsidRPr="00A03C45">
              <w:rPr>
                <w:sz w:val="18"/>
                <w:szCs w:val="18"/>
              </w:rPr>
              <w:t>is</w:t>
            </w:r>
            <w:r w:rsidRPr="00A03C45">
              <w:rPr>
                <w:sz w:val="18"/>
                <w:szCs w:val="18"/>
              </w:rPr>
              <w:t xml:space="preserve"> </w:t>
            </w:r>
            <w:r w:rsidR="000A73EA" w:rsidRPr="00A03C45">
              <w:rPr>
                <w:sz w:val="18"/>
                <w:szCs w:val="18"/>
              </w:rPr>
              <w:t>condition</w:t>
            </w:r>
            <w:r w:rsidRPr="00A03C45">
              <w:rPr>
                <w:sz w:val="18"/>
                <w:szCs w:val="18"/>
              </w:rPr>
              <w:t xml:space="preserve"> require</w:t>
            </w:r>
            <w:r w:rsidR="000A73EA" w:rsidRPr="00A03C45">
              <w:rPr>
                <w:sz w:val="18"/>
                <w:szCs w:val="18"/>
              </w:rPr>
              <w:t>s</w:t>
            </w:r>
            <w:r w:rsidRPr="00A03C45">
              <w:rPr>
                <w:sz w:val="18"/>
                <w:szCs w:val="18"/>
              </w:rPr>
              <w:t xml:space="preserve"> minimal additional effort</w:t>
            </w:r>
            <w:r w:rsidR="00306E4C" w:rsidRPr="00A03C45">
              <w:rPr>
                <w:sz w:val="18"/>
                <w:szCs w:val="18"/>
              </w:rPr>
              <w:t xml:space="preserve"> for the following reasons</w:t>
            </w:r>
            <w:r w:rsidRPr="00A03C45">
              <w:rPr>
                <w:sz w:val="18"/>
                <w:szCs w:val="18"/>
              </w:rPr>
              <w:t xml:space="preserve">.  </w:t>
            </w:r>
            <w:r w:rsidR="001F5BF9" w:rsidRPr="00A03C45">
              <w:rPr>
                <w:sz w:val="18"/>
                <w:szCs w:val="18"/>
              </w:rPr>
              <w:t>Condition</w:t>
            </w:r>
            <w:r w:rsidR="001D4174" w:rsidRPr="00D557C2">
              <w:rPr>
                <w:sz w:val="18"/>
                <w:szCs w:val="18"/>
              </w:rPr>
              <w:t> </w:t>
            </w:r>
            <w:r w:rsidRPr="00A03C45">
              <w:rPr>
                <w:sz w:val="18"/>
                <w:szCs w:val="18"/>
              </w:rPr>
              <w:t>(1)</w:t>
            </w:r>
            <w:r w:rsidR="00640BE7" w:rsidRPr="00706D98">
              <w:rPr>
                <w:sz w:val="18"/>
                <w:szCs w:val="18"/>
              </w:rPr>
              <w:t xml:space="preserve"> will require </w:t>
            </w:r>
            <w:r w:rsidR="00205DF0">
              <w:rPr>
                <w:sz w:val="18"/>
                <w:szCs w:val="18"/>
              </w:rPr>
              <w:t>four</w:t>
            </w:r>
            <w:r w:rsidR="00C00E0D" w:rsidRPr="00D557C2">
              <w:rPr>
                <w:sz w:val="18"/>
                <w:szCs w:val="18"/>
              </w:rPr>
              <w:t xml:space="preserve"> to </w:t>
            </w:r>
            <w:r w:rsidR="00205DF0">
              <w:rPr>
                <w:sz w:val="18"/>
                <w:szCs w:val="18"/>
              </w:rPr>
              <w:t>six</w:t>
            </w:r>
            <w:r w:rsidR="00640BE7" w:rsidRPr="00A03C45">
              <w:rPr>
                <w:sz w:val="18"/>
                <w:szCs w:val="18"/>
              </w:rPr>
              <w:t xml:space="preserve"> weld examinations per refueling outage. </w:t>
            </w:r>
            <w:r w:rsidRPr="00A03C45">
              <w:rPr>
                <w:sz w:val="18"/>
                <w:szCs w:val="18"/>
              </w:rPr>
              <w:t xml:space="preserve"> </w:t>
            </w:r>
            <w:r w:rsidR="00121E78" w:rsidRPr="00A03C45">
              <w:rPr>
                <w:sz w:val="18"/>
                <w:szCs w:val="18"/>
              </w:rPr>
              <w:t xml:space="preserve">The NRC staff </w:t>
            </w:r>
            <w:r w:rsidR="00640BE7" w:rsidRPr="00A03C45">
              <w:rPr>
                <w:sz w:val="18"/>
                <w:szCs w:val="18"/>
              </w:rPr>
              <w:t>estimate</w:t>
            </w:r>
            <w:r w:rsidR="00121E78" w:rsidRPr="00A03C45">
              <w:rPr>
                <w:sz w:val="18"/>
                <w:szCs w:val="18"/>
              </w:rPr>
              <w:t>s</w:t>
            </w:r>
            <w:r w:rsidR="00640BE7" w:rsidRPr="00A03C45">
              <w:rPr>
                <w:sz w:val="18"/>
                <w:szCs w:val="18"/>
              </w:rPr>
              <w:t xml:space="preserve"> that each weld examination will require 8</w:t>
            </w:r>
            <w:r w:rsidR="001D4174" w:rsidRPr="00D557C2">
              <w:rPr>
                <w:sz w:val="18"/>
                <w:szCs w:val="18"/>
              </w:rPr>
              <w:t> </w:t>
            </w:r>
            <w:r w:rsidR="00640BE7" w:rsidRPr="00A03C45">
              <w:rPr>
                <w:sz w:val="18"/>
                <w:szCs w:val="18"/>
              </w:rPr>
              <w:t>hours. This would result in an incremental c</w:t>
            </w:r>
            <w:r w:rsidR="00AD500C" w:rsidRPr="00A03C45">
              <w:rPr>
                <w:sz w:val="18"/>
                <w:szCs w:val="18"/>
              </w:rPr>
              <w:t>ost impact to industry for every refueling outage.</w:t>
            </w:r>
          </w:p>
        </w:tc>
      </w:tr>
      <w:tr w:rsidR="001F2BCD" w14:paraId="2AF0F6A4" w14:textId="77777777" w:rsidTr="009B6281">
        <w:tc>
          <w:tcPr>
            <w:tcW w:w="1045" w:type="dxa"/>
          </w:tcPr>
          <w:p w14:paraId="4C97BECA" w14:textId="77777777" w:rsidR="00B50F8D" w:rsidRPr="00A03C45" w:rsidRDefault="001F2BCD" w:rsidP="00FF0EE8">
            <w:pPr>
              <w:rPr>
                <w:sz w:val="18"/>
                <w:szCs w:val="18"/>
              </w:rPr>
            </w:pPr>
            <w:r w:rsidRPr="00A03C45">
              <w:rPr>
                <w:sz w:val="18"/>
                <w:szCs w:val="18"/>
              </w:rPr>
              <w:t>DG-1296</w:t>
            </w:r>
          </w:p>
        </w:tc>
        <w:tc>
          <w:tcPr>
            <w:tcW w:w="1383" w:type="dxa"/>
          </w:tcPr>
          <w:p w14:paraId="747F1D6D" w14:textId="77777777" w:rsidR="00B50F8D" w:rsidRPr="00A03C45" w:rsidRDefault="001F2BCD" w:rsidP="00FF0EE8">
            <w:pPr>
              <w:jc w:val="center"/>
              <w:rPr>
                <w:bCs/>
                <w:sz w:val="18"/>
                <w:szCs w:val="18"/>
              </w:rPr>
            </w:pPr>
            <w:r w:rsidRPr="00A03C45">
              <w:rPr>
                <w:bCs/>
                <w:sz w:val="18"/>
                <w:szCs w:val="18"/>
              </w:rPr>
              <w:t>N-666-1</w:t>
            </w:r>
          </w:p>
        </w:tc>
        <w:tc>
          <w:tcPr>
            <w:tcW w:w="4364" w:type="dxa"/>
          </w:tcPr>
          <w:p w14:paraId="420FD726" w14:textId="7207525F" w:rsidR="00B50F8D" w:rsidRPr="00A03C45" w:rsidRDefault="001F2BCD" w:rsidP="00FF0EE8">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autoSpaceDE/>
              <w:autoSpaceDN/>
              <w:adjustRightInd/>
              <w:rPr>
                <w:sz w:val="18"/>
                <w:szCs w:val="18"/>
              </w:rPr>
            </w:pPr>
            <w:r w:rsidRPr="00A03C45">
              <w:rPr>
                <w:sz w:val="18"/>
                <w:szCs w:val="18"/>
              </w:rPr>
              <w:t xml:space="preserve">(1) A surface examination (magnetic particle or liquid penetrant) must be performed </w:t>
            </w:r>
            <w:r w:rsidR="00CD6DB1" w:rsidRPr="00A03C45">
              <w:rPr>
                <w:sz w:val="18"/>
                <w:szCs w:val="18"/>
              </w:rPr>
              <w:t>on the completed</w:t>
            </w:r>
            <w:r w:rsidRPr="00A03C45">
              <w:rPr>
                <w:sz w:val="18"/>
                <w:szCs w:val="18"/>
              </w:rPr>
              <w:t xml:space="preserve"> weld overlay </w:t>
            </w:r>
            <w:r w:rsidR="00CD6DB1" w:rsidRPr="00A03C45">
              <w:rPr>
                <w:sz w:val="18"/>
                <w:szCs w:val="18"/>
              </w:rPr>
              <w:t>for</w:t>
            </w:r>
            <w:r w:rsidRPr="00A03C45">
              <w:rPr>
                <w:sz w:val="18"/>
                <w:szCs w:val="18"/>
              </w:rPr>
              <w:t xml:space="preserve"> Class 1 and 2 piping socket welds.  Fabrication defects, if detected, must be dispositioned using the surface </w:t>
            </w:r>
            <w:r w:rsidR="003C1071" w:rsidRPr="00A03C45">
              <w:rPr>
                <w:sz w:val="18"/>
                <w:szCs w:val="18"/>
              </w:rPr>
              <w:t xml:space="preserve">or volumetric </w:t>
            </w:r>
            <w:r w:rsidRPr="00A03C45">
              <w:rPr>
                <w:sz w:val="18"/>
                <w:szCs w:val="18"/>
              </w:rPr>
              <w:t>examination acceptance criteria of the Construction Code identified in the Repair/Replacement Plan.</w:t>
            </w:r>
            <w:r w:rsidR="006706C2" w:rsidRPr="00A03C45" w:rsidDel="006706C2">
              <w:rPr>
                <w:sz w:val="18"/>
                <w:szCs w:val="18"/>
              </w:rPr>
              <w:t xml:space="preserve"> </w:t>
            </w:r>
            <w:r w:rsidR="005425A6" w:rsidRPr="00A03C45">
              <w:rPr>
                <w:sz w:val="18"/>
                <w:szCs w:val="18"/>
              </w:rPr>
              <w:t>(</w:t>
            </w:r>
            <w:r w:rsidRPr="00A03C45">
              <w:rPr>
                <w:sz w:val="18"/>
                <w:szCs w:val="18"/>
              </w:rPr>
              <w:t xml:space="preserve">Note: </w:t>
            </w:r>
            <w:r w:rsidR="001D4174" w:rsidRPr="00D557C2">
              <w:rPr>
                <w:sz w:val="18"/>
                <w:szCs w:val="18"/>
              </w:rPr>
              <w:t xml:space="preserve"> </w:t>
            </w:r>
            <w:r w:rsidRPr="00A03C45">
              <w:rPr>
                <w:sz w:val="18"/>
                <w:szCs w:val="18"/>
              </w:rPr>
              <w:t>Code Case N-666 was unconditionally approved in Rev.</w:t>
            </w:r>
            <w:r w:rsidR="005C0F6D" w:rsidRPr="00D557C2">
              <w:rPr>
                <w:sz w:val="18"/>
                <w:szCs w:val="18"/>
              </w:rPr>
              <w:t> </w:t>
            </w:r>
            <w:r w:rsidRPr="00A03C45">
              <w:rPr>
                <w:sz w:val="18"/>
                <w:szCs w:val="18"/>
              </w:rPr>
              <w:t>17</w:t>
            </w:r>
            <w:r w:rsidR="000B78DA" w:rsidRPr="00A03C45">
              <w:rPr>
                <w:sz w:val="18"/>
                <w:szCs w:val="18"/>
              </w:rPr>
              <w:t xml:space="preserve"> of</w:t>
            </w:r>
            <w:r w:rsidRPr="00706D98">
              <w:rPr>
                <w:sz w:val="18"/>
                <w:szCs w:val="18"/>
              </w:rPr>
              <w:t xml:space="preserve"> RG 1.147.</w:t>
            </w:r>
            <w:r w:rsidR="005425A6" w:rsidRPr="00706D98">
              <w:rPr>
                <w:sz w:val="18"/>
                <w:szCs w:val="18"/>
              </w:rPr>
              <w:t>)</w:t>
            </w:r>
          </w:p>
        </w:tc>
        <w:tc>
          <w:tcPr>
            <w:tcW w:w="2558" w:type="dxa"/>
          </w:tcPr>
          <w:p w14:paraId="74BDA85D" w14:textId="332292D3" w:rsidR="00B50F8D" w:rsidRPr="00A03C45" w:rsidRDefault="001F2BCD" w:rsidP="00FF0EE8">
            <w:pPr>
              <w:rPr>
                <w:sz w:val="18"/>
                <w:szCs w:val="18"/>
              </w:rPr>
            </w:pPr>
            <w:r w:rsidRPr="00A03C45">
              <w:rPr>
                <w:sz w:val="18"/>
                <w:szCs w:val="18"/>
              </w:rPr>
              <w:t xml:space="preserve">With respect to </w:t>
            </w:r>
            <w:r w:rsidR="00205DF0">
              <w:rPr>
                <w:sz w:val="18"/>
                <w:szCs w:val="18"/>
              </w:rPr>
              <w:t>c</w:t>
            </w:r>
            <w:r w:rsidRPr="00A03C45">
              <w:rPr>
                <w:sz w:val="18"/>
                <w:szCs w:val="18"/>
              </w:rPr>
              <w:t xml:space="preserve">ondition (1), the </w:t>
            </w:r>
            <w:r w:rsidR="005425A6" w:rsidRPr="00A03C45">
              <w:rPr>
                <w:sz w:val="18"/>
                <w:szCs w:val="18"/>
              </w:rPr>
              <w:t xml:space="preserve">NRC </w:t>
            </w:r>
            <w:r w:rsidRPr="00A03C45">
              <w:rPr>
                <w:sz w:val="18"/>
                <w:szCs w:val="18"/>
              </w:rPr>
              <w:t>estimate</w:t>
            </w:r>
            <w:r w:rsidR="005425A6" w:rsidRPr="00A03C45">
              <w:rPr>
                <w:sz w:val="18"/>
                <w:szCs w:val="18"/>
              </w:rPr>
              <w:t xml:space="preserve">s that </w:t>
            </w:r>
            <w:r w:rsidR="001D4174" w:rsidRPr="00D557C2">
              <w:rPr>
                <w:sz w:val="18"/>
                <w:szCs w:val="18"/>
              </w:rPr>
              <w:t>an </w:t>
            </w:r>
            <w:r w:rsidR="005425A6" w:rsidRPr="00A03C45">
              <w:rPr>
                <w:sz w:val="18"/>
                <w:szCs w:val="18"/>
              </w:rPr>
              <w:t xml:space="preserve">additional </w:t>
            </w:r>
            <w:r w:rsidR="001D4174" w:rsidRPr="00D557C2">
              <w:rPr>
                <w:sz w:val="18"/>
                <w:szCs w:val="18"/>
              </w:rPr>
              <w:t>2 </w:t>
            </w:r>
            <w:r w:rsidR="005425A6" w:rsidRPr="00A03C45">
              <w:rPr>
                <w:sz w:val="18"/>
                <w:szCs w:val="18"/>
              </w:rPr>
              <w:t xml:space="preserve">hours </w:t>
            </w:r>
            <w:r w:rsidRPr="00A03C45">
              <w:rPr>
                <w:sz w:val="18"/>
                <w:szCs w:val="18"/>
              </w:rPr>
              <w:t xml:space="preserve">would be necessary to prepare and perform the surface examination and </w:t>
            </w:r>
            <w:r w:rsidR="005425A6" w:rsidRPr="00A03C45">
              <w:rPr>
                <w:sz w:val="18"/>
                <w:szCs w:val="18"/>
              </w:rPr>
              <w:t xml:space="preserve">to </w:t>
            </w:r>
            <w:r w:rsidRPr="00A03C45">
              <w:rPr>
                <w:sz w:val="18"/>
                <w:szCs w:val="18"/>
              </w:rPr>
              <w:t>disposition any fabrication defects dete</w:t>
            </w:r>
            <w:r w:rsidR="00A87A9B" w:rsidRPr="00A03C45">
              <w:rPr>
                <w:sz w:val="18"/>
                <w:szCs w:val="18"/>
              </w:rPr>
              <w:t>cted</w:t>
            </w:r>
            <w:r w:rsidR="005B1852">
              <w:rPr>
                <w:sz w:val="18"/>
                <w:szCs w:val="18"/>
              </w:rPr>
              <w:t xml:space="preserve"> per weld.</w:t>
            </w:r>
          </w:p>
        </w:tc>
      </w:tr>
      <w:tr w:rsidR="001F2BCD" w14:paraId="2F50B71A" w14:textId="77777777" w:rsidTr="009B6281">
        <w:tc>
          <w:tcPr>
            <w:tcW w:w="1045" w:type="dxa"/>
          </w:tcPr>
          <w:p w14:paraId="7932B8FB" w14:textId="77777777" w:rsidR="001F2BCD" w:rsidRPr="00A03C45" w:rsidRDefault="001F2BCD" w:rsidP="00FF0EE8">
            <w:pPr>
              <w:rPr>
                <w:sz w:val="18"/>
                <w:szCs w:val="18"/>
              </w:rPr>
            </w:pPr>
            <w:r w:rsidRPr="00A03C45">
              <w:rPr>
                <w:sz w:val="18"/>
                <w:szCs w:val="18"/>
              </w:rPr>
              <w:t>DG-1296</w:t>
            </w:r>
          </w:p>
        </w:tc>
        <w:tc>
          <w:tcPr>
            <w:tcW w:w="1383" w:type="dxa"/>
          </w:tcPr>
          <w:p w14:paraId="29EF795C" w14:textId="77777777" w:rsidR="001F2BCD" w:rsidRPr="00A03C45" w:rsidRDefault="001F2BCD" w:rsidP="00FF0EE8">
            <w:pPr>
              <w:jc w:val="center"/>
              <w:rPr>
                <w:bCs/>
                <w:sz w:val="18"/>
                <w:szCs w:val="18"/>
              </w:rPr>
            </w:pPr>
            <w:r w:rsidRPr="00A03C45">
              <w:rPr>
                <w:bCs/>
                <w:sz w:val="18"/>
                <w:szCs w:val="18"/>
              </w:rPr>
              <w:t>N-749</w:t>
            </w:r>
          </w:p>
        </w:tc>
        <w:tc>
          <w:tcPr>
            <w:tcW w:w="4364" w:type="dxa"/>
          </w:tcPr>
          <w:p w14:paraId="154D4EC2" w14:textId="1369364C" w:rsidR="0010522A" w:rsidRPr="0010522A" w:rsidRDefault="0010522A" w:rsidP="0010522A">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autoSpaceDE/>
              <w:autoSpaceDN/>
              <w:adjustRightInd/>
              <w:rPr>
                <w:sz w:val="18"/>
                <w:szCs w:val="18"/>
              </w:rPr>
            </w:pPr>
            <w:r w:rsidRPr="0010522A">
              <w:rPr>
                <w:sz w:val="18"/>
                <w:szCs w:val="18"/>
              </w:rPr>
              <w:t>In lieu of the upper shelf transition temperature, T</w:t>
            </w:r>
            <w:r w:rsidRPr="0010522A">
              <w:rPr>
                <w:sz w:val="18"/>
                <w:szCs w:val="18"/>
                <w:vertAlign w:val="subscript"/>
              </w:rPr>
              <w:t>c</w:t>
            </w:r>
            <w:r w:rsidRPr="0010522A">
              <w:rPr>
                <w:sz w:val="18"/>
                <w:szCs w:val="18"/>
              </w:rPr>
              <w:t>, as defined in the Code Case, the following shall be used:</w:t>
            </w:r>
          </w:p>
          <w:p w14:paraId="51D32491" w14:textId="7519211F" w:rsidR="0010522A" w:rsidRPr="0010522A" w:rsidRDefault="0010522A" w:rsidP="0010522A">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autoSpaceDE/>
              <w:autoSpaceDN/>
              <w:adjustRightInd/>
              <w:rPr>
                <w:sz w:val="18"/>
                <w:szCs w:val="18"/>
              </w:rPr>
            </w:pPr>
            <w:r w:rsidRPr="0010522A">
              <w:rPr>
                <w:sz w:val="18"/>
                <w:szCs w:val="18"/>
              </w:rPr>
              <w:t>T</w:t>
            </w:r>
            <w:r w:rsidRPr="0010522A">
              <w:rPr>
                <w:sz w:val="18"/>
                <w:szCs w:val="18"/>
                <w:vertAlign w:val="subscript"/>
              </w:rPr>
              <w:t>c</w:t>
            </w:r>
            <w:r w:rsidRPr="0010522A">
              <w:rPr>
                <w:sz w:val="18"/>
                <w:szCs w:val="18"/>
              </w:rPr>
              <w:t xml:space="preserve"> = 154.8 °F + 0.82 × RT</w:t>
            </w:r>
            <w:r w:rsidRPr="0010522A">
              <w:rPr>
                <w:sz w:val="18"/>
                <w:szCs w:val="18"/>
                <w:vertAlign w:val="subscript"/>
              </w:rPr>
              <w:t>NDT</w:t>
            </w:r>
            <w:r w:rsidRPr="0010522A">
              <w:rPr>
                <w:sz w:val="18"/>
                <w:szCs w:val="18"/>
              </w:rPr>
              <w:t xml:space="preserve"> (in U.S</w:t>
            </w:r>
            <w:r w:rsidR="006A2BFB">
              <w:rPr>
                <w:sz w:val="18"/>
                <w:szCs w:val="18"/>
              </w:rPr>
              <w:t>.</w:t>
            </w:r>
            <w:r w:rsidRPr="0010522A">
              <w:rPr>
                <w:sz w:val="18"/>
                <w:szCs w:val="18"/>
              </w:rPr>
              <w:t xml:space="preserve"> Customary Units), and</w:t>
            </w:r>
          </w:p>
          <w:p w14:paraId="2C2EC271" w14:textId="77777777" w:rsidR="0010522A" w:rsidRPr="0010522A" w:rsidRDefault="0010522A" w:rsidP="0010522A">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autoSpaceDE/>
              <w:autoSpaceDN/>
              <w:adjustRightInd/>
              <w:rPr>
                <w:sz w:val="18"/>
                <w:szCs w:val="18"/>
              </w:rPr>
            </w:pPr>
            <w:r w:rsidRPr="0010522A">
              <w:rPr>
                <w:sz w:val="18"/>
                <w:szCs w:val="18"/>
              </w:rPr>
              <w:t>T</w:t>
            </w:r>
            <w:r w:rsidRPr="0010522A">
              <w:rPr>
                <w:sz w:val="18"/>
                <w:szCs w:val="18"/>
                <w:vertAlign w:val="subscript"/>
              </w:rPr>
              <w:t>c</w:t>
            </w:r>
            <w:r w:rsidRPr="0010522A">
              <w:rPr>
                <w:sz w:val="18"/>
                <w:szCs w:val="18"/>
              </w:rPr>
              <w:t xml:space="preserve"> = 82.8 °C + 0.82 × RT</w:t>
            </w:r>
            <w:r w:rsidRPr="0010522A">
              <w:rPr>
                <w:sz w:val="18"/>
                <w:szCs w:val="18"/>
                <w:vertAlign w:val="subscript"/>
              </w:rPr>
              <w:t>NDT</w:t>
            </w:r>
            <w:r w:rsidRPr="0010522A">
              <w:rPr>
                <w:sz w:val="18"/>
                <w:szCs w:val="18"/>
              </w:rPr>
              <w:t xml:space="preserve"> (in SI Units).</w:t>
            </w:r>
          </w:p>
          <w:p w14:paraId="18E634E2" w14:textId="77777777" w:rsidR="0010522A" w:rsidRPr="0010522A" w:rsidRDefault="0010522A" w:rsidP="0010522A">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autoSpaceDE/>
              <w:autoSpaceDN/>
              <w:adjustRightInd/>
              <w:rPr>
                <w:sz w:val="18"/>
                <w:szCs w:val="18"/>
              </w:rPr>
            </w:pPr>
            <w:r w:rsidRPr="0010522A">
              <w:rPr>
                <w:sz w:val="18"/>
                <w:szCs w:val="18"/>
              </w:rPr>
              <w:t>T</w:t>
            </w:r>
            <w:r w:rsidRPr="0010522A">
              <w:rPr>
                <w:sz w:val="18"/>
                <w:szCs w:val="18"/>
                <w:vertAlign w:val="subscript"/>
              </w:rPr>
              <w:t>c</w:t>
            </w:r>
            <w:r w:rsidRPr="0010522A">
              <w:rPr>
                <w:sz w:val="18"/>
                <w:szCs w:val="18"/>
              </w:rPr>
              <w:t xml:space="preserve"> is the temperature above which the elastic plastic fracture mechanics (EPFM) method must be applied.  Additionally, the NRC defines temperature T</w:t>
            </w:r>
            <w:r w:rsidRPr="0010522A">
              <w:rPr>
                <w:sz w:val="18"/>
                <w:szCs w:val="18"/>
                <w:vertAlign w:val="subscript"/>
              </w:rPr>
              <w:t>c1</w:t>
            </w:r>
            <w:r w:rsidRPr="0010522A">
              <w:rPr>
                <w:sz w:val="18"/>
                <w:szCs w:val="18"/>
              </w:rPr>
              <w:t xml:space="preserve"> below which the linear elastic fracture mechanics (LEFM) method must be applied:</w:t>
            </w:r>
          </w:p>
          <w:p w14:paraId="52876EAF" w14:textId="601887CA" w:rsidR="0010522A" w:rsidRPr="0010522A" w:rsidRDefault="0010522A" w:rsidP="0010522A">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autoSpaceDE/>
              <w:autoSpaceDN/>
              <w:adjustRightInd/>
              <w:rPr>
                <w:sz w:val="18"/>
                <w:szCs w:val="18"/>
              </w:rPr>
            </w:pPr>
            <w:r w:rsidRPr="0010522A">
              <w:rPr>
                <w:sz w:val="18"/>
                <w:szCs w:val="18"/>
              </w:rPr>
              <w:t>T</w:t>
            </w:r>
            <w:r w:rsidRPr="0010522A">
              <w:rPr>
                <w:sz w:val="18"/>
                <w:szCs w:val="18"/>
                <w:vertAlign w:val="subscript"/>
              </w:rPr>
              <w:t>c1</w:t>
            </w:r>
            <w:r w:rsidRPr="0010522A">
              <w:rPr>
                <w:sz w:val="18"/>
                <w:szCs w:val="18"/>
              </w:rPr>
              <w:t xml:space="preserve"> = 95.36 °F + 0.703 × RT</w:t>
            </w:r>
            <w:r w:rsidRPr="0010522A">
              <w:rPr>
                <w:sz w:val="18"/>
                <w:szCs w:val="18"/>
                <w:vertAlign w:val="subscript"/>
              </w:rPr>
              <w:t>NDT</w:t>
            </w:r>
            <w:r w:rsidRPr="0010522A">
              <w:rPr>
                <w:sz w:val="18"/>
                <w:szCs w:val="18"/>
              </w:rPr>
              <w:t xml:space="preserve"> (in U.S</w:t>
            </w:r>
            <w:r w:rsidR="006A2BFB">
              <w:rPr>
                <w:sz w:val="18"/>
                <w:szCs w:val="18"/>
              </w:rPr>
              <w:t>.</w:t>
            </w:r>
            <w:r w:rsidRPr="0010522A">
              <w:rPr>
                <w:sz w:val="18"/>
                <w:szCs w:val="18"/>
              </w:rPr>
              <w:t xml:space="preserve"> Customary Units), and</w:t>
            </w:r>
          </w:p>
          <w:p w14:paraId="30AE0C56" w14:textId="77777777" w:rsidR="0010522A" w:rsidRPr="0010522A" w:rsidRDefault="0010522A" w:rsidP="0010522A">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autoSpaceDE/>
              <w:autoSpaceDN/>
              <w:adjustRightInd/>
              <w:rPr>
                <w:sz w:val="18"/>
                <w:szCs w:val="18"/>
              </w:rPr>
            </w:pPr>
            <w:r w:rsidRPr="0010522A">
              <w:rPr>
                <w:sz w:val="18"/>
                <w:szCs w:val="18"/>
              </w:rPr>
              <w:t>T</w:t>
            </w:r>
            <w:r w:rsidRPr="0010522A">
              <w:rPr>
                <w:sz w:val="18"/>
                <w:szCs w:val="18"/>
                <w:vertAlign w:val="subscript"/>
              </w:rPr>
              <w:t>c1</w:t>
            </w:r>
            <w:r w:rsidRPr="0010522A">
              <w:rPr>
                <w:sz w:val="18"/>
                <w:szCs w:val="18"/>
              </w:rPr>
              <w:t xml:space="preserve"> = 47.7 °C + 0.703 × RT</w:t>
            </w:r>
            <w:r w:rsidRPr="0010522A">
              <w:rPr>
                <w:sz w:val="18"/>
                <w:szCs w:val="18"/>
                <w:vertAlign w:val="subscript"/>
              </w:rPr>
              <w:t>NDT</w:t>
            </w:r>
            <w:r w:rsidRPr="0010522A">
              <w:rPr>
                <w:sz w:val="18"/>
                <w:szCs w:val="18"/>
              </w:rPr>
              <w:t xml:space="preserve"> (in SI Units).</w:t>
            </w:r>
          </w:p>
          <w:p w14:paraId="3A3A9014" w14:textId="201C1423" w:rsidR="00A87A9B" w:rsidRPr="00A03C45" w:rsidRDefault="0010522A" w:rsidP="0010522A">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autoSpaceDE/>
              <w:autoSpaceDN/>
              <w:adjustRightInd/>
              <w:rPr>
                <w:sz w:val="18"/>
                <w:szCs w:val="18"/>
              </w:rPr>
            </w:pPr>
            <w:r w:rsidRPr="0010522A">
              <w:rPr>
                <w:sz w:val="18"/>
                <w:szCs w:val="18"/>
              </w:rPr>
              <w:t>Between T</w:t>
            </w:r>
            <w:r w:rsidRPr="0010522A">
              <w:rPr>
                <w:sz w:val="18"/>
                <w:szCs w:val="18"/>
                <w:vertAlign w:val="subscript"/>
              </w:rPr>
              <w:t>c1</w:t>
            </w:r>
            <w:r w:rsidRPr="0010522A">
              <w:rPr>
                <w:sz w:val="18"/>
                <w:szCs w:val="18"/>
              </w:rPr>
              <w:t xml:space="preserve"> and T</w:t>
            </w:r>
            <w:r w:rsidRPr="0010522A">
              <w:rPr>
                <w:sz w:val="18"/>
                <w:szCs w:val="18"/>
                <w:vertAlign w:val="subscript"/>
              </w:rPr>
              <w:t>c</w:t>
            </w:r>
            <w:r w:rsidRPr="0010522A">
              <w:rPr>
                <w:sz w:val="18"/>
                <w:szCs w:val="18"/>
              </w:rPr>
              <w:t>, while the fracture mode is in transition from LEFM to EPFM, users should consider whether or not it is appropriate to apply the EPFM method.  Alternatively, the licensee may use a different T</w:t>
            </w:r>
            <w:r w:rsidRPr="0010522A">
              <w:rPr>
                <w:sz w:val="18"/>
                <w:szCs w:val="18"/>
                <w:vertAlign w:val="subscript"/>
              </w:rPr>
              <w:t>c</w:t>
            </w:r>
            <w:r w:rsidRPr="0010522A">
              <w:rPr>
                <w:sz w:val="18"/>
                <w:szCs w:val="18"/>
              </w:rPr>
              <w:t xml:space="preserve"> value if it can be justified by plant specific Charpy curves.</w:t>
            </w:r>
          </w:p>
        </w:tc>
        <w:tc>
          <w:tcPr>
            <w:tcW w:w="2558" w:type="dxa"/>
          </w:tcPr>
          <w:p w14:paraId="73B62FB2" w14:textId="768DAB0F" w:rsidR="001F2BCD" w:rsidRPr="00A03C45" w:rsidRDefault="001F70C3" w:rsidP="00FF0EE8">
            <w:pPr>
              <w:rPr>
                <w:sz w:val="18"/>
                <w:szCs w:val="18"/>
              </w:rPr>
            </w:pPr>
            <w:r w:rsidRPr="00A03C45">
              <w:rPr>
                <w:sz w:val="18"/>
                <w:szCs w:val="18"/>
              </w:rPr>
              <w:t>This</w:t>
            </w:r>
            <w:r w:rsidR="001F2BCD" w:rsidRPr="00A03C45">
              <w:rPr>
                <w:sz w:val="18"/>
                <w:szCs w:val="18"/>
              </w:rPr>
              <w:t xml:space="preserve"> conditioned </w:t>
            </w:r>
            <w:r w:rsidR="001C19EA" w:rsidRPr="00A03C45">
              <w:rPr>
                <w:sz w:val="18"/>
                <w:szCs w:val="18"/>
              </w:rPr>
              <w:t>Code Case</w:t>
            </w:r>
            <w:r w:rsidR="005C0F6D" w:rsidRPr="00D557C2">
              <w:rPr>
                <w:sz w:val="18"/>
                <w:szCs w:val="18"/>
              </w:rPr>
              <w:t xml:space="preserve"> is</w:t>
            </w:r>
            <w:r w:rsidR="001F2BCD" w:rsidRPr="00A03C45">
              <w:rPr>
                <w:sz w:val="18"/>
                <w:szCs w:val="18"/>
              </w:rPr>
              <w:t xml:space="preserve"> for </w:t>
            </w:r>
            <w:r w:rsidR="00121E78" w:rsidRPr="00706D98">
              <w:rPr>
                <w:sz w:val="18"/>
                <w:szCs w:val="18"/>
              </w:rPr>
              <w:t>calculation</w:t>
            </w:r>
            <w:r w:rsidR="001F2BCD" w:rsidRPr="00706D98">
              <w:rPr>
                <w:sz w:val="18"/>
                <w:szCs w:val="18"/>
              </w:rPr>
              <w:t xml:space="preserve"> purposes and</w:t>
            </w:r>
            <w:r w:rsidR="00937294" w:rsidRPr="00A03C45">
              <w:rPr>
                <w:sz w:val="18"/>
                <w:szCs w:val="18"/>
              </w:rPr>
              <w:t>,</w:t>
            </w:r>
            <w:r w:rsidR="001F2BCD" w:rsidRPr="00A03C45">
              <w:rPr>
                <w:sz w:val="18"/>
                <w:szCs w:val="18"/>
              </w:rPr>
              <w:t xml:space="preserve"> therefore</w:t>
            </w:r>
            <w:r w:rsidR="00937294" w:rsidRPr="00A03C45">
              <w:rPr>
                <w:sz w:val="18"/>
                <w:szCs w:val="18"/>
              </w:rPr>
              <w:t>,</w:t>
            </w:r>
            <w:r w:rsidR="001F2BCD" w:rsidRPr="00A03C45">
              <w:rPr>
                <w:sz w:val="18"/>
                <w:szCs w:val="18"/>
              </w:rPr>
              <w:t xml:space="preserve"> require</w:t>
            </w:r>
            <w:r w:rsidR="005C0F6D" w:rsidRPr="00D557C2">
              <w:rPr>
                <w:sz w:val="18"/>
                <w:szCs w:val="18"/>
              </w:rPr>
              <w:t>s</w:t>
            </w:r>
            <w:r w:rsidR="001F2BCD" w:rsidRPr="00A03C45">
              <w:rPr>
                <w:sz w:val="18"/>
                <w:szCs w:val="18"/>
              </w:rPr>
              <w:t xml:space="preserve"> </w:t>
            </w:r>
            <w:r w:rsidR="00A87A9B" w:rsidRPr="00A03C45">
              <w:rPr>
                <w:sz w:val="18"/>
                <w:szCs w:val="18"/>
              </w:rPr>
              <w:t>no</w:t>
            </w:r>
            <w:r w:rsidR="005C0F6D" w:rsidRPr="00D557C2">
              <w:rPr>
                <w:sz w:val="18"/>
                <w:szCs w:val="18"/>
              </w:rPr>
              <w:t xml:space="preserve"> </w:t>
            </w:r>
            <w:r w:rsidR="00A87A9B" w:rsidRPr="00A03C45">
              <w:rPr>
                <w:sz w:val="18"/>
                <w:szCs w:val="18"/>
              </w:rPr>
              <w:t>to</w:t>
            </w:r>
            <w:r w:rsidR="005C0F6D" w:rsidRPr="00D557C2">
              <w:rPr>
                <w:sz w:val="18"/>
                <w:szCs w:val="18"/>
              </w:rPr>
              <w:t xml:space="preserve"> </w:t>
            </w:r>
            <w:r w:rsidR="001F2BCD" w:rsidRPr="00A03C45">
              <w:rPr>
                <w:sz w:val="18"/>
                <w:szCs w:val="18"/>
              </w:rPr>
              <w:t xml:space="preserve">minimal </w:t>
            </w:r>
            <w:r w:rsidR="000B70D6" w:rsidRPr="00A03C45">
              <w:rPr>
                <w:sz w:val="18"/>
                <w:szCs w:val="18"/>
              </w:rPr>
              <w:t>incremental</w:t>
            </w:r>
            <w:r w:rsidR="001F2BCD" w:rsidRPr="00706D98">
              <w:rPr>
                <w:sz w:val="18"/>
                <w:szCs w:val="18"/>
              </w:rPr>
              <w:t xml:space="preserve"> </w:t>
            </w:r>
            <w:r w:rsidR="001F5BF9" w:rsidRPr="00706D98">
              <w:rPr>
                <w:sz w:val="18"/>
                <w:szCs w:val="18"/>
              </w:rPr>
              <w:t>effort</w:t>
            </w:r>
            <w:r w:rsidR="001F2BCD" w:rsidRPr="00A03C45">
              <w:rPr>
                <w:sz w:val="18"/>
                <w:szCs w:val="18"/>
              </w:rPr>
              <w:t>.</w:t>
            </w:r>
          </w:p>
        </w:tc>
      </w:tr>
      <w:tr w:rsidR="001F2BCD" w14:paraId="4BC7C4CB" w14:textId="77777777" w:rsidTr="009B6281">
        <w:tc>
          <w:tcPr>
            <w:tcW w:w="1045" w:type="dxa"/>
          </w:tcPr>
          <w:p w14:paraId="468D289A" w14:textId="77777777" w:rsidR="001F2BCD" w:rsidRPr="005425A6" w:rsidRDefault="001F2BCD" w:rsidP="00FF0EE8">
            <w:pPr>
              <w:rPr>
                <w:sz w:val="18"/>
                <w:szCs w:val="18"/>
              </w:rPr>
            </w:pPr>
            <w:r w:rsidRPr="005425A6">
              <w:rPr>
                <w:sz w:val="18"/>
                <w:szCs w:val="18"/>
              </w:rPr>
              <w:t>DG-1296</w:t>
            </w:r>
          </w:p>
        </w:tc>
        <w:tc>
          <w:tcPr>
            <w:tcW w:w="1383" w:type="dxa"/>
          </w:tcPr>
          <w:p w14:paraId="305B72B7" w14:textId="77777777" w:rsidR="001F2BCD" w:rsidRPr="005425A6" w:rsidRDefault="001F2BCD" w:rsidP="00FF0EE8">
            <w:pPr>
              <w:jc w:val="center"/>
              <w:rPr>
                <w:bCs/>
                <w:sz w:val="18"/>
                <w:szCs w:val="18"/>
              </w:rPr>
            </w:pPr>
            <w:r w:rsidRPr="005425A6">
              <w:rPr>
                <w:bCs/>
                <w:sz w:val="18"/>
                <w:szCs w:val="18"/>
              </w:rPr>
              <w:t>N-754</w:t>
            </w:r>
          </w:p>
        </w:tc>
        <w:tc>
          <w:tcPr>
            <w:tcW w:w="4364" w:type="dxa"/>
          </w:tcPr>
          <w:p w14:paraId="3F4C96FE" w14:textId="281E2F05" w:rsidR="001F2BCD" w:rsidRPr="005425A6" w:rsidRDefault="001F2BCD" w:rsidP="00FF0EE8">
            <w:pPr>
              <w:autoSpaceDE/>
              <w:autoSpaceDN/>
              <w:adjustRightInd/>
              <w:spacing w:after="60"/>
              <w:ind w:right="144"/>
              <w:rPr>
                <w:sz w:val="18"/>
                <w:szCs w:val="18"/>
              </w:rPr>
            </w:pPr>
            <w:r w:rsidRPr="005425A6">
              <w:rPr>
                <w:sz w:val="18"/>
                <w:szCs w:val="18"/>
              </w:rPr>
              <w:t>(1) The conditions imposed on the optimized weld overlay design in the NRC safety evaluation for MRP</w:t>
            </w:r>
            <w:r w:rsidR="005C0F6D">
              <w:rPr>
                <w:sz w:val="18"/>
                <w:szCs w:val="18"/>
              </w:rPr>
              <w:noBreakHyphen/>
            </w:r>
            <w:r w:rsidRPr="005425A6">
              <w:rPr>
                <w:sz w:val="18"/>
                <w:szCs w:val="18"/>
              </w:rPr>
              <w:t>169, Revision 1</w:t>
            </w:r>
            <w:r w:rsidR="005C0F6D">
              <w:rPr>
                <w:sz w:val="18"/>
                <w:szCs w:val="18"/>
              </w:rPr>
              <w:noBreakHyphen/>
            </w:r>
            <w:r w:rsidRPr="005425A6">
              <w:rPr>
                <w:sz w:val="18"/>
                <w:szCs w:val="18"/>
              </w:rPr>
              <w:t xml:space="preserve">A (ADAMS Accession </w:t>
            </w:r>
            <w:r w:rsidR="00530AA1" w:rsidRPr="005425A6">
              <w:rPr>
                <w:sz w:val="18"/>
                <w:szCs w:val="18"/>
              </w:rPr>
              <w:t>No</w:t>
            </w:r>
            <w:r w:rsidR="006A2BFB">
              <w:rPr>
                <w:sz w:val="18"/>
                <w:szCs w:val="18"/>
              </w:rPr>
              <w:t>(s)</w:t>
            </w:r>
            <w:r w:rsidR="00530AA1" w:rsidRPr="005425A6">
              <w:rPr>
                <w:sz w:val="18"/>
                <w:szCs w:val="18"/>
              </w:rPr>
              <w:t>.</w:t>
            </w:r>
            <w:r w:rsidR="005C0F6D">
              <w:rPr>
                <w:sz w:val="18"/>
                <w:szCs w:val="18"/>
              </w:rPr>
              <w:t> </w:t>
            </w:r>
            <w:r w:rsidRPr="005425A6">
              <w:rPr>
                <w:sz w:val="18"/>
                <w:szCs w:val="18"/>
              </w:rPr>
              <w:t>ML101620010 and ML101660468) must be satisfied.</w:t>
            </w:r>
          </w:p>
          <w:p w14:paraId="7849772C" w14:textId="53AFC21A" w:rsidR="001F2BCD" w:rsidRPr="005425A6" w:rsidRDefault="001F2BCD" w:rsidP="00FF0EE8">
            <w:pPr>
              <w:autoSpaceDE/>
              <w:autoSpaceDN/>
              <w:adjustRightInd/>
              <w:spacing w:after="60"/>
              <w:ind w:right="144"/>
              <w:rPr>
                <w:sz w:val="18"/>
                <w:szCs w:val="18"/>
              </w:rPr>
            </w:pPr>
            <w:r w:rsidRPr="005425A6">
              <w:rPr>
                <w:sz w:val="18"/>
                <w:szCs w:val="18"/>
              </w:rPr>
              <w:t xml:space="preserve">(2) The preservice and inservice inspections of the overlaid weld must satisfy </w:t>
            </w:r>
            <w:r w:rsidR="00530AA1" w:rsidRPr="005425A6">
              <w:rPr>
                <w:sz w:val="18"/>
                <w:szCs w:val="18"/>
              </w:rPr>
              <w:t>10</w:t>
            </w:r>
            <w:r w:rsidR="005C0F6D">
              <w:rPr>
                <w:sz w:val="18"/>
                <w:szCs w:val="18"/>
              </w:rPr>
              <w:t> </w:t>
            </w:r>
            <w:r w:rsidR="00530AA1" w:rsidRPr="005425A6">
              <w:rPr>
                <w:sz w:val="18"/>
                <w:szCs w:val="18"/>
              </w:rPr>
              <w:t>CFR</w:t>
            </w:r>
            <w:r w:rsidR="005C0F6D">
              <w:rPr>
                <w:sz w:val="18"/>
                <w:szCs w:val="18"/>
              </w:rPr>
              <w:t> </w:t>
            </w:r>
            <w:r w:rsidRPr="005425A6">
              <w:rPr>
                <w:sz w:val="18"/>
                <w:szCs w:val="18"/>
              </w:rPr>
              <w:t>50.55a(g)(6)(ii)(F).</w:t>
            </w:r>
          </w:p>
          <w:p w14:paraId="356DB837" w14:textId="4654CB57" w:rsidR="001F2BCD" w:rsidRPr="005425A6" w:rsidRDefault="001F2BCD" w:rsidP="00FF0EE8">
            <w:pPr>
              <w:ind w:right="144"/>
              <w:rPr>
                <w:sz w:val="18"/>
                <w:szCs w:val="18"/>
              </w:rPr>
            </w:pPr>
            <w:r w:rsidRPr="005425A6">
              <w:rPr>
                <w:sz w:val="18"/>
                <w:szCs w:val="18"/>
              </w:rPr>
              <w:t>(3) The first layer of weld metal deposited shall not be credited toward the required optimized weld overlay thickness unless the chromium content of the first layer is at least 24</w:t>
            </w:r>
            <w:r w:rsidR="006A2BFB">
              <w:rPr>
                <w:sz w:val="18"/>
                <w:szCs w:val="18"/>
              </w:rPr>
              <w:t>-</w:t>
            </w:r>
            <w:r w:rsidRPr="005425A6">
              <w:rPr>
                <w:sz w:val="18"/>
                <w:szCs w:val="18"/>
              </w:rPr>
              <w:t>percent.  The presence of the first layer shall be considered in the design analysis requirements of paragraph 2(b) of Code Case N</w:t>
            </w:r>
            <w:r w:rsidR="005C0F6D">
              <w:rPr>
                <w:sz w:val="18"/>
                <w:szCs w:val="18"/>
              </w:rPr>
              <w:noBreakHyphen/>
            </w:r>
            <w:r w:rsidRPr="005425A6">
              <w:rPr>
                <w:sz w:val="18"/>
                <w:szCs w:val="18"/>
              </w:rPr>
              <w:t>754 regardless of the chromium content.</w:t>
            </w:r>
          </w:p>
        </w:tc>
        <w:tc>
          <w:tcPr>
            <w:tcW w:w="2558" w:type="dxa"/>
          </w:tcPr>
          <w:p w14:paraId="4D40D8BE" w14:textId="0BB36E08" w:rsidR="001F2BCD" w:rsidRPr="005425A6" w:rsidRDefault="005C0F6D" w:rsidP="00FF0EE8">
            <w:pPr>
              <w:rPr>
                <w:sz w:val="18"/>
                <w:szCs w:val="18"/>
              </w:rPr>
            </w:pPr>
            <w:r>
              <w:rPr>
                <w:sz w:val="18"/>
                <w:szCs w:val="18"/>
              </w:rPr>
              <w:t>T</w:t>
            </w:r>
            <w:r w:rsidR="001F2BCD" w:rsidRPr="005425A6">
              <w:rPr>
                <w:sz w:val="18"/>
                <w:szCs w:val="18"/>
              </w:rPr>
              <w:t xml:space="preserve">hese conditions </w:t>
            </w:r>
            <w:r>
              <w:rPr>
                <w:sz w:val="18"/>
                <w:szCs w:val="18"/>
              </w:rPr>
              <w:t xml:space="preserve">do not </w:t>
            </w:r>
            <w:r w:rsidR="00121E78" w:rsidRPr="005425A6">
              <w:rPr>
                <w:sz w:val="18"/>
                <w:szCs w:val="18"/>
              </w:rPr>
              <w:t>require</w:t>
            </w:r>
            <w:r w:rsidR="001F2BCD" w:rsidRPr="005425A6">
              <w:rPr>
                <w:sz w:val="18"/>
                <w:szCs w:val="18"/>
              </w:rPr>
              <w:t xml:space="preserve"> additional effort because </w:t>
            </w:r>
            <w:r w:rsidR="00A87A9B">
              <w:rPr>
                <w:sz w:val="18"/>
                <w:szCs w:val="18"/>
              </w:rPr>
              <w:t>licensees</w:t>
            </w:r>
            <w:r w:rsidR="001F2BCD" w:rsidRPr="005425A6">
              <w:rPr>
                <w:sz w:val="18"/>
                <w:szCs w:val="18"/>
              </w:rPr>
              <w:t xml:space="preserve"> must </w:t>
            </w:r>
            <w:r w:rsidR="00731FF8" w:rsidRPr="005425A6">
              <w:rPr>
                <w:sz w:val="18"/>
                <w:szCs w:val="18"/>
              </w:rPr>
              <w:t xml:space="preserve">meet either currently acceptable NRC approvals (for </w:t>
            </w:r>
            <w:r w:rsidR="00205DF0">
              <w:rPr>
                <w:sz w:val="18"/>
                <w:szCs w:val="18"/>
              </w:rPr>
              <w:t>c</w:t>
            </w:r>
            <w:r w:rsidR="00731FF8" w:rsidRPr="005425A6">
              <w:rPr>
                <w:sz w:val="18"/>
                <w:szCs w:val="18"/>
              </w:rPr>
              <w:t xml:space="preserve">ondition (1) or </w:t>
            </w:r>
            <w:r w:rsidR="00BA58D4">
              <w:rPr>
                <w:sz w:val="18"/>
                <w:szCs w:val="18"/>
              </w:rPr>
              <w:t>the</w:t>
            </w:r>
            <w:r w:rsidR="00731FF8" w:rsidRPr="005425A6">
              <w:rPr>
                <w:sz w:val="18"/>
                <w:szCs w:val="18"/>
              </w:rPr>
              <w:t xml:space="preserve"> criteria </w:t>
            </w:r>
            <w:r w:rsidR="00BA58D4">
              <w:rPr>
                <w:sz w:val="18"/>
                <w:szCs w:val="18"/>
              </w:rPr>
              <w:t xml:space="preserve">for </w:t>
            </w:r>
            <w:r w:rsidR="00205DF0">
              <w:rPr>
                <w:sz w:val="18"/>
                <w:szCs w:val="18"/>
              </w:rPr>
              <w:t>c</w:t>
            </w:r>
            <w:r w:rsidR="00BA58D4">
              <w:rPr>
                <w:sz w:val="18"/>
                <w:szCs w:val="18"/>
              </w:rPr>
              <w:t>onditions</w:t>
            </w:r>
            <w:r>
              <w:rPr>
                <w:sz w:val="18"/>
                <w:szCs w:val="18"/>
              </w:rPr>
              <w:t> </w:t>
            </w:r>
            <w:r w:rsidR="00731FF8" w:rsidRPr="005425A6">
              <w:rPr>
                <w:sz w:val="18"/>
                <w:szCs w:val="18"/>
              </w:rPr>
              <w:t>(2) and (3)).</w:t>
            </w:r>
          </w:p>
        </w:tc>
      </w:tr>
      <w:tr w:rsidR="00731FF8" w14:paraId="2905218C" w14:textId="77777777" w:rsidTr="009B6281">
        <w:tc>
          <w:tcPr>
            <w:tcW w:w="1045" w:type="dxa"/>
          </w:tcPr>
          <w:p w14:paraId="49D57C6F" w14:textId="77777777" w:rsidR="00731FF8" w:rsidRPr="005425A6" w:rsidRDefault="00731FF8" w:rsidP="00FF0EE8">
            <w:pPr>
              <w:rPr>
                <w:sz w:val="18"/>
                <w:szCs w:val="18"/>
              </w:rPr>
            </w:pPr>
            <w:r w:rsidRPr="005425A6">
              <w:rPr>
                <w:sz w:val="18"/>
                <w:szCs w:val="18"/>
              </w:rPr>
              <w:t>DG-1296</w:t>
            </w:r>
          </w:p>
        </w:tc>
        <w:tc>
          <w:tcPr>
            <w:tcW w:w="1383" w:type="dxa"/>
          </w:tcPr>
          <w:p w14:paraId="1E137C41" w14:textId="77777777" w:rsidR="00731FF8" w:rsidRPr="005425A6" w:rsidRDefault="00731FF8" w:rsidP="00FF0EE8">
            <w:pPr>
              <w:jc w:val="center"/>
              <w:rPr>
                <w:bCs/>
                <w:sz w:val="18"/>
                <w:szCs w:val="18"/>
              </w:rPr>
            </w:pPr>
            <w:r w:rsidRPr="005425A6">
              <w:rPr>
                <w:bCs/>
                <w:sz w:val="18"/>
                <w:szCs w:val="18"/>
              </w:rPr>
              <w:t>N-778</w:t>
            </w:r>
          </w:p>
        </w:tc>
        <w:tc>
          <w:tcPr>
            <w:tcW w:w="4364" w:type="dxa"/>
          </w:tcPr>
          <w:p w14:paraId="6C92797D" w14:textId="77777777" w:rsidR="00731FF8" w:rsidRPr="005425A6" w:rsidRDefault="00731FF8" w:rsidP="00FF0EE8">
            <w:pPr>
              <w:spacing w:after="60"/>
              <w:ind w:right="144"/>
              <w:rPr>
                <w:sz w:val="18"/>
                <w:szCs w:val="18"/>
              </w:rPr>
            </w:pPr>
            <w:r w:rsidRPr="005425A6">
              <w:rPr>
                <w:sz w:val="18"/>
                <w:szCs w:val="18"/>
              </w:rPr>
              <w:t>Licensees must submit the following reports to the regulatory authority:</w:t>
            </w:r>
          </w:p>
          <w:p w14:paraId="4A4BB33C" w14:textId="77777777" w:rsidR="00731FF8" w:rsidRPr="005425A6" w:rsidRDefault="00731FF8" w:rsidP="00FF0EE8">
            <w:pPr>
              <w:autoSpaceDE/>
              <w:autoSpaceDN/>
              <w:adjustRightInd/>
              <w:spacing w:after="60"/>
              <w:ind w:right="144"/>
              <w:rPr>
                <w:sz w:val="18"/>
                <w:szCs w:val="18"/>
              </w:rPr>
            </w:pPr>
            <w:r w:rsidRPr="005425A6">
              <w:rPr>
                <w:sz w:val="18"/>
                <w:szCs w:val="18"/>
              </w:rPr>
              <w:t>(1) The preservice inspection summary report must be submitted prior to the date of placement of the unit into commercial service.</w:t>
            </w:r>
          </w:p>
          <w:p w14:paraId="5527E454" w14:textId="79951E6E" w:rsidR="00731FF8" w:rsidRPr="005425A6" w:rsidRDefault="00731FF8" w:rsidP="00FF0EE8">
            <w:pPr>
              <w:autoSpaceDE/>
              <w:autoSpaceDN/>
              <w:adjustRightInd/>
              <w:ind w:right="144"/>
              <w:rPr>
                <w:sz w:val="18"/>
                <w:szCs w:val="18"/>
              </w:rPr>
            </w:pPr>
            <w:r w:rsidRPr="005425A6">
              <w:rPr>
                <w:sz w:val="18"/>
                <w:szCs w:val="18"/>
              </w:rPr>
              <w:t>(2) The inservice inspection summary report must be submitted within 90</w:t>
            </w:r>
            <w:r w:rsidR="005C0F6D">
              <w:rPr>
                <w:sz w:val="18"/>
                <w:szCs w:val="18"/>
              </w:rPr>
              <w:t> </w:t>
            </w:r>
            <w:r w:rsidRPr="005425A6">
              <w:rPr>
                <w:sz w:val="18"/>
                <w:szCs w:val="18"/>
              </w:rPr>
              <w:t>calendar days of the completion of each refueling outage.</w:t>
            </w:r>
          </w:p>
        </w:tc>
        <w:tc>
          <w:tcPr>
            <w:tcW w:w="2558" w:type="dxa"/>
          </w:tcPr>
          <w:p w14:paraId="766F5B0E" w14:textId="19438C42" w:rsidR="00731FF8" w:rsidRPr="005425A6" w:rsidRDefault="00731FF8" w:rsidP="00FF0EE8">
            <w:pPr>
              <w:rPr>
                <w:sz w:val="18"/>
                <w:szCs w:val="18"/>
              </w:rPr>
            </w:pPr>
            <w:r w:rsidRPr="005425A6">
              <w:rPr>
                <w:sz w:val="18"/>
                <w:szCs w:val="18"/>
              </w:rPr>
              <w:t>The ASME</w:t>
            </w:r>
            <w:r w:rsidR="005C0F6D">
              <w:rPr>
                <w:sz w:val="18"/>
                <w:szCs w:val="18"/>
              </w:rPr>
              <w:noBreakHyphen/>
            </w:r>
            <w:r w:rsidRPr="005425A6">
              <w:rPr>
                <w:sz w:val="18"/>
                <w:szCs w:val="18"/>
              </w:rPr>
              <w:t>approved Code Case requires licensees to submit these reports but gives no requirements related to when the reports should be submitted.  The conditions provide submittal requirements and</w:t>
            </w:r>
            <w:r w:rsidR="005C0F6D">
              <w:rPr>
                <w:sz w:val="18"/>
                <w:szCs w:val="18"/>
              </w:rPr>
              <w:t>,</w:t>
            </w:r>
            <w:r w:rsidRPr="005425A6">
              <w:rPr>
                <w:sz w:val="18"/>
                <w:szCs w:val="18"/>
              </w:rPr>
              <w:t xml:space="preserve"> therefore</w:t>
            </w:r>
            <w:r w:rsidR="005C0F6D">
              <w:rPr>
                <w:sz w:val="18"/>
                <w:szCs w:val="18"/>
              </w:rPr>
              <w:t>,</w:t>
            </w:r>
            <w:r w:rsidRPr="005425A6">
              <w:rPr>
                <w:sz w:val="18"/>
                <w:szCs w:val="18"/>
              </w:rPr>
              <w:t xml:space="preserve"> require no additional effort </w:t>
            </w:r>
            <w:r w:rsidR="00560915" w:rsidRPr="005425A6">
              <w:rPr>
                <w:sz w:val="18"/>
                <w:szCs w:val="18"/>
              </w:rPr>
              <w:t>compared to unconditionally approving the Code Case.</w:t>
            </w:r>
          </w:p>
        </w:tc>
      </w:tr>
      <w:tr w:rsidR="00731FF8" w14:paraId="479CCC8D" w14:textId="77777777" w:rsidTr="009B6281">
        <w:tc>
          <w:tcPr>
            <w:tcW w:w="1045" w:type="dxa"/>
          </w:tcPr>
          <w:p w14:paraId="44E4BC45" w14:textId="77777777" w:rsidR="00731FF8" w:rsidRPr="005425A6" w:rsidRDefault="00731FF8" w:rsidP="00FF0EE8">
            <w:pPr>
              <w:rPr>
                <w:sz w:val="18"/>
                <w:szCs w:val="18"/>
              </w:rPr>
            </w:pPr>
            <w:r w:rsidRPr="005425A6">
              <w:rPr>
                <w:sz w:val="18"/>
                <w:szCs w:val="18"/>
              </w:rPr>
              <w:t>DG-1296</w:t>
            </w:r>
          </w:p>
        </w:tc>
        <w:tc>
          <w:tcPr>
            <w:tcW w:w="1383" w:type="dxa"/>
          </w:tcPr>
          <w:p w14:paraId="161776B0" w14:textId="77777777" w:rsidR="00731FF8" w:rsidRPr="005425A6" w:rsidRDefault="00731FF8" w:rsidP="00FF0EE8">
            <w:pPr>
              <w:jc w:val="center"/>
              <w:rPr>
                <w:bCs/>
                <w:sz w:val="18"/>
                <w:szCs w:val="18"/>
              </w:rPr>
            </w:pPr>
            <w:r w:rsidRPr="005425A6">
              <w:rPr>
                <w:bCs/>
                <w:sz w:val="18"/>
                <w:szCs w:val="18"/>
              </w:rPr>
              <w:t>N-789</w:t>
            </w:r>
          </w:p>
        </w:tc>
        <w:tc>
          <w:tcPr>
            <w:tcW w:w="4364" w:type="dxa"/>
          </w:tcPr>
          <w:p w14:paraId="1D310CB1" w14:textId="77777777" w:rsidR="00731FF8" w:rsidRPr="005425A6" w:rsidRDefault="00731FF8" w:rsidP="00FF0EE8">
            <w:pPr>
              <w:rPr>
                <w:sz w:val="18"/>
                <w:szCs w:val="18"/>
              </w:rPr>
            </w:pPr>
            <w:r w:rsidRPr="005425A6">
              <w:rPr>
                <w:sz w:val="18"/>
                <w:szCs w:val="18"/>
              </w:rPr>
              <w:t>(1) Areas containing pressure pads shall be visually observed at least once per month to monitor for evidence of leakage.  If the areas containing pressure pads are not accessible for direct observation, then monitoring will be accomplished by visual assessment of surrounding areas or ground surface areas above pressure pads on buried piping, or monitoring of leakage collection systems, if available.</w:t>
            </w:r>
          </w:p>
          <w:p w14:paraId="7DC0921A" w14:textId="77777777" w:rsidR="00731FF8" w:rsidRPr="005425A6" w:rsidRDefault="00731FF8" w:rsidP="00FF0EE8">
            <w:pPr>
              <w:ind w:right="144"/>
              <w:rPr>
                <w:sz w:val="18"/>
                <w:szCs w:val="18"/>
              </w:rPr>
            </w:pPr>
          </w:p>
        </w:tc>
        <w:tc>
          <w:tcPr>
            <w:tcW w:w="2558" w:type="dxa"/>
          </w:tcPr>
          <w:p w14:paraId="5FB1EB4D" w14:textId="05CB1D92" w:rsidR="00731FF8" w:rsidRPr="005425A6" w:rsidRDefault="00731FF8" w:rsidP="00FF0EE8">
            <w:pPr>
              <w:rPr>
                <w:sz w:val="18"/>
                <w:szCs w:val="18"/>
              </w:rPr>
            </w:pPr>
            <w:r w:rsidRPr="005425A6">
              <w:rPr>
                <w:sz w:val="18"/>
                <w:szCs w:val="18"/>
              </w:rPr>
              <w:t xml:space="preserve">Condition (1) requires additional </w:t>
            </w:r>
            <w:r w:rsidR="00431022">
              <w:rPr>
                <w:sz w:val="18"/>
                <w:szCs w:val="18"/>
              </w:rPr>
              <w:t xml:space="preserve">inspections of the pressure pads. </w:t>
            </w:r>
            <w:r w:rsidR="005C0F6D">
              <w:rPr>
                <w:sz w:val="18"/>
                <w:szCs w:val="18"/>
              </w:rPr>
              <w:t xml:space="preserve"> </w:t>
            </w:r>
            <w:r w:rsidR="00431022">
              <w:rPr>
                <w:sz w:val="18"/>
                <w:szCs w:val="18"/>
              </w:rPr>
              <w:t xml:space="preserve">The NRC </w:t>
            </w:r>
            <w:r w:rsidR="00854129">
              <w:rPr>
                <w:sz w:val="18"/>
                <w:szCs w:val="18"/>
              </w:rPr>
              <w:t xml:space="preserve">staff </w:t>
            </w:r>
            <w:r w:rsidR="00431022">
              <w:rPr>
                <w:sz w:val="18"/>
                <w:szCs w:val="18"/>
              </w:rPr>
              <w:t xml:space="preserve">estimates that there will </w:t>
            </w:r>
            <w:r w:rsidR="00854129">
              <w:rPr>
                <w:sz w:val="18"/>
                <w:szCs w:val="18"/>
              </w:rPr>
              <w:t xml:space="preserve">most </w:t>
            </w:r>
            <w:r w:rsidR="00431022">
              <w:rPr>
                <w:sz w:val="18"/>
                <w:szCs w:val="18"/>
              </w:rPr>
              <w:t xml:space="preserve">likely be </w:t>
            </w:r>
            <w:r w:rsidR="005C0F6D">
              <w:rPr>
                <w:sz w:val="18"/>
                <w:szCs w:val="18"/>
              </w:rPr>
              <w:t>three</w:t>
            </w:r>
            <w:r w:rsidR="00854129">
              <w:rPr>
                <w:sz w:val="18"/>
                <w:szCs w:val="18"/>
              </w:rPr>
              <w:t> </w:t>
            </w:r>
            <w:r w:rsidR="00431022">
              <w:rPr>
                <w:sz w:val="18"/>
                <w:szCs w:val="18"/>
              </w:rPr>
              <w:t xml:space="preserve">pad inspections </w:t>
            </w:r>
            <w:r w:rsidR="00854129">
              <w:rPr>
                <w:sz w:val="18"/>
                <w:szCs w:val="18"/>
              </w:rPr>
              <w:t xml:space="preserve">performed.  The NRC staff estimates that the incremental time required to perform a visual inspection of an additional </w:t>
            </w:r>
            <w:r w:rsidR="00AA724B">
              <w:rPr>
                <w:sz w:val="18"/>
                <w:szCs w:val="18"/>
              </w:rPr>
              <w:t>three</w:t>
            </w:r>
            <w:r w:rsidR="00854129">
              <w:rPr>
                <w:sz w:val="18"/>
                <w:szCs w:val="18"/>
              </w:rPr>
              <w:t xml:space="preserve"> pads would</w:t>
            </w:r>
            <w:r w:rsidR="00121E78">
              <w:rPr>
                <w:sz w:val="18"/>
                <w:szCs w:val="18"/>
              </w:rPr>
              <w:t xml:space="preserve"> require between </w:t>
            </w:r>
            <w:r w:rsidR="005C0F6D">
              <w:rPr>
                <w:sz w:val="18"/>
                <w:szCs w:val="18"/>
              </w:rPr>
              <w:t xml:space="preserve">1 </w:t>
            </w:r>
            <w:r w:rsidR="00121E78">
              <w:rPr>
                <w:sz w:val="18"/>
                <w:szCs w:val="18"/>
              </w:rPr>
              <w:t xml:space="preserve">and </w:t>
            </w:r>
            <w:r w:rsidR="005C0F6D">
              <w:rPr>
                <w:sz w:val="18"/>
                <w:szCs w:val="18"/>
              </w:rPr>
              <w:t xml:space="preserve">10 </w:t>
            </w:r>
            <w:r w:rsidR="00121E78">
              <w:rPr>
                <w:sz w:val="18"/>
                <w:szCs w:val="18"/>
              </w:rPr>
              <w:t xml:space="preserve">labor </w:t>
            </w:r>
            <w:r w:rsidR="00854129">
              <w:rPr>
                <w:sz w:val="18"/>
                <w:szCs w:val="18"/>
              </w:rPr>
              <w:t>hours with a best estimate of 1.5</w:t>
            </w:r>
            <w:r w:rsidR="005C0F6D">
              <w:rPr>
                <w:sz w:val="18"/>
                <w:szCs w:val="18"/>
              </w:rPr>
              <w:t> </w:t>
            </w:r>
            <w:r w:rsidR="00854129">
              <w:rPr>
                <w:sz w:val="18"/>
                <w:szCs w:val="18"/>
              </w:rPr>
              <w:t xml:space="preserve">hours.  These visual inspections </w:t>
            </w:r>
            <w:r w:rsidR="00D22A89" w:rsidRPr="005425A6">
              <w:rPr>
                <w:sz w:val="18"/>
                <w:szCs w:val="18"/>
              </w:rPr>
              <w:t>would be performed at least once a month</w:t>
            </w:r>
            <w:r w:rsidRPr="005425A6">
              <w:rPr>
                <w:sz w:val="18"/>
                <w:szCs w:val="18"/>
              </w:rPr>
              <w:t xml:space="preserve">.  </w:t>
            </w:r>
          </w:p>
        </w:tc>
      </w:tr>
      <w:tr w:rsidR="00731FF8" w14:paraId="7F04A2A2" w14:textId="77777777" w:rsidTr="009B6281">
        <w:tc>
          <w:tcPr>
            <w:tcW w:w="1045" w:type="dxa"/>
          </w:tcPr>
          <w:p w14:paraId="6560266C" w14:textId="77777777" w:rsidR="00731FF8" w:rsidRPr="005425A6" w:rsidRDefault="00731FF8" w:rsidP="00FF0EE8">
            <w:pPr>
              <w:rPr>
                <w:sz w:val="18"/>
                <w:szCs w:val="18"/>
              </w:rPr>
            </w:pPr>
            <w:r w:rsidRPr="005425A6">
              <w:rPr>
                <w:sz w:val="18"/>
                <w:szCs w:val="18"/>
              </w:rPr>
              <w:t>DG-1296</w:t>
            </w:r>
          </w:p>
        </w:tc>
        <w:tc>
          <w:tcPr>
            <w:tcW w:w="1383" w:type="dxa"/>
          </w:tcPr>
          <w:p w14:paraId="34AED7F9" w14:textId="77777777" w:rsidR="00731FF8" w:rsidRPr="005425A6" w:rsidRDefault="00731FF8" w:rsidP="00FF0EE8">
            <w:pPr>
              <w:jc w:val="center"/>
              <w:rPr>
                <w:bCs/>
                <w:sz w:val="18"/>
                <w:szCs w:val="18"/>
              </w:rPr>
            </w:pPr>
            <w:r w:rsidRPr="005425A6">
              <w:rPr>
                <w:bCs/>
                <w:sz w:val="18"/>
                <w:szCs w:val="18"/>
              </w:rPr>
              <w:t>N-795</w:t>
            </w:r>
          </w:p>
        </w:tc>
        <w:tc>
          <w:tcPr>
            <w:tcW w:w="4364" w:type="dxa"/>
          </w:tcPr>
          <w:p w14:paraId="32A04406" w14:textId="718BA357" w:rsidR="001F70C3" w:rsidRDefault="00B47171" w:rsidP="00FF0EE8">
            <w:pPr>
              <w:autoSpaceDE/>
              <w:autoSpaceDN/>
              <w:adjustRightInd/>
              <w:spacing w:after="60"/>
              <w:ind w:right="144"/>
              <w:rPr>
                <w:sz w:val="18"/>
                <w:szCs w:val="18"/>
              </w:rPr>
            </w:pPr>
            <w:r w:rsidRPr="005425A6">
              <w:rPr>
                <w:sz w:val="18"/>
                <w:szCs w:val="18"/>
              </w:rPr>
              <w:t>(1) The use of nuclear heat to conduct the BWR Class</w:t>
            </w:r>
            <w:r w:rsidR="005C0F6D">
              <w:rPr>
                <w:sz w:val="18"/>
                <w:szCs w:val="18"/>
              </w:rPr>
              <w:t> </w:t>
            </w:r>
            <w:r w:rsidRPr="005425A6">
              <w:rPr>
                <w:sz w:val="18"/>
                <w:szCs w:val="18"/>
              </w:rPr>
              <w:t>1 system leakage test is prohibited (i.e., the reactor must be in a non-critical state)</w:t>
            </w:r>
            <w:r w:rsidR="001F70C3" w:rsidRPr="001F70C3">
              <w:rPr>
                <w:sz w:val="18"/>
                <w:szCs w:val="18"/>
              </w:rPr>
              <w:t xml:space="preserve">, except during refueling outages in which the ASME Section XI Category B-P pressure test has already been performed, or at the end of mid-cycle maintenance outages fourteen (14) days or less in duration. </w:t>
            </w:r>
          </w:p>
          <w:p w14:paraId="495E687B" w14:textId="77777777" w:rsidR="00731FF8" w:rsidRPr="00121E78" w:rsidRDefault="00B47171" w:rsidP="00FF0EE8">
            <w:pPr>
              <w:autoSpaceDE/>
              <w:autoSpaceDN/>
              <w:adjustRightInd/>
              <w:ind w:right="144"/>
              <w:rPr>
                <w:sz w:val="18"/>
                <w:szCs w:val="18"/>
              </w:rPr>
            </w:pPr>
            <w:r w:rsidRPr="005425A6">
              <w:rPr>
                <w:sz w:val="18"/>
                <w:szCs w:val="18"/>
              </w:rPr>
              <w:t>(2) The test condition holding times, after pressurization to test conditions, and before the visual examinations commence, shall be 1 hour for non-</w:t>
            </w:r>
            <w:r w:rsidR="006951A3" w:rsidRPr="005425A6">
              <w:rPr>
                <w:sz w:val="18"/>
                <w:szCs w:val="18"/>
              </w:rPr>
              <w:t>insulated components</w:t>
            </w:r>
            <w:r w:rsidR="00121E78">
              <w:rPr>
                <w:sz w:val="18"/>
                <w:szCs w:val="18"/>
              </w:rPr>
              <w:t>.</w:t>
            </w:r>
          </w:p>
        </w:tc>
        <w:tc>
          <w:tcPr>
            <w:tcW w:w="2558" w:type="dxa"/>
          </w:tcPr>
          <w:p w14:paraId="45DB0968" w14:textId="53E0D080" w:rsidR="003B4364" w:rsidRPr="005425A6" w:rsidRDefault="00B47171" w:rsidP="00FF0EE8">
            <w:pPr>
              <w:rPr>
                <w:sz w:val="18"/>
                <w:szCs w:val="18"/>
              </w:rPr>
            </w:pPr>
            <w:r w:rsidRPr="005425A6">
              <w:rPr>
                <w:sz w:val="18"/>
                <w:szCs w:val="18"/>
              </w:rPr>
              <w:t>Condition (1</w:t>
            </w:r>
            <w:r w:rsidR="008F4423">
              <w:rPr>
                <w:sz w:val="18"/>
                <w:szCs w:val="18"/>
              </w:rPr>
              <w:t>)</w:t>
            </w:r>
            <w:r w:rsidRPr="005425A6">
              <w:rPr>
                <w:sz w:val="18"/>
                <w:szCs w:val="18"/>
              </w:rPr>
              <w:t xml:space="preserve"> requires no additional effort compared to unconditional approval of the Code </w:t>
            </w:r>
            <w:r w:rsidR="001C19EA">
              <w:rPr>
                <w:sz w:val="18"/>
                <w:szCs w:val="18"/>
              </w:rPr>
              <w:t>Case</w:t>
            </w:r>
            <w:r w:rsidRPr="005425A6">
              <w:rPr>
                <w:sz w:val="18"/>
                <w:szCs w:val="18"/>
              </w:rPr>
              <w:t xml:space="preserve">.  </w:t>
            </w:r>
            <w:r w:rsidR="0030230D">
              <w:rPr>
                <w:sz w:val="18"/>
                <w:szCs w:val="18"/>
              </w:rPr>
              <w:t xml:space="preserve">The NRC staff estimates that </w:t>
            </w:r>
            <w:r w:rsidR="00205DF0">
              <w:rPr>
                <w:sz w:val="18"/>
                <w:szCs w:val="18"/>
              </w:rPr>
              <w:t>c</w:t>
            </w:r>
            <w:r w:rsidRPr="005425A6">
              <w:rPr>
                <w:sz w:val="18"/>
                <w:szCs w:val="18"/>
              </w:rPr>
              <w:t>ondition</w:t>
            </w:r>
            <w:r w:rsidR="005C0F6D">
              <w:rPr>
                <w:sz w:val="18"/>
                <w:szCs w:val="18"/>
              </w:rPr>
              <w:t> </w:t>
            </w:r>
            <w:r w:rsidRPr="005425A6">
              <w:rPr>
                <w:sz w:val="18"/>
                <w:szCs w:val="18"/>
              </w:rPr>
              <w:t xml:space="preserve">(2)(a) </w:t>
            </w:r>
            <w:r w:rsidR="0030230D">
              <w:rPr>
                <w:sz w:val="18"/>
                <w:szCs w:val="18"/>
              </w:rPr>
              <w:t xml:space="preserve">would </w:t>
            </w:r>
            <w:r w:rsidRPr="005425A6">
              <w:rPr>
                <w:sz w:val="18"/>
                <w:szCs w:val="18"/>
              </w:rPr>
              <w:t xml:space="preserve">require </w:t>
            </w:r>
            <w:r w:rsidR="0030230D">
              <w:rPr>
                <w:sz w:val="18"/>
                <w:szCs w:val="18"/>
              </w:rPr>
              <w:t xml:space="preserve">an incremental </w:t>
            </w:r>
            <w:r w:rsidRPr="005425A6">
              <w:rPr>
                <w:sz w:val="18"/>
                <w:szCs w:val="18"/>
              </w:rPr>
              <w:t>effort of 45</w:t>
            </w:r>
            <w:r w:rsidR="005C0F6D">
              <w:rPr>
                <w:sz w:val="18"/>
                <w:szCs w:val="18"/>
              </w:rPr>
              <w:t> </w:t>
            </w:r>
            <w:r w:rsidRPr="005425A6">
              <w:rPr>
                <w:sz w:val="18"/>
                <w:szCs w:val="18"/>
              </w:rPr>
              <w:t xml:space="preserve">minutes </w:t>
            </w:r>
            <w:r w:rsidR="0030230D">
              <w:rPr>
                <w:sz w:val="18"/>
                <w:szCs w:val="18"/>
              </w:rPr>
              <w:t xml:space="preserve">to perform the </w:t>
            </w:r>
            <w:r w:rsidRPr="005425A6">
              <w:rPr>
                <w:sz w:val="18"/>
                <w:szCs w:val="18"/>
              </w:rPr>
              <w:t>examination</w:t>
            </w:r>
            <w:r w:rsidR="00A66B26">
              <w:rPr>
                <w:sz w:val="18"/>
                <w:szCs w:val="18"/>
              </w:rPr>
              <w:t>.</w:t>
            </w:r>
            <w:r w:rsidR="000761A1" w:rsidRPr="005425A6">
              <w:rPr>
                <w:sz w:val="18"/>
                <w:szCs w:val="18"/>
              </w:rPr>
              <w:t xml:space="preserve"> </w:t>
            </w:r>
            <w:r w:rsidR="00BB3836">
              <w:rPr>
                <w:sz w:val="18"/>
                <w:szCs w:val="18"/>
              </w:rPr>
              <w:t xml:space="preserve"> The NRC staff estimates that the repair and replacement would occur twice per</w:t>
            </w:r>
            <w:r w:rsidR="005C0F6D">
              <w:rPr>
                <w:sz w:val="18"/>
                <w:szCs w:val="18"/>
              </w:rPr>
              <w:t xml:space="preserve"> 10</w:t>
            </w:r>
            <w:r w:rsidR="005C0F6D">
              <w:rPr>
                <w:sz w:val="18"/>
                <w:szCs w:val="18"/>
              </w:rPr>
              <w:noBreakHyphen/>
            </w:r>
            <w:r w:rsidR="00BB3836">
              <w:rPr>
                <w:sz w:val="18"/>
                <w:szCs w:val="18"/>
              </w:rPr>
              <w:t xml:space="preserve">year period per reactor.  </w:t>
            </w:r>
            <w:r w:rsidR="000761A1" w:rsidRPr="005425A6">
              <w:rPr>
                <w:sz w:val="18"/>
                <w:szCs w:val="18"/>
              </w:rPr>
              <w:t>T</w:t>
            </w:r>
            <w:r w:rsidR="000B78DA">
              <w:rPr>
                <w:sz w:val="18"/>
                <w:szCs w:val="18"/>
              </w:rPr>
              <w:t xml:space="preserve">his Code </w:t>
            </w:r>
            <w:r w:rsidR="001C19EA">
              <w:rPr>
                <w:sz w:val="18"/>
                <w:szCs w:val="18"/>
              </w:rPr>
              <w:t>Case</w:t>
            </w:r>
            <w:r w:rsidR="000761A1" w:rsidRPr="005425A6">
              <w:rPr>
                <w:sz w:val="18"/>
                <w:szCs w:val="18"/>
              </w:rPr>
              <w:t xml:space="preserve"> </w:t>
            </w:r>
            <w:r w:rsidR="006951A3">
              <w:rPr>
                <w:sz w:val="18"/>
                <w:szCs w:val="18"/>
              </w:rPr>
              <w:t>is applicable</w:t>
            </w:r>
            <w:r w:rsidR="000761A1" w:rsidRPr="005425A6">
              <w:rPr>
                <w:sz w:val="18"/>
                <w:szCs w:val="18"/>
              </w:rPr>
              <w:t xml:space="preserve"> only </w:t>
            </w:r>
            <w:r w:rsidR="006951A3">
              <w:rPr>
                <w:sz w:val="18"/>
                <w:szCs w:val="18"/>
              </w:rPr>
              <w:t>to</w:t>
            </w:r>
            <w:r w:rsidR="000761A1" w:rsidRPr="005425A6">
              <w:rPr>
                <w:sz w:val="18"/>
                <w:szCs w:val="18"/>
              </w:rPr>
              <w:t xml:space="preserve"> BWR designs.</w:t>
            </w:r>
          </w:p>
        </w:tc>
      </w:tr>
      <w:tr w:rsidR="00B47171" w14:paraId="10125419" w14:textId="77777777" w:rsidTr="009B6281">
        <w:tc>
          <w:tcPr>
            <w:tcW w:w="1045" w:type="dxa"/>
          </w:tcPr>
          <w:p w14:paraId="6FE02878" w14:textId="77777777" w:rsidR="00B47171" w:rsidRPr="005425A6" w:rsidRDefault="00B47171" w:rsidP="00FF0EE8">
            <w:pPr>
              <w:rPr>
                <w:sz w:val="18"/>
                <w:szCs w:val="18"/>
              </w:rPr>
            </w:pPr>
            <w:r w:rsidRPr="005425A6">
              <w:rPr>
                <w:sz w:val="18"/>
                <w:szCs w:val="18"/>
              </w:rPr>
              <w:t>DG-1296</w:t>
            </w:r>
          </w:p>
        </w:tc>
        <w:tc>
          <w:tcPr>
            <w:tcW w:w="1383" w:type="dxa"/>
          </w:tcPr>
          <w:p w14:paraId="057D7B1C" w14:textId="77777777" w:rsidR="00B47171" w:rsidRPr="005425A6" w:rsidRDefault="00B47171" w:rsidP="00FF0EE8">
            <w:pPr>
              <w:jc w:val="center"/>
              <w:rPr>
                <w:bCs/>
                <w:sz w:val="18"/>
                <w:szCs w:val="18"/>
              </w:rPr>
            </w:pPr>
            <w:r w:rsidRPr="005425A6">
              <w:rPr>
                <w:bCs/>
                <w:sz w:val="18"/>
                <w:szCs w:val="18"/>
              </w:rPr>
              <w:t>N-799</w:t>
            </w:r>
          </w:p>
        </w:tc>
        <w:tc>
          <w:tcPr>
            <w:tcW w:w="4364" w:type="dxa"/>
          </w:tcPr>
          <w:p w14:paraId="39E889DC" w14:textId="15537BD8" w:rsidR="00B47171" w:rsidRPr="005425A6" w:rsidRDefault="00B47171" w:rsidP="00FF0EE8">
            <w:pPr>
              <w:pStyle w:val="NoSpacing"/>
              <w:spacing w:after="60"/>
              <w:rPr>
                <w:sz w:val="18"/>
                <w:szCs w:val="18"/>
              </w:rPr>
            </w:pPr>
            <w:r w:rsidRPr="005425A6">
              <w:rPr>
                <w:sz w:val="18"/>
                <w:szCs w:val="18"/>
              </w:rPr>
              <w:t xml:space="preserve">(1) The gap between the ultrasonic probe and component surface shall not exceed </w:t>
            </w:r>
            <w:r w:rsidR="006706C2">
              <w:rPr>
                <w:sz w:val="18"/>
                <w:szCs w:val="18"/>
              </w:rPr>
              <w:t>0.032</w:t>
            </w:r>
            <w:r w:rsidR="005C0F6D">
              <w:rPr>
                <w:sz w:val="18"/>
                <w:szCs w:val="18"/>
              </w:rPr>
              <w:t> </w:t>
            </w:r>
            <w:r w:rsidRPr="005425A6">
              <w:rPr>
                <w:sz w:val="18"/>
                <w:szCs w:val="18"/>
              </w:rPr>
              <w:t xml:space="preserve">in.  If the gap exceeds </w:t>
            </w:r>
            <w:r w:rsidR="006706C2">
              <w:rPr>
                <w:sz w:val="18"/>
                <w:szCs w:val="18"/>
              </w:rPr>
              <w:t>0.032</w:t>
            </w:r>
            <w:r w:rsidR="005C0F6D">
              <w:rPr>
                <w:sz w:val="18"/>
                <w:szCs w:val="18"/>
              </w:rPr>
              <w:t> </w:t>
            </w:r>
            <w:r w:rsidRPr="005425A6">
              <w:rPr>
                <w:sz w:val="18"/>
                <w:szCs w:val="18"/>
              </w:rPr>
              <w:t>in., the weld shall be considered to be unexamined unless the examination technique is successfully demonstrated on representative mockups.</w:t>
            </w:r>
          </w:p>
          <w:p w14:paraId="28FD889A" w14:textId="3E099841" w:rsidR="00B47171" w:rsidRPr="005425A6" w:rsidRDefault="00B47171" w:rsidP="00FF0EE8">
            <w:pPr>
              <w:pStyle w:val="NoSpacing"/>
              <w:spacing w:after="60"/>
              <w:rPr>
                <w:sz w:val="18"/>
                <w:szCs w:val="18"/>
              </w:rPr>
            </w:pPr>
            <w:r w:rsidRPr="005425A6">
              <w:rPr>
                <w:sz w:val="18"/>
                <w:szCs w:val="18"/>
              </w:rPr>
              <w:t>(2) Examination requirements of Section</w:t>
            </w:r>
            <w:r w:rsidR="005C0F6D">
              <w:rPr>
                <w:sz w:val="18"/>
                <w:szCs w:val="18"/>
              </w:rPr>
              <w:t> </w:t>
            </w:r>
            <w:r w:rsidRPr="005425A6">
              <w:rPr>
                <w:sz w:val="18"/>
                <w:szCs w:val="18"/>
              </w:rPr>
              <w:t>XI, Mandatory Appendix I, paragraph</w:t>
            </w:r>
            <w:r w:rsidR="005C0F6D">
              <w:rPr>
                <w:sz w:val="18"/>
                <w:szCs w:val="18"/>
              </w:rPr>
              <w:t> </w:t>
            </w:r>
            <w:r w:rsidRPr="005425A6">
              <w:rPr>
                <w:sz w:val="18"/>
                <w:szCs w:val="18"/>
              </w:rPr>
              <w:t>I-3200(c) must be applied.</w:t>
            </w:r>
          </w:p>
          <w:p w14:paraId="216E40F5" w14:textId="1122D2AD" w:rsidR="00B47171" w:rsidRPr="005425A6" w:rsidRDefault="00056B30" w:rsidP="00FF0EE8">
            <w:pPr>
              <w:pStyle w:val="NoSpacing"/>
              <w:spacing w:after="60"/>
              <w:rPr>
                <w:sz w:val="18"/>
                <w:szCs w:val="18"/>
              </w:rPr>
            </w:pPr>
            <w:r>
              <w:rPr>
                <w:sz w:val="18"/>
                <w:szCs w:val="18"/>
              </w:rPr>
              <w:t>(</w:t>
            </w:r>
            <w:r w:rsidR="002E7253">
              <w:rPr>
                <w:sz w:val="18"/>
                <w:szCs w:val="18"/>
              </w:rPr>
              <w:t>3</w:t>
            </w:r>
            <w:r>
              <w:rPr>
                <w:sz w:val="18"/>
                <w:szCs w:val="18"/>
              </w:rPr>
              <w:t xml:space="preserve">) </w:t>
            </w:r>
            <w:r w:rsidR="00B47171" w:rsidRPr="005425A6">
              <w:rPr>
                <w:sz w:val="18"/>
                <w:szCs w:val="18"/>
              </w:rPr>
              <w:t>Ultrasonic depth and sizing qualifications for cast austenitic stainless steel components must follow Appendix</w:t>
            </w:r>
            <w:r w:rsidR="005C0F6D">
              <w:rPr>
                <w:sz w:val="18"/>
                <w:szCs w:val="18"/>
              </w:rPr>
              <w:t> </w:t>
            </w:r>
            <w:r w:rsidR="00B47171" w:rsidRPr="005425A6">
              <w:rPr>
                <w:sz w:val="18"/>
                <w:szCs w:val="18"/>
              </w:rPr>
              <w:t>VIII, Supplement</w:t>
            </w:r>
            <w:r w:rsidR="005C0F6D">
              <w:rPr>
                <w:sz w:val="18"/>
                <w:szCs w:val="18"/>
              </w:rPr>
              <w:t> </w:t>
            </w:r>
            <w:r w:rsidR="00B47171" w:rsidRPr="005425A6">
              <w:rPr>
                <w:sz w:val="18"/>
                <w:szCs w:val="18"/>
              </w:rPr>
              <w:t>10, using representative cast austenitic stainless steel mockups containing representative cracks and be independent of other Supplement</w:t>
            </w:r>
            <w:r w:rsidR="005C0F6D">
              <w:rPr>
                <w:sz w:val="18"/>
                <w:szCs w:val="18"/>
              </w:rPr>
              <w:t> </w:t>
            </w:r>
            <w:r w:rsidR="00B47171" w:rsidRPr="005425A6">
              <w:rPr>
                <w:sz w:val="18"/>
                <w:szCs w:val="18"/>
              </w:rPr>
              <w:t>10 qualifications.</w:t>
            </w:r>
          </w:p>
          <w:p w14:paraId="1DBEB5A5" w14:textId="7FF9013F" w:rsidR="00B47171" w:rsidRPr="005425A6" w:rsidRDefault="00056B30" w:rsidP="008B0211">
            <w:pPr>
              <w:pStyle w:val="NoSpacing"/>
              <w:rPr>
                <w:sz w:val="18"/>
                <w:szCs w:val="18"/>
              </w:rPr>
            </w:pPr>
            <w:r>
              <w:rPr>
                <w:sz w:val="18"/>
                <w:szCs w:val="18"/>
              </w:rPr>
              <w:t>(</w:t>
            </w:r>
            <w:r w:rsidR="002E7253">
              <w:rPr>
                <w:sz w:val="18"/>
                <w:szCs w:val="18"/>
              </w:rPr>
              <w:t>4</w:t>
            </w:r>
            <w:r>
              <w:rPr>
                <w:sz w:val="18"/>
                <w:szCs w:val="18"/>
              </w:rPr>
              <w:t xml:space="preserve">) </w:t>
            </w:r>
            <w:r w:rsidR="00B47171" w:rsidRPr="005425A6">
              <w:rPr>
                <w:sz w:val="18"/>
                <w:szCs w:val="18"/>
              </w:rPr>
              <w:t>Cracks detected and not depth sized to Appendix</w:t>
            </w:r>
            <w:r w:rsidR="005C0F6D">
              <w:rPr>
                <w:sz w:val="18"/>
                <w:szCs w:val="18"/>
              </w:rPr>
              <w:t> </w:t>
            </w:r>
            <w:r w:rsidR="00B47171" w:rsidRPr="005425A6">
              <w:rPr>
                <w:sz w:val="18"/>
                <w:szCs w:val="18"/>
              </w:rPr>
              <w:t>VIII type performance</w:t>
            </w:r>
            <w:r w:rsidR="005C0F6D">
              <w:rPr>
                <w:sz w:val="18"/>
                <w:szCs w:val="18"/>
              </w:rPr>
              <w:noBreakHyphen/>
            </w:r>
            <w:r w:rsidR="00B47171" w:rsidRPr="005425A6">
              <w:rPr>
                <w:sz w:val="18"/>
                <w:szCs w:val="18"/>
              </w:rPr>
              <w:t>based procedures, equipment, and personnel qualifications shall be repaired or removed.</w:t>
            </w:r>
          </w:p>
        </w:tc>
        <w:tc>
          <w:tcPr>
            <w:tcW w:w="2558" w:type="dxa"/>
          </w:tcPr>
          <w:p w14:paraId="384B4F16" w14:textId="5E363295" w:rsidR="00827136" w:rsidRDefault="00B47171" w:rsidP="00FF0EE8">
            <w:pPr>
              <w:rPr>
                <w:sz w:val="18"/>
                <w:szCs w:val="18"/>
              </w:rPr>
            </w:pPr>
            <w:r w:rsidRPr="005425A6">
              <w:rPr>
                <w:sz w:val="18"/>
                <w:szCs w:val="18"/>
              </w:rPr>
              <w:t xml:space="preserve">Condition (1) requires no additional effort compared to unconditional approval of the Code Case.  Condition (2) is a stipulation for use. </w:t>
            </w:r>
            <w:r w:rsidR="005C0F6D">
              <w:rPr>
                <w:sz w:val="18"/>
                <w:szCs w:val="18"/>
              </w:rPr>
              <w:t xml:space="preserve"> </w:t>
            </w:r>
            <w:r w:rsidR="0030230D">
              <w:rPr>
                <w:sz w:val="18"/>
                <w:szCs w:val="18"/>
              </w:rPr>
              <w:t>The NRC staff estimates that e</w:t>
            </w:r>
            <w:r w:rsidR="00761EF2">
              <w:rPr>
                <w:sz w:val="18"/>
                <w:szCs w:val="18"/>
              </w:rPr>
              <w:t>ach weld inspection will require 5 additional</w:t>
            </w:r>
            <w:r w:rsidR="005F1469">
              <w:rPr>
                <w:sz w:val="18"/>
                <w:szCs w:val="18"/>
              </w:rPr>
              <w:t xml:space="preserve"> labor hours</w:t>
            </w:r>
            <w:r w:rsidR="00761EF2">
              <w:rPr>
                <w:sz w:val="18"/>
                <w:szCs w:val="18"/>
              </w:rPr>
              <w:t xml:space="preserve">. </w:t>
            </w:r>
            <w:r w:rsidR="008B0211">
              <w:rPr>
                <w:sz w:val="18"/>
                <w:szCs w:val="18"/>
              </w:rPr>
              <w:t xml:space="preserve"> </w:t>
            </w:r>
            <w:r w:rsidR="00761EF2" w:rsidRPr="00761EF2">
              <w:rPr>
                <w:sz w:val="18"/>
                <w:szCs w:val="18"/>
              </w:rPr>
              <w:t>The NRC staff</w:t>
            </w:r>
            <w:r w:rsidR="0030230D">
              <w:rPr>
                <w:sz w:val="18"/>
                <w:szCs w:val="18"/>
              </w:rPr>
              <w:t>’s best</w:t>
            </w:r>
            <w:r w:rsidR="00761EF2" w:rsidRPr="00761EF2">
              <w:rPr>
                <w:sz w:val="18"/>
                <w:szCs w:val="18"/>
              </w:rPr>
              <w:t xml:space="preserve"> estimate </w:t>
            </w:r>
            <w:r w:rsidR="0030230D">
              <w:rPr>
                <w:sz w:val="18"/>
                <w:szCs w:val="18"/>
              </w:rPr>
              <w:t xml:space="preserve">is </w:t>
            </w:r>
            <w:r w:rsidR="00761EF2" w:rsidRPr="00761EF2">
              <w:rPr>
                <w:sz w:val="18"/>
                <w:szCs w:val="18"/>
              </w:rPr>
              <w:t xml:space="preserve">that </w:t>
            </w:r>
            <w:r w:rsidR="005C0F6D">
              <w:rPr>
                <w:sz w:val="18"/>
                <w:szCs w:val="18"/>
              </w:rPr>
              <w:t>two</w:t>
            </w:r>
            <w:r w:rsidR="00761EF2" w:rsidRPr="00761EF2">
              <w:rPr>
                <w:sz w:val="18"/>
                <w:szCs w:val="18"/>
              </w:rPr>
              <w:t xml:space="preserve"> welds will be inspected</w:t>
            </w:r>
            <w:r w:rsidR="0030230D">
              <w:rPr>
                <w:sz w:val="18"/>
                <w:szCs w:val="18"/>
              </w:rPr>
              <w:t xml:space="preserve">.  The NRC staff’s </w:t>
            </w:r>
            <w:r w:rsidR="00761EF2" w:rsidRPr="00761EF2">
              <w:rPr>
                <w:sz w:val="18"/>
                <w:szCs w:val="18"/>
              </w:rPr>
              <w:t xml:space="preserve">low estimate </w:t>
            </w:r>
            <w:r w:rsidR="0030230D">
              <w:rPr>
                <w:sz w:val="18"/>
                <w:szCs w:val="18"/>
              </w:rPr>
              <w:t>is</w:t>
            </w:r>
            <w:r w:rsidR="0030230D" w:rsidRPr="00761EF2">
              <w:rPr>
                <w:sz w:val="18"/>
                <w:szCs w:val="18"/>
              </w:rPr>
              <w:t xml:space="preserve"> </w:t>
            </w:r>
            <w:r w:rsidR="005C0F6D">
              <w:rPr>
                <w:sz w:val="18"/>
                <w:szCs w:val="18"/>
              </w:rPr>
              <w:t>one</w:t>
            </w:r>
            <w:r w:rsidR="00761EF2" w:rsidRPr="00761EF2">
              <w:rPr>
                <w:sz w:val="18"/>
                <w:szCs w:val="18"/>
              </w:rPr>
              <w:t xml:space="preserve"> weld</w:t>
            </w:r>
            <w:r w:rsidR="005C0F6D">
              <w:rPr>
                <w:sz w:val="18"/>
                <w:szCs w:val="18"/>
              </w:rPr>
              <w:t>,</w:t>
            </w:r>
            <w:r w:rsidR="00761EF2" w:rsidRPr="00761EF2">
              <w:rPr>
                <w:sz w:val="18"/>
                <w:szCs w:val="18"/>
              </w:rPr>
              <w:t xml:space="preserve"> and </w:t>
            </w:r>
            <w:r w:rsidR="0030230D">
              <w:rPr>
                <w:sz w:val="18"/>
                <w:szCs w:val="18"/>
              </w:rPr>
              <w:t>its</w:t>
            </w:r>
            <w:r w:rsidR="0030230D" w:rsidRPr="00761EF2">
              <w:rPr>
                <w:sz w:val="18"/>
                <w:szCs w:val="18"/>
              </w:rPr>
              <w:t xml:space="preserve"> </w:t>
            </w:r>
            <w:r w:rsidR="00761EF2" w:rsidRPr="00761EF2">
              <w:rPr>
                <w:sz w:val="18"/>
                <w:szCs w:val="18"/>
              </w:rPr>
              <w:t xml:space="preserve">high estimate </w:t>
            </w:r>
            <w:r w:rsidR="0030230D">
              <w:rPr>
                <w:sz w:val="18"/>
                <w:szCs w:val="18"/>
              </w:rPr>
              <w:t>is</w:t>
            </w:r>
            <w:r w:rsidR="0030230D" w:rsidRPr="00761EF2">
              <w:rPr>
                <w:sz w:val="18"/>
                <w:szCs w:val="18"/>
              </w:rPr>
              <w:t xml:space="preserve"> </w:t>
            </w:r>
            <w:r w:rsidR="005C0F6D">
              <w:rPr>
                <w:sz w:val="18"/>
                <w:szCs w:val="18"/>
              </w:rPr>
              <w:t>five</w:t>
            </w:r>
            <w:r w:rsidR="00761EF2">
              <w:rPr>
                <w:sz w:val="18"/>
                <w:szCs w:val="18"/>
              </w:rPr>
              <w:t xml:space="preserve"> welds</w:t>
            </w:r>
            <w:r w:rsidR="00761EF2" w:rsidRPr="00761EF2">
              <w:rPr>
                <w:sz w:val="18"/>
                <w:szCs w:val="18"/>
              </w:rPr>
              <w:t>.</w:t>
            </w:r>
            <w:r w:rsidR="00827136">
              <w:rPr>
                <w:sz w:val="18"/>
                <w:szCs w:val="18"/>
              </w:rPr>
              <w:t xml:space="preserve">  </w:t>
            </w:r>
            <w:r w:rsidRPr="005425A6">
              <w:rPr>
                <w:sz w:val="18"/>
                <w:szCs w:val="18"/>
              </w:rPr>
              <w:t>The</w:t>
            </w:r>
            <w:r w:rsidR="003B4364">
              <w:rPr>
                <w:sz w:val="18"/>
                <w:szCs w:val="18"/>
              </w:rPr>
              <w:t xml:space="preserve"> NRC staff notes that the</w:t>
            </w:r>
            <w:r w:rsidRPr="005425A6">
              <w:rPr>
                <w:sz w:val="18"/>
                <w:szCs w:val="18"/>
              </w:rPr>
              <w:t xml:space="preserve">re could </w:t>
            </w:r>
            <w:r w:rsidR="003B4364">
              <w:rPr>
                <w:sz w:val="18"/>
                <w:szCs w:val="18"/>
              </w:rPr>
              <w:t>be significant</w:t>
            </w:r>
            <w:r w:rsidRPr="005425A6">
              <w:rPr>
                <w:sz w:val="18"/>
                <w:szCs w:val="18"/>
              </w:rPr>
              <w:t xml:space="preserve"> costs from this conditioned Code Case </w:t>
            </w:r>
            <w:r w:rsidR="003B4364">
              <w:rPr>
                <w:sz w:val="18"/>
                <w:szCs w:val="18"/>
              </w:rPr>
              <w:t xml:space="preserve">if </w:t>
            </w:r>
            <w:r w:rsidRPr="005425A6">
              <w:rPr>
                <w:sz w:val="18"/>
                <w:szCs w:val="18"/>
              </w:rPr>
              <w:t>flaws in the components</w:t>
            </w:r>
            <w:r w:rsidR="003B4364">
              <w:rPr>
                <w:sz w:val="18"/>
                <w:szCs w:val="18"/>
              </w:rPr>
              <w:t xml:space="preserve"> are detected</w:t>
            </w:r>
            <w:r w:rsidRPr="005425A6">
              <w:rPr>
                <w:sz w:val="18"/>
                <w:szCs w:val="18"/>
              </w:rPr>
              <w:t>.</w:t>
            </w:r>
          </w:p>
          <w:p w14:paraId="3C25D828" w14:textId="77777777" w:rsidR="00827136" w:rsidRDefault="00827136" w:rsidP="00FF0EE8">
            <w:pPr>
              <w:rPr>
                <w:sz w:val="18"/>
                <w:szCs w:val="18"/>
              </w:rPr>
            </w:pPr>
          </w:p>
          <w:p w14:paraId="12E25638" w14:textId="77777777" w:rsidR="00B47171" w:rsidRPr="005425A6" w:rsidRDefault="000761A1" w:rsidP="00FF0EE8">
            <w:pPr>
              <w:rPr>
                <w:sz w:val="18"/>
                <w:szCs w:val="18"/>
              </w:rPr>
            </w:pPr>
            <w:r w:rsidRPr="005425A6">
              <w:rPr>
                <w:sz w:val="18"/>
                <w:szCs w:val="18"/>
              </w:rPr>
              <w:t xml:space="preserve">This Code Case </w:t>
            </w:r>
            <w:r w:rsidR="003B4364">
              <w:rPr>
                <w:sz w:val="18"/>
                <w:szCs w:val="18"/>
              </w:rPr>
              <w:t xml:space="preserve">is applicable only </w:t>
            </w:r>
            <w:r w:rsidR="006951A3">
              <w:rPr>
                <w:sz w:val="18"/>
                <w:szCs w:val="18"/>
              </w:rPr>
              <w:t>to</w:t>
            </w:r>
            <w:r w:rsidR="003B4364">
              <w:rPr>
                <w:sz w:val="18"/>
                <w:szCs w:val="18"/>
              </w:rPr>
              <w:t xml:space="preserve"> new reactor designs.</w:t>
            </w:r>
          </w:p>
        </w:tc>
      </w:tr>
      <w:tr w:rsidR="00243605" w14:paraId="5AE79D92" w14:textId="77777777" w:rsidTr="009B6281">
        <w:tc>
          <w:tcPr>
            <w:tcW w:w="1045" w:type="dxa"/>
          </w:tcPr>
          <w:p w14:paraId="2A310DF0" w14:textId="414D5F03" w:rsidR="00243605" w:rsidRPr="005425A6" w:rsidRDefault="00243605" w:rsidP="00FF0EE8">
            <w:pPr>
              <w:rPr>
                <w:sz w:val="18"/>
                <w:szCs w:val="18"/>
              </w:rPr>
            </w:pPr>
            <w:r>
              <w:rPr>
                <w:sz w:val="18"/>
                <w:szCs w:val="18"/>
              </w:rPr>
              <w:t>DG-129</w:t>
            </w:r>
            <w:r w:rsidR="0010522A">
              <w:rPr>
                <w:sz w:val="18"/>
                <w:szCs w:val="18"/>
              </w:rPr>
              <w:t>8</w:t>
            </w:r>
          </w:p>
        </w:tc>
        <w:tc>
          <w:tcPr>
            <w:tcW w:w="1383" w:type="dxa"/>
          </w:tcPr>
          <w:p w14:paraId="36F07546" w14:textId="77777777" w:rsidR="00243605" w:rsidRPr="005425A6" w:rsidRDefault="00243605" w:rsidP="00FF0EE8">
            <w:pPr>
              <w:jc w:val="center"/>
              <w:rPr>
                <w:bCs/>
                <w:sz w:val="18"/>
                <w:szCs w:val="18"/>
              </w:rPr>
            </w:pPr>
            <w:r>
              <w:rPr>
                <w:bCs/>
                <w:sz w:val="18"/>
                <w:szCs w:val="18"/>
              </w:rPr>
              <w:t>N-818</w:t>
            </w:r>
          </w:p>
        </w:tc>
        <w:tc>
          <w:tcPr>
            <w:tcW w:w="4364" w:type="dxa"/>
          </w:tcPr>
          <w:p w14:paraId="41CFC40A" w14:textId="1C2B61EB" w:rsidR="00243605" w:rsidRPr="005425A6" w:rsidRDefault="00243605" w:rsidP="00FF0EE8">
            <w:pPr>
              <w:rPr>
                <w:sz w:val="18"/>
                <w:szCs w:val="18"/>
              </w:rPr>
            </w:pPr>
            <w:r>
              <w:rPr>
                <w:sz w:val="18"/>
                <w:szCs w:val="18"/>
              </w:rPr>
              <w:t>Revised wording in RG</w:t>
            </w:r>
            <w:r w:rsidR="005C0F6D">
              <w:rPr>
                <w:sz w:val="18"/>
                <w:szCs w:val="18"/>
              </w:rPr>
              <w:t> </w:t>
            </w:r>
            <w:r>
              <w:rPr>
                <w:sz w:val="18"/>
                <w:szCs w:val="18"/>
              </w:rPr>
              <w:t>1.193 to clarify</w:t>
            </w:r>
            <w:r w:rsidR="0041512D">
              <w:rPr>
                <w:sz w:val="18"/>
                <w:szCs w:val="18"/>
              </w:rPr>
              <w:t xml:space="preserve"> NRC positions regarding examination of austenitic and ferritic welds, that performing a full volume </w:t>
            </w:r>
            <w:r w:rsidR="002E7253">
              <w:rPr>
                <w:sz w:val="18"/>
                <w:szCs w:val="18"/>
              </w:rPr>
              <w:t xml:space="preserve">ultrasonic </w:t>
            </w:r>
            <w:r w:rsidR="0041512D">
              <w:rPr>
                <w:sz w:val="18"/>
                <w:szCs w:val="18"/>
              </w:rPr>
              <w:t xml:space="preserve">examination for flaws is significantly different than an inservice examination.  </w:t>
            </w:r>
            <w:r w:rsidR="0041512D" w:rsidRPr="0041512D">
              <w:rPr>
                <w:sz w:val="18"/>
                <w:szCs w:val="18"/>
              </w:rPr>
              <w:t xml:space="preserve">In summary, the NRC believes that an analytical approach for the acceptance of certain fabrication flaws could be acceptable if appropriately justified and the scope limited to ferritic materials. </w:t>
            </w:r>
            <w:r w:rsidR="005C0F6D">
              <w:rPr>
                <w:sz w:val="18"/>
                <w:szCs w:val="18"/>
              </w:rPr>
              <w:t xml:space="preserve"> </w:t>
            </w:r>
            <w:r w:rsidR="0041512D" w:rsidRPr="0041512D">
              <w:rPr>
                <w:sz w:val="18"/>
                <w:szCs w:val="18"/>
              </w:rPr>
              <w:t>The NRC believes that significant research will be required to demonstrate that full</w:t>
            </w:r>
            <w:r w:rsidR="005C0F6D">
              <w:rPr>
                <w:sz w:val="18"/>
                <w:szCs w:val="18"/>
              </w:rPr>
              <w:noBreakHyphen/>
            </w:r>
            <w:r w:rsidR="0041512D" w:rsidRPr="0041512D">
              <w:rPr>
                <w:sz w:val="18"/>
                <w:szCs w:val="18"/>
              </w:rPr>
              <w:t xml:space="preserve">volume </w:t>
            </w:r>
            <w:r w:rsidR="002E7253">
              <w:rPr>
                <w:sz w:val="18"/>
                <w:szCs w:val="18"/>
              </w:rPr>
              <w:t xml:space="preserve">ultrasonic </w:t>
            </w:r>
            <w:r w:rsidR="0041512D" w:rsidRPr="0041512D">
              <w:rPr>
                <w:sz w:val="18"/>
                <w:szCs w:val="18"/>
              </w:rPr>
              <w:t>examination for fabrication flaws is acceptable for austenitic and dissimilar metal welds.</w:t>
            </w:r>
          </w:p>
        </w:tc>
        <w:tc>
          <w:tcPr>
            <w:tcW w:w="2558" w:type="dxa"/>
          </w:tcPr>
          <w:p w14:paraId="5AA083A8" w14:textId="6162ED59" w:rsidR="00243605" w:rsidRDefault="0041512D" w:rsidP="00FF0EE8">
            <w:pPr>
              <w:rPr>
                <w:sz w:val="18"/>
                <w:szCs w:val="18"/>
              </w:rPr>
            </w:pPr>
            <w:r>
              <w:rPr>
                <w:sz w:val="18"/>
                <w:szCs w:val="18"/>
              </w:rPr>
              <w:t>The NRC staff</w:t>
            </w:r>
            <w:r w:rsidR="00E32116">
              <w:rPr>
                <w:sz w:val="18"/>
                <w:szCs w:val="18"/>
              </w:rPr>
              <w:t xml:space="preserve"> expects </w:t>
            </w:r>
            <w:r w:rsidR="005C0F6D">
              <w:rPr>
                <w:sz w:val="18"/>
                <w:szCs w:val="18"/>
              </w:rPr>
              <w:t xml:space="preserve">that this change in wording will </w:t>
            </w:r>
            <w:r w:rsidR="00E32116">
              <w:rPr>
                <w:sz w:val="18"/>
                <w:szCs w:val="18"/>
              </w:rPr>
              <w:t>no</w:t>
            </w:r>
            <w:r w:rsidR="00B54F0A">
              <w:rPr>
                <w:sz w:val="18"/>
                <w:szCs w:val="18"/>
              </w:rPr>
              <w:t>t cau</w:t>
            </w:r>
            <w:r w:rsidR="005C0F6D">
              <w:rPr>
                <w:sz w:val="18"/>
                <w:szCs w:val="18"/>
              </w:rPr>
              <w:t>se any</w:t>
            </w:r>
            <w:r w:rsidR="00E32116">
              <w:rPr>
                <w:sz w:val="18"/>
                <w:szCs w:val="18"/>
              </w:rPr>
              <w:t xml:space="preserve"> incremental change in resource requirements </w:t>
            </w:r>
            <w:r w:rsidR="005C0F6D">
              <w:rPr>
                <w:sz w:val="18"/>
                <w:szCs w:val="18"/>
              </w:rPr>
              <w:t>because</w:t>
            </w:r>
            <w:r w:rsidR="00E32116">
              <w:rPr>
                <w:sz w:val="18"/>
                <w:szCs w:val="18"/>
              </w:rPr>
              <w:t xml:space="preserve"> the Code Case remains in RG</w:t>
            </w:r>
            <w:r w:rsidR="00B54F0A">
              <w:rPr>
                <w:sz w:val="18"/>
                <w:szCs w:val="18"/>
              </w:rPr>
              <w:t> </w:t>
            </w:r>
            <w:r w:rsidR="00E32116">
              <w:rPr>
                <w:sz w:val="18"/>
                <w:szCs w:val="18"/>
              </w:rPr>
              <w:t>1.193 and the alternative requests would be of similar complexity as the regulatory baseline</w:t>
            </w:r>
            <w:r w:rsidR="00B54F0A">
              <w:rPr>
                <w:sz w:val="18"/>
                <w:szCs w:val="18"/>
              </w:rPr>
              <w:t>.</w:t>
            </w:r>
          </w:p>
        </w:tc>
      </w:tr>
      <w:tr w:rsidR="000761A1" w14:paraId="47AF9ED7" w14:textId="77777777" w:rsidTr="009B6281">
        <w:tc>
          <w:tcPr>
            <w:tcW w:w="1045" w:type="dxa"/>
          </w:tcPr>
          <w:p w14:paraId="0294C634" w14:textId="77777777" w:rsidR="000761A1" w:rsidRPr="005425A6" w:rsidRDefault="000761A1" w:rsidP="00FF0EE8">
            <w:pPr>
              <w:rPr>
                <w:sz w:val="18"/>
                <w:szCs w:val="18"/>
              </w:rPr>
            </w:pPr>
            <w:r w:rsidRPr="005425A6">
              <w:rPr>
                <w:sz w:val="18"/>
                <w:szCs w:val="18"/>
              </w:rPr>
              <w:t>DG-1297</w:t>
            </w:r>
          </w:p>
        </w:tc>
        <w:tc>
          <w:tcPr>
            <w:tcW w:w="1383" w:type="dxa"/>
          </w:tcPr>
          <w:p w14:paraId="20847C67" w14:textId="77777777" w:rsidR="000761A1" w:rsidRPr="005425A6" w:rsidRDefault="000761A1" w:rsidP="00FF0EE8">
            <w:pPr>
              <w:jc w:val="center"/>
              <w:rPr>
                <w:bCs/>
                <w:sz w:val="18"/>
                <w:szCs w:val="18"/>
              </w:rPr>
            </w:pPr>
            <w:r w:rsidRPr="005425A6">
              <w:rPr>
                <w:bCs/>
                <w:sz w:val="18"/>
                <w:szCs w:val="18"/>
              </w:rPr>
              <w:t>OMN-16</w:t>
            </w:r>
          </w:p>
        </w:tc>
        <w:tc>
          <w:tcPr>
            <w:tcW w:w="4364" w:type="dxa"/>
          </w:tcPr>
          <w:p w14:paraId="15A54826" w14:textId="293EA941" w:rsidR="000761A1" w:rsidRPr="005425A6" w:rsidRDefault="000761A1" w:rsidP="00FF0EE8">
            <w:pPr>
              <w:rPr>
                <w:sz w:val="18"/>
                <w:szCs w:val="18"/>
              </w:rPr>
            </w:pPr>
            <w:r w:rsidRPr="005425A6">
              <w:rPr>
                <w:sz w:val="18"/>
                <w:szCs w:val="18"/>
              </w:rPr>
              <w:t>Figure 1 was inadvertently omitted from OMN</w:t>
            </w:r>
            <w:r w:rsidR="00B54F0A">
              <w:rPr>
                <w:sz w:val="18"/>
                <w:szCs w:val="18"/>
              </w:rPr>
              <w:noBreakHyphen/>
            </w:r>
            <w:r w:rsidRPr="005425A6">
              <w:rPr>
                <w:sz w:val="18"/>
                <w:szCs w:val="18"/>
              </w:rPr>
              <w:t>16, Revision</w:t>
            </w:r>
            <w:r w:rsidR="00B54F0A">
              <w:rPr>
                <w:sz w:val="18"/>
                <w:szCs w:val="18"/>
              </w:rPr>
              <w:t> </w:t>
            </w:r>
            <w:r w:rsidRPr="005425A6">
              <w:rPr>
                <w:sz w:val="18"/>
                <w:szCs w:val="18"/>
              </w:rPr>
              <w:t xml:space="preserve">1, in the 2012 Edition of the OM Code. </w:t>
            </w:r>
            <w:r w:rsidR="001C19EA">
              <w:rPr>
                <w:sz w:val="18"/>
                <w:szCs w:val="18"/>
              </w:rPr>
              <w:t xml:space="preserve"> </w:t>
            </w:r>
            <w:r w:rsidRPr="005425A6">
              <w:rPr>
                <w:sz w:val="18"/>
                <w:szCs w:val="18"/>
              </w:rPr>
              <w:t>This Code Case is approved for use provided it is supplemented with Figure</w:t>
            </w:r>
            <w:r w:rsidR="00B54F0A">
              <w:rPr>
                <w:sz w:val="18"/>
                <w:szCs w:val="18"/>
              </w:rPr>
              <w:t> </w:t>
            </w:r>
            <w:r w:rsidRPr="005425A6">
              <w:rPr>
                <w:sz w:val="18"/>
                <w:szCs w:val="18"/>
              </w:rPr>
              <w:t>1 of OMN</w:t>
            </w:r>
            <w:r w:rsidR="00B54F0A">
              <w:rPr>
                <w:sz w:val="18"/>
                <w:szCs w:val="18"/>
              </w:rPr>
              <w:noBreakHyphen/>
            </w:r>
            <w:r w:rsidRPr="005425A6">
              <w:rPr>
                <w:sz w:val="18"/>
                <w:szCs w:val="18"/>
              </w:rPr>
              <w:t>16 that is in the 2006 Addendum of the OM Code.</w:t>
            </w:r>
          </w:p>
          <w:p w14:paraId="00CDA44A" w14:textId="7E7CE64B" w:rsidR="000761A1" w:rsidRPr="005425A6" w:rsidRDefault="005425A6" w:rsidP="00FF0EE8">
            <w:pPr>
              <w:autoSpaceDE/>
              <w:autoSpaceDN/>
              <w:adjustRightInd/>
              <w:ind w:right="144"/>
              <w:rPr>
                <w:sz w:val="18"/>
                <w:szCs w:val="18"/>
              </w:rPr>
            </w:pPr>
            <w:r>
              <w:rPr>
                <w:iCs/>
                <w:sz w:val="18"/>
                <w:szCs w:val="18"/>
              </w:rPr>
              <w:t>(</w:t>
            </w:r>
            <w:r w:rsidR="000761A1" w:rsidRPr="005425A6">
              <w:rPr>
                <w:iCs/>
                <w:sz w:val="18"/>
                <w:szCs w:val="18"/>
              </w:rPr>
              <w:t>Note:</w:t>
            </w:r>
            <w:r w:rsidR="00B54F0A">
              <w:rPr>
                <w:iCs/>
                <w:sz w:val="18"/>
                <w:szCs w:val="18"/>
              </w:rPr>
              <w:t xml:space="preserve">  </w:t>
            </w:r>
            <w:r w:rsidR="000761A1" w:rsidRPr="005425A6">
              <w:rPr>
                <w:iCs/>
                <w:sz w:val="18"/>
                <w:szCs w:val="18"/>
              </w:rPr>
              <w:t>OMN</w:t>
            </w:r>
            <w:r w:rsidR="00B54F0A">
              <w:rPr>
                <w:iCs/>
                <w:sz w:val="18"/>
                <w:szCs w:val="18"/>
              </w:rPr>
              <w:noBreakHyphen/>
            </w:r>
            <w:r w:rsidR="000761A1" w:rsidRPr="005425A6">
              <w:rPr>
                <w:iCs/>
                <w:sz w:val="18"/>
                <w:szCs w:val="18"/>
              </w:rPr>
              <w:t xml:space="preserve">16, 2006 Addenda, was unconditionally approved in </w:t>
            </w:r>
            <w:r w:rsidR="001C19EA">
              <w:rPr>
                <w:iCs/>
                <w:sz w:val="18"/>
                <w:szCs w:val="18"/>
              </w:rPr>
              <w:t>Rev.</w:t>
            </w:r>
            <w:r w:rsidR="00B54F0A">
              <w:rPr>
                <w:iCs/>
                <w:sz w:val="18"/>
                <w:szCs w:val="18"/>
              </w:rPr>
              <w:t> </w:t>
            </w:r>
            <w:r w:rsidR="001C19EA">
              <w:rPr>
                <w:iCs/>
                <w:sz w:val="18"/>
                <w:szCs w:val="18"/>
              </w:rPr>
              <w:t xml:space="preserve">1 of </w:t>
            </w:r>
            <w:r w:rsidR="000761A1" w:rsidRPr="005425A6">
              <w:rPr>
                <w:iCs/>
                <w:sz w:val="18"/>
                <w:szCs w:val="18"/>
              </w:rPr>
              <w:t>RG</w:t>
            </w:r>
            <w:r w:rsidR="00B54F0A">
              <w:rPr>
                <w:iCs/>
                <w:sz w:val="18"/>
                <w:szCs w:val="18"/>
              </w:rPr>
              <w:t> </w:t>
            </w:r>
            <w:r w:rsidR="000761A1" w:rsidRPr="005425A6">
              <w:rPr>
                <w:iCs/>
                <w:sz w:val="18"/>
                <w:szCs w:val="18"/>
              </w:rPr>
              <w:t>1.192.</w:t>
            </w:r>
            <w:r>
              <w:rPr>
                <w:iCs/>
                <w:sz w:val="18"/>
                <w:szCs w:val="18"/>
              </w:rPr>
              <w:t>)</w:t>
            </w:r>
          </w:p>
        </w:tc>
        <w:tc>
          <w:tcPr>
            <w:tcW w:w="2558" w:type="dxa"/>
          </w:tcPr>
          <w:p w14:paraId="6C244D1F" w14:textId="77777777" w:rsidR="000761A1" w:rsidRPr="005425A6" w:rsidRDefault="00912E71" w:rsidP="00FF0EE8">
            <w:pPr>
              <w:rPr>
                <w:sz w:val="18"/>
                <w:szCs w:val="18"/>
              </w:rPr>
            </w:pPr>
            <w:r>
              <w:rPr>
                <w:sz w:val="18"/>
                <w:szCs w:val="18"/>
              </w:rPr>
              <w:t>The NRC staff expects no incremental</w:t>
            </w:r>
            <w:r w:rsidR="000761A1" w:rsidRPr="005425A6">
              <w:rPr>
                <w:sz w:val="18"/>
                <w:szCs w:val="18"/>
              </w:rPr>
              <w:t xml:space="preserve"> change in resource requirements</w:t>
            </w:r>
            <w:r>
              <w:rPr>
                <w:sz w:val="18"/>
                <w:szCs w:val="18"/>
              </w:rPr>
              <w:t xml:space="preserve"> between the unconditioned and the conditioned Code </w:t>
            </w:r>
            <w:r w:rsidR="001C19EA">
              <w:rPr>
                <w:sz w:val="18"/>
                <w:szCs w:val="18"/>
              </w:rPr>
              <w:t>Case</w:t>
            </w:r>
            <w:r w:rsidR="000761A1" w:rsidRPr="005425A6">
              <w:rPr>
                <w:sz w:val="18"/>
                <w:szCs w:val="18"/>
              </w:rPr>
              <w:t>.</w:t>
            </w:r>
          </w:p>
        </w:tc>
      </w:tr>
      <w:tr w:rsidR="000761A1" w14:paraId="05F6CA68" w14:textId="77777777" w:rsidTr="009B6281">
        <w:tc>
          <w:tcPr>
            <w:tcW w:w="1045" w:type="dxa"/>
          </w:tcPr>
          <w:p w14:paraId="376D77CC" w14:textId="77777777" w:rsidR="000761A1" w:rsidRPr="005425A6" w:rsidRDefault="000761A1" w:rsidP="00FF0EE8">
            <w:pPr>
              <w:rPr>
                <w:sz w:val="18"/>
                <w:szCs w:val="18"/>
              </w:rPr>
            </w:pPr>
            <w:r w:rsidRPr="005425A6">
              <w:rPr>
                <w:sz w:val="18"/>
                <w:szCs w:val="18"/>
              </w:rPr>
              <w:t>DG-1297</w:t>
            </w:r>
          </w:p>
        </w:tc>
        <w:tc>
          <w:tcPr>
            <w:tcW w:w="1383" w:type="dxa"/>
          </w:tcPr>
          <w:p w14:paraId="7D9990D7" w14:textId="77777777" w:rsidR="000761A1" w:rsidRPr="005425A6" w:rsidRDefault="000761A1" w:rsidP="00FF0EE8">
            <w:pPr>
              <w:jc w:val="center"/>
              <w:rPr>
                <w:bCs/>
                <w:sz w:val="18"/>
                <w:szCs w:val="18"/>
              </w:rPr>
            </w:pPr>
            <w:r w:rsidRPr="005425A6">
              <w:rPr>
                <w:bCs/>
                <w:sz w:val="18"/>
                <w:szCs w:val="18"/>
              </w:rPr>
              <w:t>OMN-18</w:t>
            </w:r>
          </w:p>
        </w:tc>
        <w:tc>
          <w:tcPr>
            <w:tcW w:w="4364" w:type="dxa"/>
          </w:tcPr>
          <w:p w14:paraId="0756901B" w14:textId="22E114E3" w:rsidR="000761A1" w:rsidRPr="005425A6" w:rsidRDefault="000761A1" w:rsidP="00FF0EE8">
            <w:pPr>
              <w:rPr>
                <w:sz w:val="18"/>
                <w:szCs w:val="18"/>
              </w:rPr>
            </w:pPr>
            <w:r w:rsidRPr="005425A6">
              <w:rPr>
                <w:sz w:val="18"/>
                <w:szCs w:val="18"/>
              </w:rPr>
              <w:t>The upper end values of the Group</w:t>
            </w:r>
            <w:r w:rsidR="00B54F0A">
              <w:rPr>
                <w:sz w:val="18"/>
                <w:szCs w:val="18"/>
              </w:rPr>
              <w:t> </w:t>
            </w:r>
            <w:r w:rsidRPr="005425A6">
              <w:rPr>
                <w:sz w:val="18"/>
                <w:szCs w:val="18"/>
              </w:rPr>
              <w:t>A Test Acceptable Ranges for flo</w:t>
            </w:r>
            <w:r w:rsidR="001A7C84">
              <w:rPr>
                <w:sz w:val="18"/>
                <w:szCs w:val="18"/>
              </w:rPr>
              <w:t>w and differential pressure (or</w:t>
            </w:r>
            <w:r w:rsidRPr="005425A6">
              <w:rPr>
                <w:sz w:val="18"/>
                <w:szCs w:val="18"/>
              </w:rPr>
              <w:t xml:space="preserve"> discharge pressure) must be 1.06Q</w:t>
            </w:r>
            <w:r w:rsidRPr="005425A6">
              <w:rPr>
                <w:sz w:val="18"/>
                <w:szCs w:val="18"/>
                <w:vertAlign w:val="subscript"/>
              </w:rPr>
              <w:t>r</w:t>
            </w:r>
            <w:r w:rsidRPr="005425A6">
              <w:rPr>
                <w:sz w:val="18"/>
                <w:szCs w:val="18"/>
              </w:rPr>
              <w:t xml:space="preserve"> and 1.06ΔP</w:t>
            </w:r>
            <w:r w:rsidRPr="005425A6">
              <w:rPr>
                <w:sz w:val="18"/>
                <w:szCs w:val="18"/>
                <w:vertAlign w:val="subscript"/>
              </w:rPr>
              <w:t>r</w:t>
            </w:r>
            <w:r w:rsidRPr="005425A6">
              <w:rPr>
                <w:sz w:val="18"/>
                <w:szCs w:val="18"/>
              </w:rPr>
              <w:t xml:space="preserve"> (or 1.06P</w:t>
            </w:r>
            <w:r w:rsidRPr="005425A6">
              <w:rPr>
                <w:sz w:val="18"/>
                <w:szCs w:val="18"/>
                <w:vertAlign w:val="subscript"/>
              </w:rPr>
              <w:t>r</w:t>
            </w:r>
            <w:r w:rsidRPr="005425A6">
              <w:rPr>
                <w:sz w:val="18"/>
                <w:szCs w:val="18"/>
              </w:rPr>
              <w:t>), respectively, as applicable to the pump type.  The high values of the Required Action Ranges for flow and differential pressure (or discharge pressure) must be &gt;1.06Q</w:t>
            </w:r>
            <w:r w:rsidRPr="005425A6">
              <w:rPr>
                <w:sz w:val="18"/>
                <w:szCs w:val="18"/>
                <w:vertAlign w:val="subscript"/>
              </w:rPr>
              <w:t>r</w:t>
            </w:r>
            <w:r w:rsidRPr="005425A6">
              <w:rPr>
                <w:sz w:val="18"/>
                <w:szCs w:val="18"/>
              </w:rPr>
              <w:t xml:space="preserve"> and &gt;1.06ΔP</w:t>
            </w:r>
            <w:r w:rsidRPr="005425A6">
              <w:rPr>
                <w:sz w:val="18"/>
                <w:szCs w:val="18"/>
                <w:vertAlign w:val="subscript"/>
              </w:rPr>
              <w:t>r</w:t>
            </w:r>
            <w:r w:rsidRPr="005425A6">
              <w:rPr>
                <w:sz w:val="18"/>
                <w:szCs w:val="18"/>
              </w:rPr>
              <w:t xml:space="preserve"> (or 1.06P</w:t>
            </w:r>
            <w:r w:rsidRPr="005425A6">
              <w:rPr>
                <w:sz w:val="18"/>
                <w:szCs w:val="18"/>
                <w:vertAlign w:val="subscript"/>
              </w:rPr>
              <w:t>r</w:t>
            </w:r>
            <w:r w:rsidRPr="005425A6">
              <w:rPr>
                <w:sz w:val="18"/>
                <w:szCs w:val="18"/>
              </w:rPr>
              <w:t>), respectively, as applicable to the pump type.</w:t>
            </w:r>
          </w:p>
        </w:tc>
        <w:tc>
          <w:tcPr>
            <w:tcW w:w="2558" w:type="dxa"/>
          </w:tcPr>
          <w:p w14:paraId="1EE30300" w14:textId="77777777" w:rsidR="000761A1" w:rsidRPr="005425A6" w:rsidRDefault="0030230D" w:rsidP="00FF0EE8">
            <w:pPr>
              <w:rPr>
                <w:sz w:val="18"/>
                <w:szCs w:val="18"/>
              </w:rPr>
            </w:pPr>
            <w:r>
              <w:rPr>
                <w:sz w:val="18"/>
                <w:szCs w:val="18"/>
              </w:rPr>
              <w:t>The NRC staff expects that this</w:t>
            </w:r>
            <w:r w:rsidRPr="005425A6">
              <w:rPr>
                <w:sz w:val="18"/>
                <w:szCs w:val="18"/>
              </w:rPr>
              <w:t xml:space="preserve"> </w:t>
            </w:r>
            <w:r w:rsidR="000761A1" w:rsidRPr="005425A6">
              <w:rPr>
                <w:sz w:val="18"/>
                <w:szCs w:val="18"/>
              </w:rPr>
              <w:t xml:space="preserve">condition </w:t>
            </w:r>
            <w:r w:rsidR="006951A3" w:rsidRPr="005425A6">
              <w:rPr>
                <w:sz w:val="18"/>
                <w:szCs w:val="18"/>
              </w:rPr>
              <w:t>require</w:t>
            </w:r>
            <w:r w:rsidR="006951A3">
              <w:rPr>
                <w:sz w:val="18"/>
                <w:szCs w:val="18"/>
              </w:rPr>
              <w:t>s</w:t>
            </w:r>
            <w:r w:rsidR="000761A1" w:rsidRPr="005425A6">
              <w:rPr>
                <w:sz w:val="18"/>
                <w:szCs w:val="18"/>
              </w:rPr>
              <w:t xml:space="preserve"> no additional effort compared to the Code </w:t>
            </w:r>
            <w:r w:rsidR="001C19EA">
              <w:rPr>
                <w:sz w:val="18"/>
                <w:szCs w:val="18"/>
              </w:rPr>
              <w:t>Case</w:t>
            </w:r>
            <w:r w:rsidR="00912E71">
              <w:rPr>
                <w:sz w:val="18"/>
                <w:szCs w:val="18"/>
              </w:rPr>
              <w:t xml:space="preserve"> without conditions</w:t>
            </w:r>
            <w:r w:rsidR="000761A1" w:rsidRPr="005425A6">
              <w:rPr>
                <w:sz w:val="18"/>
                <w:szCs w:val="18"/>
              </w:rPr>
              <w:t>.</w:t>
            </w:r>
          </w:p>
        </w:tc>
      </w:tr>
      <w:tr w:rsidR="000761A1" w14:paraId="74D62B98" w14:textId="77777777" w:rsidTr="009B6281">
        <w:tc>
          <w:tcPr>
            <w:tcW w:w="1045" w:type="dxa"/>
          </w:tcPr>
          <w:p w14:paraId="67BF9C1F" w14:textId="77777777" w:rsidR="000761A1" w:rsidRPr="005425A6" w:rsidRDefault="000761A1" w:rsidP="00FF0EE8">
            <w:pPr>
              <w:rPr>
                <w:sz w:val="18"/>
                <w:szCs w:val="18"/>
              </w:rPr>
            </w:pPr>
            <w:r w:rsidRPr="005425A6">
              <w:rPr>
                <w:sz w:val="18"/>
                <w:szCs w:val="18"/>
              </w:rPr>
              <w:t>DG-1297</w:t>
            </w:r>
          </w:p>
        </w:tc>
        <w:tc>
          <w:tcPr>
            <w:tcW w:w="1383" w:type="dxa"/>
          </w:tcPr>
          <w:p w14:paraId="3CD52EC6" w14:textId="77777777" w:rsidR="000761A1" w:rsidRPr="005425A6" w:rsidRDefault="000761A1" w:rsidP="00FF0EE8">
            <w:pPr>
              <w:jc w:val="center"/>
              <w:rPr>
                <w:bCs/>
                <w:sz w:val="18"/>
                <w:szCs w:val="18"/>
              </w:rPr>
            </w:pPr>
            <w:r w:rsidRPr="005425A6">
              <w:rPr>
                <w:bCs/>
                <w:sz w:val="18"/>
                <w:szCs w:val="18"/>
              </w:rPr>
              <w:t>OMN-19</w:t>
            </w:r>
          </w:p>
        </w:tc>
        <w:tc>
          <w:tcPr>
            <w:tcW w:w="4364" w:type="dxa"/>
          </w:tcPr>
          <w:p w14:paraId="59702FC7" w14:textId="77777777" w:rsidR="000761A1" w:rsidRPr="005425A6" w:rsidRDefault="000761A1" w:rsidP="00FF0EE8">
            <w:pPr>
              <w:rPr>
                <w:sz w:val="18"/>
                <w:szCs w:val="18"/>
              </w:rPr>
            </w:pPr>
            <w:r w:rsidRPr="005425A6">
              <w:rPr>
                <w:sz w:val="18"/>
                <w:szCs w:val="18"/>
              </w:rPr>
              <w:t>Applicants or licensees who use this Code Case must implement a pump periodic verification test program.  A pump periodic verification test is defined as a test that verifies a pump can meet the required (differential or discharge) pressure as applicable, at its highest design basis accident flow rate.</w:t>
            </w:r>
          </w:p>
          <w:p w14:paraId="3FE5DAEE" w14:textId="77777777" w:rsidR="000761A1" w:rsidRPr="005425A6" w:rsidRDefault="000761A1" w:rsidP="00FF0EE8">
            <w:pPr>
              <w:spacing w:after="60"/>
              <w:rPr>
                <w:sz w:val="18"/>
                <w:szCs w:val="18"/>
              </w:rPr>
            </w:pPr>
            <w:r w:rsidRPr="005425A6">
              <w:rPr>
                <w:sz w:val="18"/>
                <w:szCs w:val="18"/>
              </w:rPr>
              <w:t>The applicant or licensee must:</w:t>
            </w:r>
          </w:p>
          <w:p w14:paraId="700CBD0A" w14:textId="3BD76DB2" w:rsidR="000761A1" w:rsidRPr="005425A6" w:rsidRDefault="000761A1" w:rsidP="00FF0EE8">
            <w:pPr>
              <w:pStyle w:val="ListParagraph"/>
              <w:numPr>
                <w:ilvl w:val="0"/>
                <w:numId w:val="24"/>
              </w:numPr>
              <w:spacing w:after="60"/>
              <w:ind w:left="619"/>
              <w:contextualSpacing w:val="0"/>
              <w:rPr>
                <w:sz w:val="18"/>
                <w:szCs w:val="18"/>
              </w:rPr>
            </w:pPr>
            <w:r w:rsidRPr="005425A6">
              <w:rPr>
                <w:sz w:val="18"/>
                <w:szCs w:val="18"/>
              </w:rPr>
              <w:t>Identify those certain applicable pumps with specific design basis accident flow rates in the applicant’s or licensee’s credited safety analysis (e.g.,</w:t>
            </w:r>
            <w:r w:rsidR="00B54F0A">
              <w:rPr>
                <w:sz w:val="18"/>
                <w:szCs w:val="18"/>
              </w:rPr>
              <w:t> </w:t>
            </w:r>
            <w:r w:rsidRPr="005425A6">
              <w:rPr>
                <w:sz w:val="18"/>
                <w:szCs w:val="18"/>
              </w:rPr>
              <w:t>technical specifications, technical requirements program, or updated safety analysis report) for inclusion in this program.</w:t>
            </w:r>
          </w:p>
          <w:p w14:paraId="33BD2E02" w14:textId="77777777" w:rsidR="000761A1" w:rsidRPr="005425A6" w:rsidRDefault="000761A1" w:rsidP="00FF0EE8">
            <w:pPr>
              <w:pStyle w:val="ListParagraph"/>
              <w:numPr>
                <w:ilvl w:val="0"/>
                <w:numId w:val="24"/>
              </w:numPr>
              <w:spacing w:after="60"/>
              <w:ind w:left="619"/>
              <w:contextualSpacing w:val="0"/>
              <w:rPr>
                <w:sz w:val="18"/>
                <w:szCs w:val="18"/>
              </w:rPr>
            </w:pPr>
            <w:r w:rsidRPr="005425A6">
              <w:rPr>
                <w:sz w:val="18"/>
                <w:szCs w:val="18"/>
              </w:rPr>
              <w:t>Perform the pump periodic verification test at least once every two years.</w:t>
            </w:r>
          </w:p>
          <w:p w14:paraId="7B9AC27D" w14:textId="77777777" w:rsidR="000761A1" w:rsidRPr="005425A6" w:rsidRDefault="000761A1" w:rsidP="00FF0EE8">
            <w:pPr>
              <w:pStyle w:val="ListParagraph"/>
              <w:numPr>
                <w:ilvl w:val="0"/>
                <w:numId w:val="24"/>
              </w:numPr>
              <w:spacing w:after="60"/>
              <w:ind w:left="619"/>
              <w:contextualSpacing w:val="0"/>
              <w:rPr>
                <w:sz w:val="18"/>
                <w:szCs w:val="18"/>
              </w:rPr>
            </w:pPr>
            <w:r w:rsidRPr="005425A6">
              <w:rPr>
                <w:sz w:val="18"/>
                <w:szCs w:val="18"/>
              </w:rPr>
              <w:t>Determine whether the pump periodic verification test is required before declaring the pump operable following replacement, repair, or maintenance on the pump.</w:t>
            </w:r>
          </w:p>
          <w:p w14:paraId="7B24255A" w14:textId="77777777" w:rsidR="000761A1" w:rsidRPr="005425A6" w:rsidRDefault="000761A1" w:rsidP="00FF0EE8">
            <w:pPr>
              <w:pStyle w:val="ListParagraph"/>
              <w:numPr>
                <w:ilvl w:val="0"/>
                <w:numId w:val="24"/>
              </w:numPr>
              <w:spacing w:after="60"/>
              <w:ind w:left="619"/>
              <w:contextualSpacing w:val="0"/>
              <w:rPr>
                <w:sz w:val="18"/>
                <w:szCs w:val="18"/>
              </w:rPr>
            </w:pPr>
            <w:r w:rsidRPr="005425A6">
              <w:rPr>
                <w:sz w:val="18"/>
                <w:szCs w:val="18"/>
              </w:rPr>
              <w:t xml:space="preserve">Declare the pump inoperable if the pump periodic verification test flow rate and associated differential pressure (or discharge pressure </w:t>
            </w:r>
            <w:r w:rsidR="002430B8">
              <w:rPr>
                <w:sz w:val="18"/>
                <w:szCs w:val="18"/>
              </w:rPr>
              <w:t>for positive displacement pumps</w:t>
            </w:r>
            <w:r w:rsidRPr="005425A6">
              <w:rPr>
                <w:sz w:val="18"/>
                <w:szCs w:val="18"/>
              </w:rPr>
              <w:t>) cannot be achieved.</w:t>
            </w:r>
          </w:p>
          <w:p w14:paraId="34B9D5EC" w14:textId="10D8FA0F" w:rsidR="000761A1" w:rsidRPr="005425A6" w:rsidRDefault="000761A1" w:rsidP="00FF0EE8">
            <w:pPr>
              <w:pStyle w:val="ListParagraph"/>
              <w:numPr>
                <w:ilvl w:val="0"/>
                <w:numId w:val="24"/>
              </w:numPr>
              <w:spacing w:after="60"/>
              <w:ind w:left="619"/>
              <w:contextualSpacing w:val="0"/>
              <w:rPr>
                <w:sz w:val="18"/>
                <w:szCs w:val="18"/>
              </w:rPr>
            </w:pPr>
            <w:r w:rsidRPr="005425A6">
              <w:rPr>
                <w:sz w:val="18"/>
                <w:szCs w:val="18"/>
              </w:rPr>
              <w:t>Maintain the necessary records for the pump periodic verification tests, including the applicable test parameters (e.g.,</w:t>
            </w:r>
            <w:r w:rsidR="00B54F0A">
              <w:rPr>
                <w:sz w:val="18"/>
                <w:szCs w:val="18"/>
              </w:rPr>
              <w:t> </w:t>
            </w:r>
            <w:r w:rsidRPr="005425A6">
              <w:rPr>
                <w:sz w:val="18"/>
                <w:szCs w:val="18"/>
              </w:rPr>
              <w:t>flow rate and associated differential pressure, or flow rate and associated discharge pressure, and speed for variable speed pumps) and their basis.</w:t>
            </w:r>
          </w:p>
          <w:p w14:paraId="58508BAF" w14:textId="77777777" w:rsidR="000761A1" w:rsidRPr="005425A6" w:rsidRDefault="000761A1" w:rsidP="00FF0EE8">
            <w:pPr>
              <w:pStyle w:val="ListParagraph"/>
              <w:numPr>
                <w:ilvl w:val="0"/>
                <w:numId w:val="24"/>
              </w:numPr>
              <w:spacing w:after="60"/>
              <w:ind w:left="619"/>
              <w:contextualSpacing w:val="0"/>
              <w:rPr>
                <w:sz w:val="18"/>
                <w:szCs w:val="18"/>
              </w:rPr>
            </w:pPr>
            <w:r w:rsidRPr="005425A6">
              <w:rPr>
                <w:sz w:val="18"/>
                <w:szCs w:val="18"/>
              </w:rPr>
              <w:t>Account for the pump periodic verification test instrument accuracies in the test acceptance criteria.</w:t>
            </w:r>
          </w:p>
          <w:p w14:paraId="250BA752" w14:textId="77777777" w:rsidR="000761A1" w:rsidRPr="005425A6" w:rsidRDefault="000761A1" w:rsidP="00FF0EE8">
            <w:pPr>
              <w:pStyle w:val="ListParagraph"/>
              <w:numPr>
                <w:ilvl w:val="0"/>
                <w:numId w:val="24"/>
              </w:numPr>
              <w:ind w:left="612"/>
              <w:rPr>
                <w:sz w:val="18"/>
                <w:szCs w:val="18"/>
              </w:rPr>
            </w:pPr>
            <w:r w:rsidRPr="005425A6">
              <w:rPr>
                <w:sz w:val="18"/>
                <w:szCs w:val="18"/>
              </w:rPr>
              <w:t>The applicant or licensee need not perform a pump periodic verification test if the design basis accident flow rate in the applicant’s or licensee’s safety analysis is bounded by the comprehensive pump test or Group A test.</w:t>
            </w:r>
          </w:p>
        </w:tc>
        <w:tc>
          <w:tcPr>
            <w:tcW w:w="2558" w:type="dxa"/>
          </w:tcPr>
          <w:p w14:paraId="4B1EBA19" w14:textId="56E7B5AF" w:rsidR="000761A1" w:rsidRPr="005425A6" w:rsidRDefault="001A7C84" w:rsidP="001540D7">
            <w:pPr>
              <w:rPr>
                <w:sz w:val="18"/>
                <w:szCs w:val="18"/>
              </w:rPr>
            </w:pPr>
            <w:r w:rsidRPr="001A7C84">
              <w:rPr>
                <w:sz w:val="18"/>
                <w:szCs w:val="18"/>
              </w:rPr>
              <w:t xml:space="preserve">As indicated in the </w:t>
            </w:r>
            <w:r w:rsidR="00B54F0A">
              <w:rPr>
                <w:sz w:val="18"/>
                <w:szCs w:val="18"/>
              </w:rPr>
              <w:t>FR n</w:t>
            </w:r>
            <w:r w:rsidRPr="001A7C84">
              <w:rPr>
                <w:sz w:val="18"/>
                <w:szCs w:val="18"/>
              </w:rPr>
              <w:t xml:space="preserve">otice for this rulemaking, </w:t>
            </w:r>
            <w:r w:rsidR="00B54F0A">
              <w:rPr>
                <w:sz w:val="18"/>
                <w:szCs w:val="18"/>
              </w:rPr>
              <w:t>Code Case </w:t>
            </w:r>
            <w:r w:rsidRPr="001A7C84">
              <w:rPr>
                <w:sz w:val="18"/>
                <w:szCs w:val="18"/>
              </w:rPr>
              <w:t>OMN</w:t>
            </w:r>
            <w:r w:rsidR="00B54F0A">
              <w:rPr>
                <w:sz w:val="18"/>
                <w:szCs w:val="18"/>
              </w:rPr>
              <w:noBreakHyphen/>
            </w:r>
            <w:r w:rsidRPr="001A7C84">
              <w:rPr>
                <w:sz w:val="18"/>
                <w:szCs w:val="18"/>
              </w:rPr>
              <w:t xml:space="preserve">19 allows an extended range </w:t>
            </w:r>
            <w:r w:rsidR="008B373C">
              <w:rPr>
                <w:sz w:val="18"/>
                <w:szCs w:val="18"/>
              </w:rPr>
              <w:t xml:space="preserve">that </w:t>
            </w:r>
            <w:r w:rsidRPr="001A7C84">
              <w:rPr>
                <w:sz w:val="18"/>
                <w:szCs w:val="18"/>
              </w:rPr>
              <w:t xml:space="preserve">provides for an alternative upper limit level for the acceptance criteria in a comprehensive pump test required by </w:t>
            </w:r>
            <w:r w:rsidR="008B373C">
              <w:rPr>
                <w:sz w:val="18"/>
                <w:szCs w:val="18"/>
              </w:rPr>
              <w:t xml:space="preserve">ASME </w:t>
            </w:r>
            <w:r w:rsidR="00205DF0">
              <w:rPr>
                <w:sz w:val="18"/>
                <w:szCs w:val="18"/>
              </w:rPr>
              <w:t xml:space="preserve">OM Code </w:t>
            </w:r>
            <w:r w:rsidRPr="001A7C84">
              <w:rPr>
                <w:sz w:val="18"/>
                <w:szCs w:val="18"/>
              </w:rPr>
              <w:t>Subsection ISTB.  This condition for a pump periodic verification test is consistent with Mandatory Appendix</w:t>
            </w:r>
            <w:r w:rsidR="00B54F0A">
              <w:rPr>
                <w:sz w:val="18"/>
                <w:szCs w:val="18"/>
              </w:rPr>
              <w:t> </w:t>
            </w:r>
            <w:r w:rsidRPr="001A7C84">
              <w:rPr>
                <w:sz w:val="18"/>
                <w:szCs w:val="18"/>
              </w:rPr>
              <w:t>V, “Pump Periodic Verification Test Program,” in the ASME OM</w:t>
            </w:r>
            <w:r w:rsidR="00B54F0A">
              <w:rPr>
                <w:sz w:val="18"/>
                <w:szCs w:val="18"/>
              </w:rPr>
              <w:t xml:space="preserve"> Code</w:t>
            </w:r>
            <w:r w:rsidRPr="001A7C84">
              <w:rPr>
                <w:sz w:val="18"/>
                <w:szCs w:val="18"/>
              </w:rPr>
              <w:t>.  As discussed in</w:t>
            </w:r>
            <w:r w:rsidR="001540D7">
              <w:rPr>
                <w:sz w:val="18"/>
                <w:szCs w:val="18"/>
              </w:rPr>
              <w:t xml:space="preserve"> the </w:t>
            </w:r>
            <w:r w:rsidR="001540D7" w:rsidRPr="000E324D">
              <w:rPr>
                <w:i/>
                <w:sz w:val="18"/>
                <w:szCs w:val="18"/>
              </w:rPr>
              <w:t>Federal Register</w:t>
            </w:r>
            <w:r w:rsidR="001540D7">
              <w:rPr>
                <w:sz w:val="18"/>
                <w:szCs w:val="18"/>
              </w:rPr>
              <w:t xml:space="preserve"> </w:t>
            </w:r>
            <w:r w:rsidR="00B54F0A">
              <w:rPr>
                <w:sz w:val="18"/>
                <w:szCs w:val="18"/>
              </w:rPr>
              <w:t xml:space="preserve">dated </w:t>
            </w:r>
            <w:r w:rsidRPr="001A7C84">
              <w:rPr>
                <w:sz w:val="18"/>
                <w:szCs w:val="18"/>
              </w:rPr>
              <w:t>September</w:t>
            </w:r>
            <w:r w:rsidR="00B54F0A">
              <w:rPr>
                <w:sz w:val="18"/>
                <w:szCs w:val="18"/>
              </w:rPr>
              <w:t> </w:t>
            </w:r>
            <w:r w:rsidRPr="001A7C84">
              <w:rPr>
                <w:sz w:val="18"/>
                <w:szCs w:val="18"/>
              </w:rPr>
              <w:t>18,</w:t>
            </w:r>
            <w:r w:rsidR="00B54F0A">
              <w:rPr>
                <w:sz w:val="18"/>
                <w:szCs w:val="18"/>
              </w:rPr>
              <w:t> </w:t>
            </w:r>
            <w:r w:rsidRPr="001A7C84">
              <w:rPr>
                <w:sz w:val="18"/>
                <w:szCs w:val="18"/>
              </w:rPr>
              <w:t>2015</w:t>
            </w:r>
            <w:r w:rsidR="001540D7">
              <w:rPr>
                <w:sz w:val="18"/>
                <w:szCs w:val="18"/>
              </w:rPr>
              <w:t xml:space="preserve"> (</w:t>
            </w:r>
            <w:r w:rsidR="001540D7" w:rsidRPr="001A7C84">
              <w:rPr>
                <w:sz w:val="18"/>
                <w:szCs w:val="18"/>
              </w:rPr>
              <w:t>80</w:t>
            </w:r>
            <w:r w:rsidR="001540D7">
              <w:rPr>
                <w:sz w:val="18"/>
                <w:szCs w:val="18"/>
              </w:rPr>
              <w:t> </w:t>
            </w:r>
            <w:r w:rsidR="001540D7" w:rsidRPr="001A7C84">
              <w:rPr>
                <w:sz w:val="18"/>
                <w:szCs w:val="18"/>
              </w:rPr>
              <w:t>FR</w:t>
            </w:r>
            <w:r w:rsidR="001540D7">
              <w:rPr>
                <w:sz w:val="18"/>
                <w:szCs w:val="18"/>
              </w:rPr>
              <w:t> </w:t>
            </w:r>
            <w:r w:rsidR="001540D7" w:rsidRPr="001A7C84">
              <w:rPr>
                <w:sz w:val="18"/>
                <w:szCs w:val="18"/>
              </w:rPr>
              <w:t>56820</w:t>
            </w:r>
            <w:r w:rsidR="001540D7">
              <w:rPr>
                <w:sz w:val="18"/>
                <w:szCs w:val="18"/>
              </w:rPr>
              <w:t>)</w:t>
            </w:r>
            <w:r w:rsidRPr="001A7C84">
              <w:rPr>
                <w:sz w:val="18"/>
                <w:szCs w:val="18"/>
              </w:rPr>
              <w:t>, Appendix</w:t>
            </w:r>
            <w:r w:rsidR="00B54F0A">
              <w:rPr>
                <w:sz w:val="18"/>
                <w:szCs w:val="18"/>
              </w:rPr>
              <w:t> </w:t>
            </w:r>
            <w:r w:rsidRPr="001A7C84">
              <w:rPr>
                <w:sz w:val="18"/>
                <w:szCs w:val="18"/>
              </w:rPr>
              <w:t xml:space="preserve">V was included in the ASME OM Code to support an extension of the upper range for the pump acceptance criteria in </w:t>
            </w:r>
            <w:r w:rsidR="008B373C">
              <w:rPr>
                <w:sz w:val="18"/>
                <w:szCs w:val="18"/>
              </w:rPr>
              <w:t xml:space="preserve">ASME </w:t>
            </w:r>
            <w:r w:rsidRPr="001A7C84">
              <w:rPr>
                <w:sz w:val="18"/>
                <w:szCs w:val="18"/>
              </w:rPr>
              <w:t>Subsection ISTB.  This same upper range extension is allowed in Code Case OMN</w:t>
            </w:r>
            <w:r w:rsidR="00B54F0A">
              <w:rPr>
                <w:sz w:val="18"/>
                <w:szCs w:val="18"/>
              </w:rPr>
              <w:noBreakHyphen/>
            </w:r>
            <w:r w:rsidRPr="001A7C84">
              <w:rPr>
                <w:sz w:val="18"/>
                <w:szCs w:val="18"/>
              </w:rPr>
              <w:t>19.  As required by Mandatory Appendix</w:t>
            </w:r>
            <w:r w:rsidR="00B54F0A">
              <w:rPr>
                <w:sz w:val="18"/>
                <w:szCs w:val="18"/>
              </w:rPr>
              <w:t> </w:t>
            </w:r>
            <w:r w:rsidRPr="001A7C84">
              <w:rPr>
                <w:sz w:val="18"/>
                <w:szCs w:val="18"/>
              </w:rPr>
              <w:t xml:space="preserve">V </w:t>
            </w:r>
            <w:r w:rsidR="00B54F0A">
              <w:rPr>
                <w:sz w:val="18"/>
                <w:szCs w:val="18"/>
              </w:rPr>
              <w:t>and</w:t>
            </w:r>
            <w:r w:rsidRPr="001A7C84">
              <w:rPr>
                <w:sz w:val="18"/>
                <w:szCs w:val="18"/>
              </w:rPr>
              <w:t xml:space="preserve"> as specified in the RG</w:t>
            </w:r>
            <w:r w:rsidR="00B54F0A">
              <w:rPr>
                <w:sz w:val="18"/>
                <w:szCs w:val="18"/>
              </w:rPr>
              <w:t> </w:t>
            </w:r>
            <w:r w:rsidRPr="001A7C84">
              <w:rPr>
                <w:sz w:val="18"/>
                <w:szCs w:val="18"/>
              </w:rPr>
              <w:t>1.192 condition on the use of Code Case OMN</w:t>
            </w:r>
            <w:r w:rsidR="00B54F0A">
              <w:rPr>
                <w:sz w:val="18"/>
                <w:szCs w:val="18"/>
              </w:rPr>
              <w:noBreakHyphen/>
            </w:r>
            <w:r w:rsidRPr="001A7C84">
              <w:rPr>
                <w:sz w:val="18"/>
                <w:szCs w:val="18"/>
              </w:rPr>
              <w:t>19, licensees will prepare</w:t>
            </w:r>
            <w:r w:rsidR="00B54F0A">
              <w:rPr>
                <w:sz w:val="18"/>
                <w:szCs w:val="18"/>
              </w:rPr>
              <w:t xml:space="preserve"> </w:t>
            </w:r>
            <w:r w:rsidRPr="001A7C84">
              <w:rPr>
                <w:sz w:val="18"/>
                <w:szCs w:val="18"/>
              </w:rPr>
              <w:t xml:space="preserve">work packages for periodic pump verification </w:t>
            </w:r>
            <w:r>
              <w:rPr>
                <w:sz w:val="18"/>
                <w:szCs w:val="18"/>
              </w:rPr>
              <w:t xml:space="preserve">tests.  </w:t>
            </w:r>
            <w:r w:rsidR="0030230D">
              <w:rPr>
                <w:sz w:val="18"/>
                <w:szCs w:val="18"/>
              </w:rPr>
              <w:t>The NRC staff estimates that e</w:t>
            </w:r>
            <w:r w:rsidR="008740E2">
              <w:rPr>
                <w:sz w:val="18"/>
                <w:szCs w:val="18"/>
              </w:rPr>
              <w:t xml:space="preserve">ach work package will require 40 </w:t>
            </w:r>
            <w:r w:rsidR="0030230D">
              <w:rPr>
                <w:sz w:val="18"/>
                <w:szCs w:val="18"/>
              </w:rPr>
              <w:t xml:space="preserve">labor </w:t>
            </w:r>
            <w:r w:rsidR="008740E2">
              <w:rPr>
                <w:sz w:val="18"/>
                <w:szCs w:val="18"/>
              </w:rPr>
              <w:t xml:space="preserve">hours. </w:t>
            </w:r>
            <w:r w:rsidR="0030230D">
              <w:rPr>
                <w:sz w:val="18"/>
                <w:szCs w:val="18"/>
              </w:rPr>
              <w:t xml:space="preserve"> </w:t>
            </w:r>
            <w:r w:rsidR="008740E2">
              <w:rPr>
                <w:sz w:val="18"/>
                <w:szCs w:val="18"/>
              </w:rPr>
              <w:t>Additionally</w:t>
            </w:r>
            <w:r w:rsidR="00A54F83">
              <w:rPr>
                <w:sz w:val="18"/>
                <w:szCs w:val="18"/>
              </w:rPr>
              <w:t>,</w:t>
            </w:r>
            <w:r w:rsidR="008740E2">
              <w:rPr>
                <w:sz w:val="18"/>
                <w:szCs w:val="18"/>
              </w:rPr>
              <w:t xml:space="preserve"> </w:t>
            </w:r>
            <w:r w:rsidR="0030230D">
              <w:rPr>
                <w:sz w:val="18"/>
                <w:szCs w:val="18"/>
              </w:rPr>
              <w:t>16 </w:t>
            </w:r>
            <w:r w:rsidR="008740E2">
              <w:rPr>
                <w:sz w:val="18"/>
                <w:szCs w:val="18"/>
              </w:rPr>
              <w:t>labor hours will be required to update test procedures</w:t>
            </w:r>
            <w:r w:rsidR="00A54F83">
              <w:rPr>
                <w:sz w:val="18"/>
                <w:szCs w:val="18"/>
              </w:rPr>
              <w:t>,</w:t>
            </w:r>
            <w:r w:rsidR="008740E2">
              <w:rPr>
                <w:sz w:val="18"/>
                <w:szCs w:val="18"/>
              </w:rPr>
              <w:t xml:space="preserve"> and 16 labor hours will be required to determine test points and inspection requirements</w:t>
            </w:r>
            <w:r w:rsidR="00EB1754">
              <w:rPr>
                <w:sz w:val="18"/>
                <w:szCs w:val="18"/>
              </w:rPr>
              <w:t xml:space="preserve"> to perform the initial test</w:t>
            </w:r>
            <w:r w:rsidR="008740E2">
              <w:rPr>
                <w:sz w:val="18"/>
                <w:szCs w:val="18"/>
              </w:rPr>
              <w:t xml:space="preserve">. </w:t>
            </w:r>
            <w:r w:rsidR="0030230D">
              <w:rPr>
                <w:sz w:val="18"/>
                <w:szCs w:val="18"/>
              </w:rPr>
              <w:t xml:space="preserve"> </w:t>
            </w:r>
            <w:r w:rsidR="00CC4BEA">
              <w:rPr>
                <w:sz w:val="18"/>
                <w:szCs w:val="18"/>
              </w:rPr>
              <w:t>The NRC staff estimates that</w:t>
            </w:r>
            <w:r w:rsidR="0030230D">
              <w:rPr>
                <w:sz w:val="18"/>
                <w:szCs w:val="18"/>
              </w:rPr>
              <w:t xml:space="preserve"> </w:t>
            </w:r>
            <w:r w:rsidR="00A54F83">
              <w:rPr>
                <w:sz w:val="18"/>
                <w:szCs w:val="18"/>
              </w:rPr>
              <w:t>0.5 </w:t>
            </w:r>
            <w:r w:rsidR="0030230D">
              <w:rPr>
                <w:sz w:val="18"/>
                <w:szCs w:val="18"/>
              </w:rPr>
              <w:t xml:space="preserve">labor </w:t>
            </w:r>
            <w:r w:rsidR="008740E2">
              <w:rPr>
                <w:sz w:val="18"/>
                <w:szCs w:val="18"/>
              </w:rPr>
              <w:t xml:space="preserve">hour </w:t>
            </w:r>
            <w:r w:rsidR="00CC4BEA">
              <w:rPr>
                <w:sz w:val="18"/>
                <w:szCs w:val="18"/>
              </w:rPr>
              <w:t>is</w:t>
            </w:r>
            <w:r w:rsidR="008740E2">
              <w:rPr>
                <w:sz w:val="18"/>
                <w:szCs w:val="18"/>
              </w:rPr>
              <w:t xml:space="preserve"> required to test each pump</w:t>
            </w:r>
            <w:r w:rsidR="00AD20F2">
              <w:rPr>
                <w:sz w:val="18"/>
                <w:szCs w:val="18"/>
              </w:rPr>
              <w:t xml:space="preserve"> and 0.5 </w:t>
            </w:r>
            <w:r w:rsidR="00F600EA">
              <w:rPr>
                <w:sz w:val="18"/>
                <w:szCs w:val="18"/>
              </w:rPr>
              <w:t xml:space="preserve">labor </w:t>
            </w:r>
            <w:r w:rsidR="00AD20F2">
              <w:rPr>
                <w:sz w:val="18"/>
                <w:szCs w:val="18"/>
              </w:rPr>
              <w:t>hour is required to prepare each subsequent periodic test work package</w:t>
            </w:r>
            <w:r w:rsidR="0030230D">
              <w:rPr>
                <w:sz w:val="18"/>
                <w:szCs w:val="18"/>
              </w:rPr>
              <w:t>.  The NRC staff estimates that this periodic pump verification would apply to</w:t>
            </w:r>
            <w:r w:rsidR="008740E2">
              <w:rPr>
                <w:sz w:val="18"/>
                <w:szCs w:val="18"/>
              </w:rPr>
              <w:t xml:space="preserve"> </w:t>
            </w:r>
            <w:r w:rsidR="00AB41C4">
              <w:rPr>
                <w:sz w:val="18"/>
                <w:szCs w:val="18"/>
              </w:rPr>
              <w:t>7</w:t>
            </w:r>
            <w:r w:rsidR="00AA724B">
              <w:rPr>
                <w:sz w:val="18"/>
                <w:szCs w:val="18"/>
              </w:rPr>
              <w:t> </w:t>
            </w:r>
            <w:r w:rsidR="008740E2">
              <w:rPr>
                <w:sz w:val="18"/>
                <w:szCs w:val="18"/>
              </w:rPr>
              <w:t>pumps</w:t>
            </w:r>
            <w:r w:rsidR="00CC4BEA">
              <w:rPr>
                <w:sz w:val="18"/>
                <w:szCs w:val="18"/>
              </w:rPr>
              <w:t xml:space="preserve"> per unit.  </w:t>
            </w:r>
            <w:r w:rsidR="005B146E">
              <w:rPr>
                <w:sz w:val="18"/>
                <w:szCs w:val="18"/>
              </w:rPr>
              <w:t xml:space="preserve">The periodic pump tests are performed every </w:t>
            </w:r>
            <w:r w:rsidR="00A54F83">
              <w:rPr>
                <w:sz w:val="18"/>
                <w:szCs w:val="18"/>
              </w:rPr>
              <w:t>2 </w:t>
            </w:r>
            <w:r w:rsidR="005B146E">
              <w:rPr>
                <w:sz w:val="18"/>
                <w:szCs w:val="18"/>
              </w:rPr>
              <w:t>years.</w:t>
            </w:r>
            <w:r w:rsidR="00EB1754">
              <w:rPr>
                <w:sz w:val="18"/>
                <w:szCs w:val="18"/>
              </w:rPr>
              <w:t xml:space="preserve">  .</w:t>
            </w:r>
          </w:p>
        </w:tc>
      </w:tr>
      <w:tr w:rsidR="0041512D" w14:paraId="7673ABEC" w14:textId="77777777" w:rsidTr="009B6281">
        <w:tc>
          <w:tcPr>
            <w:tcW w:w="1045" w:type="dxa"/>
          </w:tcPr>
          <w:p w14:paraId="5753503E" w14:textId="77777777" w:rsidR="0041512D" w:rsidRPr="005425A6" w:rsidRDefault="0041512D" w:rsidP="00FF0EE8">
            <w:pPr>
              <w:rPr>
                <w:sz w:val="18"/>
                <w:szCs w:val="18"/>
              </w:rPr>
            </w:pPr>
            <w:r>
              <w:rPr>
                <w:sz w:val="18"/>
                <w:szCs w:val="18"/>
              </w:rPr>
              <w:t>DG-1297</w:t>
            </w:r>
          </w:p>
        </w:tc>
        <w:tc>
          <w:tcPr>
            <w:tcW w:w="1383" w:type="dxa"/>
          </w:tcPr>
          <w:p w14:paraId="323A3543" w14:textId="77777777" w:rsidR="0041512D" w:rsidRPr="005425A6" w:rsidRDefault="0041512D" w:rsidP="00FF0EE8">
            <w:pPr>
              <w:jc w:val="center"/>
              <w:rPr>
                <w:bCs/>
                <w:sz w:val="18"/>
                <w:szCs w:val="18"/>
              </w:rPr>
            </w:pPr>
            <w:r>
              <w:rPr>
                <w:bCs/>
                <w:sz w:val="18"/>
                <w:szCs w:val="18"/>
              </w:rPr>
              <w:t>OMN-20</w:t>
            </w:r>
          </w:p>
        </w:tc>
        <w:tc>
          <w:tcPr>
            <w:tcW w:w="4364" w:type="dxa"/>
          </w:tcPr>
          <w:p w14:paraId="7E1A23E7" w14:textId="2D9E577A" w:rsidR="0041512D" w:rsidRPr="005425A6" w:rsidRDefault="0041512D" w:rsidP="00FF0EE8">
            <w:pPr>
              <w:rPr>
                <w:sz w:val="18"/>
                <w:szCs w:val="18"/>
              </w:rPr>
            </w:pPr>
            <w:r w:rsidRPr="0041512D">
              <w:rPr>
                <w:sz w:val="18"/>
                <w:szCs w:val="18"/>
              </w:rPr>
              <w:t>RG 1.192 was updated to add a condition stating that Code Case OMN</w:t>
            </w:r>
            <w:r w:rsidR="00A54F83">
              <w:rPr>
                <w:sz w:val="18"/>
                <w:szCs w:val="18"/>
              </w:rPr>
              <w:noBreakHyphen/>
            </w:r>
            <w:r w:rsidRPr="0041512D">
              <w:rPr>
                <w:sz w:val="18"/>
                <w:szCs w:val="18"/>
              </w:rPr>
              <w:t>20 is applicable to the editions and addenda of the ASME OM Code listed in § 50.55a(a)(1)(iv)</w:t>
            </w:r>
            <w:r w:rsidR="00DE64C4">
              <w:rPr>
                <w:sz w:val="18"/>
                <w:szCs w:val="18"/>
              </w:rPr>
              <w:t xml:space="preserve"> (2012 and earlier editions)</w:t>
            </w:r>
            <w:r w:rsidRPr="0041512D">
              <w:rPr>
                <w:sz w:val="18"/>
                <w:szCs w:val="18"/>
              </w:rPr>
              <w:t>.</w:t>
            </w:r>
          </w:p>
        </w:tc>
        <w:tc>
          <w:tcPr>
            <w:tcW w:w="2558" w:type="dxa"/>
          </w:tcPr>
          <w:p w14:paraId="4BE04995" w14:textId="55911A6D" w:rsidR="0041512D" w:rsidRPr="005425A6" w:rsidRDefault="00C66366" w:rsidP="00FF0EE8">
            <w:pPr>
              <w:rPr>
                <w:sz w:val="18"/>
                <w:szCs w:val="18"/>
              </w:rPr>
            </w:pPr>
            <w:r>
              <w:rPr>
                <w:sz w:val="18"/>
                <w:szCs w:val="18"/>
              </w:rPr>
              <w:t xml:space="preserve">There is no </w:t>
            </w:r>
            <w:r w:rsidR="009E3EDE">
              <w:rPr>
                <w:sz w:val="18"/>
                <w:szCs w:val="18"/>
              </w:rPr>
              <w:t>cost or benefit</w:t>
            </w:r>
            <w:r>
              <w:rPr>
                <w:sz w:val="18"/>
                <w:szCs w:val="18"/>
              </w:rPr>
              <w:t xml:space="preserve"> as a result of this condition in </w:t>
            </w:r>
            <w:r w:rsidR="009E3EDE">
              <w:rPr>
                <w:sz w:val="18"/>
                <w:szCs w:val="18"/>
              </w:rPr>
              <w:t>the final rule because</w:t>
            </w:r>
            <w:r>
              <w:rPr>
                <w:sz w:val="18"/>
                <w:szCs w:val="18"/>
              </w:rPr>
              <w:t xml:space="preserve"> this Code Case and condition will be incorporated by reference in a prior ASME 2009</w:t>
            </w:r>
            <w:r w:rsidR="00A54F83">
              <w:rPr>
                <w:sz w:val="18"/>
                <w:szCs w:val="18"/>
              </w:rPr>
              <w:t>–</w:t>
            </w:r>
            <w:r>
              <w:rPr>
                <w:sz w:val="18"/>
                <w:szCs w:val="18"/>
              </w:rPr>
              <w:t xml:space="preserve">2013 rulemaking (ADAMS </w:t>
            </w:r>
            <w:r w:rsidR="00A54F83">
              <w:rPr>
                <w:sz w:val="18"/>
                <w:szCs w:val="18"/>
              </w:rPr>
              <w:t>Accession No. </w:t>
            </w:r>
            <w:r w:rsidRPr="00C66366">
              <w:rPr>
                <w:sz w:val="18"/>
                <w:szCs w:val="18"/>
              </w:rPr>
              <w:t>ML16130A538</w:t>
            </w:r>
            <w:r>
              <w:rPr>
                <w:sz w:val="18"/>
                <w:szCs w:val="18"/>
              </w:rPr>
              <w:t xml:space="preserve">) and the averted costs from this condition are included in the </w:t>
            </w:r>
            <w:r w:rsidR="00A54F83">
              <w:rPr>
                <w:sz w:val="18"/>
                <w:szCs w:val="18"/>
              </w:rPr>
              <w:t>r</w:t>
            </w:r>
            <w:r>
              <w:rPr>
                <w:sz w:val="18"/>
                <w:szCs w:val="18"/>
              </w:rPr>
              <w:t xml:space="preserve">egulatory </w:t>
            </w:r>
            <w:r w:rsidR="00A54F83">
              <w:rPr>
                <w:sz w:val="18"/>
                <w:szCs w:val="18"/>
              </w:rPr>
              <w:t>a</w:t>
            </w:r>
            <w:r>
              <w:rPr>
                <w:sz w:val="18"/>
                <w:szCs w:val="18"/>
              </w:rPr>
              <w:t>nalysis in that</w:t>
            </w:r>
            <w:r w:rsidR="00A54F83">
              <w:rPr>
                <w:sz w:val="18"/>
                <w:szCs w:val="18"/>
              </w:rPr>
              <w:t xml:space="preserve"> ADAMS</w:t>
            </w:r>
            <w:r>
              <w:rPr>
                <w:sz w:val="18"/>
                <w:szCs w:val="18"/>
              </w:rPr>
              <w:t xml:space="preserve"> package (</w:t>
            </w:r>
            <w:r w:rsidR="00A54F83">
              <w:rPr>
                <w:sz w:val="18"/>
                <w:szCs w:val="18"/>
              </w:rPr>
              <w:t>ADAMS Accession No. </w:t>
            </w:r>
            <w:r>
              <w:rPr>
                <w:sz w:val="18"/>
                <w:szCs w:val="18"/>
              </w:rPr>
              <w:t>ML16130A522)</w:t>
            </w:r>
            <w:r w:rsidR="009E3EDE">
              <w:rPr>
                <w:sz w:val="18"/>
                <w:szCs w:val="18"/>
              </w:rPr>
              <w:t>.  Therefore</w:t>
            </w:r>
            <w:r w:rsidR="00981C94">
              <w:rPr>
                <w:sz w:val="18"/>
                <w:szCs w:val="18"/>
              </w:rPr>
              <w:t>,</w:t>
            </w:r>
            <w:r w:rsidR="009E3EDE">
              <w:rPr>
                <w:sz w:val="18"/>
                <w:szCs w:val="18"/>
              </w:rPr>
              <w:t xml:space="preserve"> in this final rule, this condition is treated as status quo.</w:t>
            </w:r>
            <w:r>
              <w:rPr>
                <w:sz w:val="18"/>
                <w:szCs w:val="18"/>
              </w:rPr>
              <w:t xml:space="preserve"> </w:t>
            </w:r>
          </w:p>
        </w:tc>
      </w:tr>
    </w:tbl>
    <w:p w14:paraId="5FE453E3" w14:textId="6E208928" w:rsidR="005B1852" w:rsidRPr="001C3FF6" w:rsidRDefault="005B1852" w:rsidP="001C3FF6">
      <w:pPr>
        <w:ind w:left="360" w:hanging="360"/>
        <w:rPr>
          <w:sz w:val="18"/>
          <w:szCs w:val="18"/>
        </w:rPr>
      </w:pPr>
      <w:bookmarkStart w:id="95" w:name="_Toc462224960"/>
      <w:bookmarkStart w:id="96" w:name="_Toc468875919"/>
      <w:r w:rsidRPr="00EF05CC">
        <w:rPr>
          <w:sz w:val="18"/>
          <w:szCs w:val="18"/>
          <w:vertAlign w:val="superscript"/>
        </w:rPr>
        <w:t>a</w:t>
      </w:r>
      <w:r w:rsidRPr="001C3FF6">
        <w:rPr>
          <w:sz w:val="18"/>
          <w:szCs w:val="18"/>
        </w:rPr>
        <w:t xml:space="preserve"> </w:t>
      </w:r>
      <w:r w:rsidRPr="001C3FF6">
        <w:rPr>
          <w:sz w:val="18"/>
          <w:szCs w:val="18"/>
        </w:rPr>
        <w:tab/>
        <w:t>This information is copied directly from the respective draft regulatory guide.</w:t>
      </w:r>
    </w:p>
    <w:p w14:paraId="20C985D9" w14:textId="40D17B0A" w:rsidR="005B1852" w:rsidRPr="001C3FF6" w:rsidRDefault="005B1852" w:rsidP="001C3FF6">
      <w:pPr>
        <w:ind w:left="360" w:hanging="360"/>
        <w:rPr>
          <w:sz w:val="18"/>
          <w:szCs w:val="18"/>
        </w:rPr>
      </w:pPr>
      <w:r w:rsidRPr="00EF05CC">
        <w:rPr>
          <w:sz w:val="18"/>
          <w:szCs w:val="18"/>
          <w:vertAlign w:val="superscript"/>
        </w:rPr>
        <w:t>b</w:t>
      </w:r>
      <w:r w:rsidRPr="001C3FF6">
        <w:rPr>
          <w:sz w:val="18"/>
          <w:szCs w:val="18"/>
        </w:rPr>
        <w:t xml:space="preserve"> </w:t>
      </w:r>
      <w:r w:rsidRPr="001C3FF6">
        <w:rPr>
          <w:sz w:val="18"/>
          <w:szCs w:val="18"/>
        </w:rPr>
        <w:tab/>
      </w:r>
      <w:r w:rsidRPr="005B1852">
        <w:rPr>
          <w:sz w:val="18"/>
          <w:szCs w:val="18"/>
        </w:rPr>
        <w:t>These incremental hours are the additional time necessary to conform to the NRC conditioned Code Case when using the same Code Case with no NRC conditions as the baseline.</w:t>
      </w:r>
    </w:p>
    <w:p w14:paraId="4E9771EC" w14:textId="77777777" w:rsidR="00092667" w:rsidRPr="00E1388B" w:rsidRDefault="00EF2371" w:rsidP="00FF0EE8">
      <w:pPr>
        <w:pStyle w:val="Heading1"/>
        <w:spacing w:line="240" w:lineRule="auto"/>
        <w:ind w:left="360"/>
      </w:pPr>
      <w:r w:rsidRPr="00E1388B">
        <w:t>Presentation of Results</w:t>
      </w:r>
      <w:bookmarkEnd w:id="95"/>
      <w:bookmarkEnd w:id="96"/>
    </w:p>
    <w:p w14:paraId="22FA47DF" w14:textId="77777777" w:rsidR="00092667" w:rsidRPr="00BD3549" w:rsidRDefault="00092667" w:rsidP="00FF0EE8">
      <w:pPr>
        <w:keepNext/>
        <w:spacing w:line="240" w:lineRule="auto"/>
      </w:pPr>
    </w:p>
    <w:p w14:paraId="76A40761" w14:textId="1BDE4805" w:rsidR="00092667" w:rsidRPr="00BC4CA2" w:rsidRDefault="00092667" w:rsidP="00FF0EE8">
      <w:pPr>
        <w:spacing w:line="240" w:lineRule="auto"/>
      </w:pPr>
      <w:r w:rsidRPr="00BD3549">
        <w:t xml:space="preserve">This section </w:t>
      </w:r>
      <w:r w:rsidR="00BC4CA2">
        <w:t>presents</w:t>
      </w:r>
      <w:r w:rsidRPr="00BD3549">
        <w:t xml:space="preserve"> the </w:t>
      </w:r>
      <w:r w:rsidR="00EF2371">
        <w:t>quantitative</w:t>
      </w:r>
      <w:r w:rsidR="00B74DAD">
        <w:t xml:space="preserve"> and </w:t>
      </w:r>
      <w:r w:rsidR="004C05F6">
        <w:t>qualitative</w:t>
      </w:r>
      <w:r w:rsidR="00EF2371">
        <w:t xml:space="preserve"> results by </w:t>
      </w:r>
      <w:r w:rsidR="002430B8">
        <w:t>attribute</w:t>
      </w:r>
      <w:r w:rsidR="002430B8" w:rsidRPr="00BD3549">
        <w:t xml:space="preserve"> relative</w:t>
      </w:r>
      <w:r w:rsidRPr="00BD3549">
        <w:t xml:space="preserve"> to the regulatory baseline.  As described in the previous sections, costs and benefits are quantified where possible </w:t>
      </w:r>
      <w:r w:rsidRPr="00BD3549">
        <w:rPr>
          <w:color w:val="231F20"/>
        </w:rPr>
        <w:t xml:space="preserve">and can have either a positive or a negative algebraic sign, depending on whether the alternative has a favorable or adverse effect </w:t>
      </w:r>
      <w:r w:rsidR="00787200">
        <w:rPr>
          <w:color w:val="231F20"/>
        </w:rPr>
        <w:t>relative to</w:t>
      </w:r>
      <w:r w:rsidRPr="00BD3549">
        <w:rPr>
          <w:color w:val="231F20"/>
        </w:rPr>
        <w:t xml:space="preserve"> the regulatory baseline (alternative</w:t>
      </w:r>
      <w:r w:rsidR="00D73AC9">
        <w:rPr>
          <w:color w:val="231F20"/>
        </w:rPr>
        <w:t> </w:t>
      </w:r>
      <w:r w:rsidRPr="00BD3549">
        <w:rPr>
          <w:color w:val="231F20"/>
        </w:rPr>
        <w:t xml:space="preserve">1).  </w:t>
      </w:r>
      <w:r w:rsidRPr="00BD3549">
        <w:t xml:space="preserve">A discussion is provided for those attributes </w:t>
      </w:r>
      <w:r w:rsidR="00D73AC9">
        <w:t xml:space="preserve">that are </w:t>
      </w:r>
      <w:r w:rsidRPr="00BD3549">
        <w:t>not easily represented in monetary values.</w:t>
      </w:r>
      <w:r w:rsidR="00BC4CA2">
        <w:t xml:space="preserve">  Although this </w:t>
      </w:r>
      <w:r w:rsidR="00BC4CA2" w:rsidRPr="00205DF0">
        <w:rPr>
          <w:i/>
        </w:rPr>
        <w:t>ex ante</w:t>
      </w:r>
      <w:r w:rsidR="00BC4CA2">
        <w:t xml:space="preserve"> cost-benefit analys</w:t>
      </w:r>
      <w:r w:rsidR="00D73AC9">
        <w:t>i</w:t>
      </w:r>
      <w:r w:rsidR="00BC4CA2">
        <w:t>s</w:t>
      </w:r>
      <w:r w:rsidR="00BC4CA2" w:rsidRPr="000D0ED7">
        <w:rPr>
          <w:rStyle w:val="FootnoteReference"/>
          <w:sz w:val="24"/>
          <w:vertAlign w:val="superscript"/>
        </w:rPr>
        <w:footnoteReference w:id="11"/>
      </w:r>
      <w:r w:rsidR="00BC4CA2">
        <w:t xml:space="preserve"> provides useful information that can be used when deciding whether to select an alternative, </w:t>
      </w:r>
      <w:r w:rsidR="00BA0364">
        <w:t>the analysis is</w:t>
      </w:r>
      <w:r w:rsidR="00BC4CA2">
        <w:t xml:space="preserve"> based on estimates of the future costs and benefits.  Whether the estimates hold in the future, the process of conducting regulatory analyses has value in and of itself</w:t>
      </w:r>
      <w:r w:rsidR="00D73AC9">
        <w:t xml:space="preserve"> because</w:t>
      </w:r>
      <w:r w:rsidR="00BC4CA2">
        <w:t xml:space="preserve"> it helps </w:t>
      </w:r>
      <w:r w:rsidR="004B4BCF">
        <w:t>decision</w:t>
      </w:r>
      <w:r w:rsidR="00A96A4F">
        <w:t xml:space="preserve"> </w:t>
      </w:r>
      <w:r w:rsidR="004B4BCF">
        <w:t>makers</w:t>
      </w:r>
      <w:r w:rsidR="00BC4CA2">
        <w:t xml:space="preserve"> think in</w:t>
      </w:r>
      <w:r w:rsidR="00196E28">
        <w:t xml:space="preserve"> </w:t>
      </w:r>
      <w:r w:rsidR="00BC4CA2">
        <w:t>depth about specific alternatives and their associated results.</w:t>
      </w:r>
    </w:p>
    <w:p w14:paraId="0DBC1E7C" w14:textId="77777777" w:rsidR="00092667" w:rsidRPr="00BD3549" w:rsidRDefault="00092667" w:rsidP="00FF0EE8">
      <w:pPr>
        <w:spacing w:line="240" w:lineRule="auto"/>
      </w:pPr>
    </w:p>
    <w:p w14:paraId="04EA3379" w14:textId="43B2583C" w:rsidR="00092667" w:rsidRPr="00BD3549" w:rsidRDefault="00092667" w:rsidP="00FF0EE8">
      <w:pPr>
        <w:spacing w:line="240" w:lineRule="auto"/>
      </w:pPr>
      <w:r w:rsidRPr="00BD3549">
        <w:t xml:space="preserve">The </w:t>
      </w:r>
      <w:r w:rsidR="000D0ED7">
        <w:t xml:space="preserve">NRC </w:t>
      </w:r>
      <w:r w:rsidRPr="00BD3549">
        <w:t>Regulatory Analysis Guidelines</w:t>
      </w:r>
      <w:r w:rsidR="00205DF0">
        <w:t xml:space="preserve"> (NUREG/BR-0058)</w:t>
      </w:r>
      <w:r w:rsidRPr="00BD3549">
        <w:t xml:space="preserve"> state</w:t>
      </w:r>
      <w:r w:rsidR="00E036D5">
        <w:t>s</w:t>
      </w:r>
      <w:r w:rsidRPr="00BD3549">
        <w:t xml:space="preserve"> that the NRC’s periodic review and endorsement of consensus standards such a</w:t>
      </w:r>
      <w:r w:rsidR="002E679C">
        <w:t>s new versions of the ASME Code</w:t>
      </w:r>
      <w:r w:rsidRPr="00BD3549">
        <w:t xml:space="preserve"> and associated </w:t>
      </w:r>
      <w:r w:rsidR="00AE121B">
        <w:t>Code Cases</w:t>
      </w:r>
      <w:r w:rsidRPr="00BD3549">
        <w:t xml:space="preserve"> is a special case</w:t>
      </w:r>
      <w:r w:rsidR="00D73AC9">
        <w:t xml:space="preserve"> </w:t>
      </w:r>
      <w:r w:rsidRPr="00BD3549">
        <w:t>because consensus standards have already undergone extensive external review and have been endorsed by industry.  In additio</w:t>
      </w:r>
      <w:r w:rsidR="002E679C">
        <w:t>n, endorsement of the ASME Code</w:t>
      </w:r>
      <w:r w:rsidRPr="00BD3549">
        <w:t xml:space="preserve"> and </w:t>
      </w:r>
      <w:r w:rsidR="00AE121B">
        <w:t>Code Cases</w:t>
      </w:r>
      <w:r w:rsidRPr="00BD3549">
        <w:t xml:space="preserve"> has been</w:t>
      </w:r>
      <w:r w:rsidR="00D73AC9">
        <w:t xml:space="preserve"> a</w:t>
      </w:r>
      <w:r w:rsidRPr="00BD3549">
        <w:t xml:space="preserve"> longstanding NRC policy.  Licensees and applicants participate in the development of the ASME Cod</w:t>
      </w:r>
      <w:r w:rsidR="002E679C">
        <w:t>e</w:t>
      </w:r>
      <w:r w:rsidRPr="00BD3549">
        <w:t xml:space="preserve"> and </w:t>
      </w:r>
      <w:r w:rsidR="00AE121B">
        <w:t>Code Cases</w:t>
      </w:r>
      <w:r w:rsidRPr="00BD3549">
        <w:t xml:space="preserve"> and are aware that periodic updating of the ASME Code is part of the regulatory process.  </w:t>
      </w:r>
      <w:r w:rsidR="00AE121B">
        <w:t>Code Cases</w:t>
      </w:r>
      <w:r w:rsidRPr="00BD3549">
        <w:t xml:space="preserve"> are ASME</w:t>
      </w:r>
      <w:r w:rsidR="002A61D2">
        <w:noBreakHyphen/>
      </w:r>
      <w:r w:rsidRPr="00BD3549">
        <w:t>developed alternati</w:t>
      </w:r>
      <w:r w:rsidR="002E679C">
        <w:t>ves to the ASME BPV and OM Code</w:t>
      </w:r>
      <w:r w:rsidRPr="00BD3549">
        <w:t xml:space="preserve"> that licensees and applicants may voluntarily choose to adopt</w:t>
      </w:r>
      <w:r w:rsidR="00BA0364">
        <w:t xml:space="preserve"> without an alternative request</w:t>
      </w:r>
      <w:r w:rsidRPr="00BD3549">
        <w:t xml:space="preserve"> if </w:t>
      </w:r>
      <w:r w:rsidR="002A61D2">
        <w:t>the</w:t>
      </w:r>
      <w:r w:rsidR="00205DF0">
        <w:t xml:space="preserve"> Code Cases</w:t>
      </w:r>
      <w:r w:rsidR="002A61D2">
        <w:t xml:space="preserve"> are </w:t>
      </w:r>
      <w:r w:rsidRPr="00BD3549">
        <w:t xml:space="preserve">approved through </w:t>
      </w:r>
      <w:r w:rsidR="00D36A52">
        <w:t>incorporation by reference</w:t>
      </w:r>
      <w:r w:rsidRPr="00BD3549">
        <w:t xml:space="preserve"> in the NRC’s regulations.  Finally, </w:t>
      </w:r>
      <w:r w:rsidR="002E679C">
        <w:t>endorsement of the ASME Code</w:t>
      </w:r>
      <w:r w:rsidRPr="00BD3549">
        <w:t xml:space="preserve"> and </w:t>
      </w:r>
      <w:r w:rsidR="00AE121B">
        <w:t>Code Cases</w:t>
      </w:r>
      <w:r w:rsidRPr="00BD3549">
        <w:t xml:space="preserve"> is consistent with the </w:t>
      </w:r>
      <w:r w:rsidR="00BA0364">
        <w:t>NTTAA</w:t>
      </w:r>
      <w:r w:rsidRPr="00BD3549">
        <w:t xml:space="preserve"> inasmuch as the NRC has determined that sound regulatory reasons</w:t>
      </w:r>
      <w:r w:rsidR="002A61D2">
        <w:t xml:space="preserve"> exist</w:t>
      </w:r>
      <w:r w:rsidRPr="00BD3549">
        <w:t xml:space="preserve"> for establishing regulatory requirements for design, maintenance, ISI, and IST and examination by rulemaking.</w:t>
      </w:r>
    </w:p>
    <w:p w14:paraId="27C553D1" w14:textId="77777777" w:rsidR="00092667" w:rsidRPr="00BD3549" w:rsidRDefault="00092667" w:rsidP="00FF0EE8">
      <w:pPr>
        <w:spacing w:line="240" w:lineRule="auto"/>
      </w:pPr>
    </w:p>
    <w:p w14:paraId="582D4EDE" w14:textId="7A9AD5B0" w:rsidR="00092667" w:rsidRPr="00BD3549" w:rsidRDefault="00092667" w:rsidP="00FF0EE8">
      <w:pPr>
        <w:spacing w:line="240" w:lineRule="auto"/>
      </w:pPr>
      <w:r w:rsidRPr="00BD3549">
        <w:t xml:space="preserve">In a typical incorporation of </w:t>
      </w:r>
      <w:r w:rsidR="00AE121B">
        <w:t>Code Cases</w:t>
      </w:r>
      <w:r w:rsidRPr="00BD3549">
        <w:t>, the NRC endorsements can involve hundreds, if not thousands, of individual provisions.  Evaluating the benefit</w:t>
      </w:r>
      <w:r w:rsidR="002A61D2">
        <w:t xml:space="preserve"> in relation to</w:t>
      </w:r>
      <w:r w:rsidRPr="00BD3549">
        <w:t xml:space="preserve"> the cost of each individual provision in this regulatory analysis would be prohibitive, and the value gained by performing such an exercise would be limited.  Thus, this regulatory analysis does not evaluate individual requirements of the consensus standards.</w:t>
      </w:r>
    </w:p>
    <w:p w14:paraId="5D378199" w14:textId="77777777" w:rsidR="00092667" w:rsidRPr="00BD3549" w:rsidRDefault="00092667" w:rsidP="00FF0EE8">
      <w:pPr>
        <w:pStyle w:val="Heading2"/>
        <w:keepLines w:val="0"/>
        <w:spacing w:line="240" w:lineRule="auto"/>
        <w:ind w:left="540" w:hanging="522"/>
      </w:pPr>
      <w:bookmarkStart w:id="97" w:name="_Toc462224961"/>
      <w:bookmarkStart w:id="98" w:name="_Toc468875920"/>
      <w:r w:rsidRPr="00BD3549">
        <w:t>Public Health (Accident)</w:t>
      </w:r>
      <w:bookmarkEnd w:id="97"/>
      <w:bookmarkEnd w:id="98"/>
    </w:p>
    <w:p w14:paraId="3573BA73" w14:textId="77777777" w:rsidR="00092667" w:rsidRPr="00BD3549" w:rsidRDefault="00092667" w:rsidP="00FF0EE8">
      <w:pPr>
        <w:keepNext/>
        <w:spacing w:line="240" w:lineRule="auto"/>
      </w:pPr>
    </w:p>
    <w:p w14:paraId="33C4AEE3" w14:textId="392F21BB" w:rsidR="00092667" w:rsidRPr="00BD3549" w:rsidRDefault="00F52528" w:rsidP="00FF0EE8">
      <w:pPr>
        <w:spacing w:line="240" w:lineRule="auto"/>
      </w:pPr>
      <w:r w:rsidRPr="00BD3549">
        <w:t>Industry practice to adopt</w:t>
      </w:r>
      <w:r w:rsidR="00416275" w:rsidRPr="00BD3549">
        <w:t xml:space="preserve"> ASME BPV and OM </w:t>
      </w:r>
      <w:r w:rsidR="00AE121B">
        <w:t>Code Cases</w:t>
      </w:r>
      <w:r w:rsidRPr="00BD3549">
        <w:t xml:space="preserve"> </w:t>
      </w:r>
      <w:r w:rsidR="002A61D2">
        <w:t>through</w:t>
      </w:r>
      <w:r w:rsidR="002A61D2" w:rsidRPr="00BD3549">
        <w:t xml:space="preserve"> </w:t>
      </w:r>
      <w:r w:rsidR="00D36A52">
        <w:t>incorporation by reference</w:t>
      </w:r>
      <w:r w:rsidR="00416275" w:rsidRPr="00BD3549">
        <w:t xml:space="preserve"> into the regulations </w:t>
      </w:r>
      <w:r w:rsidRPr="00BD3549">
        <w:t xml:space="preserve">may </w:t>
      </w:r>
      <w:r w:rsidR="008E1D2B" w:rsidRPr="00BD3549">
        <w:t xml:space="preserve">incrementally reduce the likelihood of a radiological accident </w:t>
      </w:r>
      <w:r w:rsidR="00BA0364">
        <w:t xml:space="preserve">in </w:t>
      </w:r>
      <w:r w:rsidRPr="00BD3549">
        <w:t>a positive, but not easily quantifiable, manner</w:t>
      </w:r>
      <w:r w:rsidR="00416275" w:rsidRPr="00BD3549">
        <w:t>.  Pursuing alternative</w:t>
      </w:r>
      <w:r w:rsidR="00AD0139" w:rsidRPr="00BD3549">
        <w:t xml:space="preserve"> 2</w:t>
      </w:r>
      <w:r w:rsidR="00416275" w:rsidRPr="00BD3549">
        <w:t xml:space="preserve"> would continue to meet the NRC</w:t>
      </w:r>
      <w:r w:rsidR="00BA0364">
        <w:t>’s</w:t>
      </w:r>
      <w:r w:rsidR="00416275" w:rsidRPr="00BD3549">
        <w:t xml:space="preserve"> goal of maintaining safety by continuing to provide </w:t>
      </w:r>
      <w:r w:rsidR="002368D1">
        <w:t xml:space="preserve">the </w:t>
      </w:r>
      <w:r w:rsidR="00416275" w:rsidRPr="00BD3549">
        <w:t>NRC</w:t>
      </w:r>
      <w:r w:rsidR="002368D1">
        <w:t>’s</w:t>
      </w:r>
      <w:r w:rsidR="00416275" w:rsidRPr="00BD3549">
        <w:t xml:space="preserve"> approval of new ASME </w:t>
      </w:r>
      <w:r w:rsidR="00AE121B">
        <w:t>Code Cases</w:t>
      </w:r>
      <w:r w:rsidR="00416275" w:rsidRPr="00BD3549">
        <w:t xml:space="preserve"> </w:t>
      </w:r>
      <w:r w:rsidR="002A61D2">
        <w:t xml:space="preserve">to allow licensees </w:t>
      </w:r>
      <w:r w:rsidR="00416275" w:rsidRPr="00BD3549">
        <w:t xml:space="preserve">to gain experience with new technology </w:t>
      </w:r>
      <w:r w:rsidR="00164305">
        <w:t>before</w:t>
      </w:r>
      <w:r w:rsidR="00416275" w:rsidRPr="00BD3549">
        <w:t xml:space="preserve"> incorporation into the ASME Code</w:t>
      </w:r>
      <w:r w:rsidR="002A61D2">
        <w:t>,</w:t>
      </w:r>
      <w:r w:rsidR="00416275" w:rsidRPr="00BD3549">
        <w:t xml:space="preserve"> permit licensees to use advancements in ISI and IST</w:t>
      </w:r>
      <w:r w:rsidR="002A61D2">
        <w:t>,</w:t>
      </w:r>
      <w:r w:rsidR="00416275" w:rsidRPr="00BD3549">
        <w:t xml:space="preserve"> provide alternative examinations for older plants, provide an expeditious response to user needs</w:t>
      </w:r>
      <w:r w:rsidR="002A61D2">
        <w:t xml:space="preserve">, </w:t>
      </w:r>
      <w:r w:rsidR="00416275" w:rsidRPr="00BD3549">
        <w:t>and provide a limited</w:t>
      </w:r>
      <w:r w:rsidR="002A61D2">
        <w:t xml:space="preserve"> and</w:t>
      </w:r>
      <w:r w:rsidR="00416275" w:rsidRPr="00BD3549">
        <w:t xml:space="preserve"> clearly focused alternative to specific ASME Code provisions.  </w:t>
      </w:r>
      <w:r w:rsidR="0019789F">
        <w:t>Improvements in ISI and IST may also result in the earlier identification of material degradation that</w:t>
      </w:r>
      <w:r w:rsidR="002A61D2">
        <w:t>,</w:t>
      </w:r>
      <w:r w:rsidR="0019789F">
        <w:t xml:space="preserve"> if undetected</w:t>
      </w:r>
      <w:r w:rsidR="002A61D2">
        <w:t>,</w:t>
      </w:r>
      <w:r w:rsidR="0019789F">
        <w:t xml:space="preserve"> could result in further degradation that eventually results in a plant transient.  </w:t>
      </w:r>
      <w:r w:rsidR="00416275" w:rsidRPr="00BD3549">
        <w:t>As such, alternative</w:t>
      </w:r>
      <w:r w:rsidR="002A61D2">
        <w:t> </w:t>
      </w:r>
      <w:r w:rsidR="00416275" w:rsidRPr="00BD3549">
        <w:t xml:space="preserve">2 maintains </w:t>
      </w:r>
      <w:r w:rsidR="009275F3" w:rsidRPr="00BD3549">
        <w:t xml:space="preserve">the same level </w:t>
      </w:r>
      <w:r w:rsidR="009B2667">
        <w:t xml:space="preserve">of, </w:t>
      </w:r>
      <w:r w:rsidR="009275F3" w:rsidRPr="00BD3549">
        <w:t xml:space="preserve">or may </w:t>
      </w:r>
      <w:r w:rsidR="00416275" w:rsidRPr="00BD3549">
        <w:t>provide an incremental improvement</w:t>
      </w:r>
      <w:r w:rsidR="009275F3" w:rsidRPr="00BD3549">
        <w:t xml:space="preserve"> </w:t>
      </w:r>
      <w:r w:rsidR="008E1D2B" w:rsidRPr="00BD3549">
        <w:t>in</w:t>
      </w:r>
      <w:r w:rsidR="009B2667">
        <w:t>,</w:t>
      </w:r>
      <w:r w:rsidR="009275F3" w:rsidRPr="00BD3549">
        <w:t xml:space="preserve"> safety when compared to the regulatory baseline.</w:t>
      </w:r>
    </w:p>
    <w:p w14:paraId="1B75FD87" w14:textId="77777777" w:rsidR="009275F3" w:rsidRPr="00BD3549" w:rsidRDefault="009275F3" w:rsidP="00FF0EE8">
      <w:pPr>
        <w:pStyle w:val="Heading2"/>
        <w:keepLines w:val="0"/>
        <w:spacing w:line="240" w:lineRule="auto"/>
        <w:ind w:left="540" w:hanging="522"/>
      </w:pPr>
      <w:bookmarkStart w:id="99" w:name="_Toc462224962"/>
      <w:bookmarkStart w:id="100" w:name="_Toc468875921"/>
      <w:r w:rsidRPr="00BD3549">
        <w:t>Occupational Health (Accident)</w:t>
      </w:r>
      <w:bookmarkEnd w:id="99"/>
      <w:bookmarkEnd w:id="100"/>
    </w:p>
    <w:p w14:paraId="188BED53" w14:textId="77777777" w:rsidR="009275F3" w:rsidRPr="00BD3549" w:rsidRDefault="009275F3" w:rsidP="00FF0EE8">
      <w:pPr>
        <w:keepNext/>
        <w:spacing w:line="240" w:lineRule="auto"/>
      </w:pPr>
    </w:p>
    <w:p w14:paraId="4B1C555B" w14:textId="7A833FF5" w:rsidR="00AD0139" w:rsidRDefault="00AD0139" w:rsidP="00FF0EE8">
      <w:pPr>
        <w:spacing w:line="240" w:lineRule="auto"/>
      </w:pPr>
      <w:r w:rsidRPr="00BD3549">
        <w:t>The NRC</w:t>
      </w:r>
      <w:r w:rsidR="00BA0364">
        <w:t>’s</w:t>
      </w:r>
      <w:r w:rsidRPr="00BD3549">
        <w:t xml:space="preserve"> practice to review ASME BPV and OM </w:t>
      </w:r>
      <w:r w:rsidR="00AE121B">
        <w:t>Code Cases</w:t>
      </w:r>
      <w:r w:rsidRPr="00BD3549">
        <w:t xml:space="preserve">, determine their acceptability, and specify its finding in </w:t>
      </w:r>
      <w:r w:rsidR="00071DA2">
        <w:t>RG</w:t>
      </w:r>
      <w:r w:rsidRPr="00BD3549">
        <w:t xml:space="preserve">s that are </w:t>
      </w:r>
      <w:r w:rsidR="00D36A52">
        <w:t>incorporated by reference</w:t>
      </w:r>
      <w:r w:rsidRPr="00BD3549">
        <w:t xml:space="preserve"> into the regulations </w:t>
      </w:r>
      <w:r w:rsidR="00944210">
        <w:t>en</w:t>
      </w:r>
      <w:r w:rsidRPr="00BD3549">
        <w:t>sures that the mandated ASME Code requirement</w:t>
      </w:r>
      <w:r w:rsidR="00A20021">
        <w:t>s</w:t>
      </w:r>
      <w:r w:rsidRPr="00BD3549">
        <w:t xml:space="preserve"> and approved Code alternatives result in an acceptable level of quality and safety.  Pursuing alternative</w:t>
      </w:r>
      <w:r w:rsidR="00944210">
        <w:t> </w:t>
      </w:r>
      <w:r w:rsidRPr="00BD3549">
        <w:t>2 would continue to meet the NRC</w:t>
      </w:r>
      <w:r w:rsidR="00BA0364">
        <w:t>’s</w:t>
      </w:r>
      <w:r w:rsidRPr="00BD3549">
        <w:t xml:space="preserve"> goal of maintaining safety</w:t>
      </w:r>
      <w:r w:rsidR="00944210">
        <w:t>,</w:t>
      </w:r>
      <w:r w:rsidR="00A20021" w:rsidRPr="00BD3549">
        <w:t xml:space="preserve"> </w:t>
      </w:r>
      <w:r w:rsidRPr="00BD3549">
        <w:t xml:space="preserve">permit licensees to use </w:t>
      </w:r>
      <w:r w:rsidR="001A7C84" w:rsidRPr="00BD3549">
        <w:t xml:space="preserve">ISI and IST </w:t>
      </w:r>
      <w:r w:rsidR="00CE11EF">
        <w:t>advancements</w:t>
      </w:r>
      <w:r w:rsidR="00944210">
        <w:t>,</w:t>
      </w:r>
      <w:r w:rsidRPr="00BD3549">
        <w:t xml:space="preserve"> p</w:t>
      </w:r>
      <w:r w:rsidR="00CE11EF">
        <w:t>rovide alternative examinations</w:t>
      </w:r>
      <w:r w:rsidR="00944210">
        <w:t>,</w:t>
      </w:r>
      <w:r w:rsidR="00A20021" w:rsidRPr="00BD3549">
        <w:t xml:space="preserve"> </w:t>
      </w:r>
      <w:r w:rsidR="00CE11EF">
        <w:t xml:space="preserve">respond </w:t>
      </w:r>
      <w:r w:rsidRPr="00BD3549">
        <w:t>to user needs</w:t>
      </w:r>
      <w:r w:rsidR="00944210">
        <w:t>,</w:t>
      </w:r>
      <w:r w:rsidR="00A20021" w:rsidRPr="00BD3549">
        <w:t xml:space="preserve"> </w:t>
      </w:r>
      <w:r w:rsidRPr="00BD3549">
        <w:t>and provide alternative</w:t>
      </w:r>
      <w:r w:rsidR="00CE11EF">
        <w:t>s</w:t>
      </w:r>
      <w:r w:rsidRPr="00BD3549">
        <w:t xml:space="preserve"> to ASME Code provisions.  </w:t>
      </w:r>
      <w:r w:rsidR="00F52528" w:rsidRPr="00BD3549">
        <w:t xml:space="preserve">The </w:t>
      </w:r>
      <w:r w:rsidR="003D6083">
        <w:t>NRC expects that licensee</w:t>
      </w:r>
      <w:r w:rsidR="00944210">
        <w:t>s’</w:t>
      </w:r>
      <w:r w:rsidR="003D6083">
        <w:t xml:space="preserve"> and applicant</w:t>
      </w:r>
      <w:r w:rsidR="00944210">
        <w:t xml:space="preserve">s’ </w:t>
      </w:r>
      <w:r w:rsidR="003D6083">
        <w:t xml:space="preserve">voluntary </w:t>
      </w:r>
      <w:r w:rsidR="00F52528" w:rsidRPr="00BD3549">
        <w:t xml:space="preserve">use of </w:t>
      </w:r>
      <w:r w:rsidR="003D6083">
        <w:t>NRC-approved</w:t>
      </w:r>
      <w:r w:rsidR="00F52528" w:rsidRPr="00BD3549">
        <w:t xml:space="preserve"> </w:t>
      </w:r>
      <w:r w:rsidR="00AE121B">
        <w:t>Code Cases</w:t>
      </w:r>
      <w:r w:rsidR="00F52528" w:rsidRPr="00BD3549">
        <w:t xml:space="preserve"> </w:t>
      </w:r>
      <w:r w:rsidR="003D6083">
        <w:t>would</w:t>
      </w:r>
      <w:r w:rsidR="00F52528" w:rsidRPr="00BD3549">
        <w:t xml:space="preserve"> </w:t>
      </w:r>
      <w:r w:rsidR="003D6083">
        <w:t>reduce</w:t>
      </w:r>
      <w:r w:rsidR="00F52528" w:rsidRPr="00BD3549">
        <w:t xml:space="preserve"> occupational </w:t>
      </w:r>
      <w:r w:rsidR="003D6083">
        <w:t>radiation exposure</w:t>
      </w:r>
      <w:r w:rsidR="00F52528" w:rsidRPr="00BD3549">
        <w:t xml:space="preserve"> in a positive, but not easily quantifiable, manner.  For example, </w:t>
      </w:r>
      <w:r w:rsidR="00986B40" w:rsidRPr="00BD3549">
        <w:t xml:space="preserve">the </w:t>
      </w:r>
      <w:r w:rsidR="008D6A90">
        <w:t xml:space="preserve">NRC </w:t>
      </w:r>
      <w:r w:rsidR="006951A3">
        <w:t xml:space="preserve">staff </w:t>
      </w:r>
      <w:r w:rsidR="008D6A90">
        <w:t>expects that the use of the approved Code Cases would</w:t>
      </w:r>
      <w:r w:rsidRPr="00BD3549">
        <w:t xml:space="preserve"> </w:t>
      </w:r>
      <w:r w:rsidR="00986B40" w:rsidRPr="00BD3549">
        <w:t>result in an</w:t>
      </w:r>
      <w:r w:rsidRPr="00BD3549">
        <w:t xml:space="preserve"> incremental </w:t>
      </w:r>
      <w:r w:rsidR="00986B40" w:rsidRPr="00BD3549">
        <w:t xml:space="preserve">decrease in the likelihood of an accident </w:t>
      </w:r>
      <w:r w:rsidR="003D6083">
        <w:t>and</w:t>
      </w:r>
      <w:r w:rsidR="00986B40" w:rsidRPr="00BD3549">
        <w:t xml:space="preserve"> </w:t>
      </w:r>
      <w:r w:rsidR="008D6A90">
        <w:t>would</w:t>
      </w:r>
      <w:r w:rsidR="00986B40" w:rsidRPr="00BD3549">
        <w:t xml:space="preserve"> </w:t>
      </w:r>
      <w:r w:rsidR="003D6083">
        <w:t>reduce worker radiological exposures</w:t>
      </w:r>
      <w:r w:rsidR="00986B40" w:rsidRPr="00BD3549">
        <w:t xml:space="preserve"> during routine inspections or testing</w:t>
      </w:r>
      <w:r w:rsidRPr="00BD3549">
        <w:t xml:space="preserve"> when compared to the regulatory baseline.</w:t>
      </w:r>
    </w:p>
    <w:p w14:paraId="1903537C" w14:textId="77777777" w:rsidR="003D6083" w:rsidRDefault="003D6083" w:rsidP="00FF0EE8">
      <w:pPr>
        <w:spacing w:line="240" w:lineRule="auto"/>
      </w:pPr>
    </w:p>
    <w:p w14:paraId="2FA68434" w14:textId="15FAFDF0" w:rsidR="003D6083" w:rsidRPr="00BD3549" w:rsidRDefault="003D6083" w:rsidP="00FF0EE8">
      <w:pPr>
        <w:spacing w:line="240" w:lineRule="auto"/>
      </w:pPr>
      <w:r w:rsidRPr="001778F0">
        <w:t xml:space="preserve">The rule </w:t>
      </w:r>
      <w:r>
        <w:t>alternative (alternative</w:t>
      </w:r>
      <w:r w:rsidR="00944210">
        <w:t> </w:t>
      </w:r>
      <w:r>
        <w:t xml:space="preserve">2) </w:t>
      </w:r>
      <w:r w:rsidRPr="001778F0">
        <w:t xml:space="preserve">would allow licensees and applicants to apply </w:t>
      </w:r>
      <w:r w:rsidR="00592C6C" w:rsidRPr="001778F0">
        <w:t xml:space="preserve">voluntarily </w:t>
      </w:r>
      <w:r w:rsidRPr="001778F0">
        <w:t>NRC</w:t>
      </w:r>
      <w:r>
        <w:noBreakHyphen/>
      </w:r>
      <w:r w:rsidRPr="001778F0">
        <w:t>approved Code Cases, sometimes with NRC</w:t>
      </w:r>
      <w:r w:rsidR="00944210">
        <w:noBreakHyphen/>
      </w:r>
      <w:r w:rsidRPr="001778F0">
        <w:t xml:space="preserve">specified conditions.  The </w:t>
      </w:r>
      <w:r w:rsidR="00205DF0">
        <w:t xml:space="preserve">NRC lists the </w:t>
      </w:r>
      <w:r w:rsidRPr="001778F0">
        <w:t xml:space="preserve">approved Code Cases in three </w:t>
      </w:r>
      <w:r w:rsidR="00944210">
        <w:t>RG</w:t>
      </w:r>
      <w:r>
        <w:t>s</w:t>
      </w:r>
      <w:r w:rsidRPr="001778F0">
        <w:t xml:space="preserve"> that are </w:t>
      </w:r>
      <w:r w:rsidR="00126047">
        <w:t xml:space="preserve">incorporated by reference in </w:t>
      </w:r>
      <w:r>
        <w:t>10</w:t>
      </w:r>
      <w:r w:rsidR="00944210">
        <w:t> </w:t>
      </w:r>
      <w:r>
        <w:t>CFR</w:t>
      </w:r>
      <w:r w:rsidR="00944210">
        <w:t> </w:t>
      </w:r>
      <w:r>
        <w:t>50.55a</w:t>
      </w:r>
      <w:r w:rsidR="00B30EAC">
        <w:t>.</w:t>
      </w:r>
    </w:p>
    <w:p w14:paraId="222A95A9" w14:textId="77777777" w:rsidR="00CC4BEA" w:rsidRDefault="00CC4BEA" w:rsidP="00FF0EE8">
      <w:pPr>
        <w:pStyle w:val="Heading2"/>
        <w:keepLines w:val="0"/>
        <w:spacing w:line="240" w:lineRule="auto"/>
        <w:ind w:left="540" w:hanging="522"/>
      </w:pPr>
      <w:bookmarkStart w:id="101" w:name="_Toc462224963"/>
      <w:bookmarkStart w:id="102" w:name="_Toc468875922"/>
      <w:bookmarkStart w:id="103" w:name="_Ref386964349"/>
      <w:r>
        <w:t>Occupational Health (Routine)</w:t>
      </w:r>
      <w:bookmarkEnd w:id="101"/>
      <w:bookmarkEnd w:id="102"/>
    </w:p>
    <w:p w14:paraId="56BC34E8" w14:textId="77777777" w:rsidR="003670A3" w:rsidRDefault="003670A3" w:rsidP="00FF0EE8">
      <w:pPr>
        <w:spacing w:line="240" w:lineRule="auto"/>
      </w:pPr>
    </w:p>
    <w:p w14:paraId="0D46912F" w14:textId="26C5EA8E" w:rsidR="00CC4BEA" w:rsidRDefault="009751F8" w:rsidP="00FF0EE8">
      <w:pPr>
        <w:spacing w:line="240" w:lineRule="auto"/>
      </w:pPr>
      <w:r>
        <w:t>The NRC staff estimates that t</w:t>
      </w:r>
      <w:r w:rsidRPr="009751F8">
        <w:t>he use of ASME Code Cases</w:t>
      </w:r>
      <w:r>
        <w:t xml:space="preserve"> will </w:t>
      </w:r>
      <w:r w:rsidRPr="009751F8">
        <w:t xml:space="preserve">affect occupational health </w:t>
      </w:r>
      <w:r w:rsidR="00205DF0">
        <w:t>as a result of</w:t>
      </w:r>
      <w:r>
        <w:t xml:space="preserve"> radiological</w:t>
      </w:r>
      <w:r w:rsidR="00983876">
        <w:t xml:space="preserve"> exposure</w:t>
      </w:r>
      <w:r w:rsidRPr="009751F8">
        <w:t>.</w:t>
      </w:r>
      <w:r>
        <w:t xml:space="preserve"> </w:t>
      </w:r>
      <w:r w:rsidR="003670A3">
        <w:t xml:space="preserve"> </w:t>
      </w:r>
      <w:r>
        <w:t xml:space="preserve">The Code Cases </w:t>
      </w:r>
      <w:r w:rsidR="00944210">
        <w:t xml:space="preserve">listed in Table 7 </w:t>
      </w:r>
      <w:r>
        <w:t xml:space="preserve">will </w:t>
      </w:r>
      <w:r w:rsidRPr="009751F8">
        <w:t>r</w:t>
      </w:r>
      <w:r>
        <w:t>esult in an incremental increase</w:t>
      </w:r>
      <w:r w:rsidRPr="009751F8">
        <w:t xml:space="preserve"> </w:t>
      </w:r>
      <w:r w:rsidR="00983876">
        <w:t>in worker radiological exposure</w:t>
      </w:r>
      <w:r w:rsidRPr="009751F8">
        <w:t xml:space="preserve"> during routine inspec</w:t>
      </w:r>
      <w:r>
        <w:t xml:space="preserve">tions </w:t>
      </w:r>
      <w:r w:rsidRPr="009751F8">
        <w:t>when compared to the regulatory baseline.</w:t>
      </w:r>
    </w:p>
    <w:p w14:paraId="673C76F0" w14:textId="77777777" w:rsidR="003670A3" w:rsidRDefault="003670A3" w:rsidP="00FF0EE8">
      <w:pPr>
        <w:spacing w:line="240" w:lineRule="auto"/>
      </w:pPr>
    </w:p>
    <w:p w14:paraId="15ABBE3D" w14:textId="0B7FFBF3" w:rsidR="004665EC" w:rsidRPr="00196E28" w:rsidRDefault="004665EC" w:rsidP="00FF0EE8">
      <w:pPr>
        <w:pStyle w:val="Caption"/>
        <w:spacing w:line="240" w:lineRule="auto"/>
        <w:ind w:left="1080" w:hanging="1080"/>
        <w:jc w:val="center"/>
        <w:rPr>
          <w:b/>
        </w:rPr>
      </w:pPr>
      <w:bookmarkStart w:id="104" w:name="_Toc467508496"/>
      <w:bookmarkStart w:id="105" w:name="_Toc462225002"/>
      <w:r w:rsidRPr="00196E28">
        <w:rPr>
          <w:b/>
        </w:rPr>
        <w:t xml:space="preserve">Table </w:t>
      </w:r>
      <w:r w:rsidR="00782423" w:rsidRPr="00196E28">
        <w:rPr>
          <w:b/>
        </w:rPr>
        <w:fldChar w:fldCharType="begin"/>
      </w:r>
      <w:r w:rsidR="00782423" w:rsidRPr="00196E28">
        <w:rPr>
          <w:b/>
        </w:rPr>
        <w:instrText xml:space="preserve"> SEQ Table \* ARABIC </w:instrText>
      </w:r>
      <w:r w:rsidR="00782423" w:rsidRPr="00196E28">
        <w:rPr>
          <w:b/>
        </w:rPr>
        <w:fldChar w:fldCharType="separate"/>
      </w:r>
      <w:r w:rsidR="00FD3AB6">
        <w:rPr>
          <w:b/>
          <w:noProof/>
        </w:rPr>
        <w:t>7</w:t>
      </w:r>
      <w:r w:rsidR="00782423" w:rsidRPr="00196E28">
        <w:rPr>
          <w:b/>
        </w:rPr>
        <w:fldChar w:fldCharType="end"/>
      </w:r>
      <w:r w:rsidR="00944210" w:rsidRPr="00D557C2">
        <w:rPr>
          <w:b/>
        </w:rPr>
        <w:t xml:space="preserve">  </w:t>
      </w:r>
      <w:r w:rsidRPr="00196E28">
        <w:rPr>
          <w:b/>
        </w:rPr>
        <w:t>Occupational Health</w:t>
      </w:r>
      <w:r w:rsidR="001E0395" w:rsidRPr="00196E28">
        <w:rPr>
          <w:b/>
        </w:rPr>
        <w:t xml:space="preserve"> Impacts</w:t>
      </w:r>
      <w:bookmarkEnd w:id="104"/>
      <w:bookmarkEnd w:id="105"/>
    </w:p>
    <w:tbl>
      <w:tblPr>
        <w:tblStyle w:val="TableGrid"/>
        <w:tblW w:w="0" w:type="auto"/>
        <w:jc w:val="center"/>
        <w:tblLayout w:type="fixed"/>
        <w:tblLook w:val="04A0" w:firstRow="1" w:lastRow="0" w:firstColumn="1" w:lastColumn="0" w:noHBand="0" w:noVBand="1"/>
      </w:tblPr>
      <w:tblGrid>
        <w:gridCol w:w="895"/>
        <w:gridCol w:w="1170"/>
        <w:gridCol w:w="1533"/>
        <w:gridCol w:w="1573"/>
        <w:gridCol w:w="1702"/>
        <w:gridCol w:w="1232"/>
        <w:gridCol w:w="1245"/>
      </w:tblGrid>
      <w:tr w:rsidR="00226134" w:rsidRPr="008A5DB1" w14:paraId="28AF307F" w14:textId="3A05C9A4" w:rsidTr="000E324D">
        <w:trPr>
          <w:trHeight w:val="378"/>
          <w:jc w:val="center"/>
        </w:trPr>
        <w:tc>
          <w:tcPr>
            <w:tcW w:w="895" w:type="dxa"/>
            <w:vMerge w:val="restart"/>
            <w:vAlign w:val="center"/>
          </w:tcPr>
          <w:p w14:paraId="78ADF6F5" w14:textId="77777777" w:rsidR="00226134" w:rsidRPr="008A5DB1" w:rsidRDefault="00226134" w:rsidP="00FF0EE8">
            <w:pPr>
              <w:jc w:val="center"/>
              <w:rPr>
                <w:b/>
              </w:rPr>
            </w:pPr>
            <w:r w:rsidRPr="008A5DB1">
              <w:rPr>
                <w:b/>
              </w:rPr>
              <w:t>Code Case</w:t>
            </w:r>
          </w:p>
        </w:tc>
        <w:tc>
          <w:tcPr>
            <w:tcW w:w="1170" w:type="dxa"/>
            <w:vMerge w:val="restart"/>
            <w:vAlign w:val="center"/>
          </w:tcPr>
          <w:p w14:paraId="44E81C2D" w14:textId="66B8546D" w:rsidR="00226134" w:rsidRPr="008A5DB1" w:rsidRDefault="00226134" w:rsidP="00FF0EE8">
            <w:pPr>
              <w:jc w:val="center"/>
              <w:rPr>
                <w:b/>
              </w:rPr>
            </w:pPr>
            <w:r w:rsidRPr="008A5DB1">
              <w:rPr>
                <w:b/>
              </w:rPr>
              <w:t xml:space="preserve">No. of </w:t>
            </w:r>
            <w:r>
              <w:rPr>
                <w:b/>
              </w:rPr>
              <w:t>W</w:t>
            </w:r>
            <w:r w:rsidRPr="008A5DB1">
              <w:rPr>
                <w:b/>
              </w:rPr>
              <w:t>orkers</w:t>
            </w:r>
          </w:p>
        </w:tc>
        <w:tc>
          <w:tcPr>
            <w:tcW w:w="1533" w:type="dxa"/>
            <w:vMerge w:val="restart"/>
            <w:vAlign w:val="center"/>
          </w:tcPr>
          <w:p w14:paraId="178DB7E7" w14:textId="2A0C49EF" w:rsidR="00226134" w:rsidRPr="008A5DB1" w:rsidRDefault="00226134" w:rsidP="00FF0EE8">
            <w:pPr>
              <w:jc w:val="center"/>
              <w:rPr>
                <w:b/>
              </w:rPr>
            </w:pPr>
            <w:r w:rsidRPr="008A5DB1">
              <w:rPr>
                <w:b/>
              </w:rPr>
              <w:t xml:space="preserve">Incremental Dose per </w:t>
            </w:r>
            <w:r>
              <w:rPr>
                <w:b/>
              </w:rPr>
              <w:t>W</w:t>
            </w:r>
            <w:r w:rsidRPr="008A5DB1">
              <w:rPr>
                <w:b/>
              </w:rPr>
              <w:t>orker (mrem)</w:t>
            </w:r>
          </w:p>
        </w:tc>
        <w:tc>
          <w:tcPr>
            <w:tcW w:w="1573" w:type="dxa"/>
            <w:vMerge w:val="restart"/>
            <w:vAlign w:val="center"/>
          </w:tcPr>
          <w:p w14:paraId="32D4CC52" w14:textId="77777777" w:rsidR="00226134" w:rsidRPr="008A5DB1" w:rsidRDefault="00226134" w:rsidP="00FF0EE8">
            <w:pPr>
              <w:jc w:val="center"/>
              <w:rPr>
                <w:b/>
              </w:rPr>
            </w:pPr>
            <w:r w:rsidRPr="008A5DB1">
              <w:rPr>
                <w:b/>
              </w:rPr>
              <w:t>Annual Incremental Dose (mrem)</w:t>
            </w:r>
          </w:p>
        </w:tc>
        <w:tc>
          <w:tcPr>
            <w:tcW w:w="4179" w:type="dxa"/>
            <w:gridSpan w:val="3"/>
          </w:tcPr>
          <w:p w14:paraId="0B1579C4" w14:textId="13DD09A8" w:rsidR="00226134" w:rsidRPr="008A5DB1" w:rsidRDefault="00226134" w:rsidP="00FF0EE8">
            <w:pPr>
              <w:jc w:val="center"/>
              <w:rPr>
                <w:b/>
              </w:rPr>
            </w:pPr>
            <w:r>
              <w:rPr>
                <w:b/>
              </w:rPr>
              <w:t>Cost to Industry (2017 dollars)</w:t>
            </w:r>
          </w:p>
        </w:tc>
      </w:tr>
      <w:tr w:rsidR="00226134" w:rsidRPr="008A5DB1" w14:paraId="7B2DF634" w14:textId="77777777" w:rsidTr="000E324D">
        <w:trPr>
          <w:trHeight w:val="378"/>
          <w:jc w:val="center"/>
        </w:trPr>
        <w:tc>
          <w:tcPr>
            <w:tcW w:w="895" w:type="dxa"/>
            <w:vMerge/>
            <w:vAlign w:val="center"/>
          </w:tcPr>
          <w:p w14:paraId="12C98431" w14:textId="77777777" w:rsidR="00226134" w:rsidRPr="008A5DB1" w:rsidRDefault="00226134" w:rsidP="00FF0EE8">
            <w:pPr>
              <w:jc w:val="center"/>
              <w:rPr>
                <w:b/>
              </w:rPr>
            </w:pPr>
          </w:p>
        </w:tc>
        <w:tc>
          <w:tcPr>
            <w:tcW w:w="1170" w:type="dxa"/>
            <w:vMerge/>
            <w:vAlign w:val="center"/>
          </w:tcPr>
          <w:p w14:paraId="57E109EA" w14:textId="77777777" w:rsidR="00226134" w:rsidRPr="008A5DB1" w:rsidRDefault="00226134" w:rsidP="00FF0EE8">
            <w:pPr>
              <w:jc w:val="center"/>
              <w:rPr>
                <w:b/>
              </w:rPr>
            </w:pPr>
          </w:p>
        </w:tc>
        <w:tc>
          <w:tcPr>
            <w:tcW w:w="1533" w:type="dxa"/>
            <w:vMerge/>
            <w:vAlign w:val="center"/>
          </w:tcPr>
          <w:p w14:paraId="6F464619" w14:textId="77777777" w:rsidR="00226134" w:rsidRPr="008A5DB1" w:rsidRDefault="00226134" w:rsidP="00FF0EE8">
            <w:pPr>
              <w:jc w:val="center"/>
              <w:rPr>
                <w:b/>
              </w:rPr>
            </w:pPr>
          </w:p>
        </w:tc>
        <w:tc>
          <w:tcPr>
            <w:tcW w:w="1573" w:type="dxa"/>
            <w:vMerge/>
            <w:vAlign w:val="center"/>
          </w:tcPr>
          <w:p w14:paraId="75FC2317" w14:textId="77777777" w:rsidR="00226134" w:rsidRPr="008A5DB1" w:rsidRDefault="00226134" w:rsidP="00FF0EE8">
            <w:pPr>
              <w:jc w:val="center"/>
              <w:rPr>
                <w:b/>
              </w:rPr>
            </w:pPr>
          </w:p>
        </w:tc>
        <w:tc>
          <w:tcPr>
            <w:tcW w:w="1702" w:type="dxa"/>
          </w:tcPr>
          <w:p w14:paraId="64DB2CDA" w14:textId="21C81E51" w:rsidR="00226134" w:rsidRPr="008A5DB1" w:rsidRDefault="00226134" w:rsidP="00FF0EE8">
            <w:pPr>
              <w:jc w:val="center"/>
              <w:rPr>
                <w:b/>
              </w:rPr>
            </w:pPr>
            <w:r>
              <w:rPr>
                <w:b/>
              </w:rPr>
              <w:t>Undiscounted</w:t>
            </w:r>
          </w:p>
        </w:tc>
        <w:tc>
          <w:tcPr>
            <w:tcW w:w="1232" w:type="dxa"/>
          </w:tcPr>
          <w:p w14:paraId="47549F01" w14:textId="153FCA51" w:rsidR="00226134" w:rsidRPr="008A5DB1" w:rsidRDefault="00226134" w:rsidP="00FF0EE8">
            <w:pPr>
              <w:jc w:val="center"/>
              <w:rPr>
                <w:b/>
              </w:rPr>
            </w:pPr>
            <w:r>
              <w:rPr>
                <w:b/>
              </w:rPr>
              <w:t>7% NPV</w:t>
            </w:r>
          </w:p>
        </w:tc>
        <w:tc>
          <w:tcPr>
            <w:tcW w:w="1245" w:type="dxa"/>
          </w:tcPr>
          <w:p w14:paraId="1464D437" w14:textId="21EB73AD" w:rsidR="00226134" w:rsidRPr="008A5DB1" w:rsidRDefault="00226134" w:rsidP="00FF0EE8">
            <w:pPr>
              <w:jc w:val="center"/>
              <w:rPr>
                <w:b/>
              </w:rPr>
            </w:pPr>
            <w:r>
              <w:rPr>
                <w:b/>
              </w:rPr>
              <w:t>3% NPV</w:t>
            </w:r>
          </w:p>
        </w:tc>
      </w:tr>
      <w:tr w:rsidR="00226134" w14:paraId="3A114E08" w14:textId="51ECF7DE" w:rsidTr="000E324D">
        <w:trPr>
          <w:jc w:val="center"/>
        </w:trPr>
        <w:tc>
          <w:tcPr>
            <w:tcW w:w="895" w:type="dxa"/>
            <w:vAlign w:val="center"/>
          </w:tcPr>
          <w:p w14:paraId="63E42F48" w14:textId="77777777" w:rsidR="00226134" w:rsidRDefault="00226134" w:rsidP="00FF0EE8">
            <w:pPr>
              <w:jc w:val="center"/>
            </w:pPr>
            <w:r>
              <w:t>N-638</w:t>
            </w:r>
          </w:p>
        </w:tc>
        <w:tc>
          <w:tcPr>
            <w:tcW w:w="1170" w:type="dxa"/>
            <w:vAlign w:val="center"/>
          </w:tcPr>
          <w:p w14:paraId="43F6D15F" w14:textId="77777777" w:rsidR="00226134" w:rsidRDefault="00226134" w:rsidP="00FF0EE8">
            <w:pPr>
              <w:jc w:val="center"/>
            </w:pPr>
            <w:r>
              <w:t>2</w:t>
            </w:r>
          </w:p>
        </w:tc>
        <w:tc>
          <w:tcPr>
            <w:tcW w:w="1533" w:type="dxa"/>
            <w:vAlign w:val="center"/>
          </w:tcPr>
          <w:p w14:paraId="6ECAF8C9" w14:textId="77777777" w:rsidR="00226134" w:rsidRDefault="00226134" w:rsidP="00FF0EE8">
            <w:pPr>
              <w:jc w:val="center"/>
            </w:pPr>
            <w:r>
              <w:t>25</w:t>
            </w:r>
          </w:p>
        </w:tc>
        <w:tc>
          <w:tcPr>
            <w:tcW w:w="1573" w:type="dxa"/>
            <w:vAlign w:val="center"/>
          </w:tcPr>
          <w:p w14:paraId="7BB71799" w14:textId="77777777" w:rsidR="00226134" w:rsidRDefault="00226134" w:rsidP="00FF0EE8">
            <w:pPr>
              <w:jc w:val="center"/>
            </w:pPr>
            <w:r>
              <w:t>50</w:t>
            </w:r>
          </w:p>
        </w:tc>
        <w:tc>
          <w:tcPr>
            <w:tcW w:w="1702" w:type="dxa"/>
          </w:tcPr>
          <w:p w14:paraId="7E99E098" w14:textId="4E936C96" w:rsidR="00226134" w:rsidRDefault="00FF419A" w:rsidP="00FF0EE8">
            <w:pPr>
              <w:jc w:val="center"/>
            </w:pPr>
            <w:r>
              <w:t>($49,514)</w:t>
            </w:r>
          </w:p>
        </w:tc>
        <w:tc>
          <w:tcPr>
            <w:tcW w:w="1232" w:type="dxa"/>
          </w:tcPr>
          <w:p w14:paraId="62CE0FAA" w14:textId="08B9A145" w:rsidR="00226134" w:rsidRDefault="00FF419A" w:rsidP="00FF0EE8">
            <w:pPr>
              <w:jc w:val="center"/>
            </w:pPr>
            <w:r>
              <w:t>($37,981)</w:t>
            </w:r>
          </w:p>
        </w:tc>
        <w:tc>
          <w:tcPr>
            <w:tcW w:w="1245" w:type="dxa"/>
          </w:tcPr>
          <w:p w14:paraId="0AEDEB2D" w14:textId="546C8152" w:rsidR="00226134" w:rsidRDefault="00FF419A" w:rsidP="00FF0EE8">
            <w:pPr>
              <w:jc w:val="center"/>
            </w:pPr>
            <w:r>
              <w:t>($44,045)</w:t>
            </w:r>
          </w:p>
        </w:tc>
      </w:tr>
      <w:tr w:rsidR="00226134" w14:paraId="250515E9" w14:textId="6463C38F" w:rsidTr="000E324D">
        <w:trPr>
          <w:jc w:val="center"/>
        </w:trPr>
        <w:tc>
          <w:tcPr>
            <w:tcW w:w="895" w:type="dxa"/>
            <w:vAlign w:val="center"/>
          </w:tcPr>
          <w:p w14:paraId="44EB4FB7" w14:textId="77777777" w:rsidR="00226134" w:rsidRDefault="00226134" w:rsidP="00FF0EE8">
            <w:pPr>
              <w:jc w:val="center"/>
            </w:pPr>
            <w:r>
              <w:t>N-789</w:t>
            </w:r>
          </w:p>
        </w:tc>
        <w:tc>
          <w:tcPr>
            <w:tcW w:w="1170" w:type="dxa"/>
            <w:vAlign w:val="center"/>
          </w:tcPr>
          <w:p w14:paraId="125DEBE9" w14:textId="77777777" w:rsidR="00226134" w:rsidRDefault="00226134" w:rsidP="00FF0EE8">
            <w:pPr>
              <w:jc w:val="center"/>
            </w:pPr>
            <w:r>
              <w:t>2</w:t>
            </w:r>
          </w:p>
        </w:tc>
        <w:tc>
          <w:tcPr>
            <w:tcW w:w="1533" w:type="dxa"/>
            <w:vAlign w:val="center"/>
          </w:tcPr>
          <w:p w14:paraId="3830079C" w14:textId="77777777" w:rsidR="00226134" w:rsidRDefault="00226134" w:rsidP="00FF0EE8">
            <w:pPr>
              <w:jc w:val="center"/>
            </w:pPr>
            <w:r>
              <w:t>25</w:t>
            </w:r>
          </w:p>
        </w:tc>
        <w:tc>
          <w:tcPr>
            <w:tcW w:w="1573" w:type="dxa"/>
            <w:vAlign w:val="center"/>
          </w:tcPr>
          <w:p w14:paraId="25A0CDD4" w14:textId="77777777" w:rsidR="00226134" w:rsidRDefault="00226134" w:rsidP="00FF0EE8">
            <w:pPr>
              <w:jc w:val="center"/>
            </w:pPr>
            <w:r>
              <w:t>50</w:t>
            </w:r>
          </w:p>
        </w:tc>
        <w:tc>
          <w:tcPr>
            <w:tcW w:w="1702" w:type="dxa"/>
          </w:tcPr>
          <w:p w14:paraId="69D3F503" w14:textId="231F6958" w:rsidR="00226134" w:rsidRDefault="00FF419A" w:rsidP="00FF0EE8">
            <w:pPr>
              <w:jc w:val="center"/>
            </w:pPr>
            <w:r>
              <w:t>($96,667)</w:t>
            </w:r>
          </w:p>
        </w:tc>
        <w:tc>
          <w:tcPr>
            <w:tcW w:w="1232" w:type="dxa"/>
          </w:tcPr>
          <w:p w14:paraId="12691D47" w14:textId="07190DFF" w:rsidR="00226134" w:rsidRDefault="00FF419A" w:rsidP="00FF0EE8">
            <w:pPr>
              <w:jc w:val="center"/>
            </w:pPr>
            <w:r>
              <w:t>($74,085)</w:t>
            </w:r>
          </w:p>
        </w:tc>
        <w:tc>
          <w:tcPr>
            <w:tcW w:w="1245" w:type="dxa"/>
          </w:tcPr>
          <w:p w14:paraId="62523737" w14:textId="673A9C84" w:rsidR="00226134" w:rsidRDefault="00FF419A" w:rsidP="00FF0EE8">
            <w:pPr>
              <w:jc w:val="center"/>
            </w:pPr>
            <w:r>
              <w:t>($85,962)</w:t>
            </w:r>
          </w:p>
        </w:tc>
      </w:tr>
      <w:tr w:rsidR="00226134" w14:paraId="580F132F" w14:textId="071D12E6" w:rsidTr="000E324D">
        <w:trPr>
          <w:jc w:val="center"/>
        </w:trPr>
        <w:tc>
          <w:tcPr>
            <w:tcW w:w="895" w:type="dxa"/>
            <w:vAlign w:val="center"/>
          </w:tcPr>
          <w:p w14:paraId="4F264198" w14:textId="77777777" w:rsidR="00226134" w:rsidRDefault="00226134" w:rsidP="00FF0EE8">
            <w:pPr>
              <w:jc w:val="center"/>
            </w:pPr>
            <w:r>
              <w:t>N-799</w:t>
            </w:r>
          </w:p>
        </w:tc>
        <w:tc>
          <w:tcPr>
            <w:tcW w:w="1170" w:type="dxa"/>
            <w:vAlign w:val="center"/>
          </w:tcPr>
          <w:p w14:paraId="09AF35AB" w14:textId="77777777" w:rsidR="00226134" w:rsidRDefault="00226134" w:rsidP="00FF0EE8">
            <w:pPr>
              <w:jc w:val="center"/>
            </w:pPr>
            <w:r>
              <w:t>2</w:t>
            </w:r>
          </w:p>
        </w:tc>
        <w:tc>
          <w:tcPr>
            <w:tcW w:w="1533" w:type="dxa"/>
            <w:vAlign w:val="center"/>
          </w:tcPr>
          <w:p w14:paraId="21AAA59C" w14:textId="77777777" w:rsidR="00226134" w:rsidRDefault="00226134" w:rsidP="00FF0EE8">
            <w:pPr>
              <w:jc w:val="center"/>
            </w:pPr>
            <w:r>
              <w:t>25</w:t>
            </w:r>
          </w:p>
        </w:tc>
        <w:tc>
          <w:tcPr>
            <w:tcW w:w="1573" w:type="dxa"/>
            <w:vAlign w:val="center"/>
          </w:tcPr>
          <w:p w14:paraId="2AA005E6" w14:textId="77777777" w:rsidR="00226134" w:rsidRDefault="00226134" w:rsidP="00FF0EE8">
            <w:pPr>
              <w:jc w:val="center"/>
            </w:pPr>
            <w:r>
              <w:t>50</w:t>
            </w:r>
          </w:p>
        </w:tc>
        <w:tc>
          <w:tcPr>
            <w:tcW w:w="1702" w:type="dxa"/>
          </w:tcPr>
          <w:p w14:paraId="4C36B478" w14:textId="6C4642AC" w:rsidR="00226134" w:rsidRDefault="00FF419A" w:rsidP="00FF0EE8">
            <w:pPr>
              <w:jc w:val="center"/>
            </w:pPr>
            <w:r>
              <w:t>($250)</w:t>
            </w:r>
          </w:p>
        </w:tc>
        <w:tc>
          <w:tcPr>
            <w:tcW w:w="1232" w:type="dxa"/>
          </w:tcPr>
          <w:p w14:paraId="1C32DFD1" w14:textId="5E78A689" w:rsidR="00226134" w:rsidRDefault="00FF419A" w:rsidP="00FF0EE8">
            <w:pPr>
              <w:jc w:val="center"/>
            </w:pPr>
            <w:r>
              <w:t>($192)</w:t>
            </w:r>
          </w:p>
        </w:tc>
        <w:tc>
          <w:tcPr>
            <w:tcW w:w="1245" w:type="dxa"/>
          </w:tcPr>
          <w:p w14:paraId="016AB3D6" w14:textId="5599BEE5" w:rsidR="00226134" w:rsidRDefault="00FF419A" w:rsidP="00FF0EE8">
            <w:pPr>
              <w:jc w:val="center"/>
            </w:pPr>
            <w:r>
              <w:t>($222)</w:t>
            </w:r>
          </w:p>
        </w:tc>
      </w:tr>
      <w:tr w:rsidR="00955C07" w14:paraId="074C2839" w14:textId="77777777" w:rsidTr="00DF416A">
        <w:trPr>
          <w:jc w:val="center"/>
        </w:trPr>
        <w:tc>
          <w:tcPr>
            <w:tcW w:w="5171" w:type="dxa"/>
            <w:gridSpan w:val="4"/>
            <w:vAlign w:val="center"/>
          </w:tcPr>
          <w:p w14:paraId="7BCD4823" w14:textId="44F6F96E" w:rsidR="00955C07" w:rsidRPr="00955C07" w:rsidRDefault="00955C07" w:rsidP="00955C07">
            <w:pPr>
              <w:jc w:val="right"/>
              <w:rPr>
                <w:b/>
              </w:rPr>
            </w:pPr>
            <w:r w:rsidRPr="00955C07">
              <w:rPr>
                <w:b/>
              </w:rPr>
              <w:t>Total Cost</w:t>
            </w:r>
          </w:p>
        </w:tc>
        <w:tc>
          <w:tcPr>
            <w:tcW w:w="1702" w:type="dxa"/>
          </w:tcPr>
          <w:p w14:paraId="0D555983" w14:textId="0E535032" w:rsidR="00955C07" w:rsidRPr="00955C07" w:rsidRDefault="00955C07" w:rsidP="00FF0EE8">
            <w:pPr>
              <w:jc w:val="center"/>
              <w:rPr>
                <w:sz w:val="20"/>
                <w:szCs w:val="20"/>
              </w:rPr>
            </w:pPr>
            <w:r w:rsidRPr="00955C07">
              <w:rPr>
                <w:sz w:val="20"/>
                <w:szCs w:val="20"/>
              </w:rPr>
              <w:t>($146,000)</w:t>
            </w:r>
          </w:p>
        </w:tc>
        <w:tc>
          <w:tcPr>
            <w:tcW w:w="1232" w:type="dxa"/>
          </w:tcPr>
          <w:p w14:paraId="1E57A546" w14:textId="2D38575F" w:rsidR="00955C07" w:rsidRPr="00955C07" w:rsidRDefault="00955C07" w:rsidP="00FF0EE8">
            <w:pPr>
              <w:jc w:val="center"/>
              <w:rPr>
                <w:sz w:val="20"/>
                <w:szCs w:val="20"/>
              </w:rPr>
            </w:pPr>
            <w:r w:rsidRPr="00955C07">
              <w:rPr>
                <w:sz w:val="20"/>
                <w:szCs w:val="20"/>
              </w:rPr>
              <w:t>($112,000)</w:t>
            </w:r>
          </w:p>
        </w:tc>
        <w:tc>
          <w:tcPr>
            <w:tcW w:w="1245" w:type="dxa"/>
          </w:tcPr>
          <w:p w14:paraId="236C2820" w14:textId="657C9CBE" w:rsidR="00955C07" w:rsidRPr="00955C07" w:rsidRDefault="00955C07" w:rsidP="00FF0EE8">
            <w:pPr>
              <w:jc w:val="center"/>
              <w:rPr>
                <w:sz w:val="20"/>
                <w:szCs w:val="20"/>
              </w:rPr>
            </w:pPr>
            <w:r w:rsidRPr="00955C07">
              <w:rPr>
                <w:sz w:val="20"/>
                <w:szCs w:val="20"/>
              </w:rPr>
              <w:t>($130,000)</w:t>
            </w:r>
          </w:p>
        </w:tc>
      </w:tr>
    </w:tbl>
    <w:p w14:paraId="555FC89E" w14:textId="77777777" w:rsidR="00E4563C" w:rsidRDefault="00E4563C" w:rsidP="00FF0EE8">
      <w:pPr>
        <w:spacing w:line="240" w:lineRule="auto"/>
      </w:pPr>
    </w:p>
    <w:p w14:paraId="56A0275E" w14:textId="2EC48CFF" w:rsidR="00610CB7" w:rsidRDefault="00E24A52" w:rsidP="00FF0EE8">
      <w:pPr>
        <w:spacing w:line="240" w:lineRule="auto"/>
      </w:pPr>
      <w:r>
        <w:t xml:space="preserve">This </w:t>
      </w:r>
      <w:r w:rsidR="00944210">
        <w:t>incremental increase</w:t>
      </w:r>
      <w:r w:rsidR="00944210" w:rsidRPr="009751F8">
        <w:t xml:space="preserve"> </w:t>
      </w:r>
      <w:r w:rsidR="00944210">
        <w:t xml:space="preserve">in worker radiological exposure </w:t>
      </w:r>
      <w:r w:rsidR="00006418">
        <w:t>results from the performance of</w:t>
      </w:r>
      <w:r>
        <w:t xml:space="preserve"> ISI </w:t>
      </w:r>
      <w:r w:rsidRPr="00F56ABA">
        <w:t>relate</w:t>
      </w:r>
      <w:r w:rsidR="00006418" w:rsidRPr="00F56ABA">
        <w:t>d</w:t>
      </w:r>
      <w:r w:rsidRPr="00F56ABA">
        <w:t xml:space="preserve"> to the </w:t>
      </w:r>
      <w:r w:rsidR="00600A77" w:rsidRPr="00F56ABA">
        <w:t>additional</w:t>
      </w:r>
      <w:r w:rsidR="00983876" w:rsidRPr="00F56ABA">
        <w:t xml:space="preserve"> </w:t>
      </w:r>
      <w:r w:rsidRPr="00F56ABA">
        <w:t>weld examinations and inspection of the pressure pads</w:t>
      </w:r>
      <w:r w:rsidR="00944210" w:rsidRPr="00F56ABA">
        <w:t xml:space="preserve"> </w:t>
      </w:r>
      <w:r w:rsidR="00006418" w:rsidRPr="00F56ABA">
        <w:t>called for by</w:t>
      </w:r>
      <w:r w:rsidR="00983876" w:rsidRPr="00F56ABA">
        <w:t xml:space="preserve"> the imposed conditions of the Code Cases</w:t>
      </w:r>
      <w:r w:rsidRPr="00F56ABA">
        <w:t>.</w:t>
      </w:r>
      <w:r w:rsidR="009751F8" w:rsidRPr="00F56ABA">
        <w:t xml:space="preserve"> </w:t>
      </w:r>
      <w:r w:rsidR="006951A3" w:rsidRPr="00F56ABA">
        <w:t xml:space="preserve"> </w:t>
      </w:r>
      <w:r w:rsidR="009751F8" w:rsidRPr="00F56ABA">
        <w:t xml:space="preserve">Consequently, </w:t>
      </w:r>
      <w:r w:rsidR="00006418" w:rsidRPr="00F56ABA">
        <w:t xml:space="preserve">the </w:t>
      </w:r>
      <w:r w:rsidR="009751F8" w:rsidRPr="00F56ABA">
        <w:t xml:space="preserve">industry would incur a total cost that ranges from </w:t>
      </w:r>
      <w:r w:rsidR="00983876" w:rsidRPr="00F56ABA">
        <w:t>(</w:t>
      </w:r>
      <w:r w:rsidR="009751F8" w:rsidRPr="00F56ABA">
        <w:t>$</w:t>
      </w:r>
      <w:r w:rsidR="002B43B1" w:rsidRPr="00F56ABA">
        <w:t>112</w:t>
      </w:r>
      <w:r w:rsidR="00983876" w:rsidRPr="00F56ABA">
        <w:t>,000)</w:t>
      </w:r>
      <w:r w:rsidR="009751F8" w:rsidRPr="00F56ABA">
        <w:t xml:space="preserve"> </w:t>
      </w:r>
      <w:r w:rsidR="00056B30" w:rsidRPr="00F56ABA">
        <w:t>using a 7</w:t>
      </w:r>
      <w:r w:rsidR="00944210" w:rsidRPr="00F56ABA">
        <w:noBreakHyphen/>
      </w:r>
      <w:r w:rsidR="00056B30" w:rsidRPr="00F56ABA">
        <w:t>percent discount rate</w:t>
      </w:r>
      <w:r w:rsidR="009751F8" w:rsidRPr="00F56ABA">
        <w:t xml:space="preserve"> to </w:t>
      </w:r>
      <w:r w:rsidR="00983876" w:rsidRPr="00F56ABA">
        <w:t>(</w:t>
      </w:r>
      <w:r w:rsidR="009751F8" w:rsidRPr="00F56ABA">
        <w:t>$</w:t>
      </w:r>
      <w:r w:rsidR="002B43B1" w:rsidRPr="00F56ABA">
        <w:t>130</w:t>
      </w:r>
      <w:r w:rsidR="00983876" w:rsidRPr="00F56ABA">
        <w:t>,000)</w:t>
      </w:r>
      <w:r w:rsidR="00056B30" w:rsidRPr="00F56ABA">
        <w:t xml:space="preserve"> using a 3</w:t>
      </w:r>
      <w:r w:rsidR="00944210" w:rsidRPr="00F56ABA">
        <w:noBreakHyphen/>
      </w:r>
      <w:r w:rsidR="00056B30" w:rsidRPr="00F56ABA">
        <w:t>percent discount rate</w:t>
      </w:r>
      <w:r w:rsidR="009751F8" w:rsidRPr="00F56ABA">
        <w:t>.</w:t>
      </w:r>
      <w:r w:rsidR="00983876" w:rsidRPr="00F56ABA">
        <w:t xml:space="preserve"> </w:t>
      </w:r>
      <w:r w:rsidR="006951A3" w:rsidRPr="00F56ABA">
        <w:t xml:space="preserve"> </w:t>
      </w:r>
      <w:r w:rsidR="00983876" w:rsidRPr="00F56ABA">
        <w:t xml:space="preserve">The cost </w:t>
      </w:r>
      <w:r w:rsidR="008A5DB1" w:rsidRPr="00F56ABA">
        <w:t>incurred</w:t>
      </w:r>
      <w:r w:rsidR="00983876" w:rsidRPr="00F56ABA">
        <w:t xml:space="preserve"> is </w:t>
      </w:r>
      <w:r w:rsidR="00AA724B" w:rsidRPr="00F56ABA">
        <w:t xml:space="preserve">calculated </w:t>
      </w:r>
      <w:r w:rsidR="00983876" w:rsidRPr="00F56ABA">
        <w:t xml:space="preserve">based on the </w:t>
      </w:r>
      <w:r w:rsidR="00E35259" w:rsidRPr="00F56ABA">
        <w:t>current</w:t>
      </w:r>
      <w:r w:rsidR="00983876" w:rsidRPr="00F56ABA">
        <w:t xml:space="preserve"> dollar per person</w:t>
      </w:r>
      <w:r w:rsidR="00647934" w:rsidRPr="00F56ABA">
        <w:noBreakHyphen/>
      </w:r>
      <w:r w:rsidR="006951A3" w:rsidRPr="00F56ABA">
        <w:t>rem value of $</w:t>
      </w:r>
      <w:r w:rsidR="00E35259" w:rsidRPr="00F56ABA">
        <w:t>2,000</w:t>
      </w:r>
      <w:r w:rsidR="00983876" w:rsidRPr="00F56ABA">
        <w:t>.</w:t>
      </w:r>
      <w:r w:rsidR="00E35259" w:rsidRPr="00F56ABA">
        <w:t xml:space="preserve">  If the proposed dollar per person</w:t>
      </w:r>
      <w:r w:rsidR="00647934" w:rsidRPr="00F56ABA">
        <w:noBreakHyphen/>
      </w:r>
      <w:r w:rsidR="00E35259" w:rsidRPr="00F56ABA">
        <w:t xml:space="preserve">rem values of </w:t>
      </w:r>
      <w:r w:rsidR="00E35259" w:rsidRPr="00F56ABA">
        <w:fldChar w:fldCharType="begin"/>
      </w:r>
      <w:r w:rsidR="00E35259" w:rsidRPr="00F56ABA">
        <w:instrText xml:space="preserve"> REF _Ref462056571 \h </w:instrText>
      </w:r>
      <w:r w:rsidR="00C47FDA" w:rsidRPr="00F56ABA">
        <w:instrText xml:space="preserve"> \* MERGEFORMAT </w:instrText>
      </w:r>
      <w:r w:rsidR="00E35259" w:rsidRPr="00F56ABA">
        <w:fldChar w:fldCharType="separate"/>
      </w:r>
      <w:r w:rsidR="00FD3AB6" w:rsidRPr="00FD3AB6">
        <w:t xml:space="preserve">Table </w:t>
      </w:r>
      <w:r w:rsidR="00FD3AB6" w:rsidRPr="00FD3AB6">
        <w:rPr>
          <w:noProof/>
        </w:rPr>
        <w:t>3</w:t>
      </w:r>
      <w:r w:rsidR="00E35259" w:rsidRPr="00F56ABA">
        <w:fldChar w:fldCharType="end"/>
      </w:r>
      <w:r w:rsidR="00E35259" w:rsidRPr="00F56ABA">
        <w:t xml:space="preserve"> are established, the cost to ind</w:t>
      </w:r>
      <w:r w:rsidR="002B43B1" w:rsidRPr="00F56ABA">
        <w:t>ustry would instead be ($296,000</w:t>
      </w:r>
      <w:r w:rsidR="00E35259" w:rsidRPr="00F56ABA">
        <w:t>) using a 7</w:t>
      </w:r>
      <w:r w:rsidR="00647934" w:rsidRPr="00F56ABA">
        <w:noBreakHyphen/>
      </w:r>
      <w:r w:rsidR="00E35259" w:rsidRPr="00F56ABA">
        <w:t>per</w:t>
      </w:r>
      <w:r w:rsidR="002B43B1" w:rsidRPr="00F56ABA">
        <w:t>cent discount rate and ($343,000</w:t>
      </w:r>
      <w:r w:rsidR="00E35259" w:rsidRPr="00F56ABA">
        <w:t>) using a 3</w:t>
      </w:r>
      <w:r w:rsidR="00647934" w:rsidRPr="00F56ABA">
        <w:noBreakHyphen/>
      </w:r>
      <w:r w:rsidR="00E35259" w:rsidRPr="00F56ABA">
        <w:t>percent discount rate</w:t>
      </w:r>
      <w:r w:rsidR="00056B30" w:rsidRPr="00F56ABA">
        <w:t>.</w:t>
      </w:r>
      <w:r w:rsidR="00955C07">
        <w:t xml:space="preserve"> </w:t>
      </w:r>
      <w:r w:rsidR="00C30796">
        <w:t>Therefore, using the proposed dollar per person-rem values has minimal impact on the overall cost of these Code Cases and on the overall cost-beneficial characterization of this final rule.</w:t>
      </w:r>
    </w:p>
    <w:p w14:paraId="59133669" w14:textId="1796318F" w:rsidR="00F03BBC" w:rsidRPr="00BD3549" w:rsidRDefault="00F03BBC" w:rsidP="00FF0EE8">
      <w:pPr>
        <w:pStyle w:val="Heading2"/>
        <w:spacing w:line="240" w:lineRule="auto"/>
        <w:ind w:left="540" w:hanging="522"/>
      </w:pPr>
      <w:bookmarkStart w:id="106" w:name="_Ref435768557"/>
      <w:bookmarkStart w:id="107" w:name="_Toc462224964"/>
      <w:bookmarkStart w:id="108" w:name="_Toc468875923"/>
      <w:r>
        <w:t>Onsite Property</w:t>
      </w:r>
      <w:r w:rsidR="003670A3">
        <w:t>—</w:t>
      </w:r>
      <w:r>
        <w:t>Power Replacement</w:t>
      </w:r>
      <w:bookmarkEnd w:id="106"/>
      <w:bookmarkEnd w:id="107"/>
      <w:bookmarkEnd w:id="108"/>
    </w:p>
    <w:p w14:paraId="511B3E3F" w14:textId="77777777" w:rsidR="00F03BBC" w:rsidRPr="00BD3549" w:rsidRDefault="00F03BBC" w:rsidP="00FF0EE8">
      <w:pPr>
        <w:keepNext/>
        <w:spacing w:line="240" w:lineRule="auto"/>
      </w:pPr>
    </w:p>
    <w:p w14:paraId="1D2FEA81" w14:textId="2C27668B" w:rsidR="00C613D9" w:rsidRDefault="00487D7C" w:rsidP="00FF0EE8">
      <w:pPr>
        <w:spacing w:line="240" w:lineRule="auto"/>
      </w:pPr>
      <w:r>
        <w:t xml:space="preserve">For Code Case 795, the NRC requires that the hold times after reaching the test conditions </w:t>
      </w:r>
      <w:r w:rsidR="009009C8">
        <w:t xml:space="preserve">during plant startup </w:t>
      </w:r>
      <w:r>
        <w:t>must be</w:t>
      </w:r>
      <w:r w:rsidR="00C613D9">
        <w:t xml:space="preserve"> </w:t>
      </w:r>
      <w:r w:rsidR="00BB7E3D">
        <w:t xml:space="preserve">one </w:t>
      </w:r>
      <w:r>
        <w:t>hour for noninsulated components</w:t>
      </w:r>
      <w:r w:rsidR="00C613D9">
        <w:t xml:space="preserve">, </w:t>
      </w:r>
      <w:r w:rsidR="00C613D9">
        <w:rPr>
          <w:noProof/>
        </w:rPr>
        <w:t>which is 45</w:t>
      </w:r>
      <w:r w:rsidR="00647934">
        <w:rPr>
          <w:noProof/>
        </w:rPr>
        <w:t> </w:t>
      </w:r>
      <w:r w:rsidR="00C613D9">
        <w:rPr>
          <w:noProof/>
        </w:rPr>
        <w:t xml:space="preserve">minutes </w:t>
      </w:r>
      <w:r w:rsidR="00C613D9" w:rsidRPr="00064C5C">
        <w:rPr>
          <w:noProof/>
        </w:rPr>
        <w:t xml:space="preserve">longer than </w:t>
      </w:r>
      <w:r w:rsidR="00C613D9">
        <w:rPr>
          <w:noProof/>
        </w:rPr>
        <w:t xml:space="preserve">that </w:t>
      </w:r>
      <w:r w:rsidR="00C613D9" w:rsidRPr="00064C5C">
        <w:rPr>
          <w:noProof/>
        </w:rPr>
        <w:t xml:space="preserve">required by the </w:t>
      </w:r>
      <w:r w:rsidR="00C613D9">
        <w:rPr>
          <w:noProof/>
        </w:rPr>
        <w:t xml:space="preserve">current </w:t>
      </w:r>
      <w:r w:rsidR="00C613D9" w:rsidRPr="00064C5C">
        <w:rPr>
          <w:noProof/>
        </w:rPr>
        <w:t xml:space="preserve">Code Case. </w:t>
      </w:r>
      <w:r w:rsidR="00C613D9">
        <w:rPr>
          <w:noProof/>
        </w:rPr>
        <w:t xml:space="preserve"> </w:t>
      </w:r>
      <w:r w:rsidR="00C613D9" w:rsidRPr="00064C5C">
        <w:rPr>
          <w:noProof/>
        </w:rPr>
        <w:t>The pressure test is a</w:t>
      </w:r>
      <w:r w:rsidR="00C613D9">
        <w:rPr>
          <w:noProof/>
        </w:rPr>
        <w:t>n outage</w:t>
      </w:r>
      <w:r w:rsidR="00C613D9" w:rsidRPr="00064C5C">
        <w:rPr>
          <w:noProof/>
        </w:rPr>
        <w:t xml:space="preserve"> critical</w:t>
      </w:r>
      <w:r w:rsidR="00647934">
        <w:rPr>
          <w:noProof/>
        </w:rPr>
        <w:noBreakHyphen/>
      </w:r>
      <w:r w:rsidR="00C613D9" w:rsidRPr="00064C5C">
        <w:rPr>
          <w:noProof/>
        </w:rPr>
        <w:t>path item</w:t>
      </w:r>
      <w:r w:rsidR="009009C8">
        <w:rPr>
          <w:noProof/>
        </w:rPr>
        <w:t xml:space="preserve"> </w:t>
      </w:r>
      <w:r w:rsidR="00647934">
        <w:rPr>
          <w:noProof/>
        </w:rPr>
        <w:t>because</w:t>
      </w:r>
      <w:r w:rsidR="009009C8">
        <w:rPr>
          <w:noProof/>
        </w:rPr>
        <w:t xml:space="preserve"> it occurs during startup</w:t>
      </w:r>
      <w:r w:rsidR="00C613D9" w:rsidRPr="00064C5C">
        <w:rPr>
          <w:noProof/>
        </w:rPr>
        <w:t>;</w:t>
      </w:r>
      <w:r w:rsidR="00C613D9">
        <w:rPr>
          <w:noProof/>
        </w:rPr>
        <w:t xml:space="preserve"> </w:t>
      </w:r>
      <w:r w:rsidR="00C613D9" w:rsidRPr="00064C5C">
        <w:rPr>
          <w:noProof/>
        </w:rPr>
        <w:t xml:space="preserve">therefore, extending the pressure test time will extend the </w:t>
      </w:r>
      <w:r w:rsidR="00C613D9">
        <w:rPr>
          <w:noProof/>
        </w:rPr>
        <w:t>outage to perform the test of the</w:t>
      </w:r>
      <w:r w:rsidR="00C613D9" w:rsidRPr="00064C5C">
        <w:rPr>
          <w:noProof/>
        </w:rPr>
        <w:t xml:space="preserve"> repair</w:t>
      </w:r>
      <w:r w:rsidR="00C613D9">
        <w:rPr>
          <w:noProof/>
        </w:rPr>
        <w:t>ed</w:t>
      </w:r>
      <w:r w:rsidR="00C613D9" w:rsidRPr="00064C5C">
        <w:rPr>
          <w:noProof/>
        </w:rPr>
        <w:t xml:space="preserve"> or</w:t>
      </w:r>
      <w:r w:rsidR="00C613D9">
        <w:rPr>
          <w:noProof/>
        </w:rPr>
        <w:t xml:space="preserve"> </w:t>
      </w:r>
      <w:r w:rsidR="00C613D9" w:rsidRPr="00064C5C">
        <w:rPr>
          <w:noProof/>
        </w:rPr>
        <w:t>replace</w:t>
      </w:r>
      <w:r w:rsidR="00C613D9">
        <w:rPr>
          <w:noProof/>
        </w:rPr>
        <w:t>d components</w:t>
      </w:r>
      <w:r w:rsidR="00C613D9" w:rsidRPr="00064C5C">
        <w:rPr>
          <w:noProof/>
        </w:rPr>
        <w:t xml:space="preserve">. </w:t>
      </w:r>
      <w:r w:rsidR="00C613D9">
        <w:rPr>
          <w:noProof/>
        </w:rPr>
        <w:t xml:space="preserve"> The NRC staff estimates</w:t>
      </w:r>
      <w:r w:rsidR="00C613D9" w:rsidRPr="00064C5C">
        <w:rPr>
          <w:noProof/>
        </w:rPr>
        <w:t xml:space="preserve"> that this </w:t>
      </w:r>
      <w:r w:rsidR="00C613D9">
        <w:rPr>
          <w:noProof/>
        </w:rPr>
        <w:t>requirement will add 45</w:t>
      </w:r>
      <w:r w:rsidR="00647934">
        <w:rPr>
          <w:noProof/>
        </w:rPr>
        <w:t> </w:t>
      </w:r>
      <w:r w:rsidR="00C613D9">
        <w:rPr>
          <w:noProof/>
        </w:rPr>
        <w:t>minutes</w:t>
      </w:r>
      <w:r w:rsidR="00C613D9" w:rsidRPr="00064C5C">
        <w:rPr>
          <w:noProof/>
        </w:rPr>
        <w:t xml:space="preserve"> to a</w:t>
      </w:r>
      <w:r w:rsidR="00C613D9">
        <w:rPr>
          <w:noProof/>
        </w:rPr>
        <w:t xml:space="preserve"> </w:t>
      </w:r>
      <w:r w:rsidR="00C613D9" w:rsidRPr="00064C5C">
        <w:rPr>
          <w:noProof/>
        </w:rPr>
        <w:t xml:space="preserve">plant </w:t>
      </w:r>
      <w:r w:rsidR="00C613D9">
        <w:rPr>
          <w:noProof/>
        </w:rPr>
        <w:t xml:space="preserve">outage </w:t>
      </w:r>
      <w:r w:rsidR="00C613D9" w:rsidRPr="00064C5C">
        <w:rPr>
          <w:noProof/>
        </w:rPr>
        <w:t xml:space="preserve">for </w:t>
      </w:r>
      <w:r w:rsidR="00C613D9">
        <w:rPr>
          <w:noProof/>
        </w:rPr>
        <w:t>the repair o</w:t>
      </w:r>
      <w:r w:rsidR="00C613D9" w:rsidRPr="00064C5C">
        <w:rPr>
          <w:noProof/>
        </w:rPr>
        <w:t>r</w:t>
      </w:r>
      <w:r w:rsidR="00C613D9">
        <w:rPr>
          <w:noProof/>
        </w:rPr>
        <w:t xml:space="preserve"> r</w:t>
      </w:r>
      <w:r w:rsidR="00C613D9" w:rsidRPr="00064C5C">
        <w:rPr>
          <w:noProof/>
        </w:rPr>
        <w:t>eplacement activities</w:t>
      </w:r>
      <w:r w:rsidR="00C613D9">
        <w:rPr>
          <w:noProof/>
        </w:rPr>
        <w:t>.  The staff assumed that this test would be performed</w:t>
      </w:r>
      <w:r w:rsidR="00C613D9" w:rsidRPr="00064C5C">
        <w:rPr>
          <w:noProof/>
        </w:rPr>
        <w:t xml:space="preserve"> </w:t>
      </w:r>
      <w:r w:rsidR="00C613D9">
        <w:rPr>
          <w:noProof/>
        </w:rPr>
        <w:t xml:space="preserve">twice </w:t>
      </w:r>
      <w:r w:rsidR="00C613D9" w:rsidRPr="00B64033">
        <w:rPr>
          <w:noProof/>
        </w:rPr>
        <w:t>per 10</w:t>
      </w:r>
      <w:r w:rsidR="00647934">
        <w:rPr>
          <w:noProof/>
        </w:rPr>
        <w:noBreakHyphen/>
      </w:r>
      <w:r w:rsidR="00C613D9" w:rsidRPr="00B64033">
        <w:rPr>
          <w:noProof/>
        </w:rPr>
        <w:t xml:space="preserve">year </w:t>
      </w:r>
      <w:r w:rsidR="00006418">
        <w:rPr>
          <w:noProof/>
        </w:rPr>
        <w:t>ISI</w:t>
      </w:r>
      <w:r w:rsidR="00C613D9">
        <w:rPr>
          <w:noProof/>
        </w:rPr>
        <w:t xml:space="preserve"> for each BWR unit</w:t>
      </w:r>
      <w:r w:rsidR="00C613D9" w:rsidRPr="00B64033">
        <w:rPr>
          <w:noProof/>
        </w:rPr>
        <w:t xml:space="preserve"> </w:t>
      </w:r>
      <w:r w:rsidR="00C613D9" w:rsidRPr="00064C5C">
        <w:rPr>
          <w:noProof/>
        </w:rPr>
        <w:t>with the first occurrence</w:t>
      </w:r>
      <w:r w:rsidR="00C613D9">
        <w:rPr>
          <w:noProof/>
        </w:rPr>
        <w:t>s</w:t>
      </w:r>
      <w:r w:rsidR="00C613D9" w:rsidRPr="00064C5C">
        <w:rPr>
          <w:noProof/>
        </w:rPr>
        <w:t xml:space="preserve"> in </w:t>
      </w:r>
      <w:r w:rsidR="00C613D9">
        <w:rPr>
          <w:noProof/>
        </w:rPr>
        <w:t>2017 and evenly distributed throughout the 10</w:t>
      </w:r>
      <w:r w:rsidR="00647934">
        <w:rPr>
          <w:noProof/>
        </w:rPr>
        <w:noBreakHyphen/>
      </w:r>
      <w:r w:rsidR="00C613D9">
        <w:rPr>
          <w:noProof/>
        </w:rPr>
        <w:t>year interval.</w:t>
      </w:r>
      <w:r w:rsidR="00C613D9" w:rsidRPr="00064C5C">
        <w:rPr>
          <w:noProof/>
        </w:rPr>
        <w:t xml:space="preserve"> </w:t>
      </w:r>
      <w:r w:rsidR="00C613D9">
        <w:rPr>
          <w:noProof/>
        </w:rPr>
        <w:t xml:space="preserve"> </w:t>
      </w:r>
      <w:r w:rsidR="00C613D9" w:rsidRPr="00064C5C">
        <w:rPr>
          <w:noProof/>
        </w:rPr>
        <w:t>The</w:t>
      </w:r>
      <w:r w:rsidR="00C613D9">
        <w:rPr>
          <w:noProof/>
        </w:rPr>
        <w:t xml:space="preserve"> </w:t>
      </w:r>
      <w:r w:rsidR="00C613D9" w:rsidRPr="00064C5C">
        <w:rPr>
          <w:noProof/>
        </w:rPr>
        <w:t xml:space="preserve">cost </w:t>
      </w:r>
      <w:r w:rsidR="00C613D9">
        <w:rPr>
          <w:noProof/>
        </w:rPr>
        <w:t xml:space="preserve">estimated is the cost to </w:t>
      </w:r>
      <w:r w:rsidR="00C613D9" w:rsidRPr="00064C5C">
        <w:rPr>
          <w:noProof/>
        </w:rPr>
        <w:t xml:space="preserve">replace the power that is not generated </w:t>
      </w:r>
      <w:r w:rsidR="00C613D9">
        <w:rPr>
          <w:noProof/>
        </w:rPr>
        <w:t>during the additional 45</w:t>
      </w:r>
      <w:r w:rsidR="00647934">
        <w:rPr>
          <w:noProof/>
        </w:rPr>
        <w:t> </w:t>
      </w:r>
      <w:r w:rsidR="00C613D9">
        <w:rPr>
          <w:noProof/>
        </w:rPr>
        <w:t>minutes</w:t>
      </w:r>
      <w:r w:rsidR="00C613D9" w:rsidRPr="00064C5C">
        <w:rPr>
          <w:noProof/>
        </w:rPr>
        <w:t>.</w:t>
      </w:r>
      <w:r w:rsidR="00C613D9">
        <w:rPr>
          <w:noProof/>
        </w:rPr>
        <w:t xml:space="preserve">  </w:t>
      </w:r>
      <w:r w:rsidR="00647934">
        <w:rPr>
          <w:noProof/>
        </w:rPr>
        <w:t xml:space="preserve">Section </w:t>
      </w:r>
      <w:r w:rsidR="00647934">
        <w:rPr>
          <w:noProof/>
        </w:rPr>
        <w:fldChar w:fldCharType="begin"/>
      </w:r>
      <w:r w:rsidR="00647934">
        <w:rPr>
          <w:noProof/>
        </w:rPr>
        <w:instrText xml:space="preserve"> REF _Ref435768436 \r \h </w:instrText>
      </w:r>
      <w:r w:rsidR="00647934">
        <w:rPr>
          <w:noProof/>
        </w:rPr>
      </w:r>
      <w:r w:rsidR="00647934">
        <w:rPr>
          <w:noProof/>
        </w:rPr>
        <w:fldChar w:fldCharType="separate"/>
      </w:r>
      <w:r w:rsidR="00FD3AB6">
        <w:rPr>
          <w:noProof/>
        </w:rPr>
        <w:t>5.6.2</w:t>
      </w:r>
      <w:r w:rsidR="00647934">
        <w:rPr>
          <w:noProof/>
        </w:rPr>
        <w:fldChar w:fldCharType="end"/>
      </w:r>
      <w:r w:rsidR="00647934">
        <w:rPr>
          <w:noProof/>
        </w:rPr>
        <w:t xml:space="preserve"> addresses i</w:t>
      </w:r>
      <w:r w:rsidR="00C613D9">
        <w:rPr>
          <w:noProof/>
        </w:rPr>
        <w:t>ndustry labor to perform the test</w:t>
      </w:r>
      <w:r w:rsidR="00AA724B">
        <w:rPr>
          <w:noProof/>
        </w:rPr>
        <w:t>.</w:t>
      </w:r>
    </w:p>
    <w:p w14:paraId="524414C1" w14:textId="77777777" w:rsidR="00487D7C" w:rsidRDefault="00487D7C" w:rsidP="00FF0EE8">
      <w:pPr>
        <w:spacing w:line="240" w:lineRule="auto"/>
      </w:pPr>
    </w:p>
    <w:p w14:paraId="18DD0B4E" w14:textId="4E22868C" w:rsidR="004E07C5" w:rsidRDefault="008613FE" w:rsidP="00FF0EE8">
      <w:pPr>
        <w:spacing w:line="240" w:lineRule="auto"/>
      </w:pPr>
      <w:r w:rsidRPr="000D50A2">
        <w:fldChar w:fldCharType="begin"/>
      </w:r>
      <w:r w:rsidRPr="000D50A2">
        <w:instrText xml:space="preserve"> REF _Ref435709544 \h </w:instrText>
      </w:r>
      <w:r w:rsidRPr="00090062">
        <w:instrText xml:space="preserve"> \* MERGEFORMAT </w:instrText>
      </w:r>
      <w:r w:rsidRPr="000D50A2">
        <w:fldChar w:fldCharType="separate"/>
      </w:r>
      <w:r w:rsidR="00FD3AB6" w:rsidRPr="00FD3AB6">
        <w:t xml:space="preserve">Table </w:t>
      </w:r>
      <w:r w:rsidR="00FD3AB6" w:rsidRPr="00FD3AB6">
        <w:rPr>
          <w:noProof/>
        </w:rPr>
        <w:t>8</w:t>
      </w:r>
      <w:r w:rsidRPr="000D50A2">
        <w:fldChar w:fldCharType="end"/>
      </w:r>
      <w:r w:rsidRPr="006E5706">
        <w:t xml:space="preserve"> lists t</w:t>
      </w:r>
      <w:r w:rsidRPr="000D50A2">
        <w:t>he e</w:t>
      </w:r>
      <w:r w:rsidRPr="00BB3836">
        <w:t>stimated short-term replacement power costs</w:t>
      </w:r>
      <w:r>
        <w:t>,</w:t>
      </w:r>
      <w:r w:rsidRPr="00BB3836">
        <w:t xml:space="preserve"> </w:t>
      </w:r>
      <w:r>
        <w:t>u</w:t>
      </w:r>
      <w:r w:rsidR="00C25ED6" w:rsidRPr="00BB3836">
        <w:t>sing the estimated s</w:t>
      </w:r>
      <w:r w:rsidR="00BF57BA" w:rsidRPr="00BB3836">
        <w:t>hort-term r</w:t>
      </w:r>
      <w:r w:rsidR="004E07C5" w:rsidRPr="00BB3836">
        <w:t xml:space="preserve">eplacement power </w:t>
      </w:r>
      <w:r w:rsidR="00C25ED6" w:rsidRPr="00BB3836">
        <w:t xml:space="preserve">hourly </w:t>
      </w:r>
      <w:r w:rsidR="004E07C5" w:rsidRPr="00BB3836">
        <w:t xml:space="preserve">costs </w:t>
      </w:r>
      <w:r w:rsidR="00C25ED6" w:rsidRPr="00BB3836">
        <w:t xml:space="preserve">for a typical U.S. BWR provided in </w:t>
      </w:r>
      <w:r w:rsidR="00C25ED6" w:rsidRPr="00BB3836">
        <w:fldChar w:fldCharType="begin"/>
      </w:r>
      <w:r w:rsidR="00C25ED6" w:rsidRPr="00BB3836">
        <w:instrText xml:space="preserve"> REF _Ref434308397 \h </w:instrText>
      </w:r>
      <w:r w:rsidR="00BB3836">
        <w:instrText xml:space="preserve"> \* MERGEFORMAT </w:instrText>
      </w:r>
      <w:r w:rsidR="00C25ED6" w:rsidRPr="00BB3836">
        <w:fldChar w:fldCharType="separate"/>
      </w:r>
      <w:r w:rsidR="00FD3AB6" w:rsidRPr="00FD3AB6">
        <w:t xml:space="preserve">Table </w:t>
      </w:r>
      <w:r w:rsidR="00FD3AB6" w:rsidRPr="00FD3AB6">
        <w:rPr>
          <w:noProof/>
        </w:rPr>
        <w:t>5</w:t>
      </w:r>
      <w:r w:rsidR="00C25ED6" w:rsidRPr="00BB3836">
        <w:fldChar w:fldCharType="end"/>
      </w:r>
      <w:r w:rsidR="0059278D" w:rsidRPr="00BB3836">
        <w:t xml:space="preserve"> and the incremental 45</w:t>
      </w:r>
      <w:r w:rsidR="00647934">
        <w:noBreakHyphen/>
      </w:r>
      <w:r w:rsidR="0059278D" w:rsidRPr="00BB3836">
        <w:t>minute increase in outage time to perform the conditioned Code Case</w:t>
      </w:r>
      <w:r w:rsidR="00647934">
        <w:t> </w:t>
      </w:r>
      <w:r w:rsidR="0059278D" w:rsidRPr="00BB3836">
        <w:t>795 test</w:t>
      </w:r>
      <w:r w:rsidR="00BB3836" w:rsidRPr="00BB3836">
        <w:t xml:space="preserve"> for which the frequency of the repair and replacement would occur twice per ten-year period per BWR unit.  </w:t>
      </w:r>
    </w:p>
    <w:p w14:paraId="730764FB" w14:textId="77777777" w:rsidR="00453AF9" w:rsidRDefault="00453AF9" w:rsidP="00FF0EE8">
      <w:pPr>
        <w:spacing w:line="240" w:lineRule="auto"/>
      </w:pPr>
    </w:p>
    <w:p w14:paraId="7DB9F37B" w14:textId="1D908C4B" w:rsidR="00453AF9" w:rsidRPr="00BB7E3D" w:rsidRDefault="00453AF9" w:rsidP="00FF0EE8">
      <w:pPr>
        <w:pStyle w:val="Caption"/>
        <w:spacing w:line="240" w:lineRule="auto"/>
        <w:ind w:left="1080" w:hanging="1080"/>
        <w:jc w:val="center"/>
        <w:rPr>
          <w:b/>
        </w:rPr>
      </w:pPr>
      <w:bookmarkStart w:id="109" w:name="_Ref435709544"/>
      <w:bookmarkStart w:id="110" w:name="_Toc467508497"/>
      <w:bookmarkStart w:id="111" w:name="_Toc462225003"/>
      <w:r w:rsidRPr="00BB7E3D">
        <w:rPr>
          <w:b/>
        </w:rPr>
        <w:t xml:space="preserve">Table </w:t>
      </w:r>
      <w:r w:rsidR="00782423" w:rsidRPr="00BB7E3D">
        <w:rPr>
          <w:b/>
        </w:rPr>
        <w:fldChar w:fldCharType="begin"/>
      </w:r>
      <w:r w:rsidR="00782423" w:rsidRPr="00BB7E3D">
        <w:rPr>
          <w:b/>
        </w:rPr>
        <w:instrText xml:space="preserve"> SEQ Table \* ARABIC </w:instrText>
      </w:r>
      <w:r w:rsidR="00782423" w:rsidRPr="00BB7E3D">
        <w:rPr>
          <w:b/>
        </w:rPr>
        <w:fldChar w:fldCharType="separate"/>
      </w:r>
      <w:r w:rsidR="00FD3AB6">
        <w:rPr>
          <w:b/>
          <w:noProof/>
        </w:rPr>
        <w:t>8</w:t>
      </w:r>
      <w:r w:rsidR="00782423" w:rsidRPr="00BB7E3D">
        <w:rPr>
          <w:b/>
        </w:rPr>
        <w:fldChar w:fldCharType="end"/>
      </w:r>
      <w:bookmarkEnd w:id="109"/>
      <w:r w:rsidR="006C3FF0" w:rsidRPr="00D557C2">
        <w:rPr>
          <w:b/>
        </w:rPr>
        <w:t xml:space="preserve">  </w:t>
      </w:r>
      <w:r w:rsidRPr="00BB7E3D">
        <w:rPr>
          <w:b/>
        </w:rPr>
        <w:t>Code Case 795 Short-Term Replacement Power Costs</w:t>
      </w:r>
      <w:bookmarkEnd w:id="110"/>
      <w:bookmarkEnd w:id="111"/>
    </w:p>
    <w:tbl>
      <w:tblPr>
        <w:tblW w:w="9506" w:type="dxa"/>
        <w:tblLook w:val="04A0" w:firstRow="1" w:lastRow="0" w:firstColumn="1" w:lastColumn="0" w:noHBand="0" w:noVBand="1"/>
      </w:tblPr>
      <w:tblGrid>
        <w:gridCol w:w="706"/>
        <w:gridCol w:w="1530"/>
        <w:gridCol w:w="1439"/>
        <w:gridCol w:w="1586"/>
        <w:gridCol w:w="1683"/>
        <w:gridCol w:w="1281"/>
        <w:gridCol w:w="1281"/>
      </w:tblGrid>
      <w:tr w:rsidR="00602B86" w:rsidRPr="00EA698A" w14:paraId="7566DD2A" w14:textId="77777777" w:rsidTr="004F5401">
        <w:trPr>
          <w:trHeight w:val="773"/>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BEB117" w14:textId="77777777" w:rsidR="00EA698A" w:rsidRPr="004F5401" w:rsidRDefault="00EA698A" w:rsidP="00FF0EE8">
            <w:pPr>
              <w:autoSpaceDE/>
              <w:autoSpaceDN/>
              <w:adjustRightInd/>
              <w:spacing w:line="240" w:lineRule="auto"/>
              <w:jc w:val="center"/>
              <w:rPr>
                <w:b/>
                <w:color w:val="000000"/>
                <w:sz w:val="20"/>
                <w:szCs w:val="20"/>
              </w:rPr>
            </w:pPr>
            <w:r w:rsidRPr="004F5401">
              <w:rPr>
                <w:b/>
                <w:color w:val="000000"/>
                <w:sz w:val="20"/>
                <w:szCs w:val="20"/>
              </w:rPr>
              <w:t>Year</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C9F7C" w14:textId="3C35F110" w:rsidR="00EA698A" w:rsidRPr="004F5401" w:rsidRDefault="00EA698A" w:rsidP="00FF0EE8">
            <w:pPr>
              <w:autoSpaceDE/>
              <w:autoSpaceDN/>
              <w:adjustRightInd/>
              <w:spacing w:line="240" w:lineRule="auto"/>
              <w:jc w:val="center"/>
              <w:rPr>
                <w:b/>
                <w:color w:val="000000"/>
                <w:sz w:val="20"/>
                <w:szCs w:val="20"/>
              </w:rPr>
            </w:pPr>
            <w:r w:rsidRPr="004F5401">
              <w:rPr>
                <w:b/>
                <w:color w:val="000000"/>
                <w:sz w:val="20"/>
                <w:szCs w:val="20"/>
              </w:rPr>
              <w:t>Mean Incremental Test Duration (</w:t>
            </w:r>
            <w:r w:rsidR="00647934" w:rsidRPr="004F5401">
              <w:rPr>
                <w:rFonts w:eastAsia="Times New Roman"/>
                <w:b/>
                <w:bCs/>
                <w:color w:val="000000"/>
                <w:sz w:val="20"/>
                <w:szCs w:val="20"/>
              </w:rPr>
              <w:t>h</w:t>
            </w:r>
            <w:r w:rsidRPr="004F5401">
              <w:rPr>
                <w:rFonts w:eastAsia="Times New Roman"/>
                <w:b/>
                <w:bCs/>
                <w:color w:val="000000"/>
                <w:sz w:val="20"/>
                <w:szCs w:val="20"/>
              </w:rPr>
              <w:t>r</w:t>
            </w:r>
            <w:r w:rsidRPr="004F5401">
              <w:rPr>
                <w:b/>
                <w:color w:val="000000"/>
                <w:sz w:val="20"/>
                <w:szCs w:val="20"/>
              </w:rPr>
              <w:t>)</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9F59F8" w14:textId="7DEBA21A" w:rsidR="00EA698A" w:rsidRPr="004F5401" w:rsidRDefault="00EA698A" w:rsidP="00FF0EE8">
            <w:pPr>
              <w:autoSpaceDE/>
              <w:autoSpaceDN/>
              <w:adjustRightInd/>
              <w:spacing w:line="240" w:lineRule="auto"/>
              <w:jc w:val="center"/>
              <w:rPr>
                <w:b/>
                <w:color w:val="000000"/>
                <w:sz w:val="20"/>
                <w:szCs w:val="20"/>
              </w:rPr>
            </w:pPr>
            <w:r w:rsidRPr="004F5401">
              <w:rPr>
                <w:b/>
                <w:color w:val="000000"/>
                <w:sz w:val="20"/>
                <w:szCs w:val="20"/>
              </w:rPr>
              <w:t xml:space="preserve">No. of BWR </w:t>
            </w:r>
            <w:r w:rsidR="00647934" w:rsidRPr="004F5401">
              <w:rPr>
                <w:rFonts w:eastAsia="Times New Roman"/>
                <w:b/>
                <w:bCs/>
                <w:color w:val="000000"/>
                <w:sz w:val="20"/>
                <w:szCs w:val="20"/>
              </w:rPr>
              <w:t>O</w:t>
            </w:r>
            <w:r w:rsidRPr="004F5401">
              <w:rPr>
                <w:rFonts w:eastAsia="Times New Roman"/>
                <w:b/>
                <w:bCs/>
                <w:color w:val="000000"/>
                <w:sz w:val="20"/>
                <w:szCs w:val="20"/>
              </w:rPr>
              <w:t>utages</w:t>
            </w:r>
            <w:r w:rsidRPr="004F5401">
              <w:rPr>
                <w:b/>
                <w:color w:val="000000"/>
                <w:sz w:val="20"/>
                <w:szCs w:val="20"/>
              </w:rPr>
              <w:t xml:space="preserve"> with Code Case</w:t>
            </w:r>
            <w:r w:rsidR="00647934" w:rsidRPr="004F5401">
              <w:rPr>
                <w:rFonts w:eastAsia="Times New Roman"/>
                <w:b/>
                <w:bCs/>
                <w:color w:val="000000"/>
                <w:sz w:val="20"/>
                <w:szCs w:val="20"/>
              </w:rPr>
              <w:t> </w:t>
            </w:r>
            <w:r w:rsidRPr="004F5401">
              <w:rPr>
                <w:b/>
                <w:color w:val="000000"/>
                <w:sz w:val="20"/>
                <w:szCs w:val="20"/>
              </w:rPr>
              <w:t>795</w:t>
            </w:r>
            <w:r w:rsidR="00647934" w:rsidRPr="004F5401">
              <w:rPr>
                <w:rFonts w:eastAsia="Times New Roman"/>
                <w:b/>
                <w:bCs/>
                <w:color w:val="000000"/>
                <w:sz w:val="20"/>
                <w:szCs w:val="20"/>
              </w:rPr>
              <w:noBreakHyphen/>
            </w:r>
            <w:r w:rsidRPr="004F5401">
              <w:rPr>
                <w:b/>
                <w:color w:val="000000"/>
                <w:sz w:val="20"/>
                <w:szCs w:val="20"/>
              </w:rPr>
              <w:t xml:space="preserve">1 </w:t>
            </w:r>
            <w:r w:rsidR="00647934" w:rsidRPr="004F5401">
              <w:rPr>
                <w:rFonts w:eastAsia="Times New Roman"/>
                <w:b/>
                <w:bCs/>
                <w:color w:val="000000"/>
                <w:sz w:val="20"/>
                <w:szCs w:val="20"/>
              </w:rPr>
              <w:t>I</w:t>
            </w:r>
            <w:r w:rsidRPr="004F5401">
              <w:rPr>
                <w:rFonts w:eastAsia="Times New Roman"/>
                <w:b/>
                <w:bCs/>
                <w:color w:val="000000"/>
                <w:sz w:val="20"/>
                <w:szCs w:val="20"/>
              </w:rPr>
              <w:t>nspections</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B7E18" w14:textId="08335824" w:rsidR="00EA698A" w:rsidRPr="004F5401" w:rsidRDefault="00EA698A" w:rsidP="00FF0EE8">
            <w:pPr>
              <w:autoSpaceDE/>
              <w:autoSpaceDN/>
              <w:adjustRightInd/>
              <w:spacing w:line="240" w:lineRule="auto"/>
              <w:jc w:val="center"/>
              <w:rPr>
                <w:b/>
                <w:color w:val="000000"/>
                <w:sz w:val="20"/>
                <w:szCs w:val="20"/>
              </w:rPr>
            </w:pPr>
            <w:r w:rsidRPr="004F5401">
              <w:rPr>
                <w:b/>
                <w:color w:val="000000"/>
                <w:sz w:val="20"/>
                <w:szCs w:val="20"/>
              </w:rPr>
              <w:t>Mean Shor</w:t>
            </w:r>
            <w:r w:rsidR="00056B30" w:rsidRPr="004F5401">
              <w:rPr>
                <w:b/>
                <w:color w:val="000000"/>
                <w:sz w:val="20"/>
                <w:szCs w:val="20"/>
              </w:rPr>
              <w:t>t</w:t>
            </w:r>
            <w:r w:rsidR="00647934" w:rsidRPr="004F5401">
              <w:rPr>
                <w:rFonts w:eastAsia="Times New Roman"/>
                <w:b/>
                <w:bCs/>
                <w:color w:val="000000"/>
                <w:sz w:val="20"/>
                <w:szCs w:val="20"/>
              </w:rPr>
              <w:noBreakHyphen/>
            </w:r>
            <w:r w:rsidR="00056B30" w:rsidRPr="004F5401">
              <w:rPr>
                <w:b/>
                <w:color w:val="000000"/>
                <w:sz w:val="20"/>
                <w:szCs w:val="20"/>
              </w:rPr>
              <w:t>Term Replacement Power Cost ($</w:t>
            </w:r>
            <w:r w:rsidRPr="004F5401">
              <w:rPr>
                <w:b/>
                <w:color w:val="000000"/>
                <w:sz w:val="20"/>
                <w:szCs w:val="20"/>
              </w:rPr>
              <w:t>/</w:t>
            </w:r>
            <w:r w:rsidR="00647934" w:rsidRPr="004F5401">
              <w:rPr>
                <w:rFonts w:eastAsia="Times New Roman"/>
                <w:b/>
                <w:bCs/>
                <w:color w:val="000000"/>
                <w:sz w:val="20"/>
                <w:szCs w:val="20"/>
              </w:rPr>
              <w:t>h</w:t>
            </w:r>
            <w:r w:rsidRPr="004F5401">
              <w:rPr>
                <w:rFonts w:eastAsia="Times New Roman"/>
                <w:b/>
                <w:bCs/>
                <w:color w:val="000000"/>
                <w:sz w:val="20"/>
                <w:szCs w:val="20"/>
              </w:rPr>
              <w:t>r</w:t>
            </w:r>
            <w:r w:rsidRPr="004F5401">
              <w:rPr>
                <w:b/>
                <w:color w:val="000000"/>
                <w:sz w:val="20"/>
                <w:szCs w:val="20"/>
              </w:rPr>
              <w:t>)</w:t>
            </w:r>
          </w:p>
        </w:tc>
        <w:tc>
          <w:tcPr>
            <w:tcW w:w="42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315A6C" w14:textId="1EACDEDC" w:rsidR="00EA698A" w:rsidRPr="004F5401" w:rsidRDefault="00EA698A" w:rsidP="00FF0EE8">
            <w:pPr>
              <w:autoSpaceDE/>
              <w:autoSpaceDN/>
              <w:adjustRightInd/>
              <w:spacing w:line="240" w:lineRule="auto"/>
              <w:jc w:val="center"/>
              <w:rPr>
                <w:b/>
                <w:color w:val="000000"/>
                <w:sz w:val="20"/>
                <w:szCs w:val="20"/>
              </w:rPr>
            </w:pPr>
            <w:r w:rsidRPr="004F5401">
              <w:rPr>
                <w:b/>
                <w:color w:val="000000"/>
                <w:sz w:val="20"/>
                <w:szCs w:val="20"/>
              </w:rPr>
              <w:t>Mean Short-Term Replacement</w:t>
            </w:r>
            <w:r w:rsidR="00647934" w:rsidRPr="004F5401">
              <w:rPr>
                <w:rFonts w:eastAsia="Times New Roman"/>
                <w:b/>
                <w:bCs/>
                <w:color w:val="000000"/>
                <w:sz w:val="20"/>
                <w:szCs w:val="20"/>
              </w:rPr>
              <w:br/>
            </w:r>
            <w:r w:rsidRPr="004F5401">
              <w:rPr>
                <w:b/>
                <w:color w:val="000000"/>
                <w:sz w:val="20"/>
                <w:szCs w:val="20"/>
              </w:rPr>
              <w:t xml:space="preserve">Power Cost (2017 </w:t>
            </w:r>
            <w:r w:rsidR="00081822" w:rsidRPr="004F5401">
              <w:rPr>
                <w:rFonts w:eastAsia="Times New Roman"/>
                <w:b/>
                <w:bCs/>
                <w:color w:val="000000"/>
                <w:sz w:val="20"/>
                <w:szCs w:val="20"/>
              </w:rPr>
              <w:t>Dollars</w:t>
            </w:r>
            <w:r w:rsidRPr="004F5401">
              <w:rPr>
                <w:rFonts w:eastAsia="Times New Roman"/>
                <w:b/>
                <w:bCs/>
                <w:color w:val="000000"/>
                <w:sz w:val="20"/>
                <w:szCs w:val="20"/>
              </w:rPr>
              <w:t>)</w:t>
            </w:r>
          </w:p>
        </w:tc>
      </w:tr>
      <w:tr w:rsidR="00602B86" w:rsidRPr="00EA698A" w14:paraId="2669FB63" w14:textId="77777777" w:rsidTr="004F5401">
        <w:trPr>
          <w:trHeight w:val="305"/>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063F7EE2" w14:textId="77777777" w:rsidR="00EA698A" w:rsidRPr="004F5401" w:rsidRDefault="00EA698A" w:rsidP="00FF0EE8">
            <w:pPr>
              <w:autoSpaceDE/>
              <w:autoSpaceDN/>
              <w:adjustRightInd/>
              <w:spacing w:line="240" w:lineRule="auto"/>
              <w:jc w:val="center"/>
              <w:rPr>
                <w:b/>
                <w:color w:val="000000"/>
                <w:sz w:val="20"/>
                <w:szCs w:val="2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4CF369DC" w14:textId="77777777" w:rsidR="00EA698A" w:rsidRPr="004F5401" w:rsidRDefault="00EA698A" w:rsidP="00FF0EE8">
            <w:pPr>
              <w:autoSpaceDE/>
              <w:autoSpaceDN/>
              <w:adjustRightInd/>
              <w:spacing w:line="240" w:lineRule="auto"/>
              <w:jc w:val="center"/>
              <w:rPr>
                <w:b/>
                <w:color w:val="000000"/>
                <w:sz w:val="20"/>
                <w:szCs w:val="20"/>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3130FAE2" w14:textId="77777777" w:rsidR="00EA698A" w:rsidRPr="004F5401" w:rsidRDefault="00EA698A" w:rsidP="00FF0EE8">
            <w:pPr>
              <w:autoSpaceDE/>
              <w:autoSpaceDN/>
              <w:adjustRightInd/>
              <w:spacing w:line="240" w:lineRule="auto"/>
              <w:jc w:val="center"/>
              <w:rPr>
                <w:b/>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3F158166" w14:textId="77777777" w:rsidR="00EA698A" w:rsidRPr="004F5401" w:rsidRDefault="00EA698A" w:rsidP="00FF0EE8">
            <w:pPr>
              <w:autoSpaceDE/>
              <w:autoSpaceDN/>
              <w:adjustRightInd/>
              <w:spacing w:line="240" w:lineRule="auto"/>
              <w:jc w:val="center"/>
              <w:rPr>
                <w:b/>
                <w:color w:val="000000"/>
                <w:sz w:val="20"/>
                <w:szCs w:val="20"/>
              </w:rPr>
            </w:pPr>
          </w:p>
        </w:tc>
        <w:tc>
          <w:tcPr>
            <w:tcW w:w="1683" w:type="dxa"/>
            <w:tcBorders>
              <w:top w:val="nil"/>
              <w:left w:val="nil"/>
              <w:bottom w:val="single" w:sz="4" w:space="0" w:color="auto"/>
              <w:right w:val="single" w:sz="4" w:space="0" w:color="auto"/>
            </w:tcBorders>
            <w:shd w:val="clear" w:color="auto" w:fill="auto"/>
            <w:noWrap/>
            <w:vAlign w:val="center"/>
            <w:hideMark/>
          </w:tcPr>
          <w:p w14:paraId="371202F7" w14:textId="77777777" w:rsidR="00EA698A" w:rsidRPr="004F5401" w:rsidRDefault="00EA698A" w:rsidP="00FF0EE8">
            <w:pPr>
              <w:autoSpaceDE/>
              <w:autoSpaceDN/>
              <w:adjustRightInd/>
              <w:spacing w:line="240" w:lineRule="auto"/>
              <w:jc w:val="center"/>
              <w:rPr>
                <w:b/>
                <w:color w:val="000000"/>
                <w:sz w:val="20"/>
                <w:szCs w:val="20"/>
              </w:rPr>
            </w:pPr>
            <w:r w:rsidRPr="004F5401">
              <w:rPr>
                <w:b/>
                <w:color w:val="000000"/>
                <w:sz w:val="20"/>
                <w:szCs w:val="20"/>
              </w:rPr>
              <w:t>Undiscounted</w:t>
            </w:r>
          </w:p>
        </w:tc>
        <w:tc>
          <w:tcPr>
            <w:tcW w:w="1281" w:type="dxa"/>
            <w:tcBorders>
              <w:top w:val="nil"/>
              <w:left w:val="nil"/>
              <w:bottom w:val="single" w:sz="4" w:space="0" w:color="auto"/>
              <w:right w:val="single" w:sz="4" w:space="0" w:color="auto"/>
            </w:tcBorders>
            <w:shd w:val="clear" w:color="auto" w:fill="auto"/>
            <w:noWrap/>
            <w:vAlign w:val="center"/>
            <w:hideMark/>
          </w:tcPr>
          <w:p w14:paraId="4908A090" w14:textId="77777777" w:rsidR="00EA698A" w:rsidRPr="004F5401" w:rsidRDefault="00EA698A" w:rsidP="00FF0EE8">
            <w:pPr>
              <w:autoSpaceDE/>
              <w:autoSpaceDN/>
              <w:adjustRightInd/>
              <w:spacing w:line="240" w:lineRule="auto"/>
              <w:jc w:val="center"/>
              <w:rPr>
                <w:b/>
                <w:color w:val="000000"/>
                <w:sz w:val="20"/>
                <w:szCs w:val="20"/>
              </w:rPr>
            </w:pPr>
            <w:r w:rsidRPr="004F5401">
              <w:rPr>
                <w:b/>
                <w:color w:val="000000"/>
                <w:sz w:val="20"/>
                <w:szCs w:val="20"/>
              </w:rPr>
              <w:t>7% NPV</w:t>
            </w:r>
          </w:p>
        </w:tc>
        <w:tc>
          <w:tcPr>
            <w:tcW w:w="1281" w:type="dxa"/>
            <w:tcBorders>
              <w:top w:val="nil"/>
              <w:left w:val="nil"/>
              <w:bottom w:val="single" w:sz="4" w:space="0" w:color="auto"/>
              <w:right w:val="single" w:sz="4" w:space="0" w:color="auto"/>
            </w:tcBorders>
            <w:shd w:val="clear" w:color="auto" w:fill="auto"/>
            <w:noWrap/>
            <w:vAlign w:val="center"/>
            <w:hideMark/>
          </w:tcPr>
          <w:p w14:paraId="6B047E31" w14:textId="77777777" w:rsidR="00EA698A" w:rsidRPr="004F5401" w:rsidRDefault="00EA698A" w:rsidP="00FF0EE8">
            <w:pPr>
              <w:autoSpaceDE/>
              <w:autoSpaceDN/>
              <w:adjustRightInd/>
              <w:spacing w:line="240" w:lineRule="auto"/>
              <w:jc w:val="center"/>
              <w:rPr>
                <w:b/>
                <w:color w:val="000000"/>
                <w:sz w:val="20"/>
                <w:szCs w:val="20"/>
              </w:rPr>
            </w:pPr>
            <w:r w:rsidRPr="004F5401">
              <w:rPr>
                <w:b/>
                <w:color w:val="000000"/>
                <w:sz w:val="20"/>
                <w:szCs w:val="20"/>
              </w:rPr>
              <w:t>3% NPV</w:t>
            </w:r>
          </w:p>
        </w:tc>
      </w:tr>
      <w:tr w:rsidR="00177C49" w:rsidRPr="00EA698A" w14:paraId="00DA7162" w14:textId="77777777" w:rsidTr="004F5401">
        <w:trPr>
          <w:trHeight w:val="288"/>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4ADDD9DC" w14:textId="3A0D0CAA" w:rsidR="00177C49" w:rsidRPr="004F5401" w:rsidRDefault="00177C49" w:rsidP="00FF0EE8">
            <w:pPr>
              <w:autoSpaceDE/>
              <w:autoSpaceDN/>
              <w:adjustRightInd/>
              <w:spacing w:line="240" w:lineRule="auto"/>
              <w:jc w:val="center"/>
              <w:rPr>
                <w:color w:val="000000"/>
                <w:sz w:val="20"/>
                <w:szCs w:val="20"/>
              </w:rPr>
            </w:pPr>
            <w:r w:rsidRPr="004F5401">
              <w:rPr>
                <w:sz w:val="20"/>
                <w:szCs w:val="20"/>
              </w:rPr>
              <w:t>2018</w:t>
            </w:r>
          </w:p>
        </w:tc>
        <w:tc>
          <w:tcPr>
            <w:tcW w:w="1530" w:type="dxa"/>
            <w:tcBorders>
              <w:top w:val="nil"/>
              <w:left w:val="nil"/>
              <w:bottom w:val="single" w:sz="4" w:space="0" w:color="auto"/>
              <w:right w:val="single" w:sz="4" w:space="0" w:color="auto"/>
            </w:tcBorders>
            <w:shd w:val="clear" w:color="auto" w:fill="auto"/>
            <w:noWrap/>
            <w:vAlign w:val="center"/>
            <w:hideMark/>
          </w:tcPr>
          <w:p w14:paraId="3BFB9F0B" w14:textId="50C4860A" w:rsidR="00177C49" w:rsidRPr="004F5401" w:rsidRDefault="00177C49" w:rsidP="00FF0EE8">
            <w:pPr>
              <w:autoSpaceDE/>
              <w:autoSpaceDN/>
              <w:adjustRightInd/>
              <w:spacing w:line="240" w:lineRule="auto"/>
              <w:jc w:val="center"/>
              <w:rPr>
                <w:color w:val="000000"/>
                <w:sz w:val="20"/>
                <w:szCs w:val="20"/>
              </w:rPr>
            </w:pPr>
            <w:r w:rsidRPr="004F5401">
              <w:rPr>
                <w:sz w:val="20"/>
                <w:szCs w:val="20"/>
              </w:rPr>
              <w:t>0.75</w:t>
            </w:r>
          </w:p>
        </w:tc>
        <w:tc>
          <w:tcPr>
            <w:tcW w:w="1439" w:type="dxa"/>
            <w:tcBorders>
              <w:top w:val="nil"/>
              <w:left w:val="nil"/>
              <w:bottom w:val="single" w:sz="4" w:space="0" w:color="auto"/>
              <w:right w:val="single" w:sz="4" w:space="0" w:color="auto"/>
            </w:tcBorders>
            <w:shd w:val="clear" w:color="auto" w:fill="auto"/>
            <w:vAlign w:val="center"/>
            <w:hideMark/>
          </w:tcPr>
          <w:p w14:paraId="3F1145D5" w14:textId="0E364292" w:rsidR="00177C49" w:rsidRPr="004F5401" w:rsidRDefault="00177C49" w:rsidP="00FF0EE8">
            <w:pPr>
              <w:autoSpaceDE/>
              <w:autoSpaceDN/>
              <w:adjustRightInd/>
              <w:spacing w:line="240" w:lineRule="auto"/>
              <w:jc w:val="center"/>
              <w:rPr>
                <w:color w:val="000000"/>
                <w:sz w:val="20"/>
                <w:szCs w:val="20"/>
              </w:rPr>
            </w:pPr>
            <w:r w:rsidRPr="004F5401">
              <w:rPr>
                <w:sz w:val="20"/>
                <w:szCs w:val="20"/>
              </w:rPr>
              <w:t>6</w:t>
            </w:r>
          </w:p>
        </w:tc>
        <w:tc>
          <w:tcPr>
            <w:tcW w:w="1586" w:type="dxa"/>
            <w:tcBorders>
              <w:top w:val="nil"/>
              <w:left w:val="nil"/>
              <w:bottom w:val="single" w:sz="4" w:space="0" w:color="auto"/>
              <w:right w:val="single" w:sz="4" w:space="0" w:color="auto"/>
            </w:tcBorders>
            <w:shd w:val="clear" w:color="auto" w:fill="auto"/>
            <w:noWrap/>
            <w:vAlign w:val="center"/>
            <w:hideMark/>
          </w:tcPr>
          <w:p w14:paraId="14B0D83E" w14:textId="0C21E4F8" w:rsidR="00177C49" w:rsidRPr="004F5401" w:rsidRDefault="00177C49" w:rsidP="00FF0EE8">
            <w:pPr>
              <w:autoSpaceDE/>
              <w:autoSpaceDN/>
              <w:adjustRightInd/>
              <w:spacing w:line="240" w:lineRule="auto"/>
              <w:jc w:val="center"/>
              <w:rPr>
                <w:color w:val="000000"/>
                <w:sz w:val="20"/>
                <w:szCs w:val="20"/>
              </w:rPr>
            </w:pPr>
            <w:r w:rsidRPr="004F5401">
              <w:rPr>
                <w:sz w:val="20"/>
                <w:szCs w:val="20"/>
              </w:rPr>
              <w:t xml:space="preserve">$45,250 </w:t>
            </w:r>
          </w:p>
        </w:tc>
        <w:tc>
          <w:tcPr>
            <w:tcW w:w="1683" w:type="dxa"/>
            <w:tcBorders>
              <w:top w:val="nil"/>
              <w:left w:val="nil"/>
              <w:bottom w:val="single" w:sz="4" w:space="0" w:color="auto"/>
              <w:right w:val="single" w:sz="4" w:space="0" w:color="auto"/>
            </w:tcBorders>
            <w:shd w:val="clear" w:color="auto" w:fill="auto"/>
            <w:noWrap/>
            <w:vAlign w:val="center"/>
            <w:hideMark/>
          </w:tcPr>
          <w:p w14:paraId="5F649086" w14:textId="095772BA" w:rsidR="00177C49" w:rsidRPr="004F5401" w:rsidRDefault="00177C49" w:rsidP="00FF0EE8">
            <w:pPr>
              <w:autoSpaceDE/>
              <w:autoSpaceDN/>
              <w:adjustRightInd/>
              <w:spacing w:line="240" w:lineRule="auto"/>
              <w:jc w:val="center"/>
              <w:rPr>
                <w:sz w:val="20"/>
                <w:szCs w:val="20"/>
              </w:rPr>
            </w:pPr>
            <w:r w:rsidRPr="004F5401">
              <w:rPr>
                <w:sz w:val="20"/>
                <w:szCs w:val="20"/>
              </w:rPr>
              <w:t>($203,625)</w:t>
            </w:r>
          </w:p>
        </w:tc>
        <w:tc>
          <w:tcPr>
            <w:tcW w:w="1281" w:type="dxa"/>
            <w:tcBorders>
              <w:top w:val="nil"/>
              <w:left w:val="nil"/>
              <w:bottom w:val="single" w:sz="4" w:space="0" w:color="auto"/>
              <w:right w:val="single" w:sz="4" w:space="0" w:color="auto"/>
            </w:tcBorders>
            <w:shd w:val="clear" w:color="auto" w:fill="auto"/>
            <w:noWrap/>
            <w:vAlign w:val="center"/>
            <w:hideMark/>
          </w:tcPr>
          <w:p w14:paraId="300941E4" w14:textId="702BB5A4" w:rsidR="00177C49" w:rsidRPr="004F5401" w:rsidRDefault="00177C49" w:rsidP="00FF0EE8">
            <w:pPr>
              <w:autoSpaceDE/>
              <w:autoSpaceDN/>
              <w:adjustRightInd/>
              <w:spacing w:line="240" w:lineRule="auto"/>
              <w:jc w:val="center"/>
              <w:rPr>
                <w:sz w:val="20"/>
                <w:szCs w:val="20"/>
              </w:rPr>
            </w:pPr>
            <w:r w:rsidRPr="004F5401">
              <w:rPr>
                <w:sz w:val="20"/>
                <w:szCs w:val="20"/>
              </w:rPr>
              <w:t>($190,304)</w:t>
            </w:r>
          </w:p>
        </w:tc>
        <w:tc>
          <w:tcPr>
            <w:tcW w:w="1281" w:type="dxa"/>
            <w:tcBorders>
              <w:top w:val="nil"/>
              <w:left w:val="nil"/>
              <w:bottom w:val="single" w:sz="4" w:space="0" w:color="auto"/>
              <w:right w:val="single" w:sz="4" w:space="0" w:color="auto"/>
            </w:tcBorders>
            <w:shd w:val="clear" w:color="auto" w:fill="auto"/>
            <w:noWrap/>
            <w:vAlign w:val="center"/>
            <w:hideMark/>
          </w:tcPr>
          <w:p w14:paraId="6E31A02B" w14:textId="6E5305DD" w:rsidR="00177C49" w:rsidRPr="004F5401" w:rsidRDefault="00177C49" w:rsidP="00FF0EE8">
            <w:pPr>
              <w:autoSpaceDE/>
              <w:autoSpaceDN/>
              <w:adjustRightInd/>
              <w:spacing w:line="240" w:lineRule="auto"/>
              <w:jc w:val="center"/>
              <w:rPr>
                <w:sz w:val="20"/>
                <w:szCs w:val="20"/>
              </w:rPr>
            </w:pPr>
            <w:r w:rsidRPr="004F5401">
              <w:rPr>
                <w:sz w:val="20"/>
                <w:szCs w:val="20"/>
              </w:rPr>
              <w:t>($197,694)</w:t>
            </w:r>
          </w:p>
        </w:tc>
      </w:tr>
      <w:tr w:rsidR="00177C49" w:rsidRPr="00EA698A" w14:paraId="4D06469C" w14:textId="77777777" w:rsidTr="004F5401">
        <w:trPr>
          <w:trHeight w:val="288"/>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573C7579" w14:textId="78AA3AC7" w:rsidR="00177C49" w:rsidRPr="004F5401" w:rsidRDefault="00177C49" w:rsidP="00FF0EE8">
            <w:pPr>
              <w:autoSpaceDE/>
              <w:autoSpaceDN/>
              <w:adjustRightInd/>
              <w:spacing w:line="240" w:lineRule="auto"/>
              <w:jc w:val="center"/>
              <w:rPr>
                <w:color w:val="000000"/>
                <w:sz w:val="20"/>
                <w:szCs w:val="20"/>
              </w:rPr>
            </w:pPr>
            <w:r w:rsidRPr="004F5401">
              <w:rPr>
                <w:sz w:val="20"/>
                <w:szCs w:val="20"/>
              </w:rPr>
              <w:t>2019</w:t>
            </w:r>
          </w:p>
        </w:tc>
        <w:tc>
          <w:tcPr>
            <w:tcW w:w="1530" w:type="dxa"/>
            <w:tcBorders>
              <w:top w:val="nil"/>
              <w:left w:val="nil"/>
              <w:bottom w:val="single" w:sz="4" w:space="0" w:color="auto"/>
              <w:right w:val="single" w:sz="4" w:space="0" w:color="auto"/>
            </w:tcBorders>
            <w:shd w:val="clear" w:color="auto" w:fill="auto"/>
            <w:noWrap/>
            <w:vAlign w:val="center"/>
            <w:hideMark/>
          </w:tcPr>
          <w:p w14:paraId="457377A1" w14:textId="02EF8070" w:rsidR="00177C49" w:rsidRPr="004F5401" w:rsidRDefault="00177C49" w:rsidP="00FF0EE8">
            <w:pPr>
              <w:autoSpaceDE/>
              <w:autoSpaceDN/>
              <w:adjustRightInd/>
              <w:spacing w:line="240" w:lineRule="auto"/>
              <w:jc w:val="center"/>
              <w:rPr>
                <w:color w:val="000000"/>
                <w:sz w:val="20"/>
                <w:szCs w:val="20"/>
              </w:rPr>
            </w:pPr>
            <w:r w:rsidRPr="004F5401">
              <w:rPr>
                <w:sz w:val="20"/>
                <w:szCs w:val="20"/>
              </w:rPr>
              <w:t>0.75</w:t>
            </w:r>
          </w:p>
        </w:tc>
        <w:tc>
          <w:tcPr>
            <w:tcW w:w="1439" w:type="dxa"/>
            <w:tcBorders>
              <w:top w:val="nil"/>
              <w:left w:val="nil"/>
              <w:bottom w:val="single" w:sz="4" w:space="0" w:color="auto"/>
              <w:right w:val="single" w:sz="4" w:space="0" w:color="auto"/>
            </w:tcBorders>
            <w:shd w:val="clear" w:color="auto" w:fill="auto"/>
            <w:vAlign w:val="center"/>
            <w:hideMark/>
          </w:tcPr>
          <w:p w14:paraId="79C1242A" w14:textId="73AB9537" w:rsidR="00177C49" w:rsidRPr="004F5401" w:rsidRDefault="00177C49" w:rsidP="00FF0EE8">
            <w:pPr>
              <w:autoSpaceDE/>
              <w:autoSpaceDN/>
              <w:adjustRightInd/>
              <w:spacing w:line="240" w:lineRule="auto"/>
              <w:jc w:val="center"/>
              <w:rPr>
                <w:color w:val="000000"/>
                <w:sz w:val="20"/>
                <w:szCs w:val="20"/>
              </w:rPr>
            </w:pPr>
            <w:r w:rsidRPr="004F5401">
              <w:rPr>
                <w:sz w:val="20"/>
                <w:szCs w:val="20"/>
              </w:rPr>
              <w:t>6</w:t>
            </w:r>
          </w:p>
        </w:tc>
        <w:tc>
          <w:tcPr>
            <w:tcW w:w="1586" w:type="dxa"/>
            <w:tcBorders>
              <w:top w:val="nil"/>
              <w:left w:val="nil"/>
              <w:bottom w:val="single" w:sz="4" w:space="0" w:color="auto"/>
              <w:right w:val="single" w:sz="4" w:space="0" w:color="auto"/>
            </w:tcBorders>
            <w:shd w:val="clear" w:color="auto" w:fill="auto"/>
            <w:noWrap/>
            <w:vAlign w:val="center"/>
            <w:hideMark/>
          </w:tcPr>
          <w:p w14:paraId="019566CF" w14:textId="4187AD88" w:rsidR="00177C49" w:rsidRPr="004F5401" w:rsidRDefault="00177C49" w:rsidP="00FF0EE8">
            <w:pPr>
              <w:autoSpaceDE/>
              <w:autoSpaceDN/>
              <w:adjustRightInd/>
              <w:spacing w:line="240" w:lineRule="auto"/>
              <w:jc w:val="center"/>
              <w:rPr>
                <w:color w:val="000000"/>
                <w:sz w:val="20"/>
                <w:szCs w:val="20"/>
              </w:rPr>
            </w:pPr>
            <w:r w:rsidRPr="004F5401">
              <w:rPr>
                <w:sz w:val="20"/>
                <w:szCs w:val="20"/>
              </w:rPr>
              <w:t xml:space="preserve">$45,250 </w:t>
            </w:r>
          </w:p>
        </w:tc>
        <w:tc>
          <w:tcPr>
            <w:tcW w:w="1683" w:type="dxa"/>
            <w:tcBorders>
              <w:top w:val="nil"/>
              <w:left w:val="nil"/>
              <w:bottom w:val="single" w:sz="4" w:space="0" w:color="auto"/>
              <w:right w:val="single" w:sz="4" w:space="0" w:color="auto"/>
            </w:tcBorders>
            <w:shd w:val="clear" w:color="auto" w:fill="auto"/>
            <w:noWrap/>
            <w:vAlign w:val="center"/>
            <w:hideMark/>
          </w:tcPr>
          <w:p w14:paraId="5B95B6F0" w14:textId="139E03EB" w:rsidR="00177C49" w:rsidRPr="004F5401" w:rsidRDefault="00177C49" w:rsidP="00FF0EE8">
            <w:pPr>
              <w:autoSpaceDE/>
              <w:autoSpaceDN/>
              <w:adjustRightInd/>
              <w:spacing w:line="240" w:lineRule="auto"/>
              <w:jc w:val="center"/>
              <w:rPr>
                <w:sz w:val="20"/>
                <w:szCs w:val="20"/>
              </w:rPr>
            </w:pPr>
            <w:r w:rsidRPr="004F5401">
              <w:rPr>
                <w:sz w:val="20"/>
                <w:szCs w:val="20"/>
              </w:rPr>
              <w:t>($203,625)</w:t>
            </w:r>
          </w:p>
        </w:tc>
        <w:tc>
          <w:tcPr>
            <w:tcW w:w="1281" w:type="dxa"/>
            <w:tcBorders>
              <w:top w:val="nil"/>
              <w:left w:val="nil"/>
              <w:bottom w:val="single" w:sz="4" w:space="0" w:color="auto"/>
              <w:right w:val="single" w:sz="4" w:space="0" w:color="auto"/>
            </w:tcBorders>
            <w:shd w:val="clear" w:color="auto" w:fill="auto"/>
            <w:noWrap/>
            <w:vAlign w:val="center"/>
            <w:hideMark/>
          </w:tcPr>
          <w:p w14:paraId="199807AF" w14:textId="66BDBACD" w:rsidR="00177C49" w:rsidRPr="004F5401" w:rsidRDefault="00177C49" w:rsidP="00FF0EE8">
            <w:pPr>
              <w:autoSpaceDE/>
              <w:autoSpaceDN/>
              <w:adjustRightInd/>
              <w:spacing w:line="240" w:lineRule="auto"/>
              <w:jc w:val="center"/>
              <w:rPr>
                <w:sz w:val="20"/>
                <w:szCs w:val="20"/>
              </w:rPr>
            </w:pPr>
            <w:r w:rsidRPr="004F5401">
              <w:rPr>
                <w:sz w:val="20"/>
                <w:szCs w:val="20"/>
              </w:rPr>
              <w:t>($177,854)</w:t>
            </w:r>
          </w:p>
        </w:tc>
        <w:tc>
          <w:tcPr>
            <w:tcW w:w="1281" w:type="dxa"/>
            <w:tcBorders>
              <w:top w:val="nil"/>
              <w:left w:val="nil"/>
              <w:bottom w:val="single" w:sz="4" w:space="0" w:color="auto"/>
              <w:right w:val="single" w:sz="4" w:space="0" w:color="auto"/>
            </w:tcBorders>
            <w:shd w:val="clear" w:color="auto" w:fill="auto"/>
            <w:noWrap/>
            <w:vAlign w:val="center"/>
            <w:hideMark/>
          </w:tcPr>
          <w:p w14:paraId="786B7221" w14:textId="7796A390" w:rsidR="00177C49" w:rsidRPr="004F5401" w:rsidRDefault="00177C49" w:rsidP="00FF0EE8">
            <w:pPr>
              <w:autoSpaceDE/>
              <w:autoSpaceDN/>
              <w:adjustRightInd/>
              <w:spacing w:line="240" w:lineRule="auto"/>
              <w:jc w:val="center"/>
              <w:rPr>
                <w:sz w:val="20"/>
                <w:szCs w:val="20"/>
              </w:rPr>
            </w:pPr>
            <w:r w:rsidRPr="004F5401">
              <w:rPr>
                <w:sz w:val="20"/>
                <w:szCs w:val="20"/>
              </w:rPr>
              <w:t>($191,936)</w:t>
            </w:r>
          </w:p>
        </w:tc>
      </w:tr>
      <w:tr w:rsidR="00177C49" w:rsidRPr="00EA698A" w14:paraId="1B6A3E64" w14:textId="77777777" w:rsidTr="004F5401">
        <w:trPr>
          <w:trHeight w:val="288"/>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04CFBACC" w14:textId="51D7F22E" w:rsidR="00177C49" w:rsidRPr="004F5401" w:rsidRDefault="00177C49" w:rsidP="00FF0EE8">
            <w:pPr>
              <w:autoSpaceDE/>
              <w:autoSpaceDN/>
              <w:adjustRightInd/>
              <w:spacing w:line="240" w:lineRule="auto"/>
              <w:jc w:val="center"/>
              <w:rPr>
                <w:color w:val="000000"/>
                <w:sz w:val="20"/>
                <w:szCs w:val="20"/>
              </w:rPr>
            </w:pPr>
            <w:r w:rsidRPr="004F5401">
              <w:rPr>
                <w:sz w:val="20"/>
                <w:szCs w:val="20"/>
              </w:rPr>
              <w:t>2020</w:t>
            </w:r>
          </w:p>
        </w:tc>
        <w:tc>
          <w:tcPr>
            <w:tcW w:w="1530" w:type="dxa"/>
            <w:tcBorders>
              <w:top w:val="nil"/>
              <w:left w:val="nil"/>
              <w:bottom w:val="single" w:sz="4" w:space="0" w:color="auto"/>
              <w:right w:val="single" w:sz="4" w:space="0" w:color="auto"/>
            </w:tcBorders>
            <w:shd w:val="clear" w:color="auto" w:fill="auto"/>
            <w:noWrap/>
            <w:vAlign w:val="center"/>
            <w:hideMark/>
          </w:tcPr>
          <w:p w14:paraId="303DDBB5" w14:textId="1CFE234E" w:rsidR="00177C49" w:rsidRPr="004F5401" w:rsidRDefault="00177C49" w:rsidP="00FF0EE8">
            <w:pPr>
              <w:autoSpaceDE/>
              <w:autoSpaceDN/>
              <w:adjustRightInd/>
              <w:spacing w:line="240" w:lineRule="auto"/>
              <w:jc w:val="center"/>
              <w:rPr>
                <w:color w:val="000000"/>
                <w:sz w:val="20"/>
                <w:szCs w:val="20"/>
              </w:rPr>
            </w:pPr>
            <w:r w:rsidRPr="004F5401">
              <w:rPr>
                <w:sz w:val="20"/>
                <w:szCs w:val="20"/>
              </w:rPr>
              <w:t>0.75</w:t>
            </w:r>
          </w:p>
        </w:tc>
        <w:tc>
          <w:tcPr>
            <w:tcW w:w="1439" w:type="dxa"/>
            <w:tcBorders>
              <w:top w:val="nil"/>
              <w:left w:val="nil"/>
              <w:bottom w:val="single" w:sz="4" w:space="0" w:color="auto"/>
              <w:right w:val="single" w:sz="4" w:space="0" w:color="auto"/>
            </w:tcBorders>
            <w:shd w:val="clear" w:color="auto" w:fill="auto"/>
            <w:vAlign w:val="center"/>
            <w:hideMark/>
          </w:tcPr>
          <w:p w14:paraId="5022800D" w14:textId="11EF512D" w:rsidR="00177C49" w:rsidRPr="004F5401" w:rsidRDefault="00177C49" w:rsidP="00FF0EE8">
            <w:pPr>
              <w:autoSpaceDE/>
              <w:autoSpaceDN/>
              <w:adjustRightInd/>
              <w:spacing w:line="240" w:lineRule="auto"/>
              <w:jc w:val="center"/>
              <w:rPr>
                <w:color w:val="000000"/>
                <w:sz w:val="20"/>
                <w:szCs w:val="20"/>
              </w:rPr>
            </w:pPr>
            <w:r w:rsidRPr="004F5401">
              <w:rPr>
                <w:sz w:val="20"/>
                <w:szCs w:val="20"/>
              </w:rPr>
              <w:t>6</w:t>
            </w:r>
          </w:p>
        </w:tc>
        <w:tc>
          <w:tcPr>
            <w:tcW w:w="1586" w:type="dxa"/>
            <w:tcBorders>
              <w:top w:val="nil"/>
              <w:left w:val="nil"/>
              <w:bottom w:val="single" w:sz="4" w:space="0" w:color="auto"/>
              <w:right w:val="single" w:sz="4" w:space="0" w:color="auto"/>
            </w:tcBorders>
            <w:shd w:val="clear" w:color="auto" w:fill="auto"/>
            <w:noWrap/>
            <w:vAlign w:val="center"/>
            <w:hideMark/>
          </w:tcPr>
          <w:p w14:paraId="56974FA2" w14:textId="0A288EA0" w:rsidR="00177C49" w:rsidRPr="004F5401" w:rsidRDefault="00177C49" w:rsidP="00FF0EE8">
            <w:pPr>
              <w:autoSpaceDE/>
              <w:autoSpaceDN/>
              <w:adjustRightInd/>
              <w:spacing w:line="240" w:lineRule="auto"/>
              <w:jc w:val="center"/>
              <w:rPr>
                <w:color w:val="000000"/>
                <w:sz w:val="20"/>
                <w:szCs w:val="20"/>
              </w:rPr>
            </w:pPr>
            <w:r w:rsidRPr="004F5401">
              <w:rPr>
                <w:sz w:val="20"/>
                <w:szCs w:val="20"/>
              </w:rPr>
              <w:t xml:space="preserve">$45,250 </w:t>
            </w:r>
          </w:p>
        </w:tc>
        <w:tc>
          <w:tcPr>
            <w:tcW w:w="1683" w:type="dxa"/>
            <w:tcBorders>
              <w:top w:val="nil"/>
              <w:left w:val="nil"/>
              <w:bottom w:val="single" w:sz="4" w:space="0" w:color="auto"/>
              <w:right w:val="single" w:sz="4" w:space="0" w:color="auto"/>
            </w:tcBorders>
            <w:shd w:val="clear" w:color="auto" w:fill="auto"/>
            <w:noWrap/>
            <w:vAlign w:val="center"/>
            <w:hideMark/>
          </w:tcPr>
          <w:p w14:paraId="05D6DCB0" w14:textId="45E09BF8" w:rsidR="00177C49" w:rsidRPr="004F5401" w:rsidRDefault="00177C49" w:rsidP="00FF0EE8">
            <w:pPr>
              <w:autoSpaceDE/>
              <w:autoSpaceDN/>
              <w:adjustRightInd/>
              <w:spacing w:line="240" w:lineRule="auto"/>
              <w:jc w:val="center"/>
              <w:rPr>
                <w:sz w:val="20"/>
                <w:szCs w:val="20"/>
              </w:rPr>
            </w:pPr>
            <w:r w:rsidRPr="004F5401">
              <w:rPr>
                <w:sz w:val="20"/>
                <w:szCs w:val="20"/>
              </w:rPr>
              <w:t>($203,625)</w:t>
            </w:r>
          </w:p>
        </w:tc>
        <w:tc>
          <w:tcPr>
            <w:tcW w:w="1281" w:type="dxa"/>
            <w:tcBorders>
              <w:top w:val="nil"/>
              <w:left w:val="nil"/>
              <w:bottom w:val="single" w:sz="4" w:space="0" w:color="auto"/>
              <w:right w:val="single" w:sz="4" w:space="0" w:color="auto"/>
            </w:tcBorders>
            <w:shd w:val="clear" w:color="auto" w:fill="auto"/>
            <w:noWrap/>
            <w:vAlign w:val="center"/>
            <w:hideMark/>
          </w:tcPr>
          <w:p w14:paraId="1EDCEF75" w14:textId="402E6E9F" w:rsidR="00177C49" w:rsidRPr="004F5401" w:rsidRDefault="00177C49" w:rsidP="00FF0EE8">
            <w:pPr>
              <w:autoSpaceDE/>
              <w:autoSpaceDN/>
              <w:adjustRightInd/>
              <w:spacing w:line="240" w:lineRule="auto"/>
              <w:jc w:val="center"/>
              <w:rPr>
                <w:sz w:val="20"/>
                <w:szCs w:val="20"/>
              </w:rPr>
            </w:pPr>
            <w:r w:rsidRPr="004F5401">
              <w:rPr>
                <w:sz w:val="20"/>
                <w:szCs w:val="20"/>
              </w:rPr>
              <w:t>($166,219)</w:t>
            </w:r>
          </w:p>
        </w:tc>
        <w:tc>
          <w:tcPr>
            <w:tcW w:w="1281" w:type="dxa"/>
            <w:tcBorders>
              <w:top w:val="nil"/>
              <w:left w:val="nil"/>
              <w:bottom w:val="single" w:sz="4" w:space="0" w:color="auto"/>
              <w:right w:val="single" w:sz="4" w:space="0" w:color="auto"/>
            </w:tcBorders>
            <w:shd w:val="clear" w:color="auto" w:fill="auto"/>
            <w:noWrap/>
            <w:vAlign w:val="center"/>
            <w:hideMark/>
          </w:tcPr>
          <w:p w14:paraId="1CDB12BB" w14:textId="27CEF11C" w:rsidR="00177C49" w:rsidRPr="004F5401" w:rsidRDefault="00177C49" w:rsidP="00FF0EE8">
            <w:pPr>
              <w:autoSpaceDE/>
              <w:autoSpaceDN/>
              <w:adjustRightInd/>
              <w:spacing w:line="240" w:lineRule="auto"/>
              <w:jc w:val="center"/>
              <w:rPr>
                <w:sz w:val="20"/>
                <w:szCs w:val="20"/>
              </w:rPr>
            </w:pPr>
            <w:r w:rsidRPr="004F5401">
              <w:rPr>
                <w:sz w:val="20"/>
                <w:szCs w:val="20"/>
              </w:rPr>
              <w:t>($186,346)</w:t>
            </w:r>
          </w:p>
        </w:tc>
      </w:tr>
      <w:tr w:rsidR="00177C49" w:rsidRPr="00EA698A" w14:paraId="50C4DCA1" w14:textId="77777777" w:rsidTr="004F5401">
        <w:trPr>
          <w:trHeight w:val="288"/>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55E84D7B" w14:textId="4D249FA7" w:rsidR="00177C49" w:rsidRPr="004F5401" w:rsidRDefault="00177C49" w:rsidP="00FF0EE8">
            <w:pPr>
              <w:autoSpaceDE/>
              <w:autoSpaceDN/>
              <w:adjustRightInd/>
              <w:spacing w:line="240" w:lineRule="auto"/>
              <w:jc w:val="center"/>
              <w:rPr>
                <w:color w:val="000000"/>
                <w:sz w:val="20"/>
                <w:szCs w:val="20"/>
              </w:rPr>
            </w:pPr>
            <w:r w:rsidRPr="004F5401">
              <w:rPr>
                <w:sz w:val="20"/>
                <w:szCs w:val="20"/>
              </w:rPr>
              <w:t>2021</w:t>
            </w:r>
          </w:p>
        </w:tc>
        <w:tc>
          <w:tcPr>
            <w:tcW w:w="1530" w:type="dxa"/>
            <w:tcBorders>
              <w:top w:val="nil"/>
              <w:left w:val="nil"/>
              <w:bottom w:val="single" w:sz="4" w:space="0" w:color="auto"/>
              <w:right w:val="single" w:sz="4" w:space="0" w:color="auto"/>
            </w:tcBorders>
            <w:shd w:val="clear" w:color="auto" w:fill="auto"/>
            <w:noWrap/>
            <w:vAlign w:val="center"/>
            <w:hideMark/>
          </w:tcPr>
          <w:p w14:paraId="4BF148A4" w14:textId="55EFC53F" w:rsidR="00177C49" w:rsidRPr="004F5401" w:rsidRDefault="00177C49" w:rsidP="00FF0EE8">
            <w:pPr>
              <w:autoSpaceDE/>
              <w:autoSpaceDN/>
              <w:adjustRightInd/>
              <w:spacing w:line="240" w:lineRule="auto"/>
              <w:jc w:val="center"/>
              <w:rPr>
                <w:color w:val="000000"/>
                <w:sz w:val="20"/>
                <w:szCs w:val="20"/>
              </w:rPr>
            </w:pPr>
            <w:r w:rsidRPr="004F5401">
              <w:rPr>
                <w:sz w:val="20"/>
                <w:szCs w:val="20"/>
              </w:rPr>
              <w:t>0.75</w:t>
            </w:r>
          </w:p>
        </w:tc>
        <w:tc>
          <w:tcPr>
            <w:tcW w:w="1439" w:type="dxa"/>
            <w:tcBorders>
              <w:top w:val="nil"/>
              <w:left w:val="nil"/>
              <w:bottom w:val="single" w:sz="4" w:space="0" w:color="auto"/>
              <w:right w:val="single" w:sz="4" w:space="0" w:color="auto"/>
            </w:tcBorders>
            <w:shd w:val="clear" w:color="auto" w:fill="auto"/>
            <w:vAlign w:val="center"/>
            <w:hideMark/>
          </w:tcPr>
          <w:p w14:paraId="027C9712" w14:textId="3CFB3D32" w:rsidR="00177C49" w:rsidRPr="004F5401" w:rsidRDefault="00177C49" w:rsidP="00FF0EE8">
            <w:pPr>
              <w:autoSpaceDE/>
              <w:autoSpaceDN/>
              <w:adjustRightInd/>
              <w:spacing w:line="240" w:lineRule="auto"/>
              <w:jc w:val="center"/>
              <w:rPr>
                <w:color w:val="000000"/>
                <w:sz w:val="20"/>
                <w:szCs w:val="20"/>
              </w:rPr>
            </w:pPr>
            <w:r w:rsidRPr="004F5401">
              <w:rPr>
                <w:sz w:val="20"/>
                <w:szCs w:val="20"/>
              </w:rPr>
              <w:t>6</w:t>
            </w:r>
          </w:p>
        </w:tc>
        <w:tc>
          <w:tcPr>
            <w:tcW w:w="1586" w:type="dxa"/>
            <w:tcBorders>
              <w:top w:val="nil"/>
              <w:left w:val="nil"/>
              <w:bottom w:val="single" w:sz="4" w:space="0" w:color="auto"/>
              <w:right w:val="single" w:sz="4" w:space="0" w:color="auto"/>
            </w:tcBorders>
            <w:shd w:val="clear" w:color="auto" w:fill="auto"/>
            <w:noWrap/>
            <w:vAlign w:val="center"/>
            <w:hideMark/>
          </w:tcPr>
          <w:p w14:paraId="00BC38B4" w14:textId="5617BD2E" w:rsidR="00177C49" w:rsidRPr="004F5401" w:rsidRDefault="00177C49" w:rsidP="00FF0EE8">
            <w:pPr>
              <w:autoSpaceDE/>
              <w:autoSpaceDN/>
              <w:adjustRightInd/>
              <w:spacing w:line="240" w:lineRule="auto"/>
              <w:jc w:val="center"/>
              <w:rPr>
                <w:color w:val="000000"/>
                <w:sz w:val="20"/>
                <w:szCs w:val="20"/>
              </w:rPr>
            </w:pPr>
            <w:r w:rsidRPr="004F5401">
              <w:rPr>
                <w:sz w:val="20"/>
                <w:szCs w:val="20"/>
              </w:rPr>
              <w:t xml:space="preserve">$45,250 </w:t>
            </w:r>
          </w:p>
        </w:tc>
        <w:tc>
          <w:tcPr>
            <w:tcW w:w="1683" w:type="dxa"/>
            <w:tcBorders>
              <w:top w:val="nil"/>
              <w:left w:val="nil"/>
              <w:bottom w:val="single" w:sz="4" w:space="0" w:color="auto"/>
              <w:right w:val="single" w:sz="4" w:space="0" w:color="auto"/>
            </w:tcBorders>
            <w:shd w:val="clear" w:color="auto" w:fill="auto"/>
            <w:noWrap/>
            <w:vAlign w:val="center"/>
            <w:hideMark/>
          </w:tcPr>
          <w:p w14:paraId="4FD7F67B" w14:textId="0606CBD9" w:rsidR="00177C49" w:rsidRPr="004F5401" w:rsidRDefault="00177C49" w:rsidP="00FF0EE8">
            <w:pPr>
              <w:autoSpaceDE/>
              <w:autoSpaceDN/>
              <w:adjustRightInd/>
              <w:spacing w:line="240" w:lineRule="auto"/>
              <w:jc w:val="center"/>
              <w:rPr>
                <w:sz w:val="20"/>
                <w:szCs w:val="20"/>
              </w:rPr>
            </w:pPr>
            <w:r w:rsidRPr="004F5401">
              <w:rPr>
                <w:sz w:val="20"/>
                <w:szCs w:val="20"/>
              </w:rPr>
              <w:t>($203,625)</w:t>
            </w:r>
          </w:p>
        </w:tc>
        <w:tc>
          <w:tcPr>
            <w:tcW w:w="1281" w:type="dxa"/>
            <w:tcBorders>
              <w:top w:val="nil"/>
              <w:left w:val="nil"/>
              <w:bottom w:val="single" w:sz="4" w:space="0" w:color="auto"/>
              <w:right w:val="single" w:sz="4" w:space="0" w:color="auto"/>
            </w:tcBorders>
            <w:shd w:val="clear" w:color="auto" w:fill="auto"/>
            <w:noWrap/>
            <w:vAlign w:val="center"/>
            <w:hideMark/>
          </w:tcPr>
          <w:p w14:paraId="2B17BA26" w14:textId="676EA7D3" w:rsidR="00177C49" w:rsidRPr="004F5401" w:rsidRDefault="00177C49" w:rsidP="00FF0EE8">
            <w:pPr>
              <w:autoSpaceDE/>
              <w:autoSpaceDN/>
              <w:adjustRightInd/>
              <w:spacing w:line="240" w:lineRule="auto"/>
              <w:jc w:val="center"/>
              <w:rPr>
                <w:sz w:val="20"/>
                <w:szCs w:val="20"/>
              </w:rPr>
            </w:pPr>
            <w:r w:rsidRPr="004F5401">
              <w:rPr>
                <w:sz w:val="20"/>
                <w:szCs w:val="20"/>
              </w:rPr>
              <w:t>($155,345)</w:t>
            </w:r>
          </w:p>
        </w:tc>
        <w:tc>
          <w:tcPr>
            <w:tcW w:w="1281" w:type="dxa"/>
            <w:tcBorders>
              <w:top w:val="nil"/>
              <w:left w:val="nil"/>
              <w:bottom w:val="single" w:sz="4" w:space="0" w:color="auto"/>
              <w:right w:val="single" w:sz="4" w:space="0" w:color="auto"/>
            </w:tcBorders>
            <w:shd w:val="clear" w:color="auto" w:fill="auto"/>
            <w:noWrap/>
            <w:vAlign w:val="center"/>
            <w:hideMark/>
          </w:tcPr>
          <w:p w14:paraId="484D18FF" w14:textId="14E18356" w:rsidR="00177C49" w:rsidRPr="004F5401" w:rsidRDefault="00177C49" w:rsidP="00FF0EE8">
            <w:pPr>
              <w:autoSpaceDE/>
              <w:autoSpaceDN/>
              <w:adjustRightInd/>
              <w:spacing w:line="240" w:lineRule="auto"/>
              <w:jc w:val="center"/>
              <w:rPr>
                <w:sz w:val="20"/>
                <w:szCs w:val="20"/>
              </w:rPr>
            </w:pPr>
            <w:r w:rsidRPr="004F5401">
              <w:rPr>
                <w:sz w:val="20"/>
                <w:szCs w:val="20"/>
              </w:rPr>
              <w:t>($180,918)</w:t>
            </w:r>
          </w:p>
        </w:tc>
      </w:tr>
      <w:tr w:rsidR="00177C49" w:rsidRPr="00EA698A" w14:paraId="43448A87" w14:textId="77777777" w:rsidTr="004F5401">
        <w:trPr>
          <w:trHeight w:val="288"/>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2B50FF35" w14:textId="5FF49836" w:rsidR="00177C49" w:rsidRPr="004F5401" w:rsidRDefault="00177C49" w:rsidP="00FF0EE8">
            <w:pPr>
              <w:autoSpaceDE/>
              <w:autoSpaceDN/>
              <w:adjustRightInd/>
              <w:spacing w:line="240" w:lineRule="auto"/>
              <w:jc w:val="center"/>
              <w:rPr>
                <w:color w:val="000000"/>
                <w:sz w:val="20"/>
                <w:szCs w:val="20"/>
              </w:rPr>
            </w:pPr>
            <w:r w:rsidRPr="004F5401">
              <w:rPr>
                <w:sz w:val="20"/>
                <w:szCs w:val="20"/>
              </w:rPr>
              <w:t>2022</w:t>
            </w:r>
          </w:p>
        </w:tc>
        <w:tc>
          <w:tcPr>
            <w:tcW w:w="1530" w:type="dxa"/>
            <w:tcBorders>
              <w:top w:val="nil"/>
              <w:left w:val="nil"/>
              <w:bottom w:val="single" w:sz="4" w:space="0" w:color="auto"/>
              <w:right w:val="single" w:sz="4" w:space="0" w:color="auto"/>
            </w:tcBorders>
            <w:shd w:val="clear" w:color="auto" w:fill="auto"/>
            <w:noWrap/>
            <w:vAlign w:val="center"/>
            <w:hideMark/>
          </w:tcPr>
          <w:p w14:paraId="5D5B4B40" w14:textId="641EB881" w:rsidR="00177C49" w:rsidRPr="004F5401" w:rsidRDefault="00177C49" w:rsidP="00FF0EE8">
            <w:pPr>
              <w:autoSpaceDE/>
              <w:autoSpaceDN/>
              <w:adjustRightInd/>
              <w:spacing w:line="240" w:lineRule="auto"/>
              <w:jc w:val="center"/>
              <w:rPr>
                <w:color w:val="000000"/>
                <w:sz w:val="20"/>
                <w:szCs w:val="20"/>
              </w:rPr>
            </w:pPr>
            <w:r w:rsidRPr="004F5401">
              <w:rPr>
                <w:sz w:val="20"/>
                <w:szCs w:val="20"/>
              </w:rPr>
              <w:t>0.75</w:t>
            </w:r>
          </w:p>
        </w:tc>
        <w:tc>
          <w:tcPr>
            <w:tcW w:w="1439" w:type="dxa"/>
            <w:tcBorders>
              <w:top w:val="nil"/>
              <w:left w:val="nil"/>
              <w:bottom w:val="single" w:sz="4" w:space="0" w:color="auto"/>
              <w:right w:val="single" w:sz="4" w:space="0" w:color="auto"/>
            </w:tcBorders>
            <w:shd w:val="clear" w:color="auto" w:fill="auto"/>
            <w:vAlign w:val="center"/>
            <w:hideMark/>
          </w:tcPr>
          <w:p w14:paraId="1262BC88" w14:textId="53A21F83" w:rsidR="00177C49" w:rsidRPr="004F5401" w:rsidRDefault="00177C49" w:rsidP="00FF0EE8">
            <w:pPr>
              <w:autoSpaceDE/>
              <w:autoSpaceDN/>
              <w:adjustRightInd/>
              <w:spacing w:line="240" w:lineRule="auto"/>
              <w:jc w:val="center"/>
              <w:rPr>
                <w:color w:val="000000"/>
                <w:sz w:val="20"/>
                <w:szCs w:val="20"/>
              </w:rPr>
            </w:pPr>
            <w:r w:rsidRPr="004F5401">
              <w:rPr>
                <w:sz w:val="20"/>
                <w:szCs w:val="20"/>
              </w:rPr>
              <w:t>6</w:t>
            </w:r>
          </w:p>
        </w:tc>
        <w:tc>
          <w:tcPr>
            <w:tcW w:w="1586" w:type="dxa"/>
            <w:tcBorders>
              <w:top w:val="nil"/>
              <w:left w:val="nil"/>
              <w:bottom w:val="single" w:sz="4" w:space="0" w:color="auto"/>
              <w:right w:val="single" w:sz="4" w:space="0" w:color="auto"/>
            </w:tcBorders>
            <w:shd w:val="clear" w:color="auto" w:fill="auto"/>
            <w:noWrap/>
            <w:vAlign w:val="center"/>
            <w:hideMark/>
          </w:tcPr>
          <w:p w14:paraId="70E75E8E" w14:textId="456A6759" w:rsidR="00177C49" w:rsidRPr="004F5401" w:rsidRDefault="00177C49" w:rsidP="00FF0EE8">
            <w:pPr>
              <w:autoSpaceDE/>
              <w:autoSpaceDN/>
              <w:adjustRightInd/>
              <w:spacing w:line="240" w:lineRule="auto"/>
              <w:jc w:val="center"/>
              <w:rPr>
                <w:color w:val="000000"/>
                <w:sz w:val="20"/>
                <w:szCs w:val="20"/>
              </w:rPr>
            </w:pPr>
            <w:r w:rsidRPr="004F5401">
              <w:rPr>
                <w:sz w:val="20"/>
                <w:szCs w:val="20"/>
              </w:rPr>
              <w:t xml:space="preserve">$45,250 </w:t>
            </w:r>
          </w:p>
        </w:tc>
        <w:tc>
          <w:tcPr>
            <w:tcW w:w="1683" w:type="dxa"/>
            <w:tcBorders>
              <w:top w:val="nil"/>
              <w:left w:val="nil"/>
              <w:bottom w:val="single" w:sz="4" w:space="0" w:color="auto"/>
              <w:right w:val="single" w:sz="4" w:space="0" w:color="auto"/>
            </w:tcBorders>
            <w:shd w:val="clear" w:color="auto" w:fill="auto"/>
            <w:noWrap/>
            <w:vAlign w:val="center"/>
            <w:hideMark/>
          </w:tcPr>
          <w:p w14:paraId="772373C8" w14:textId="3D0DA703" w:rsidR="00177C49" w:rsidRPr="004F5401" w:rsidRDefault="00177C49" w:rsidP="00FF0EE8">
            <w:pPr>
              <w:autoSpaceDE/>
              <w:autoSpaceDN/>
              <w:adjustRightInd/>
              <w:spacing w:line="240" w:lineRule="auto"/>
              <w:jc w:val="center"/>
              <w:rPr>
                <w:sz w:val="20"/>
                <w:szCs w:val="20"/>
              </w:rPr>
            </w:pPr>
            <w:r w:rsidRPr="004F5401">
              <w:rPr>
                <w:sz w:val="20"/>
                <w:szCs w:val="20"/>
              </w:rPr>
              <w:t>($203,625)</w:t>
            </w:r>
          </w:p>
        </w:tc>
        <w:tc>
          <w:tcPr>
            <w:tcW w:w="1281" w:type="dxa"/>
            <w:tcBorders>
              <w:top w:val="nil"/>
              <w:left w:val="nil"/>
              <w:bottom w:val="single" w:sz="4" w:space="0" w:color="auto"/>
              <w:right w:val="single" w:sz="4" w:space="0" w:color="auto"/>
            </w:tcBorders>
            <w:shd w:val="clear" w:color="auto" w:fill="auto"/>
            <w:noWrap/>
            <w:vAlign w:val="center"/>
            <w:hideMark/>
          </w:tcPr>
          <w:p w14:paraId="261DA5C9" w14:textId="04CEDCF5" w:rsidR="00177C49" w:rsidRPr="004F5401" w:rsidRDefault="00177C49" w:rsidP="00FF0EE8">
            <w:pPr>
              <w:autoSpaceDE/>
              <w:autoSpaceDN/>
              <w:adjustRightInd/>
              <w:spacing w:line="240" w:lineRule="auto"/>
              <w:jc w:val="center"/>
              <w:rPr>
                <w:sz w:val="20"/>
                <w:szCs w:val="20"/>
              </w:rPr>
            </w:pPr>
            <w:r w:rsidRPr="004F5401">
              <w:rPr>
                <w:sz w:val="20"/>
                <w:szCs w:val="20"/>
              </w:rPr>
              <w:t>($145,182)</w:t>
            </w:r>
          </w:p>
        </w:tc>
        <w:tc>
          <w:tcPr>
            <w:tcW w:w="1281" w:type="dxa"/>
            <w:tcBorders>
              <w:top w:val="nil"/>
              <w:left w:val="nil"/>
              <w:bottom w:val="single" w:sz="4" w:space="0" w:color="auto"/>
              <w:right w:val="single" w:sz="4" w:space="0" w:color="auto"/>
            </w:tcBorders>
            <w:shd w:val="clear" w:color="auto" w:fill="auto"/>
            <w:noWrap/>
            <w:vAlign w:val="center"/>
            <w:hideMark/>
          </w:tcPr>
          <w:p w14:paraId="5A6DD9AC" w14:textId="739FEA1F" w:rsidR="00177C49" w:rsidRPr="004F5401" w:rsidRDefault="00177C49" w:rsidP="00FF0EE8">
            <w:pPr>
              <w:autoSpaceDE/>
              <w:autoSpaceDN/>
              <w:adjustRightInd/>
              <w:spacing w:line="240" w:lineRule="auto"/>
              <w:jc w:val="center"/>
              <w:rPr>
                <w:sz w:val="20"/>
                <w:szCs w:val="20"/>
              </w:rPr>
            </w:pPr>
            <w:r w:rsidRPr="004F5401">
              <w:rPr>
                <w:sz w:val="20"/>
                <w:szCs w:val="20"/>
              </w:rPr>
              <w:t>($175,649)</w:t>
            </w:r>
          </w:p>
        </w:tc>
      </w:tr>
      <w:tr w:rsidR="00177C49" w:rsidRPr="00EA698A" w14:paraId="445B7D5E" w14:textId="77777777" w:rsidTr="004F5401">
        <w:trPr>
          <w:trHeight w:val="288"/>
        </w:trPr>
        <w:tc>
          <w:tcPr>
            <w:tcW w:w="526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7833E3A" w14:textId="77777777" w:rsidR="00177C49" w:rsidRPr="004F5401" w:rsidRDefault="00177C49" w:rsidP="00FF0EE8">
            <w:pPr>
              <w:autoSpaceDE/>
              <w:autoSpaceDN/>
              <w:adjustRightInd/>
              <w:spacing w:line="240" w:lineRule="auto"/>
              <w:jc w:val="right"/>
              <w:rPr>
                <w:b/>
                <w:color w:val="000000"/>
                <w:sz w:val="20"/>
                <w:szCs w:val="20"/>
              </w:rPr>
            </w:pPr>
            <w:r w:rsidRPr="004F5401">
              <w:rPr>
                <w:b/>
                <w:color w:val="000000"/>
                <w:sz w:val="20"/>
                <w:szCs w:val="20"/>
              </w:rPr>
              <w:t>Total Cost</w:t>
            </w:r>
          </w:p>
        </w:tc>
        <w:tc>
          <w:tcPr>
            <w:tcW w:w="1683" w:type="dxa"/>
            <w:tcBorders>
              <w:top w:val="nil"/>
              <w:left w:val="nil"/>
              <w:bottom w:val="single" w:sz="4" w:space="0" w:color="auto"/>
              <w:right w:val="single" w:sz="4" w:space="0" w:color="auto"/>
            </w:tcBorders>
            <w:shd w:val="clear" w:color="auto" w:fill="auto"/>
            <w:noWrap/>
            <w:vAlign w:val="center"/>
            <w:hideMark/>
          </w:tcPr>
          <w:p w14:paraId="40F7011A" w14:textId="483BEE40" w:rsidR="00177C49" w:rsidRPr="004F5401" w:rsidRDefault="00177C49" w:rsidP="00FF0EE8">
            <w:pPr>
              <w:autoSpaceDE/>
              <w:autoSpaceDN/>
              <w:adjustRightInd/>
              <w:spacing w:line="240" w:lineRule="auto"/>
              <w:jc w:val="center"/>
              <w:rPr>
                <w:b/>
                <w:sz w:val="20"/>
                <w:szCs w:val="20"/>
              </w:rPr>
            </w:pPr>
            <w:r w:rsidRPr="004F5401">
              <w:rPr>
                <w:sz w:val="20"/>
                <w:szCs w:val="20"/>
              </w:rPr>
              <w:t>($1,018,000)</w:t>
            </w:r>
          </w:p>
        </w:tc>
        <w:tc>
          <w:tcPr>
            <w:tcW w:w="1281" w:type="dxa"/>
            <w:tcBorders>
              <w:top w:val="nil"/>
              <w:left w:val="nil"/>
              <w:bottom w:val="single" w:sz="4" w:space="0" w:color="auto"/>
              <w:right w:val="single" w:sz="4" w:space="0" w:color="auto"/>
            </w:tcBorders>
            <w:shd w:val="clear" w:color="auto" w:fill="auto"/>
            <w:noWrap/>
            <w:vAlign w:val="center"/>
            <w:hideMark/>
          </w:tcPr>
          <w:p w14:paraId="5EF2079A" w14:textId="4C62AA51" w:rsidR="00177C49" w:rsidRPr="004F5401" w:rsidRDefault="00177C49" w:rsidP="00FF0EE8">
            <w:pPr>
              <w:autoSpaceDE/>
              <w:autoSpaceDN/>
              <w:adjustRightInd/>
              <w:spacing w:line="240" w:lineRule="auto"/>
              <w:jc w:val="center"/>
              <w:rPr>
                <w:b/>
                <w:sz w:val="20"/>
                <w:szCs w:val="20"/>
              </w:rPr>
            </w:pPr>
            <w:r w:rsidRPr="004F5401">
              <w:rPr>
                <w:sz w:val="20"/>
                <w:szCs w:val="20"/>
              </w:rPr>
              <w:t>($835,000)</w:t>
            </w:r>
          </w:p>
        </w:tc>
        <w:tc>
          <w:tcPr>
            <w:tcW w:w="1281" w:type="dxa"/>
            <w:tcBorders>
              <w:top w:val="nil"/>
              <w:left w:val="nil"/>
              <w:bottom w:val="single" w:sz="4" w:space="0" w:color="auto"/>
              <w:right w:val="single" w:sz="4" w:space="0" w:color="auto"/>
            </w:tcBorders>
            <w:shd w:val="clear" w:color="auto" w:fill="auto"/>
            <w:noWrap/>
            <w:vAlign w:val="center"/>
            <w:hideMark/>
          </w:tcPr>
          <w:p w14:paraId="061A91E4" w14:textId="4DB59C44" w:rsidR="00177C49" w:rsidRPr="004F5401" w:rsidRDefault="00177C49" w:rsidP="00FF0EE8">
            <w:pPr>
              <w:autoSpaceDE/>
              <w:autoSpaceDN/>
              <w:adjustRightInd/>
              <w:spacing w:line="240" w:lineRule="auto"/>
              <w:jc w:val="center"/>
              <w:rPr>
                <w:b/>
                <w:sz w:val="20"/>
                <w:szCs w:val="20"/>
              </w:rPr>
            </w:pPr>
            <w:r w:rsidRPr="004F5401">
              <w:rPr>
                <w:sz w:val="20"/>
                <w:szCs w:val="20"/>
              </w:rPr>
              <w:t>($933,000)</w:t>
            </w:r>
          </w:p>
        </w:tc>
      </w:tr>
    </w:tbl>
    <w:p w14:paraId="04E55911" w14:textId="77777777" w:rsidR="00EA698A" w:rsidRDefault="00EA698A" w:rsidP="00FF0EE8">
      <w:pPr>
        <w:spacing w:line="240" w:lineRule="auto"/>
      </w:pPr>
    </w:p>
    <w:p w14:paraId="5400F0E5" w14:textId="61F65809" w:rsidR="00F03BBC" w:rsidRPr="006866B1" w:rsidRDefault="00453AF9" w:rsidP="00FF0EE8">
      <w:pPr>
        <w:spacing w:line="240" w:lineRule="auto"/>
      </w:pPr>
      <w:r w:rsidRPr="00F56ABA">
        <w:fldChar w:fldCharType="begin"/>
      </w:r>
      <w:r w:rsidRPr="00F56ABA">
        <w:instrText xml:space="preserve"> REF _Ref435709544 \h </w:instrText>
      </w:r>
      <w:r w:rsidR="00C47FDA" w:rsidRPr="00F56ABA">
        <w:instrText xml:space="preserve"> \* MERGEFORMAT </w:instrText>
      </w:r>
      <w:r w:rsidRPr="00F56ABA">
        <w:fldChar w:fldCharType="separate"/>
      </w:r>
      <w:r w:rsidR="00FD3AB6" w:rsidRPr="00FD3AB6">
        <w:t xml:space="preserve">Table </w:t>
      </w:r>
      <w:r w:rsidR="00FD3AB6" w:rsidRPr="00FD3AB6">
        <w:rPr>
          <w:noProof/>
        </w:rPr>
        <w:t>8</w:t>
      </w:r>
      <w:r w:rsidRPr="00F56ABA">
        <w:fldChar w:fldCharType="end"/>
      </w:r>
      <w:r w:rsidR="00AF36B5" w:rsidRPr="00F56ABA">
        <w:t xml:space="preserve"> </w:t>
      </w:r>
      <w:r w:rsidRPr="00F56ABA">
        <w:t>shows</w:t>
      </w:r>
      <w:r w:rsidR="00AF36B5" w:rsidRPr="00F56ABA">
        <w:t xml:space="preserve"> that </w:t>
      </w:r>
      <w:r w:rsidR="002D78DC" w:rsidRPr="00F56ABA">
        <w:t>industry would incur a</w:t>
      </w:r>
      <w:r w:rsidR="002F5CF5" w:rsidRPr="00F56ABA">
        <w:t xml:space="preserve"> total cost</w:t>
      </w:r>
      <w:r w:rsidR="00647934" w:rsidRPr="00F56ABA">
        <w:t xml:space="preserve"> (resulting from</w:t>
      </w:r>
      <w:r w:rsidR="002D78DC" w:rsidRPr="00F56ABA">
        <w:t xml:space="preserve"> </w:t>
      </w:r>
      <w:r w:rsidR="00BF57BA" w:rsidRPr="00F56ABA">
        <w:t xml:space="preserve">short-term </w:t>
      </w:r>
      <w:r w:rsidR="002D78DC" w:rsidRPr="00F56ABA">
        <w:t>replacement power</w:t>
      </w:r>
      <w:r w:rsidR="00647934" w:rsidRPr="00F56ABA">
        <w:t>)</w:t>
      </w:r>
      <w:r w:rsidR="002D78DC" w:rsidRPr="00F56ABA">
        <w:t xml:space="preserve"> that ranges from ($</w:t>
      </w:r>
      <w:r w:rsidR="00177C49" w:rsidRPr="00F56ABA">
        <w:t>835</w:t>
      </w:r>
      <w:r w:rsidR="00EA698A" w:rsidRPr="00F56ABA">
        <w:t>,000</w:t>
      </w:r>
      <w:r w:rsidR="002D78DC" w:rsidRPr="00F56ABA">
        <w:t xml:space="preserve">) </w:t>
      </w:r>
      <w:r w:rsidRPr="00F56ABA">
        <w:t xml:space="preserve">using a </w:t>
      </w:r>
      <w:r w:rsidR="002D78DC" w:rsidRPr="00F56ABA">
        <w:t>7</w:t>
      </w:r>
      <w:r w:rsidR="00647934" w:rsidRPr="00F56ABA">
        <w:noBreakHyphen/>
      </w:r>
      <w:r w:rsidR="002D78DC" w:rsidRPr="00F56ABA">
        <w:t xml:space="preserve">percent </w:t>
      </w:r>
      <w:r w:rsidRPr="00F56ABA">
        <w:t xml:space="preserve">discount </w:t>
      </w:r>
      <w:r w:rsidR="00145EE7" w:rsidRPr="00F56ABA">
        <w:t>rate</w:t>
      </w:r>
      <w:r w:rsidR="002D78DC" w:rsidRPr="00F56ABA">
        <w:t xml:space="preserve"> to ($</w:t>
      </w:r>
      <w:r w:rsidR="00177C49" w:rsidRPr="00F56ABA">
        <w:t>933</w:t>
      </w:r>
      <w:r w:rsidR="002D78DC" w:rsidRPr="00F56ABA">
        <w:t xml:space="preserve">,000) </w:t>
      </w:r>
      <w:r w:rsidRPr="00F56ABA">
        <w:t xml:space="preserve">using a </w:t>
      </w:r>
      <w:r w:rsidR="002D78DC" w:rsidRPr="00F56ABA">
        <w:t>3</w:t>
      </w:r>
      <w:r w:rsidR="00647934" w:rsidRPr="00F56ABA">
        <w:noBreakHyphen/>
      </w:r>
      <w:r w:rsidR="002D78DC" w:rsidRPr="00F56ABA">
        <w:t xml:space="preserve">percent </w:t>
      </w:r>
      <w:r w:rsidRPr="00F56ABA">
        <w:t xml:space="preserve">discount </w:t>
      </w:r>
      <w:r w:rsidR="00145EE7" w:rsidRPr="00F56ABA">
        <w:t>rate</w:t>
      </w:r>
      <w:r w:rsidR="002D78DC" w:rsidRPr="00F56ABA">
        <w:t>.</w:t>
      </w:r>
    </w:p>
    <w:p w14:paraId="4326575C" w14:textId="77777777" w:rsidR="000D1C6A" w:rsidRPr="00BD3549" w:rsidRDefault="000D1C6A" w:rsidP="00FF0EE8">
      <w:pPr>
        <w:pStyle w:val="Heading2"/>
        <w:keepLines w:val="0"/>
        <w:spacing w:line="240" w:lineRule="auto"/>
        <w:ind w:left="540" w:hanging="522"/>
      </w:pPr>
      <w:bookmarkStart w:id="112" w:name="_Toc462224965"/>
      <w:bookmarkStart w:id="113" w:name="_Toc468875924"/>
      <w:r w:rsidRPr="00BD3549">
        <w:t>Industry Implementation</w:t>
      </w:r>
      <w:bookmarkEnd w:id="103"/>
      <w:bookmarkEnd w:id="112"/>
      <w:bookmarkEnd w:id="113"/>
    </w:p>
    <w:p w14:paraId="30F239EB" w14:textId="77777777" w:rsidR="00D053E4" w:rsidRPr="00BD3549" w:rsidRDefault="00D053E4" w:rsidP="00FF0EE8">
      <w:pPr>
        <w:keepNext/>
        <w:spacing w:line="240" w:lineRule="auto"/>
      </w:pPr>
    </w:p>
    <w:p w14:paraId="57A4A983" w14:textId="7C20437D" w:rsidR="00B74DAD" w:rsidRPr="00F56ABA" w:rsidRDefault="00D053E4" w:rsidP="00FF0EE8">
      <w:pPr>
        <w:spacing w:line="240" w:lineRule="auto"/>
      </w:pPr>
      <w:r w:rsidRPr="00BD3549">
        <w:t xml:space="preserve">The </w:t>
      </w:r>
      <w:r w:rsidR="00F75A58" w:rsidRPr="00BD3549">
        <w:t>NRC</w:t>
      </w:r>
      <w:r w:rsidRPr="00BD3549">
        <w:t xml:space="preserve"> staff estimates that </w:t>
      </w:r>
      <w:r w:rsidR="0066584D">
        <w:t>updating</w:t>
      </w:r>
      <w:r w:rsidR="00F75A58" w:rsidRPr="00BD3549">
        <w:t xml:space="preserve"> </w:t>
      </w:r>
      <w:r w:rsidR="00530AA1">
        <w:t>10</w:t>
      </w:r>
      <w:r w:rsidR="00647934">
        <w:t> </w:t>
      </w:r>
      <w:r w:rsidR="00530AA1">
        <w:t>CFR</w:t>
      </w:r>
      <w:r w:rsidR="00647934">
        <w:t> </w:t>
      </w:r>
      <w:r w:rsidR="00F75A58" w:rsidRPr="00BD3549">
        <w:t xml:space="preserve">50.55a </w:t>
      </w:r>
      <w:r w:rsidRPr="00BD3549">
        <w:t xml:space="preserve">to conform </w:t>
      </w:r>
      <w:r w:rsidR="00B13C20" w:rsidRPr="00BD3549">
        <w:t>to</w:t>
      </w:r>
      <w:r w:rsidR="00F35B4F">
        <w:t xml:space="preserve"> guidance from</w:t>
      </w:r>
      <w:r w:rsidR="00F75A58" w:rsidRPr="00BD3549">
        <w:t xml:space="preserve"> </w:t>
      </w:r>
      <w:r w:rsidR="00647934">
        <w:t xml:space="preserve">the </w:t>
      </w:r>
      <w:r w:rsidR="0049737B">
        <w:rPr>
          <w:color w:val="000000"/>
        </w:rPr>
        <w:t xml:space="preserve">Office of </w:t>
      </w:r>
      <w:r w:rsidR="00F35B4F">
        <w:rPr>
          <w:color w:val="000000"/>
        </w:rPr>
        <w:t xml:space="preserve">the </w:t>
      </w:r>
      <w:r w:rsidR="0049737B">
        <w:rPr>
          <w:color w:val="000000"/>
        </w:rPr>
        <w:t>Federal Register</w:t>
      </w:r>
      <w:r w:rsidR="00F75A58" w:rsidRPr="00BD3549">
        <w:t xml:space="preserve"> on incorporation by reference </w:t>
      </w:r>
      <w:r w:rsidR="00986B40" w:rsidRPr="00BD3549">
        <w:t>required by alternative</w:t>
      </w:r>
      <w:r w:rsidR="00647934">
        <w:t> </w:t>
      </w:r>
      <w:r w:rsidR="00986B40" w:rsidRPr="00BD3549">
        <w:t xml:space="preserve">2 </w:t>
      </w:r>
      <w:r w:rsidR="00F75A58" w:rsidRPr="00BD3549">
        <w:t xml:space="preserve">would result in administrative revisions </w:t>
      </w:r>
      <w:r w:rsidR="00D83A74" w:rsidRPr="00BD3549">
        <w:t xml:space="preserve">to update </w:t>
      </w:r>
      <w:r w:rsidR="00BE6DCD">
        <w:t>technical material and references</w:t>
      </w:r>
      <w:r w:rsidR="005F33AD" w:rsidRPr="00BD3549">
        <w:t xml:space="preserve"> for</w:t>
      </w:r>
      <w:r w:rsidR="00F75A58" w:rsidRPr="00BD3549">
        <w:t xml:space="preserve"> </w:t>
      </w:r>
      <w:r w:rsidR="00D83A74" w:rsidRPr="00BD3549">
        <w:t>an estimated</w:t>
      </w:r>
      <w:r w:rsidR="00F75A58" w:rsidRPr="00BD3549">
        <w:t xml:space="preserve"> 50 </w:t>
      </w:r>
      <w:r w:rsidR="00D83A74" w:rsidRPr="00BD3549">
        <w:t xml:space="preserve">plant </w:t>
      </w:r>
      <w:r w:rsidR="00F75A58" w:rsidRPr="00BD3549">
        <w:t xml:space="preserve">procedures for each nuclear </w:t>
      </w:r>
      <w:r w:rsidRPr="00BD3549">
        <w:t>reactor</w:t>
      </w:r>
      <w:r w:rsidR="00B13C20" w:rsidRPr="00BD3549">
        <w:t xml:space="preserve"> unit</w:t>
      </w:r>
      <w:r w:rsidR="00F75A58" w:rsidRPr="00BD3549">
        <w:t xml:space="preserve">.  </w:t>
      </w:r>
      <w:r w:rsidR="00B13C20" w:rsidRPr="00BD3549">
        <w:t>The NRC staff estimates</w:t>
      </w:r>
      <w:r w:rsidR="00F75A58" w:rsidRPr="00BD3549">
        <w:t xml:space="preserve"> that th</w:t>
      </w:r>
      <w:r w:rsidR="00B13C20" w:rsidRPr="00BD3549">
        <w:t>is one</w:t>
      </w:r>
      <w:r w:rsidR="00647934">
        <w:noBreakHyphen/>
      </w:r>
      <w:r w:rsidR="00B13C20" w:rsidRPr="00BD3549">
        <w:t>time cost to revise, review, approve</w:t>
      </w:r>
      <w:r w:rsidR="005F33AD" w:rsidRPr="00BD3549">
        <w:t>, and issue</w:t>
      </w:r>
      <w:r w:rsidR="00B13C20" w:rsidRPr="00BD3549">
        <w:t xml:space="preserve"> these procedure</w:t>
      </w:r>
      <w:r w:rsidR="005F33AD" w:rsidRPr="00BD3549">
        <w:t>s</w:t>
      </w:r>
      <w:r w:rsidR="00B13C20" w:rsidRPr="00BD3549">
        <w:t xml:space="preserve"> would </w:t>
      </w:r>
      <w:r w:rsidR="00B74DAD">
        <w:t>occur in 201</w:t>
      </w:r>
      <w:r w:rsidR="00C852EB">
        <w:t>7</w:t>
      </w:r>
      <w:r w:rsidR="00B74DAD">
        <w:t xml:space="preserve"> and would </w:t>
      </w:r>
      <w:r w:rsidR="00B13C20" w:rsidRPr="00BD3549">
        <w:t xml:space="preserve">require </w:t>
      </w:r>
      <w:r w:rsidR="0066584D">
        <w:t>five</w:t>
      </w:r>
      <w:r w:rsidR="00B13C20" w:rsidRPr="00BD3549">
        <w:t xml:space="preserve"> hours per procedure.  </w:t>
      </w:r>
      <w:r w:rsidR="00647934" w:rsidRPr="006866B1">
        <w:fldChar w:fldCharType="begin"/>
      </w:r>
      <w:r w:rsidR="00647934" w:rsidRPr="006866B1">
        <w:instrText xml:space="preserve"> REF _Ref386552241 \h  \* MERGEFORMAT </w:instrText>
      </w:r>
      <w:r w:rsidR="00647934" w:rsidRPr="006866B1">
        <w:fldChar w:fldCharType="separate"/>
      </w:r>
      <w:r w:rsidR="00FD3AB6" w:rsidRPr="00FD3AB6">
        <w:t xml:space="preserve">Table </w:t>
      </w:r>
      <w:r w:rsidR="00FD3AB6" w:rsidRPr="00FD3AB6">
        <w:rPr>
          <w:noProof/>
        </w:rPr>
        <w:t>9</w:t>
      </w:r>
      <w:r w:rsidR="00647934" w:rsidRPr="006866B1">
        <w:fldChar w:fldCharType="end"/>
      </w:r>
      <w:r w:rsidR="00647934">
        <w:t xml:space="preserve"> lists t</w:t>
      </w:r>
      <w:r w:rsidR="00B13C20" w:rsidRPr="00BD3549">
        <w:t xml:space="preserve">he </w:t>
      </w:r>
      <w:r w:rsidR="00F92D8C">
        <w:t xml:space="preserve">best estimate for the </w:t>
      </w:r>
      <w:r w:rsidR="00F75A58" w:rsidRPr="00BD3549">
        <w:t xml:space="preserve">total </w:t>
      </w:r>
      <w:r w:rsidR="00B74DAD">
        <w:t>industry implementation cost</w:t>
      </w:r>
      <w:r w:rsidR="00F75A58" w:rsidRPr="00BD3549">
        <w:t xml:space="preserve"> of </w:t>
      </w:r>
      <w:r w:rsidR="005637A8" w:rsidRPr="00BD3549">
        <w:t xml:space="preserve">this </w:t>
      </w:r>
      <w:r w:rsidR="000A3709" w:rsidRPr="006866B1">
        <w:t>change</w:t>
      </w:r>
      <w:r w:rsidR="00B74DAD" w:rsidRPr="006866B1">
        <w:t>.</w:t>
      </w:r>
      <w:r w:rsidR="006866B1">
        <w:t xml:space="preserve">  </w:t>
      </w:r>
      <w:r w:rsidR="009A19CC">
        <w:t xml:space="preserve">The estimates below also include the resources required to implement the </w:t>
      </w:r>
      <w:r w:rsidR="00E14773" w:rsidRPr="00F56ABA">
        <w:t xml:space="preserve">procedure changes affected by the </w:t>
      </w:r>
      <w:r w:rsidR="009A19CC" w:rsidRPr="00F56ABA">
        <w:t xml:space="preserve">conditioned Code Cases.  </w:t>
      </w:r>
      <w:r w:rsidR="006866B1" w:rsidRPr="00F56ABA">
        <w:t xml:space="preserve">The NRC staff estimates the industry implementation cost for </w:t>
      </w:r>
      <w:r w:rsidR="00177C49" w:rsidRPr="00F56ABA">
        <w:t>56</w:t>
      </w:r>
      <w:r w:rsidR="006866B1" w:rsidRPr="00F56ABA">
        <w:t xml:space="preserve"> operating nuclear power plant </w:t>
      </w:r>
      <w:r w:rsidR="00017977" w:rsidRPr="00F56ABA">
        <w:t>sites</w:t>
      </w:r>
      <w:r w:rsidR="006866B1" w:rsidRPr="00F56ABA">
        <w:t xml:space="preserve"> would incur a cost of </w:t>
      </w:r>
      <w:r w:rsidR="00E76100" w:rsidRPr="00F56ABA">
        <w:t>(</w:t>
      </w:r>
      <w:r w:rsidR="006866B1" w:rsidRPr="00F56ABA">
        <w:t>$</w:t>
      </w:r>
      <w:r w:rsidR="00017977" w:rsidRPr="00F56ABA">
        <w:t>1</w:t>
      </w:r>
      <w:r w:rsidR="006866B1" w:rsidRPr="00F56ABA">
        <w:t>.</w:t>
      </w:r>
      <w:r w:rsidR="002B43B1" w:rsidRPr="00F56ABA">
        <w:t>76</w:t>
      </w:r>
      <w:r w:rsidR="00647934" w:rsidRPr="00F56ABA">
        <w:t> </w:t>
      </w:r>
      <w:r w:rsidR="006866B1" w:rsidRPr="00F56ABA">
        <w:t>million</w:t>
      </w:r>
      <w:r w:rsidR="00E76100" w:rsidRPr="00F56ABA">
        <w:t>)</w:t>
      </w:r>
      <w:r w:rsidR="006866B1" w:rsidRPr="00F56ABA">
        <w:t>.</w:t>
      </w:r>
    </w:p>
    <w:p w14:paraId="6307E8D2" w14:textId="77777777" w:rsidR="00B74DAD" w:rsidRPr="00F56ABA" w:rsidRDefault="00B74DAD" w:rsidP="00FF0EE8">
      <w:pPr>
        <w:spacing w:line="240" w:lineRule="auto"/>
      </w:pPr>
    </w:p>
    <w:p w14:paraId="00B7A476" w14:textId="6C7E6221" w:rsidR="00247654" w:rsidRPr="00F56ABA" w:rsidRDefault="00247654" w:rsidP="00FF0EE8">
      <w:pPr>
        <w:spacing w:line="240" w:lineRule="auto"/>
      </w:pPr>
      <w:r w:rsidRPr="00F56ABA">
        <w:t>For Code Case N</w:t>
      </w:r>
      <w:r w:rsidR="00647934" w:rsidRPr="00F56ABA">
        <w:noBreakHyphen/>
      </w:r>
      <w:r w:rsidRPr="00F56ABA">
        <w:t>666</w:t>
      </w:r>
      <w:r w:rsidR="00647934" w:rsidRPr="00F56ABA">
        <w:noBreakHyphen/>
      </w:r>
      <w:r w:rsidRPr="00F56ABA">
        <w:t xml:space="preserve">1, the acceptance of the </w:t>
      </w:r>
      <w:r w:rsidR="00056B30" w:rsidRPr="00F56ABA">
        <w:t xml:space="preserve">surface examination of the </w:t>
      </w:r>
      <w:r w:rsidRPr="00F56ABA">
        <w:t>weld overlay as part of the preservice exam results in a one</w:t>
      </w:r>
      <w:r w:rsidR="00647934" w:rsidRPr="00F56ABA">
        <w:noBreakHyphen/>
      </w:r>
      <w:r w:rsidRPr="00F56ABA">
        <w:t>time ind</w:t>
      </w:r>
      <w:r w:rsidR="002B43B1" w:rsidRPr="00F56ABA">
        <w:t>ustry implementation cost of ($1</w:t>
      </w:r>
      <w:r w:rsidRPr="00F56ABA">
        <w:t>5,000)</w:t>
      </w:r>
      <w:r w:rsidR="00647934" w:rsidRPr="00F56ABA">
        <w:t>, as</w:t>
      </w:r>
      <w:r w:rsidRPr="00F56ABA">
        <w:t xml:space="preserve"> shown in </w:t>
      </w:r>
      <w:r w:rsidRPr="00F56ABA">
        <w:fldChar w:fldCharType="begin"/>
      </w:r>
      <w:r w:rsidRPr="00F56ABA">
        <w:instrText xml:space="preserve"> REF _Ref386552241 \h </w:instrText>
      </w:r>
      <w:r w:rsidR="00C47FDA" w:rsidRPr="00F56ABA">
        <w:instrText xml:space="preserve"> \* MERGEFORMAT </w:instrText>
      </w:r>
      <w:r w:rsidRPr="00F56ABA">
        <w:fldChar w:fldCharType="separate"/>
      </w:r>
      <w:r w:rsidR="00FD3AB6" w:rsidRPr="00FD3AB6">
        <w:t xml:space="preserve">Table </w:t>
      </w:r>
      <w:r w:rsidR="00FD3AB6" w:rsidRPr="00FD3AB6">
        <w:rPr>
          <w:noProof/>
        </w:rPr>
        <w:t>9</w:t>
      </w:r>
      <w:r w:rsidRPr="00F56ABA">
        <w:fldChar w:fldCharType="end"/>
      </w:r>
      <w:r w:rsidRPr="00F56ABA">
        <w:t>.</w:t>
      </w:r>
      <w:r w:rsidR="00B965A0" w:rsidRPr="00F56ABA">
        <w:t xml:space="preserve"> </w:t>
      </w:r>
      <w:r w:rsidRPr="00F56ABA">
        <w:t>The total industry implementat</w:t>
      </w:r>
      <w:r w:rsidR="008641BF" w:rsidRPr="00F56ABA">
        <w:t>ion costs are ($1.77 million</w:t>
      </w:r>
      <w:r w:rsidRPr="00F56ABA">
        <w:t>).</w:t>
      </w:r>
    </w:p>
    <w:p w14:paraId="202D03D5" w14:textId="77777777" w:rsidR="00247654" w:rsidRDefault="00247654" w:rsidP="00FF0EE8">
      <w:pPr>
        <w:spacing w:line="240" w:lineRule="auto"/>
      </w:pPr>
    </w:p>
    <w:p w14:paraId="79F8C85C" w14:textId="62F8983E" w:rsidR="006866B1" w:rsidRPr="00BB7E3D" w:rsidRDefault="009A19CC" w:rsidP="00FF0EE8">
      <w:pPr>
        <w:pStyle w:val="Caption"/>
        <w:spacing w:line="240" w:lineRule="auto"/>
        <w:ind w:left="1080" w:hanging="1080"/>
        <w:jc w:val="center"/>
        <w:rPr>
          <w:b/>
        </w:rPr>
      </w:pPr>
      <w:bookmarkStart w:id="114" w:name="_Ref386552241"/>
      <w:bookmarkStart w:id="115" w:name="_Toc467508498"/>
      <w:bookmarkStart w:id="116" w:name="_Toc462225004"/>
      <w:r w:rsidRPr="00BB7E3D">
        <w:rPr>
          <w:b/>
        </w:rPr>
        <w:t xml:space="preserve">Table </w:t>
      </w:r>
      <w:r w:rsidR="00782423" w:rsidRPr="00BB7E3D">
        <w:rPr>
          <w:b/>
        </w:rPr>
        <w:fldChar w:fldCharType="begin"/>
      </w:r>
      <w:r w:rsidR="00782423" w:rsidRPr="00BB7E3D">
        <w:rPr>
          <w:b/>
        </w:rPr>
        <w:instrText xml:space="preserve"> SEQ Table \* ARABIC </w:instrText>
      </w:r>
      <w:r w:rsidR="00782423" w:rsidRPr="00BB7E3D">
        <w:rPr>
          <w:b/>
        </w:rPr>
        <w:fldChar w:fldCharType="separate"/>
      </w:r>
      <w:r w:rsidR="00FD3AB6">
        <w:rPr>
          <w:b/>
          <w:noProof/>
        </w:rPr>
        <w:t>9</w:t>
      </w:r>
      <w:r w:rsidR="00782423" w:rsidRPr="00BB7E3D">
        <w:rPr>
          <w:b/>
        </w:rPr>
        <w:fldChar w:fldCharType="end"/>
      </w:r>
      <w:bookmarkEnd w:id="114"/>
      <w:r w:rsidR="006C3FF0" w:rsidRPr="00D557C2">
        <w:rPr>
          <w:b/>
        </w:rPr>
        <w:t xml:space="preserve">  </w:t>
      </w:r>
      <w:r w:rsidR="006866B1" w:rsidRPr="00BB7E3D">
        <w:rPr>
          <w:b/>
        </w:rPr>
        <w:t>Industry Impl</w:t>
      </w:r>
      <w:r w:rsidR="00EB420F" w:rsidRPr="00BB7E3D">
        <w:rPr>
          <w:b/>
        </w:rPr>
        <w:t>ementation Costs</w:t>
      </w:r>
      <w:bookmarkEnd w:id="115"/>
      <w:bookmarkEnd w:id="116"/>
    </w:p>
    <w:tbl>
      <w:tblPr>
        <w:tblW w:w="9473" w:type="dxa"/>
        <w:tblInd w:w="103" w:type="dxa"/>
        <w:tblLook w:val="04A0" w:firstRow="1" w:lastRow="0" w:firstColumn="1" w:lastColumn="0" w:noHBand="0" w:noVBand="1"/>
      </w:tblPr>
      <w:tblGrid>
        <w:gridCol w:w="702"/>
        <w:gridCol w:w="2430"/>
        <w:gridCol w:w="990"/>
        <w:gridCol w:w="1980"/>
        <w:gridCol w:w="900"/>
        <w:gridCol w:w="777"/>
        <w:gridCol w:w="1694"/>
      </w:tblGrid>
      <w:tr w:rsidR="00602B86" w:rsidRPr="006C190F" w14:paraId="3A7C435A" w14:textId="77777777" w:rsidTr="004F5401">
        <w:trPr>
          <w:trHeight w:val="600"/>
        </w:trPr>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B6FCA" w14:textId="77777777" w:rsidR="0066584D" w:rsidRPr="006C190F" w:rsidRDefault="0066584D" w:rsidP="00FF0EE8">
            <w:pPr>
              <w:keepNext/>
              <w:autoSpaceDE/>
              <w:autoSpaceDN/>
              <w:adjustRightInd/>
              <w:spacing w:line="240" w:lineRule="auto"/>
              <w:jc w:val="center"/>
              <w:rPr>
                <w:b/>
                <w:color w:val="000000"/>
                <w:sz w:val="20"/>
                <w:szCs w:val="20"/>
              </w:rPr>
            </w:pPr>
            <w:r w:rsidRPr="006C190F">
              <w:rPr>
                <w:b/>
                <w:color w:val="000000"/>
                <w:sz w:val="20"/>
                <w:szCs w:val="20"/>
              </w:rPr>
              <w:t>Year</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56C6C15" w14:textId="77777777" w:rsidR="0066584D" w:rsidRPr="006C190F" w:rsidRDefault="0066584D" w:rsidP="00FF0EE8">
            <w:pPr>
              <w:keepNext/>
              <w:autoSpaceDE/>
              <w:autoSpaceDN/>
              <w:adjustRightInd/>
              <w:spacing w:line="240" w:lineRule="auto"/>
              <w:jc w:val="center"/>
              <w:rPr>
                <w:b/>
                <w:color w:val="000000"/>
                <w:sz w:val="20"/>
                <w:szCs w:val="20"/>
              </w:rPr>
            </w:pPr>
            <w:r w:rsidRPr="006C190F">
              <w:rPr>
                <w:b/>
                <w:color w:val="000000"/>
                <w:sz w:val="20"/>
                <w:szCs w:val="20"/>
              </w:rPr>
              <w:t>Activities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B7B10FB" w14:textId="77777777" w:rsidR="0066584D" w:rsidRPr="000617C0" w:rsidRDefault="00530AA1" w:rsidP="00FF0EE8">
            <w:pPr>
              <w:keepNext/>
              <w:autoSpaceDE/>
              <w:autoSpaceDN/>
              <w:adjustRightInd/>
              <w:spacing w:line="240" w:lineRule="auto"/>
              <w:jc w:val="center"/>
              <w:rPr>
                <w:b/>
                <w:color w:val="000000"/>
                <w:sz w:val="20"/>
                <w:szCs w:val="20"/>
              </w:rPr>
            </w:pPr>
            <w:r w:rsidRPr="00E92B27">
              <w:rPr>
                <w:b/>
                <w:color w:val="000000"/>
                <w:sz w:val="20"/>
                <w:szCs w:val="20"/>
              </w:rPr>
              <w:t>No. </w:t>
            </w:r>
            <w:r w:rsidR="00017977" w:rsidRPr="00E92B27">
              <w:rPr>
                <w:b/>
                <w:color w:val="000000"/>
                <w:sz w:val="20"/>
                <w:szCs w:val="20"/>
              </w:rPr>
              <w:t>of Reactor Sites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B476598" w14:textId="77777777" w:rsidR="0066584D" w:rsidRPr="007E58CE" w:rsidRDefault="00530AA1" w:rsidP="00FF0EE8">
            <w:pPr>
              <w:keepNext/>
              <w:autoSpaceDE/>
              <w:autoSpaceDN/>
              <w:adjustRightInd/>
              <w:spacing w:line="240" w:lineRule="auto"/>
              <w:jc w:val="center"/>
              <w:rPr>
                <w:b/>
                <w:color w:val="000000"/>
                <w:sz w:val="20"/>
                <w:szCs w:val="20"/>
              </w:rPr>
            </w:pPr>
            <w:r w:rsidRPr="007E58CE">
              <w:rPr>
                <w:b/>
                <w:color w:val="000000"/>
                <w:sz w:val="20"/>
                <w:szCs w:val="20"/>
              </w:rPr>
              <w:t>No. </w:t>
            </w:r>
            <w:r w:rsidR="0066584D" w:rsidRPr="007E58CE">
              <w:rPr>
                <w:b/>
                <w:color w:val="000000"/>
                <w:sz w:val="20"/>
                <w:szCs w:val="20"/>
              </w:rPr>
              <w:t xml:space="preserve">of Procedures per </w:t>
            </w:r>
            <w:r w:rsidR="00017977" w:rsidRPr="007E58CE">
              <w:rPr>
                <w:b/>
                <w:color w:val="000000"/>
                <w:sz w:val="20"/>
                <w:szCs w:val="20"/>
              </w:rPr>
              <w:t>Reactor Site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D114E29" w14:textId="242BC55A" w:rsidR="0066584D" w:rsidRPr="007E58CE" w:rsidRDefault="00530AA1" w:rsidP="00FF0EE8">
            <w:pPr>
              <w:keepNext/>
              <w:autoSpaceDE/>
              <w:autoSpaceDN/>
              <w:adjustRightInd/>
              <w:spacing w:line="240" w:lineRule="auto"/>
              <w:jc w:val="center"/>
              <w:rPr>
                <w:b/>
                <w:color w:val="000000"/>
                <w:sz w:val="20"/>
                <w:szCs w:val="20"/>
              </w:rPr>
            </w:pPr>
            <w:r w:rsidRPr="007E58CE">
              <w:rPr>
                <w:b/>
                <w:color w:val="000000"/>
                <w:sz w:val="20"/>
                <w:szCs w:val="20"/>
              </w:rPr>
              <w:t>No. </w:t>
            </w:r>
            <w:r w:rsidR="0066584D" w:rsidRPr="007E58CE">
              <w:rPr>
                <w:b/>
                <w:color w:val="000000"/>
                <w:sz w:val="20"/>
                <w:szCs w:val="20"/>
              </w:rPr>
              <w:t>of Hours</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5BF061D8" w14:textId="77777777" w:rsidR="0066584D" w:rsidRPr="007E58CE" w:rsidRDefault="0066584D" w:rsidP="00FF0EE8">
            <w:pPr>
              <w:keepNext/>
              <w:autoSpaceDE/>
              <w:autoSpaceDN/>
              <w:adjustRightInd/>
              <w:spacing w:line="240" w:lineRule="auto"/>
              <w:jc w:val="center"/>
              <w:rPr>
                <w:b/>
                <w:color w:val="000000"/>
                <w:sz w:val="20"/>
                <w:szCs w:val="20"/>
              </w:rPr>
            </w:pPr>
            <w:r w:rsidRPr="007E58CE">
              <w:rPr>
                <w:b/>
                <w:color w:val="000000"/>
                <w:sz w:val="20"/>
                <w:szCs w:val="20"/>
              </w:rPr>
              <w:t>Labor Rate</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FE68B57" w14:textId="3E3EC944" w:rsidR="0066584D" w:rsidRPr="007E58CE" w:rsidRDefault="0066584D" w:rsidP="00FF0EE8">
            <w:pPr>
              <w:keepNext/>
              <w:autoSpaceDE/>
              <w:autoSpaceDN/>
              <w:adjustRightInd/>
              <w:spacing w:line="240" w:lineRule="auto"/>
              <w:jc w:val="center"/>
              <w:rPr>
                <w:b/>
                <w:color w:val="000000"/>
                <w:sz w:val="20"/>
                <w:szCs w:val="20"/>
              </w:rPr>
            </w:pPr>
            <w:r w:rsidRPr="007E58CE">
              <w:rPr>
                <w:b/>
                <w:color w:val="000000"/>
                <w:sz w:val="20"/>
                <w:szCs w:val="20"/>
              </w:rPr>
              <w:t>One</w:t>
            </w:r>
            <w:r w:rsidR="00647934" w:rsidRPr="007E58CE">
              <w:rPr>
                <w:rFonts w:eastAsia="Times New Roman"/>
                <w:b/>
                <w:color w:val="000000"/>
                <w:sz w:val="20"/>
                <w:szCs w:val="20"/>
              </w:rPr>
              <w:noBreakHyphen/>
            </w:r>
            <w:r w:rsidRPr="007E58CE">
              <w:rPr>
                <w:b/>
                <w:color w:val="000000"/>
                <w:sz w:val="20"/>
                <w:szCs w:val="20"/>
              </w:rPr>
              <w:t>Time Implementation Cost</w:t>
            </w:r>
          </w:p>
        </w:tc>
      </w:tr>
      <w:tr w:rsidR="00602B86" w:rsidRPr="006C190F" w14:paraId="38FF2F64" w14:textId="77777777" w:rsidTr="004F5401">
        <w:trPr>
          <w:trHeight w:val="647"/>
        </w:trPr>
        <w:tc>
          <w:tcPr>
            <w:tcW w:w="702" w:type="dxa"/>
            <w:vMerge w:val="restart"/>
            <w:tcBorders>
              <w:top w:val="nil"/>
              <w:left w:val="single" w:sz="4" w:space="0" w:color="auto"/>
              <w:bottom w:val="nil"/>
              <w:right w:val="single" w:sz="4" w:space="0" w:color="auto"/>
            </w:tcBorders>
            <w:shd w:val="clear" w:color="auto" w:fill="auto"/>
            <w:vAlign w:val="center"/>
            <w:hideMark/>
          </w:tcPr>
          <w:p w14:paraId="4C3096C1" w14:textId="77777777" w:rsidR="008B365C" w:rsidRPr="006C190F" w:rsidRDefault="00EA698A" w:rsidP="00FF0EE8">
            <w:pPr>
              <w:keepNext/>
              <w:autoSpaceDE/>
              <w:autoSpaceDN/>
              <w:adjustRightInd/>
              <w:spacing w:line="240" w:lineRule="auto"/>
              <w:jc w:val="center"/>
              <w:rPr>
                <w:color w:val="000000"/>
                <w:sz w:val="20"/>
                <w:szCs w:val="20"/>
              </w:rPr>
            </w:pPr>
            <w:r w:rsidRPr="006C190F">
              <w:rPr>
                <w:color w:val="000000"/>
                <w:sz w:val="20"/>
                <w:szCs w:val="20"/>
              </w:rPr>
              <w:t>2017</w:t>
            </w:r>
          </w:p>
        </w:tc>
        <w:tc>
          <w:tcPr>
            <w:tcW w:w="2430" w:type="dxa"/>
            <w:tcBorders>
              <w:top w:val="nil"/>
              <w:left w:val="single" w:sz="4" w:space="0" w:color="auto"/>
              <w:bottom w:val="single" w:sz="4" w:space="0" w:color="auto"/>
              <w:right w:val="single" w:sz="4" w:space="0" w:color="auto"/>
            </w:tcBorders>
            <w:shd w:val="clear" w:color="auto" w:fill="auto"/>
            <w:vAlign w:val="center"/>
            <w:hideMark/>
          </w:tcPr>
          <w:p w14:paraId="7F1459C1" w14:textId="77777777" w:rsidR="008B365C" w:rsidRPr="004F5401" w:rsidRDefault="008B365C" w:rsidP="00FF0EE8">
            <w:pPr>
              <w:keepNext/>
              <w:autoSpaceDE/>
              <w:autoSpaceDN/>
              <w:adjustRightInd/>
              <w:spacing w:line="240" w:lineRule="auto"/>
              <w:rPr>
                <w:color w:val="000000"/>
                <w:sz w:val="20"/>
                <w:szCs w:val="20"/>
              </w:rPr>
            </w:pPr>
            <w:r w:rsidRPr="004F5401">
              <w:rPr>
                <w:color w:val="000000"/>
                <w:sz w:val="20"/>
                <w:szCs w:val="20"/>
              </w:rPr>
              <w:t>Revise plant procedure to incorporate revised references</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AC433AE" w14:textId="3871D8F4" w:rsidR="008B365C" w:rsidRPr="004F5401" w:rsidRDefault="002B43B1" w:rsidP="00FF0EE8">
            <w:pPr>
              <w:keepNext/>
              <w:autoSpaceDE/>
              <w:autoSpaceDN/>
              <w:adjustRightInd/>
              <w:spacing w:line="240" w:lineRule="auto"/>
              <w:jc w:val="center"/>
              <w:rPr>
                <w:color w:val="000000"/>
                <w:sz w:val="20"/>
                <w:szCs w:val="20"/>
              </w:rPr>
            </w:pPr>
            <w:r w:rsidRPr="004F5401">
              <w:rPr>
                <w:color w:val="000000"/>
                <w:sz w:val="20"/>
                <w:szCs w:val="20"/>
              </w:rPr>
              <w:t>56</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3FF69B5" w14:textId="77777777" w:rsidR="008B365C" w:rsidRPr="004F5401" w:rsidRDefault="008B365C" w:rsidP="00FF0EE8">
            <w:pPr>
              <w:keepNext/>
              <w:autoSpaceDE/>
              <w:autoSpaceDN/>
              <w:adjustRightInd/>
              <w:spacing w:line="240" w:lineRule="auto"/>
              <w:jc w:val="center"/>
              <w:rPr>
                <w:color w:val="000000"/>
                <w:sz w:val="20"/>
                <w:szCs w:val="20"/>
              </w:rPr>
            </w:pPr>
            <w:r w:rsidRPr="004F5401">
              <w:rPr>
                <w:color w:val="000000"/>
                <w:sz w:val="20"/>
                <w:szCs w:val="20"/>
              </w:rPr>
              <w:t>50</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8873A3E" w14:textId="6064FC7C" w:rsidR="008B365C" w:rsidRPr="004F5401" w:rsidRDefault="008B365C" w:rsidP="00FF0EE8">
            <w:pPr>
              <w:keepNext/>
              <w:autoSpaceDE/>
              <w:autoSpaceDN/>
              <w:adjustRightInd/>
              <w:spacing w:line="240" w:lineRule="auto"/>
              <w:jc w:val="center"/>
              <w:rPr>
                <w:color w:val="000000"/>
                <w:sz w:val="20"/>
                <w:szCs w:val="20"/>
              </w:rPr>
            </w:pPr>
            <w:r w:rsidRPr="004F5401">
              <w:rPr>
                <w:color w:val="000000"/>
                <w:sz w:val="20"/>
                <w:szCs w:val="20"/>
              </w:rPr>
              <w:t>5</w:t>
            </w:r>
            <w:r w:rsidR="002B43B1" w:rsidRPr="004F5401">
              <w:rPr>
                <w:color w:val="000000"/>
                <w:sz w:val="20"/>
                <w:szCs w:val="20"/>
              </w:rPr>
              <w:t>.0</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56D22F2B" w14:textId="77777777" w:rsidR="008B365C" w:rsidRPr="004F5401" w:rsidRDefault="008B365C" w:rsidP="00FF0EE8">
            <w:pPr>
              <w:keepNext/>
              <w:autoSpaceDE/>
              <w:autoSpaceDN/>
              <w:adjustRightInd/>
              <w:spacing w:line="240" w:lineRule="auto"/>
              <w:jc w:val="center"/>
              <w:rPr>
                <w:color w:val="000000"/>
                <w:sz w:val="20"/>
                <w:szCs w:val="20"/>
              </w:rPr>
            </w:pPr>
            <w:r w:rsidRPr="004F5401">
              <w:rPr>
                <w:color w:val="000000"/>
                <w:sz w:val="20"/>
                <w:szCs w:val="20"/>
              </w:rPr>
              <w:t>$12</w:t>
            </w:r>
            <w:r w:rsidR="00212330" w:rsidRPr="004F5401">
              <w:rPr>
                <w:color w:val="000000"/>
                <w:sz w:val="20"/>
                <w:szCs w:val="20"/>
              </w:rPr>
              <w:t>6</w:t>
            </w:r>
          </w:p>
        </w:tc>
        <w:tc>
          <w:tcPr>
            <w:tcW w:w="1694" w:type="dxa"/>
            <w:tcBorders>
              <w:top w:val="nil"/>
              <w:left w:val="single" w:sz="4" w:space="0" w:color="auto"/>
              <w:bottom w:val="single" w:sz="4" w:space="0" w:color="auto"/>
              <w:right w:val="single" w:sz="4" w:space="0" w:color="auto"/>
            </w:tcBorders>
            <w:shd w:val="clear" w:color="auto" w:fill="auto"/>
            <w:noWrap/>
            <w:vAlign w:val="center"/>
            <w:hideMark/>
          </w:tcPr>
          <w:p w14:paraId="58686BDF" w14:textId="26003BD9" w:rsidR="008B365C" w:rsidRPr="004F5401" w:rsidRDefault="008B365C" w:rsidP="00FF0EE8">
            <w:pPr>
              <w:keepNext/>
              <w:autoSpaceDE/>
              <w:autoSpaceDN/>
              <w:adjustRightInd/>
              <w:spacing w:line="240" w:lineRule="auto"/>
              <w:jc w:val="center"/>
              <w:rPr>
                <w:color w:val="000000"/>
                <w:sz w:val="20"/>
                <w:szCs w:val="20"/>
              </w:rPr>
            </w:pPr>
            <w:r w:rsidRPr="004F5401">
              <w:rPr>
                <w:sz w:val="20"/>
                <w:szCs w:val="20"/>
              </w:rPr>
              <w:t>($1,</w:t>
            </w:r>
            <w:r w:rsidR="002B43B1" w:rsidRPr="004F5401">
              <w:rPr>
                <w:sz w:val="20"/>
                <w:szCs w:val="20"/>
              </w:rPr>
              <w:t>759</w:t>
            </w:r>
            <w:r w:rsidRPr="004F5401">
              <w:rPr>
                <w:sz w:val="20"/>
                <w:szCs w:val="20"/>
              </w:rPr>
              <w:t>,000)</w:t>
            </w:r>
          </w:p>
        </w:tc>
      </w:tr>
      <w:tr w:rsidR="008B365C" w:rsidRPr="006C190F" w14:paraId="116C7D8B" w14:textId="77777777" w:rsidTr="004F5401">
        <w:trPr>
          <w:trHeight w:val="575"/>
        </w:trPr>
        <w:tc>
          <w:tcPr>
            <w:tcW w:w="702" w:type="dxa"/>
            <w:vMerge/>
            <w:tcBorders>
              <w:left w:val="single" w:sz="4" w:space="0" w:color="auto"/>
              <w:bottom w:val="single" w:sz="4" w:space="0" w:color="auto"/>
              <w:right w:val="single" w:sz="4" w:space="0" w:color="auto"/>
            </w:tcBorders>
            <w:vAlign w:val="center"/>
          </w:tcPr>
          <w:p w14:paraId="30C9DFF4" w14:textId="77777777" w:rsidR="008B365C" w:rsidRPr="004F5401" w:rsidRDefault="008B365C" w:rsidP="00FF0EE8">
            <w:pPr>
              <w:keepNext/>
              <w:autoSpaceDE/>
              <w:autoSpaceDN/>
              <w:adjustRightInd/>
              <w:spacing w:line="240" w:lineRule="auto"/>
              <w:rPr>
                <w:color w:val="000000"/>
                <w:sz w:val="20"/>
                <w:szCs w:val="20"/>
              </w:rPr>
            </w:pPr>
          </w:p>
        </w:tc>
        <w:tc>
          <w:tcPr>
            <w:tcW w:w="2430" w:type="dxa"/>
            <w:tcBorders>
              <w:top w:val="nil"/>
              <w:left w:val="single" w:sz="4" w:space="0" w:color="auto"/>
              <w:bottom w:val="single" w:sz="4" w:space="0" w:color="auto"/>
              <w:right w:val="single" w:sz="4" w:space="0" w:color="auto"/>
            </w:tcBorders>
            <w:vAlign w:val="center"/>
          </w:tcPr>
          <w:p w14:paraId="4BA15833" w14:textId="09BBF8B1" w:rsidR="008B365C" w:rsidRPr="004F5401" w:rsidRDefault="008B365C" w:rsidP="00FF0EE8">
            <w:pPr>
              <w:keepNext/>
              <w:autoSpaceDE/>
              <w:autoSpaceDN/>
              <w:adjustRightInd/>
              <w:spacing w:line="240" w:lineRule="auto"/>
              <w:rPr>
                <w:color w:val="000000"/>
                <w:sz w:val="20"/>
                <w:szCs w:val="20"/>
              </w:rPr>
            </w:pPr>
            <w:r w:rsidRPr="004F5401">
              <w:rPr>
                <w:color w:val="000000"/>
                <w:sz w:val="20"/>
                <w:szCs w:val="20"/>
              </w:rPr>
              <w:t>Perform Code Case N</w:t>
            </w:r>
            <w:r w:rsidR="00647934" w:rsidRPr="004F5401">
              <w:rPr>
                <w:color w:val="000000"/>
                <w:sz w:val="20"/>
                <w:szCs w:val="20"/>
              </w:rPr>
              <w:noBreakHyphen/>
            </w:r>
            <w:r w:rsidRPr="004F5401">
              <w:rPr>
                <w:color w:val="000000"/>
                <w:sz w:val="20"/>
                <w:szCs w:val="20"/>
              </w:rPr>
              <w:t>666</w:t>
            </w:r>
            <w:r w:rsidR="00647934" w:rsidRPr="004F5401">
              <w:rPr>
                <w:rFonts w:eastAsia="Times New Roman"/>
                <w:color w:val="000000"/>
                <w:sz w:val="20"/>
                <w:szCs w:val="20"/>
              </w:rPr>
              <w:noBreakHyphen/>
            </w:r>
            <w:r w:rsidRPr="004F5401">
              <w:rPr>
                <w:color w:val="000000"/>
                <w:sz w:val="20"/>
                <w:szCs w:val="20"/>
              </w:rPr>
              <w:t>1 test</w:t>
            </w:r>
          </w:p>
        </w:tc>
        <w:tc>
          <w:tcPr>
            <w:tcW w:w="990" w:type="dxa"/>
            <w:tcBorders>
              <w:top w:val="nil"/>
              <w:left w:val="single" w:sz="4" w:space="0" w:color="auto"/>
              <w:bottom w:val="single" w:sz="4" w:space="0" w:color="auto"/>
              <w:right w:val="single" w:sz="4" w:space="0" w:color="auto"/>
            </w:tcBorders>
            <w:vAlign w:val="center"/>
          </w:tcPr>
          <w:p w14:paraId="07C17E16" w14:textId="545F203F" w:rsidR="008B365C" w:rsidRPr="004F5401" w:rsidRDefault="002B43B1" w:rsidP="00FF0EE8">
            <w:pPr>
              <w:keepNext/>
              <w:autoSpaceDE/>
              <w:autoSpaceDN/>
              <w:adjustRightInd/>
              <w:spacing w:line="240" w:lineRule="auto"/>
              <w:jc w:val="center"/>
              <w:rPr>
                <w:color w:val="000000"/>
                <w:sz w:val="20"/>
                <w:szCs w:val="20"/>
              </w:rPr>
            </w:pPr>
            <w:r w:rsidRPr="004F5401">
              <w:rPr>
                <w:color w:val="000000"/>
                <w:sz w:val="20"/>
                <w:szCs w:val="20"/>
              </w:rPr>
              <w:t>56</w:t>
            </w:r>
          </w:p>
        </w:tc>
        <w:tc>
          <w:tcPr>
            <w:tcW w:w="1980" w:type="dxa"/>
            <w:tcBorders>
              <w:top w:val="nil"/>
              <w:left w:val="single" w:sz="4" w:space="0" w:color="auto"/>
              <w:bottom w:val="single" w:sz="4" w:space="0" w:color="auto"/>
              <w:right w:val="single" w:sz="4" w:space="0" w:color="auto"/>
            </w:tcBorders>
            <w:vAlign w:val="center"/>
          </w:tcPr>
          <w:p w14:paraId="250ED880" w14:textId="77777777" w:rsidR="008B365C" w:rsidRPr="004F5401" w:rsidRDefault="008B365C" w:rsidP="00FF0EE8">
            <w:pPr>
              <w:keepNext/>
              <w:autoSpaceDE/>
              <w:autoSpaceDN/>
              <w:adjustRightInd/>
              <w:spacing w:line="240" w:lineRule="auto"/>
              <w:jc w:val="center"/>
              <w:rPr>
                <w:color w:val="000000"/>
                <w:sz w:val="20"/>
                <w:szCs w:val="20"/>
              </w:rPr>
            </w:pPr>
            <w:r w:rsidRPr="004F5401">
              <w:rPr>
                <w:color w:val="000000"/>
                <w:sz w:val="20"/>
                <w:szCs w:val="20"/>
              </w:rPr>
              <w:t>--</w:t>
            </w:r>
          </w:p>
        </w:tc>
        <w:tc>
          <w:tcPr>
            <w:tcW w:w="900" w:type="dxa"/>
            <w:tcBorders>
              <w:top w:val="nil"/>
              <w:left w:val="single" w:sz="4" w:space="0" w:color="auto"/>
              <w:bottom w:val="single" w:sz="4" w:space="0" w:color="auto"/>
              <w:right w:val="single" w:sz="4" w:space="0" w:color="auto"/>
            </w:tcBorders>
            <w:vAlign w:val="center"/>
          </w:tcPr>
          <w:p w14:paraId="45947D6B" w14:textId="77777777" w:rsidR="008B365C" w:rsidRPr="004F5401" w:rsidRDefault="00212330" w:rsidP="00FF0EE8">
            <w:pPr>
              <w:keepNext/>
              <w:autoSpaceDE/>
              <w:autoSpaceDN/>
              <w:adjustRightInd/>
              <w:spacing w:line="240" w:lineRule="auto"/>
              <w:jc w:val="center"/>
              <w:rPr>
                <w:color w:val="000000"/>
                <w:sz w:val="20"/>
                <w:szCs w:val="20"/>
              </w:rPr>
            </w:pPr>
            <w:r w:rsidRPr="004F5401">
              <w:rPr>
                <w:color w:val="000000"/>
                <w:sz w:val="20"/>
                <w:szCs w:val="20"/>
              </w:rPr>
              <w:t>2.2</w:t>
            </w:r>
          </w:p>
        </w:tc>
        <w:tc>
          <w:tcPr>
            <w:tcW w:w="777" w:type="dxa"/>
            <w:tcBorders>
              <w:top w:val="nil"/>
              <w:left w:val="single" w:sz="4" w:space="0" w:color="auto"/>
              <w:bottom w:val="single" w:sz="4" w:space="0" w:color="auto"/>
              <w:right w:val="single" w:sz="4" w:space="0" w:color="auto"/>
            </w:tcBorders>
            <w:vAlign w:val="center"/>
          </w:tcPr>
          <w:p w14:paraId="6C9C4052" w14:textId="77777777" w:rsidR="008B365C" w:rsidRPr="004F5401" w:rsidRDefault="008B365C" w:rsidP="00FF0EE8">
            <w:pPr>
              <w:keepNext/>
              <w:autoSpaceDE/>
              <w:autoSpaceDN/>
              <w:adjustRightInd/>
              <w:spacing w:line="240" w:lineRule="auto"/>
              <w:jc w:val="center"/>
              <w:rPr>
                <w:color w:val="000000"/>
                <w:sz w:val="20"/>
                <w:szCs w:val="20"/>
              </w:rPr>
            </w:pPr>
            <w:r w:rsidRPr="004F5401">
              <w:rPr>
                <w:color w:val="000000"/>
                <w:sz w:val="20"/>
                <w:szCs w:val="20"/>
              </w:rPr>
              <w:t>$12</w:t>
            </w:r>
            <w:r w:rsidR="00212330" w:rsidRPr="004F5401">
              <w:rPr>
                <w:color w:val="000000"/>
                <w:sz w:val="20"/>
                <w:szCs w:val="20"/>
              </w:rPr>
              <w:t>6</w:t>
            </w:r>
          </w:p>
        </w:tc>
        <w:tc>
          <w:tcPr>
            <w:tcW w:w="1694" w:type="dxa"/>
            <w:tcBorders>
              <w:top w:val="nil"/>
              <w:left w:val="single" w:sz="4" w:space="0" w:color="auto"/>
              <w:bottom w:val="single" w:sz="4" w:space="0" w:color="auto"/>
              <w:right w:val="single" w:sz="4" w:space="0" w:color="auto"/>
            </w:tcBorders>
            <w:vAlign w:val="center"/>
          </w:tcPr>
          <w:p w14:paraId="415C6A72" w14:textId="39EC1858" w:rsidR="008B365C" w:rsidRPr="004F5401" w:rsidRDefault="008B365C" w:rsidP="00FF0EE8">
            <w:pPr>
              <w:keepNext/>
              <w:autoSpaceDE/>
              <w:autoSpaceDN/>
              <w:adjustRightInd/>
              <w:spacing w:line="240" w:lineRule="auto"/>
              <w:jc w:val="center"/>
              <w:rPr>
                <w:color w:val="000000"/>
                <w:sz w:val="20"/>
                <w:szCs w:val="20"/>
              </w:rPr>
            </w:pPr>
            <w:r w:rsidRPr="004F5401">
              <w:rPr>
                <w:sz w:val="20"/>
                <w:szCs w:val="20"/>
              </w:rPr>
              <w:t>($</w:t>
            </w:r>
            <w:r w:rsidR="002B43B1" w:rsidRPr="004F5401">
              <w:rPr>
                <w:sz w:val="20"/>
                <w:szCs w:val="20"/>
              </w:rPr>
              <w:t>15</w:t>
            </w:r>
            <w:r w:rsidRPr="004F5401">
              <w:rPr>
                <w:sz w:val="20"/>
                <w:szCs w:val="20"/>
              </w:rPr>
              <w:t>,</w:t>
            </w:r>
            <w:r w:rsidR="00247654" w:rsidRPr="004F5401">
              <w:rPr>
                <w:sz w:val="20"/>
                <w:szCs w:val="20"/>
              </w:rPr>
              <w:t>000</w:t>
            </w:r>
            <w:r w:rsidRPr="004F5401">
              <w:rPr>
                <w:sz w:val="20"/>
                <w:szCs w:val="20"/>
              </w:rPr>
              <w:t>)</w:t>
            </w:r>
          </w:p>
        </w:tc>
      </w:tr>
      <w:tr w:rsidR="008B365C" w:rsidRPr="006C190F" w14:paraId="673C9B1F" w14:textId="77777777" w:rsidTr="004F5401">
        <w:trPr>
          <w:trHeight w:val="341"/>
        </w:trPr>
        <w:tc>
          <w:tcPr>
            <w:tcW w:w="7779" w:type="dxa"/>
            <w:gridSpan w:val="6"/>
            <w:tcBorders>
              <w:left w:val="single" w:sz="4" w:space="0" w:color="auto"/>
              <w:bottom w:val="single" w:sz="4" w:space="0" w:color="auto"/>
              <w:right w:val="single" w:sz="4" w:space="0" w:color="auto"/>
            </w:tcBorders>
            <w:vAlign w:val="center"/>
          </w:tcPr>
          <w:p w14:paraId="0A190714" w14:textId="77777777" w:rsidR="008B365C" w:rsidRPr="004F5401" w:rsidRDefault="008B365C" w:rsidP="00FF0EE8">
            <w:pPr>
              <w:keepNext/>
              <w:autoSpaceDE/>
              <w:autoSpaceDN/>
              <w:adjustRightInd/>
              <w:spacing w:line="240" w:lineRule="auto"/>
              <w:jc w:val="right"/>
              <w:rPr>
                <w:b/>
                <w:color w:val="000000"/>
                <w:sz w:val="20"/>
                <w:szCs w:val="20"/>
              </w:rPr>
            </w:pPr>
            <w:r w:rsidRPr="004F5401">
              <w:rPr>
                <w:b/>
                <w:color w:val="000000"/>
                <w:sz w:val="20"/>
                <w:szCs w:val="20"/>
              </w:rPr>
              <w:t>Total</w:t>
            </w:r>
          </w:p>
        </w:tc>
        <w:tc>
          <w:tcPr>
            <w:tcW w:w="1694" w:type="dxa"/>
            <w:tcBorders>
              <w:top w:val="single" w:sz="4" w:space="0" w:color="auto"/>
              <w:left w:val="single" w:sz="4" w:space="0" w:color="auto"/>
              <w:bottom w:val="single" w:sz="4" w:space="0" w:color="auto"/>
              <w:right w:val="single" w:sz="4" w:space="0" w:color="auto"/>
            </w:tcBorders>
            <w:vAlign w:val="center"/>
          </w:tcPr>
          <w:p w14:paraId="7D314BF9" w14:textId="7E679263" w:rsidR="008B365C" w:rsidRPr="004F5401" w:rsidRDefault="00247654" w:rsidP="00FF0EE8">
            <w:pPr>
              <w:keepNext/>
              <w:autoSpaceDE/>
              <w:autoSpaceDN/>
              <w:adjustRightInd/>
              <w:spacing w:line="240" w:lineRule="auto"/>
              <w:jc w:val="center"/>
              <w:rPr>
                <w:b/>
                <w:sz w:val="20"/>
                <w:szCs w:val="20"/>
              </w:rPr>
            </w:pPr>
            <w:r w:rsidRPr="004F5401">
              <w:rPr>
                <w:b/>
                <w:sz w:val="20"/>
                <w:szCs w:val="20"/>
              </w:rPr>
              <w:t>($1,</w:t>
            </w:r>
            <w:r w:rsidR="002B43B1" w:rsidRPr="004F5401">
              <w:rPr>
                <w:b/>
                <w:sz w:val="20"/>
                <w:szCs w:val="20"/>
              </w:rPr>
              <w:t>774</w:t>
            </w:r>
            <w:r w:rsidRPr="004F5401">
              <w:rPr>
                <w:b/>
                <w:sz w:val="20"/>
                <w:szCs w:val="20"/>
              </w:rPr>
              <w:t>,000)</w:t>
            </w:r>
          </w:p>
        </w:tc>
      </w:tr>
    </w:tbl>
    <w:p w14:paraId="1B17E448" w14:textId="58A39378" w:rsidR="00B74DAD" w:rsidRPr="00BB7E3D" w:rsidRDefault="007B793C" w:rsidP="00FF0EE8">
      <w:pPr>
        <w:keepNext/>
        <w:spacing w:line="240" w:lineRule="auto"/>
        <w:ind w:firstLine="180"/>
        <w:rPr>
          <w:sz w:val="18"/>
        </w:rPr>
      </w:pPr>
      <w:r w:rsidRPr="00BB7E3D">
        <w:rPr>
          <w:sz w:val="18"/>
        </w:rPr>
        <w:t xml:space="preserve">* </w:t>
      </w:r>
      <w:r w:rsidR="00B658C3">
        <w:rPr>
          <w:sz w:val="18"/>
          <w:szCs w:val="18"/>
        </w:rPr>
        <w:t>Rounding</w:t>
      </w:r>
      <w:r w:rsidR="00B658C3" w:rsidRPr="00BB7E3D">
        <w:rPr>
          <w:sz w:val="18"/>
        </w:rPr>
        <w:t xml:space="preserve"> </w:t>
      </w:r>
      <w:r w:rsidRPr="00BB7E3D">
        <w:rPr>
          <w:sz w:val="18"/>
        </w:rPr>
        <w:t xml:space="preserve">may </w:t>
      </w:r>
      <w:r w:rsidR="00B658C3">
        <w:rPr>
          <w:sz w:val="18"/>
          <w:szCs w:val="18"/>
        </w:rPr>
        <w:t>have caused</w:t>
      </w:r>
      <w:r w:rsidR="00B658C3" w:rsidRPr="00BB7E3D">
        <w:rPr>
          <w:sz w:val="18"/>
        </w:rPr>
        <w:t xml:space="preserve"> </w:t>
      </w:r>
      <w:r w:rsidRPr="00BB7E3D">
        <w:rPr>
          <w:sz w:val="18"/>
        </w:rPr>
        <w:t xml:space="preserve">discrepancies in </w:t>
      </w:r>
      <w:r w:rsidR="00C711AE" w:rsidRPr="00D557C2">
        <w:rPr>
          <w:sz w:val="18"/>
          <w:szCs w:val="18"/>
        </w:rPr>
        <w:t xml:space="preserve">the </w:t>
      </w:r>
      <w:r w:rsidRPr="00BB7E3D">
        <w:rPr>
          <w:sz w:val="18"/>
        </w:rPr>
        <w:t>calculations.</w:t>
      </w:r>
    </w:p>
    <w:p w14:paraId="7E9D66D5" w14:textId="77777777" w:rsidR="00F834D9" w:rsidRPr="00BB7E3D" w:rsidRDefault="00F834D9" w:rsidP="00FF0EE8">
      <w:pPr>
        <w:keepNext/>
        <w:spacing w:line="240" w:lineRule="auto"/>
        <w:ind w:firstLine="180"/>
        <w:rPr>
          <w:sz w:val="18"/>
        </w:rPr>
      </w:pPr>
      <w:r w:rsidRPr="00BB7E3D">
        <w:rPr>
          <w:sz w:val="18"/>
        </w:rPr>
        <w:t xml:space="preserve">** All values are in </w:t>
      </w:r>
      <w:r w:rsidR="00212330" w:rsidRPr="00BB7E3D">
        <w:rPr>
          <w:sz w:val="18"/>
        </w:rPr>
        <w:t xml:space="preserve">2017 </w:t>
      </w:r>
      <w:r w:rsidRPr="00BB7E3D">
        <w:rPr>
          <w:sz w:val="18"/>
        </w:rPr>
        <w:t>dollars</w:t>
      </w:r>
      <w:r w:rsidR="00C711AE">
        <w:rPr>
          <w:sz w:val="18"/>
          <w:szCs w:val="18"/>
        </w:rPr>
        <w:t>.</w:t>
      </w:r>
    </w:p>
    <w:p w14:paraId="777F00EC" w14:textId="77777777" w:rsidR="004B05F5" w:rsidRPr="00BB7E3D" w:rsidRDefault="004B05F5" w:rsidP="00FF0EE8">
      <w:pPr>
        <w:spacing w:line="240" w:lineRule="auto"/>
        <w:rPr>
          <w:sz w:val="18"/>
        </w:rPr>
      </w:pPr>
    </w:p>
    <w:p w14:paraId="5E534E33" w14:textId="782E1B0F" w:rsidR="00F75A58" w:rsidRDefault="006866B1" w:rsidP="00FF0EE8">
      <w:pPr>
        <w:spacing w:line="240" w:lineRule="auto"/>
      </w:pPr>
      <w:r>
        <w:t>A hypothetical new reactor</w:t>
      </w:r>
      <w:r w:rsidR="007031FE">
        <w:t xml:space="preserve"> that begins commercial operation after </w:t>
      </w:r>
      <w:r w:rsidR="00212330">
        <w:t xml:space="preserve">2017 </w:t>
      </w:r>
      <w:r>
        <w:t xml:space="preserve">would issue its </w:t>
      </w:r>
      <w:r w:rsidR="00EA4326">
        <w:t xml:space="preserve">initial </w:t>
      </w:r>
      <w:r w:rsidR="007031FE">
        <w:t xml:space="preserve">ISI and IST procedures with the updated references and </w:t>
      </w:r>
      <w:r w:rsidR="00145EE7">
        <w:t>would</w:t>
      </w:r>
      <w:r w:rsidR="007031FE">
        <w:t xml:space="preserve"> incur no incremental costs.</w:t>
      </w:r>
    </w:p>
    <w:p w14:paraId="3CEBED18" w14:textId="77777777" w:rsidR="00337CB2" w:rsidRPr="002D0C23" w:rsidRDefault="00337CB2" w:rsidP="00FF0EE8">
      <w:pPr>
        <w:pStyle w:val="Heading2"/>
        <w:spacing w:line="240" w:lineRule="auto"/>
        <w:ind w:left="540" w:hanging="522"/>
      </w:pPr>
      <w:bookmarkStart w:id="117" w:name="_Toc462224966"/>
      <w:bookmarkStart w:id="118" w:name="_Toc468875925"/>
      <w:r w:rsidRPr="002D0C23">
        <w:t>Industry Operation</w:t>
      </w:r>
      <w:bookmarkEnd w:id="117"/>
      <w:bookmarkEnd w:id="118"/>
    </w:p>
    <w:p w14:paraId="41F38125" w14:textId="77777777" w:rsidR="00337CB2" w:rsidRPr="00BD3549" w:rsidRDefault="00337CB2" w:rsidP="00FF0EE8">
      <w:pPr>
        <w:keepNext/>
        <w:spacing w:line="240" w:lineRule="auto"/>
      </w:pPr>
    </w:p>
    <w:p w14:paraId="35AE3099" w14:textId="5FBF6ACD" w:rsidR="00F75A58" w:rsidRPr="00BD3549" w:rsidRDefault="00F75A58" w:rsidP="00FF0EE8">
      <w:pPr>
        <w:spacing w:line="240" w:lineRule="auto"/>
      </w:pPr>
      <w:r w:rsidRPr="00BD3549">
        <w:t xml:space="preserve">The </w:t>
      </w:r>
      <w:r w:rsidR="00D85C3C" w:rsidRPr="00BD3549">
        <w:t xml:space="preserve">use </w:t>
      </w:r>
      <w:r w:rsidRPr="00BD3549">
        <w:t xml:space="preserve">of ASME BPV and OM </w:t>
      </w:r>
      <w:r w:rsidR="00AE121B">
        <w:t>Code Cases</w:t>
      </w:r>
      <w:r w:rsidRPr="00BD3549">
        <w:t xml:space="preserve"> is </w:t>
      </w:r>
      <w:r w:rsidR="00BA0364">
        <w:t>beneficial</w:t>
      </w:r>
      <w:r w:rsidRPr="00BD3549">
        <w:t xml:space="preserve"> to NRC </w:t>
      </w:r>
      <w:r w:rsidR="00287A02" w:rsidRPr="00BD3549">
        <w:t xml:space="preserve">nuclear power plant </w:t>
      </w:r>
      <w:r w:rsidRPr="00BD3549">
        <w:t xml:space="preserve">licensees </w:t>
      </w:r>
      <w:r w:rsidR="00BA0364">
        <w:t xml:space="preserve">and applicants </w:t>
      </w:r>
      <w:r w:rsidRPr="00BD3549">
        <w:t xml:space="preserve">for several reasons.  </w:t>
      </w:r>
      <w:r w:rsidR="00CE11EF" w:rsidRPr="00CE11EF">
        <w:t xml:space="preserve">Licensees and applicants will likely obtain cost savings by implementing the alternatives allowed by ASME BPV and OM Code Cases.  </w:t>
      </w:r>
      <w:r w:rsidR="000D0ED7" w:rsidRPr="00BD3549">
        <w:t xml:space="preserve">Licensees </w:t>
      </w:r>
      <w:r w:rsidR="00BA0364">
        <w:t xml:space="preserve">and applicants </w:t>
      </w:r>
      <w:r w:rsidR="000D0ED7" w:rsidRPr="00BD3549">
        <w:t xml:space="preserve">may use </w:t>
      </w:r>
      <w:r w:rsidR="00AE121B">
        <w:t>Code Cases</w:t>
      </w:r>
      <w:r w:rsidR="00BE6DCD">
        <w:t xml:space="preserve"> </w:t>
      </w:r>
      <w:r w:rsidR="00BE6DCD" w:rsidRPr="00BD3549">
        <w:t xml:space="preserve">immediately </w:t>
      </w:r>
      <w:r w:rsidR="00BE6DCD">
        <w:t>following</w:t>
      </w:r>
      <w:r w:rsidR="00BE6DCD" w:rsidRPr="00BD3549">
        <w:t xml:space="preserve"> </w:t>
      </w:r>
      <w:r w:rsidR="002D5C1E">
        <w:t xml:space="preserve">the </w:t>
      </w:r>
      <w:r w:rsidR="00BE6DCD" w:rsidRPr="00BD3549">
        <w:t>NRC</w:t>
      </w:r>
      <w:r w:rsidR="002D5C1E">
        <w:t>’s</w:t>
      </w:r>
      <w:r w:rsidR="00BE6DCD" w:rsidRPr="00BD3549">
        <w:t xml:space="preserve"> approval</w:t>
      </w:r>
      <w:r w:rsidR="00D85C3C" w:rsidRPr="00BD3549">
        <w:t xml:space="preserve">.  In addition, </w:t>
      </w:r>
      <w:r w:rsidR="00AE121B">
        <w:t>Code Cases</w:t>
      </w:r>
      <w:r w:rsidR="00D85C3C" w:rsidRPr="00BD3549">
        <w:t xml:space="preserve"> are stand-alone alternatives to specific provisions contained in the ASME Code, which makes their implementation straightforward.  Hence, a </w:t>
      </w:r>
      <w:r w:rsidR="000A3709" w:rsidRPr="00BD3549">
        <w:t xml:space="preserve">Code </w:t>
      </w:r>
      <w:r w:rsidR="001C19EA">
        <w:t>Case</w:t>
      </w:r>
      <w:r w:rsidR="00D85C3C" w:rsidRPr="00BD3549">
        <w:t xml:space="preserve"> is a good tool for introducing the use of </w:t>
      </w:r>
      <w:r w:rsidRPr="00BD3549">
        <w:t xml:space="preserve">advanced techniques, procedures, and measures on a trial basis to gain experience </w:t>
      </w:r>
      <w:r w:rsidR="00AB0273">
        <w:t>before</w:t>
      </w:r>
      <w:r w:rsidRPr="00BD3549">
        <w:t xml:space="preserve"> the incorporation of the alternatives into the ASME Code and the NRC approval of the later editions and addenda.  Th</w:t>
      </w:r>
      <w:r w:rsidR="00D85C3C" w:rsidRPr="00BD3549">
        <w:t>is</w:t>
      </w:r>
      <w:r w:rsidRPr="00BD3549">
        <w:t xml:space="preserve"> experience is used to either refine or reject the new provisions.  </w:t>
      </w:r>
      <w:r w:rsidR="00AE121B">
        <w:t>Code Cases</w:t>
      </w:r>
      <w:r w:rsidR="007A323C" w:rsidRPr="00BD3549">
        <w:t xml:space="preserve"> </w:t>
      </w:r>
      <w:r w:rsidRPr="00BD3549">
        <w:t xml:space="preserve">are also suited for use in areas where the </w:t>
      </w:r>
      <w:r w:rsidR="002430B8" w:rsidRPr="00BD3549">
        <w:t>application of risk</w:t>
      </w:r>
      <w:r w:rsidR="00AB0273">
        <w:noBreakHyphen/>
      </w:r>
      <w:r w:rsidR="002430B8" w:rsidRPr="00BD3549">
        <w:t>informed principles indicates</w:t>
      </w:r>
      <w:r w:rsidRPr="00BD3549">
        <w:t xml:space="preserve"> that there are too many examinations or tests or that occupational exposure can be reduced.  Alternative</w:t>
      </w:r>
      <w:r w:rsidR="00AB0273">
        <w:t> </w:t>
      </w:r>
      <w:r w:rsidRPr="00BD3549">
        <w:t xml:space="preserve">2 has the advantage </w:t>
      </w:r>
      <w:r w:rsidR="00056B30">
        <w:t>(c</w:t>
      </w:r>
      <w:r w:rsidR="00A20021">
        <w:t>ompared to alternative</w:t>
      </w:r>
      <w:r w:rsidR="00AB0273">
        <w:t> </w:t>
      </w:r>
      <w:r w:rsidR="00A20021">
        <w:t>1</w:t>
      </w:r>
      <w:r w:rsidR="00056B30">
        <w:t>)</w:t>
      </w:r>
      <w:r w:rsidR="00A20021">
        <w:t xml:space="preserve"> </w:t>
      </w:r>
      <w:r w:rsidRPr="00BD3549">
        <w:t xml:space="preserve">that, on implementation of the final rule, licensees and applicants will be able to use the </w:t>
      </w:r>
      <w:r w:rsidR="00AE121B">
        <w:t>Code Cases</w:t>
      </w:r>
      <w:r w:rsidR="00D85C3C" w:rsidRPr="00BD3549">
        <w:t xml:space="preserve"> </w:t>
      </w:r>
      <w:r w:rsidRPr="00BD3549">
        <w:t xml:space="preserve">that the NRC </w:t>
      </w:r>
      <w:r w:rsidR="000D0ED7">
        <w:t xml:space="preserve">approved </w:t>
      </w:r>
      <w:r w:rsidRPr="00BD3549">
        <w:t>through</w:t>
      </w:r>
      <w:r w:rsidR="004D2A93">
        <w:t xml:space="preserve"> the revised</w:t>
      </w:r>
      <w:r w:rsidRPr="00BD3549">
        <w:t xml:space="preserve"> </w:t>
      </w:r>
      <w:r w:rsidR="00AB0273">
        <w:t>RG</w:t>
      </w:r>
      <w:r w:rsidR="00D85C3C" w:rsidRPr="00BD3549">
        <w:t>s</w:t>
      </w:r>
      <w:r w:rsidRPr="00BD3549">
        <w:t>.  Therefore</w:t>
      </w:r>
      <w:r w:rsidR="00981C94">
        <w:t>,</w:t>
      </w:r>
      <w:r w:rsidR="003945A3" w:rsidRPr="00BD3549">
        <w:t xml:space="preserve"> under </w:t>
      </w:r>
      <w:r w:rsidR="00C3787C">
        <w:t>a</w:t>
      </w:r>
      <w:r w:rsidR="003945A3" w:rsidRPr="00BD3549">
        <w:t>lternative</w:t>
      </w:r>
      <w:r w:rsidR="00AB0273">
        <w:t> </w:t>
      </w:r>
      <w:r w:rsidR="003945A3" w:rsidRPr="00BD3549">
        <w:t>2</w:t>
      </w:r>
      <w:r w:rsidRPr="00BD3549">
        <w:t xml:space="preserve">, licensees and applicants will be permitted to apply the </w:t>
      </w:r>
      <w:r w:rsidR="00AE121B">
        <w:t>Code Cases</w:t>
      </w:r>
      <w:r w:rsidR="00D85C3C" w:rsidRPr="00BD3549">
        <w:t xml:space="preserve"> </w:t>
      </w:r>
      <w:r w:rsidRPr="00BD3549">
        <w:t xml:space="preserve">listed in the subject </w:t>
      </w:r>
      <w:r w:rsidR="00AB0273">
        <w:t>RG</w:t>
      </w:r>
      <w:r w:rsidR="00D053E4" w:rsidRPr="00BD3549">
        <w:t xml:space="preserve">s </w:t>
      </w:r>
      <w:r w:rsidRPr="00BD3549">
        <w:t xml:space="preserve">without the need to seek </w:t>
      </w:r>
      <w:r w:rsidR="005E7B6A">
        <w:t xml:space="preserve">the </w:t>
      </w:r>
      <w:r w:rsidRPr="00BD3549">
        <w:t>NRC</w:t>
      </w:r>
      <w:r w:rsidR="005E7B6A">
        <w:t>’s</w:t>
      </w:r>
      <w:r w:rsidRPr="00BD3549">
        <w:t xml:space="preserve"> approval through a request for use of alternatives under </w:t>
      </w:r>
      <w:r w:rsidR="00530AA1">
        <w:t>10</w:t>
      </w:r>
      <w:r w:rsidR="00AB0273">
        <w:t> </w:t>
      </w:r>
      <w:r w:rsidR="00530AA1">
        <w:t>CFR</w:t>
      </w:r>
      <w:r w:rsidR="00AB0273">
        <w:t> </w:t>
      </w:r>
      <w:r w:rsidRPr="00BD3549">
        <w:t>50.55a(z).</w:t>
      </w:r>
    </w:p>
    <w:p w14:paraId="768B3459" w14:textId="77777777" w:rsidR="00186364" w:rsidRDefault="00186364" w:rsidP="00FF0EE8">
      <w:pPr>
        <w:pStyle w:val="Heading3"/>
        <w:spacing w:line="240" w:lineRule="auto"/>
        <w:ind w:left="540"/>
      </w:pPr>
      <w:bookmarkStart w:id="119" w:name="_Toc414345379"/>
      <w:bookmarkStart w:id="120" w:name="_Toc414345757"/>
      <w:bookmarkStart w:id="121" w:name="_Toc414345975"/>
      <w:bookmarkStart w:id="122" w:name="_Toc414345380"/>
      <w:bookmarkStart w:id="123" w:name="_Toc414345758"/>
      <w:bookmarkStart w:id="124" w:name="_Toc414345976"/>
      <w:bookmarkStart w:id="125" w:name="_Toc414345381"/>
      <w:bookmarkStart w:id="126" w:name="_Toc414345759"/>
      <w:bookmarkStart w:id="127" w:name="_Toc414345977"/>
      <w:bookmarkStart w:id="128" w:name="_Toc414345382"/>
      <w:bookmarkStart w:id="129" w:name="_Toc414345760"/>
      <w:bookmarkStart w:id="130" w:name="_Toc414345978"/>
      <w:bookmarkStart w:id="131" w:name="_Toc414345383"/>
      <w:bookmarkStart w:id="132" w:name="_Toc414345761"/>
      <w:bookmarkStart w:id="133" w:name="_Toc414345979"/>
      <w:bookmarkStart w:id="134" w:name="_Toc414345384"/>
      <w:bookmarkStart w:id="135" w:name="_Toc414345762"/>
      <w:bookmarkStart w:id="136" w:name="_Toc414345980"/>
      <w:bookmarkStart w:id="137" w:name="_Toc414345385"/>
      <w:bookmarkStart w:id="138" w:name="_Toc414345763"/>
      <w:bookmarkStart w:id="139" w:name="_Toc414345981"/>
      <w:bookmarkStart w:id="140" w:name="_Toc414345393"/>
      <w:bookmarkStart w:id="141" w:name="_Toc414345771"/>
      <w:bookmarkStart w:id="142" w:name="_Toc414345989"/>
      <w:bookmarkStart w:id="143" w:name="_Toc414345452"/>
      <w:bookmarkStart w:id="144" w:name="_Toc414345830"/>
      <w:bookmarkStart w:id="145" w:name="_Toc414346048"/>
      <w:bookmarkStart w:id="146" w:name="_Toc414345453"/>
      <w:bookmarkStart w:id="147" w:name="_Toc414345831"/>
      <w:bookmarkStart w:id="148" w:name="_Toc414346049"/>
      <w:bookmarkStart w:id="149" w:name="_Toc414345454"/>
      <w:bookmarkStart w:id="150" w:name="_Toc414345832"/>
      <w:bookmarkStart w:id="151" w:name="_Toc414346050"/>
      <w:bookmarkStart w:id="152" w:name="_Toc414345455"/>
      <w:bookmarkStart w:id="153" w:name="_Toc414345833"/>
      <w:bookmarkStart w:id="154" w:name="_Toc414346051"/>
      <w:bookmarkStart w:id="155" w:name="_Toc414345456"/>
      <w:bookmarkStart w:id="156" w:name="_Toc414345834"/>
      <w:bookmarkStart w:id="157" w:name="_Toc414346052"/>
      <w:bookmarkStart w:id="158" w:name="_Toc414345457"/>
      <w:bookmarkStart w:id="159" w:name="_Toc414345835"/>
      <w:bookmarkStart w:id="160" w:name="_Toc414346053"/>
      <w:bookmarkStart w:id="161" w:name="_Toc414345465"/>
      <w:bookmarkStart w:id="162" w:name="_Toc414345843"/>
      <w:bookmarkStart w:id="163" w:name="_Toc414346061"/>
      <w:bookmarkStart w:id="164" w:name="_Toc414345483"/>
      <w:bookmarkStart w:id="165" w:name="_Toc414345861"/>
      <w:bookmarkStart w:id="166" w:name="_Toc414346079"/>
      <w:bookmarkStart w:id="167" w:name="_Toc414345492"/>
      <w:bookmarkStart w:id="168" w:name="_Toc414345870"/>
      <w:bookmarkStart w:id="169" w:name="_Toc414346088"/>
      <w:bookmarkStart w:id="170" w:name="_Toc414345501"/>
      <w:bookmarkStart w:id="171" w:name="_Toc414345879"/>
      <w:bookmarkStart w:id="172" w:name="_Toc414346097"/>
      <w:bookmarkStart w:id="173" w:name="_Toc414345510"/>
      <w:bookmarkStart w:id="174" w:name="_Toc414345888"/>
      <w:bookmarkStart w:id="175" w:name="_Toc414346106"/>
      <w:bookmarkStart w:id="176" w:name="_Toc414345519"/>
      <w:bookmarkStart w:id="177" w:name="_Toc414345897"/>
      <w:bookmarkStart w:id="178" w:name="_Toc414346115"/>
      <w:bookmarkStart w:id="179" w:name="_Toc414345520"/>
      <w:bookmarkStart w:id="180" w:name="_Toc414345898"/>
      <w:bookmarkStart w:id="181" w:name="_Toc414346116"/>
      <w:bookmarkStart w:id="182" w:name="_Ref435781240"/>
      <w:bookmarkStart w:id="183" w:name="_Toc462224967"/>
      <w:bookmarkStart w:id="184" w:name="_Toc468875926"/>
      <w:bookmarkStart w:id="185" w:name="_Ref386985636"/>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t xml:space="preserve">Averted Costs from Code Case </w:t>
      </w:r>
      <w:r w:rsidR="001B5DD8">
        <w:t xml:space="preserve">Alternative Request </w:t>
      </w:r>
      <w:r>
        <w:t>Submittals</w:t>
      </w:r>
      <w:bookmarkEnd w:id="182"/>
      <w:bookmarkEnd w:id="183"/>
      <w:bookmarkEnd w:id="184"/>
    </w:p>
    <w:p w14:paraId="55642135" w14:textId="77777777" w:rsidR="00186364" w:rsidRDefault="00186364" w:rsidP="00FF0EE8">
      <w:pPr>
        <w:keepNext/>
        <w:spacing w:line="240" w:lineRule="auto"/>
      </w:pPr>
    </w:p>
    <w:p w14:paraId="7D5AD73A" w14:textId="316FF153" w:rsidR="00186364" w:rsidRPr="00BD3549" w:rsidRDefault="00186364" w:rsidP="00FF0EE8">
      <w:pPr>
        <w:spacing w:line="240" w:lineRule="auto"/>
      </w:pPr>
      <w:r w:rsidRPr="00BD3549">
        <w:t>Submission of a</w:t>
      </w:r>
      <w:r>
        <w:t>n</w:t>
      </w:r>
      <w:r w:rsidRPr="00BD3549">
        <w:t xml:space="preserve"> </w:t>
      </w:r>
      <w:r>
        <w:t>alternative</w:t>
      </w:r>
      <w:r w:rsidRPr="00BD3549">
        <w:t xml:space="preserve"> request to the NRC </w:t>
      </w:r>
      <w:r>
        <w:t>can be</w:t>
      </w:r>
      <w:r w:rsidRPr="00BD3549">
        <w:t xml:space="preserve"> </w:t>
      </w:r>
      <w:r>
        <w:t>expensive</w:t>
      </w:r>
      <w:r w:rsidRPr="00BD3549">
        <w:t xml:space="preserve">.  Once </w:t>
      </w:r>
      <w:r>
        <w:t>ASME issues a</w:t>
      </w:r>
      <w:r w:rsidRPr="00BD3549">
        <w:t xml:space="preserve"> Code </w:t>
      </w:r>
      <w:r w:rsidR="001C19EA">
        <w:t>Case</w:t>
      </w:r>
      <w:r w:rsidRPr="00BD3549">
        <w:t xml:space="preserve">, the licensee or applicant must </w:t>
      </w:r>
      <w:r w:rsidR="008613FE">
        <w:t>determine</w:t>
      </w:r>
      <w:r w:rsidRPr="00BD3549">
        <w:t xml:space="preserve"> the applicability of the Code </w:t>
      </w:r>
      <w:r w:rsidR="001C19EA">
        <w:t>Case</w:t>
      </w:r>
      <w:r w:rsidRPr="00BD3549">
        <w:t xml:space="preserve"> to its facility and the benefit derived</w:t>
      </w:r>
      <w:r>
        <w:t xml:space="preserve"> </w:t>
      </w:r>
      <w:r w:rsidR="008613FE">
        <w:t>from using it</w:t>
      </w:r>
      <w:r w:rsidRPr="00BD3549">
        <w:t>.  If the licensee or applicant determine</w:t>
      </w:r>
      <w:r w:rsidR="00AB0273">
        <w:t>s</w:t>
      </w:r>
      <w:r w:rsidRPr="00BD3549">
        <w:t xml:space="preserve"> that use of the Code </w:t>
      </w:r>
      <w:r w:rsidR="001C19EA">
        <w:t>Case</w:t>
      </w:r>
      <w:r w:rsidRPr="00BD3549">
        <w:t xml:space="preserve"> would be beneficial </w:t>
      </w:r>
      <w:r w:rsidR="008613FE">
        <w:t>but the NRC has not approved use of the Code Case</w:t>
      </w:r>
      <w:r w:rsidRPr="00BD3549">
        <w:t>, a request for the use of the Code</w:t>
      </w:r>
      <w:r w:rsidR="00EA2DF6">
        <w:t xml:space="preserve"> Case</w:t>
      </w:r>
      <w:r w:rsidRPr="00BD3549">
        <w:t xml:space="preserve"> alternative must be prepared, and appropriate levels of licensee or applicant management must review and approve the request </w:t>
      </w:r>
      <w:r w:rsidR="00AB0273">
        <w:t>before submitting it</w:t>
      </w:r>
      <w:r w:rsidRPr="00BD3549">
        <w:t xml:space="preserve"> to the NRC.  </w:t>
      </w:r>
      <w:r>
        <w:t xml:space="preserve">A review of Code </w:t>
      </w:r>
      <w:r w:rsidR="00EA2DF6">
        <w:t xml:space="preserve">Case </w:t>
      </w:r>
      <w:r>
        <w:t xml:space="preserve">alternate requests submitted to the NRC over the last </w:t>
      </w:r>
      <w:r w:rsidR="006B3DAF">
        <w:t>six</w:t>
      </w:r>
      <w:r>
        <w:t xml:space="preserve"> years identified that these submittals ranged from a few pages to several hundred pages with an average length of approximately 32 pages with average technical complexity.  Therefore, the NRC </w:t>
      </w:r>
      <w:r w:rsidR="00B7166C">
        <w:t xml:space="preserve">staff </w:t>
      </w:r>
      <w:r>
        <w:t xml:space="preserve">estimates that a Code </w:t>
      </w:r>
      <w:r w:rsidR="001C19EA">
        <w:t>Case</w:t>
      </w:r>
      <w:r>
        <w:t xml:space="preserve"> </w:t>
      </w:r>
      <w:r w:rsidR="001B5DD8">
        <w:t xml:space="preserve">alternative request </w:t>
      </w:r>
      <w:r>
        <w:t xml:space="preserve">submittal requires </w:t>
      </w:r>
      <w:r w:rsidR="00AB0273">
        <w:t>380 hours per request—</w:t>
      </w:r>
      <w:r w:rsidRPr="00BD3549">
        <w:t xml:space="preserve">an average of </w:t>
      </w:r>
      <w:r>
        <w:t>300</w:t>
      </w:r>
      <w:r w:rsidR="00AB0273">
        <w:t> </w:t>
      </w:r>
      <w:r w:rsidRPr="00BD3549">
        <w:t xml:space="preserve">hours of effort </w:t>
      </w:r>
      <w:r>
        <w:t>to develop the technical justification and an additional 80</w:t>
      </w:r>
      <w:r w:rsidR="00AB0273">
        <w:t> </w:t>
      </w:r>
      <w:r>
        <w:t>hours to perform research</w:t>
      </w:r>
      <w:r w:rsidR="00AB0273">
        <w:t xml:space="preserve"> and to </w:t>
      </w:r>
      <w:r>
        <w:t xml:space="preserve">review, approve, process, and submit the document to the NRC </w:t>
      </w:r>
      <w:r w:rsidRPr="00BD3549">
        <w:t xml:space="preserve">for use of alternatives under </w:t>
      </w:r>
      <w:r w:rsidR="00530AA1">
        <w:t>10</w:t>
      </w:r>
      <w:r w:rsidR="00AB0273">
        <w:t> </w:t>
      </w:r>
      <w:r w:rsidR="00530AA1">
        <w:t>CFR</w:t>
      </w:r>
      <w:r w:rsidR="00AB0273">
        <w:t> </w:t>
      </w:r>
      <w:r w:rsidRPr="00BD3549">
        <w:t>50.55a(z</w:t>
      </w:r>
      <w:r w:rsidR="00AB0273">
        <w:t>)</w:t>
      </w:r>
      <w:r w:rsidRPr="00BD3549">
        <w:t xml:space="preserve">.  </w:t>
      </w:r>
      <w:r>
        <w:t>The NRC assumes</w:t>
      </w:r>
      <w:r w:rsidRPr="00BD3549">
        <w:t xml:space="preserve"> that licensees or applicants </w:t>
      </w:r>
      <w:r>
        <w:t>would decide</w:t>
      </w:r>
      <w:r w:rsidRPr="00BD3549">
        <w:t xml:space="preserve"> whether </w:t>
      </w:r>
      <w:r>
        <w:t>an alternative request</w:t>
      </w:r>
      <w:r w:rsidRPr="00BD3549">
        <w:t xml:space="preserve"> should be sought </w:t>
      </w:r>
      <w:r>
        <w:t>by</w:t>
      </w:r>
      <w:r w:rsidRPr="00BD3549">
        <w:t xml:space="preserve"> weigh</w:t>
      </w:r>
      <w:r>
        <w:t>ing</w:t>
      </w:r>
      <w:r w:rsidRPr="00BD3549">
        <w:t xml:space="preserve"> </w:t>
      </w:r>
      <w:r>
        <w:t>the</w:t>
      </w:r>
      <w:r w:rsidRPr="00BD3549">
        <w:t xml:space="preserve"> cost against the benefit to be derived.  In some cases, licensees </w:t>
      </w:r>
      <w:r>
        <w:t>may</w:t>
      </w:r>
      <w:r w:rsidRPr="00BD3549">
        <w:t xml:space="preserve"> decide to forfeit the benefits of using a Code </w:t>
      </w:r>
      <w:r w:rsidR="001C19EA">
        <w:t>Case</w:t>
      </w:r>
      <w:r w:rsidRPr="00BD3549">
        <w:t>, whether in terms of radiological considerations or burden reduction</w:t>
      </w:r>
      <w:r>
        <w:t>.</w:t>
      </w:r>
    </w:p>
    <w:p w14:paraId="20FFB845" w14:textId="77777777" w:rsidR="00186364" w:rsidRPr="00BD3549" w:rsidRDefault="00186364" w:rsidP="00FF0EE8">
      <w:pPr>
        <w:spacing w:line="240" w:lineRule="auto"/>
      </w:pPr>
    </w:p>
    <w:p w14:paraId="0D4CEDA3" w14:textId="36A3FF57" w:rsidR="00186364" w:rsidRDefault="00186364" w:rsidP="00FF0EE8">
      <w:pPr>
        <w:spacing w:line="240" w:lineRule="auto"/>
      </w:pPr>
      <w:r>
        <w:t xml:space="preserve">A review of past </w:t>
      </w:r>
      <w:r w:rsidR="008613FE">
        <w:t xml:space="preserve">submittals of requests to use ASME </w:t>
      </w:r>
      <w:r>
        <w:t xml:space="preserve">Code </w:t>
      </w:r>
      <w:r w:rsidR="001C19EA">
        <w:t>Case</w:t>
      </w:r>
      <w:r>
        <w:t xml:space="preserve"> </w:t>
      </w:r>
      <w:r w:rsidR="001B5DD8">
        <w:t>alternative</w:t>
      </w:r>
      <w:r w:rsidR="008613FE">
        <w:t>s</w:t>
      </w:r>
      <w:r>
        <w:t xml:space="preserve"> has determined that plant owners submit a Code </w:t>
      </w:r>
      <w:r w:rsidR="001C19EA">
        <w:t>Case</w:t>
      </w:r>
      <w:r>
        <w:t xml:space="preserve"> alternative request that covers multiple units and multiple plant sites.  </w:t>
      </w:r>
      <w:r w:rsidRPr="00BD3549">
        <w:t xml:space="preserve">The NRC staff </w:t>
      </w:r>
      <w:r w:rsidR="00AB0273">
        <w:t xml:space="preserve">has </w:t>
      </w:r>
      <w:r>
        <w:t>receive</w:t>
      </w:r>
      <w:r w:rsidR="00AB0273">
        <w:t>d</w:t>
      </w:r>
      <w:r>
        <w:t xml:space="preserve"> approximately 30 Code </w:t>
      </w:r>
      <w:r w:rsidR="001C19EA">
        <w:t>Case</w:t>
      </w:r>
      <w:r>
        <w:t xml:space="preserve"> alternat</w:t>
      </w:r>
      <w:r w:rsidR="00B7166C">
        <w:t>iv</w:t>
      </w:r>
      <w:r>
        <w:t>e request</w:t>
      </w:r>
      <w:r w:rsidR="008613FE">
        <w:t>s</w:t>
      </w:r>
      <w:r>
        <w:t xml:space="preserve"> each year for the last </w:t>
      </w:r>
      <w:r w:rsidR="006B3DAF">
        <w:t>six</w:t>
      </w:r>
      <w:r>
        <w:t xml:space="preserve"> years.  If </w:t>
      </w:r>
      <w:r w:rsidR="00C3787C">
        <w:t>a</w:t>
      </w:r>
      <w:r>
        <w:t xml:space="preserve">lternative 2 is not adopted to incorporate by reference the allowable Code Cases, the NRC </w:t>
      </w:r>
      <w:r w:rsidRPr="00BD3549">
        <w:t xml:space="preserve">estimates that, on average, </w:t>
      </w:r>
      <w:r w:rsidR="002430B8">
        <w:t>the number</w:t>
      </w:r>
      <w:r>
        <w:t xml:space="preserve"> of </w:t>
      </w:r>
      <w:r w:rsidR="008613FE">
        <w:t xml:space="preserve">submittals for </w:t>
      </w:r>
      <w:r>
        <w:t xml:space="preserve">Code </w:t>
      </w:r>
      <w:r w:rsidR="001C19EA">
        <w:t>Case</w:t>
      </w:r>
      <w:r>
        <w:t xml:space="preserve"> alternative request</w:t>
      </w:r>
      <w:r w:rsidR="008613FE">
        <w:t>s</w:t>
      </w:r>
      <w:r>
        <w:t xml:space="preserve"> may increase until </w:t>
      </w:r>
      <w:r w:rsidR="00AB0273">
        <w:t xml:space="preserve">ASME incorporates </w:t>
      </w:r>
      <w:r>
        <w:t xml:space="preserve">the Code </w:t>
      </w:r>
      <w:r w:rsidR="001C19EA">
        <w:t>Case</w:t>
      </w:r>
      <w:r>
        <w:t xml:space="preserve"> into</w:t>
      </w:r>
      <w:r w:rsidRPr="00BD3549">
        <w:t xml:space="preserve"> a new edition of the BPV Code </w:t>
      </w:r>
      <w:r w:rsidR="008613FE">
        <w:t>or</w:t>
      </w:r>
      <w:r w:rsidRPr="00BD3549">
        <w:t xml:space="preserve"> the OM Code</w:t>
      </w:r>
      <w:r>
        <w:t xml:space="preserve">. </w:t>
      </w:r>
      <w:r w:rsidRPr="00BD3549">
        <w:t xml:space="preserve"> </w:t>
      </w:r>
      <w:r>
        <w:t xml:space="preserve">The NRC staff estimates that incorporation of Code Cases would occur within two cycles of issuing a new edition of the Code or within </w:t>
      </w:r>
      <w:r w:rsidR="006B3DAF">
        <w:t>six</w:t>
      </w:r>
      <w:r w:rsidR="001F6D2A">
        <w:t> </w:t>
      </w:r>
      <w:r>
        <w:t xml:space="preserve">years.  Under </w:t>
      </w:r>
      <w:r w:rsidR="00C3787C">
        <w:t>a</w:t>
      </w:r>
      <w:r>
        <w:t>lternative</w:t>
      </w:r>
      <w:r w:rsidR="001F6D2A">
        <w:t> </w:t>
      </w:r>
      <w:r>
        <w:t xml:space="preserve">2, a licensee of a nuclear power plant would no longer be required to submit a Code </w:t>
      </w:r>
      <w:r w:rsidR="001C19EA">
        <w:t>Case</w:t>
      </w:r>
      <w:r>
        <w:t xml:space="preserve"> alternative request under the new </w:t>
      </w:r>
      <w:r w:rsidR="00530AA1">
        <w:t>10</w:t>
      </w:r>
      <w:r w:rsidR="001F6D2A">
        <w:t> </w:t>
      </w:r>
      <w:r w:rsidR="00530AA1">
        <w:t>CFR</w:t>
      </w:r>
      <w:r w:rsidR="001F6D2A">
        <w:t> </w:t>
      </w:r>
      <w:r>
        <w:t>50.55a(z)</w:t>
      </w:r>
      <w:r w:rsidR="001F6D2A">
        <w:t>,</w:t>
      </w:r>
      <w:r>
        <w:t xml:space="preserve"> which would provide a net benefit (i.e.,</w:t>
      </w:r>
      <w:r w:rsidR="001F6D2A">
        <w:t> </w:t>
      </w:r>
      <w:r>
        <w:t xml:space="preserve">averted cost) to the licensee.  As shown in </w:t>
      </w:r>
      <w:r w:rsidR="00427F42" w:rsidRPr="000D50A2">
        <w:fldChar w:fldCharType="begin"/>
      </w:r>
      <w:r w:rsidR="00427F42" w:rsidRPr="000D50A2">
        <w:instrText xml:space="preserve"> REF _Ref419384731 \h </w:instrText>
      </w:r>
      <w:r w:rsidR="00C47FDA" w:rsidRPr="00D557C2">
        <w:instrText xml:space="preserve"> \* MERGEFORMAT </w:instrText>
      </w:r>
      <w:r w:rsidR="00427F42" w:rsidRPr="000D50A2">
        <w:fldChar w:fldCharType="separate"/>
      </w:r>
      <w:r w:rsidR="00FD3AB6" w:rsidRPr="00FD3AB6">
        <w:t xml:space="preserve">Table </w:t>
      </w:r>
      <w:r w:rsidR="00FD3AB6" w:rsidRPr="00FD3AB6">
        <w:rPr>
          <w:noProof/>
        </w:rPr>
        <w:t>10</w:t>
      </w:r>
      <w:r w:rsidR="00427F42" w:rsidRPr="000D50A2">
        <w:fldChar w:fldCharType="end"/>
      </w:r>
      <w:r w:rsidRPr="006E5706">
        <w:t>,</w:t>
      </w:r>
      <w:r w:rsidRPr="00BD3549">
        <w:t xml:space="preserve"> </w:t>
      </w:r>
      <w:r>
        <w:t xml:space="preserve">the implementation of </w:t>
      </w:r>
      <w:r w:rsidR="00C3787C">
        <w:t>a</w:t>
      </w:r>
      <w:r>
        <w:t>lternative</w:t>
      </w:r>
      <w:r w:rsidR="001F6D2A">
        <w:t> </w:t>
      </w:r>
      <w:r>
        <w:t xml:space="preserve">2 would result in </w:t>
      </w:r>
      <w:r w:rsidR="004710CD">
        <w:t xml:space="preserve">the aversion of </w:t>
      </w:r>
      <w:r>
        <w:t>additional</w:t>
      </w:r>
      <w:r w:rsidR="008613FE">
        <w:t xml:space="preserve"> submittals for</w:t>
      </w:r>
      <w:r>
        <w:t xml:space="preserve"> </w:t>
      </w:r>
      <w:r w:rsidRPr="00BD3549">
        <w:t xml:space="preserve">Code </w:t>
      </w:r>
      <w:r w:rsidR="001C19EA">
        <w:t>Case</w:t>
      </w:r>
      <w:r>
        <w:t xml:space="preserve"> </w:t>
      </w:r>
      <w:r w:rsidR="001B5DD8">
        <w:t xml:space="preserve">alternative </w:t>
      </w:r>
      <w:r w:rsidR="001B5DD8" w:rsidRPr="00F56ABA">
        <w:t>request</w:t>
      </w:r>
      <w:r w:rsidR="008613FE" w:rsidRPr="00F56ABA">
        <w:t>s</w:t>
      </w:r>
      <w:r w:rsidR="001A7E46" w:rsidRPr="00F56ABA">
        <w:t xml:space="preserve"> for Code Cases N</w:t>
      </w:r>
      <w:r w:rsidR="001F6D2A" w:rsidRPr="00F56ABA">
        <w:noBreakHyphen/>
      </w:r>
      <w:r w:rsidR="001A7E46" w:rsidRPr="00F56ABA">
        <w:t>666</w:t>
      </w:r>
      <w:r w:rsidR="001F6D2A" w:rsidRPr="00F56ABA">
        <w:noBreakHyphen/>
      </w:r>
      <w:r w:rsidR="001A7E46" w:rsidRPr="00F56ABA">
        <w:t>1</w:t>
      </w:r>
      <w:r w:rsidR="004710CD" w:rsidRPr="00F56ABA">
        <w:t>,</w:t>
      </w:r>
      <w:r w:rsidR="001A7E46" w:rsidRPr="00F56ABA">
        <w:t>N</w:t>
      </w:r>
      <w:r w:rsidR="001F6D2A" w:rsidRPr="00F56ABA">
        <w:noBreakHyphen/>
      </w:r>
      <w:r w:rsidR="001A7E46" w:rsidRPr="00F56ABA">
        <w:t>789 and N</w:t>
      </w:r>
      <w:r w:rsidR="001F6D2A" w:rsidRPr="00F56ABA">
        <w:noBreakHyphen/>
      </w:r>
      <w:r w:rsidR="001A7E46" w:rsidRPr="00F56ABA">
        <w:t>795</w:t>
      </w:r>
      <w:r w:rsidR="008613FE" w:rsidRPr="00F56ABA">
        <w:t>,</w:t>
      </w:r>
      <w:r w:rsidR="001A7E46" w:rsidRPr="00F56ABA">
        <w:t xml:space="preserve"> </w:t>
      </w:r>
      <w:r w:rsidR="0046138F" w:rsidRPr="00F56ABA">
        <w:t>for a total of 4</w:t>
      </w:r>
      <w:r w:rsidR="0059182F" w:rsidRPr="00F56ABA">
        <w:t>0</w:t>
      </w:r>
      <w:r w:rsidR="0046138F" w:rsidRPr="00F56ABA">
        <w:t xml:space="preserve"> alternative requests </w:t>
      </w:r>
      <w:r w:rsidRPr="00F56ABA">
        <w:t xml:space="preserve">that would not need to be prepared </w:t>
      </w:r>
      <w:r w:rsidR="00EA2DF6" w:rsidRPr="00F56ABA">
        <w:t>annually</w:t>
      </w:r>
      <w:r w:rsidRPr="00F56ABA">
        <w:t xml:space="preserve"> under </w:t>
      </w:r>
      <w:r w:rsidR="00530AA1" w:rsidRPr="00F56ABA">
        <w:t>10</w:t>
      </w:r>
      <w:r w:rsidR="001F6D2A" w:rsidRPr="00F56ABA">
        <w:t> </w:t>
      </w:r>
      <w:r w:rsidR="00530AA1" w:rsidRPr="00F56ABA">
        <w:t>CFR</w:t>
      </w:r>
      <w:r w:rsidR="001F6D2A" w:rsidRPr="00F56ABA">
        <w:t> </w:t>
      </w:r>
      <w:r w:rsidRPr="00F56ABA">
        <w:t>50.55a(z).  The NRC estimates the costs</w:t>
      </w:r>
      <w:r w:rsidR="008613FE" w:rsidRPr="00F56ABA">
        <w:t xml:space="preserve"> averted by not needing to prepare submittals for</w:t>
      </w:r>
      <w:r w:rsidRPr="00F56ABA">
        <w:t xml:space="preserve"> </w:t>
      </w:r>
      <w:r w:rsidR="001C19EA" w:rsidRPr="00F56ABA">
        <w:t>C</w:t>
      </w:r>
      <w:r w:rsidRPr="00F56ABA">
        <w:t xml:space="preserve">ode </w:t>
      </w:r>
      <w:r w:rsidR="001C19EA" w:rsidRPr="00F56ABA">
        <w:t>C</w:t>
      </w:r>
      <w:r w:rsidRPr="00F56ABA">
        <w:t xml:space="preserve">ase </w:t>
      </w:r>
      <w:r w:rsidR="001B5DD8" w:rsidRPr="00F56ABA">
        <w:t>alternative request</w:t>
      </w:r>
      <w:r w:rsidRPr="00F56ABA">
        <w:t>s would range from $</w:t>
      </w:r>
      <w:r w:rsidR="0059182F" w:rsidRPr="00F56ABA">
        <w:t>7</w:t>
      </w:r>
      <w:r w:rsidR="00B7166C" w:rsidRPr="00F56ABA">
        <w:t>.</w:t>
      </w:r>
      <w:r w:rsidR="0059182F" w:rsidRPr="00F56ABA">
        <w:t>75</w:t>
      </w:r>
      <w:r w:rsidR="001F6D2A" w:rsidRPr="00F56ABA">
        <w:t> </w:t>
      </w:r>
      <w:r w:rsidRPr="00F56ABA">
        <w:t xml:space="preserve">million </w:t>
      </w:r>
      <w:r w:rsidR="00056B30" w:rsidRPr="00F56ABA">
        <w:t>(</w:t>
      </w:r>
      <w:r w:rsidR="0082432D" w:rsidRPr="00F56ABA">
        <w:t>7</w:t>
      </w:r>
      <w:r w:rsidR="001F6D2A" w:rsidRPr="00F56ABA">
        <w:noBreakHyphen/>
      </w:r>
      <w:r w:rsidR="0082432D" w:rsidRPr="00F56ABA">
        <w:t>percent</w:t>
      </w:r>
      <w:r w:rsidRPr="00F56ABA">
        <w:t xml:space="preserve"> </w:t>
      </w:r>
      <w:r w:rsidR="001F6D2A" w:rsidRPr="00F56ABA">
        <w:t>net present value (</w:t>
      </w:r>
      <w:r w:rsidR="00056B30" w:rsidRPr="00F56ABA">
        <w:t>NPV</w:t>
      </w:r>
      <w:r w:rsidR="001F6D2A" w:rsidRPr="00F56ABA">
        <w:t>)</w:t>
      </w:r>
      <w:r w:rsidR="00056B30" w:rsidRPr="00F56ABA">
        <w:t>)</w:t>
      </w:r>
      <w:r w:rsidRPr="00F56ABA">
        <w:t xml:space="preserve"> to $</w:t>
      </w:r>
      <w:r w:rsidR="0059182F" w:rsidRPr="00F56ABA">
        <w:t>8</w:t>
      </w:r>
      <w:r w:rsidR="00B7166C" w:rsidRPr="00F56ABA">
        <w:t>.</w:t>
      </w:r>
      <w:r w:rsidR="0059182F" w:rsidRPr="00F56ABA">
        <w:t>66</w:t>
      </w:r>
      <w:r w:rsidR="001F6D2A" w:rsidRPr="00F56ABA">
        <w:t> </w:t>
      </w:r>
      <w:r w:rsidRPr="00F56ABA">
        <w:t xml:space="preserve">million </w:t>
      </w:r>
      <w:r w:rsidR="00056B30" w:rsidRPr="00F56ABA">
        <w:t>(</w:t>
      </w:r>
      <w:r w:rsidR="0082432D" w:rsidRPr="00F56ABA">
        <w:t>3</w:t>
      </w:r>
      <w:r w:rsidR="001F6D2A" w:rsidRPr="00F56ABA">
        <w:noBreakHyphen/>
      </w:r>
      <w:r w:rsidR="0082432D" w:rsidRPr="00F56ABA">
        <w:t>percent</w:t>
      </w:r>
      <w:r w:rsidRPr="00F56ABA">
        <w:t xml:space="preserve"> </w:t>
      </w:r>
      <w:r w:rsidR="00056B30" w:rsidRPr="00F56ABA">
        <w:t>NPV)</w:t>
      </w:r>
      <w:r w:rsidRPr="00F56ABA">
        <w:t>.</w:t>
      </w:r>
    </w:p>
    <w:p w14:paraId="5B452D07" w14:textId="77777777" w:rsidR="00186364" w:rsidRDefault="00186364" w:rsidP="00FF0EE8">
      <w:pPr>
        <w:spacing w:line="240" w:lineRule="auto"/>
      </w:pPr>
    </w:p>
    <w:p w14:paraId="07DD42D5" w14:textId="27BC8D15" w:rsidR="00186364" w:rsidRPr="00BB7E3D" w:rsidRDefault="00186364" w:rsidP="00FF0EE8">
      <w:pPr>
        <w:pStyle w:val="Caption"/>
        <w:spacing w:line="240" w:lineRule="auto"/>
        <w:ind w:left="1080" w:hanging="1080"/>
        <w:jc w:val="center"/>
        <w:rPr>
          <w:b/>
        </w:rPr>
      </w:pPr>
      <w:bookmarkStart w:id="186" w:name="_Ref419384731"/>
      <w:bookmarkStart w:id="187" w:name="_Toc467508499"/>
      <w:bookmarkStart w:id="188" w:name="_Toc462225005"/>
      <w:r w:rsidRPr="00BB7E3D">
        <w:rPr>
          <w:b/>
        </w:rPr>
        <w:t xml:space="preserve">Table </w:t>
      </w:r>
      <w:r w:rsidR="00782423" w:rsidRPr="00BB7E3D">
        <w:rPr>
          <w:b/>
        </w:rPr>
        <w:fldChar w:fldCharType="begin"/>
      </w:r>
      <w:r w:rsidR="00782423" w:rsidRPr="00BB7E3D">
        <w:rPr>
          <w:b/>
        </w:rPr>
        <w:instrText xml:space="preserve"> SEQ Table \* ARABIC </w:instrText>
      </w:r>
      <w:r w:rsidR="00782423" w:rsidRPr="00BB7E3D">
        <w:rPr>
          <w:b/>
        </w:rPr>
        <w:fldChar w:fldCharType="separate"/>
      </w:r>
      <w:r w:rsidR="00FD3AB6">
        <w:rPr>
          <w:b/>
          <w:noProof/>
        </w:rPr>
        <w:t>10</w:t>
      </w:r>
      <w:r w:rsidR="00782423" w:rsidRPr="00BB7E3D">
        <w:rPr>
          <w:b/>
        </w:rPr>
        <w:fldChar w:fldCharType="end"/>
      </w:r>
      <w:bookmarkEnd w:id="186"/>
      <w:r w:rsidR="006C3FF0" w:rsidRPr="00D557C2">
        <w:rPr>
          <w:b/>
        </w:rPr>
        <w:t xml:space="preserve">  </w:t>
      </w:r>
      <w:r w:rsidRPr="00BB7E3D">
        <w:rPr>
          <w:b/>
        </w:rPr>
        <w:t>Averted Industry Operation Costs</w:t>
      </w:r>
      <w:bookmarkEnd w:id="187"/>
      <w:bookmarkEnd w:id="188"/>
    </w:p>
    <w:tbl>
      <w:tblPr>
        <w:tblStyle w:val="TableGrid"/>
        <w:tblW w:w="9288" w:type="dxa"/>
        <w:tblLayout w:type="fixed"/>
        <w:tblLook w:val="04A0" w:firstRow="1" w:lastRow="0" w:firstColumn="1" w:lastColumn="0" w:noHBand="0" w:noVBand="1"/>
      </w:tblPr>
      <w:tblGrid>
        <w:gridCol w:w="706"/>
        <w:gridCol w:w="1811"/>
        <w:gridCol w:w="1457"/>
        <w:gridCol w:w="994"/>
        <w:gridCol w:w="1620"/>
        <w:gridCol w:w="13"/>
        <w:gridCol w:w="1318"/>
        <w:gridCol w:w="19"/>
        <w:gridCol w:w="1350"/>
      </w:tblGrid>
      <w:tr w:rsidR="003E41EC" w:rsidRPr="00C3447C" w14:paraId="57925FEB" w14:textId="77777777" w:rsidTr="004F5401">
        <w:trPr>
          <w:trHeight w:val="300"/>
        </w:trPr>
        <w:tc>
          <w:tcPr>
            <w:tcW w:w="706" w:type="dxa"/>
            <w:vMerge w:val="restart"/>
            <w:noWrap/>
            <w:vAlign w:val="center"/>
            <w:hideMark/>
          </w:tcPr>
          <w:p w14:paraId="4E599E53" w14:textId="77777777" w:rsidR="003E41EC" w:rsidRPr="00BB7E3D" w:rsidRDefault="003E41EC" w:rsidP="00FF0EE8">
            <w:pPr>
              <w:autoSpaceDE/>
              <w:autoSpaceDN/>
              <w:adjustRightInd/>
              <w:jc w:val="center"/>
              <w:rPr>
                <w:b/>
                <w:color w:val="000000"/>
              </w:rPr>
            </w:pPr>
            <w:r w:rsidRPr="00BB7E3D">
              <w:rPr>
                <w:b/>
                <w:color w:val="000000"/>
              </w:rPr>
              <w:t>Year</w:t>
            </w:r>
          </w:p>
        </w:tc>
        <w:tc>
          <w:tcPr>
            <w:tcW w:w="1811" w:type="dxa"/>
            <w:vMerge w:val="restart"/>
            <w:vAlign w:val="center"/>
            <w:hideMark/>
          </w:tcPr>
          <w:p w14:paraId="5F1BB1CA" w14:textId="77777777" w:rsidR="003E41EC" w:rsidRPr="00BB7E3D" w:rsidRDefault="003E41EC" w:rsidP="00FF0EE8">
            <w:pPr>
              <w:autoSpaceDE/>
              <w:autoSpaceDN/>
              <w:adjustRightInd/>
              <w:jc w:val="center"/>
              <w:rPr>
                <w:b/>
                <w:color w:val="000000"/>
              </w:rPr>
            </w:pPr>
            <w:r w:rsidRPr="00BB7E3D">
              <w:rPr>
                <w:b/>
                <w:color w:val="000000"/>
              </w:rPr>
              <w:t>Alternative Request Submittals</w:t>
            </w:r>
          </w:p>
        </w:tc>
        <w:tc>
          <w:tcPr>
            <w:tcW w:w="1457" w:type="dxa"/>
            <w:vMerge w:val="restart"/>
            <w:vAlign w:val="center"/>
          </w:tcPr>
          <w:p w14:paraId="2ABA6ABF" w14:textId="6DF5B722" w:rsidR="003E41EC" w:rsidRPr="001D0D4A" w:rsidRDefault="003E41EC" w:rsidP="00FF0EE8">
            <w:pPr>
              <w:autoSpaceDE/>
              <w:autoSpaceDN/>
              <w:adjustRightInd/>
              <w:jc w:val="center"/>
              <w:rPr>
                <w:b/>
                <w:color w:val="000000"/>
              </w:rPr>
            </w:pPr>
            <w:r w:rsidRPr="001D0D4A">
              <w:rPr>
                <w:b/>
                <w:color w:val="000000"/>
              </w:rPr>
              <w:t>Hours per Submittal</w:t>
            </w:r>
          </w:p>
        </w:tc>
        <w:tc>
          <w:tcPr>
            <w:tcW w:w="994" w:type="dxa"/>
            <w:vMerge w:val="restart"/>
            <w:vAlign w:val="center"/>
            <w:hideMark/>
          </w:tcPr>
          <w:p w14:paraId="0E9C2EAF" w14:textId="77777777" w:rsidR="003E41EC" w:rsidRPr="00BB7E3D" w:rsidRDefault="003E41EC" w:rsidP="00FF0EE8">
            <w:pPr>
              <w:autoSpaceDE/>
              <w:autoSpaceDN/>
              <w:adjustRightInd/>
              <w:jc w:val="center"/>
              <w:rPr>
                <w:b/>
                <w:color w:val="000000"/>
              </w:rPr>
            </w:pPr>
            <w:r w:rsidRPr="00BB7E3D">
              <w:rPr>
                <w:b/>
                <w:color w:val="000000"/>
              </w:rPr>
              <w:t>Labor Rate</w:t>
            </w:r>
          </w:p>
        </w:tc>
        <w:tc>
          <w:tcPr>
            <w:tcW w:w="4320" w:type="dxa"/>
            <w:gridSpan w:val="5"/>
            <w:vAlign w:val="center"/>
            <w:hideMark/>
          </w:tcPr>
          <w:p w14:paraId="18B7A06E" w14:textId="6518C98F" w:rsidR="003E41EC" w:rsidRPr="00BB7E3D" w:rsidRDefault="003E41EC" w:rsidP="00FF0EE8">
            <w:pPr>
              <w:autoSpaceDE/>
              <w:autoSpaceDN/>
              <w:adjustRightInd/>
              <w:jc w:val="center"/>
              <w:rPr>
                <w:b/>
                <w:color w:val="000000"/>
              </w:rPr>
            </w:pPr>
            <w:r w:rsidRPr="00BB7E3D">
              <w:rPr>
                <w:b/>
                <w:color w:val="000000"/>
              </w:rPr>
              <w:t>Averted Industry Operation Costs</w:t>
            </w:r>
            <w:r>
              <w:rPr>
                <w:rFonts w:eastAsia="Times New Roman"/>
                <w:b/>
                <w:bCs/>
                <w:color w:val="000000"/>
              </w:rPr>
              <w:br/>
            </w:r>
            <w:r w:rsidRPr="00BB7E3D">
              <w:rPr>
                <w:b/>
                <w:color w:val="000000"/>
              </w:rPr>
              <w:t xml:space="preserve">(2017 </w:t>
            </w:r>
            <w:r>
              <w:rPr>
                <w:rFonts w:eastAsia="Times New Roman"/>
                <w:b/>
                <w:bCs/>
                <w:color w:val="000000"/>
              </w:rPr>
              <w:t>D</w:t>
            </w:r>
            <w:r w:rsidRPr="00D557C2">
              <w:rPr>
                <w:rFonts w:eastAsia="Times New Roman"/>
                <w:b/>
                <w:bCs/>
                <w:color w:val="000000"/>
              </w:rPr>
              <w:t>ollars</w:t>
            </w:r>
            <w:r w:rsidRPr="00BB7E3D">
              <w:rPr>
                <w:b/>
                <w:color w:val="000000"/>
              </w:rPr>
              <w:t>)</w:t>
            </w:r>
          </w:p>
        </w:tc>
      </w:tr>
      <w:tr w:rsidR="003E41EC" w:rsidRPr="00C3447C" w14:paraId="11DAB563" w14:textId="77777777" w:rsidTr="004F5401">
        <w:trPr>
          <w:trHeight w:val="288"/>
        </w:trPr>
        <w:tc>
          <w:tcPr>
            <w:tcW w:w="706" w:type="dxa"/>
            <w:vMerge/>
            <w:vAlign w:val="center"/>
            <w:hideMark/>
          </w:tcPr>
          <w:p w14:paraId="2576B0E9" w14:textId="77777777" w:rsidR="003E41EC" w:rsidRPr="00BB7E3D" w:rsidRDefault="003E41EC" w:rsidP="00FF0EE8">
            <w:pPr>
              <w:autoSpaceDE/>
              <w:autoSpaceDN/>
              <w:adjustRightInd/>
              <w:jc w:val="center"/>
              <w:rPr>
                <w:b/>
                <w:color w:val="000000"/>
              </w:rPr>
            </w:pPr>
          </w:p>
        </w:tc>
        <w:tc>
          <w:tcPr>
            <w:tcW w:w="1811" w:type="dxa"/>
            <w:vMerge/>
            <w:vAlign w:val="center"/>
            <w:hideMark/>
          </w:tcPr>
          <w:p w14:paraId="556D9BC2" w14:textId="77777777" w:rsidR="003E41EC" w:rsidRPr="00BB7E3D" w:rsidRDefault="003E41EC" w:rsidP="00FF0EE8">
            <w:pPr>
              <w:autoSpaceDE/>
              <w:autoSpaceDN/>
              <w:adjustRightInd/>
              <w:jc w:val="center"/>
              <w:rPr>
                <w:b/>
                <w:color w:val="000000"/>
              </w:rPr>
            </w:pPr>
          </w:p>
        </w:tc>
        <w:tc>
          <w:tcPr>
            <w:tcW w:w="1457" w:type="dxa"/>
            <w:vMerge/>
            <w:vAlign w:val="center"/>
          </w:tcPr>
          <w:p w14:paraId="5F1E46E5" w14:textId="77777777" w:rsidR="003E41EC" w:rsidRPr="00BB7E3D" w:rsidRDefault="003E41EC" w:rsidP="00FF0EE8">
            <w:pPr>
              <w:autoSpaceDE/>
              <w:autoSpaceDN/>
              <w:adjustRightInd/>
              <w:jc w:val="center"/>
              <w:rPr>
                <w:b/>
                <w:color w:val="000000"/>
              </w:rPr>
            </w:pPr>
          </w:p>
        </w:tc>
        <w:tc>
          <w:tcPr>
            <w:tcW w:w="994" w:type="dxa"/>
            <w:vMerge/>
            <w:vAlign w:val="center"/>
            <w:hideMark/>
          </w:tcPr>
          <w:p w14:paraId="54F64E50" w14:textId="77777777" w:rsidR="003E41EC" w:rsidRPr="00BB7E3D" w:rsidRDefault="003E41EC" w:rsidP="00FF0EE8">
            <w:pPr>
              <w:autoSpaceDE/>
              <w:autoSpaceDN/>
              <w:adjustRightInd/>
              <w:jc w:val="center"/>
              <w:rPr>
                <w:b/>
                <w:color w:val="000000"/>
              </w:rPr>
            </w:pPr>
          </w:p>
        </w:tc>
        <w:tc>
          <w:tcPr>
            <w:tcW w:w="1633" w:type="dxa"/>
            <w:gridSpan w:val="2"/>
            <w:vAlign w:val="center"/>
            <w:hideMark/>
          </w:tcPr>
          <w:p w14:paraId="08273F1D" w14:textId="77777777" w:rsidR="003E41EC" w:rsidRPr="003E41EC" w:rsidRDefault="003E41EC" w:rsidP="00FF0EE8">
            <w:pPr>
              <w:autoSpaceDE/>
              <w:autoSpaceDN/>
              <w:adjustRightInd/>
              <w:jc w:val="center"/>
              <w:rPr>
                <w:b/>
                <w:color w:val="000000"/>
                <w:sz w:val="20"/>
                <w:szCs w:val="20"/>
              </w:rPr>
            </w:pPr>
            <w:r w:rsidRPr="003E41EC">
              <w:rPr>
                <w:b/>
                <w:color w:val="000000"/>
                <w:sz w:val="20"/>
                <w:szCs w:val="20"/>
              </w:rPr>
              <w:t>Undiscounted</w:t>
            </w:r>
          </w:p>
        </w:tc>
        <w:tc>
          <w:tcPr>
            <w:tcW w:w="1318" w:type="dxa"/>
            <w:vAlign w:val="center"/>
            <w:hideMark/>
          </w:tcPr>
          <w:p w14:paraId="64ACEC29" w14:textId="77777777" w:rsidR="003E41EC" w:rsidRPr="003E41EC" w:rsidRDefault="003E41EC" w:rsidP="00FF0EE8">
            <w:pPr>
              <w:autoSpaceDE/>
              <w:autoSpaceDN/>
              <w:adjustRightInd/>
              <w:jc w:val="center"/>
              <w:rPr>
                <w:b/>
                <w:color w:val="000000"/>
                <w:sz w:val="20"/>
                <w:szCs w:val="20"/>
              </w:rPr>
            </w:pPr>
            <w:r w:rsidRPr="003E41EC">
              <w:rPr>
                <w:b/>
                <w:color w:val="000000"/>
                <w:sz w:val="20"/>
                <w:szCs w:val="20"/>
              </w:rPr>
              <w:t>7% NPV</w:t>
            </w:r>
          </w:p>
        </w:tc>
        <w:tc>
          <w:tcPr>
            <w:tcW w:w="1369" w:type="dxa"/>
            <w:gridSpan w:val="2"/>
            <w:vAlign w:val="center"/>
            <w:hideMark/>
          </w:tcPr>
          <w:p w14:paraId="58ECDCAD" w14:textId="77777777" w:rsidR="003E41EC" w:rsidRPr="003E41EC" w:rsidRDefault="003E41EC" w:rsidP="00FF0EE8">
            <w:pPr>
              <w:autoSpaceDE/>
              <w:autoSpaceDN/>
              <w:adjustRightInd/>
              <w:jc w:val="center"/>
              <w:rPr>
                <w:b/>
                <w:color w:val="000000"/>
                <w:sz w:val="20"/>
                <w:szCs w:val="20"/>
              </w:rPr>
            </w:pPr>
            <w:r w:rsidRPr="003E41EC">
              <w:rPr>
                <w:b/>
                <w:color w:val="000000"/>
                <w:sz w:val="20"/>
                <w:szCs w:val="20"/>
              </w:rPr>
              <w:t>3% NPV</w:t>
            </w:r>
          </w:p>
        </w:tc>
      </w:tr>
      <w:tr w:rsidR="003E41EC" w:rsidRPr="00C3447C" w14:paraId="0B99F5D6" w14:textId="77777777" w:rsidTr="004F5401">
        <w:trPr>
          <w:trHeight w:val="288"/>
        </w:trPr>
        <w:tc>
          <w:tcPr>
            <w:tcW w:w="706" w:type="dxa"/>
            <w:noWrap/>
            <w:vAlign w:val="center"/>
            <w:hideMark/>
          </w:tcPr>
          <w:p w14:paraId="0E6D56F5" w14:textId="77777777" w:rsidR="003E41EC" w:rsidRPr="00BB7E3D" w:rsidRDefault="003E41EC" w:rsidP="00FF0EE8">
            <w:pPr>
              <w:autoSpaceDE/>
              <w:autoSpaceDN/>
              <w:adjustRightInd/>
              <w:jc w:val="center"/>
              <w:rPr>
                <w:color w:val="000000"/>
              </w:rPr>
            </w:pPr>
            <w:r w:rsidRPr="0049737B">
              <w:t>2018</w:t>
            </w:r>
          </w:p>
        </w:tc>
        <w:tc>
          <w:tcPr>
            <w:tcW w:w="1811" w:type="dxa"/>
            <w:noWrap/>
            <w:vAlign w:val="center"/>
            <w:hideMark/>
          </w:tcPr>
          <w:p w14:paraId="13ADAD21" w14:textId="2C784444" w:rsidR="003E41EC" w:rsidRPr="00BB7E3D" w:rsidRDefault="003E41EC" w:rsidP="00FF0EE8">
            <w:pPr>
              <w:autoSpaceDE/>
              <w:autoSpaceDN/>
              <w:adjustRightInd/>
              <w:jc w:val="center"/>
              <w:rPr>
                <w:color w:val="000000"/>
              </w:rPr>
            </w:pPr>
            <w:r>
              <w:rPr>
                <w:color w:val="000000"/>
              </w:rPr>
              <w:t>40</w:t>
            </w:r>
          </w:p>
        </w:tc>
        <w:tc>
          <w:tcPr>
            <w:tcW w:w="1457" w:type="dxa"/>
            <w:vAlign w:val="center"/>
          </w:tcPr>
          <w:p w14:paraId="3ED1B065" w14:textId="0C9118A4" w:rsidR="003E41EC" w:rsidRPr="00BB7E3D" w:rsidRDefault="003E41EC" w:rsidP="00FF0EE8">
            <w:pPr>
              <w:autoSpaceDE/>
              <w:autoSpaceDN/>
              <w:adjustRightInd/>
              <w:jc w:val="center"/>
              <w:rPr>
                <w:color w:val="000000"/>
              </w:rPr>
            </w:pPr>
            <w:r w:rsidRPr="00BB7E3D">
              <w:rPr>
                <w:color w:val="000000"/>
              </w:rPr>
              <w:t>380</w:t>
            </w:r>
          </w:p>
        </w:tc>
        <w:tc>
          <w:tcPr>
            <w:tcW w:w="994" w:type="dxa"/>
            <w:noWrap/>
            <w:vAlign w:val="center"/>
            <w:hideMark/>
          </w:tcPr>
          <w:p w14:paraId="4E6349AB" w14:textId="77777777" w:rsidR="003E41EC" w:rsidRPr="00BB7E3D" w:rsidRDefault="003E41EC" w:rsidP="00FF0EE8">
            <w:pPr>
              <w:autoSpaceDE/>
              <w:autoSpaceDN/>
              <w:adjustRightInd/>
              <w:jc w:val="center"/>
              <w:rPr>
                <w:color w:val="000000"/>
              </w:rPr>
            </w:pPr>
            <w:r w:rsidRPr="00BB7E3D">
              <w:rPr>
                <w:color w:val="000000"/>
              </w:rPr>
              <w:t>$126</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0E0A93" w14:textId="27920ADC" w:rsidR="003E41EC" w:rsidRPr="003E41EC" w:rsidRDefault="003E41EC" w:rsidP="00FF0EE8">
            <w:pPr>
              <w:autoSpaceDE/>
              <w:autoSpaceDN/>
              <w:adjustRightInd/>
              <w:jc w:val="center"/>
              <w:rPr>
                <w:color w:val="000000"/>
              </w:rPr>
            </w:pPr>
            <w:r w:rsidRPr="003E41EC">
              <w:rPr>
                <w:color w:val="000000"/>
              </w:rPr>
              <w:t>$1,890,171</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7FB880FD" w14:textId="1B68F07F" w:rsidR="003E41EC" w:rsidRPr="003E41EC" w:rsidRDefault="003E41EC" w:rsidP="00FF0EE8">
            <w:pPr>
              <w:autoSpaceDE/>
              <w:autoSpaceDN/>
              <w:adjustRightInd/>
              <w:jc w:val="center"/>
              <w:rPr>
                <w:color w:val="000000"/>
              </w:rPr>
            </w:pPr>
            <w:r w:rsidRPr="003E41EC">
              <w:rPr>
                <w:color w:val="000000"/>
              </w:rPr>
              <w:t>$1,766,515</w:t>
            </w: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14:paraId="64397713" w14:textId="3BBF43A9" w:rsidR="003E41EC" w:rsidRPr="003E41EC" w:rsidRDefault="003E41EC" w:rsidP="00FF0EE8">
            <w:pPr>
              <w:autoSpaceDE/>
              <w:autoSpaceDN/>
              <w:adjustRightInd/>
              <w:jc w:val="center"/>
              <w:rPr>
                <w:color w:val="000000"/>
              </w:rPr>
            </w:pPr>
            <w:r w:rsidRPr="003E41EC">
              <w:rPr>
                <w:color w:val="000000"/>
              </w:rPr>
              <w:t>$1,835,118</w:t>
            </w:r>
          </w:p>
        </w:tc>
      </w:tr>
      <w:tr w:rsidR="003E41EC" w:rsidRPr="00C3447C" w14:paraId="0AB08B16" w14:textId="77777777" w:rsidTr="004F5401">
        <w:trPr>
          <w:trHeight w:val="288"/>
        </w:trPr>
        <w:tc>
          <w:tcPr>
            <w:tcW w:w="706" w:type="dxa"/>
            <w:noWrap/>
            <w:vAlign w:val="center"/>
            <w:hideMark/>
          </w:tcPr>
          <w:p w14:paraId="2C78D5BB" w14:textId="77777777" w:rsidR="003E41EC" w:rsidRPr="00BB7E3D" w:rsidRDefault="003E41EC" w:rsidP="00FF0EE8">
            <w:pPr>
              <w:autoSpaceDE/>
              <w:autoSpaceDN/>
              <w:adjustRightInd/>
              <w:jc w:val="center"/>
              <w:rPr>
                <w:color w:val="000000"/>
              </w:rPr>
            </w:pPr>
            <w:r w:rsidRPr="0049737B">
              <w:t>2019</w:t>
            </w:r>
          </w:p>
        </w:tc>
        <w:tc>
          <w:tcPr>
            <w:tcW w:w="1811" w:type="dxa"/>
            <w:noWrap/>
            <w:vAlign w:val="center"/>
            <w:hideMark/>
          </w:tcPr>
          <w:p w14:paraId="32AC293F" w14:textId="4BDD6BDA" w:rsidR="003E41EC" w:rsidRPr="00BB7E3D" w:rsidRDefault="003E41EC" w:rsidP="00FF0EE8">
            <w:pPr>
              <w:autoSpaceDE/>
              <w:autoSpaceDN/>
              <w:adjustRightInd/>
              <w:jc w:val="center"/>
              <w:rPr>
                <w:color w:val="000000"/>
              </w:rPr>
            </w:pPr>
            <w:r>
              <w:rPr>
                <w:color w:val="000000"/>
              </w:rPr>
              <w:t>40</w:t>
            </w:r>
          </w:p>
        </w:tc>
        <w:tc>
          <w:tcPr>
            <w:tcW w:w="1457" w:type="dxa"/>
            <w:vAlign w:val="center"/>
          </w:tcPr>
          <w:p w14:paraId="0F5AB728" w14:textId="356AFFF4" w:rsidR="003E41EC" w:rsidRPr="00BB7E3D" w:rsidRDefault="003E41EC" w:rsidP="00FF0EE8">
            <w:pPr>
              <w:autoSpaceDE/>
              <w:autoSpaceDN/>
              <w:adjustRightInd/>
              <w:jc w:val="center"/>
              <w:rPr>
                <w:color w:val="000000"/>
              </w:rPr>
            </w:pPr>
            <w:r w:rsidRPr="00BB7E3D">
              <w:rPr>
                <w:color w:val="000000"/>
              </w:rPr>
              <w:t>380</w:t>
            </w:r>
          </w:p>
        </w:tc>
        <w:tc>
          <w:tcPr>
            <w:tcW w:w="994" w:type="dxa"/>
            <w:noWrap/>
            <w:vAlign w:val="center"/>
            <w:hideMark/>
          </w:tcPr>
          <w:p w14:paraId="3A41B4AB" w14:textId="77777777" w:rsidR="003E41EC" w:rsidRPr="00BB7E3D" w:rsidRDefault="003E41EC" w:rsidP="00FF0EE8">
            <w:pPr>
              <w:jc w:val="center"/>
              <w:rPr>
                <w:color w:val="000000"/>
              </w:rPr>
            </w:pPr>
            <w:r w:rsidRPr="00BB7E3D">
              <w:rPr>
                <w:color w:val="000000"/>
              </w:rPr>
              <w:t>$126</w:t>
            </w:r>
          </w:p>
        </w:tc>
        <w:tc>
          <w:tcPr>
            <w:tcW w:w="1633" w:type="dxa"/>
            <w:gridSpan w:val="2"/>
            <w:tcBorders>
              <w:top w:val="nil"/>
              <w:left w:val="single" w:sz="4" w:space="0" w:color="auto"/>
              <w:bottom w:val="single" w:sz="4" w:space="0" w:color="auto"/>
              <w:right w:val="single" w:sz="4" w:space="0" w:color="auto"/>
            </w:tcBorders>
            <w:shd w:val="clear" w:color="auto" w:fill="auto"/>
            <w:noWrap/>
            <w:vAlign w:val="center"/>
          </w:tcPr>
          <w:p w14:paraId="05BCCFCD" w14:textId="3F360D19" w:rsidR="003E41EC" w:rsidRPr="003E41EC" w:rsidRDefault="003E41EC" w:rsidP="00FF0EE8">
            <w:pPr>
              <w:autoSpaceDE/>
              <w:autoSpaceDN/>
              <w:adjustRightInd/>
              <w:jc w:val="center"/>
              <w:rPr>
                <w:color w:val="000000"/>
              </w:rPr>
            </w:pPr>
            <w:r w:rsidRPr="003E41EC">
              <w:rPr>
                <w:color w:val="000000"/>
              </w:rPr>
              <w:t>$1,890,171</w:t>
            </w:r>
          </w:p>
        </w:tc>
        <w:tc>
          <w:tcPr>
            <w:tcW w:w="1318" w:type="dxa"/>
            <w:tcBorders>
              <w:top w:val="nil"/>
              <w:left w:val="nil"/>
              <w:bottom w:val="single" w:sz="4" w:space="0" w:color="auto"/>
              <w:right w:val="single" w:sz="4" w:space="0" w:color="auto"/>
            </w:tcBorders>
            <w:shd w:val="clear" w:color="auto" w:fill="auto"/>
            <w:noWrap/>
            <w:vAlign w:val="center"/>
          </w:tcPr>
          <w:p w14:paraId="377CB07C" w14:textId="1F63E3DA" w:rsidR="003E41EC" w:rsidRPr="003E41EC" w:rsidRDefault="003E41EC" w:rsidP="00FF0EE8">
            <w:pPr>
              <w:autoSpaceDE/>
              <w:autoSpaceDN/>
              <w:adjustRightInd/>
              <w:jc w:val="center"/>
              <w:rPr>
                <w:color w:val="000000"/>
              </w:rPr>
            </w:pPr>
            <w:r w:rsidRPr="003E41EC">
              <w:rPr>
                <w:color w:val="000000"/>
              </w:rPr>
              <w:t>$1,650,949</w:t>
            </w:r>
          </w:p>
        </w:tc>
        <w:tc>
          <w:tcPr>
            <w:tcW w:w="1369" w:type="dxa"/>
            <w:gridSpan w:val="2"/>
            <w:tcBorders>
              <w:top w:val="nil"/>
              <w:left w:val="nil"/>
              <w:bottom w:val="single" w:sz="4" w:space="0" w:color="auto"/>
              <w:right w:val="single" w:sz="4" w:space="0" w:color="auto"/>
            </w:tcBorders>
            <w:shd w:val="clear" w:color="auto" w:fill="auto"/>
            <w:noWrap/>
            <w:vAlign w:val="center"/>
          </w:tcPr>
          <w:p w14:paraId="458B43B0" w14:textId="7BECA75D" w:rsidR="003E41EC" w:rsidRPr="003E41EC" w:rsidRDefault="003E41EC" w:rsidP="00FF0EE8">
            <w:pPr>
              <w:autoSpaceDE/>
              <w:autoSpaceDN/>
              <w:adjustRightInd/>
              <w:jc w:val="center"/>
              <w:rPr>
                <w:color w:val="000000"/>
              </w:rPr>
            </w:pPr>
            <w:r w:rsidRPr="003E41EC">
              <w:rPr>
                <w:color w:val="000000"/>
              </w:rPr>
              <w:t>$1,781,668</w:t>
            </w:r>
          </w:p>
        </w:tc>
      </w:tr>
      <w:tr w:rsidR="003E41EC" w:rsidRPr="00C3447C" w14:paraId="53D880F1" w14:textId="77777777" w:rsidTr="004F5401">
        <w:trPr>
          <w:trHeight w:val="288"/>
        </w:trPr>
        <w:tc>
          <w:tcPr>
            <w:tcW w:w="706" w:type="dxa"/>
            <w:noWrap/>
            <w:vAlign w:val="center"/>
            <w:hideMark/>
          </w:tcPr>
          <w:p w14:paraId="31D47DCB" w14:textId="77777777" w:rsidR="003E41EC" w:rsidRPr="00BB7E3D" w:rsidRDefault="003E41EC" w:rsidP="00FF0EE8">
            <w:pPr>
              <w:autoSpaceDE/>
              <w:autoSpaceDN/>
              <w:adjustRightInd/>
              <w:jc w:val="center"/>
              <w:rPr>
                <w:color w:val="000000"/>
              </w:rPr>
            </w:pPr>
            <w:r w:rsidRPr="0049737B">
              <w:t>2020</w:t>
            </w:r>
          </w:p>
        </w:tc>
        <w:tc>
          <w:tcPr>
            <w:tcW w:w="1811" w:type="dxa"/>
            <w:noWrap/>
            <w:vAlign w:val="center"/>
            <w:hideMark/>
          </w:tcPr>
          <w:p w14:paraId="3FEAB46E" w14:textId="1BF0CAA4" w:rsidR="003E41EC" w:rsidRPr="00BB7E3D" w:rsidRDefault="003E41EC" w:rsidP="00FF0EE8">
            <w:pPr>
              <w:autoSpaceDE/>
              <w:autoSpaceDN/>
              <w:adjustRightInd/>
              <w:jc w:val="center"/>
              <w:rPr>
                <w:color w:val="000000"/>
              </w:rPr>
            </w:pPr>
            <w:r>
              <w:rPr>
                <w:color w:val="000000"/>
              </w:rPr>
              <w:t>40</w:t>
            </w:r>
          </w:p>
        </w:tc>
        <w:tc>
          <w:tcPr>
            <w:tcW w:w="1457" w:type="dxa"/>
            <w:vAlign w:val="center"/>
          </w:tcPr>
          <w:p w14:paraId="48420FC5" w14:textId="64EA0C34" w:rsidR="003E41EC" w:rsidRPr="00BB7E3D" w:rsidRDefault="003E41EC" w:rsidP="00FF0EE8">
            <w:pPr>
              <w:autoSpaceDE/>
              <w:autoSpaceDN/>
              <w:adjustRightInd/>
              <w:jc w:val="center"/>
              <w:rPr>
                <w:color w:val="000000"/>
              </w:rPr>
            </w:pPr>
            <w:r w:rsidRPr="00BB7E3D">
              <w:rPr>
                <w:color w:val="000000"/>
              </w:rPr>
              <w:t>380</w:t>
            </w:r>
          </w:p>
        </w:tc>
        <w:tc>
          <w:tcPr>
            <w:tcW w:w="994" w:type="dxa"/>
            <w:noWrap/>
            <w:vAlign w:val="center"/>
            <w:hideMark/>
          </w:tcPr>
          <w:p w14:paraId="115AA21F" w14:textId="77777777" w:rsidR="003E41EC" w:rsidRPr="00BB7E3D" w:rsidRDefault="003E41EC" w:rsidP="00FF0EE8">
            <w:pPr>
              <w:jc w:val="center"/>
              <w:rPr>
                <w:color w:val="000000"/>
              </w:rPr>
            </w:pPr>
            <w:r w:rsidRPr="00BB7E3D">
              <w:rPr>
                <w:color w:val="000000"/>
              </w:rPr>
              <w:t>$126</w:t>
            </w:r>
          </w:p>
        </w:tc>
        <w:tc>
          <w:tcPr>
            <w:tcW w:w="1633" w:type="dxa"/>
            <w:gridSpan w:val="2"/>
            <w:tcBorders>
              <w:top w:val="nil"/>
              <w:left w:val="single" w:sz="4" w:space="0" w:color="auto"/>
              <w:bottom w:val="single" w:sz="4" w:space="0" w:color="auto"/>
              <w:right w:val="single" w:sz="4" w:space="0" w:color="auto"/>
            </w:tcBorders>
            <w:shd w:val="clear" w:color="auto" w:fill="auto"/>
            <w:noWrap/>
            <w:vAlign w:val="center"/>
          </w:tcPr>
          <w:p w14:paraId="5D0A4458" w14:textId="0E70662E" w:rsidR="003E41EC" w:rsidRPr="003E41EC" w:rsidRDefault="003E41EC" w:rsidP="00FF0EE8">
            <w:pPr>
              <w:autoSpaceDE/>
              <w:autoSpaceDN/>
              <w:adjustRightInd/>
              <w:jc w:val="center"/>
              <w:rPr>
                <w:color w:val="000000"/>
              </w:rPr>
            </w:pPr>
            <w:r w:rsidRPr="003E41EC">
              <w:rPr>
                <w:color w:val="000000"/>
              </w:rPr>
              <w:t>$1,890,171</w:t>
            </w:r>
          </w:p>
        </w:tc>
        <w:tc>
          <w:tcPr>
            <w:tcW w:w="1318" w:type="dxa"/>
            <w:tcBorders>
              <w:top w:val="nil"/>
              <w:left w:val="nil"/>
              <w:bottom w:val="single" w:sz="4" w:space="0" w:color="auto"/>
              <w:right w:val="single" w:sz="4" w:space="0" w:color="auto"/>
            </w:tcBorders>
            <w:shd w:val="clear" w:color="auto" w:fill="auto"/>
            <w:noWrap/>
            <w:vAlign w:val="center"/>
          </w:tcPr>
          <w:p w14:paraId="6DECCFF0" w14:textId="43538800" w:rsidR="003E41EC" w:rsidRPr="003E41EC" w:rsidRDefault="003E41EC" w:rsidP="00FF0EE8">
            <w:pPr>
              <w:autoSpaceDE/>
              <w:autoSpaceDN/>
              <w:adjustRightInd/>
              <w:jc w:val="center"/>
              <w:rPr>
                <w:color w:val="000000"/>
              </w:rPr>
            </w:pPr>
            <w:r w:rsidRPr="003E41EC">
              <w:rPr>
                <w:color w:val="000000"/>
              </w:rPr>
              <w:t>$1,542,943</w:t>
            </w:r>
          </w:p>
        </w:tc>
        <w:tc>
          <w:tcPr>
            <w:tcW w:w="1369" w:type="dxa"/>
            <w:gridSpan w:val="2"/>
            <w:tcBorders>
              <w:top w:val="nil"/>
              <w:left w:val="nil"/>
              <w:bottom w:val="single" w:sz="4" w:space="0" w:color="auto"/>
              <w:right w:val="single" w:sz="4" w:space="0" w:color="auto"/>
            </w:tcBorders>
            <w:shd w:val="clear" w:color="auto" w:fill="auto"/>
            <w:noWrap/>
            <w:vAlign w:val="center"/>
          </w:tcPr>
          <w:p w14:paraId="30F22093" w14:textId="570E86A6" w:rsidR="003E41EC" w:rsidRPr="003E41EC" w:rsidRDefault="003E41EC" w:rsidP="00FF0EE8">
            <w:pPr>
              <w:autoSpaceDE/>
              <w:autoSpaceDN/>
              <w:adjustRightInd/>
              <w:jc w:val="center"/>
              <w:rPr>
                <w:color w:val="000000"/>
              </w:rPr>
            </w:pPr>
            <w:r w:rsidRPr="003E41EC">
              <w:rPr>
                <w:color w:val="000000"/>
              </w:rPr>
              <w:t>$1,729,775</w:t>
            </w:r>
          </w:p>
        </w:tc>
      </w:tr>
      <w:tr w:rsidR="003E41EC" w:rsidRPr="00C3447C" w14:paraId="68ACD52B" w14:textId="77777777" w:rsidTr="004F5401">
        <w:trPr>
          <w:trHeight w:val="288"/>
        </w:trPr>
        <w:tc>
          <w:tcPr>
            <w:tcW w:w="706" w:type="dxa"/>
            <w:noWrap/>
            <w:vAlign w:val="center"/>
            <w:hideMark/>
          </w:tcPr>
          <w:p w14:paraId="33D779B7" w14:textId="77777777" w:rsidR="003E41EC" w:rsidRPr="00BB7E3D" w:rsidRDefault="003E41EC" w:rsidP="00FF0EE8">
            <w:pPr>
              <w:autoSpaceDE/>
              <w:autoSpaceDN/>
              <w:adjustRightInd/>
              <w:jc w:val="center"/>
              <w:rPr>
                <w:color w:val="000000"/>
              </w:rPr>
            </w:pPr>
            <w:r w:rsidRPr="0049737B">
              <w:t>2021</w:t>
            </w:r>
          </w:p>
        </w:tc>
        <w:tc>
          <w:tcPr>
            <w:tcW w:w="1811" w:type="dxa"/>
            <w:noWrap/>
            <w:vAlign w:val="center"/>
            <w:hideMark/>
          </w:tcPr>
          <w:p w14:paraId="6C6524FD" w14:textId="6C09679C" w:rsidR="003E41EC" w:rsidRPr="00BB7E3D" w:rsidRDefault="003E41EC" w:rsidP="00FF0EE8">
            <w:pPr>
              <w:autoSpaceDE/>
              <w:autoSpaceDN/>
              <w:adjustRightInd/>
              <w:jc w:val="center"/>
              <w:rPr>
                <w:color w:val="000000"/>
              </w:rPr>
            </w:pPr>
            <w:r>
              <w:rPr>
                <w:color w:val="000000"/>
              </w:rPr>
              <w:t>40</w:t>
            </w:r>
          </w:p>
        </w:tc>
        <w:tc>
          <w:tcPr>
            <w:tcW w:w="1457" w:type="dxa"/>
            <w:vAlign w:val="center"/>
          </w:tcPr>
          <w:p w14:paraId="73892899" w14:textId="01E31B8F" w:rsidR="003E41EC" w:rsidRPr="00BB7E3D" w:rsidRDefault="003E41EC" w:rsidP="00FF0EE8">
            <w:pPr>
              <w:autoSpaceDE/>
              <w:autoSpaceDN/>
              <w:adjustRightInd/>
              <w:jc w:val="center"/>
              <w:rPr>
                <w:color w:val="000000"/>
              </w:rPr>
            </w:pPr>
            <w:r w:rsidRPr="00BB7E3D">
              <w:rPr>
                <w:color w:val="000000"/>
              </w:rPr>
              <w:t>380</w:t>
            </w:r>
          </w:p>
        </w:tc>
        <w:tc>
          <w:tcPr>
            <w:tcW w:w="994" w:type="dxa"/>
            <w:noWrap/>
            <w:vAlign w:val="center"/>
            <w:hideMark/>
          </w:tcPr>
          <w:p w14:paraId="2C5266D7" w14:textId="77777777" w:rsidR="003E41EC" w:rsidRPr="00BB7E3D" w:rsidRDefault="003E41EC" w:rsidP="00FF0EE8">
            <w:pPr>
              <w:jc w:val="center"/>
              <w:rPr>
                <w:color w:val="000000"/>
              </w:rPr>
            </w:pPr>
            <w:r w:rsidRPr="00BB7E3D">
              <w:rPr>
                <w:color w:val="000000"/>
              </w:rPr>
              <w:t>$126</w:t>
            </w:r>
          </w:p>
        </w:tc>
        <w:tc>
          <w:tcPr>
            <w:tcW w:w="1633" w:type="dxa"/>
            <w:gridSpan w:val="2"/>
            <w:tcBorders>
              <w:top w:val="nil"/>
              <w:left w:val="single" w:sz="4" w:space="0" w:color="auto"/>
              <w:bottom w:val="single" w:sz="4" w:space="0" w:color="auto"/>
              <w:right w:val="single" w:sz="4" w:space="0" w:color="auto"/>
            </w:tcBorders>
            <w:shd w:val="clear" w:color="auto" w:fill="auto"/>
            <w:noWrap/>
            <w:vAlign w:val="center"/>
          </w:tcPr>
          <w:p w14:paraId="704017DA" w14:textId="1E0BACE0" w:rsidR="003E41EC" w:rsidRPr="003E41EC" w:rsidRDefault="003E41EC" w:rsidP="00FF0EE8">
            <w:pPr>
              <w:autoSpaceDE/>
              <w:autoSpaceDN/>
              <w:adjustRightInd/>
              <w:jc w:val="center"/>
              <w:rPr>
                <w:color w:val="000000"/>
              </w:rPr>
            </w:pPr>
            <w:r w:rsidRPr="003E41EC">
              <w:rPr>
                <w:color w:val="000000"/>
              </w:rPr>
              <w:t>$1,890,171</w:t>
            </w:r>
          </w:p>
        </w:tc>
        <w:tc>
          <w:tcPr>
            <w:tcW w:w="1318" w:type="dxa"/>
            <w:tcBorders>
              <w:top w:val="nil"/>
              <w:left w:val="nil"/>
              <w:bottom w:val="single" w:sz="4" w:space="0" w:color="auto"/>
              <w:right w:val="single" w:sz="4" w:space="0" w:color="auto"/>
            </w:tcBorders>
            <w:shd w:val="clear" w:color="auto" w:fill="auto"/>
            <w:noWrap/>
            <w:vAlign w:val="center"/>
          </w:tcPr>
          <w:p w14:paraId="65DFE68D" w14:textId="64B86028" w:rsidR="003E41EC" w:rsidRPr="003E41EC" w:rsidRDefault="003E41EC" w:rsidP="00FF0EE8">
            <w:pPr>
              <w:autoSpaceDE/>
              <w:autoSpaceDN/>
              <w:adjustRightInd/>
              <w:jc w:val="center"/>
              <w:rPr>
                <w:color w:val="000000"/>
              </w:rPr>
            </w:pPr>
            <w:r w:rsidRPr="003E41EC">
              <w:rPr>
                <w:color w:val="000000"/>
              </w:rPr>
              <w:t>$1,442,003</w:t>
            </w:r>
          </w:p>
        </w:tc>
        <w:tc>
          <w:tcPr>
            <w:tcW w:w="1369" w:type="dxa"/>
            <w:gridSpan w:val="2"/>
            <w:tcBorders>
              <w:top w:val="nil"/>
              <w:left w:val="nil"/>
              <w:bottom w:val="single" w:sz="4" w:space="0" w:color="auto"/>
              <w:right w:val="single" w:sz="4" w:space="0" w:color="auto"/>
            </w:tcBorders>
            <w:shd w:val="clear" w:color="auto" w:fill="auto"/>
            <w:noWrap/>
            <w:vAlign w:val="center"/>
          </w:tcPr>
          <w:p w14:paraId="599C9FD7" w14:textId="1175DCE0" w:rsidR="003E41EC" w:rsidRPr="003E41EC" w:rsidRDefault="003E41EC" w:rsidP="00FF0EE8">
            <w:pPr>
              <w:autoSpaceDE/>
              <w:autoSpaceDN/>
              <w:adjustRightInd/>
              <w:jc w:val="center"/>
              <w:rPr>
                <w:color w:val="000000"/>
              </w:rPr>
            </w:pPr>
            <w:r w:rsidRPr="003E41EC">
              <w:rPr>
                <w:color w:val="000000"/>
              </w:rPr>
              <w:t>$1,679,393</w:t>
            </w:r>
          </w:p>
        </w:tc>
      </w:tr>
      <w:tr w:rsidR="003E41EC" w:rsidRPr="00C3447C" w14:paraId="23E7FBE8" w14:textId="77777777" w:rsidTr="004F5401">
        <w:trPr>
          <w:trHeight w:val="288"/>
        </w:trPr>
        <w:tc>
          <w:tcPr>
            <w:tcW w:w="706" w:type="dxa"/>
            <w:noWrap/>
            <w:vAlign w:val="center"/>
            <w:hideMark/>
          </w:tcPr>
          <w:p w14:paraId="497AB933" w14:textId="77777777" w:rsidR="003E41EC" w:rsidRPr="00BB7E3D" w:rsidRDefault="003E41EC" w:rsidP="00FF0EE8">
            <w:pPr>
              <w:autoSpaceDE/>
              <w:autoSpaceDN/>
              <w:adjustRightInd/>
              <w:jc w:val="center"/>
              <w:rPr>
                <w:color w:val="000000"/>
              </w:rPr>
            </w:pPr>
            <w:r w:rsidRPr="0049737B">
              <w:t>2022</w:t>
            </w:r>
          </w:p>
        </w:tc>
        <w:tc>
          <w:tcPr>
            <w:tcW w:w="1811" w:type="dxa"/>
            <w:noWrap/>
            <w:vAlign w:val="center"/>
            <w:hideMark/>
          </w:tcPr>
          <w:p w14:paraId="041FA68F" w14:textId="769A1597" w:rsidR="003E41EC" w:rsidRPr="00BB7E3D" w:rsidRDefault="003E41EC" w:rsidP="00FF0EE8">
            <w:pPr>
              <w:autoSpaceDE/>
              <w:autoSpaceDN/>
              <w:adjustRightInd/>
              <w:jc w:val="center"/>
              <w:rPr>
                <w:color w:val="000000"/>
              </w:rPr>
            </w:pPr>
            <w:r>
              <w:rPr>
                <w:color w:val="000000"/>
              </w:rPr>
              <w:t>40</w:t>
            </w:r>
          </w:p>
        </w:tc>
        <w:tc>
          <w:tcPr>
            <w:tcW w:w="1457" w:type="dxa"/>
            <w:vAlign w:val="center"/>
          </w:tcPr>
          <w:p w14:paraId="1EDD837D" w14:textId="00A4E950" w:rsidR="003E41EC" w:rsidRPr="00BB7E3D" w:rsidRDefault="003E41EC" w:rsidP="00FF0EE8">
            <w:pPr>
              <w:autoSpaceDE/>
              <w:autoSpaceDN/>
              <w:adjustRightInd/>
              <w:jc w:val="center"/>
              <w:rPr>
                <w:color w:val="000000"/>
              </w:rPr>
            </w:pPr>
            <w:r w:rsidRPr="00BB7E3D">
              <w:rPr>
                <w:color w:val="000000"/>
              </w:rPr>
              <w:t>380</w:t>
            </w:r>
          </w:p>
        </w:tc>
        <w:tc>
          <w:tcPr>
            <w:tcW w:w="994" w:type="dxa"/>
            <w:noWrap/>
            <w:vAlign w:val="center"/>
            <w:hideMark/>
          </w:tcPr>
          <w:p w14:paraId="7A3E0C5F" w14:textId="77777777" w:rsidR="003E41EC" w:rsidRPr="00BB7E3D" w:rsidRDefault="003E41EC" w:rsidP="00FF0EE8">
            <w:pPr>
              <w:jc w:val="center"/>
              <w:rPr>
                <w:color w:val="000000"/>
              </w:rPr>
            </w:pPr>
            <w:r w:rsidRPr="00BB7E3D">
              <w:rPr>
                <w:color w:val="000000"/>
              </w:rPr>
              <w:t>$126</w:t>
            </w:r>
          </w:p>
        </w:tc>
        <w:tc>
          <w:tcPr>
            <w:tcW w:w="1633" w:type="dxa"/>
            <w:gridSpan w:val="2"/>
            <w:tcBorders>
              <w:top w:val="nil"/>
              <w:left w:val="single" w:sz="4" w:space="0" w:color="auto"/>
              <w:bottom w:val="single" w:sz="4" w:space="0" w:color="auto"/>
              <w:right w:val="single" w:sz="4" w:space="0" w:color="auto"/>
            </w:tcBorders>
            <w:shd w:val="clear" w:color="auto" w:fill="auto"/>
            <w:noWrap/>
            <w:vAlign w:val="center"/>
          </w:tcPr>
          <w:p w14:paraId="396D99C4" w14:textId="377F9C0E" w:rsidR="003E41EC" w:rsidRPr="003E41EC" w:rsidRDefault="003E41EC" w:rsidP="00FF0EE8">
            <w:pPr>
              <w:autoSpaceDE/>
              <w:autoSpaceDN/>
              <w:adjustRightInd/>
              <w:jc w:val="center"/>
              <w:rPr>
                <w:color w:val="000000"/>
              </w:rPr>
            </w:pPr>
            <w:r w:rsidRPr="003E41EC">
              <w:rPr>
                <w:color w:val="000000"/>
              </w:rPr>
              <w:t>$1,890,171</w:t>
            </w:r>
          </w:p>
        </w:tc>
        <w:tc>
          <w:tcPr>
            <w:tcW w:w="1318" w:type="dxa"/>
            <w:tcBorders>
              <w:top w:val="nil"/>
              <w:left w:val="nil"/>
              <w:bottom w:val="single" w:sz="4" w:space="0" w:color="auto"/>
              <w:right w:val="single" w:sz="4" w:space="0" w:color="auto"/>
            </w:tcBorders>
            <w:shd w:val="clear" w:color="auto" w:fill="auto"/>
            <w:noWrap/>
            <w:vAlign w:val="center"/>
          </w:tcPr>
          <w:p w14:paraId="3CB0B46B" w14:textId="550A3A37" w:rsidR="003E41EC" w:rsidRPr="003E41EC" w:rsidRDefault="003E41EC" w:rsidP="00FF0EE8">
            <w:pPr>
              <w:autoSpaceDE/>
              <w:autoSpaceDN/>
              <w:adjustRightInd/>
              <w:jc w:val="center"/>
              <w:rPr>
                <w:color w:val="000000"/>
              </w:rPr>
            </w:pPr>
            <w:r w:rsidRPr="003E41EC">
              <w:rPr>
                <w:color w:val="000000"/>
              </w:rPr>
              <w:t>$1,347,666</w:t>
            </w:r>
          </w:p>
        </w:tc>
        <w:tc>
          <w:tcPr>
            <w:tcW w:w="1369" w:type="dxa"/>
            <w:gridSpan w:val="2"/>
            <w:tcBorders>
              <w:top w:val="nil"/>
              <w:left w:val="nil"/>
              <w:bottom w:val="single" w:sz="4" w:space="0" w:color="auto"/>
              <w:right w:val="single" w:sz="4" w:space="0" w:color="auto"/>
            </w:tcBorders>
            <w:shd w:val="clear" w:color="auto" w:fill="auto"/>
            <w:noWrap/>
            <w:vAlign w:val="center"/>
          </w:tcPr>
          <w:p w14:paraId="620639E5" w14:textId="2F1E40AA" w:rsidR="003E41EC" w:rsidRPr="003E41EC" w:rsidRDefault="003E41EC" w:rsidP="00FF0EE8">
            <w:pPr>
              <w:autoSpaceDE/>
              <w:autoSpaceDN/>
              <w:adjustRightInd/>
              <w:jc w:val="center"/>
              <w:rPr>
                <w:color w:val="000000"/>
              </w:rPr>
            </w:pPr>
            <w:r w:rsidRPr="003E41EC">
              <w:rPr>
                <w:color w:val="000000"/>
              </w:rPr>
              <w:t>$1,630,478</w:t>
            </w:r>
          </w:p>
        </w:tc>
      </w:tr>
      <w:tr w:rsidR="00E92B27" w:rsidRPr="00C3447C" w14:paraId="6595759B" w14:textId="3892A360" w:rsidTr="004F5401">
        <w:trPr>
          <w:trHeight w:val="288"/>
        </w:trPr>
        <w:tc>
          <w:tcPr>
            <w:tcW w:w="4968" w:type="dxa"/>
            <w:gridSpan w:val="4"/>
            <w:vAlign w:val="center"/>
          </w:tcPr>
          <w:p w14:paraId="15B7B479" w14:textId="330A165F" w:rsidR="00E92B27" w:rsidRPr="00BB7E3D" w:rsidRDefault="00E92B27" w:rsidP="00E92B27">
            <w:pPr>
              <w:autoSpaceDE/>
              <w:autoSpaceDN/>
              <w:adjustRightInd/>
              <w:jc w:val="right"/>
              <w:rPr>
                <w:b/>
                <w:color w:val="000000"/>
              </w:rPr>
            </w:pPr>
            <w:r w:rsidRPr="00BB7E3D">
              <w:rPr>
                <w:b/>
                <w:color w:val="000000"/>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33A7B" w14:textId="4C8786F8" w:rsidR="00E92B27" w:rsidRPr="00E92B27" w:rsidRDefault="00E92B27" w:rsidP="00E92B27">
            <w:pPr>
              <w:autoSpaceDE/>
              <w:autoSpaceDN/>
              <w:adjustRightInd/>
              <w:jc w:val="center"/>
              <w:rPr>
                <w:b/>
                <w:color w:val="000000"/>
              </w:rPr>
            </w:pPr>
            <w:bookmarkStart w:id="189" w:name="RANGE!E31"/>
            <w:bookmarkStart w:id="190" w:name="RANGE!E29"/>
            <w:r w:rsidRPr="00E92B27">
              <w:rPr>
                <w:b/>
                <w:color w:val="000000"/>
              </w:rPr>
              <w:t>$9,450,000</w:t>
            </w:r>
            <w:bookmarkEnd w:id="189"/>
            <w:bookmarkEnd w:id="190"/>
          </w:p>
        </w:tc>
        <w:tc>
          <w:tcPr>
            <w:tcW w:w="1350" w:type="dxa"/>
            <w:gridSpan w:val="3"/>
            <w:tcBorders>
              <w:top w:val="single" w:sz="4" w:space="0" w:color="auto"/>
              <w:left w:val="nil"/>
              <w:bottom w:val="single" w:sz="4" w:space="0" w:color="auto"/>
              <w:right w:val="single" w:sz="4" w:space="0" w:color="auto"/>
            </w:tcBorders>
            <w:shd w:val="clear" w:color="auto" w:fill="auto"/>
            <w:noWrap/>
            <w:vAlign w:val="bottom"/>
          </w:tcPr>
          <w:p w14:paraId="02376731" w14:textId="0651B42F" w:rsidR="00E92B27" w:rsidRPr="00E92B27" w:rsidRDefault="00E92B27" w:rsidP="00E92B27">
            <w:pPr>
              <w:jc w:val="center"/>
              <w:rPr>
                <w:b/>
                <w:color w:val="000000"/>
              </w:rPr>
            </w:pPr>
            <w:r w:rsidRPr="00E92B27">
              <w:rPr>
                <w:b/>
                <w:color w:val="000000"/>
              </w:rPr>
              <w:t>$7,750,000</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27E627F" w14:textId="077A2B9F" w:rsidR="00E92B27" w:rsidRPr="00E92B27" w:rsidRDefault="00E92B27" w:rsidP="00E92B27">
            <w:pPr>
              <w:jc w:val="center"/>
              <w:rPr>
                <w:b/>
                <w:color w:val="000000"/>
              </w:rPr>
            </w:pPr>
            <w:r w:rsidRPr="00E92B27">
              <w:rPr>
                <w:b/>
                <w:color w:val="000000"/>
              </w:rPr>
              <w:t>$8,660,000</w:t>
            </w:r>
          </w:p>
        </w:tc>
      </w:tr>
    </w:tbl>
    <w:p w14:paraId="31CDB97D" w14:textId="47671B08" w:rsidR="00F834D9" w:rsidRDefault="00F834D9" w:rsidP="00FF0EE8">
      <w:pPr>
        <w:spacing w:line="240" w:lineRule="auto"/>
        <w:ind w:firstLine="90"/>
        <w:rPr>
          <w:sz w:val="18"/>
        </w:rPr>
      </w:pPr>
      <w:r w:rsidRPr="007B793C">
        <w:rPr>
          <w:sz w:val="18"/>
        </w:rPr>
        <w:t xml:space="preserve">* </w:t>
      </w:r>
      <w:r w:rsidR="00B658C3">
        <w:rPr>
          <w:sz w:val="18"/>
        </w:rPr>
        <w:t>Rounding</w:t>
      </w:r>
      <w:r w:rsidR="00B658C3" w:rsidRPr="007B793C">
        <w:rPr>
          <w:sz w:val="18"/>
        </w:rPr>
        <w:t xml:space="preserve"> </w:t>
      </w:r>
      <w:r w:rsidRPr="007B793C">
        <w:rPr>
          <w:sz w:val="18"/>
        </w:rPr>
        <w:t xml:space="preserve">may </w:t>
      </w:r>
      <w:r w:rsidR="00B658C3">
        <w:rPr>
          <w:sz w:val="18"/>
        </w:rPr>
        <w:t>have caused</w:t>
      </w:r>
      <w:r w:rsidR="00B658C3" w:rsidRPr="007B793C">
        <w:rPr>
          <w:sz w:val="18"/>
        </w:rPr>
        <w:t xml:space="preserve"> </w:t>
      </w:r>
      <w:r w:rsidRPr="007B793C">
        <w:rPr>
          <w:sz w:val="18"/>
        </w:rPr>
        <w:t xml:space="preserve">discrepancies in </w:t>
      </w:r>
      <w:r w:rsidR="00C711AE">
        <w:rPr>
          <w:sz w:val="18"/>
        </w:rPr>
        <w:t xml:space="preserve">the </w:t>
      </w:r>
      <w:r w:rsidRPr="007B793C">
        <w:rPr>
          <w:sz w:val="18"/>
        </w:rPr>
        <w:t>calculations.</w:t>
      </w:r>
    </w:p>
    <w:p w14:paraId="3C51C5C1" w14:textId="77777777" w:rsidR="00A77CE5" w:rsidRPr="007B793C" w:rsidRDefault="00F834D9" w:rsidP="00FF0EE8">
      <w:pPr>
        <w:spacing w:line="240" w:lineRule="auto"/>
        <w:ind w:firstLine="90"/>
        <w:rPr>
          <w:sz w:val="18"/>
        </w:rPr>
      </w:pPr>
      <w:r>
        <w:rPr>
          <w:sz w:val="18"/>
        </w:rPr>
        <w:t>** All values are in 201</w:t>
      </w:r>
      <w:r w:rsidR="00C852EB">
        <w:rPr>
          <w:sz w:val="18"/>
        </w:rPr>
        <w:t>7</w:t>
      </w:r>
      <w:r>
        <w:rPr>
          <w:sz w:val="18"/>
        </w:rPr>
        <w:t xml:space="preserve"> dollars</w:t>
      </w:r>
      <w:r w:rsidR="001F6D2A">
        <w:rPr>
          <w:sz w:val="18"/>
        </w:rPr>
        <w:t>.</w:t>
      </w:r>
    </w:p>
    <w:p w14:paraId="281C52AF" w14:textId="77777777" w:rsidR="00A77CE5" w:rsidRDefault="00A77CE5" w:rsidP="00FF0EE8">
      <w:pPr>
        <w:spacing w:line="240" w:lineRule="auto"/>
      </w:pPr>
    </w:p>
    <w:p w14:paraId="619CC7AF" w14:textId="07B6D35B" w:rsidR="00186364" w:rsidRDefault="00186364" w:rsidP="00FF0EE8">
      <w:pPr>
        <w:spacing w:line="240" w:lineRule="auto"/>
      </w:pPr>
      <w:r w:rsidRPr="00C815BE">
        <w:t>As shown in</w:t>
      </w:r>
      <w:r w:rsidR="00427F42">
        <w:t xml:space="preserve"> </w:t>
      </w:r>
      <w:r w:rsidR="00427F42" w:rsidRPr="000D50A2">
        <w:fldChar w:fldCharType="begin"/>
      </w:r>
      <w:r w:rsidR="00427F42" w:rsidRPr="000D50A2">
        <w:instrText xml:space="preserve"> REF _Ref420421194 \h </w:instrText>
      </w:r>
      <w:r w:rsidR="00C47FDA" w:rsidRPr="00D557C2">
        <w:instrText xml:space="preserve"> \* MERGEFORMAT </w:instrText>
      </w:r>
      <w:r w:rsidR="00427F42" w:rsidRPr="000D50A2">
        <w:fldChar w:fldCharType="separate"/>
      </w:r>
      <w:r w:rsidR="00FD3AB6" w:rsidRPr="00FD3AB6">
        <w:t xml:space="preserve">Table </w:t>
      </w:r>
      <w:r w:rsidR="00FD3AB6" w:rsidRPr="00FD3AB6">
        <w:rPr>
          <w:noProof/>
        </w:rPr>
        <w:t>11</w:t>
      </w:r>
      <w:r w:rsidR="00427F42" w:rsidRPr="000D50A2">
        <w:fldChar w:fldCharType="end"/>
      </w:r>
      <w:r w:rsidRPr="006E5706">
        <w:t xml:space="preserve">, </w:t>
      </w:r>
      <w:r w:rsidRPr="00C815BE">
        <w:t>new reactor</w:t>
      </w:r>
      <w:r w:rsidR="00740E37">
        <w:t xml:space="preserve"> licensee</w:t>
      </w:r>
      <w:r w:rsidR="00546DE5">
        <w:t>s</w:t>
      </w:r>
      <w:r w:rsidRPr="00C815BE">
        <w:t xml:space="preserve"> submitting a </w:t>
      </w:r>
      <w:r w:rsidR="00740E37">
        <w:t xml:space="preserve">request for an ASME </w:t>
      </w:r>
      <w:r w:rsidRPr="00C815BE">
        <w:t xml:space="preserve">Code </w:t>
      </w:r>
      <w:r w:rsidR="001C19EA">
        <w:t>Case</w:t>
      </w:r>
      <w:r w:rsidRPr="00C815BE">
        <w:t xml:space="preserve"> alternative in</w:t>
      </w:r>
      <w:r w:rsidRPr="002B08D8">
        <w:t xml:space="preserve"> </w:t>
      </w:r>
      <w:r>
        <w:t>the first</w:t>
      </w:r>
      <w:r w:rsidRPr="002B08D8">
        <w:t xml:space="preserve"> </w:t>
      </w:r>
      <w:r w:rsidR="00546DE5">
        <w:t>few</w:t>
      </w:r>
      <w:r>
        <w:t xml:space="preserve"> </w:t>
      </w:r>
      <w:r w:rsidRPr="002B08D8">
        <w:t>year</w:t>
      </w:r>
      <w:r w:rsidR="001F6D2A">
        <w:t>s</w:t>
      </w:r>
      <w:r w:rsidRPr="002B08D8">
        <w:t xml:space="preserve"> </w:t>
      </w:r>
      <w:r>
        <w:t xml:space="preserve">after </w:t>
      </w:r>
      <w:r w:rsidR="00740E37">
        <w:t>starting</w:t>
      </w:r>
      <w:r>
        <w:t xml:space="preserve"> commercial operation</w:t>
      </w:r>
      <w:r w:rsidR="00546DE5">
        <w:t xml:space="preserve"> beginning</w:t>
      </w:r>
      <w:r>
        <w:t xml:space="preserve"> in 20</w:t>
      </w:r>
      <w:r w:rsidR="0059182F">
        <w:t>20</w:t>
      </w:r>
      <w:r>
        <w:t xml:space="preserve"> </w:t>
      </w:r>
      <w:r w:rsidRPr="002B08D8">
        <w:t xml:space="preserve">would </w:t>
      </w:r>
      <w:r w:rsidRPr="00F56ABA">
        <w:t>incur a cost that ranges from $</w:t>
      </w:r>
      <w:r w:rsidR="003C4587" w:rsidRPr="00F56ABA">
        <w:t>75,8</w:t>
      </w:r>
      <w:r w:rsidR="00935296" w:rsidRPr="00F56ABA">
        <w:t>00</w:t>
      </w:r>
      <w:r w:rsidRPr="00F56ABA">
        <w:t xml:space="preserve"> </w:t>
      </w:r>
      <w:r w:rsidR="0014445F" w:rsidRPr="00F56ABA">
        <w:t xml:space="preserve">using a </w:t>
      </w:r>
      <w:r w:rsidR="0082432D" w:rsidRPr="00F56ABA">
        <w:t>7</w:t>
      </w:r>
      <w:r w:rsidR="001F6D2A" w:rsidRPr="00F56ABA">
        <w:noBreakHyphen/>
      </w:r>
      <w:r w:rsidR="0082432D" w:rsidRPr="00F56ABA">
        <w:t>percent</w:t>
      </w:r>
      <w:r w:rsidRPr="00F56ABA">
        <w:t xml:space="preserve"> </w:t>
      </w:r>
      <w:r w:rsidR="0014445F" w:rsidRPr="00F56ABA">
        <w:t xml:space="preserve">discount </w:t>
      </w:r>
      <w:r w:rsidR="00546DE5" w:rsidRPr="00F56ABA">
        <w:t>rate</w:t>
      </w:r>
      <w:r w:rsidRPr="00F56ABA">
        <w:t xml:space="preserve"> to $</w:t>
      </w:r>
      <w:r w:rsidR="0059182F" w:rsidRPr="00F56ABA">
        <w:t>86</w:t>
      </w:r>
      <w:r w:rsidR="00546DE5" w:rsidRPr="00F56ABA">
        <w:t>,</w:t>
      </w:r>
      <w:r w:rsidR="003C4587" w:rsidRPr="00F56ABA">
        <w:t>5</w:t>
      </w:r>
      <w:r w:rsidR="00935296" w:rsidRPr="00F56ABA">
        <w:t xml:space="preserve">00 </w:t>
      </w:r>
      <w:r w:rsidR="0014445F" w:rsidRPr="00F56ABA">
        <w:t xml:space="preserve">using a </w:t>
      </w:r>
      <w:r w:rsidR="0082432D" w:rsidRPr="00F56ABA">
        <w:t>3</w:t>
      </w:r>
      <w:r w:rsidR="001F6D2A" w:rsidRPr="00F56ABA">
        <w:noBreakHyphen/>
      </w:r>
      <w:r w:rsidR="0082432D" w:rsidRPr="00F56ABA">
        <w:t>percent</w:t>
      </w:r>
      <w:r w:rsidRPr="00F56ABA">
        <w:t xml:space="preserve"> </w:t>
      </w:r>
      <w:r w:rsidR="0014445F" w:rsidRPr="00F56ABA">
        <w:t xml:space="preserve">discount </w:t>
      </w:r>
      <w:r w:rsidR="00546DE5" w:rsidRPr="00F56ABA">
        <w:t>rate</w:t>
      </w:r>
      <w:r w:rsidRPr="00F56ABA">
        <w:t xml:space="preserve">, </w:t>
      </w:r>
      <w:r w:rsidR="001F6D2A" w:rsidRPr="00F56ABA">
        <w:t xml:space="preserve">thus </w:t>
      </w:r>
      <w:r w:rsidRPr="00F56ABA">
        <w:t>yielding net positive savings.</w:t>
      </w:r>
    </w:p>
    <w:p w14:paraId="56A562AF" w14:textId="77777777" w:rsidR="00186364" w:rsidRDefault="00186364" w:rsidP="00FF0EE8">
      <w:pPr>
        <w:spacing w:line="240" w:lineRule="auto"/>
      </w:pPr>
    </w:p>
    <w:p w14:paraId="21C7B2CF" w14:textId="512E9FC4" w:rsidR="00186364" w:rsidRPr="00587EDB" w:rsidRDefault="00186364" w:rsidP="00C25114">
      <w:pPr>
        <w:pStyle w:val="Caption"/>
        <w:spacing w:line="240" w:lineRule="auto"/>
        <w:jc w:val="center"/>
        <w:rPr>
          <w:b/>
        </w:rPr>
      </w:pPr>
      <w:bookmarkStart w:id="191" w:name="_Ref420421194"/>
      <w:bookmarkStart w:id="192" w:name="_Ref434390320"/>
      <w:bookmarkStart w:id="193" w:name="_Toc467508500"/>
      <w:bookmarkStart w:id="194" w:name="_Toc462225006"/>
      <w:r w:rsidRPr="00587EDB">
        <w:rPr>
          <w:b/>
        </w:rPr>
        <w:t xml:space="preserve">Table </w:t>
      </w:r>
      <w:r w:rsidR="00782423" w:rsidRPr="00587EDB">
        <w:rPr>
          <w:b/>
        </w:rPr>
        <w:fldChar w:fldCharType="begin"/>
      </w:r>
      <w:r w:rsidR="00782423" w:rsidRPr="00587EDB">
        <w:rPr>
          <w:b/>
        </w:rPr>
        <w:instrText xml:space="preserve"> SEQ Table \* ARABIC </w:instrText>
      </w:r>
      <w:r w:rsidR="00782423" w:rsidRPr="00587EDB">
        <w:rPr>
          <w:b/>
        </w:rPr>
        <w:fldChar w:fldCharType="separate"/>
      </w:r>
      <w:r w:rsidR="00FD3AB6">
        <w:rPr>
          <w:b/>
          <w:noProof/>
        </w:rPr>
        <w:t>11</w:t>
      </w:r>
      <w:r w:rsidR="00782423" w:rsidRPr="00587EDB">
        <w:rPr>
          <w:b/>
        </w:rPr>
        <w:fldChar w:fldCharType="end"/>
      </w:r>
      <w:bookmarkEnd w:id="191"/>
      <w:r w:rsidR="006C3FF0" w:rsidRPr="00D557C2">
        <w:rPr>
          <w:b/>
        </w:rPr>
        <w:t xml:space="preserve">  </w:t>
      </w:r>
      <w:r w:rsidRPr="00587EDB">
        <w:rPr>
          <w:b/>
        </w:rPr>
        <w:t>Averted Industry Operation Costs for Hypothetical Reactor</w:t>
      </w:r>
      <w:r w:rsidR="006C3FF0">
        <w:rPr>
          <w:b/>
        </w:rPr>
        <w:br/>
      </w:r>
      <w:r w:rsidRPr="00587EDB">
        <w:rPr>
          <w:b/>
        </w:rPr>
        <w:t>Code Case</w:t>
      </w:r>
      <w:r w:rsidR="006C3FF0" w:rsidRPr="00587EDB">
        <w:rPr>
          <w:b/>
        </w:rPr>
        <w:t xml:space="preserve"> </w:t>
      </w:r>
      <w:r w:rsidR="001B5DD8" w:rsidRPr="00587EDB">
        <w:rPr>
          <w:b/>
        </w:rPr>
        <w:t xml:space="preserve">Alternative Request </w:t>
      </w:r>
      <w:r w:rsidRPr="00587EDB">
        <w:rPr>
          <w:b/>
        </w:rPr>
        <w:t>Submittal</w:t>
      </w:r>
      <w:bookmarkEnd w:id="192"/>
      <w:bookmarkEnd w:id="193"/>
      <w:bookmarkEnd w:id="194"/>
    </w:p>
    <w:tbl>
      <w:tblPr>
        <w:tblW w:w="0" w:type="auto"/>
        <w:jc w:val="center"/>
        <w:tblLayout w:type="fixed"/>
        <w:tblLook w:val="04A0" w:firstRow="1" w:lastRow="0" w:firstColumn="1" w:lastColumn="0" w:noHBand="0" w:noVBand="1"/>
      </w:tblPr>
      <w:tblGrid>
        <w:gridCol w:w="707"/>
        <w:gridCol w:w="1491"/>
        <w:gridCol w:w="1379"/>
        <w:gridCol w:w="1232"/>
        <w:gridCol w:w="834"/>
        <w:gridCol w:w="1683"/>
        <w:gridCol w:w="1012"/>
        <w:gridCol w:w="1012"/>
      </w:tblGrid>
      <w:tr w:rsidR="00602B86" w:rsidRPr="004A78D5" w14:paraId="093DBFA5" w14:textId="77777777" w:rsidTr="004F5401">
        <w:trPr>
          <w:trHeight w:val="300"/>
          <w:jc w:val="center"/>
        </w:trPr>
        <w:tc>
          <w:tcPr>
            <w:tcW w:w="7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2383DF" w14:textId="77777777" w:rsidR="00186364" w:rsidRPr="00587EDB" w:rsidRDefault="00186364" w:rsidP="004F5401">
            <w:pPr>
              <w:keepNext/>
              <w:autoSpaceDE/>
              <w:autoSpaceDN/>
              <w:adjustRightInd/>
              <w:spacing w:line="240" w:lineRule="auto"/>
              <w:jc w:val="center"/>
              <w:rPr>
                <w:b/>
                <w:color w:val="000000"/>
              </w:rPr>
            </w:pPr>
            <w:r w:rsidRPr="00587EDB">
              <w:rPr>
                <w:b/>
                <w:color w:val="000000"/>
              </w:rPr>
              <w:t>Year</w:t>
            </w:r>
          </w:p>
        </w:tc>
        <w:tc>
          <w:tcPr>
            <w:tcW w:w="14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86BF3B" w14:textId="77777777" w:rsidR="00186364" w:rsidRPr="00587EDB" w:rsidRDefault="00186364" w:rsidP="004F5401">
            <w:pPr>
              <w:keepNext/>
              <w:autoSpaceDE/>
              <w:autoSpaceDN/>
              <w:adjustRightInd/>
              <w:spacing w:line="240" w:lineRule="auto"/>
              <w:jc w:val="center"/>
              <w:rPr>
                <w:b/>
                <w:color w:val="000000"/>
              </w:rPr>
            </w:pPr>
            <w:r w:rsidRPr="00587EDB">
              <w:rPr>
                <w:b/>
                <w:color w:val="000000"/>
              </w:rPr>
              <w:t>Activities</w:t>
            </w:r>
          </w:p>
        </w:tc>
        <w:tc>
          <w:tcPr>
            <w:tcW w:w="13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62FD45" w14:textId="77777777" w:rsidR="00186364" w:rsidRPr="00587EDB" w:rsidRDefault="00891309" w:rsidP="004F5401">
            <w:pPr>
              <w:keepNext/>
              <w:autoSpaceDE/>
              <w:autoSpaceDN/>
              <w:adjustRightInd/>
              <w:spacing w:line="240" w:lineRule="auto"/>
              <w:jc w:val="center"/>
              <w:rPr>
                <w:b/>
                <w:color w:val="000000"/>
              </w:rPr>
            </w:pPr>
            <w:r w:rsidRPr="00587EDB">
              <w:rPr>
                <w:b/>
                <w:color w:val="000000"/>
              </w:rPr>
              <w:t>Alternative</w:t>
            </w:r>
            <w:r w:rsidR="00A77CE5" w:rsidRPr="00587EDB">
              <w:rPr>
                <w:b/>
                <w:color w:val="000000"/>
              </w:rPr>
              <w:t xml:space="preserve"> Request</w:t>
            </w:r>
            <w:r w:rsidR="00186364" w:rsidRPr="00587EDB">
              <w:rPr>
                <w:b/>
                <w:color w:val="000000"/>
              </w:rPr>
              <w:t xml:space="preserve"> Submittals</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9B1ACE" w14:textId="77777777" w:rsidR="00186364" w:rsidRPr="00587EDB" w:rsidRDefault="00186364" w:rsidP="004F5401">
            <w:pPr>
              <w:keepNext/>
              <w:autoSpaceDE/>
              <w:autoSpaceDN/>
              <w:adjustRightInd/>
              <w:spacing w:line="240" w:lineRule="auto"/>
              <w:jc w:val="center"/>
              <w:rPr>
                <w:b/>
                <w:color w:val="000000"/>
              </w:rPr>
            </w:pPr>
            <w:r w:rsidRPr="00587EDB">
              <w:rPr>
                <w:b/>
                <w:color w:val="000000"/>
              </w:rPr>
              <w:t>Hours per Submittal</w:t>
            </w:r>
          </w:p>
        </w:tc>
        <w:tc>
          <w:tcPr>
            <w:tcW w:w="8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602966" w14:textId="77777777" w:rsidR="00186364" w:rsidRPr="00587EDB" w:rsidRDefault="00186364" w:rsidP="004F5401">
            <w:pPr>
              <w:keepNext/>
              <w:autoSpaceDE/>
              <w:autoSpaceDN/>
              <w:adjustRightInd/>
              <w:spacing w:line="240" w:lineRule="auto"/>
              <w:jc w:val="center"/>
              <w:rPr>
                <w:b/>
                <w:color w:val="000000"/>
              </w:rPr>
            </w:pPr>
            <w:r w:rsidRPr="00587EDB">
              <w:rPr>
                <w:b/>
                <w:color w:val="000000"/>
              </w:rPr>
              <w:t>Labor Rate</w:t>
            </w:r>
          </w:p>
        </w:tc>
        <w:tc>
          <w:tcPr>
            <w:tcW w:w="370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32122B7" w14:textId="2FF96061" w:rsidR="00186364" w:rsidRPr="00587EDB" w:rsidRDefault="00186364" w:rsidP="004F5401">
            <w:pPr>
              <w:keepNext/>
              <w:autoSpaceDE/>
              <w:autoSpaceDN/>
              <w:adjustRightInd/>
              <w:spacing w:line="240" w:lineRule="auto"/>
              <w:jc w:val="center"/>
              <w:rPr>
                <w:b/>
                <w:color w:val="000000"/>
              </w:rPr>
            </w:pPr>
            <w:r w:rsidRPr="00587EDB">
              <w:rPr>
                <w:b/>
                <w:color w:val="000000"/>
              </w:rPr>
              <w:t>Averted Cost Per Year</w:t>
            </w:r>
            <w:r w:rsidR="001F6D2A" w:rsidRPr="00D557C2">
              <w:rPr>
                <w:rFonts w:eastAsia="Times New Roman"/>
                <w:b/>
                <w:color w:val="000000"/>
              </w:rPr>
              <w:br/>
            </w:r>
            <w:r w:rsidR="00F42F94" w:rsidRPr="00587EDB">
              <w:rPr>
                <w:b/>
                <w:color w:val="000000"/>
              </w:rPr>
              <w:t>(201</w:t>
            </w:r>
            <w:r w:rsidR="00935296" w:rsidRPr="00587EDB">
              <w:rPr>
                <w:b/>
                <w:color w:val="000000"/>
              </w:rPr>
              <w:t>7</w:t>
            </w:r>
            <w:r w:rsidR="00F42F94" w:rsidRPr="00587EDB">
              <w:rPr>
                <w:b/>
                <w:color w:val="000000"/>
              </w:rPr>
              <w:t xml:space="preserve"> </w:t>
            </w:r>
            <w:r w:rsidR="00254BC3">
              <w:rPr>
                <w:rFonts w:eastAsia="Times New Roman"/>
                <w:b/>
                <w:color w:val="000000"/>
              </w:rPr>
              <w:t>D</w:t>
            </w:r>
            <w:r w:rsidR="00F42F94" w:rsidRPr="00D557C2">
              <w:rPr>
                <w:rFonts w:eastAsia="Times New Roman"/>
                <w:b/>
                <w:color w:val="000000"/>
              </w:rPr>
              <w:t>ollars</w:t>
            </w:r>
            <w:r w:rsidR="00F42F94" w:rsidRPr="00587EDB">
              <w:rPr>
                <w:b/>
                <w:color w:val="000000"/>
              </w:rPr>
              <w:t>)</w:t>
            </w:r>
          </w:p>
        </w:tc>
      </w:tr>
      <w:tr w:rsidR="00602B86" w:rsidRPr="004A78D5" w14:paraId="38502B83" w14:textId="77777777" w:rsidTr="004F5401">
        <w:trPr>
          <w:trHeight w:val="300"/>
          <w:jc w:val="center"/>
        </w:trPr>
        <w:tc>
          <w:tcPr>
            <w:tcW w:w="707" w:type="dxa"/>
            <w:vMerge/>
            <w:tcBorders>
              <w:top w:val="single" w:sz="4" w:space="0" w:color="auto"/>
              <w:left w:val="single" w:sz="4" w:space="0" w:color="auto"/>
              <w:bottom w:val="single" w:sz="4" w:space="0" w:color="000000"/>
              <w:right w:val="single" w:sz="4" w:space="0" w:color="auto"/>
            </w:tcBorders>
            <w:vAlign w:val="center"/>
            <w:hideMark/>
          </w:tcPr>
          <w:p w14:paraId="20EDC568" w14:textId="77777777" w:rsidR="00186364" w:rsidRPr="00587EDB" w:rsidRDefault="00186364" w:rsidP="004F5401">
            <w:pPr>
              <w:keepNext/>
              <w:autoSpaceDE/>
              <w:autoSpaceDN/>
              <w:adjustRightInd/>
              <w:spacing w:line="240" w:lineRule="auto"/>
              <w:jc w:val="center"/>
              <w:rPr>
                <w:b/>
                <w:color w:val="000000"/>
              </w:rPr>
            </w:pPr>
          </w:p>
        </w:tc>
        <w:tc>
          <w:tcPr>
            <w:tcW w:w="1491" w:type="dxa"/>
            <w:vMerge/>
            <w:tcBorders>
              <w:top w:val="single" w:sz="4" w:space="0" w:color="auto"/>
              <w:left w:val="single" w:sz="4" w:space="0" w:color="auto"/>
              <w:bottom w:val="single" w:sz="4" w:space="0" w:color="000000"/>
              <w:right w:val="single" w:sz="4" w:space="0" w:color="auto"/>
            </w:tcBorders>
            <w:vAlign w:val="center"/>
            <w:hideMark/>
          </w:tcPr>
          <w:p w14:paraId="5CBADD8D" w14:textId="77777777" w:rsidR="00186364" w:rsidRPr="00587EDB" w:rsidRDefault="00186364" w:rsidP="004F5401">
            <w:pPr>
              <w:keepNext/>
              <w:autoSpaceDE/>
              <w:autoSpaceDN/>
              <w:adjustRightInd/>
              <w:spacing w:line="240" w:lineRule="auto"/>
              <w:jc w:val="center"/>
              <w:rPr>
                <w:b/>
                <w:color w:val="000000"/>
              </w:rPr>
            </w:pPr>
          </w:p>
        </w:tc>
        <w:tc>
          <w:tcPr>
            <w:tcW w:w="1379" w:type="dxa"/>
            <w:vMerge/>
            <w:tcBorders>
              <w:top w:val="single" w:sz="4" w:space="0" w:color="auto"/>
              <w:left w:val="single" w:sz="4" w:space="0" w:color="auto"/>
              <w:bottom w:val="single" w:sz="4" w:space="0" w:color="000000"/>
              <w:right w:val="single" w:sz="4" w:space="0" w:color="auto"/>
            </w:tcBorders>
            <w:vAlign w:val="center"/>
            <w:hideMark/>
          </w:tcPr>
          <w:p w14:paraId="07D261F6" w14:textId="77777777" w:rsidR="00186364" w:rsidRPr="00587EDB" w:rsidRDefault="00186364" w:rsidP="004F5401">
            <w:pPr>
              <w:keepNext/>
              <w:autoSpaceDE/>
              <w:autoSpaceDN/>
              <w:adjustRightInd/>
              <w:spacing w:line="240" w:lineRule="auto"/>
              <w:jc w:val="center"/>
              <w:rPr>
                <w:b/>
                <w:color w:val="000000"/>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14:paraId="2D04D7E3" w14:textId="77777777" w:rsidR="00186364" w:rsidRPr="00587EDB" w:rsidRDefault="00186364" w:rsidP="004F5401">
            <w:pPr>
              <w:keepNext/>
              <w:autoSpaceDE/>
              <w:autoSpaceDN/>
              <w:adjustRightInd/>
              <w:spacing w:line="240" w:lineRule="auto"/>
              <w:jc w:val="center"/>
              <w:rPr>
                <w:b/>
                <w:color w:val="000000"/>
              </w:rPr>
            </w:pPr>
          </w:p>
        </w:tc>
        <w:tc>
          <w:tcPr>
            <w:tcW w:w="834" w:type="dxa"/>
            <w:vMerge/>
            <w:tcBorders>
              <w:top w:val="single" w:sz="4" w:space="0" w:color="auto"/>
              <w:left w:val="single" w:sz="4" w:space="0" w:color="auto"/>
              <w:bottom w:val="single" w:sz="4" w:space="0" w:color="000000"/>
              <w:right w:val="single" w:sz="4" w:space="0" w:color="auto"/>
            </w:tcBorders>
            <w:vAlign w:val="center"/>
            <w:hideMark/>
          </w:tcPr>
          <w:p w14:paraId="2DDAD7D0" w14:textId="77777777" w:rsidR="00186364" w:rsidRPr="00587EDB" w:rsidRDefault="00186364" w:rsidP="004F5401">
            <w:pPr>
              <w:keepNext/>
              <w:autoSpaceDE/>
              <w:autoSpaceDN/>
              <w:adjustRightInd/>
              <w:spacing w:line="240" w:lineRule="auto"/>
              <w:jc w:val="center"/>
              <w:rPr>
                <w:b/>
                <w:color w:val="000000"/>
              </w:rPr>
            </w:pPr>
          </w:p>
        </w:tc>
        <w:tc>
          <w:tcPr>
            <w:tcW w:w="1683" w:type="dxa"/>
            <w:tcBorders>
              <w:top w:val="nil"/>
              <w:left w:val="nil"/>
              <w:bottom w:val="single" w:sz="4" w:space="0" w:color="auto"/>
              <w:right w:val="single" w:sz="4" w:space="0" w:color="auto"/>
            </w:tcBorders>
            <w:shd w:val="clear" w:color="auto" w:fill="auto"/>
            <w:vAlign w:val="center"/>
            <w:hideMark/>
          </w:tcPr>
          <w:p w14:paraId="3F9610D1" w14:textId="77777777" w:rsidR="00186364" w:rsidRPr="00587EDB" w:rsidRDefault="00186364" w:rsidP="004F5401">
            <w:pPr>
              <w:keepNext/>
              <w:autoSpaceDE/>
              <w:autoSpaceDN/>
              <w:adjustRightInd/>
              <w:spacing w:line="240" w:lineRule="auto"/>
              <w:jc w:val="center"/>
              <w:rPr>
                <w:b/>
                <w:color w:val="000000"/>
              </w:rPr>
            </w:pPr>
            <w:r w:rsidRPr="00587EDB">
              <w:rPr>
                <w:b/>
                <w:color w:val="000000"/>
              </w:rPr>
              <w:t>Undiscounted</w:t>
            </w:r>
          </w:p>
        </w:tc>
        <w:tc>
          <w:tcPr>
            <w:tcW w:w="1012" w:type="dxa"/>
            <w:tcBorders>
              <w:top w:val="nil"/>
              <w:left w:val="nil"/>
              <w:bottom w:val="single" w:sz="4" w:space="0" w:color="auto"/>
              <w:right w:val="single" w:sz="4" w:space="0" w:color="auto"/>
            </w:tcBorders>
            <w:shd w:val="clear" w:color="auto" w:fill="auto"/>
            <w:vAlign w:val="center"/>
            <w:hideMark/>
          </w:tcPr>
          <w:p w14:paraId="7B0FFBFC" w14:textId="77777777" w:rsidR="00186364" w:rsidRPr="00587EDB" w:rsidRDefault="00C3447C" w:rsidP="004F5401">
            <w:pPr>
              <w:keepNext/>
              <w:autoSpaceDE/>
              <w:autoSpaceDN/>
              <w:adjustRightInd/>
              <w:spacing w:line="240" w:lineRule="auto"/>
              <w:jc w:val="center"/>
              <w:rPr>
                <w:b/>
                <w:color w:val="000000"/>
              </w:rPr>
            </w:pPr>
            <w:r w:rsidRPr="00587EDB">
              <w:rPr>
                <w:b/>
                <w:color w:val="000000"/>
              </w:rPr>
              <w:t>7</w:t>
            </w:r>
            <w:r w:rsidR="00186364" w:rsidRPr="00587EDB">
              <w:rPr>
                <w:b/>
                <w:color w:val="000000"/>
              </w:rPr>
              <w:t>% NPV</w:t>
            </w:r>
          </w:p>
        </w:tc>
        <w:tc>
          <w:tcPr>
            <w:tcW w:w="1012" w:type="dxa"/>
            <w:tcBorders>
              <w:top w:val="nil"/>
              <w:left w:val="nil"/>
              <w:bottom w:val="single" w:sz="4" w:space="0" w:color="auto"/>
              <w:right w:val="single" w:sz="4" w:space="0" w:color="auto"/>
            </w:tcBorders>
            <w:shd w:val="clear" w:color="auto" w:fill="auto"/>
            <w:vAlign w:val="center"/>
            <w:hideMark/>
          </w:tcPr>
          <w:p w14:paraId="2F42FF7D" w14:textId="77777777" w:rsidR="00186364" w:rsidRPr="00587EDB" w:rsidRDefault="00C3447C" w:rsidP="004F5401">
            <w:pPr>
              <w:keepNext/>
              <w:autoSpaceDE/>
              <w:autoSpaceDN/>
              <w:adjustRightInd/>
              <w:spacing w:line="240" w:lineRule="auto"/>
              <w:jc w:val="center"/>
              <w:rPr>
                <w:b/>
                <w:color w:val="000000"/>
              </w:rPr>
            </w:pPr>
            <w:r w:rsidRPr="00587EDB">
              <w:rPr>
                <w:b/>
                <w:color w:val="000000"/>
              </w:rPr>
              <w:t>3</w:t>
            </w:r>
            <w:r w:rsidR="00186364" w:rsidRPr="00587EDB">
              <w:rPr>
                <w:b/>
                <w:color w:val="000000"/>
              </w:rPr>
              <w:t>% NPV</w:t>
            </w:r>
          </w:p>
        </w:tc>
      </w:tr>
      <w:tr w:rsidR="00602B86" w:rsidRPr="00BE5435" w14:paraId="548EC342" w14:textId="77777777" w:rsidTr="004F5401">
        <w:trPr>
          <w:trHeight w:val="1187"/>
          <w:jc w:val="center"/>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76A216E7" w14:textId="77777777" w:rsidR="00935296" w:rsidRPr="00587EDB" w:rsidRDefault="00935296" w:rsidP="004F5401">
            <w:pPr>
              <w:keepNext/>
              <w:autoSpaceDE/>
              <w:autoSpaceDN/>
              <w:adjustRightInd/>
              <w:spacing w:line="240" w:lineRule="auto"/>
              <w:jc w:val="center"/>
              <w:rPr>
                <w:color w:val="000000"/>
              </w:rPr>
            </w:pPr>
            <w:r w:rsidRPr="00587EDB">
              <w:rPr>
                <w:color w:val="000000"/>
              </w:rPr>
              <w:t>2022</w:t>
            </w:r>
          </w:p>
        </w:tc>
        <w:tc>
          <w:tcPr>
            <w:tcW w:w="1491" w:type="dxa"/>
            <w:vMerge w:val="restart"/>
            <w:tcBorders>
              <w:top w:val="nil"/>
              <w:left w:val="single" w:sz="4" w:space="0" w:color="auto"/>
              <w:right w:val="single" w:sz="4" w:space="0" w:color="auto"/>
            </w:tcBorders>
            <w:shd w:val="clear" w:color="auto" w:fill="auto"/>
            <w:vAlign w:val="center"/>
            <w:hideMark/>
          </w:tcPr>
          <w:p w14:paraId="4355A5B6" w14:textId="77777777" w:rsidR="00935296" w:rsidRPr="00587EDB" w:rsidRDefault="00935296" w:rsidP="004F5401">
            <w:pPr>
              <w:keepNext/>
              <w:autoSpaceDE/>
              <w:autoSpaceDN/>
              <w:adjustRightInd/>
              <w:spacing w:line="240" w:lineRule="auto"/>
              <w:jc w:val="center"/>
              <w:rPr>
                <w:color w:val="000000"/>
              </w:rPr>
            </w:pPr>
            <w:r w:rsidRPr="00587EDB">
              <w:rPr>
                <w:color w:val="000000"/>
              </w:rPr>
              <w:t>Average Annual Code Case alternative request preparation, submission, and conforming changes</w:t>
            </w:r>
          </w:p>
        </w:tc>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7C31274" w14:textId="77777777" w:rsidR="00935296" w:rsidRPr="00587EDB" w:rsidRDefault="00935296" w:rsidP="004F5401">
            <w:pPr>
              <w:keepNext/>
              <w:autoSpaceDE/>
              <w:autoSpaceDN/>
              <w:adjustRightInd/>
              <w:spacing w:line="240" w:lineRule="auto"/>
              <w:jc w:val="center"/>
              <w:rPr>
                <w:color w:val="000000"/>
              </w:rPr>
            </w:pPr>
            <w:r w:rsidRPr="00587EDB">
              <w:rPr>
                <w:color w:val="000000"/>
              </w:rPr>
              <w:t>1</w:t>
            </w: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21A7D617" w14:textId="77777777" w:rsidR="00935296" w:rsidRPr="00587EDB" w:rsidRDefault="00935296" w:rsidP="004F5401">
            <w:pPr>
              <w:keepNext/>
              <w:autoSpaceDE/>
              <w:autoSpaceDN/>
              <w:adjustRightInd/>
              <w:spacing w:line="240" w:lineRule="auto"/>
              <w:jc w:val="center"/>
              <w:rPr>
                <w:color w:val="000000"/>
              </w:rPr>
            </w:pPr>
            <w:r w:rsidRPr="00587EDB">
              <w:rPr>
                <w:color w:val="000000"/>
              </w:rPr>
              <w:t>380</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14:paraId="3ECD040D" w14:textId="77777777" w:rsidR="00935296" w:rsidRPr="00587EDB" w:rsidRDefault="00935296" w:rsidP="004F5401">
            <w:pPr>
              <w:keepNext/>
              <w:autoSpaceDE/>
              <w:autoSpaceDN/>
              <w:adjustRightInd/>
              <w:spacing w:line="240" w:lineRule="auto"/>
              <w:jc w:val="center"/>
              <w:rPr>
                <w:color w:val="000000"/>
              </w:rPr>
            </w:pPr>
            <w:r w:rsidRPr="00587EDB">
              <w:rPr>
                <w:color w:val="000000"/>
              </w:rPr>
              <w:t>$126</w:t>
            </w:r>
          </w:p>
        </w:tc>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5A213C70" w14:textId="77777777" w:rsidR="00935296" w:rsidRPr="00587EDB" w:rsidRDefault="00935296" w:rsidP="00C25114">
            <w:pPr>
              <w:keepNext/>
              <w:autoSpaceDE/>
              <w:autoSpaceDN/>
              <w:adjustRightInd/>
              <w:spacing w:line="240" w:lineRule="auto"/>
              <w:jc w:val="center"/>
            </w:pPr>
            <w:r w:rsidRPr="00587EDB">
              <w:t>$47,752</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48188D19" w14:textId="0BD6F90B" w:rsidR="00935296" w:rsidRPr="00587EDB" w:rsidRDefault="0059182F" w:rsidP="00C25114">
            <w:pPr>
              <w:keepNext/>
              <w:autoSpaceDE/>
              <w:autoSpaceDN/>
              <w:adjustRightInd/>
              <w:spacing w:line="240" w:lineRule="auto"/>
              <w:jc w:val="center"/>
            </w:pPr>
            <w:r>
              <w:t>$34,046</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70E9CDF2" w14:textId="511CCA33" w:rsidR="00935296" w:rsidRPr="00587EDB" w:rsidRDefault="0059182F" w:rsidP="00C25114">
            <w:pPr>
              <w:keepNext/>
              <w:autoSpaceDE/>
              <w:autoSpaceDN/>
              <w:adjustRightInd/>
              <w:spacing w:line="240" w:lineRule="auto"/>
              <w:jc w:val="center"/>
            </w:pPr>
            <w:r>
              <w:t>$41,1</w:t>
            </w:r>
            <w:r w:rsidR="00935296" w:rsidRPr="00587EDB">
              <w:t>91</w:t>
            </w:r>
          </w:p>
        </w:tc>
      </w:tr>
      <w:tr w:rsidR="00602B86" w:rsidRPr="004A78D5" w14:paraId="71A8E11A" w14:textId="77777777" w:rsidTr="004F5401">
        <w:trPr>
          <w:trHeight w:val="300"/>
          <w:jc w:val="center"/>
        </w:trPr>
        <w:tc>
          <w:tcPr>
            <w:tcW w:w="707" w:type="dxa"/>
            <w:tcBorders>
              <w:top w:val="nil"/>
              <w:left w:val="single" w:sz="4" w:space="0" w:color="auto"/>
              <w:bottom w:val="single" w:sz="4" w:space="0" w:color="auto"/>
              <w:right w:val="single" w:sz="4" w:space="0" w:color="auto"/>
            </w:tcBorders>
            <w:shd w:val="clear" w:color="auto" w:fill="auto"/>
            <w:vAlign w:val="center"/>
          </w:tcPr>
          <w:p w14:paraId="03E5AF0B" w14:textId="77777777" w:rsidR="00935296" w:rsidRPr="00587EDB" w:rsidRDefault="00935296" w:rsidP="00FF0EE8">
            <w:pPr>
              <w:autoSpaceDE/>
              <w:autoSpaceDN/>
              <w:adjustRightInd/>
              <w:spacing w:line="240" w:lineRule="auto"/>
              <w:jc w:val="center"/>
              <w:rPr>
                <w:color w:val="000000"/>
              </w:rPr>
            </w:pPr>
            <w:r w:rsidRPr="00587EDB">
              <w:rPr>
                <w:color w:val="000000"/>
              </w:rPr>
              <w:t>2024</w:t>
            </w:r>
          </w:p>
        </w:tc>
        <w:tc>
          <w:tcPr>
            <w:tcW w:w="1491" w:type="dxa"/>
            <w:vMerge/>
            <w:tcBorders>
              <w:left w:val="single" w:sz="4" w:space="0" w:color="auto"/>
              <w:bottom w:val="single" w:sz="4" w:space="0" w:color="auto"/>
              <w:right w:val="single" w:sz="4" w:space="0" w:color="auto"/>
            </w:tcBorders>
            <w:shd w:val="clear" w:color="auto" w:fill="auto"/>
            <w:vAlign w:val="center"/>
          </w:tcPr>
          <w:p w14:paraId="1D78FA56" w14:textId="77777777" w:rsidR="00935296" w:rsidRPr="00587EDB" w:rsidRDefault="00935296" w:rsidP="00FF0EE8">
            <w:pPr>
              <w:autoSpaceDE/>
              <w:autoSpaceDN/>
              <w:adjustRightInd/>
              <w:spacing w:line="240" w:lineRule="auto"/>
              <w:jc w:val="center"/>
              <w:rPr>
                <w:color w:val="000000"/>
              </w:rPr>
            </w:pP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52877B4" w14:textId="77777777" w:rsidR="00935296" w:rsidRPr="00587EDB" w:rsidRDefault="00935296" w:rsidP="00FF0EE8">
            <w:pPr>
              <w:autoSpaceDE/>
              <w:autoSpaceDN/>
              <w:adjustRightInd/>
              <w:spacing w:line="240" w:lineRule="auto"/>
              <w:jc w:val="center"/>
              <w:rPr>
                <w:color w:val="000000"/>
              </w:rPr>
            </w:pPr>
            <w:r w:rsidRPr="00587EDB">
              <w:rPr>
                <w:color w:val="000000"/>
              </w:rPr>
              <w:t>1</w:t>
            </w:r>
          </w:p>
        </w:tc>
        <w:tc>
          <w:tcPr>
            <w:tcW w:w="1232" w:type="dxa"/>
            <w:tcBorders>
              <w:top w:val="nil"/>
              <w:left w:val="single" w:sz="4" w:space="0" w:color="auto"/>
              <w:bottom w:val="single" w:sz="4" w:space="0" w:color="auto"/>
              <w:right w:val="single" w:sz="4" w:space="0" w:color="auto"/>
            </w:tcBorders>
            <w:shd w:val="clear" w:color="auto" w:fill="auto"/>
            <w:noWrap/>
            <w:vAlign w:val="center"/>
          </w:tcPr>
          <w:p w14:paraId="3C8512A7" w14:textId="77777777" w:rsidR="00935296" w:rsidRPr="00587EDB" w:rsidRDefault="00935296" w:rsidP="00FF0EE8">
            <w:pPr>
              <w:autoSpaceDE/>
              <w:autoSpaceDN/>
              <w:adjustRightInd/>
              <w:spacing w:line="240" w:lineRule="auto"/>
              <w:jc w:val="center"/>
              <w:rPr>
                <w:color w:val="000000"/>
              </w:rPr>
            </w:pPr>
            <w:r w:rsidRPr="00587EDB">
              <w:rPr>
                <w:color w:val="000000"/>
              </w:rPr>
              <w:t>380</w:t>
            </w:r>
          </w:p>
        </w:tc>
        <w:tc>
          <w:tcPr>
            <w:tcW w:w="834" w:type="dxa"/>
            <w:tcBorders>
              <w:top w:val="nil"/>
              <w:left w:val="single" w:sz="4" w:space="0" w:color="auto"/>
              <w:bottom w:val="single" w:sz="4" w:space="0" w:color="auto"/>
              <w:right w:val="single" w:sz="4" w:space="0" w:color="auto"/>
            </w:tcBorders>
            <w:shd w:val="clear" w:color="auto" w:fill="auto"/>
            <w:noWrap/>
            <w:vAlign w:val="center"/>
          </w:tcPr>
          <w:p w14:paraId="58295779" w14:textId="77777777" w:rsidR="00935296" w:rsidRPr="00587EDB" w:rsidRDefault="00935296" w:rsidP="00FF0EE8">
            <w:pPr>
              <w:autoSpaceDE/>
              <w:autoSpaceDN/>
              <w:adjustRightInd/>
              <w:spacing w:line="240" w:lineRule="auto"/>
              <w:jc w:val="center"/>
              <w:rPr>
                <w:color w:val="000000"/>
              </w:rPr>
            </w:pPr>
            <w:r w:rsidRPr="00587EDB">
              <w:rPr>
                <w:color w:val="000000"/>
              </w:rPr>
              <w:t>$126</w:t>
            </w:r>
          </w:p>
        </w:tc>
        <w:tc>
          <w:tcPr>
            <w:tcW w:w="1683" w:type="dxa"/>
            <w:tcBorders>
              <w:top w:val="nil"/>
              <w:left w:val="single" w:sz="4" w:space="0" w:color="auto"/>
              <w:bottom w:val="single" w:sz="4" w:space="0" w:color="auto"/>
              <w:right w:val="single" w:sz="4" w:space="0" w:color="auto"/>
            </w:tcBorders>
            <w:shd w:val="clear" w:color="auto" w:fill="auto"/>
            <w:noWrap/>
            <w:vAlign w:val="center"/>
          </w:tcPr>
          <w:p w14:paraId="450DAFBF" w14:textId="77777777" w:rsidR="00935296" w:rsidRPr="00587EDB" w:rsidRDefault="00935296" w:rsidP="00FF0EE8">
            <w:pPr>
              <w:autoSpaceDE/>
              <w:autoSpaceDN/>
              <w:adjustRightInd/>
              <w:spacing w:line="240" w:lineRule="auto"/>
              <w:jc w:val="center"/>
              <w:rPr>
                <w:color w:val="000000"/>
              </w:rPr>
            </w:pPr>
            <w:r w:rsidRPr="00587EDB">
              <w:rPr>
                <w:color w:val="000000"/>
              </w:rPr>
              <w:t xml:space="preserve">$47,752 </w:t>
            </w:r>
          </w:p>
        </w:tc>
        <w:tc>
          <w:tcPr>
            <w:tcW w:w="1012" w:type="dxa"/>
            <w:tcBorders>
              <w:top w:val="nil"/>
              <w:left w:val="single" w:sz="4" w:space="0" w:color="auto"/>
              <w:bottom w:val="single" w:sz="4" w:space="0" w:color="auto"/>
              <w:right w:val="single" w:sz="4" w:space="0" w:color="auto"/>
            </w:tcBorders>
            <w:shd w:val="clear" w:color="auto" w:fill="auto"/>
            <w:noWrap/>
            <w:vAlign w:val="center"/>
          </w:tcPr>
          <w:p w14:paraId="391C16B7" w14:textId="5885F100" w:rsidR="00935296" w:rsidRPr="00587EDB" w:rsidRDefault="00935296" w:rsidP="00FF0EE8">
            <w:pPr>
              <w:spacing w:line="240" w:lineRule="auto"/>
              <w:jc w:val="center"/>
              <w:rPr>
                <w:color w:val="000000"/>
              </w:rPr>
            </w:pPr>
            <w:r w:rsidRPr="00587EDB">
              <w:rPr>
                <w:color w:val="000000"/>
              </w:rPr>
              <w:t>$41,708</w:t>
            </w:r>
          </w:p>
        </w:tc>
        <w:tc>
          <w:tcPr>
            <w:tcW w:w="1012" w:type="dxa"/>
            <w:tcBorders>
              <w:top w:val="nil"/>
              <w:left w:val="single" w:sz="4" w:space="0" w:color="auto"/>
              <w:bottom w:val="single" w:sz="4" w:space="0" w:color="auto"/>
              <w:right w:val="single" w:sz="4" w:space="0" w:color="auto"/>
            </w:tcBorders>
            <w:shd w:val="clear" w:color="auto" w:fill="auto"/>
            <w:noWrap/>
            <w:vAlign w:val="center"/>
          </w:tcPr>
          <w:p w14:paraId="05A04CA4" w14:textId="257B6B1D" w:rsidR="00935296" w:rsidRPr="00587EDB" w:rsidRDefault="00935296" w:rsidP="00FF0EE8">
            <w:pPr>
              <w:spacing w:line="240" w:lineRule="auto"/>
              <w:jc w:val="center"/>
              <w:rPr>
                <w:color w:val="000000"/>
              </w:rPr>
            </w:pPr>
            <w:r w:rsidRPr="00587EDB">
              <w:rPr>
                <w:color w:val="000000"/>
              </w:rPr>
              <w:t>$45,011</w:t>
            </w:r>
          </w:p>
        </w:tc>
      </w:tr>
      <w:tr w:rsidR="00602B86" w:rsidRPr="00B3526B" w14:paraId="12DC0F71" w14:textId="77777777" w:rsidTr="004F5401">
        <w:trPr>
          <w:trHeight w:val="309"/>
          <w:jc w:val="center"/>
        </w:trPr>
        <w:tc>
          <w:tcPr>
            <w:tcW w:w="5643" w:type="dxa"/>
            <w:gridSpan w:val="5"/>
            <w:tcBorders>
              <w:top w:val="nil"/>
              <w:left w:val="single" w:sz="4" w:space="0" w:color="auto"/>
              <w:bottom w:val="single" w:sz="4" w:space="0" w:color="auto"/>
              <w:right w:val="single" w:sz="4" w:space="0" w:color="auto"/>
            </w:tcBorders>
            <w:shd w:val="clear" w:color="auto" w:fill="auto"/>
            <w:vAlign w:val="center"/>
            <w:hideMark/>
          </w:tcPr>
          <w:p w14:paraId="76D0A51E" w14:textId="77777777" w:rsidR="00546DE5" w:rsidRPr="00587EDB" w:rsidRDefault="00546DE5" w:rsidP="00FF0EE8">
            <w:pPr>
              <w:autoSpaceDE/>
              <w:autoSpaceDN/>
              <w:adjustRightInd/>
              <w:spacing w:line="240" w:lineRule="auto"/>
              <w:jc w:val="right"/>
              <w:rPr>
                <w:b/>
                <w:color w:val="000000"/>
              </w:rPr>
            </w:pPr>
            <w:r w:rsidRPr="00587EDB">
              <w:rPr>
                <w:b/>
                <w:color w:val="000000"/>
              </w:rPr>
              <w:t>Total</w:t>
            </w:r>
          </w:p>
        </w:tc>
        <w:tc>
          <w:tcPr>
            <w:tcW w:w="1683" w:type="dxa"/>
            <w:tcBorders>
              <w:top w:val="nil"/>
              <w:left w:val="single" w:sz="4" w:space="0" w:color="auto"/>
              <w:bottom w:val="single" w:sz="4" w:space="0" w:color="auto"/>
              <w:right w:val="single" w:sz="4" w:space="0" w:color="auto"/>
            </w:tcBorders>
            <w:shd w:val="clear" w:color="auto" w:fill="auto"/>
            <w:vAlign w:val="center"/>
            <w:hideMark/>
          </w:tcPr>
          <w:p w14:paraId="3D5B67B6" w14:textId="16E22546" w:rsidR="00546DE5" w:rsidRPr="00587EDB" w:rsidRDefault="00546DE5" w:rsidP="00FF0EE8">
            <w:pPr>
              <w:autoSpaceDE/>
              <w:autoSpaceDN/>
              <w:adjustRightInd/>
              <w:spacing w:line="240" w:lineRule="auto"/>
              <w:jc w:val="center"/>
              <w:rPr>
                <w:b/>
                <w:color w:val="000000"/>
              </w:rPr>
            </w:pPr>
            <w:r w:rsidRPr="00587EDB">
              <w:rPr>
                <w:b/>
                <w:color w:val="000000"/>
              </w:rPr>
              <w:t>$</w:t>
            </w:r>
            <w:r w:rsidR="003C4587">
              <w:rPr>
                <w:b/>
                <w:color w:val="000000"/>
              </w:rPr>
              <w:t>95,5</w:t>
            </w:r>
            <w:r w:rsidR="0059182F">
              <w:rPr>
                <w:b/>
                <w:color w:val="000000"/>
              </w:rPr>
              <w:t>00</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76A675AC" w14:textId="2DAC4F6C" w:rsidR="00546DE5" w:rsidRPr="00587EDB" w:rsidRDefault="00546DE5" w:rsidP="00FF0EE8">
            <w:pPr>
              <w:autoSpaceDE/>
              <w:autoSpaceDN/>
              <w:adjustRightInd/>
              <w:spacing w:line="240" w:lineRule="auto"/>
              <w:jc w:val="center"/>
              <w:rPr>
                <w:b/>
                <w:color w:val="000000"/>
              </w:rPr>
            </w:pPr>
            <w:r w:rsidRPr="00587EDB">
              <w:rPr>
                <w:b/>
                <w:color w:val="000000"/>
              </w:rPr>
              <w:t>$</w:t>
            </w:r>
            <w:r w:rsidR="003C4587">
              <w:rPr>
                <w:b/>
                <w:color w:val="000000"/>
              </w:rPr>
              <w:t>75,8</w:t>
            </w:r>
            <w:r w:rsidR="0059182F">
              <w:rPr>
                <w:b/>
                <w:color w:val="000000"/>
              </w:rPr>
              <w:t>00</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6AFD4F67" w14:textId="430E4A6F" w:rsidR="00546DE5" w:rsidRPr="00587EDB" w:rsidRDefault="0059182F" w:rsidP="00FF0EE8">
            <w:pPr>
              <w:autoSpaceDE/>
              <w:autoSpaceDN/>
              <w:adjustRightInd/>
              <w:spacing w:line="240" w:lineRule="auto"/>
              <w:jc w:val="center"/>
              <w:rPr>
                <w:b/>
                <w:color w:val="000000"/>
              </w:rPr>
            </w:pPr>
            <w:r>
              <w:rPr>
                <w:b/>
                <w:color w:val="000000"/>
              </w:rPr>
              <w:t>$86</w:t>
            </w:r>
            <w:r w:rsidR="00546DE5" w:rsidRPr="00587EDB">
              <w:rPr>
                <w:b/>
                <w:color w:val="000000"/>
              </w:rPr>
              <w:t>,</w:t>
            </w:r>
            <w:r w:rsidR="003C4587">
              <w:rPr>
                <w:b/>
                <w:color w:val="000000"/>
              </w:rPr>
              <w:t>5</w:t>
            </w:r>
            <w:r>
              <w:rPr>
                <w:b/>
                <w:color w:val="000000"/>
              </w:rPr>
              <w:t>00</w:t>
            </w:r>
          </w:p>
        </w:tc>
      </w:tr>
    </w:tbl>
    <w:p w14:paraId="1F49209E" w14:textId="6F014750" w:rsidR="00F834D9" w:rsidRDefault="00F834D9" w:rsidP="00FF0EE8">
      <w:pPr>
        <w:spacing w:line="240" w:lineRule="auto"/>
        <w:ind w:left="90"/>
        <w:rPr>
          <w:sz w:val="18"/>
        </w:rPr>
      </w:pPr>
      <w:r w:rsidRPr="007B793C">
        <w:rPr>
          <w:sz w:val="18"/>
        </w:rPr>
        <w:t xml:space="preserve">* </w:t>
      </w:r>
      <w:r w:rsidR="00B658C3">
        <w:rPr>
          <w:sz w:val="18"/>
        </w:rPr>
        <w:t>Rounding</w:t>
      </w:r>
      <w:r w:rsidR="00B658C3" w:rsidRPr="007B793C">
        <w:rPr>
          <w:sz w:val="18"/>
        </w:rPr>
        <w:t xml:space="preserve"> </w:t>
      </w:r>
      <w:r w:rsidRPr="007B793C">
        <w:rPr>
          <w:sz w:val="18"/>
        </w:rPr>
        <w:t xml:space="preserve">may </w:t>
      </w:r>
      <w:r w:rsidR="00B658C3">
        <w:rPr>
          <w:sz w:val="18"/>
        </w:rPr>
        <w:t>have caused</w:t>
      </w:r>
      <w:r w:rsidR="00B658C3" w:rsidRPr="007B793C">
        <w:rPr>
          <w:sz w:val="18"/>
        </w:rPr>
        <w:t xml:space="preserve"> </w:t>
      </w:r>
      <w:r w:rsidRPr="007B793C">
        <w:rPr>
          <w:sz w:val="18"/>
        </w:rPr>
        <w:t xml:space="preserve">discrepancies in </w:t>
      </w:r>
      <w:r w:rsidR="00C711AE">
        <w:rPr>
          <w:sz w:val="18"/>
        </w:rPr>
        <w:t xml:space="preserve">the </w:t>
      </w:r>
      <w:r w:rsidRPr="007B793C">
        <w:rPr>
          <w:sz w:val="18"/>
        </w:rPr>
        <w:t>calculations.</w:t>
      </w:r>
    </w:p>
    <w:p w14:paraId="53751A93" w14:textId="77777777" w:rsidR="00A77CE5" w:rsidRDefault="00F834D9" w:rsidP="00FF0EE8">
      <w:pPr>
        <w:spacing w:line="240" w:lineRule="auto"/>
        <w:ind w:left="90"/>
        <w:rPr>
          <w:sz w:val="18"/>
        </w:rPr>
      </w:pPr>
      <w:r>
        <w:rPr>
          <w:sz w:val="18"/>
        </w:rPr>
        <w:t>** All values are in 201</w:t>
      </w:r>
      <w:r w:rsidR="00C852EB">
        <w:rPr>
          <w:sz w:val="18"/>
        </w:rPr>
        <w:t>7</w:t>
      </w:r>
      <w:r>
        <w:rPr>
          <w:sz w:val="18"/>
        </w:rPr>
        <w:t xml:space="preserve"> dollars</w:t>
      </w:r>
      <w:r w:rsidR="001F6D2A">
        <w:rPr>
          <w:sz w:val="18"/>
        </w:rPr>
        <w:t>.</w:t>
      </w:r>
    </w:p>
    <w:p w14:paraId="4E8956B0" w14:textId="77777777" w:rsidR="00F834D9" w:rsidRPr="009505A0" w:rsidRDefault="00F834D9" w:rsidP="00FF0EE8">
      <w:pPr>
        <w:spacing w:line="240" w:lineRule="auto"/>
      </w:pPr>
    </w:p>
    <w:bookmarkEnd w:id="185"/>
    <w:p w14:paraId="05CF7D40" w14:textId="48A3B942" w:rsidR="00D45634" w:rsidRPr="00827F4D" w:rsidRDefault="00AF58C9" w:rsidP="00FF0EE8">
      <w:pPr>
        <w:spacing w:line="240" w:lineRule="auto"/>
        <w:rPr>
          <w:sz w:val="20"/>
          <w:szCs w:val="20"/>
        </w:rPr>
      </w:pPr>
      <w:r>
        <w:t>Although</w:t>
      </w:r>
      <w:r w:rsidR="00C64ABB">
        <w:t xml:space="preserve"> the NRC expects that</w:t>
      </w:r>
      <w:r>
        <w:t xml:space="preserve"> </w:t>
      </w:r>
      <w:r w:rsidRPr="00BD3549">
        <w:t xml:space="preserve">incorporating the most recent </w:t>
      </w:r>
      <w:r w:rsidR="001F6D2A">
        <w:t>RG</w:t>
      </w:r>
      <w:r w:rsidRPr="00BD3549">
        <w:t xml:space="preserve">s </w:t>
      </w:r>
      <w:r w:rsidR="00C64ABB">
        <w:t xml:space="preserve">that </w:t>
      </w:r>
      <w:r w:rsidRPr="00BD3549">
        <w:t>list NRC</w:t>
      </w:r>
      <w:r w:rsidR="001F6D2A">
        <w:noBreakHyphen/>
      </w:r>
      <w:r w:rsidRPr="00BD3549">
        <w:t xml:space="preserve">approved </w:t>
      </w:r>
      <w:r w:rsidR="00AE121B">
        <w:t>Code Cases</w:t>
      </w:r>
      <w:r w:rsidRPr="00BD3549">
        <w:t xml:space="preserve"> by reference into the</w:t>
      </w:r>
      <w:r w:rsidRPr="00BD3549">
        <w:rPr>
          <w:i/>
        </w:rPr>
        <w:t xml:space="preserve"> Code of Federal Regulations</w:t>
      </w:r>
      <w:r>
        <w:t xml:space="preserve"> </w:t>
      </w:r>
      <w:r w:rsidR="00C64ABB">
        <w:t>will</w:t>
      </w:r>
      <w:r>
        <w:t xml:space="preserve"> decrease industry operation costs, </w:t>
      </w:r>
      <w:r w:rsidR="00803F9D">
        <w:t xml:space="preserve">the NRC has not received data from licensees </w:t>
      </w:r>
      <w:r w:rsidR="00BA0364">
        <w:t xml:space="preserve">or applicants </w:t>
      </w:r>
      <w:r w:rsidR="00803F9D">
        <w:t>stating the number of planned</w:t>
      </w:r>
      <w:r w:rsidR="00740E37">
        <w:t xml:space="preserve"> submittals of</w:t>
      </w:r>
      <w:r w:rsidR="00803F9D">
        <w:t xml:space="preserve"> ASME Code </w:t>
      </w:r>
      <w:r w:rsidR="001C19EA">
        <w:t>Case</w:t>
      </w:r>
      <w:r w:rsidR="00803F9D">
        <w:t xml:space="preserve"> </w:t>
      </w:r>
      <w:r w:rsidR="001B5DD8">
        <w:t>alternative request</w:t>
      </w:r>
      <w:r w:rsidR="00740E37">
        <w:t>s</w:t>
      </w:r>
      <w:r w:rsidR="00803F9D">
        <w:t xml:space="preserve"> that will no longer be necessary</w:t>
      </w:r>
      <w:r>
        <w:t xml:space="preserve">.  Because of such uncertainty in these quantifiable industry operation costs, the NRC made conservative estimates on the number of </w:t>
      </w:r>
      <w:r w:rsidR="00891309">
        <w:t>alternative</w:t>
      </w:r>
      <w:r w:rsidR="00715967">
        <w:t xml:space="preserve"> request</w:t>
      </w:r>
      <w:r>
        <w:t xml:space="preserve"> submittals </w:t>
      </w:r>
      <w:r w:rsidR="00715967">
        <w:t>averted</w:t>
      </w:r>
      <w:r>
        <w:t xml:space="preserve"> and the amount of industry resources that would have been otherwise required to prepare </w:t>
      </w:r>
      <w:r w:rsidR="0002547F">
        <w:t>these</w:t>
      </w:r>
      <w:r>
        <w:t xml:space="preserve"> submittals</w:t>
      </w:r>
      <w:r w:rsidR="0002547F">
        <w:t xml:space="preserve">.  As a result, </w:t>
      </w:r>
      <w:r w:rsidR="00803F9D">
        <w:t xml:space="preserve">if </w:t>
      </w:r>
      <w:r w:rsidR="00E036D5">
        <w:t xml:space="preserve">the affected licensees and applicants do not use </w:t>
      </w:r>
      <w:r w:rsidR="00803F9D">
        <w:t>the NRC</w:t>
      </w:r>
      <w:r w:rsidR="00C64ABB">
        <w:noBreakHyphen/>
      </w:r>
      <w:r w:rsidR="00803F9D">
        <w:t xml:space="preserve">approved </w:t>
      </w:r>
      <w:r w:rsidR="00AE121B">
        <w:t>Code Cases</w:t>
      </w:r>
      <w:r w:rsidR="00803F9D">
        <w:t xml:space="preserve"> considered in this analysis</w:t>
      </w:r>
      <w:r w:rsidR="00B746D8">
        <w:t xml:space="preserve">, </w:t>
      </w:r>
      <w:r w:rsidR="0002547F">
        <w:t xml:space="preserve">the averted operation costs presented in </w:t>
      </w:r>
      <w:r w:rsidR="00E76100" w:rsidRPr="000D50A2">
        <w:fldChar w:fldCharType="begin"/>
      </w:r>
      <w:r w:rsidR="00E76100" w:rsidRPr="000D50A2">
        <w:instrText xml:space="preserve"> REF _Ref419384731 \h </w:instrText>
      </w:r>
      <w:r w:rsidR="00C47FDA" w:rsidRPr="00D557C2">
        <w:instrText xml:space="preserve"> \* MERGEFORMAT </w:instrText>
      </w:r>
      <w:r w:rsidR="00E76100" w:rsidRPr="000D50A2">
        <w:fldChar w:fldCharType="separate"/>
      </w:r>
      <w:r w:rsidR="00FD3AB6" w:rsidRPr="00FD3AB6">
        <w:t xml:space="preserve">Table </w:t>
      </w:r>
      <w:r w:rsidR="00FD3AB6" w:rsidRPr="00FD3AB6">
        <w:rPr>
          <w:noProof/>
        </w:rPr>
        <w:t>10</w:t>
      </w:r>
      <w:r w:rsidR="00E76100" w:rsidRPr="000D50A2">
        <w:fldChar w:fldCharType="end"/>
      </w:r>
      <w:r w:rsidR="0002547F" w:rsidRPr="006E5706">
        <w:t xml:space="preserve"> </w:t>
      </w:r>
      <w:r w:rsidR="0014445F" w:rsidRPr="000D50A2">
        <w:t xml:space="preserve">and </w:t>
      </w:r>
      <w:r w:rsidR="0014445F" w:rsidRPr="000D50A2">
        <w:fldChar w:fldCharType="begin"/>
      </w:r>
      <w:r w:rsidR="0014445F" w:rsidRPr="000D50A2">
        <w:instrText xml:space="preserve"> REF _Ref420421194 \h </w:instrText>
      </w:r>
      <w:r w:rsidR="00C47FDA" w:rsidRPr="00D557C2">
        <w:instrText xml:space="preserve"> \* MERGEFORMAT </w:instrText>
      </w:r>
      <w:r w:rsidR="0014445F" w:rsidRPr="000D50A2">
        <w:fldChar w:fldCharType="separate"/>
      </w:r>
      <w:r w:rsidR="00FD3AB6" w:rsidRPr="00FD3AB6">
        <w:t xml:space="preserve">Table </w:t>
      </w:r>
      <w:r w:rsidR="00FD3AB6" w:rsidRPr="00FD3AB6">
        <w:rPr>
          <w:noProof/>
        </w:rPr>
        <w:t>11</w:t>
      </w:r>
      <w:r w:rsidR="0014445F" w:rsidRPr="000D50A2">
        <w:fldChar w:fldCharType="end"/>
      </w:r>
      <w:r w:rsidR="0014445F" w:rsidRPr="006E5706">
        <w:t xml:space="preserve"> </w:t>
      </w:r>
      <w:r w:rsidR="0002547F" w:rsidRPr="000D50A2">
        <w:t>are</w:t>
      </w:r>
      <w:r w:rsidR="0002547F">
        <w:t xml:space="preserve"> overstated.</w:t>
      </w:r>
    </w:p>
    <w:p w14:paraId="0404B587" w14:textId="51B9FB49" w:rsidR="009A19CC" w:rsidRDefault="009A19CC" w:rsidP="00FF0EE8">
      <w:pPr>
        <w:pStyle w:val="Heading3"/>
        <w:spacing w:line="240" w:lineRule="auto"/>
        <w:ind w:left="540"/>
      </w:pPr>
      <w:bookmarkStart w:id="195" w:name="_Toc414345522"/>
      <w:bookmarkStart w:id="196" w:name="_Toc414345900"/>
      <w:bookmarkStart w:id="197" w:name="_Toc414346118"/>
      <w:bookmarkStart w:id="198" w:name="_Ref435768436"/>
      <w:bookmarkStart w:id="199" w:name="_Toc462224968"/>
      <w:bookmarkStart w:id="200" w:name="_Toc468875927"/>
      <w:bookmarkEnd w:id="195"/>
      <w:bookmarkEnd w:id="196"/>
      <w:bookmarkEnd w:id="197"/>
      <w:r>
        <w:t>Conditioned Code Case</w:t>
      </w:r>
      <w:r w:rsidR="000B70D6">
        <w:t xml:space="preserve"> Costs</w:t>
      </w:r>
      <w:bookmarkEnd w:id="198"/>
      <w:bookmarkEnd w:id="199"/>
      <w:bookmarkEnd w:id="200"/>
    </w:p>
    <w:p w14:paraId="43B4B523" w14:textId="77777777" w:rsidR="009A19CC" w:rsidRDefault="009A19CC" w:rsidP="00FF0EE8">
      <w:pPr>
        <w:keepNext/>
        <w:spacing w:line="240" w:lineRule="auto"/>
      </w:pPr>
    </w:p>
    <w:p w14:paraId="0695E94B" w14:textId="27DCBAC2" w:rsidR="00D45634" w:rsidRDefault="00C64ABB" w:rsidP="00FF0EE8">
      <w:pPr>
        <w:spacing w:line="240" w:lineRule="auto"/>
      </w:pPr>
      <w:r>
        <w:t>Although</w:t>
      </w:r>
      <w:r w:rsidRPr="00CE11EF">
        <w:t xml:space="preserve"> </w:t>
      </w:r>
      <w:r w:rsidR="00CE11EF" w:rsidRPr="00CE11EF">
        <w:t xml:space="preserve">Code Cases may provide cost savings to the applicant or licensee from their implementation, </w:t>
      </w:r>
      <w:r w:rsidR="000B70D6">
        <w:t xml:space="preserve">Code Cases </w:t>
      </w:r>
      <w:r w:rsidR="00715967">
        <w:t xml:space="preserve">with conditions </w:t>
      </w:r>
      <w:r w:rsidR="000B70D6">
        <w:t xml:space="preserve">may have additional incremental costs compared to </w:t>
      </w:r>
      <w:r w:rsidR="004171D7">
        <w:t xml:space="preserve">the NRC </w:t>
      </w:r>
      <w:r w:rsidR="000B70D6">
        <w:t>approval of Code Cases</w:t>
      </w:r>
      <w:r w:rsidR="004171D7">
        <w:t xml:space="preserve"> without conditions</w:t>
      </w:r>
      <w:r w:rsidR="000B70D6">
        <w:t xml:space="preserve">.  </w:t>
      </w:r>
      <w:r w:rsidR="00CE11EF" w:rsidRPr="00CE11EF">
        <w:t xml:space="preserve">Therefore, Code Case conditions might reduce the net savings to the applicant or licensee from implementation of a Code Case.  </w:t>
      </w:r>
      <w:r w:rsidR="000B70D6">
        <w:t>Section</w:t>
      </w:r>
      <w:r>
        <w:t> </w:t>
      </w:r>
      <w:r w:rsidR="0014445F">
        <w:fldChar w:fldCharType="begin"/>
      </w:r>
      <w:r w:rsidR="0014445F">
        <w:instrText xml:space="preserve"> REF _Ref435713613 \r \h </w:instrText>
      </w:r>
      <w:r w:rsidR="0014445F">
        <w:fldChar w:fldCharType="separate"/>
      </w:r>
      <w:r w:rsidR="00FD3AB6">
        <w:t>4.2.12</w:t>
      </w:r>
      <w:r w:rsidR="0014445F">
        <w:fldChar w:fldCharType="end"/>
      </w:r>
      <w:r w:rsidR="000B70D6">
        <w:t xml:space="preserve"> of this regulatory analysis provides an overview of the conditioned Code Cases and the incremental increase in </w:t>
      </w:r>
      <w:r w:rsidR="004171D7">
        <w:t xml:space="preserve">estimated </w:t>
      </w:r>
      <w:r w:rsidR="000B70D6">
        <w:t>labor requirements for meeting those conditioned Code Cases compared to approved Code Cases</w:t>
      </w:r>
      <w:r w:rsidR="004171D7">
        <w:t xml:space="preserve"> without conditions</w:t>
      </w:r>
      <w:r w:rsidR="000B70D6">
        <w:t xml:space="preserve">.  </w:t>
      </w:r>
      <w:r w:rsidR="00D45634">
        <w:t>Code Cases</w:t>
      </w:r>
      <w:r>
        <w:t> </w:t>
      </w:r>
      <w:r w:rsidR="00D45634">
        <w:t>N</w:t>
      </w:r>
      <w:r>
        <w:noBreakHyphen/>
      </w:r>
      <w:r w:rsidR="00D45634">
        <w:t>666</w:t>
      </w:r>
      <w:r>
        <w:noBreakHyphen/>
      </w:r>
      <w:r w:rsidR="00D45634">
        <w:t>1</w:t>
      </w:r>
      <w:r w:rsidR="009C1D3E">
        <w:t>, N</w:t>
      </w:r>
      <w:r>
        <w:noBreakHyphen/>
      </w:r>
      <w:r w:rsidR="009C1D3E">
        <w:t>638</w:t>
      </w:r>
      <w:r>
        <w:noBreakHyphen/>
      </w:r>
      <w:r w:rsidR="009C1D3E">
        <w:t>6</w:t>
      </w:r>
      <w:r w:rsidR="00877D39">
        <w:t>,</w:t>
      </w:r>
      <w:r w:rsidR="00CC4BEA">
        <w:t xml:space="preserve"> </w:t>
      </w:r>
      <w:r w:rsidR="00D45634">
        <w:t>N</w:t>
      </w:r>
      <w:r>
        <w:noBreakHyphen/>
      </w:r>
      <w:r w:rsidR="00D45634">
        <w:t>789</w:t>
      </w:r>
      <w:r>
        <w:t>,</w:t>
      </w:r>
      <w:r w:rsidR="00F42F94">
        <w:t xml:space="preserve"> </w:t>
      </w:r>
      <w:r w:rsidR="00877D39">
        <w:t>and OMN</w:t>
      </w:r>
      <w:r>
        <w:noBreakHyphen/>
      </w:r>
      <w:r w:rsidR="00877D39">
        <w:t xml:space="preserve">19 </w:t>
      </w:r>
      <w:r w:rsidR="00D45634">
        <w:t xml:space="preserve">would require resources from all NRC licensees, </w:t>
      </w:r>
      <w:r>
        <w:t xml:space="preserve">whereas </w:t>
      </w:r>
      <w:r w:rsidR="00D45634">
        <w:t>Code Case</w:t>
      </w:r>
      <w:r>
        <w:t> </w:t>
      </w:r>
      <w:r w:rsidR="00D45634">
        <w:t>N</w:t>
      </w:r>
      <w:r>
        <w:noBreakHyphen/>
      </w:r>
      <w:r w:rsidR="00D45634">
        <w:t xml:space="preserve">795 </w:t>
      </w:r>
      <w:r w:rsidR="0014445F">
        <w:t xml:space="preserve">is applicable </w:t>
      </w:r>
      <w:r w:rsidR="00D45634">
        <w:t xml:space="preserve">only to BWRs, and </w:t>
      </w:r>
      <w:r>
        <w:t>Code Case </w:t>
      </w:r>
      <w:r w:rsidR="00D45634">
        <w:t>N</w:t>
      </w:r>
      <w:r>
        <w:noBreakHyphen/>
      </w:r>
      <w:r w:rsidR="00D45634">
        <w:t xml:space="preserve">799 </w:t>
      </w:r>
      <w:r w:rsidR="004171D7">
        <w:t xml:space="preserve">is applicable </w:t>
      </w:r>
      <w:r w:rsidR="0014445F">
        <w:t xml:space="preserve">only </w:t>
      </w:r>
      <w:r w:rsidR="00F42F94">
        <w:t>to</w:t>
      </w:r>
      <w:r w:rsidR="00D45634">
        <w:t xml:space="preserve"> new reactors.</w:t>
      </w:r>
      <w:r w:rsidR="00801D39">
        <w:t xml:space="preserve">  </w:t>
      </w:r>
      <w:r w:rsidR="00EA705B" w:rsidRPr="000D50A2">
        <w:fldChar w:fldCharType="begin"/>
      </w:r>
      <w:r w:rsidR="00EA705B" w:rsidRPr="000D50A2">
        <w:instrText xml:space="preserve"> REF _Ref434316740 \h </w:instrText>
      </w:r>
      <w:r w:rsidR="00C47FDA" w:rsidRPr="00D557C2">
        <w:instrText xml:space="preserve"> \* MERGEFORMAT </w:instrText>
      </w:r>
      <w:r w:rsidR="00EA705B" w:rsidRPr="000D50A2">
        <w:fldChar w:fldCharType="separate"/>
      </w:r>
      <w:r w:rsidR="00FD3AB6" w:rsidRPr="00FD3AB6">
        <w:t xml:space="preserve">Table </w:t>
      </w:r>
      <w:r w:rsidR="00FD3AB6" w:rsidRPr="00FD3AB6">
        <w:rPr>
          <w:noProof/>
        </w:rPr>
        <w:t>12</w:t>
      </w:r>
      <w:r w:rsidR="00EA705B" w:rsidRPr="000D50A2">
        <w:fldChar w:fldCharType="end"/>
      </w:r>
      <w:r w:rsidRPr="000D50A2">
        <w:t>–</w:t>
      </w:r>
      <w:r w:rsidR="00EA705B" w:rsidRPr="000D50A2">
        <w:fldChar w:fldCharType="begin"/>
      </w:r>
      <w:r w:rsidR="00EA705B" w:rsidRPr="000D50A2">
        <w:instrText xml:space="preserve"> REF _Ref434316771 \h </w:instrText>
      </w:r>
      <w:r w:rsidR="00C47FDA" w:rsidRPr="00D557C2">
        <w:instrText xml:space="preserve"> \* MERGEFORMAT </w:instrText>
      </w:r>
      <w:r w:rsidR="00EA705B" w:rsidRPr="000D50A2">
        <w:fldChar w:fldCharType="separate"/>
      </w:r>
      <w:r w:rsidR="00FD3AB6" w:rsidRPr="00FD3AB6">
        <w:rPr>
          <w:noProof/>
        </w:rPr>
        <w:t>Table</w:t>
      </w:r>
      <w:r w:rsidR="00FD3AB6" w:rsidRPr="00587EDB">
        <w:rPr>
          <w:b/>
        </w:rPr>
        <w:t xml:space="preserve"> </w:t>
      </w:r>
      <w:r w:rsidR="00FD3AB6" w:rsidRPr="00FD3AB6">
        <w:rPr>
          <w:noProof/>
        </w:rPr>
        <w:t>16</w:t>
      </w:r>
      <w:r w:rsidR="00EA705B" w:rsidRPr="000D50A2">
        <w:fldChar w:fldCharType="end"/>
      </w:r>
      <w:r w:rsidR="00801D39" w:rsidRPr="006E5706">
        <w:t xml:space="preserve"> </w:t>
      </w:r>
      <w:r w:rsidR="00801D39" w:rsidRPr="00EA705B">
        <w:t>s</w:t>
      </w:r>
      <w:r w:rsidR="00801D39">
        <w:t xml:space="preserve">how the incremental </w:t>
      </w:r>
      <w:r w:rsidR="00C613D9">
        <w:t xml:space="preserve">industry implementation </w:t>
      </w:r>
      <w:r w:rsidR="00801D39">
        <w:t xml:space="preserve">costs of </w:t>
      </w:r>
      <w:r w:rsidR="00F42F94">
        <w:t>the</w:t>
      </w:r>
      <w:r w:rsidR="00801D39">
        <w:t xml:space="preserve"> </w:t>
      </w:r>
      <w:r w:rsidR="0062744C">
        <w:t>c</w:t>
      </w:r>
      <w:r w:rsidR="00801D39">
        <w:t>onditioned Code Case</w:t>
      </w:r>
      <w:r w:rsidR="00F42F94">
        <w:t>s</w:t>
      </w:r>
      <w:r w:rsidR="00801D39">
        <w:t>.</w:t>
      </w:r>
    </w:p>
    <w:p w14:paraId="4023931A" w14:textId="77777777" w:rsidR="006106EB" w:rsidRDefault="006106EB" w:rsidP="00FF0EE8">
      <w:pPr>
        <w:spacing w:line="240" w:lineRule="auto"/>
      </w:pPr>
    </w:p>
    <w:p w14:paraId="2FCF1068" w14:textId="40951877" w:rsidR="004665EC" w:rsidRPr="00587EDB" w:rsidRDefault="004665EC" w:rsidP="00CE42EC">
      <w:pPr>
        <w:pStyle w:val="Caption"/>
        <w:spacing w:line="240" w:lineRule="auto"/>
        <w:jc w:val="center"/>
        <w:rPr>
          <w:b/>
        </w:rPr>
      </w:pPr>
      <w:bookmarkStart w:id="201" w:name="_Ref434316740"/>
      <w:bookmarkStart w:id="202" w:name="_Toc467508501"/>
      <w:bookmarkStart w:id="203" w:name="_Toc462225007"/>
      <w:r w:rsidRPr="00587EDB">
        <w:rPr>
          <w:b/>
        </w:rPr>
        <w:t xml:space="preserve">Table </w:t>
      </w:r>
      <w:r w:rsidR="00782423" w:rsidRPr="00587EDB">
        <w:rPr>
          <w:b/>
        </w:rPr>
        <w:fldChar w:fldCharType="begin"/>
      </w:r>
      <w:r w:rsidR="00782423" w:rsidRPr="00587EDB">
        <w:rPr>
          <w:b/>
        </w:rPr>
        <w:instrText xml:space="preserve"> SEQ Table \* ARABIC </w:instrText>
      </w:r>
      <w:r w:rsidR="00782423" w:rsidRPr="00587EDB">
        <w:rPr>
          <w:b/>
        </w:rPr>
        <w:fldChar w:fldCharType="separate"/>
      </w:r>
      <w:r w:rsidR="00FD3AB6">
        <w:rPr>
          <w:b/>
          <w:noProof/>
        </w:rPr>
        <w:t>12</w:t>
      </w:r>
      <w:r w:rsidR="00782423" w:rsidRPr="00587EDB">
        <w:rPr>
          <w:b/>
        </w:rPr>
        <w:fldChar w:fldCharType="end"/>
      </w:r>
      <w:bookmarkEnd w:id="201"/>
      <w:r w:rsidR="006C3FF0" w:rsidRPr="00D557C2">
        <w:rPr>
          <w:b/>
        </w:rPr>
        <w:t xml:space="preserve">  </w:t>
      </w:r>
      <w:r w:rsidRPr="00587EDB">
        <w:rPr>
          <w:b/>
        </w:rPr>
        <w:t>Incremental Industry Operations Costs for Conditioned</w:t>
      </w:r>
      <w:r w:rsidR="006C3FF0">
        <w:rPr>
          <w:b/>
        </w:rPr>
        <w:br/>
      </w:r>
      <w:r w:rsidRPr="00587EDB">
        <w:rPr>
          <w:b/>
        </w:rPr>
        <w:t xml:space="preserve">Code Case N-638-6 (Operating Reactors </w:t>
      </w:r>
      <w:r w:rsidR="006C3FF0">
        <w:rPr>
          <w:b/>
        </w:rPr>
        <w:t>O</w:t>
      </w:r>
      <w:r w:rsidRPr="00D557C2">
        <w:rPr>
          <w:b/>
        </w:rPr>
        <w:t>nly</w:t>
      </w:r>
      <w:r w:rsidRPr="00587EDB">
        <w:rPr>
          <w:b/>
        </w:rPr>
        <w:t>)</w:t>
      </w:r>
      <w:bookmarkEnd w:id="202"/>
      <w:bookmarkEnd w:id="203"/>
    </w:p>
    <w:tbl>
      <w:tblPr>
        <w:tblW w:w="0" w:type="auto"/>
        <w:jc w:val="center"/>
        <w:tblLook w:val="04A0" w:firstRow="1" w:lastRow="0" w:firstColumn="1" w:lastColumn="0" w:noHBand="0" w:noVBand="1"/>
      </w:tblPr>
      <w:tblGrid>
        <w:gridCol w:w="1230"/>
        <w:gridCol w:w="2658"/>
        <w:gridCol w:w="2302"/>
        <w:gridCol w:w="2658"/>
      </w:tblGrid>
      <w:tr w:rsidR="00602B86" w:rsidRPr="007E58CE" w14:paraId="524187D1" w14:textId="77777777" w:rsidTr="004F5401">
        <w:trPr>
          <w:trHeight w:val="349"/>
          <w:jc w:val="center"/>
        </w:trPr>
        <w:tc>
          <w:tcPr>
            <w:tcW w:w="1230" w:type="dxa"/>
            <w:vMerge w:val="restart"/>
            <w:tcBorders>
              <w:top w:val="single" w:sz="4" w:space="0" w:color="auto"/>
              <w:left w:val="single" w:sz="4" w:space="0" w:color="auto"/>
              <w:right w:val="single" w:sz="4" w:space="0" w:color="auto"/>
            </w:tcBorders>
            <w:shd w:val="clear" w:color="auto" w:fill="auto"/>
            <w:noWrap/>
            <w:vAlign w:val="center"/>
          </w:tcPr>
          <w:p w14:paraId="35B535F5" w14:textId="77777777" w:rsidR="006106EB" w:rsidRPr="004F5401" w:rsidRDefault="006106EB" w:rsidP="004F5401">
            <w:pPr>
              <w:keepNext/>
              <w:spacing w:line="240" w:lineRule="auto"/>
              <w:jc w:val="center"/>
              <w:rPr>
                <w:b/>
              </w:rPr>
            </w:pPr>
            <w:r w:rsidRPr="004F5401">
              <w:rPr>
                <w:b/>
              </w:rPr>
              <w:t>Year</w:t>
            </w:r>
          </w:p>
        </w:tc>
        <w:tc>
          <w:tcPr>
            <w:tcW w:w="7618" w:type="dxa"/>
            <w:gridSpan w:val="3"/>
            <w:tcBorders>
              <w:top w:val="single" w:sz="4" w:space="0" w:color="auto"/>
              <w:left w:val="nil"/>
              <w:bottom w:val="single" w:sz="4" w:space="0" w:color="auto"/>
              <w:right w:val="single" w:sz="4" w:space="0" w:color="auto"/>
            </w:tcBorders>
            <w:shd w:val="clear" w:color="auto" w:fill="auto"/>
            <w:vAlign w:val="center"/>
          </w:tcPr>
          <w:p w14:paraId="03E3B91F" w14:textId="17B8F2ED" w:rsidR="006106EB" w:rsidRPr="00E92B27" w:rsidRDefault="006106EB" w:rsidP="004F5401">
            <w:pPr>
              <w:keepNext/>
              <w:spacing w:line="240" w:lineRule="auto"/>
              <w:jc w:val="center"/>
              <w:rPr>
                <w:b/>
              </w:rPr>
            </w:pPr>
            <w:r w:rsidRPr="00E92B27">
              <w:rPr>
                <w:b/>
              </w:rPr>
              <w:t xml:space="preserve">Conditioned Code Case </w:t>
            </w:r>
            <w:r w:rsidR="00DC5FA9" w:rsidRPr="00E92B27">
              <w:rPr>
                <w:b/>
              </w:rPr>
              <w:t>N-638</w:t>
            </w:r>
            <w:r w:rsidR="00C53EFE" w:rsidRPr="00E92B27">
              <w:rPr>
                <w:b/>
              </w:rPr>
              <w:t>-6</w:t>
            </w:r>
            <w:r w:rsidR="0014445F" w:rsidRPr="00E92B27">
              <w:rPr>
                <w:b/>
              </w:rPr>
              <w:t xml:space="preserve"> Costs</w:t>
            </w:r>
            <w:r w:rsidRPr="00E92B27">
              <w:rPr>
                <w:b/>
              </w:rPr>
              <w:t xml:space="preserve"> (201</w:t>
            </w:r>
            <w:r w:rsidR="00434583" w:rsidRPr="00E92B27">
              <w:rPr>
                <w:b/>
              </w:rPr>
              <w:t>7</w:t>
            </w:r>
            <w:r w:rsidRPr="00E92B27">
              <w:rPr>
                <w:b/>
              </w:rPr>
              <w:t xml:space="preserve"> </w:t>
            </w:r>
            <w:r w:rsidR="00254BC3" w:rsidRPr="00E92B27">
              <w:rPr>
                <w:b/>
              </w:rPr>
              <w:t>D</w:t>
            </w:r>
            <w:r w:rsidRPr="00E92B27">
              <w:rPr>
                <w:b/>
              </w:rPr>
              <w:t>ollars)</w:t>
            </w:r>
          </w:p>
        </w:tc>
      </w:tr>
      <w:tr w:rsidR="00602B86" w:rsidRPr="007E58CE" w14:paraId="240A535F" w14:textId="77777777" w:rsidTr="004F5401">
        <w:trPr>
          <w:trHeight w:val="235"/>
          <w:jc w:val="center"/>
        </w:trPr>
        <w:tc>
          <w:tcPr>
            <w:tcW w:w="1230" w:type="dxa"/>
            <w:vMerge/>
            <w:tcBorders>
              <w:left w:val="single" w:sz="4" w:space="0" w:color="auto"/>
              <w:bottom w:val="single" w:sz="8" w:space="0" w:color="auto"/>
              <w:right w:val="single" w:sz="4" w:space="0" w:color="auto"/>
            </w:tcBorders>
            <w:shd w:val="clear" w:color="auto" w:fill="auto"/>
            <w:noWrap/>
            <w:vAlign w:val="center"/>
            <w:hideMark/>
          </w:tcPr>
          <w:p w14:paraId="3704478D" w14:textId="77777777" w:rsidR="006106EB" w:rsidRPr="007E58CE" w:rsidRDefault="006106EB" w:rsidP="004F5401">
            <w:pPr>
              <w:keepNext/>
              <w:spacing w:line="240" w:lineRule="auto"/>
              <w:jc w:val="center"/>
              <w:rPr>
                <w:b/>
              </w:rPr>
            </w:pP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3A39B1E8" w14:textId="77777777" w:rsidR="006106EB" w:rsidRPr="007E58CE" w:rsidRDefault="006106EB" w:rsidP="004F5401">
            <w:pPr>
              <w:keepNext/>
              <w:spacing w:line="240" w:lineRule="auto"/>
              <w:jc w:val="center"/>
              <w:rPr>
                <w:b/>
              </w:rPr>
            </w:pPr>
            <w:r w:rsidRPr="007E58CE">
              <w:rPr>
                <w:b/>
              </w:rPr>
              <w:t>Undiscounted</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AE846" w14:textId="0E611F67" w:rsidR="006106EB" w:rsidRPr="007E58CE" w:rsidRDefault="006106EB" w:rsidP="004F5401">
            <w:pPr>
              <w:keepNext/>
              <w:spacing w:line="240" w:lineRule="auto"/>
              <w:jc w:val="center"/>
              <w:rPr>
                <w:b/>
              </w:rPr>
            </w:pPr>
            <w:r w:rsidRPr="007E58CE">
              <w:rPr>
                <w:b/>
              </w:rPr>
              <w:t xml:space="preserve">7% </w:t>
            </w:r>
            <w:r w:rsidR="00892BAC" w:rsidRPr="007E58CE">
              <w:rPr>
                <w:b/>
              </w:rPr>
              <w:t>D</w:t>
            </w:r>
            <w:r w:rsidRPr="007E58CE">
              <w:rPr>
                <w:b/>
              </w:rPr>
              <w:t>iscount</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D9AD8" w14:textId="3DE1F3C0" w:rsidR="006106EB" w:rsidRPr="007E58CE" w:rsidRDefault="006106EB" w:rsidP="004F5401">
            <w:pPr>
              <w:keepNext/>
              <w:spacing w:line="240" w:lineRule="auto"/>
              <w:jc w:val="center"/>
              <w:rPr>
                <w:b/>
              </w:rPr>
            </w:pPr>
            <w:r w:rsidRPr="007E58CE">
              <w:rPr>
                <w:b/>
              </w:rPr>
              <w:t xml:space="preserve">3% </w:t>
            </w:r>
            <w:r w:rsidR="00892BAC" w:rsidRPr="007E58CE">
              <w:rPr>
                <w:b/>
              </w:rPr>
              <w:t>D</w:t>
            </w:r>
            <w:r w:rsidRPr="007E58CE">
              <w:rPr>
                <w:b/>
              </w:rPr>
              <w:t>iscount</w:t>
            </w:r>
          </w:p>
        </w:tc>
      </w:tr>
      <w:tr w:rsidR="0059182F" w:rsidRPr="007E58CE" w14:paraId="7D705CDE" w14:textId="77777777" w:rsidTr="004F5401">
        <w:trPr>
          <w:trHeight w:val="316"/>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3B2D2380" w14:textId="77777777" w:rsidR="0059182F" w:rsidRPr="007E58CE" w:rsidRDefault="0059182F" w:rsidP="004F5401">
            <w:pPr>
              <w:keepNext/>
              <w:spacing w:line="240" w:lineRule="auto"/>
              <w:jc w:val="center"/>
            </w:pPr>
            <w:r w:rsidRPr="007E58CE">
              <w:t>2018</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7C3FC" w14:textId="642FE008" w:rsidR="0059182F" w:rsidRPr="007E58CE" w:rsidRDefault="0059182F" w:rsidP="004F5401">
            <w:pPr>
              <w:keepNext/>
              <w:spacing w:line="240" w:lineRule="auto"/>
              <w:jc w:val="center"/>
            </w:pPr>
            <w:r w:rsidRPr="007E58CE">
              <w:t>($291,537)</w:t>
            </w:r>
          </w:p>
        </w:tc>
        <w:tc>
          <w:tcPr>
            <w:tcW w:w="2302" w:type="dxa"/>
            <w:tcBorders>
              <w:top w:val="single" w:sz="4" w:space="0" w:color="auto"/>
              <w:left w:val="nil"/>
              <w:bottom w:val="single" w:sz="4" w:space="0" w:color="auto"/>
              <w:right w:val="single" w:sz="4" w:space="0" w:color="auto"/>
            </w:tcBorders>
            <w:shd w:val="clear" w:color="auto" w:fill="auto"/>
            <w:noWrap/>
            <w:vAlign w:val="center"/>
            <w:hideMark/>
          </w:tcPr>
          <w:p w14:paraId="1DE67643" w14:textId="2A75255B" w:rsidR="0059182F" w:rsidRPr="007E58CE" w:rsidRDefault="0059182F" w:rsidP="004F5401">
            <w:pPr>
              <w:keepNext/>
              <w:spacing w:line="240" w:lineRule="auto"/>
              <w:jc w:val="center"/>
            </w:pPr>
            <w:r w:rsidRPr="007E58CE">
              <w:t>($254,639)</w:t>
            </w:r>
          </w:p>
        </w:tc>
        <w:tc>
          <w:tcPr>
            <w:tcW w:w="2658" w:type="dxa"/>
            <w:tcBorders>
              <w:top w:val="single" w:sz="4" w:space="0" w:color="auto"/>
              <w:left w:val="nil"/>
              <w:bottom w:val="single" w:sz="4" w:space="0" w:color="auto"/>
              <w:right w:val="single" w:sz="4" w:space="0" w:color="auto"/>
            </w:tcBorders>
            <w:shd w:val="clear" w:color="auto" w:fill="auto"/>
            <w:noWrap/>
            <w:vAlign w:val="center"/>
            <w:hideMark/>
          </w:tcPr>
          <w:p w14:paraId="2D53A868" w14:textId="4F8FC194" w:rsidR="0059182F" w:rsidRPr="007E58CE" w:rsidRDefault="0059182F" w:rsidP="004F5401">
            <w:pPr>
              <w:keepNext/>
              <w:spacing w:line="240" w:lineRule="auto"/>
              <w:jc w:val="center"/>
            </w:pPr>
            <w:r w:rsidRPr="007E58CE">
              <w:t>($274,801)</w:t>
            </w:r>
          </w:p>
        </w:tc>
      </w:tr>
      <w:tr w:rsidR="0059182F" w:rsidRPr="007E58CE" w14:paraId="501679CE" w14:textId="77777777" w:rsidTr="004F5401">
        <w:trPr>
          <w:trHeight w:val="316"/>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5AA7AE9A" w14:textId="77777777" w:rsidR="0059182F" w:rsidRPr="007E58CE" w:rsidRDefault="0059182F" w:rsidP="004F5401">
            <w:pPr>
              <w:spacing w:line="240" w:lineRule="auto"/>
              <w:jc w:val="center"/>
            </w:pPr>
            <w:r w:rsidRPr="007E58CE">
              <w:t>2019</w:t>
            </w:r>
          </w:p>
        </w:tc>
        <w:tc>
          <w:tcPr>
            <w:tcW w:w="2658" w:type="dxa"/>
            <w:tcBorders>
              <w:top w:val="nil"/>
              <w:left w:val="single" w:sz="4" w:space="0" w:color="auto"/>
              <w:bottom w:val="single" w:sz="4" w:space="0" w:color="auto"/>
              <w:right w:val="single" w:sz="4" w:space="0" w:color="auto"/>
            </w:tcBorders>
            <w:shd w:val="clear" w:color="auto" w:fill="auto"/>
            <w:vAlign w:val="center"/>
            <w:hideMark/>
          </w:tcPr>
          <w:p w14:paraId="6DE230D2" w14:textId="44DE01FA" w:rsidR="0059182F" w:rsidRPr="007E58CE" w:rsidRDefault="0059182F" w:rsidP="00FF0EE8">
            <w:pPr>
              <w:spacing w:line="240" w:lineRule="auto"/>
              <w:jc w:val="center"/>
            </w:pPr>
            <w:r w:rsidRPr="007E58CE">
              <w:t>($291,537)</w:t>
            </w:r>
          </w:p>
        </w:tc>
        <w:tc>
          <w:tcPr>
            <w:tcW w:w="2302" w:type="dxa"/>
            <w:tcBorders>
              <w:top w:val="nil"/>
              <w:left w:val="nil"/>
              <w:bottom w:val="single" w:sz="4" w:space="0" w:color="auto"/>
              <w:right w:val="single" w:sz="4" w:space="0" w:color="auto"/>
            </w:tcBorders>
            <w:shd w:val="clear" w:color="auto" w:fill="auto"/>
            <w:noWrap/>
            <w:vAlign w:val="center"/>
            <w:hideMark/>
          </w:tcPr>
          <w:p w14:paraId="1977D131" w14:textId="2CBAB9AC" w:rsidR="0059182F" w:rsidRPr="007E58CE" w:rsidRDefault="0059182F" w:rsidP="00FF0EE8">
            <w:pPr>
              <w:spacing w:line="240" w:lineRule="auto"/>
              <w:jc w:val="center"/>
            </w:pPr>
            <w:r w:rsidRPr="007E58CE">
              <w:t>($237,981)</w:t>
            </w:r>
          </w:p>
        </w:tc>
        <w:tc>
          <w:tcPr>
            <w:tcW w:w="2658" w:type="dxa"/>
            <w:tcBorders>
              <w:top w:val="nil"/>
              <w:left w:val="nil"/>
              <w:bottom w:val="single" w:sz="4" w:space="0" w:color="auto"/>
              <w:right w:val="single" w:sz="4" w:space="0" w:color="auto"/>
            </w:tcBorders>
            <w:shd w:val="clear" w:color="auto" w:fill="auto"/>
            <w:noWrap/>
            <w:vAlign w:val="center"/>
            <w:hideMark/>
          </w:tcPr>
          <w:p w14:paraId="24A103AB" w14:textId="30404ECC" w:rsidR="0059182F" w:rsidRPr="007E58CE" w:rsidRDefault="0059182F" w:rsidP="00FF0EE8">
            <w:pPr>
              <w:spacing w:line="240" w:lineRule="auto"/>
              <w:jc w:val="center"/>
            </w:pPr>
            <w:r w:rsidRPr="007E58CE">
              <w:t>($266,797)</w:t>
            </w:r>
          </w:p>
        </w:tc>
      </w:tr>
      <w:tr w:rsidR="0059182F" w:rsidRPr="007E58CE" w14:paraId="2E7A0EA8" w14:textId="77777777" w:rsidTr="004F5401">
        <w:trPr>
          <w:trHeight w:val="316"/>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094BC701" w14:textId="77777777" w:rsidR="0059182F" w:rsidRPr="007E58CE" w:rsidRDefault="0059182F" w:rsidP="004F5401">
            <w:pPr>
              <w:spacing w:line="240" w:lineRule="auto"/>
              <w:jc w:val="center"/>
            </w:pPr>
            <w:r w:rsidRPr="007E58CE">
              <w:t>2020</w:t>
            </w:r>
          </w:p>
        </w:tc>
        <w:tc>
          <w:tcPr>
            <w:tcW w:w="2658" w:type="dxa"/>
            <w:tcBorders>
              <w:top w:val="nil"/>
              <w:left w:val="single" w:sz="4" w:space="0" w:color="auto"/>
              <w:bottom w:val="single" w:sz="4" w:space="0" w:color="auto"/>
              <w:right w:val="single" w:sz="4" w:space="0" w:color="auto"/>
            </w:tcBorders>
            <w:shd w:val="clear" w:color="auto" w:fill="auto"/>
            <w:vAlign w:val="center"/>
            <w:hideMark/>
          </w:tcPr>
          <w:p w14:paraId="3B1E2BCF" w14:textId="771DB947" w:rsidR="0059182F" w:rsidRPr="007E58CE" w:rsidRDefault="0059182F" w:rsidP="00FF0EE8">
            <w:pPr>
              <w:spacing w:line="240" w:lineRule="auto"/>
              <w:jc w:val="center"/>
            </w:pPr>
            <w:r w:rsidRPr="007E58CE">
              <w:t>($291,537)</w:t>
            </w:r>
          </w:p>
        </w:tc>
        <w:tc>
          <w:tcPr>
            <w:tcW w:w="2302" w:type="dxa"/>
            <w:tcBorders>
              <w:top w:val="nil"/>
              <w:left w:val="nil"/>
              <w:bottom w:val="single" w:sz="4" w:space="0" w:color="auto"/>
              <w:right w:val="single" w:sz="4" w:space="0" w:color="auto"/>
            </w:tcBorders>
            <w:shd w:val="clear" w:color="auto" w:fill="auto"/>
            <w:noWrap/>
            <w:vAlign w:val="center"/>
            <w:hideMark/>
          </w:tcPr>
          <w:p w14:paraId="0F8371C1" w14:textId="73008ABA" w:rsidR="0059182F" w:rsidRPr="007E58CE" w:rsidRDefault="0059182F" w:rsidP="00FF0EE8">
            <w:pPr>
              <w:spacing w:line="240" w:lineRule="auto"/>
              <w:jc w:val="center"/>
            </w:pPr>
            <w:r w:rsidRPr="007E58CE">
              <w:t>($222,412)</w:t>
            </w:r>
          </w:p>
        </w:tc>
        <w:tc>
          <w:tcPr>
            <w:tcW w:w="2658" w:type="dxa"/>
            <w:tcBorders>
              <w:top w:val="nil"/>
              <w:left w:val="nil"/>
              <w:bottom w:val="single" w:sz="4" w:space="0" w:color="auto"/>
              <w:right w:val="single" w:sz="4" w:space="0" w:color="auto"/>
            </w:tcBorders>
            <w:shd w:val="clear" w:color="auto" w:fill="auto"/>
            <w:noWrap/>
            <w:vAlign w:val="center"/>
            <w:hideMark/>
          </w:tcPr>
          <w:p w14:paraId="40AFAC84" w14:textId="30100A67" w:rsidR="0059182F" w:rsidRPr="007E58CE" w:rsidRDefault="0059182F" w:rsidP="00FF0EE8">
            <w:pPr>
              <w:spacing w:line="240" w:lineRule="auto"/>
              <w:jc w:val="center"/>
            </w:pPr>
            <w:r w:rsidRPr="007E58CE">
              <w:t>($259,027)</w:t>
            </w:r>
          </w:p>
        </w:tc>
      </w:tr>
      <w:tr w:rsidR="0059182F" w:rsidRPr="007E58CE" w14:paraId="3C93D2D6" w14:textId="77777777" w:rsidTr="004F5401">
        <w:trPr>
          <w:trHeight w:val="316"/>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1B91208B" w14:textId="77777777" w:rsidR="0059182F" w:rsidRPr="007E58CE" w:rsidRDefault="0059182F" w:rsidP="004F5401">
            <w:pPr>
              <w:spacing w:line="240" w:lineRule="auto"/>
              <w:jc w:val="center"/>
            </w:pPr>
            <w:r w:rsidRPr="007E58CE">
              <w:t>2021</w:t>
            </w:r>
          </w:p>
        </w:tc>
        <w:tc>
          <w:tcPr>
            <w:tcW w:w="2658" w:type="dxa"/>
            <w:tcBorders>
              <w:top w:val="nil"/>
              <w:left w:val="single" w:sz="4" w:space="0" w:color="auto"/>
              <w:bottom w:val="single" w:sz="4" w:space="0" w:color="auto"/>
              <w:right w:val="single" w:sz="4" w:space="0" w:color="auto"/>
            </w:tcBorders>
            <w:shd w:val="clear" w:color="auto" w:fill="auto"/>
            <w:vAlign w:val="center"/>
            <w:hideMark/>
          </w:tcPr>
          <w:p w14:paraId="299A4259" w14:textId="2D72BF96" w:rsidR="0059182F" w:rsidRPr="007E58CE" w:rsidRDefault="0059182F" w:rsidP="00FF0EE8">
            <w:pPr>
              <w:spacing w:line="240" w:lineRule="auto"/>
              <w:jc w:val="center"/>
            </w:pPr>
            <w:r w:rsidRPr="007E58CE">
              <w:t>($291,537)</w:t>
            </w:r>
          </w:p>
        </w:tc>
        <w:tc>
          <w:tcPr>
            <w:tcW w:w="2302" w:type="dxa"/>
            <w:tcBorders>
              <w:top w:val="nil"/>
              <w:left w:val="nil"/>
              <w:bottom w:val="single" w:sz="4" w:space="0" w:color="auto"/>
              <w:right w:val="single" w:sz="4" w:space="0" w:color="auto"/>
            </w:tcBorders>
            <w:shd w:val="clear" w:color="auto" w:fill="auto"/>
            <w:noWrap/>
            <w:vAlign w:val="center"/>
            <w:hideMark/>
          </w:tcPr>
          <w:p w14:paraId="1DF01F9C" w14:textId="1A882051" w:rsidR="0059182F" w:rsidRPr="007E58CE" w:rsidRDefault="0059182F" w:rsidP="00FF0EE8">
            <w:pPr>
              <w:spacing w:line="240" w:lineRule="auto"/>
              <w:jc w:val="center"/>
            </w:pPr>
            <w:r w:rsidRPr="007E58CE">
              <w:t>($207,862)</w:t>
            </w:r>
          </w:p>
        </w:tc>
        <w:tc>
          <w:tcPr>
            <w:tcW w:w="2658" w:type="dxa"/>
            <w:tcBorders>
              <w:top w:val="nil"/>
              <w:left w:val="nil"/>
              <w:bottom w:val="single" w:sz="4" w:space="0" w:color="auto"/>
              <w:right w:val="single" w:sz="4" w:space="0" w:color="auto"/>
            </w:tcBorders>
            <w:shd w:val="clear" w:color="auto" w:fill="auto"/>
            <w:noWrap/>
            <w:vAlign w:val="center"/>
            <w:hideMark/>
          </w:tcPr>
          <w:p w14:paraId="1FF95DE5" w14:textId="56DF1493" w:rsidR="0059182F" w:rsidRPr="007E58CE" w:rsidRDefault="0059182F" w:rsidP="00FF0EE8">
            <w:pPr>
              <w:spacing w:line="240" w:lineRule="auto"/>
              <w:jc w:val="center"/>
            </w:pPr>
            <w:r w:rsidRPr="007E58CE">
              <w:t>($251,482)</w:t>
            </w:r>
          </w:p>
        </w:tc>
      </w:tr>
      <w:tr w:rsidR="0059182F" w:rsidRPr="007E58CE" w14:paraId="3604F8DC" w14:textId="77777777" w:rsidTr="004F5401">
        <w:trPr>
          <w:trHeight w:val="316"/>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0E0C41DF" w14:textId="77777777" w:rsidR="0059182F" w:rsidRPr="007E58CE" w:rsidRDefault="0059182F" w:rsidP="004F5401">
            <w:pPr>
              <w:spacing w:line="240" w:lineRule="auto"/>
              <w:jc w:val="center"/>
            </w:pPr>
            <w:r w:rsidRPr="007E58CE">
              <w:t>2022</w:t>
            </w:r>
          </w:p>
        </w:tc>
        <w:tc>
          <w:tcPr>
            <w:tcW w:w="2658" w:type="dxa"/>
            <w:tcBorders>
              <w:top w:val="nil"/>
              <w:left w:val="single" w:sz="4" w:space="0" w:color="auto"/>
              <w:bottom w:val="single" w:sz="4" w:space="0" w:color="auto"/>
              <w:right w:val="single" w:sz="4" w:space="0" w:color="auto"/>
            </w:tcBorders>
            <w:shd w:val="clear" w:color="auto" w:fill="auto"/>
            <w:vAlign w:val="center"/>
            <w:hideMark/>
          </w:tcPr>
          <w:p w14:paraId="0747D198" w14:textId="75DC1B29" w:rsidR="0059182F" w:rsidRPr="007E58CE" w:rsidRDefault="0059182F" w:rsidP="00FF0EE8">
            <w:pPr>
              <w:spacing w:line="240" w:lineRule="auto"/>
              <w:jc w:val="center"/>
            </w:pPr>
            <w:r w:rsidRPr="007E58CE">
              <w:t>($291,537)</w:t>
            </w:r>
          </w:p>
        </w:tc>
        <w:tc>
          <w:tcPr>
            <w:tcW w:w="2302" w:type="dxa"/>
            <w:tcBorders>
              <w:top w:val="nil"/>
              <w:left w:val="nil"/>
              <w:bottom w:val="single" w:sz="4" w:space="0" w:color="auto"/>
              <w:right w:val="single" w:sz="4" w:space="0" w:color="auto"/>
            </w:tcBorders>
            <w:shd w:val="clear" w:color="auto" w:fill="auto"/>
            <w:noWrap/>
            <w:vAlign w:val="center"/>
            <w:hideMark/>
          </w:tcPr>
          <w:p w14:paraId="694075EE" w14:textId="74E78FFC" w:rsidR="0059182F" w:rsidRPr="007E58CE" w:rsidRDefault="0059182F" w:rsidP="00FF0EE8">
            <w:pPr>
              <w:spacing w:line="240" w:lineRule="auto"/>
              <w:jc w:val="center"/>
            </w:pPr>
            <w:r w:rsidRPr="007E58CE">
              <w:t>($194,263)</w:t>
            </w:r>
          </w:p>
        </w:tc>
        <w:tc>
          <w:tcPr>
            <w:tcW w:w="2658" w:type="dxa"/>
            <w:tcBorders>
              <w:top w:val="nil"/>
              <w:left w:val="nil"/>
              <w:bottom w:val="single" w:sz="4" w:space="0" w:color="auto"/>
              <w:right w:val="single" w:sz="4" w:space="0" w:color="auto"/>
            </w:tcBorders>
            <w:shd w:val="clear" w:color="auto" w:fill="auto"/>
            <w:noWrap/>
            <w:vAlign w:val="center"/>
            <w:hideMark/>
          </w:tcPr>
          <w:p w14:paraId="68F910C3" w14:textId="735F2765" w:rsidR="0059182F" w:rsidRPr="007E58CE" w:rsidRDefault="0059182F" w:rsidP="00FF0EE8">
            <w:pPr>
              <w:spacing w:line="240" w:lineRule="auto"/>
              <w:jc w:val="center"/>
            </w:pPr>
            <w:r w:rsidRPr="007E58CE">
              <w:t>($244,157)</w:t>
            </w:r>
          </w:p>
        </w:tc>
      </w:tr>
      <w:tr w:rsidR="0059182F" w:rsidRPr="007E58CE" w14:paraId="5B215E4A" w14:textId="77777777" w:rsidTr="004F5401">
        <w:trPr>
          <w:trHeight w:val="316"/>
          <w:jc w:val="cent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BD899" w14:textId="77777777" w:rsidR="0059182F" w:rsidRPr="007E58CE" w:rsidRDefault="0059182F" w:rsidP="004F5401">
            <w:pPr>
              <w:spacing w:line="240" w:lineRule="auto"/>
              <w:jc w:val="center"/>
              <w:rPr>
                <w:b/>
              </w:rPr>
            </w:pPr>
            <w:r w:rsidRPr="007E58CE">
              <w:rPr>
                <w:b/>
              </w:rPr>
              <w:t>Total</w:t>
            </w:r>
          </w:p>
        </w:tc>
        <w:tc>
          <w:tcPr>
            <w:tcW w:w="265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2416D20" w14:textId="7F83FFE2" w:rsidR="0059182F" w:rsidRPr="007E58CE" w:rsidRDefault="0059182F" w:rsidP="00FF0EE8">
            <w:pPr>
              <w:spacing w:line="240" w:lineRule="auto"/>
              <w:jc w:val="center"/>
              <w:rPr>
                <w:b/>
              </w:rPr>
            </w:pPr>
            <w:r w:rsidRPr="007E58CE">
              <w:rPr>
                <w:b/>
              </w:rPr>
              <w:t>($1,458,000)</w:t>
            </w:r>
          </w:p>
        </w:tc>
        <w:tc>
          <w:tcPr>
            <w:tcW w:w="230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3045519" w14:textId="42A602E9" w:rsidR="0059182F" w:rsidRPr="007E58CE" w:rsidRDefault="0059182F" w:rsidP="00FF0EE8">
            <w:pPr>
              <w:spacing w:line="240" w:lineRule="auto"/>
              <w:jc w:val="center"/>
              <w:rPr>
                <w:b/>
              </w:rPr>
            </w:pPr>
            <w:r w:rsidRPr="007E58CE">
              <w:rPr>
                <w:b/>
              </w:rPr>
              <w:t>($1,117,000)</w:t>
            </w:r>
          </w:p>
        </w:tc>
        <w:tc>
          <w:tcPr>
            <w:tcW w:w="265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84145D8" w14:textId="71527006" w:rsidR="0059182F" w:rsidRPr="007E58CE" w:rsidRDefault="0059182F" w:rsidP="00FF0EE8">
            <w:pPr>
              <w:spacing w:line="240" w:lineRule="auto"/>
              <w:jc w:val="center"/>
              <w:rPr>
                <w:b/>
              </w:rPr>
            </w:pPr>
            <w:r w:rsidRPr="007E58CE">
              <w:rPr>
                <w:b/>
              </w:rPr>
              <w:t>($1,296,000)</w:t>
            </w:r>
          </w:p>
        </w:tc>
      </w:tr>
    </w:tbl>
    <w:p w14:paraId="2A2B202A" w14:textId="0FABB783" w:rsidR="006106EB" w:rsidRPr="00827136" w:rsidRDefault="006106EB" w:rsidP="00FF0EE8">
      <w:pPr>
        <w:spacing w:line="240" w:lineRule="auto"/>
        <w:ind w:firstLine="270"/>
        <w:rPr>
          <w:sz w:val="18"/>
          <w:szCs w:val="18"/>
        </w:rPr>
      </w:pPr>
      <w:r w:rsidRPr="00827136">
        <w:rPr>
          <w:sz w:val="18"/>
          <w:szCs w:val="18"/>
        </w:rPr>
        <w:t xml:space="preserve">* </w:t>
      </w:r>
      <w:r w:rsidR="00B658C3">
        <w:rPr>
          <w:sz w:val="18"/>
          <w:szCs w:val="18"/>
        </w:rPr>
        <w:t>Rounding</w:t>
      </w:r>
      <w:r w:rsidR="00B658C3" w:rsidRPr="00827136">
        <w:rPr>
          <w:sz w:val="18"/>
          <w:szCs w:val="18"/>
        </w:rPr>
        <w:t xml:space="preserve"> </w:t>
      </w:r>
      <w:r w:rsidRPr="00827136">
        <w:rPr>
          <w:sz w:val="18"/>
          <w:szCs w:val="18"/>
        </w:rPr>
        <w:t xml:space="preserve">may </w:t>
      </w:r>
      <w:r w:rsidR="00B658C3">
        <w:rPr>
          <w:sz w:val="18"/>
          <w:szCs w:val="18"/>
        </w:rPr>
        <w:t>have caused</w:t>
      </w:r>
      <w:r w:rsidR="00B658C3" w:rsidRPr="00827136">
        <w:rPr>
          <w:sz w:val="18"/>
          <w:szCs w:val="18"/>
        </w:rPr>
        <w:t xml:space="preserve"> </w:t>
      </w:r>
      <w:r w:rsidRPr="00827136">
        <w:rPr>
          <w:sz w:val="18"/>
          <w:szCs w:val="18"/>
        </w:rPr>
        <w:t xml:space="preserve">discrepancies in </w:t>
      </w:r>
      <w:r w:rsidR="00C711AE">
        <w:rPr>
          <w:sz w:val="18"/>
          <w:szCs w:val="18"/>
        </w:rPr>
        <w:t xml:space="preserve">the </w:t>
      </w:r>
      <w:r w:rsidRPr="00827136">
        <w:rPr>
          <w:sz w:val="18"/>
          <w:szCs w:val="18"/>
        </w:rPr>
        <w:t>calculations.</w:t>
      </w:r>
    </w:p>
    <w:p w14:paraId="537DB895" w14:textId="77777777" w:rsidR="006106EB" w:rsidRPr="00827136" w:rsidRDefault="006106EB" w:rsidP="00FF0EE8">
      <w:pPr>
        <w:spacing w:line="240" w:lineRule="auto"/>
        <w:ind w:firstLine="270"/>
        <w:rPr>
          <w:sz w:val="18"/>
          <w:szCs w:val="18"/>
        </w:rPr>
      </w:pPr>
      <w:r w:rsidRPr="00827136">
        <w:rPr>
          <w:sz w:val="18"/>
          <w:szCs w:val="18"/>
        </w:rPr>
        <w:t xml:space="preserve">** All values are in </w:t>
      </w:r>
      <w:r w:rsidR="00434583" w:rsidRPr="00827136">
        <w:rPr>
          <w:sz w:val="18"/>
          <w:szCs w:val="18"/>
        </w:rPr>
        <w:t>201</w:t>
      </w:r>
      <w:r w:rsidR="00434583">
        <w:rPr>
          <w:sz w:val="18"/>
          <w:szCs w:val="18"/>
        </w:rPr>
        <w:t>7</w:t>
      </w:r>
      <w:r w:rsidR="00434583" w:rsidRPr="00827136">
        <w:rPr>
          <w:sz w:val="18"/>
          <w:szCs w:val="18"/>
        </w:rPr>
        <w:t xml:space="preserve"> </w:t>
      </w:r>
      <w:r w:rsidRPr="00827136">
        <w:rPr>
          <w:sz w:val="18"/>
          <w:szCs w:val="18"/>
        </w:rPr>
        <w:t>dollars</w:t>
      </w:r>
      <w:r w:rsidR="00C711AE">
        <w:rPr>
          <w:sz w:val="18"/>
          <w:szCs w:val="18"/>
        </w:rPr>
        <w:t>.</w:t>
      </w:r>
    </w:p>
    <w:p w14:paraId="191F175B" w14:textId="77777777" w:rsidR="006106EB" w:rsidRDefault="006106EB" w:rsidP="00FF0EE8">
      <w:pPr>
        <w:spacing w:line="240" w:lineRule="auto"/>
      </w:pPr>
    </w:p>
    <w:p w14:paraId="58CFAEC3" w14:textId="42C77486" w:rsidR="004665EC" w:rsidRPr="00587EDB" w:rsidRDefault="004665EC" w:rsidP="00FF0EE8">
      <w:pPr>
        <w:pStyle w:val="Caption"/>
        <w:spacing w:line="240" w:lineRule="auto"/>
        <w:jc w:val="center"/>
        <w:rPr>
          <w:b/>
        </w:rPr>
      </w:pPr>
      <w:bookmarkStart w:id="204" w:name="_Toc467508502"/>
      <w:bookmarkStart w:id="205" w:name="_Toc462225008"/>
      <w:r w:rsidRPr="00587EDB">
        <w:rPr>
          <w:b/>
        </w:rPr>
        <w:t xml:space="preserve">Table </w:t>
      </w:r>
      <w:r w:rsidR="00782423" w:rsidRPr="00587EDB">
        <w:rPr>
          <w:b/>
        </w:rPr>
        <w:fldChar w:fldCharType="begin"/>
      </w:r>
      <w:r w:rsidR="00782423" w:rsidRPr="00587EDB">
        <w:rPr>
          <w:b/>
        </w:rPr>
        <w:instrText xml:space="preserve"> SEQ Table \* ARABIC </w:instrText>
      </w:r>
      <w:r w:rsidR="00782423" w:rsidRPr="00587EDB">
        <w:rPr>
          <w:b/>
        </w:rPr>
        <w:fldChar w:fldCharType="separate"/>
      </w:r>
      <w:r w:rsidR="00FD3AB6">
        <w:rPr>
          <w:b/>
          <w:noProof/>
        </w:rPr>
        <w:t>13</w:t>
      </w:r>
      <w:r w:rsidR="00782423" w:rsidRPr="00587EDB">
        <w:rPr>
          <w:b/>
        </w:rPr>
        <w:fldChar w:fldCharType="end"/>
      </w:r>
      <w:r w:rsidR="006C3FF0" w:rsidRPr="00D557C2">
        <w:rPr>
          <w:b/>
        </w:rPr>
        <w:t xml:space="preserve">  </w:t>
      </w:r>
      <w:r w:rsidRPr="00587EDB">
        <w:rPr>
          <w:b/>
        </w:rPr>
        <w:t>Incremental Industry Operations Costs for Conditioned</w:t>
      </w:r>
      <w:r w:rsidR="006C3FF0" w:rsidRPr="00D557C2">
        <w:rPr>
          <w:b/>
        </w:rPr>
        <w:br/>
      </w:r>
      <w:r w:rsidRPr="00587EDB">
        <w:rPr>
          <w:b/>
        </w:rPr>
        <w:t>Code Case N</w:t>
      </w:r>
      <w:r w:rsidR="001E0395" w:rsidRPr="00587EDB">
        <w:rPr>
          <w:b/>
        </w:rPr>
        <w:noBreakHyphen/>
      </w:r>
      <w:r w:rsidRPr="00587EDB">
        <w:rPr>
          <w:b/>
        </w:rPr>
        <w:t>789 (Operating</w:t>
      </w:r>
      <w:r w:rsidR="00C53EFE" w:rsidRPr="00587EDB">
        <w:rPr>
          <w:b/>
        </w:rPr>
        <w:t> </w:t>
      </w:r>
      <w:r w:rsidRPr="00587EDB">
        <w:rPr>
          <w:b/>
        </w:rPr>
        <w:t xml:space="preserve">Reactors </w:t>
      </w:r>
      <w:r w:rsidR="00C64ABB">
        <w:rPr>
          <w:b/>
        </w:rPr>
        <w:t>O</w:t>
      </w:r>
      <w:r w:rsidRPr="00D557C2">
        <w:rPr>
          <w:b/>
        </w:rPr>
        <w:t>nly</w:t>
      </w:r>
      <w:r w:rsidRPr="00587EDB">
        <w:rPr>
          <w:b/>
        </w:rPr>
        <w:t>)</w:t>
      </w:r>
      <w:bookmarkEnd w:id="204"/>
      <w:bookmarkEnd w:id="205"/>
    </w:p>
    <w:tbl>
      <w:tblPr>
        <w:tblW w:w="0" w:type="auto"/>
        <w:jc w:val="center"/>
        <w:tblLook w:val="04A0" w:firstRow="1" w:lastRow="0" w:firstColumn="1" w:lastColumn="0" w:noHBand="0" w:noVBand="1"/>
      </w:tblPr>
      <w:tblGrid>
        <w:gridCol w:w="1282"/>
        <w:gridCol w:w="2585"/>
        <w:gridCol w:w="2585"/>
        <w:gridCol w:w="2587"/>
      </w:tblGrid>
      <w:tr w:rsidR="00602B86" w:rsidRPr="002E7FAA" w14:paraId="1AD223C7" w14:textId="77777777" w:rsidTr="004F5401">
        <w:trPr>
          <w:trHeight w:val="343"/>
          <w:jc w:val="center"/>
        </w:trPr>
        <w:tc>
          <w:tcPr>
            <w:tcW w:w="1282" w:type="dxa"/>
            <w:vMerge w:val="restart"/>
            <w:tcBorders>
              <w:top w:val="single" w:sz="4" w:space="0" w:color="auto"/>
              <w:left w:val="single" w:sz="4" w:space="0" w:color="auto"/>
              <w:right w:val="single" w:sz="4" w:space="0" w:color="auto"/>
            </w:tcBorders>
            <w:shd w:val="clear" w:color="auto" w:fill="auto"/>
            <w:noWrap/>
            <w:vAlign w:val="center"/>
          </w:tcPr>
          <w:p w14:paraId="32704B3A" w14:textId="77777777" w:rsidR="00584D07" w:rsidRPr="00587EDB" w:rsidRDefault="00584D07" w:rsidP="00FF0EE8">
            <w:pPr>
              <w:keepNext/>
              <w:spacing w:line="240" w:lineRule="auto"/>
              <w:jc w:val="center"/>
              <w:rPr>
                <w:b/>
                <w:color w:val="000000"/>
              </w:rPr>
            </w:pPr>
            <w:r w:rsidRPr="00587EDB">
              <w:rPr>
                <w:b/>
                <w:color w:val="000000"/>
              </w:rPr>
              <w:t>Year</w:t>
            </w:r>
          </w:p>
        </w:tc>
        <w:tc>
          <w:tcPr>
            <w:tcW w:w="7757" w:type="dxa"/>
            <w:gridSpan w:val="3"/>
            <w:tcBorders>
              <w:top w:val="single" w:sz="4" w:space="0" w:color="auto"/>
              <w:left w:val="nil"/>
              <w:bottom w:val="single" w:sz="4" w:space="0" w:color="auto"/>
              <w:right w:val="single" w:sz="4" w:space="0" w:color="auto"/>
            </w:tcBorders>
            <w:shd w:val="clear" w:color="auto" w:fill="auto"/>
            <w:vAlign w:val="center"/>
          </w:tcPr>
          <w:p w14:paraId="1902C87D" w14:textId="4E513911" w:rsidR="00584D07" w:rsidRPr="00587EDB" w:rsidRDefault="00C53EFE" w:rsidP="00FF0EE8">
            <w:pPr>
              <w:keepNext/>
              <w:autoSpaceDE/>
              <w:autoSpaceDN/>
              <w:adjustRightInd/>
              <w:spacing w:line="240" w:lineRule="auto"/>
              <w:jc w:val="center"/>
              <w:rPr>
                <w:b/>
                <w:color w:val="000000"/>
              </w:rPr>
            </w:pPr>
            <w:r w:rsidRPr="00587EDB">
              <w:rPr>
                <w:b/>
                <w:color w:val="000000"/>
              </w:rPr>
              <w:t>Conditioned Code Case</w:t>
            </w:r>
            <w:r w:rsidR="00584D07" w:rsidRPr="00587EDB">
              <w:rPr>
                <w:b/>
                <w:color w:val="000000"/>
              </w:rPr>
              <w:t xml:space="preserve"> N-789</w:t>
            </w:r>
            <w:r w:rsidRPr="00587EDB">
              <w:rPr>
                <w:b/>
                <w:color w:val="000000"/>
              </w:rPr>
              <w:t xml:space="preserve"> Costs</w:t>
            </w:r>
            <w:r w:rsidR="00584D07" w:rsidRPr="00587EDB">
              <w:rPr>
                <w:b/>
                <w:color w:val="000000"/>
              </w:rPr>
              <w:t xml:space="preserve"> (</w:t>
            </w:r>
            <w:r w:rsidR="00434583" w:rsidRPr="00587EDB">
              <w:rPr>
                <w:b/>
                <w:color w:val="000000"/>
              </w:rPr>
              <w:t xml:space="preserve">2017 </w:t>
            </w:r>
            <w:r w:rsidR="00254BC3">
              <w:rPr>
                <w:rFonts w:eastAsia="Times New Roman"/>
                <w:b/>
                <w:color w:val="000000"/>
              </w:rPr>
              <w:t>D</w:t>
            </w:r>
            <w:r w:rsidR="00584D07" w:rsidRPr="00D557C2">
              <w:rPr>
                <w:rFonts w:eastAsia="Times New Roman"/>
                <w:b/>
                <w:color w:val="000000"/>
              </w:rPr>
              <w:t>ollars</w:t>
            </w:r>
            <w:r w:rsidR="00584D07" w:rsidRPr="00587EDB">
              <w:rPr>
                <w:b/>
                <w:color w:val="000000"/>
              </w:rPr>
              <w:t>)</w:t>
            </w:r>
          </w:p>
        </w:tc>
      </w:tr>
      <w:tr w:rsidR="00602B86" w:rsidRPr="002E7FAA" w14:paraId="50A8CD10" w14:textId="77777777" w:rsidTr="004F5401">
        <w:trPr>
          <w:trHeight w:val="231"/>
          <w:jc w:val="center"/>
        </w:trPr>
        <w:tc>
          <w:tcPr>
            <w:tcW w:w="1282" w:type="dxa"/>
            <w:vMerge/>
            <w:tcBorders>
              <w:left w:val="single" w:sz="4" w:space="0" w:color="auto"/>
              <w:bottom w:val="single" w:sz="8" w:space="0" w:color="auto"/>
              <w:right w:val="single" w:sz="4" w:space="0" w:color="auto"/>
            </w:tcBorders>
            <w:shd w:val="clear" w:color="auto" w:fill="auto"/>
            <w:noWrap/>
            <w:vAlign w:val="center"/>
            <w:hideMark/>
          </w:tcPr>
          <w:p w14:paraId="0AB33DE5" w14:textId="77777777" w:rsidR="00584D07" w:rsidRPr="00587EDB" w:rsidRDefault="00584D07" w:rsidP="00FF0EE8">
            <w:pPr>
              <w:keepNext/>
              <w:autoSpaceDE/>
              <w:autoSpaceDN/>
              <w:adjustRightInd/>
              <w:spacing w:line="240" w:lineRule="auto"/>
              <w:jc w:val="center"/>
              <w:rPr>
                <w:b/>
                <w:color w:val="000000"/>
              </w:rPr>
            </w:pPr>
          </w:p>
        </w:tc>
        <w:tc>
          <w:tcPr>
            <w:tcW w:w="2585" w:type="dxa"/>
            <w:tcBorders>
              <w:top w:val="single" w:sz="4" w:space="0" w:color="auto"/>
              <w:left w:val="nil"/>
              <w:bottom w:val="single" w:sz="4" w:space="0" w:color="auto"/>
              <w:right w:val="single" w:sz="4" w:space="0" w:color="auto"/>
            </w:tcBorders>
            <w:shd w:val="clear" w:color="auto" w:fill="auto"/>
            <w:vAlign w:val="center"/>
            <w:hideMark/>
          </w:tcPr>
          <w:p w14:paraId="195A414D" w14:textId="77777777" w:rsidR="00584D07" w:rsidRPr="00587EDB" w:rsidRDefault="00584D07" w:rsidP="00FF0EE8">
            <w:pPr>
              <w:keepNext/>
              <w:autoSpaceDE/>
              <w:autoSpaceDN/>
              <w:adjustRightInd/>
              <w:spacing w:line="240" w:lineRule="auto"/>
              <w:jc w:val="center"/>
              <w:rPr>
                <w:b/>
                <w:color w:val="000000"/>
              </w:rPr>
            </w:pPr>
            <w:r w:rsidRPr="00587EDB">
              <w:rPr>
                <w:b/>
                <w:color w:val="000000"/>
              </w:rPr>
              <w:t>Undiscounted</w:t>
            </w:r>
          </w:p>
        </w:tc>
        <w:tc>
          <w:tcPr>
            <w:tcW w:w="2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7E8E9" w14:textId="3BC11363" w:rsidR="00584D07" w:rsidRPr="00587EDB" w:rsidRDefault="00584D07" w:rsidP="00FF0EE8">
            <w:pPr>
              <w:keepNext/>
              <w:autoSpaceDE/>
              <w:autoSpaceDN/>
              <w:adjustRightInd/>
              <w:spacing w:line="240" w:lineRule="auto"/>
              <w:jc w:val="center"/>
              <w:rPr>
                <w:b/>
                <w:color w:val="000000"/>
              </w:rPr>
            </w:pPr>
            <w:r w:rsidRPr="00587EDB">
              <w:rPr>
                <w:b/>
                <w:color w:val="000000"/>
              </w:rPr>
              <w:t xml:space="preserve">7% </w:t>
            </w:r>
            <w:r w:rsidR="00892BAC">
              <w:rPr>
                <w:rFonts w:eastAsia="Times New Roman"/>
                <w:b/>
                <w:color w:val="000000"/>
              </w:rPr>
              <w:t>D</w:t>
            </w:r>
            <w:r w:rsidRPr="00D557C2">
              <w:rPr>
                <w:rFonts w:eastAsia="Times New Roman"/>
                <w:b/>
                <w:color w:val="000000"/>
              </w:rPr>
              <w:t>iscount</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F067E" w14:textId="7911954D" w:rsidR="00584D07" w:rsidRPr="00587EDB" w:rsidRDefault="00584D07" w:rsidP="00FF0EE8">
            <w:pPr>
              <w:keepNext/>
              <w:autoSpaceDE/>
              <w:autoSpaceDN/>
              <w:adjustRightInd/>
              <w:spacing w:line="240" w:lineRule="auto"/>
              <w:jc w:val="center"/>
              <w:rPr>
                <w:b/>
                <w:color w:val="000000"/>
              </w:rPr>
            </w:pPr>
            <w:r w:rsidRPr="00587EDB">
              <w:rPr>
                <w:b/>
                <w:color w:val="000000"/>
              </w:rPr>
              <w:t xml:space="preserve">3% </w:t>
            </w:r>
            <w:r w:rsidR="00892BAC">
              <w:rPr>
                <w:rFonts w:eastAsia="Times New Roman"/>
                <w:b/>
                <w:color w:val="000000"/>
              </w:rPr>
              <w:t>D</w:t>
            </w:r>
            <w:r w:rsidRPr="00D557C2">
              <w:rPr>
                <w:rFonts w:eastAsia="Times New Roman"/>
                <w:b/>
                <w:color w:val="000000"/>
              </w:rPr>
              <w:t>iscount</w:t>
            </w:r>
          </w:p>
        </w:tc>
      </w:tr>
      <w:tr w:rsidR="003C4587" w:rsidRPr="00B7487C" w14:paraId="7ACFF3FF" w14:textId="77777777" w:rsidTr="004F5401">
        <w:trPr>
          <w:trHeight w:val="310"/>
          <w:jc w:val="center"/>
        </w:trPr>
        <w:tc>
          <w:tcPr>
            <w:tcW w:w="1282" w:type="dxa"/>
            <w:tcBorders>
              <w:top w:val="nil"/>
              <w:left w:val="single" w:sz="4" w:space="0" w:color="auto"/>
              <w:bottom w:val="single" w:sz="4" w:space="0" w:color="auto"/>
              <w:right w:val="single" w:sz="4" w:space="0" w:color="auto"/>
            </w:tcBorders>
            <w:shd w:val="clear" w:color="auto" w:fill="auto"/>
            <w:noWrap/>
            <w:vAlign w:val="center"/>
            <w:hideMark/>
          </w:tcPr>
          <w:p w14:paraId="76CFCEFA" w14:textId="77777777" w:rsidR="003C4587" w:rsidRPr="00587EDB" w:rsidRDefault="003C4587" w:rsidP="00FF0EE8">
            <w:pPr>
              <w:keepNext/>
              <w:autoSpaceDE/>
              <w:autoSpaceDN/>
              <w:adjustRightInd/>
              <w:spacing w:line="240" w:lineRule="auto"/>
              <w:jc w:val="center"/>
            </w:pPr>
            <w:r w:rsidRPr="00587EDB">
              <w:t>2018</w:t>
            </w:r>
          </w:p>
        </w:tc>
        <w:tc>
          <w:tcPr>
            <w:tcW w:w="2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449CE" w14:textId="0E56E6B7" w:rsidR="003C4587" w:rsidRPr="00587EDB" w:rsidRDefault="003C4587" w:rsidP="00FF0EE8">
            <w:pPr>
              <w:keepNext/>
              <w:autoSpaceDE/>
              <w:autoSpaceDN/>
              <w:adjustRightInd/>
              <w:spacing w:line="240" w:lineRule="auto"/>
              <w:jc w:val="center"/>
            </w:pPr>
            <w:r w:rsidRPr="00EA1BE2">
              <w:t>($413,010)</w:t>
            </w:r>
          </w:p>
        </w:tc>
        <w:tc>
          <w:tcPr>
            <w:tcW w:w="2585" w:type="dxa"/>
            <w:tcBorders>
              <w:top w:val="single" w:sz="4" w:space="0" w:color="auto"/>
              <w:left w:val="nil"/>
              <w:bottom w:val="single" w:sz="4" w:space="0" w:color="auto"/>
              <w:right w:val="single" w:sz="4" w:space="0" w:color="auto"/>
            </w:tcBorders>
            <w:shd w:val="clear" w:color="auto" w:fill="auto"/>
            <w:noWrap/>
            <w:vAlign w:val="center"/>
            <w:hideMark/>
          </w:tcPr>
          <w:p w14:paraId="5FD01669" w14:textId="70D1E866" w:rsidR="003C4587" w:rsidRPr="00587EDB" w:rsidRDefault="003C4587" w:rsidP="00FF0EE8">
            <w:pPr>
              <w:keepNext/>
              <w:spacing w:line="240" w:lineRule="auto"/>
              <w:jc w:val="center"/>
            </w:pPr>
            <w:r w:rsidRPr="00EA1BE2">
              <w:t>($385,991)</w:t>
            </w:r>
          </w:p>
        </w:tc>
        <w:tc>
          <w:tcPr>
            <w:tcW w:w="2587" w:type="dxa"/>
            <w:tcBorders>
              <w:top w:val="single" w:sz="4" w:space="0" w:color="auto"/>
              <w:left w:val="nil"/>
              <w:bottom w:val="single" w:sz="4" w:space="0" w:color="auto"/>
              <w:right w:val="single" w:sz="4" w:space="0" w:color="auto"/>
            </w:tcBorders>
            <w:shd w:val="clear" w:color="auto" w:fill="auto"/>
            <w:noWrap/>
            <w:vAlign w:val="center"/>
            <w:hideMark/>
          </w:tcPr>
          <w:p w14:paraId="4CF8AB49" w14:textId="49D7BEEB" w:rsidR="003C4587" w:rsidRPr="00587EDB" w:rsidRDefault="003C4587" w:rsidP="00FF0EE8">
            <w:pPr>
              <w:keepNext/>
              <w:spacing w:line="240" w:lineRule="auto"/>
              <w:jc w:val="center"/>
            </w:pPr>
            <w:r w:rsidRPr="00EA1BE2">
              <w:t>($400,981)</w:t>
            </w:r>
          </w:p>
        </w:tc>
      </w:tr>
      <w:tr w:rsidR="003C4587" w:rsidRPr="00B7487C" w14:paraId="6077ABE4" w14:textId="77777777" w:rsidTr="004F5401">
        <w:trPr>
          <w:trHeight w:val="310"/>
          <w:jc w:val="center"/>
        </w:trPr>
        <w:tc>
          <w:tcPr>
            <w:tcW w:w="1282" w:type="dxa"/>
            <w:tcBorders>
              <w:top w:val="nil"/>
              <w:left w:val="single" w:sz="4" w:space="0" w:color="auto"/>
              <w:bottom w:val="single" w:sz="4" w:space="0" w:color="auto"/>
              <w:right w:val="single" w:sz="4" w:space="0" w:color="auto"/>
            </w:tcBorders>
            <w:shd w:val="clear" w:color="auto" w:fill="auto"/>
            <w:noWrap/>
            <w:vAlign w:val="center"/>
            <w:hideMark/>
          </w:tcPr>
          <w:p w14:paraId="16D06DBB" w14:textId="77777777" w:rsidR="003C4587" w:rsidRPr="00587EDB" w:rsidRDefault="003C4587" w:rsidP="00FF0EE8">
            <w:pPr>
              <w:keepNext/>
              <w:autoSpaceDE/>
              <w:autoSpaceDN/>
              <w:adjustRightInd/>
              <w:spacing w:line="240" w:lineRule="auto"/>
              <w:jc w:val="center"/>
            </w:pPr>
            <w:r w:rsidRPr="00587EDB">
              <w:t>2019</w:t>
            </w:r>
          </w:p>
        </w:tc>
        <w:tc>
          <w:tcPr>
            <w:tcW w:w="2585" w:type="dxa"/>
            <w:tcBorders>
              <w:top w:val="nil"/>
              <w:left w:val="single" w:sz="4" w:space="0" w:color="auto"/>
              <w:bottom w:val="single" w:sz="4" w:space="0" w:color="auto"/>
              <w:right w:val="single" w:sz="4" w:space="0" w:color="auto"/>
            </w:tcBorders>
            <w:shd w:val="clear" w:color="auto" w:fill="auto"/>
            <w:vAlign w:val="center"/>
            <w:hideMark/>
          </w:tcPr>
          <w:p w14:paraId="550E6E95" w14:textId="1F5CBF94" w:rsidR="003C4587" w:rsidRPr="00587EDB" w:rsidRDefault="003C4587" w:rsidP="00FF0EE8">
            <w:pPr>
              <w:keepNext/>
              <w:spacing w:line="240" w:lineRule="auto"/>
              <w:jc w:val="center"/>
            </w:pPr>
            <w:r w:rsidRPr="00EA1BE2">
              <w:t>($413,010)</w:t>
            </w:r>
          </w:p>
        </w:tc>
        <w:tc>
          <w:tcPr>
            <w:tcW w:w="2585" w:type="dxa"/>
            <w:tcBorders>
              <w:top w:val="nil"/>
              <w:left w:val="nil"/>
              <w:bottom w:val="single" w:sz="4" w:space="0" w:color="auto"/>
              <w:right w:val="single" w:sz="4" w:space="0" w:color="auto"/>
            </w:tcBorders>
            <w:shd w:val="clear" w:color="auto" w:fill="auto"/>
            <w:noWrap/>
            <w:vAlign w:val="center"/>
            <w:hideMark/>
          </w:tcPr>
          <w:p w14:paraId="25B52731" w14:textId="41C2A4BE" w:rsidR="003C4587" w:rsidRPr="00587EDB" w:rsidRDefault="003C4587" w:rsidP="00FF0EE8">
            <w:pPr>
              <w:keepNext/>
              <w:spacing w:line="240" w:lineRule="auto"/>
              <w:jc w:val="center"/>
            </w:pPr>
            <w:r w:rsidRPr="00EA1BE2">
              <w:t>($360,739)</w:t>
            </w:r>
          </w:p>
        </w:tc>
        <w:tc>
          <w:tcPr>
            <w:tcW w:w="2587" w:type="dxa"/>
            <w:tcBorders>
              <w:top w:val="nil"/>
              <w:left w:val="nil"/>
              <w:bottom w:val="single" w:sz="4" w:space="0" w:color="auto"/>
              <w:right w:val="single" w:sz="4" w:space="0" w:color="auto"/>
            </w:tcBorders>
            <w:shd w:val="clear" w:color="auto" w:fill="auto"/>
            <w:noWrap/>
            <w:vAlign w:val="center"/>
            <w:hideMark/>
          </w:tcPr>
          <w:p w14:paraId="31AD4D35" w14:textId="4BA844F1" w:rsidR="003C4587" w:rsidRPr="00587EDB" w:rsidRDefault="003C4587" w:rsidP="00FF0EE8">
            <w:pPr>
              <w:keepNext/>
              <w:spacing w:line="240" w:lineRule="auto"/>
              <w:jc w:val="center"/>
            </w:pPr>
            <w:r w:rsidRPr="00EA1BE2">
              <w:t>($389,302)</w:t>
            </w:r>
          </w:p>
        </w:tc>
      </w:tr>
      <w:tr w:rsidR="003C4587" w:rsidRPr="00B7487C" w14:paraId="2787B472" w14:textId="77777777" w:rsidTr="004F5401">
        <w:trPr>
          <w:trHeight w:val="310"/>
          <w:jc w:val="center"/>
        </w:trPr>
        <w:tc>
          <w:tcPr>
            <w:tcW w:w="1282" w:type="dxa"/>
            <w:tcBorders>
              <w:top w:val="nil"/>
              <w:left w:val="single" w:sz="4" w:space="0" w:color="auto"/>
              <w:bottom w:val="single" w:sz="4" w:space="0" w:color="auto"/>
              <w:right w:val="single" w:sz="4" w:space="0" w:color="auto"/>
            </w:tcBorders>
            <w:shd w:val="clear" w:color="auto" w:fill="auto"/>
            <w:noWrap/>
            <w:vAlign w:val="center"/>
            <w:hideMark/>
          </w:tcPr>
          <w:p w14:paraId="6A0A2829" w14:textId="77777777" w:rsidR="003C4587" w:rsidRPr="00587EDB" w:rsidRDefault="003C4587" w:rsidP="00FF0EE8">
            <w:pPr>
              <w:keepNext/>
              <w:autoSpaceDE/>
              <w:autoSpaceDN/>
              <w:adjustRightInd/>
              <w:spacing w:line="240" w:lineRule="auto"/>
              <w:jc w:val="center"/>
            </w:pPr>
            <w:r w:rsidRPr="00587EDB">
              <w:t>2020</w:t>
            </w:r>
          </w:p>
        </w:tc>
        <w:tc>
          <w:tcPr>
            <w:tcW w:w="2585" w:type="dxa"/>
            <w:tcBorders>
              <w:top w:val="nil"/>
              <w:left w:val="single" w:sz="4" w:space="0" w:color="auto"/>
              <w:bottom w:val="single" w:sz="4" w:space="0" w:color="auto"/>
              <w:right w:val="single" w:sz="4" w:space="0" w:color="auto"/>
            </w:tcBorders>
            <w:shd w:val="clear" w:color="auto" w:fill="auto"/>
            <w:vAlign w:val="center"/>
            <w:hideMark/>
          </w:tcPr>
          <w:p w14:paraId="22B3A109" w14:textId="1CAA7AF8" w:rsidR="003C4587" w:rsidRPr="00587EDB" w:rsidRDefault="003C4587" w:rsidP="00FF0EE8">
            <w:pPr>
              <w:keepNext/>
              <w:spacing w:line="240" w:lineRule="auto"/>
              <w:jc w:val="center"/>
            </w:pPr>
            <w:r w:rsidRPr="00EA1BE2">
              <w:t>($413,010)</w:t>
            </w:r>
          </w:p>
        </w:tc>
        <w:tc>
          <w:tcPr>
            <w:tcW w:w="2585" w:type="dxa"/>
            <w:tcBorders>
              <w:top w:val="nil"/>
              <w:left w:val="nil"/>
              <w:bottom w:val="single" w:sz="4" w:space="0" w:color="auto"/>
              <w:right w:val="single" w:sz="4" w:space="0" w:color="auto"/>
            </w:tcBorders>
            <w:shd w:val="clear" w:color="auto" w:fill="auto"/>
            <w:noWrap/>
            <w:vAlign w:val="center"/>
            <w:hideMark/>
          </w:tcPr>
          <w:p w14:paraId="60359E93" w14:textId="4A5DDEA7" w:rsidR="003C4587" w:rsidRPr="00587EDB" w:rsidRDefault="003C4587" w:rsidP="00FF0EE8">
            <w:pPr>
              <w:keepNext/>
              <w:spacing w:line="240" w:lineRule="auto"/>
              <w:jc w:val="center"/>
            </w:pPr>
            <w:r w:rsidRPr="00EA1BE2">
              <w:t>($337,139)</w:t>
            </w:r>
          </w:p>
        </w:tc>
        <w:tc>
          <w:tcPr>
            <w:tcW w:w="2587" w:type="dxa"/>
            <w:tcBorders>
              <w:top w:val="nil"/>
              <w:left w:val="nil"/>
              <w:bottom w:val="single" w:sz="4" w:space="0" w:color="auto"/>
              <w:right w:val="single" w:sz="4" w:space="0" w:color="auto"/>
            </w:tcBorders>
            <w:shd w:val="clear" w:color="auto" w:fill="auto"/>
            <w:noWrap/>
            <w:vAlign w:val="center"/>
            <w:hideMark/>
          </w:tcPr>
          <w:p w14:paraId="0411521C" w14:textId="6CE0D6AF" w:rsidR="003C4587" w:rsidRPr="00587EDB" w:rsidRDefault="003C4587" w:rsidP="00FF0EE8">
            <w:pPr>
              <w:keepNext/>
              <w:spacing w:line="240" w:lineRule="auto"/>
              <w:jc w:val="center"/>
            </w:pPr>
            <w:r w:rsidRPr="00EA1BE2">
              <w:t>($377,963)</w:t>
            </w:r>
          </w:p>
        </w:tc>
      </w:tr>
      <w:tr w:rsidR="003C4587" w:rsidRPr="00B7487C" w14:paraId="3D5C33C6" w14:textId="77777777" w:rsidTr="004F5401">
        <w:trPr>
          <w:trHeight w:val="310"/>
          <w:jc w:val="center"/>
        </w:trPr>
        <w:tc>
          <w:tcPr>
            <w:tcW w:w="1282" w:type="dxa"/>
            <w:tcBorders>
              <w:top w:val="nil"/>
              <w:left w:val="single" w:sz="4" w:space="0" w:color="auto"/>
              <w:bottom w:val="single" w:sz="4" w:space="0" w:color="auto"/>
              <w:right w:val="single" w:sz="4" w:space="0" w:color="auto"/>
            </w:tcBorders>
            <w:shd w:val="clear" w:color="auto" w:fill="auto"/>
            <w:noWrap/>
            <w:vAlign w:val="center"/>
            <w:hideMark/>
          </w:tcPr>
          <w:p w14:paraId="1C223CB4" w14:textId="77777777" w:rsidR="003C4587" w:rsidRPr="00587EDB" w:rsidRDefault="003C4587" w:rsidP="00FF0EE8">
            <w:pPr>
              <w:keepNext/>
              <w:autoSpaceDE/>
              <w:autoSpaceDN/>
              <w:adjustRightInd/>
              <w:spacing w:line="240" w:lineRule="auto"/>
              <w:jc w:val="center"/>
            </w:pPr>
            <w:r w:rsidRPr="00587EDB">
              <w:t>2021</w:t>
            </w:r>
          </w:p>
        </w:tc>
        <w:tc>
          <w:tcPr>
            <w:tcW w:w="2585" w:type="dxa"/>
            <w:tcBorders>
              <w:top w:val="nil"/>
              <w:left w:val="single" w:sz="4" w:space="0" w:color="auto"/>
              <w:bottom w:val="single" w:sz="4" w:space="0" w:color="auto"/>
              <w:right w:val="single" w:sz="4" w:space="0" w:color="auto"/>
            </w:tcBorders>
            <w:shd w:val="clear" w:color="auto" w:fill="auto"/>
            <w:vAlign w:val="center"/>
            <w:hideMark/>
          </w:tcPr>
          <w:p w14:paraId="687F7D36" w14:textId="6EE224FC" w:rsidR="003C4587" w:rsidRPr="00587EDB" w:rsidRDefault="003C4587" w:rsidP="00FF0EE8">
            <w:pPr>
              <w:keepNext/>
              <w:spacing w:line="240" w:lineRule="auto"/>
              <w:jc w:val="center"/>
            </w:pPr>
            <w:r w:rsidRPr="00EA1BE2">
              <w:t>($404,465)</w:t>
            </w:r>
          </w:p>
        </w:tc>
        <w:tc>
          <w:tcPr>
            <w:tcW w:w="2585" w:type="dxa"/>
            <w:tcBorders>
              <w:top w:val="nil"/>
              <w:left w:val="nil"/>
              <w:bottom w:val="single" w:sz="4" w:space="0" w:color="auto"/>
              <w:right w:val="single" w:sz="4" w:space="0" w:color="auto"/>
            </w:tcBorders>
            <w:shd w:val="clear" w:color="auto" w:fill="auto"/>
            <w:noWrap/>
            <w:vAlign w:val="center"/>
            <w:hideMark/>
          </w:tcPr>
          <w:p w14:paraId="7DF366D1" w14:textId="66528B0C" w:rsidR="003C4587" w:rsidRPr="00587EDB" w:rsidRDefault="003C4587" w:rsidP="00FF0EE8">
            <w:pPr>
              <w:keepNext/>
              <w:spacing w:line="240" w:lineRule="auto"/>
              <w:jc w:val="center"/>
            </w:pPr>
            <w:r w:rsidRPr="00EA1BE2">
              <w:t>($308,565)</w:t>
            </w:r>
          </w:p>
        </w:tc>
        <w:tc>
          <w:tcPr>
            <w:tcW w:w="2587" w:type="dxa"/>
            <w:tcBorders>
              <w:top w:val="nil"/>
              <w:left w:val="nil"/>
              <w:bottom w:val="single" w:sz="4" w:space="0" w:color="auto"/>
              <w:right w:val="single" w:sz="4" w:space="0" w:color="auto"/>
            </w:tcBorders>
            <w:shd w:val="clear" w:color="auto" w:fill="auto"/>
            <w:noWrap/>
            <w:vAlign w:val="center"/>
            <w:hideMark/>
          </w:tcPr>
          <w:p w14:paraId="7DBC56D5" w14:textId="1D752DC8" w:rsidR="003C4587" w:rsidRPr="00587EDB" w:rsidRDefault="003C4587" w:rsidP="00FF0EE8">
            <w:pPr>
              <w:keepNext/>
              <w:spacing w:line="240" w:lineRule="auto"/>
              <w:jc w:val="center"/>
            </w:pPr>
            <w:r w:rsidRPr="00EA1BE2">
              <w:t>($359,362)</w:t>
            </w:r>
          </w:p>
        </w:tc>
      </w:tr>
      <w:tr w:rsidR="003C4587" w:rsidRPr="00B7487C" w14:paraId="6F724297" w14:textId="77777777" w:rsidTr="004F5401">
        <w:trPr>
          <w:trHeight w:val="310"/>
          <w:jc w:val="center"/>
        </w:trPr>
        <w:tc>
          <w:tcPr>
            <w:tcW w:w="1282" w:type="dxa"/>
            <w:tcBorders>
              <w:top w:val="nil"/>
              <w:left w:val="single" w:sz="4" w:space="0" w:color="auto"/>
              <w:bottom w:val="single" w:sz="4" w:space="0" w:color="auto"/>
              <w:right w:val="single" w:sz="4" w:space="0" w:color="auto"/>
            </w:tcBorders>
            <w:shd w:val="clear" w:color="auto" w:fill="auto"/>
            <w:noWrap/>
            <w:vAlign w:val="center"/>
            <w:hideMark/>
          </w:tcPr>
          <w:p w14:paraId="153AF94A" w14:textId="77777777" w:rsidR="003C4587" w:rsidRPr="00587EDB" w:rsidRDefault="003C4587" w:rsidP="00FF0EE8">
            <w:pPr>
              <w:keepNext/>
              <w:autoSpaceDE/>
              <w:autoSpaceDN/>
              <w:adjustRightInd/>
              <w:spacing w:line="240" w:lineRule="auto"/>
              <w:jc w:val="center"/>
            </w:pPr>
            <w:r w:rsidRPr="00587EDB">
              <w:t>2022</w:t>
            </w:r>
          </w:p>
        </w:tc>
        <w:tc>
          <w:tcPr>
            <w:tcW w:w="2585" w:type="dxa"/>
            <w:tcBorders>
              <w:top w:val="nil"/>
              <w:left w:val="single" w:sz="4" w:space="0" w:color="auto"/>
              <w:bottom w:val="single" w:sz="4" w:space="0" w:color="auto"/>
              <w:right w:val="single" w:sz="4" w:space="0" w:color="auto"/>
            </w:tcBorders>
            <w:shd w:val="clear" w:color="auto" w:fill="auto"/>
            <w:vAlign w:val="center"/>
            <w:hideMark/>
          </w:tcPr>
          <w:p w14:paraId="127A54DE" w14:textId="0702E7A1" w:rsidR="003C4587" w:rsidRPr="00587EDB" w:rsidRDefault="003C4587" w:rsidP="00FF0EE8">
            <w:pPr>
              <w:keepNext/>
              <w:spacing w:line="240" w:lineRule="auto"/>
              <w:jc w:val="center"/>
            </w:pPr>
            <w:r w:rsidRPr="00EA1BE2">
              <w:t>($404,465)</w:t>
            </w:r>
          </w:p>
        </w:tc>
        <w:tc>
          <w:tcPr>
            <w:tcW w:w="2585" w:type="dxa"/>
            <w:tcBorders>
              <w:top w:val="nil"/>
              <w:left w:val="nil"/>
              <w:bottom w:val="single" w:sz="4" w:space="0" w:color="auto"/>
              <w:right w:val="single" w:sz="4" w:space="0" w:color="auto"/>
            </w:tcBorders>
            <w:shd w:val="clear" w:color="auto" w:fill="auto"/>
            <w:noWrap/>
            <w:vAlign w:val="center"/>
            <w:hideMark/>
          </w:tcPr>
          <w:p w14:paraId="7A1678F9" w14:textId="6CFEE3AD" w:rsidR="003C4587" w:rsidRPr="00587EDB" w:rsidRDefault="003C4587" w:rsidP="00FF0EE8">
            <w:pPr>
              <w:keepNext/>
              <w:spacing w:line="240" w:lineRule="auto"/>
              <w:jc w:val="center"/>
            </w:pPr>
            <w:r w:rsidRPr="00EA1BE2">
              <w:t>($288,378)</w:t>
            </w:r>
          </w:p>
        </w:tc>
        <w:tc>
          <w:tcPr>
            <w:tcW w:w="2587" w:type="dxa"/>
            <w:tcBorders>
              <w:top w:val="nil"/>
              <w:left w:val="nil"/>
              <w:bottom w:val="single" w:sz="4" w:space="0" w:color="auto"/>
              <w:right w:val="single" w:sz="4" w:space="0" w:color="auto"/>
            </w:tcBorders>
            <w:shd w:val="clear" w:color="auto" w:fill="auto"/>
            <w:noWrap/>
            <w:vAlign w:val="center"/>
            <w:hideMark/>
          </w:tcPr>
          <w:p w14:paraId="4B2BEEBA" w14:textId="5D4EE185" w:rsidR="003C4587" w:rsidRPr="00587EDB" w:rsidRDefault="003C4587" w:rsidP="00FF0EE8">
            <w:pPr>
              <w:keepNext/>
              <w:spacing w:line="240" w:lineRule="auto"/>
              <w:jc w:val="center"/>
            </w:pPr>
            <w:r w:rsidRPr="00EA1BE2">
              <w:t>($348,895)</w:t>
            </w:r>
          </w:p>
        </w:tc>
      </w:tr>
      <w:tr w:rsidR="003C4587" w:rsidRPr="00B7487C" w14:paraId="341C7DAB" w14:textId="77777777" w:rsidTr="004F5401">
        <w:trPr>
          <w:trHeight w:val="310"/>
          <w:jc w:val="center"/>
        </w:trPr>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17FB6" w14:textId="77777777" w:rsidR="003C4587" w:rsidRPr="00587EDB" w:rsidRDefault="003C4587" w:rsidP="00FF0EE8">
            <w:pPr>
              <w:keepNext/>
              <w:autoSpaceDE/>
              <w:autoSpaceDN/>
              <w:adjustRightInd/>
              <w:spacing w:line="240" w:lineRule="auto"/>
              <w:jc w:val="center"/>
              <w:rPr>
                <w:b/>
              </w:rPr>
            </w:pPr>
            <w:r w:rsidRPr="00587EDB">
              <w:rPr>
                <w:b/>
              </w:rPr>
              <w:t>Total</w:t>
            </w:r>
          </w:p>
        </w:tc>
        <w:tc>
          <w:tcPr>
            <w:tcW w:w="258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63D2F79" w14:textId="76937C9E" w:rsidR="003C4587" w:rsidRPr="003C4587" w:rsidRDefault="003C4587" w:rsidP="00FF0EE8">
            <w:pPr>
              <w:keepNext/>
              <w:autoSpaceDE/>
              <w:autoSpaceDN/>
              <w:adjustRightInd/>
              <w:spacing w:line="240" w:lineRule="auto"/>
              <w:jc w:val="center"/>
              <w:rPr>
                <w:b/>
              </w:rPr>
            </w:pPr>
            <w:r w:rsidRPr="003C4587">
              <w:rPr>
                <w:b/>
              </w:rPr>
              <w:t>($2,048,000)</w:t>
            </w:r>
          </w:p>
        </w:tc>
        <w:tc>
          <w:tcPr>
            <w:tcW w:w="258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453244E" w14:textId="69E775D4" w:rsidR="003C4587" w:rsidRPr="003C4587" w:rsidRDefault="003C4587" w:rsidP="00FF0EE8">
            <w:pPr>
              <w:keepNext/>
              <w:spacing w:line="240" w:lineRule="auto"/>
              <w:jc w:val="center"/>
              <w:rPr>
                <w:b/>
              </w:rPr>
            </w:pPr>
            <w:r w:rsidRPr="003C4587">
              <w:rPr>
                <w:b/>
              </w:rPr>
              <w:t>($1,681,000)</w:t>
            </w:r>
          </w:p>
        </w:tc>
        <w:tc>
          <w:tcPr>
            <w:tcW w:w="258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4A474AB" w14:textId="72C6C31C" w:rsidR="003C4587" w:rsidRPr="003C4587" w:rsidRDefault="003C4587" w:rsidP="00FF0EE8">
            <w:pPr>
              <w:keepNext/>
              <w:spacing w:line="240" w:lineRule="auto"/>
              <w:jc w:val="center"/>
              <w:rPr>
                <w:b/>
              </w:rPr>
            </w:pPr>
            <w:r w:rsidRPr="003C4587">
              <w:rPr>
                <w:b/>
              </w:rPr>
              <w:t>($1,877,000)</w:t>
            </w:r>
          </w:p>
        </w:tc>
      </w:tr>
    </w:tbl>
    <w:p w14:paraId="440DCFC7" w14:textId="232F9950" w:rsidR="00F834D9" w:rsidRPr="00B7487C" w:rsidRDefault="00F834D9" w:rsidP="00FF0EE8">
      <w:pPr>
        <w:keepNext/>
        <w:spacing w:line="240" w:lineRule="auto"/>
        <w:ind w:firstLine="180"/>
        <w:rPr>
          <w:sz w:val="18"/>
          <w:szCs w:val="18"/>
        </w:rPr>
      </w:pPr>
      <w:r w:rsidRPr="00B7487C">
        <w:rPr>
          <w:sz w:val="18"/>
          <w:szCs w:val="18"/>
        </w:rPr>
        <w:t xml:space="preserve">* </w:t>
      </w:r>
      <w:r w:rsidR="00B658C3">
        <w:rPr>
          <w:sz w:val="18"/>
          <w:szCs w:val="18"/>
        </w:rPr>
        <w:t>Rounding</w:t>
      </w:r>
      <w:r w:rsidR="00B658C3" w:rsidRPr="00B7487C">
        <w:rPr>
          <w:sz w:val="18"/>
          <w:szCs w:val="18"/>
        </w:rPr>
        <w:t xml:space="preserve"> </w:t>
      </w:r>
      <w:r w:rsidRPr="00B7487C">
        <w:rPr>
          <w:sz w:val="18"/>
          <w:szCs w:val="18"/>
        </w:rPr>
        <w:t xml:space="preserve">may </w:t>
      </w:r>
      <w:r w:rsidR="00B658C3">
        <w:rPr>
          <w:sz w:val="18"/>
          <w:szCs w:val="18"/>
        </w:rPr>
        <w:t>have caused</w:t>
      </w:r>
      <w:r w:rsidR="00B658C3" w:rsidRPr="00B7487C">
        <w:rPr>
          <w:sz w:val="18"/>
          <w:szCs w:val="18"/>
        </w:rPr>
        <w:t xml:space="preserve"> </w:t>
      </w:r>
      <w:r w:rsidRPr="00B7487C">
        <w:rPr>
          <w:sz w:val="18"/>
          <w:szCs w:val="18"/>
        </w:rPr>
        <w:t xml:space="preserve">discrepancies in </w:t>
      </w:r>
      <w:r w:rsidR="00C711AE">
        <w:rPr>
          <w:sz w:val="18"/>
          <w:szCs w:val="18"/>
        </w:rPr>
        <w:t xml:space="preserve">the </w:t>
      </w:r>
      <w:r w:rsidRPr="00B7487C">
        <w:rPr>
          <w:sz w:val="18"/>
          <w:szCs w:val="18"/>
        </w:rPr>
        <w:t>calculations.</w:t>
      </w:r>
    </w:p>
    <w:p w14:paraId="60E8EA25" w14:textId="77777777" w:rsidR="004447D9" w:rsidRPr="00B7487C" w:rsidRDefault="00F834D9" w:rsidP="00FF0EE8">
      <w:pPr>
        <w:keepNext/>
        <w:spacing w:line="240" w:lineRule="auto"/>
        <w:ind w:firstLine="180"/>
        <w:rPr>
          <w:sz w:val="18"/>
          <w:szCs w:val="18"/>
        </w:rPr>
      </w:pPr>
      <w:r w:rsidRPr="00B7487C">
        <w:rPr>
          <w:sz w:val="18"/>
          <w:szCs w:val="18"/>
        </w:rPr>
        <w:t xml:space="preserve">** All values are in </w:t>
      </w:r>
      <w:r w:rsidR="00434583" w:rsidRPr="00B7487C">
        <w:rPr>
          <w:sz w:val="18"/>
          <w:szCs w:val="18"/>
        </w:rPr>
        <w:t>201</w:t>
      </w:r>
      <w:r w:rsidR="00434583">
        <w:rPr>
          <w:sz w:val="18"/>
          <w:szCs w:val="18"/>
        </w:rPr>
        <w:t xml:space="preserve">7 </w:t>
      </w:r>
      <w:r w:rsidRPr="00B7487C">
        <w:rPr>
          <w:sz w:val="18"/>
          <w:szCs w:val="18"/>
        </w:rPr>
        <w:t>dollars</w:t>
      </w:r>
      <w:r w:rsidR="00C711AE">
        <w:rPr>
          <w:sz w:val="18"/>
          <w:szCs w:val="18"/>
        </w:rPr>
        <w:t>.</w:t>
      </w:r>
    </w:p>
    <w:p w14:paraId="626B7A03" w14:textId="77777777" w:rsidR="00247654" w:rsidRDefault="00247654" w:rsidP="00FF0EE8">
      <w:pPr>
        <w:spacing w:line="240" w:lineRule="auto"/>
        <w:rPr>
          <w:noProof/>
        </w:rPr>
      </w:pPr>
    </w:p>
    <w:p w14:paraId="5034A67F" w14:textId="35589083" w:rsidR="00247654" w:rsidRDefault="00740E37" w:rsidP="00FF0EE8">
      <w:pPr>
        <w:spacing w:line="240" w:lineRule="auto"/>
        <w:rPr>
          <w:noProof/>
        </w:rPr>
      </w:pPr>
      <w:r>
        <w:rPr>
          <w:noProof/>
        </w:rPr>
        <w:t>The i</w:t>
      </w:r>
      <w:r w:rsidR="00247654">
        <w:rPr>
          <w:noProof/>
        </w:rPr>
        <w:t>ndustry will incur an operating cost to implement Code Case</w:t>
      </w:r>
      <w:r w:rsidR="00C711AE">
        <w:rPr>
          <w:noProof/>
        </w:rPr>
        <w:t> </w:t>
      </w:r>
      <w:r w:rsidR="00247654">
        <w:rPr>
          <w:noProof/>
        </w:rPr>
        <w:t>N</w:t>
      </w:r>
      <w:r w:rsidR="00C711AE">
        <w:rPr>
          <w:noProof/>
        </w:rPr>
        <w:noBreakHyphen/>
      </w:r>
      <w:r w:rsidR="00247654">
        <w:rPr>
          <w:noProof/>
        </w:rPr>
        <w:t>795 for the testing and inspection of noninsulated components.  This Code Case condition requires a hold time of one hour, which is 45</w:t>
      </w:r>
      <w:r w:rsidR="00C711AE">
        <w:rPr>
          <w:noProof/>
        </w:rPr>
        <w:t> </w:t>
      </w:r>
      <w:r w:rsidR="00247654">
        <w:rPr>
          <w:noProof/>
        </w:rPr>
        <w:t xml:space="preserve">minutes </w:t>
      </w:r>
      <w:r w:rsidR="00247654" w:rsidRPr="00064C5C">
        <w:rPr>
          <w:noProof/>
        </w:rPr>
        <w:t xml:space="preserve">longer than required by the </w:t>
      </w:r>
      <w:r w:rsidR="00247654">
        <w:rPr>
          <w:noProof/>
        </w:rPr>
        <w:t xml:space="preserve">current </w:t>
      </w:r>
      <w:r w:rsidR="00247654" w:rsidRPr="00064C5C">
        <w:rPr>
          <w:noProof/>
        </w:rPr>
        <w:t xml:space="preserve">Code Case. </w:t>
      </w:r>
      <w:r w:rsidR="00247654">
        <w:rPr>
          <w:noProof/>
        </w:rPr>
        <w:t xml:space="preserve"> The NRC staff estimates</w:t>
      </w:r>
      <w:r w:rsidR="00247654" w:rsidRPr="00064C5C">
        <w:rPr>
          <w:noProof/>
        </w:rPr>
        <w:t xml:space="preserve"> that this </w:t>
      </w:r>
      <w:r w:rsidR="00247654">
        <w:rPr>
          <w:noProof/>
        </w:rPr>
        <w:t>requirement adds 45</w:t>
      </w:r>
      <w:r w:rsidR="00C711AE">
        <w:rPr>
          <w:noProof/>
        </w:rPr>
        <w:t> </w:t>
      </w:r>
      <w:r w:rsidR="00247654">
        <w:rPr>
          <w:noProof/>
        </w:rPr>
        <w:t>minutes</w:t>
      </w:r>
      <w:r w:rsidR="00247654" w:rsidRPr="00064C5C">
        <w:rPr>
          <w:noProof/>
        </w:rPr>
        <w:t xml:space="preserve"> </w:t>
      </w:r>
      <w:r w:rsidR="00C711AE">
        <w:rPr>
          <w:noProof/>
        </w:rPr>
        <w:t>for</w:t>
      </w:r>
      <w:r w:rsidR="00C711AE" w:rsidRPr="00064C5C">
        <w:rPr>
          <w:noProof/>
        </w:rPr>
        <w:t xml:space="preserve"> </w:t>
      </w:r>
      <w:r w:rsidR="00247654">
        <w:rPr>
          <w:noProof/>
        </w:rPr>
        <w:t xml:space="preserve">repair and </w:t>
      </w:r>
      <w:r w:rsidR="00247654" w:rsidRPr="00064C5C">
        <w:rPr>
          <w:noProof/>
        </w:rPr>
        <w:t xml:space="preserve">replacement activities. </w:t>
      </w:r>
      <w:r w:rsidR="00247654">
        <w:rPr>
          <w:noProof/>
        </w:rPr>
        <w:t xml:space="preserve"> </w:t>
      </w:r>
      <w:r w:rsidR="00C711AE" w:rsidRPr="005718AE">
        <w:rPr>
          <w:noProof/>
        </w:rPr>
        <w:fldChar w:fldCharType="begin"/>
      </w:r>
      <w:r w:rsidR="00C711AE" w:rsidRPr="005718AE">
        <w:rPr>
          <w:noProof/>
        </w:rPr>
        <w:instrText xml:space="preserve"> REF _Ref435770971 \h </w:instrText>
      </w:r>
      <w:r w:rsidR="00795C9A" w:rsidRPr="005718AE">
        <w:rPr>
          <w:noProof/>
        </w:rPr>
        <w:instrText xml:space="preserve"> \* MERGEFORMAT </w:instrText>
      </w:r>
      <w:r w:rsidR="00C711AE" w:rsidRPr="005718AE">
        <w:rPr>
          <w:noProof/>
        </w:rPr>
      </w:r>
      <w:r w:rsidR="00C711AE" w:rsidRPr="005718AE">
        <w:rPr>
          <w:noProof/>
        </w:rPr>
        <w:fldChar w:fldCharType="separate"/>
      </w:r>
      <w:r w:rsidR="00FD3AB6" w:rsidRPr="00FD3AB6">
        <w:t xml:space="preserve">Table </w:t>
      </w:r>
      <w:r w:rsidR="00FD3AB6" w:rsidRPr="00FD3AB6">
        <w:rPr>
          <w:noProof/>
        </w:rPr>
        <w:t>14</w:t>
      </w:r>
      <w:r w:rsidR="00C711AE" w:rsidRPr="005718AE">
        <w:rPr>
          <w:noProof/>
        </w:rPr>
        <w:fldChar w:fldCharType="end"/>
      </w:r>
      <w:r w:rsidR="00C711AE" w:rsidRPr="006E5706">
        <w:rPr>
          <w:noProof/>
        </w:rPr>
        <w:t xml:space="preserve"> </w:t>
      </w:r>
      <w:r w:rsidR="00C711AE">
        <w:rPr>
          <w:noProof/>
        </w:rPr>
        <w:t>lists t</w:t>
      </w:r>
      <w:r w:rsidR="00247654" w:rsidRPr="00064C5C">
        <w:rPr>
          <w:noProof/>
        </w:rPr>
        <w:t>he</w:t>
      </w:r>
      <w:r w:rsidR="00247654">
        <w:rPr>
          <w:noProof/>
        </w:rPr>
        <w:t xml:space="preserve"> incremental labor </w:t>
      </w:r>
      <w:r w:rsidR="00247654" w:rsidRPr="00064C5C">
        <w:rPr>
          <w:noProof/>
        </w:rPr>
        <w:t>cost</w:t>
      </w:r>
      <w:r w:rsidR="00C711AE">
        <w:rPr>
          <w:noProof/>
        </w:rPr>
        <w:t>s</w:t>
      </w:r>
      <w:r w:rsidR="00247654" w:rsidRPr="00064C5C">
        <w:rPr>
          <w:noProof/>
        </w:rPr>
        <w:t>.</w:t>
      </w:r>
    </w:p>
    <w:p w14:paraId="0EE43513" w14:textId="77777777" w:rsidR="00B72F3F" w:rsidRDefault="00B72F3F" w:rsidP="00FF0EE8">
      <w:pPr>
        <w:spacing w:line="240" w:lineRule="auto"/>
        <w:rPr>
          <w:noProof/>
        </w:rPr>
      </w:pPr>
    </w:p>
    <w:p w14:paraId="63D4D2B2" w14:textId="71194821" w:rsidR="004665EC" w:rsidRPr="00587EDB" w:rsidRDefault="004665EC" w:rsidP="00FF0EE8">
      <w:pPr>
        <w:pStyle w:val="Caption"/>
        <w:spacing w:line="240" w:lineRule="auto"/>
        <w:jc w:val="center"/>
        <w:rPr>
          <w:b/>
        </w:rPr>
      </w:pPr>
      <w:bookmarkStart w:id="206" w:name="_Ref435770971"/>
      <w:bookmarkStart w:id="207" w:name="_Toc467508503"/>
      <w:bookmarkStart w:id="208" w:name="_Toc462225009"/>
      <w:r w:rsidRPr="00587EDB">
        <w:rPr>
          <w:b/>
        </w:rPr>
        <w:t xml:space="preserve">Table </w:t>
      </w:r>
      <w:r w:rsidR="00782423" w:rsidRPr="00587EDB">
        <w:rPr>
          <w:b/>
        </w:rPr>
        <w:fldChar w:fldCharType="begin"/>
      </w:r>
      <w:r w:rsidR="00782423" w:rsidRPr="00587EDB">
        <w:rPr>
          <w:b/>
        </w:rPr>
        <w:instrText xml:space="preserve"> SEQ Table \* ARABIC </w:instrText>
      </w:r>
      <w:r w:rsidR="00782423" w:rsidRPr="00587EDB">
        <w:rPr>
          <w:b/>
        </w:rPr>
        <w:fldChar w:fldCharType="separate"/>
      </w:r>
      <w:r w:rsidR="00FD3AB6">
        <w:rPr>
          <w:b/>
          <w:noProof/>
        </w:rPr>
        <w:t>14</w:t>
      </w:r>
      <w:r w:rsidR="00782423" w:rsidRPr="00587EDB">
        <w:rPr>
          <w:b/>
        </w:rPr>
        <w:fldChar w:fldCharType="end"/>
      </w:r>
      <w:bookmarkEnd w:id="206"/>
      <w:r w:rsidR="006C3FF0" w:rsidRPr="00D557C2">
        <w:rPr>
          <w:b/>
        </w:rPr>
        <w:t xml:space="preserve">  </w:t>
      </w:r>
      <w:r w:rsidRPr="00587EDB">
        <w:rPr>
          <w:b/>
        </w:rPr>
        <w:t>Incremental Operations Costs for Conditioned Code Case N-795</w:t>
      </w:r>
      <w:r w:rsidR="006C3FF0">
        <w:rPr>
          <w:b/>
        </w:rPr>
        <w:br/>
      </w:r>
      <w:r w:rsidRPr="00587EDB">
        <w:rPr>
          <w:b/>
        </w:rPr>
        <w:t>(Operating BWRs)</w:t>
      </w:r>
      <w:bookmarkEnd w:id="207"/>
      <w:bookmarkEnd w:id="208"/>
    </w:p>
    <w:tbl>
      <w:tblPr>
        <w:tblW w:w="8120" w:type="dxa"/>
        <w:jc w:val="center"/>
        <w:tblCellMar>
          <w:left w:w="0" w:type="dxa"/>
          <w:right w:w="0" w:type="dxa"/>
        </w:tblCellMar>
        <w:tblLook w:val="04A0" w:firstRow="1" w:lastRow="0" w:firstColumn="1" w:lastColumn="0" w:noHBand="0" w:noVBand="1"/>
      </w:tblPr>
      <w:tblGrid>
        <w:gridCol w:w="1320"/>
        <w:gridCol w:w="2260"/>
        <w:gridCol w:w="1520"/>
        <w:gridCol w:w="1480"/>
        <w:gridCol w:w="1540"/>
      </w:tblGrid>
      <w:tr w:rsidR="00602B86" w14:paraId="0AEDBD17" w14:textId="77777777" w:rsidTr="004F5401">
        <w:trPr>
          <w:trHeight w:val="300"/>
          <w:jc w:val="center"/>
        </w:trPr>
        <w:tc>
          <w:tcPr>
            <w:tcW w:w="1320" w:type="dxa"/>
            <w:tcBorders>
              <w:top w:val="nil"/>
              <w:left w:val="nil"/>
              <w:bottom w:val="single" w:sz="4" w:space="0" w:color="auto"/>
              <w:right w:val="nil"/>
            </w:tcBorders>
            <w:shd w:val="clear" w:color="auto" w:fill="auto"/>
            <w:vAlign w:val="center"/>
            <w:hideMark/>
          </w:tcPr>
          <w:p w14:paraId="76A3EABA" w14:textId="77777777" w:rsidR="00DC7202" w:rsidRDefault="00DC7202" w:rsidP="00FF0EE8">
            <w:pPr>
              <w:keepNext/>
              <w:autoSpaceDE/>
              <w:autoSpaceDN/>
              <w:adjustRightInd/>
              <w:spacing w:line="240" w:lineRule="auto"/>
              <w:rPr>
                <w:rFonts w:ascii="Calibri" w:hAnsi="Calibri"/>
                <w:color w:val="000000"/>
              </w:rPr>
            </w:pPr>
            <w:r>
              <w:rPr>
                <w:rFonts w:ascii="Calibri" w:hAnsi="Calibri"/>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14:paraId="0970C946" w14:textId="77777777" w:rsidR="00DC7202" w:rsidRDefault="00DC7202" w:rsidP="00FF0EE8">
            <w:pPr>
              <w:keepNext/>
              <w:spacing w:line="240" w:lineRule="auto"/>
              <w:rPr>
                <w:rFonts w:ascii="Calibri" w:hAnsi="Calibri"/>
                <w:color w:val="000000"/>
              </w:rPr>
            </w:pPr>
            <w:r>
              <w:rPr>
                <w:rFonts w:ascii="Calibri" w:hAnsi="Calibri"/>
                <w:color w:val="000000"/>
              </w:rPr>
              <w:t> </w:t>
            </w:r>
          </w:p>
        </w:tc>
        <w:tc>
          <w:tcPr>
            <w:tcW w:w="4540" w:type="dxa"/>
            <w:gridSpan w:val="3"/>
            <w:tcBorders>
              <w:top w:val="single" w:sz="4" w:space="0" w:color="auto"/>
              <w:left w:val="nil"/>
              <w:bottom w:val="single" w:sz="4" w:space="0" w:color="auto"/>
              <w:right w:val="single" w:sz="4" w:space="0" w:color="auto"/>
            </w:tcBorders>
            <w:shd w:val="clear" w:color="auto" w:fill="auto"/>
            <w:vAlign w:val="center"/>
            <w:hideMark/>
          </w:tcPr>
          <w:p w14:paraId="46E644E4" w14:textId="4AFCB101" w:rsidR="00DC7202" w:rsidRPr="00587EDB" w:rsidRDefault="00DC7202" w:rsidP="00FF0EE8">
            <w:pPr>
              <w:keepNext/>
              <w:spacing w:line="240" w:lineRule="auto"/>
              <w:jc w:val="center"/>
              <w:rPr>
                <w:b/>
                <w:color w:val="000000"/>
              </w:rPr>
            </w:pPr>
            <w:r w:rsidRPr="00587EDB">
              <w:rPr>
                <w:b/>
                <w:color w:val="000000"/>
              </w:rPr>
              <w:t>Conditioned Code Case N-795</w:t>
            </w:r>
            <w:r w:rsidR="00892BAC">
              <w:rPr>
                <w:b/>
                <w:bCs/>
                <w:color w:val="000000"/>
              </w:rPr>
              <w:br/>
            </w:r>
            <w:r w:rsidRPr="00587EDB">
              <w:rPr>
                <w:b/>
                <w:color w:val="000000"/>
              </w:rPr>
              <w:t>(201</w:t>
            </w:r>
            <w:r w:rsidR="00C852EB" w:rsidRPr="00587EDB">
              <w:rPr>
                <w:b/>
                <w:color w:val="000000"/>
              </w:rPr>
              <w:t>7</w:t>
            </w:r>
            <w:r w:rsidRPr="00587EDB">
              <w:rPr>
                <w:b/>
                <w:color w:val="000000"/>
              </w:rPr>
              <w:t xml:space="preserve"> </w:t>
            </w:r>
            <w:r w:rsidR="00254BC3">
              <w:rPr>
                <w:b/>
                <w:bCs/>
                <w:color w:val="000000"/>
              </w:rPr>
              <w:t>D</w:t>
            </w:r>
            <w:r w:rsidRPr="00D557C2">
              <w:rPr>
                <w:b/>
                <w:bCs/>
                <w:color w:val="000000"/>
              </w:rPr>
              <w:t>ollars</w:t>
            </w:r>
            <w:r w:rsidRPr="00587EDB">
              <w:rPr>
                <w:b/>
                <w:color w:val="000000"/>
              </w:rPr>
              <w:t>)</w:t>
            </w:r>
          </w:p>
        </w:tc>
      </w:tr>
      <w:tr w:rsidR="00602B86" w14:paraId="63FAB3F2" w14:textId="77777777" w:rsidTr="004F5401">
        <w:trPr>
          <w:trHeight w:val="5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7BE229" w14:textId="77777777" w:rsidR="00DC7202" w:rsidRPr="00587EDB" w:rsidRDefault="00DC7202" w:rsidP="00FF0EE8">
            <w:pPr>
              <w:keepNext/>
              <w:spacing w:line="240" w:lineRule="auto"/>
              <w:jc w:val="center"/>
              <w:rPr>
                <w:b/>
                <w:color w:val="000000"/>
              </w:rPr>
            </w:pPr>
            <w:r w:rsidRPr="00587EDB">
              <w:rPr>
                <w:b/>
                <w:color w:val="000000"/>
              </w:rPr>
              <w:t>Year</w:t>
            </w:r>
          </w:p>
        </w:tc>
        <w:tc>
          <w:tcPr>
            <w:tcW w:w="2260" w:type="dxa"/>
            <w:tcBorders>
              <w:top w:val="nil"/>
              <w:left w:val="nil"/>
              <w:bottom w:val="single" w:sz="4" w:space="0" w:color="auto"/>
              <w:right w:val="single" w:sz="4" w:space="0" w:color="auto"/>
            </w:tcBorders>
            <w:shd w:val="clear" w:color="auto" w:fill="auto"/>
            <w:vAlign w:val="center"/>
            <w:hideMark/>
          </w:tcPr>
          <w:p w14:paraId="74A031AF" w14:textId="5B1F4C27" w:rsidR="00DC7202" w:rsidRPr="00587EDB" w:rsidRDefault="00DC7202" w:rsidP="00FF0EE8">
            <w:pPr>
              <w:keepNext/>
              <w:spacing w:line="240" w:lineRule="auto"/>
              <w:jc w:val="center"/>
              <w:rPr>
                <w:b/>
                <w:color w:val="000000"/>
              </w:rPr>
            </w:pPr>
            <w:r w:rsidRPr="00587EDB">
              <w:rPr>
                <w:b/>
                <w:color w:val="000000"/>
              </w:rPr>
              <w:t xml:space="preserve">No. of Code Case 795-1 </w:t>
            </w:r>
            <w:r w:rsidR="00892BAC">
              <w:rPr>
                <w:b/>
                <w:bCs/>
                <w:color w:val="000000"/>
              </w:rPr>
              <w:t>I</w:t>
            </w:r>
            <w:r w:rsidRPr="00D557C2">
              <w:rPr>
                <w:b/>
                <w:bCs/>
                <w:color w:val="000000"/>
              </w:rPr>
              <w:t>nspections</w:t>
            </w:r>
          </w:p>
        </w:tc>
        <w:tc>
          <w:tcPr>
            <w:tcW w:w="1520" w:type="dxa"/>
            <w:tcBorders>
              <w:top w:val="nil"/>
              <w:left w:val="nil"/>
              <w:bottom w:val="single" w:sz="4" w:space="0" w:color="auto"/>
              <w:right w:val="single" w:sz="4" w:space="0" w:color="auto"/>
            </w:tcBorders>
            <w:shd w:val="clear" w:color="auto" w:fill="auto"/>
            <w:vAlign w:val="center"/>
            <w:hideMark/>
          </w:tcPr>
          <w:p w14:paraId="409EEAE7" w14:textId="77777777" w:rsidR="00DC7202" w:rsidRPr="00587EDB" w:rsidRDefault="00DC7202" w:rsidP="00FF0EE8">
            <w:pPr>
              <w:keepNext/>
              <w:spacing w:line="240" w:lineRule="auto"/>
              <w:jc w:val="center"/>
              <w:rPr>
                <w:b/>
                <w:color w:val="000000"/>
              </w:rPr>
            </w:pPr>
            <w:r w:rsidRPr="00587EDB">
              <w:rPr>
                <w:b/>
                <w:color w:val="000000"/>
              </w:rPr>
              <w:t>Undiscounted</w:t>
            </w:r>
          </w:p>
        </w:tc>
        <w:tc>
          <w:tcPr>
            <w:tcW w:w="1480" w:type="dxa"/>
            <w:tcBorders>
              <w:top w:val="nil"/>
              <w:left w:val="nil"/>
              <w:bottom w:val="single" w:sz="4" w:space="0" w:color="auto"/>
              <w:right w:val="single" w:sz="4" w:space="0" w:color="auto"/>
            </w:tcBorders>
            <w:shd w:val="clear" w:color="auto" w:fill="auto"/>
            <w:vAlign w:val="center"/>
            <w:hideMark/>
          </w:tcPr>
          <w:p w14:paraId="2BA68227" w14:textId="5AB9575F" w:rsidR="00DC7202" w:rsidRPr="00587EDB" w:rsidRDefault="00DC7202" w:rsidP="00FF0EE8">
            <w:pPr>
              <w:keepNext/>
              <w:spacing w:line="240" w:lineRule="auto"/>
              <w:jc w:val="center"/>
              <w:rPr>
                <w:b/>
                <w:color w:val="000000"/>
              </w:rPr>
            </w:pPr>
            <w:r w:rsidRPr="00587EDB">
              <w:rPr>
                <w:b/>
                <w:color w:val="000000"/>
              </w:rPr>
              <w:t xml:space="preserve">7% </w:t>
            </w:r>
            <w:r w:rsidR="00892BAC">
              <w:rPr>
                <w:b/>
                <w:bCs/>
                <w:color w:val="000000"/>
              </w:rPr>
              <w:t>D</w:t>
            </w:r>
            <w:r w:rsidRPr="00D557C2">
              <w:rPr>
                <w:b/>
                <w:bCs/>
                <w:color w:val="000000"/>
              </w:rPr>
              <w:t>iscount</w:t>
            </w:r>
          </w:p>
        </w:tc>
        <w:tc>
          <w:tcPr>
            <w:tcW w:w="1540" w:type="dxa"/>
            <w:tcBorders>
              <w:top w:val="nil"/>
              <w:left w:val="nil"/>
              <w:bottom w:val="single" w:sz="4" w:space="0" w:color="auto"/>
              <w:right w:val="single" w:sz="4" w:space="0" w:color="auto"/>
            </w:tcBorders>
            <w:shd w:val="clear" w:color="auto" w:fill="auto"/>
            <w:vAlign w:val="center"/>
            <w:hideMark/>
          </w:tcPr>
          <w:p w14:paraId="2DDBCAAA" w14:textId="1359C43C" w:rsidR="00DC7202" w:rsidRPr="00587EDB" w:rsidRDefault="00DC7202" w:rsidP="00FF0EE8">
            <w:pPr>
              <w:keepNext/>
              <w:spacing w:line="240" w:lineRule="auto"/>
              <w:jc w:val="center"/>
              <w:rPr>
                <w:b/>
                <w:color w:val="000000"/>
              </w:rPr>
            </w:pPr>
            <w:r w:rsidRPr="00587EDB">
              <w:rPr>
                <w:b/>
                <w:color w:val="000000"/>
              </w:rPr>
              <w:t xml:space="preserve">3% </w:t>
            </w:r>
            <w:r w:rsidR="00892BAC">
              <w:rPr>
                <w:b/>
                <w:bCs/>
                <w:color w:val="000000"/>
              </w:rPr>
              <w:t>D</w:t>
            </w:r>
            <w:r w:rsidRPr="00D557C2">
              <w:rPr>
                <w:b/>
                <w:bCs/>
                <w:color w:val="000000"/>
              </w:rPr>
              <w:t>iscount</w:t>
            </w:r>
          </w:p>
        </w:tc>
      </w:tr>
      <w:tr w:rsidR="003C4587" w14:paraId="301C6492" w14:textId="77777777" w:rsidTr="004F540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D6431A" w14:textId="77777777" w:rsidR="003C4587" w:rsidRPr="00587EDB" w:rsidRDefault="003C4587" w:rsidP="00FF0EE8">
            <w:pPr>
              <w:keepNext/>
              <w:spacing w:line="240" w:lineRule="auto"/>
              <w:jc w:val="center"/>
              <w:rPr>
                <w:color w:val="000000"/>
              </w:rPr>
            </w:pPr>
            <w:r w:rsidRPr="00587EDB">
              <w:t>2018</w:t>
            </w:r>
          </w:p>
        </w:tc>
        <w:tc>
          <w:tcPr>
            <w:tcW w:w="0" w:type="auto"/>
            <w:tcBorders>
              <w:top w:val="nil"/>
              <w:left w:val="nil"/>
              <w:bottom w:val="single" w:sz="4" w:space="0" w:color="auto"/>
              <w:right w:val="single" w:sz="4" w:space="0" w:color="auto"/>
            </w:tcBorders>
            <w:shd w:val="clear" w:color="auto" w:fill="auto"/>
            <w:noWrap/>
            <w:vAlign w:val="center"/>
            <w:hideMark/>
          </w:tcPr>
          <w:p w14:paraId="6DD8FD68" w14:textId="747EA559" w:rsidR="003C4587" w:rsidRPr="00587EDB" w:rsidRDefault="00EF05CC" w:rsidP="00FF0EE8">
            <w:pPr>
              <w:keepNext/>
              <w:spacing w:line="240" w:lineRule="auto"/>
              <w:jc w:val="center"/>
              <w:rPr>
                <w:color w:val="000000"/>
              </w:rPr>
            </w:pPr>
            <w:r>
              <w:rPr>
                <w:color w:val="000000"/>
              </w:rPr>
              <w:t>6</w:t>
            </w:r>
          </w:p>
        </w:tc>
        <w:tc>
          <w:tcPr>
            <w:tcW w:w="1520" w:type="dxa"/>
            <w:tcBorders>
              <w:top w:val="nil"/>
              <w:left w:val="nil"/>
              <w:bottom w:val="single" w:sz="4" w:space="0" w:color="auto"/>
              <w:right w:val="single" w:sz="4" w:space="0" w:color="auto"/>
            </w:tcBorders>
            <w:shd w:val="clear" w:color="auto" w:fill="auto"/>
            <w:vAlign w:val="center"/>
            <w:hideMark/>
          </w:tcPr>
          <w:p w14:paraId="387E6B21" w14:textId="69BF1D75" w:rsidR="003C4587" w:rsidRPr="00587EDB" w:rsidRDefault="003C4587" w:rsidP="00FF0EE8">
            <w:pPr>
              <w:keepNext/>
              <w:spacing w:line="240" w:lineRule="auto"/>
              <w:jc w:val="center"/>
            </w:pPr>
            <w:r w:rsidRPr="004A5712">
              <w:t>($565)</w:t>
            </w:r>
          </w:p>
        </w:tc>
        <w:tc>
          <w:tcPr>
            <w:tcW w:w="1480" w:type="dxa"/>
            <w:tcBorders>
              <w:top w:val="nil"/>
              <w:left w:val="nil"/>
              <w:bottom w:val="single" w:sz="4" w:space="0" w:color="auto"/>
              <w:right w:val="single" w:sz="4" w:space="0" w:color="auto"/>
            </w:tcBorders>
            <w:shd w:val="clear" w:color="auto" w:fill="auto"/>
            <w:vAlign w:val="center"/>
            <w:hideMark/>
          </w:tcPr>
          <w:p w14:paraId="64E09DA3" w14:textId="3C6DE663" w:rsidR="003C4587" w:rsidRPr="00587EDB" w:rsidRDefault="003C4587" w:rsidP="00FF0EE8">
            <w:pPr>
              <w:keepNext/>
              <w:spacing w:line="240" w:lineRule="auto"/>
              <w:jc w:val="center"/>
            </w:pPr>
            <w:r w:rsidRPr="004A5712">
              <w:t>($528)</w:t>
            </w:r>
          </w:p>
        </w:tc>
        <w:tc>
          <w:tcPr>
            <w:tcW w:w="1540" w:type="dxa"/>
            <w:tcBorders>
              <w:top w:val="nil"/>
              <w:left w:val="nil"/>
              <w:bottom w:val="single" w:sz="4" w:space="0" w:color="auto"/>
              <w:right w:val="single" w:sz="4" w:space="0" w:color="auto"/>
            </w:tcBorders>
            <w:shd w:val="clear" w:color="auto" w:fill="auto"/>
            <w:vAlign w:val="center"/>
            <w:hideMark/>
          </w:tcPr>
          <w:p w14:paraId="180C6F74" w14:textId="40572D7B" w:rsidR="003C4587" w:rsidRPr="00587EDB" w:rsidRDefault="003C4587" w:rsidP="00FF0EE8">
            <w:pPr>
              <w:keepNext/>
              <w:spacing w:line="240" w:lineRule="auto"/>
              <w:jc w:val="center"/>
            </w:pPr>
            <w:r w:rsidRPr="004A5712">
              <w:t>($549)</w:t>
            </w:r>
          </w:p>
        </w:tc>
      </w:tr>
      <w:tr w:rsidR="003C4587" w14:paraId="1BDBEB1E" w14:textId="77777777" w:rsidTr="004F540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4B0E0E" w14:textId="77777777" w:rsidR="003C4587" w:rsidRPr="00587EDB" w:rsidRDefault="003C4587" w:rsidP="00FF0EE8">
            <w:pPr>
              <w:keepNext/>
              <w:spacing w:line="240" w:lineRule="auto"/>
              <w:jc w:val="center"/>
              <w:rPr>
                <w:color w:val="000000"/>
              </w:rPr>
            </w:pPr>
            <w:r w:rsidRPr="00587EDB">
              <w:t>2019</w:t>
            </w:r>
          </w:p>
        </w:tc>
        <w:tc>
          <w:tcPr>
            <w:tcW w:w="0" w:type="auto"/>
            <w:tcBorders>
              <w:top w:val="nil"/>
              <w:left w:val="nil"/>
              <w:bottom w:val="single" w:sz="4" w:space="0" w:color="auto"/>
              <w:right w:val="single" w:sz="4" w:space="0" w:color="auto"/>
            </w:tcBorders>
            <w:shd w:val="clear" w:color="auto" w:fill="auto"/>
            <w:noWrap/>
            <w:vAlign w:val="center"/>
            <w:hideMark/>
          </w:tcPr>
          <w:p w14:paraId="766700D4" w14:textId="6B502BA0" w:rsidR="003C4587" w:rsidRPr="00587EDB" w:rsidRDefault="00EF05CC" w:rsidP="00FF0EE8">
            <w:pPr>
              <w:keepNext/>
              <w:spacing w:line="240" w:lineRule="auto"/>
              <w:jc w:val="center"/>
              <w:rPr>
                <w:color w:val="000000"/>
              </w:rPr>
            </w:pPr>
            <w:r>
              <w:rPr>
                <w:color w:val="000000"/>
              </w:rPr>
              <w:t>6</w:t>
            </w:r>
          </w:p>
        </w:tc>
        <w:tc>
          <w:tcPr>
            <w:tcW w:w="1520" w:type="dxa"/>
            <w:tcBorders>
              <w:top w:val="nil"/>
              <w:left w:val="nil"/>
              <w:bottom w:val="single" w:sz="4" w:space="0" w:color="auto"/>
              <w:right w:val="single" w:sz="4" w:space="0" w:color="auto"/>
            </w:tcBorders>
            <w:shd w:val="clear" w:color="auto" w:fill="auto"/>
            <w:vAlign w:val="center"/>
            <w:hideMark/>
          </w:tcPr>
          <w:p w14:paraId="6897CBBC" w14:textId="0DD6837C" w:rsidR="003C4587" w:rsidRPr="00587EDB" w:rsidRDefault="003C4587" w:rsidP="00FF0EE8">
            <w:pPr>
              <w:keepNext/>
              <w:spacing w:line="240" w:lineRule="auto"/>
              <w:jc w:val="center"/>
            </w:pPr>
            <w:r w:rsidRPr="004A5712">
              <w:t>($565)</w:t>
            </w:r>
          </w:p>
        </w:tc>
        <w:tc>
          <w:tcPr>
            <w:tcW w:w="1480" w:type="dxa"/>
            <w:tcBorders>
              <w:top w:val="nil"/>
              <w:left w:val="nil"/>
              <w:bottom w:val="single" w:sz="4" w:space="0" w:color="auto"/>
              <w:right w:val="single" w:sz="4" w:space="0" w:color="auto"/>
            </w:tcBorders>
            <w:shd w:val="clear" w:color="auto" w:fill="auto"/>
            <w:vAlign w:val="center"/>
            <w:hideMark/>
          </w:tcPr>
          <w:p w14:paraId="226FDBEB" w14:textId="13E1A2E3" w:rsidR="003C4587" w:rsidRPr="00587EDB" w:rsidRDefault="003C4587" w:rsidP="00FF0EE8">
            <w:pPr>
              <w:keepNext/>
              <w:spacing w:line="240" w:lineRule="auto"/>
              <w:jc w:val="center"/>
            </w:pPr>
            <w:r w:rsidRPr="004A5712">
              <w:t>($494)</w:t>
            </w:r>
          </w:p>
        </w:tc>
        <w:tc>
          <w:tcPr>
            <w:tcW w:w="1540" w:type="dxa"/>
            <w:tcBorders>
              <w:top w:val="nil"/>
              <w:left w:val="nil"/>
              <w:bottom w:val="single" w:sz="4" w:space="0" w:color="auto"/>
              <w:right w:val="single" w:sz="4" w:space="0" w:color="auto"/>
            </w:tcBorders>
            <w:shd w:val="clear" w:color="auto" w:fill="auto"/>
            <w:vAlign w:val="center"/>
            <w:hideMark/>
          </w:tcPr>
          <w:p w14:paraId="38547A13" w14:textId="7CA1F35A" w:rsidR="003C4587" w:rsidRPr="00587EDB" w:rsidRDefault="003C4587" w:rsidP="00FF0EE8">
            <w:pPr>
              <w:keepNext/>
              <w:spacing w:line="240" w:lineRule="auto"/>
              <w:jc w:val="center"/>
            </w:pPr>
            <w:r w:rsidRPr="004A5712">
              <w:t>($533)</w:t>
            </w:r>
          </w:p>
        </w:tc>
      </w:tr>
      <w:tr w:rsidR="003C4587" w14:paraId="192729FB" w14:textId="77777777" w:rsidTr="004F540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D7AAEC" w14:textId="77777777" w:rsidR="003C4587" w:rsidRPr="00587EDB" w:rsidRDefault="003C4587" w:rsidP="00FF0EE8">
            <w:pPr>
              <w:keepNext/>
              <w:spacing w:line="240" w:lineRule="auto"/>
              <w:jc w:val="center"/>
              <w:rPr>
                <w:color w:val="000000"/>
              </w:rPr>
            </w:pPr>
            <w:r w:rsidRPr="00587EDB">
              <w:t>2020</w:t>
            </w:r>
          </w:p>
        </w:tc>
        <w:tc>
          <w:tcPr>
            <w:tcW w:w="0" w:type="auto"/>
            <w:tcBorders>
              <w:top w:val="nil"/>
              <w:left w:val="nil"/>
              <w:bottom w:val="single" w:sz="4" w:space="0" w:color="auto"/>
              <w:right w:val="single" w:sz="4" w:space="0" w:color="auto"/>
            </w:tcBorders>
            <w:shd w:val="clear" w:color="auto" w:fill="auto"/>
            <w:noWrap/>
            <w:vAlign w:val="center"/>
            <w:hideMark/>
          </w:tcPr>
          <w:p w14:paraId="12C51573" w14:textId="77777777" w:rsidR="003C4587" w:rsidRPr="00587EDB" w:rsidRDefault="003C4587" w:rsidP="00FF0EE8">
            <w:pPr>
              <w:keepNext/>
              <w:spacing w:line="240" w:lineRule="auto"/>
              <w:jc w:val="center"/>
              <w:rPr>
                <w:color w:val="000000"/>
              </w:rPr>
            </w:pPr>
            <w:r w:rsidRPr="00587EDB">
              <w:rPr>
                <w:color w:val="000000"/>
              </w:rPr>
              <w:t>6</w:t>
            </w:r>
          </w:p>
        </w:tc>
        <w:tc>
          <w:tcPr>
            <w:tcW w:w="1520" w:type="dxa"/>
            <w:tcBorders>
              <w:top w:val="nil"/>
              <w:left w:val="nil"/>
              <w:bottom w:val="single" w:sz="4" w:space="0" w:color="auto"/>
              <w:right w:val="single" w:sz="4" w:space="0" w:color="auto"/>
            </w:tcBorders>
            <w:shd w:val="clear" w:color="auto" w:fill="auto"/>
            <w:vAlign w:val="center"/>
            <w:hideMark/>
          </w:tcPr>
          <w:p w14:paraId="2DD49DF7" w14:textId="1B045D75" w:rsidR="003C4587" w:rsidRPr="00587EDB" w:rsidRDefault="003C4587" w:rsidP="00FF0EE8">
            <w:pPr>
              <w:keepNext/>
              <w:spacing w:line="240" w:lineRule="auto"/>
              <w:jc w:val="center"/>
            </w:pPr>
            <w:r w:rsidRPr="004A5712">
              <w:t>($565)</w:t>
            </w:r>
          </w:p>
        </w:tc>
        <w:tc>
          <w:tcPr>
            <w:tcW w:w="1480" w:type="dxa"/>
            <w:tcBorders>
              <w:top w:val="nil"/>
              <w:left w:val="nil"/>
              <w:bottom w:val="single" w:sz="4" w:space="0" w:color="auto"/>
              <w:right w:val="single" w:sz="4" w:space="0" w:color="auto"/>
            </w:tcBorders>
            <w:shd w:val="clear" w:color="auto" w:fill="auto"/>
            <w:vAlign w:val="center"/>
            <w:hideMark/>
          </w:tcPr>
          <w:p w14:paraId="50BCE79E" w14:textId="48ABED50" w:rsidR="003C4587" w:rsidRPr="00587EDB" w:rsidRDefault="003C4587" w:rsidP="00FF0EE8">
            <w:pPr>
              <w:keepNext/>
              <w:spacing w:line="240" w:lineRule="auto"/>
              <w:jc w:val="center"/>
            </w:pPr>
            <w:r w:rsidRPr="004A5712">
              <w:t>($462)</w:t>
            </w:r>
          </w:p>
        </w:tc>
        <w:tc>
          <w:tcPr>
            <w:tcW w:w="1540" w:type="dxa"/>
            <w:tcBorders>
              <w:top w:val="nil"/>
              <w:left w:val="nil"/>
              <w:bottom w:val="single" w:sz="4" w:space="0" w:color="auto"/>
              <w:right w:val="single" w:sz="4" w:space="0" w:color="auto"/>
            </w:tcBorders>
            <w:shd w:val="clear" w:color="auto" w:fill="auto"/>
            <w:vAlign w:val="center"/>
            <w:hideMark/>
          </w:tcPr>
          <w:p w14:paraId="7A0E7EE6" w14:textId="75E62072" w:rsidR="003C4587" w:rsidRPr="00587EDB" w:rsidRDefault="003C4587" w:rsidP="00FF0EE8">
            <w:pPr>
              <w:keepNext/>
              <w:spacing w:line="240" w:lineRule="auto"/>
              <w:jc w:val="center"/>
            </w:pPr>
            <w:r w:rsidRPr="004A5712">
              <w:t>($517)</w:t>
            </w:r>
          </w:p>
        </w:tc>
      </w:tr>
      <w:tr w:rsidR="003C4587" w14:paraId="0B9FE154" w14:textId="77777777" w:rsidTr="004F540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822F5E" w14:textId="77777777" w:rsidR="003C4587" w:rsidRPr="00587EDB" w:rsidRDefault="003C4587" w:rsidP="00FF0EE8">
            <w:pPr>
              <w:keepNext/>
              <w:spacing w:line="240" w:lineRule="auto"/>
              <w:jc w:val="center"/>
              <w:rPr>
                <w:color w:val="000000"/>
              </w:rPr>
            </w:pPr>
            <w:r w:rsidRPr="00587EDB">
              <w:t>2021</w:t>
            </w:r>
          </w:p>
        </w:tc>
        <w:tc>
          <w:tcPr>
            <w:tcW w:w="0" w:type="auto"/>
            <w:tcBorders>
              <w:top w:val="nil"/>
              <w:left w:val="nil"/>
              <w:bottom w:val="single" w:sz="4" w:space="0" w:color="auto"/>
              <w:right w:val="single" w:sz="4" w:space="0" w:color="auto"/>
            </w:tcBorders>
            <w:shd w:val="clear" w:color="auto" w:fill="auto"/>
            <w:noWrap/>
            <w:vAlign w:val="center"/>
            <w:hideMark/>
          </w:tcPr>
          <w:p w14:paraId="335FF0EE" w14:textId="77777777" w:rsidR="003C4587" w:rsidRPr="00587EDB" w:rsidRDefault="003C4587" w:rsidP="00FF0EE8">
            <w:pPr>
              <w:keepNext/>
              <w:spacing w:line="240" w:lineRule="auto"/>
              <w:jc w:val="center"/>
              <w:rPr>
                <w:color w:val="000000"/>
              </w:rPr>
            </w:pPr>
            <w:r w:rsidRPr="00587EDB">
              <w:rPr>
                <w:color w:val="000000"/>
              </w:rPr>
              <w:t>6</w:t>
            </w:r>
          </w:p>
        </w:tc>
        <w:tc>
          <w:tcPr>
            <w:tcW w:w="1520" w:type="dxa"/>
            <w:tcBorders>
              <w:top w:val="nil"/>
              <w:left w:val="nil"/>
              <w:bottom w:val="single" w:sz="4" w:space="0" w:color="auto"/>
              <w:right w:val="single" w:sz="4" w:space="0" w:color="auto"/>
            </w:tcBorders>
            <w:shd w:val="clear" w:color="auto" w:fill="auto"/>
            <w:vAlign w:val="center"/>
            <w:hideMark/>
          </w:tcPr>
          <w:p w14:paraId="02AAB4C1" w14:textId="415D18B8" w:rsidR="003C4587" w:rsidRPr="00587EDB" w:rsidRDefault="003C4587" w:rsidP="00FF0EE8">
            <w:pPr>
              <w:keepNext/>
              <w:spacing w:line="240" w:lineRule="auto"/>
              <w:jc w:val="center"/>
            </w:pPr>
            <w:r w:rsidRPr="004A5712">
              <w:t>($565)</w:t>
            </w:r>
          </w:p>
        </w:tc>
        <w:tc>
          <w:tcPr>
            <w:tcW w:w="1480" w:type="dxa"/>
            <w:tcBorders>
              <w:top w:val="nil"/>
              <w:left w:val="nil"/>
              <w:bottom w:val="single" w:sz="4" w:space="0" w:color="auto"/>
              <w:right w:val="single" w:sz="4" w:space="0" w:color="auto"/>
            </w:tcBorders>
            <w:shd w:val="clear" w:color="auto" w:fill="auto"/>
            <w:vAlign w:val="center"/>
            <w:hideMark/>
          </w:tcPr>
          <w:p w14:paraId="69E4FEDE" w14:textId="6B441B0C" w:rsidR="003C4587" w:rsidRPr="00587EDB" w:rsidRDefault="003C4587" w:rsidP="00FF0EE8">
            <w:pPr>
              <w:keepNext/>
              <w:spacing w:line="240" w:lineRule="auto"/>
              <w:jc w:val="center"/>
            </w:pPr>
            <w:r w:rsidRPr="004A5712">
              <w:t>($431)</w:t>
            </w:r>
          </w:p>
        </w:tc>
        <w:tc>
          <w:tcPr>
            <w:tcW w:w="1540" w:type="dxa"/>
            <w:tcBorders>
              <w:top w:val="nil"/>
              <w:left w:val="nil"/>
              <w:bottom w:val="single" w:sz="4" w:space="0" w:color="auto"/>
              <w:right w:val="single" w:sz="4" w:space="0" w:color="auto"/>
            </w:tcBorders>
            <w:shd w:val="clear" w:color="auto" w:fill="auto"/>
            <w:vAlign w:val="center"/>
            <w:hideMark/>
          </w:tcPr>
          <w:p w14:paraId="111271AE" w14:textId="47AE4F93" w:rsidR="003C4587" w:rsidRPr="00587EDB" w:rsidRDefault="003C4587" w:rsidP="00FF0EE8">
            <w:pPr>
              <w:keepNext/>
              <w:spacing w:line="240" w:lineRule="auto"/>
              <w:jc w:val="center"/>
            </w:pPr>
            <w:r w:rsidRPr="004A5712">
              <w:t>($502)</w:t>
            </w:r>
          </w:p>
        </w:tc>
      </w:tr>
      <w:tr w:rsidR="003C4587" w14:paraId="65A1307D" w14:textId="77777777" w:rsidTr="004F5401">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940113" w14:textId="77777777" w:rsidR="003C4587" w:rsidRPr="00587EDB" w:rsidRDefault="003C4587" w:rsidP="00FF0EE8">
            <w:pPr>
              <w:keepNext/>
              <w:spacing w:line="240" w:lineRule="auto"/>
              <w:jc w:val="center"/>
              <w:rPr>
                <w:color w:val="000000"/>
              </w:rPr>
            </w:pPr>
            <w:r w:rsidRPr="00587EDB">
              <w:t>2022</w:t>
            </w:r>
          </w:p>
        </w:tc>
        <w:tc>
          <w:tcPr>
            <w:tcW w:w="0" w:type="auto"/>
            <w:tcBorders>
              <w:top w:val="nil"/>
              <w:left w:val="nil"/>
              <w:bottom w:val="single" w:sz="4" w:space="0" w:color="auto"/>
              <w:right w:val="single" w:sz="4" w:space="0" w:color="auto"/>
            </w:tcBorders>
            <w:shd w:val="clear" w:color="auto" w:fill="auto"/>
            <w:noWrap/>
            <w:vAlign w:val="center"/>
            <w:hideMark/>
          </w:tcPr>
          <w:p w14:paraId="3BF9FA2A" w14:textId="77777777" w:rsidR="003C4587" w:rsidRPr="00587EDB" w:rsidRDefault="003C4587" w:rsidP="00FF0EE8">
            <w:pPr>
              <w:keepNext/>
              <w:spacing w:line="240" w:lineRule="auto"/>
              <w:jc w:val="center"/>
              <w:rPr>
                <w:color w:val="000000"/>
              </w:rPr>
            </w:pPr>
            <w:r w:rsidRPr="00587EDB">
              <w:rPr>
                <w:color w:val="000000"/>
              </w:rPr>
              <w:t>6</w:t>
            </w:r>
          </w:p>
        </w:tc>
        <w:tc>
          <w:tcPr>
            <w:tcW w:w="1520" w:type="dxa"/>
            <w:tcBorders>
              <w:top w:val="nil"/>
              <w:left w:val="nil"/>
              <w:bottom w:val="single" w:sz="4" w:space="0" w:color="auto"/>
              <w:right w:val="single" w:sz="4" w:space="0" w:color="auto"/>
            </w:tcBorders>
            <w:shd w:val="clear" w:color="auto" w:fill="auto"/>
            <w:vAlign w:val="center"/>
            <w:hideMark/>
          </w:tcPr>
          <w:p w14:paraId="7FFEE2F0" w14:textId="0BCD11EB" w:rsidR="003C4587" w:rsidRPr="00587EDB" w:rsidRDefault="003C4587" w:rsidP="00FF0EE8">
            <w:pPr>
              <w:keepNext/>
              <w:spacing w:line="240" w:lineRule="auto"/>
              <w:jc w:val="center"/>
            </w:pPr>
            <w:r w:rsidRPr="004A5712">
              <w:t>($565)</w:t>
            </w:r>
          </w:p>
        </w:tc>
        <w:tc>
          <w:tcPr>
            <w:tcW w:w="1480" w:type="dxa"/>
            <w:tcBorders>
              <w:top w:val="nil"/>
              <w:left w:val="nil"/>
              <w:bottom w:val="single" w:sz="4" w:space="0" w:color="auto"/>
              <w:right w:val="single" w:sz="4" w:space="0" w:color="auto"/>
            </w:tcBorders>
            <w:shd w:val="clear" w:color="auto" w:fill="auto"/>
            <w:vAlign w:val="center"/>
            <w:hideMark/>
          </w:tcPr>
          <w:p w14:paraId="70550E8A" w14:textId="6F2EA508" w:rsidR="003C4587" w:rsidRPr="00587EDB" w:rsidRDefault="003C4587" w:rsidP="00FF0EE8">
            <w:pPr>
              <w:keepNext/>
              <w:spacing w:line="240" w:lineRule="auto"/>
              <w:jc w:val="center"/>
            </w:pPr>
            <w:r w:rsidRPr="004A5712">
              <w:t>($403)</w:t>
            </w:r>
          </w:p>
        </w:tc>
        <w:tc>
          <w:tcPr>
            <w:tcW w:w="1540" w:type="dxa"/>
            <w:tcBorders>
              <w:top w:val="nil"/>
              <w:left w:val="nil"/>
              <w:bottom w:val="single" w:sz="4" w:space="0" w:color="auto"/>
              <w:right w:val="single" w:sz="4" w:space="0" w:color="auto"/>
            </w:tcBorders>
            <w:shd w:val="clear" w:color="auto" w:fill="auto"/>
            <w:vAlign w:val="center"/>
            <w:hideMark/>
          </w:tcPr>
          <w:p w14:paraId="0A1BBFFE" w14:textId="5CAFEC5E" w:rsidR="003C4587" w:rsidRPr="00587EDB" w:rsidRDefault="003C4587" w:rsidP="00FF0EE8">
            <w:pPr>
              <w:keepNext/>
              <w:spacing w:line="240" w:lineRule="auto"/>
              <w:jc w:val="center"/>
            </w:pPr>
            <w:r w:rsidRPr="004A5712">
              <w:t>($488)</w:t>
            </w:r>
          </w:p>
        </w:tc>
      </w:tr>
      <w:tr w:rsidR="003C4587" w14:paraId="14B6387C" w14:textId="77777777" w:rsidTr="004F5401">
        <w:trPr>
          <w:trHeight w:val="288"/>
          <w:jc w:val="center"/>
        </w:trPr>
        <w:tc>
          <w:tcPr>
            <w:tcW w:w="3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CE149B" w14:textId="77777777" w:rsidR="003C4587" w:rsidRPr="00587EDB" w:rsidRDefault="003C4587" w:rsidP="00757F1A">
            <w:pPr>
              <w:keepNext/>
              <w:spacing w:line="240" w:lineRule="auto"/>
              <w:ind w:right="70"/>
              <w:jc w:val="right"/>
              <w:rPr>
                <w:b/>
                <w:color w:val="000000"/>
              </w:rPr>
            </w:pPr>
            <w:r w:rsidRPr="00587EDB">
              <w:rPr>
                <w:b/>
                <w:color w:val="000000"/>
              </w:rPr>
              <w:t>Total</w:t>
            </w:r>
          </w:p>
        </w:tc>
        <w:tc>
          <w:tcPr>
            <w:tcW w:w="1520" w:type="dxa"/>
            <w:tcBorders>
              <w:top w:val="nil"/>
              <w:left w:val="nil"/>
              <w:bottom w:val="single" w:sz="4" w:space="0" w:color="auto"/>
              <w:right w:val="single" w:sz="4" w:space="0" w:color="auto"/>
            </w:tcBorders>
            <w:shd w:val="clear" w:color="auto" w:fill="auto"/>
            <w:vAlign w:val="center"/>
            <w:hideMark/>
          </w:tcPr>
          <w:p w14:paraId="43F97F69" w14:textId="323E5FD6" w:rsidR="003C4587" w:rsidRPr="003C4587" w:rsidRDefault="003C4587" w:rsidP="00FF0EE8">
            <w:pPr>
              <w:keepNext/>
              <w:spacing w:line="240" w:lineRule="auto"/>
              <w:jc w:val="center"/>
              <w:rPr>
                <w:b/>
              </w:rPr>
            </w:pPr>
            <w:r w:rsidRPr="003C4587">
              <w:rPr>
                <w:b/>
              </w:rPr>
              <w:t>($2,800)</w:t>
            </w:r>
          </w:p>
        </w:tc>
        <w:tc>
          <w:tcPr>
            <w:tcW w:w="1480" w:type="dxa"/>
            <w:tcBorders>
              <w:top w:val="nil"/>
              <w:left w:val="nil"/>
              <w:bottom w:val="single" w:sz="4" w:space="0" w:color="auto"/>
              <w:right w:val="single" w:sz="4" w:space="0" w:color="auto"/>
            </w:tcBorders>
            <w:shd w:val="clear" w:color="auto" w:fill="auto"/>
            <w:vAlign w:val="center"/>
            <w:hideMark/>
          </w:tcPr>
          <w:p w14:paraId="5599B7C9" w14:textId="03B1AFFB" w:rsidR="003C4587" w:rsidRPr="003C4587" w:rsidRDefault="003C4587" w:rsidP="00FF0EE8">
            <w:pPr>
              <w:keepNext/>
              <w:spacing w:line="240" w:lineRule="auto"/>
              <w:jc w:val="center"/>
              <w:rPr>
                <w:b/>
              </w:rPr>
            </w:pPr>
            <w:r w:rsidRPr="003C4587">
              <w:rPr>
                <w:b/>
              </w:rPr>
              <w:t>($2,300)</w:t>
            </w:r>
          </w:p>
        </w:tc>
        <w:tc>
          <w:tcPr>
            <w:tcW w:w="1540" w:type="dxa"/>
            <w:tcBorders>
              <w:top w:val="nil"/>
              <w:left w:val="nil"/>
              <w:bottom w:val="single" w:sz="4" w:space="0" w:color="auto"/>
              <w:right w:val="single" w:sz="4" w:space="0" w:color="auto"/>
            </w:tcBorders>
            <w:shd w:val="clear" w:color="auto" w:fill="auto"/>
            <w:vAlign w:val="center"/>
            <w:hideMark/>
          </w:tcPr>
          <w:p w14:paraId="052C6F4B" w14:textId="188CECE2" w:rsidR="003C4587" w:rsidRPr="003C4587" w:rsidRDefault="003C4587" w:rsidP="00FF0EE8">
            <w:pPr>
              <w:keepNext/>
              <w:spacing w:line="240" w:lineRule="auto"/>
              <w:jc w:val="center"/>
              <w:rPr>
                <w:b/>
              </w:rPr>
            </w:pPr>
            <w:r w:rsidRPr="003C4587">
              <w:rPr>
                <w:b/>
              </w:rPr>
              <w:t>($2,600)</w:t>
            </w:r>
          </w:p>
        </w:tc>
      </w:tr>
    </w:tbl>
    <w:p w14:paraId="2DA1B547" w14:textId="51803008" w:rsidR="00C613D9" w:rsidRDefault="00C613D9" w:rsidP="00FF0EE8">
      <w:pPr>
        <w:spacing w:line="240" w:lineRule="auto"/>
        <w:ind w:firstLine="630"/>
        <w:rPr>
          <w:sz w:val="18"/>
        </w:rPr>
      </w:pPr>
      <w:r>
        <w:rPr>
          <w:sz w:val="18"/>
        </w:rPr>
        <w:t xml:space="preserve">* </w:t>
      </w:r>
      <w:r w:rsidR="00C711AE">
        <w:rPr>
          <w:sz w:val="18"/>
        </w:rPr>
        <w:t xml:space="preserve">Section </w:t>
      </w:r>
      <w:r w:rsidR="00C711AE">
        <w:rPr>
          <w:sz w:val="18"/>
        </w:rPr>
        <w:fldChar w:fldCharType="begin"/>
      </w:r>
      <w:r w:rsidR="00C711AE">
        <w:rPr>
          <w:sz w:val="18"/>
        </w:rPr>
        <w:instrText xml:space="preserve"> REF _Ref435768557 \r \h </w:instrText>
      </w:r>
      <w:r w:rsidR="00C711AE">
        <w:rPr>
          <w:sz w:val="18"/>
        </w:rPr>
      </w:r>
      <w:r w:rsidR="00C711AE">
        <w:rPr>
          <w:sz w:val="18"/>
        </w:rPr>
        <w:fldChar w:fldCharType="separate"/>
      </w:r>
      <w:r w:rsidR="00FD3AB6">
        <w:rPr>
          <w:sz w:val="18"/>
        </w:rPr>
        <w:t>5.4</w:t>
      </w:r>
      <w:r w:rsidR="00C711AE">
        <w:rPr>
          <w:sz w:val="18"/>
        </w:rPr>
        <w:fldChar w:fldCharType="end"/>
      </w:r>
      <w:r w:rsidR="00C711AE">
        <w:rPr>
          <w:sz w:val="18"/>
        </w:rPr>
        <w:t xml:space="preserve"> addresses s</w:t>
      </w:r>
      <w:r>
        <w:rPr>
          <w:sz w:val="18"/>
        </w:rPr>
        <w:t>hort-term replacement power costs.</w:t>
      </w:r>
    </w:p>
    <w:p w14:paraId="2FB44288" w14:textId="7729F128" w:rsidR="00064C5C" w:rsidRDefault="00F834D9" w:rsidP="00FF0EE8">
      <w:pPr>
        <w:spacing w:line="240" w:lineRule="auto"/>
        <w:ind w:firstLine="630"/>
        <w:rPr>
          <w:sz w:val="18"/>
        </w:rPr>
      </w:pPr>
      <w:r>
        <w:rPr>
          <w:sz w:val="18"/>
        </w:rPr>
        <w:t xml:space="preserve">** All values are in </w:t>
      </w:r>
      <w:r w:rsidR="00537A16">
        <w:rPr>
          <w:sz w:val="18"/>
        </w:rPr>
        <w:t xml:space="preserve">2017 </w:t>
      </w:r>
      <w:r>
        <w:rPr>
          <w:sz w:val="18"/>
        </w:rPr>
        <w:t>dollars</w:t>
      </w:r>
      <w:r w:rsidR="00C711AE">
        <w:rPr>
          <w:sz w:val="18"/>
        </w:rPr>
        <w:t>.</w:t>
      </w:r>
    </w:p>
    <w:p w14:paraId="316917CD" w14:textId="77777777" w:rsidR="00F834D9" w:rsidRDefault="00F834D9" w:rsidP="00FF0EE8">
      <w:pPr>
        <w:spacing w:line="240" w:lineRule="auto"/>
        <w:rPr>
          <w:noProof/>
        </w:rPr>
      </w:pPr>
    </w:p>
    <w:p w14:paraId="27C2D663" w14:textId="787077D9" w:rsidR="004665EC" w:rsidRPr="00587EDB" w:rsidRDefault="004665EC" w:rsidP="00FF0EE8">
      <w:pPr>
        <w:pStyle w:val="Caption"/>
        <w:spacing w:line="240" w:lineRule="auto"/>
        <w:jc w:val="center"/>
        <w:rPr>
          <w:b/>
        </w:rPr>
      </w:pPr>
      <w:bookmarkStart w:id="209" w:name="_Toc467508504"/>
      <w:bookmarkStart w:id="210" w:name="_Toc462225010"/>
      <w:r w:rsidRPr="00587EDB">
        <w:rPr>
          <w:b/>
        </w:rPr>
        <w:t xml:space="preserve">Table </w:t>
      </w:r>
      <w:r w:rsidR="00782423" w:rsidRPr="00587EDB">
        <w:rPr>
          <w:b/>
        </w:rPr>
        <w:fldChar w:fldCharType="begin"/>
      </w:r>
      <w:r w:rsidR="00782423" w:rsidRPr="00587EDB">
        <w:rPr>
          <w:b/>
        </w:rPr>
        <w:instrText xml:space="preserve"> SEQ Table \* ARABIC </w:instrText>
      </w:r>
      <w:r w:rsidR="00782423" w:rsidRPr="00587EDB">
        <w:rPr>
          <w:b/>
        </w:rPr>
        <w:fldChar w:fldCharType="separate"/>
      </w:r>
      <w:r w:rsidR="00FD3AB6">
        <w:rPr>
          <w:b/>
          <w:noProof/>
        </w:rPr>
        <w:t>15</w:t>
      </w:r>
      <w:r w:rsidR="00782423" w:rsidRPr="00587EDB">
        <w:rPr>
          <w:b/>
        </w:rPr>
        <w:fldChar w:fldCharType="end"/>
      </w:r>
      <w:r w:rsidR="006C3FF0" w:rsidRPr="00D557C2">
        <w:rPr>
          <w:b/>
        </w:rPr>
        <w:t xml:space="preserve">  </w:t>
      </w:r>
      <w:r w:rsidRPr="00587EDB">
        <w:rPr>
          <w:b/>
        </w:rPr>
        <w:t>Incremental Operations Costs for Conditioned Code Case N-799</w:t>
      </w:r>
      <w:r w:rsidR="006C3FF0" w:rsidRPr="00D557C2">
        <w:rPr>
          <w:b/>
        </w:rPr>
        <w:br/>
      </w:r>
      <w:r w:rsidRPr="00587EDB">
        <w:rPr>
          <w:b/>
        </w:rPr>
        <w:t>for a Hypothetical New Reactor</w:t>
      </w:r>
      <w:bookmarkEnd w:id="209"/>
      <w:bookmarkEnd w:id="210"/>
    </w:p>
    <w:tbl>
      <w:tblPr>
        <w:tblW w:w="6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931"/>
        <w:gridCol w:w="1931"/>
        <w:gridCol w:w="1931"/>
      </w:tblGrid>
      <w:tr w:rsidR="00584D07" w:rsidRPr="004447D9" w14:paraId="4E1A8031" w14:textId="77777777" w:rsidTr="004F5401">
        <w:trPr>
          <w:trHeight w:val="251"/>
          <w:tblHeader/>
          <w:jc w:val="center"/>
        </w:trPr>
        <w:tc>
          <w:tcPr>
            <w:tcW w:w="1151" w:type="dxa"/>
            <w:vMerge w:val="restart"/>
            <w:shd w:val="clear" w:color="auto" w:fill="auto"/>
            <w:noWrap/>
            <w:vAlign w:val="center"/>
          </w:tcPr>
          <w:p w14:paraId="78A74F4E" w14:textId="77777777" w:rsidR="00584D07" w:rsidRPr="00587EDB" w:rsidRDefault="00584D07" w:rsidP="00FF0EE8">
            <w:pPr>
              <w:spacing w:line="240" w:lineRule="auto"/>
              <w:jc w:val="center"/>
              <w:rPr>
                <w:b/>
                <w:color w:val="000000"/>
              </w:rPr>
            </w:pPr>
            <w:r w:rsidRPr="00587EDB">
              <w:rPr>
                <w:b/>
                <w:color w:val="000000"/>
              </w:rPr>
              <w:t>Year</w:t>
            </w:r>
          </w:p>
        </w:tc>
        <w:tc>
          <w:tcPr>
            <w:tcW w:w="5793" w:type="dxa"/>
            <w:gridSpan w:val="3"/>
            <w:shd w:val="clear" w:color="auto" w:fill="auto"/>
            <w:vAlign w:val="center"/>
          </w:tcPr>
          <w:p w14:paraId="459A5E25" w14:textId="77777777" w:rsidR="00584D07" w:rsidRPr="00587EDB" w:rsidRDefault="00584D07" w:rsidP="00FF0EE8">
            <w:pPr>
              <w:autoSpaceDE/>
              <w:autoSpaceDN/>
              <w:adjustRightInd/>
              <w:spacing w:line="240" w:lineRule="auto"/>
              <w:jc w:val="center"/>
              <w:rPr>
                <w:b/>
                <w:color w:val="000000"/>
              </w:rPr>
            </w:pPr>
            <w:r w:rsidRPr="00587EDB">
              <w:rPr>
                <w:b/>
                <w:color w:val="000000"/>
              </w:rPr>
              <w:t>Conditioned Code Case N-799 (201</w:t>
            </w:r>
            <w:r w:rsidR="00C852EB" w:rsidRPr="00587EDB">
              <w:rPr>
                <w:b/>
                <w:color w:val="000000"/>
              </w:rPr>
              <w:t>7</w:t>
            </w:r>
            <w:r w:rsidRPr="00587EDB">
              <w:rPr>
                <w:b/>
                <w:color w:val="000000"/>
              </w:rPr>
              <w:t xml:space="preserve"> dollars)</w:t>
            </w:r>
          </w:p>
        </w:tc>
      </w:tr>
      <w:tr w:rsidR="00602B86" w:rsidRPr="004447D9" w14:paraId="42091882" w14:textId="77777777" w:rsidTr="004F5401">
        <w:trPr>
          <w:trHeight w:val="179"/>
          <w:tblHeader/>
          <w:jc w:val="center"/>
        </w:trPr>
        <w:tc>
          <w:tcPr>
            <w:tcW w:w="1151" w:type="dxa"/>
            <w:vMerge/>
            <w:shd w:val="clear" w:color="auto" w:fill="auto"/>
            <w:noWrap/>
            <w:vAlign w:val="center"/>
            <w:hideMark/>
          </w:tcPr>
          <w:p w14:paraId="69B4ADF7" w14:textId="77777777" w:rsidR="00584D07" w:rsidRPr="00587EDB" w:rsidRDefault="00584D07" w:rsidP="00FF0EE8">
            <w:pPr>
              <w:autoSpaceDE/>
              <w:autoSpaceDN/>
              <w:adjustRightInd/>
              <w:spacing w:line="240" w:lineRule="auto"/>
              <w:jc w:val="center"/>
              <w:rPr>
                <w:b/>
                <w:color w:val="000000"/>
              </w:rPr>
            </w:pPr>
          </w:p>
        </w:tc>
        <w:tc>
          <w:tcPr>
            <w:tcW w:w="1931" w:type="dxa"/>
            <w:shd w:val="clear" w:color="auto" w:fill="auto"/>
            <w:vAlign w:val="center"/>
            <w:hideMark/>
          </w:tcPr>
          <w:p w14:paraId="5382D896" w14:textId="77777777" w:rsidR="00584D07" w:rsidRPr="00587EDB" w:rsidRDefault="00584D07" w:rsidP="00FF0EE8">
            <w:pPr>
              <w:autoSpaceDE/>
              <w:autoSpaceDN/>
              <w:adjustRightInd/>
              <w:spacing w:line="240" w:lineRule="auto"/>
              <w:jc w:val="center"/>
              <w:rPr>
                <w:b/>
                <w:color w:val="000000"/>
              </w:rPr>
            </w:pPr>
            <w:r w:rsidRPr="00587EDB">
              <w:rPr>
                <w:b/>
                <w:color w:val="000000"/>
              </w:rPr>
              <w:t>Undiscounted</w:t>
            </w:r>
          </w:p>
        </w:tc>
        <w:tc>
          <w:tcPr>
            <w:tcW w:w="1931" w:type="dxa"/>
            <w:shd w:val="clear" w:color="auto" w:fill="auto"/>
            <w:vAlign w:val="center"/>
            <w:hideMark/>
          </w:tcPr>
          <w:p w14:paraId="5DBBD5FF" w14:textId="39F61A28" w:rsidR="00584D07" w:rsidRPr="00587EDB" w:rsidRDefault="00584D07" w:rsidP="00FF0EE8">
            <w:pPr>
              <w:autoSpaceDE/>
              <w:autoSpaceDN/>
              <w:adjustRightInd/>
              <w:spacing w:line="240" w:lineRule="auto"/>
              <w:jc w:val="center"/>
              <w:rPr>
                <w:b/>
                <w:color w:val="000000"/>
              </w:rPr>
            </w:pPr>
            <w:r w:rsidRPr="00587EDB">
              <w:rPr>
                <w:b/>
                <w:color w:val="000000"/>
              </w:rPr>
              <w:t xml:space="preserve">7% </w:t>
            </w:r>
            <w:r w:rsidR="00892BAC">
              <w:rPr>
                <w:rFonts w:eastAsia="Times New Roman"/>
                <w:b/>
                <w:color w:val="000000"/>
              </w:rPr>
              <w:t>D</w:t>
            </w:r>
            <w:r w:rsidRPr="00D557C2">
              <w:rPr>
                <w:rFonts w:eastAsia="Times New Roman"/>
                <w:b/>
                <w:color w:val="000000"/>
              </w:rPr>
              <w:t>iscount</w:t>
            </w:r>
          </w:p>
        </w:tc>
        <w:tc>
          <w:tcPr>
            <w:tcW w:w="1931" w:type="dxa"/>
            <w:shd w:val="clear" w:color="auto" w:fill="auto"/>
            <w:vAlign w:val="center"/>
            <w:hideMark/>
          </w:tcPr>
          <w:p w14:paraId="0A0D79DF" w14:textId="31563205" w:rsidR="00584D07" w:rsidRPr="00587EDB" w:rsidRDefault="00584D07" w:rsidP="00FF0EE8">
            <w:pPr>
              <w:autoSpaceDE/>
              <w:autoSpaceDN/>
              <w:adjustRightInd/>
              <w:spacing w:line="240" w:lineRule="auto"/>
              <w:jc w:val="center"/>
              <w:rPr>
                <w:b/>
                <w:color w:val="000000"/>
              </w:rPr>
            </w:pPr>
            <w:r w:rsidRPr="00587EDB">
              <w:rPr>
                <w:b/>
                <w:color w:val="000000"/>
              </w:rPr>
              <w:t xml:space="preserve">3% </w:t>
            </w:r>
            <w:r w:rsidR="00892BAC">
              <w:rPr>
                <w:rFonts w:eastAsia="Times New Roman"/>
                <w:b/>
                <w:color w:val="000000"/>
              </w:rPr>
              <w:t>D</w:t>
            </w:r>
            <w:r w:rsidRPr="00D557C2">
              <w:rPr>
                <w:rFonts w:eastAsia="Times New Roman"/>
                <w:b/>
                <w:color w:val="000000"/>
              </w:rPr>
              <w:t>iscount</w:t>
            </w:r>
          </w:p>
        </w:tc>
      </w:tr>
      <w:tr w:rsidR="003C4587" w:rsidRPr="004447D9" w14:paraId="18CC4E76" w14:textId="77777777" w:rsidTr="004F5401">
        <w:trPr>
          <w:trHeight w:val="300"/>
          <w:jc w:val="center"/>
        </w:trPr>
        <w:tc>
          <w:tcPr>
            <w:tcW w:w="1151" w:type="dxa"/>
            <w:shd w:val="clear" w:color="auto" w:fill="auto"/>
            <w:noWrap/>
            <w:vAlign w:val="center"/>
            <w:hideMark/>
          </w:tcPr>
          <w:p w14:paraId="71FE0B6A" w14:textId="77777777" w:rsidR="003C4587" w:rsidRPr="00587EDB" w:rsidRDefault="003C4587" w:rsidP="00FF0EE8">
            <w:pPr>
              <w:autoSpaceDE/>
              <w:autoSpaceDN/>
              <w:adjustRightInd/>
              <w:spacing w:line="240" w:lineRule="auto"/>
              <w:jc w:val="center"/>
            </w:pPr>
            <w:r w:rsidRPr="00587EDB">
              <w:t>2020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8D9B2" w14:textId="4AC2A362" w:rsidR="003C4587" w:rsidRPr="00587EDB" w:rsidRDefault="003C4587" w:rsidP="00FF0EE8">
            <w:pPr>
              <w:autoSpaceDE/>
              <w:autoSpaceDN/>
              <w:adjustRightInd/>
              <w:spacing w:line="240" w:lineRule="auto"/>
              <w:jc w:val="center"/>
            </w:pPr>
            <w:r w:rsidRPr="009B0432">
              <w:t>($7,330)</w:t>
            </w:r>
          </w:p>
        </w:tc>
        <w:tc>
          <w:tcPr>
            <w:tcW w:w="1931" w:type="dxa"/>
            <w:tcBorders>
              <w:top w:val="single" w:sz="4" w:space="0" w:color="auto"/>
              <w:left w:val="nil"/>
              <w:bottom w:val="single" w:sz="4" w:space="0" w:color="auto"/>
              <w:right w:val="single" w:sz="4" w:space="0" w:color="auto"/>
            </w:tcBorders>
            <w:shd w:val="clear" w:color="auto" w:fill="auto"/>
            <w:noWrap/>
            <w:vAlign w:val="center"/>
            <w:hideMark/>
          </w:tcPr>
          <w:p w14:paraId="009442A2" w14:textId="0CF3BCD9" w:rsidR="003C4587" w:rsidRPr="00587EDB" w:rsidRDefault="003C4587" w:rsidP="00FF0EE8">
            <w:pPr>
              <w:spacing w:line="240" w:lineRule="auto"/>
              <w:jc w:val="center"/>
            </w:pPr>
            <w:r w:rsidRPr="009B0432">
              <w:t>($5,984)</w:t>
            </w:r>
          </w:p>
        </w:tc>
        <w:tc>
          <w:tcPr>
            <w:tcW w:w="1931" w:type="dxa"/>
            <w:tcBorders>
              <w:top w:val="single" w:sz="4" w:space="0" w:color="auto"/>
              <w:left w:val="nil"/>
              <w:bottom w:val="single" w:sz="4" w:space="0" w:color="auto"/>
              <w:right w:val="single" w:sz="4" w:space="0" w:color="auto"/>
            </w:tcBorders>
            <w:shd w:val="clear" w:color="auto" w:fill="auto"/>
            <w:noWrap/>
            <w:vAlign w:val="center"/>
            <w:hideMark/>
          </w:tcPr>
          <w:p w14:paraId="52CCE078" w14:textId="10A7ABE5" w:rsidR="003C4587" w:rsidRPr="00587EDB" w:rsidRDefault="003C4587" w:rsidP="00FF0EE8">
            <w:pPr>
              <w:spacing w:line="240" w:lineRule="auto"/>
              <w:jc w:val="center"/>
            </w:pPr>
            <w:r w:rsidRPr="009B0432">
              <w:t>($6,708)</w:t>
            </w:r>
          </w:p>
        </w:tc>
      </w:tr>
      <w:tr w:rsidR="003C4587" w:rsidRPr="004447D9" w14:paraId="35A7D2D8" w14:textId="77777777" w:rsidTr="004F5401">
        <w:trPr>
          <w:trHeight w:val="300"/>
          <w:jc w:val="center"/>
        </w:trPr>
        <w:tc>
          <w:tcPr>
            <w:tcW w:w="1151" w:type="dxa"/>
            <w:shd w:val="clear" w:color="auto" w:fill="auto"/>
            <w:noWrap/>
            <w:vAlign w:val="center"/>
            <w:hideMark/>
          </w:tcPr>
          <w:p w14:paraId="70EAD543" w14:textId="77777777" w:rsidR="003C4587" w:rsidRPr="00587EDB" w:rsidRDefault="003C4587" w:rsidP="00FF0EE8">
            <w:pPr>
              <w:autoSpaceDE/>
              <w:autoSpaceDN/>
              <w:adjustRightInd/>
              <w:spacing w:line="240" w:lineRule="auto"/>
              <w:jc w:val="center"/>
            </w:pPr>
            <w:r w:rsidRPr="00587EDB">
              <w:t>2021</w:t>
            </w:r>
          </w:p>
        </w:tc>
        <w:tc>
          <w:tcPr>
            <w:tcW w:w="1931" w:type="dxa"/>
            <w:tcBorders>
              <w:top w:val="nil"/>
              <w:left w:val="single" w:sz="4" w:space="0" w:color="auto"/>
              <w:bottom w:val="single" w:sz="4" w:space="0" w:color="auto"/>
              <w:right w:val="single" w:sz="4" w:space="0" w:color="auto"/>
            </w:tcBorders>
            <w:shd w:val="clear" w:color="auto" w:fill="auto"/>
            <w:vAlign w:val="center"/>
            <w:hideMark/>
          </w:tcPr>
          <w:p w14:paraId="7C0467B8" w14:textId="670AB08D" w:rsidR="003C4587" w:rsidRPr="00587EDB" w:rsidRDefault="003C4587" w:rsidP="00FF0EE8">
            <w:pPr>
              <w:spacing w:line="240" w:lineRule="auto"/>
              <w:jc w:val="center"/>
            </w:pPr>
            <w:r w:rsidRPr="009B0432">
              <w:t>($7,330)</w:t>
            </w:r>
          </w:p>
        </w:tc>
        <w:tc>
          <w:tcPr>
            <w:tcW w:w="1931" w:type="dxa"/>
            <w:tcBorders>
              <w:top w:val="nil"/>
              <w:left w:val="nil"/>
              <w:bottom w:val="single" w:sz="4" w:space="0" w:color="auto"/>
              <w:right w:val="single" w:sz="4" w:space="0" w:color="auto"/>
            </w:tcBorders>
            <w:shd w:val="clear" w:color="auto" w:fill="auto"/>
            <w:noWrap/>
            <w:vAlign w:val="center"/>
            <w:hideMark/>
          </w:tcPr>
          <w:p w14:paraId="500BEBC3" w14:textId="1F7BB9C7" w:rsidR="003C4587" w:rsidRPr="00587EDB" w:rsidRDefault="003C4587" w:rsidP="00FF0EE8">
            <w:pPr>
              <w:spacing w:line="240" w:lineRule="auto"/>
              <w:jc w:val="center"/>
            </w:pPr>
            <w:r w:rsidRPr="009B0432">
              <w:t>($5,592)</w:t>
            </w:r>
          </w:p>
        </w:tc>
        <w:tc>
          <w:tcPr>
            <w:tcW w:w="1931" w:type="dxa"/>
            <w:tcBorders>
              <w:top w:val="nil"/>
              <w:left w:val="nil"/>
              <w:bottom w:val="single" w:sz="4" w:space="0" w:color="auto"/>
              <w:right w:val="single" w:sz="4" w:space="0" w:color="auto"/>
            </w:tcBorders>
            <w:shd w:val="clear" w:color="auto" w:fill="auto"/>
            <w:noWrap/>
            <w:vAlign w:val="center"/>
            <w:hideMark/>
          </w:tcPr>
          <w:p w14:paraId="746083A9" w14:textId="60E2DFED" w:rsidR="003C4587" w:rsidRPr="00587EDB" w:rsidRDefault="003C4587" w:rsidP="00FF0EE8">
            <w:pPr>
              <w:spacing w:line="240" w:lineRule="auto"/>
              <w:jc w:val="center"/>
            </w:pPr>
            <w:r w:rsidRPr="009B0432">
              <w:t>($6,513)</w:t>
            </w:r>
          </w:p>
        </w:tc>
      </w:tr>
      <w:tr w:rsidR="003C4587" w:rsidRPr="004447D9" w14:paraId="1129CE58" w14:textId="77777777" w:rsidTr="004F5401">
        <w:trPr>
          <w:trHeight w:val="300"/>
          <w:jc w:val="center"/>
        </w:trPr>
        <w:tc>
          <w:tcPr>
            <w:tcW w:w="1151" w:type="dxa"/>
            <w:shd w:val="clear" w:color="auto" w:fill="auto"/>
            <w:noWrap/>
            <w:vAlign w:val="center"/>
            <w:hideMark/>
          </w:tcPr>
          <w:p w14:paraId="02508A67" w14:textId="77777777" w:rsidR="003C4587" w:rsidRPr="00587EDB" w:rsidRDefault="003C4587" w:rsidP="00FF0EE8">
            <w:pPr>
              <w:autoSpaceDE/>
              <w:autoSpaceDN/>
              <w:adjustRightInd/>
              <w:spacing w:line="240" w:lineRule="auto"/>
              <w:jc w:val="center"/>
            </w:pPr>
            <w:r w:rsidRPr="00587EDB">
              <w:t>2022</w:t>
            </w:r>
          </w:p>
        </w:tc>
        <w:tc>
          <w:tcPr>
            <w:tcW w:w="1931" w:type="dxa"/>
            <w:tcBorders>
              <w:top w:val="nil"/>
              <w:left w:val="single" w:sz="4" w:space="0" w:color="auto"/>
              <w:bottom w:val="single" w:sz="4" w:space="0" w:color="auto"/>
              <w:right w:val="single" w:sz="4" w:space="0" w:color="auto"/>
            </w:tcBorders>
            <w:shd w:val="clear" w:color="auto" w:fill="auto"/>
            <w:vAlign w:val="center"/>
            <w:hideMark/>
          </w:tcPr>
          <w:p w14:paraId="66DA5467" w14:textId="1CCA580D" w:rsidR="003C4587" w:rsidRPr="00587EDB" w:rsidRDefault="003C4587" w:rsidP="00FF0EE8">
            <w:pPr>
              <w:spacing w:line="240" w:lineRule="auto"/>
              <w:jc w:val="center"/>
            </w:pPr>
            <w:r w:rsidRPr="009B0432">
              <w:t>($7,330)</w:t>
            </w:r>
          </w:p>
        </w:tc>
        <w:tc>
          <w:tcPr>
            <w:tcW w:w="1931" w:type="dxa"/>
            <w:tcBorders>
              <w:top w:val="nil"/>
              <w:left w:val="nil"/>
              <w:bottom w:val="single" w:sz="4" w:space="0" w:color="auto"/>
              <w:right w:val="single" w:sz="4" w:space="0" w:color="auto"/>
            </w:tcBorders>
            <w:shd w:val="clear" w:color="auto" w:fill="auto"/>
            <w:noWrap/>
            <w:vAlign w:val="center"/>
            <w:hideMark/>
          </w:tcPr>
          <w:p w14:paraId="60E4DC18" w14:textId="42045AA6" w:rsidR="003C4587" w:rsidRPr="00587EDB" w:rsidRDefault="003C4587" w:rsidP="00FF0EE8">
            <w:pPr>
              <w:spacing w:line="240" w:lineRule="auto"/>
              <w:jc w:val="center"/>
            </w:pPr>
            <w:r w:rsidRPr="009B0432">
              <w:t>($5,226)</w:t>
            </w:r>
          </w:p>
        </w:tc>
        <w:tc>
          <w:tcPr>
            <w:tcW w:w="1931" w:type="dxa"/>
            <w:tcBorders>
              <w:top w:val="nil"/>
              <w:left w:val="nil"/>
              <w:bottom w:val="single" w:sz="4" w:space="0" w:color="auto"/>
              <w:right w:val="single" w:sz="4" w:space="0" w:color="auto"/>
            </w:tcBorders>
            <w:shd w:val="clear" w:color="auto" w:fill="auto"/>
            <w:noWrap/>
            <w:vAlign w:val="center"/>
            <w:hideMark/>
          </w:tcPr>
          <w:p w14:paraId="46DC6C0B" w14:textId="4184ED08" w:rsidR="003C4587" w:rsidRPr="00587EDB" w:rsidRDefault="003C4587" w:rsidP="00FF0EE8">
            <w:pPr>
              <w:spacing w:line="240" w:lineRule="auto"/>
              <w:jc w:val="center"/>
            </w:pPr>
            <w:r w:rsidRPr="009B0432">
              <w:t>($6,323)</w:t>
            </w:r>
          </w:p>
        </w:tc>
      </w:tr>
      <w:tr w:rsidR="003C4587" w:rsidRPr="004447D9" w14:paraId="430E9003" w14:textId="77777777" w:rsidTr="004F5401">
        <w:trPr>
          <w:trHeight w:val="300"/>
          <w:jc w:val="center"/>
        </w:trPr>
        <w:tc>
          <w:tcPr>
            <w:tcW w:w="1151" w:type="dxa"/>
            <w:shd w:val="clear" w:color="auto" w:fill="auto"/>
            <w:noWrap/>
            <w:vAlign w:val="center"/>
            <w:hideMark/>
          </w:tcPr>
          <w:p w14:paraId="0BDDD279" w14:textId="77777777" w:rsidR="003C4587" w:rsidRPr="00587EDB" w:rsidRDefault="003C4587" w:rsidP="00FF0EE8">
            <w:pPr>
              <w:autoSpaceDE/>
              <w:autoSpaceDN/>
              <w:adjustRightInd/>
              <w:spacing w:line="240" w:lineRule="auto"/>
              <w:jc w:val="center"/>
            </w:pPr>
            <w:r w:rsidRPr="00587EDB">
              <w:t>2023</w:t>
            </w:r>
          </w:p>
        </w:tc>
        <w:tc>
          <w:tcPr>
            <w:tcW w:w="1931" w:type="dxa"/>
            <w:tcBorders>
              <w:top w:val="nil"/>
              <w:left w:val="single" w:sz="4" w:space="0" w:color="auto"/>
              <w:bottom w:val="single" w:sz="4" w:space="0" w:color="auto"/>
              <w:right w:val="single" w:sz="4" w:space="0" w:color="auto"/>
            </w:tcBorders>
            <w:shd w:val="clear" w:color="auto" w:fill="auto"/>
            <w:vAlign w:val="center"/>
            <w:hideMark/>
          </w:tcPr>
          <w:p w14:paraId="57E030E4" w14:textId="69B10118" w:rsidR="003C4587" w:rsidRPr="00587EDB" w:rsidRDefault="003C4587" w:rsidP="00FF0EE8">
            <w:pPr>
              <w:spacing w:line="240" w:lineRule="auto"/>
              <w:jc w:val="center"/>
            </w:pPr>
            <w:r w:rsidRPr="009B0432">
              <w:t>($7,330)</w:t>
            </w:r>
          </w:p>
        </w:tc>
        <w:tc>
          <w:tcPr>
            <w:tcW w:w="1931" w:type="dxa"/>
            <w:tcBorders>
              <w:top w:val="nil"/>
              <w:left w:val="nil"/>
              <w:bottom w:val="single" w:sz="4" w:space="0" w:color="auto"/>
              <w:right w:val="single" w:sz="4" w:space="0" w:color="auto"/>
            </w:tcBorders>
            <w:shd w:val="clear" w:color="auto" w:fill="auto"/>
            <w:noWrap/>
            <w:vAlign w:val="center"/>
            <w:hideMark/>
          </w:tcPr>
          <w:p w14:paraId="4EC078DD" w14:textId="4E2AFFAB" w:rsidR="003C4587" w:rsidRPr="00587EDB" w:rsidRDefault="003C4587" w:rsidP="00FF0EE8">
            <w:pPr>
              <w:spacing w:line="240" w:lineRule="auto"/>
              <w:jc w:val="center"/>
            </w:pPr>
            <w:r w:rsidRPr="009B0432">
              <w:t>($4,884)</w:t>
            </w:r>
          </w:p>
        </w:tc>
        <w:tc>
          <w:tcPr>
            <w:tcW w:w="1931" w:type="dxa"/>
            <w:tcBorders>
              <w:top w:val="nil"/>
              <w:left w:val="nil"/>
              <w:bottom w:val="single" w:sz="4" w:space="0" w:color="auto"/>
              <w:right w:val="single" w:sz="4" w:space="0" w:color="auto"/>
            </w:tcBorders>
            <w:shd w:val="clear" w:color="auto" w:fill="auto"/>
            <w:noWrap/>
            <w:vAlign w:val="center"/>
            <w:hideMark/>
          </w:tcPr>
          <w:p w14:paraId="48E98E8D" w14:textId="0B387149" w:rsidR="003C4587" w:rsidRPr="00587EDB" w:rsidRDefault="003C4587" w:rsidP="00FF0EE8">
            <w:pPr>
              <w:spacing w:line="240" w:lineRule="auto"/>
              <w:jc w:val="center"/>
            </w:pPr>
            <w:r w:rsidRPr="009B0432">
              <w:t>($6,139)</w:t>
            </w:r>
          </w:p>
        </w:tc>
      </w:tr>
      <w:tr w:rsidR="003C4587" w:rsidRPr="004447D9" w14:paraId="57A85820" w14:textId="77777777" w:rsidTr="004F5401">
        <w:trPr>
          <w:trHeight w:val="300"/>
          <w:jc w:val="center"/>
        </w:trPr>
        <w:tc>
          <w:tcPr>
            <w:tcW w:w="1151" w:type="dxa"/>
            <w:shd w:val="clear" w:color="auto" w:fill="auto"/>
            <w:noWrap/>
            <w:vAlign w:val="center"/>
            <w:hideMark/>
          </w:tcPr>
          <w:p w14:paraId="20B7A64C" w14:textId="77777777" w:rsidR="003C4587" w:rsidRPr="00587EDB" w:rsidRDefault="003C4587" w:rsidP="00FF0EE8">
            <w:pPr>
              <w:autoSpaceDE/>
              <w:autoSpaceDN/>
              <w:adjustRightInd/>
              <w:spacing w:line="240" w:lineRule="auto"/>
              <w:jc w:val="center"/>
            </w:pPr>
            <w:r w:rsidRPr="00587EDB">
              <w:t>2024</w:t>
            </w:r>
          </w:p>
        </w:tc>
        <w:tc>
          <w:tcPr>
            <w:tcW w:w="1931" w:type="dxa"/>
            <w:tcBorders>
              <w:top w:val="nil"/>
              <w:left w:val="single" w:sz="4" w:space="0" w:color="auto"/>
              <w:bottom w:val="single" w:sz="4" w:space="0" w:color="auto"/>
              <w:right w:val="single" w:sz="4" w:space="0" w:color="auto"/>
            </w:tcBorders>
            <w:shd w:val="clear" w:color="auto" w:fill="auto"/>
            <w:vAlign w:val="center"/>
            <w:hideMark/>
          </w:tcPr>
          <w:p w14:paraId="407377F8" w14:textId="41651987" w:rsidR="003C4587" w:rsidRPr="00587EDB" w:rsidRDefault="003C4587" w:rsidP="00FF0EE8">
            <w:pPr>
              <w:spacing w:line="240" w:lineRule="auto"/>
              <w:jc w:val="center"/>
            </w:pPr>
            <w:r w:rsidRPr="009B0432">
              <w:t>($7,330)</w:t>
            </w:r>
          </w:p>
        </w:tc>
        <w:tc>
          <w:tcPr>
            <w:tcW w:w="1931" w:type="dxa"/>
            <w:tcBorders>
              <w:top w:val="nil"/>
              <w:left w:val="nil"/>
              <w:bottom w:val="single" w:sz="4" w:space="0" w:color="auto"/>
              <w:right w:val="single" w:sz="4" w:space="0" w:color="auto"/>
            </w:tcBorders>
            <w:shd w:val="clear" w:color="auto" w:fill="auto"/>
            <w:noWrap/>
            <w:vAlign w:val="center"/>
            <w:hideMark/>
          </w:tcPr>
          <w:p w14:paraId="28CE2E13" w14:textId="046D78D8" w:rsidR="003C4587" w:rsidRPr="00587EDB" w:rsidRDefault="003C4587" w:rsidP="00FF0EE8">
            <w:pPr>
              <w:spacing w:line="240" w:lineRule="auto"/>
              <w:jc w:val="center"/>
            </w:pPr>
            <w:r w:rsidRPr="009B0432">
              <w:t>($4,565)</w:t>
            </w:r>
          </w:p>
        </w:tc>
        <w:tc>
          <w:tcPr>
            <w:tcW w:w="1931" w:type="dxa"/>
            <w:tcBorders>
              <w:top w:val="nil"/>
              <w:left w:val="nil"/>
              <w:bottom w:val="single" w:sz="4" w:space="0" w:color="auto"/>
              <w:right w:val="single" w:sz="4" w:space="0" w:color="auto"/>
            </w:tcBorders>
            <w:shd w:val="clear" w:color="auto" w:fill="auto"/>
            <w:noWrap/>
            <w:vAlign w:val="center"/>
            <w:hideMark/>
          </w:tcPr>
          <w:p w14:paraId="08CA6599" w14:textId="7D6548CF" w:rsidR="003C4587" w:rsidRPr="00587EDB" w:rsidRDefault="003C4587" w:rsidP="00FF0EE8">
            <w:pPr>
              <w:spacing w:line="240" w:lineRule="auto"/>
              <w:jc w:val="center"/>
            </w:pPr>
            <w:r w:rsidRPr="009B0432">
              <w:t>($5,960)</w:t>
            </w:r>
          </w:p>
        </w:tc>
      </w:tr>
      <w:tr w:rsidR="003C4587" w:rsidRPr="00696917" w14:paraId="7A8CF03E" w14:textId="77777777" w:rsidTr="004F5401">
        <w:trPr>
          <w:trHeight w:val="300"/>
          <w:jc w:val="center"/>
        </w:trPr>
        <w:tc>
          <w:tcPr>
            <w:tcW w:w="1151" w:type="dxa"/>
            <w:shd w:val="clear" w:color="auto" w:fill="auto"/>
            <w:vAlign w:val="center"/>
            <w:hideMark/>
          </w:tcPr>
          <w:p w14:paraId="7049B0A5" w14:textId="77777777" w:rsidR="003C4587" w:rsidRPr="00587EDB" w:rsidRDefault="003C4587" w:rsidP="00FF0EE8">
            <w:pPr>
              <w:autoSpaceDE/>
              <w:autoSpaceDN/>
              <w:adjustRightInd/>
              <w:spacing w:line="240" w:lineRule="auto"/>
              <w:jc w:val="center"/>
              <w:rPr>
                <w:b/>
              </w:rPr>
            </w:pPr>
            <w:r w:rsidRPr="00587EDB">
              <w:rPr>
                <w:b/>
              </w:rPr>
              <w:t>Total</w:t>
            </w:r>
          </w:p>
        </w:tc>
        <w:tc>
          <w:tcPr>
            <w:tcW w:w="193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60A8ECB" w14:textId="549FB06F" w:rsidR="003C4587" w:rsidRPr="003C4587" w:rsidRDefault="003C4587" w:rsidP="00FF0EE8">
            <w:pPr>
              <w:spacing w:line="240" w:lineRule="auto"/>
              <w:jc w:val="center"/>
              <w:rPr>
                <w:b/>
              </w:rPr>
            </w:pPr>
            <w:r w:rsidRPr="003C4587">
              <w:rPr>
                <w:b/>
              </w:rPr>
              <w:t>($36,700)</w:t>
            </w:r>
          </w:p>
        </w:tc>
        <w:tc>
          <w:tcPr>
            <w:tcW w:w="193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E14EE77" w14:textId="7F762B67" w:rsidR="003C4587" w:rsidRPr="003C4587" w:rsidRDefault="003C4587" w:rsidP="00FF0EE8">
            <w:pPr>
              <w:spacing w:line="240" w:lineRule="auto"/>
              <w:jc w:val="center"/>
              <w:rPr>
                <w:b/>
              </w:rPr>
            </w:pPr>
            <w:r w:rsidRPr="003C4587">
              <w:rPr>
                <w:b/>
              </w:rPr>
              <w:t>($26,300)</w:t>
            </w:r>
          </w:p>
        </w:tc>
        <w:tc>
          <w:tcPr>
            <w:tcW w:w="193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40D3A93" w14:textId="147C6FDF" w:rsidR="003C4587" w:rsidRPr="003C4587" w:rsidRDefault="003C4587" w:rsidP="00FF0EE8">
            <w:pPr>
              <w:spacing w:line="240" w:lineRule="auto"/>
              <w:jc w:val="center"/>
              <w:rPr>
                <w:b/>
              </w:rPr>
            </w:pPr>
            <w:r w:rsidRPr="003C4587">
              <w:rPr>
                <w:b/>
              </w:rPr>
              <w:t>($31,600)</w:t>
            </w:r>
          </w:p>
        </w:tc>
      </w:tr>
    </w:tbl>
    <w:p w14:paraId="0BE9685F" w14:textId="4762158E" w:rsidR="00F834D9" w:rsidRDefault="00F834D9" w:rsidP="00FF0EE8">
      <w:pPr>
        <w:spacing w:line="240" w:lineRule="auto"/>
        <w:ind w:firstLine="1260"/>
        <w:rPr>
          <w:sz w:val="18"/>
        </w:rPr>
      </w:pPr>
      <w:r w:rsidRPr="007B793C">
        <w:rPr>
          <w:sz w:val="18"/>
        </w:rPr>
        <w:t xml:space="preserve">* </w:t>
      </w:r>
      <w:r w:rsidR="00B658C3">
        <w:rPr>
          <w:sz w:val="18"/>
        </w:rPr>
        <w:t>Rounding</w:t>
      </w:r>
      <w:r w:rsidR="00B658C3" w:rsidRPr="007B793C">
        <w:rPr>
          <w:sz w:val="18"/>
        </w:rPr>
        <w:t xml:space="preserve"> </w:t>
      </w:r>
      <w:r w:rsidRPr="007B793C">
        <w:rPr>
          <w:sz w:val="18"/>
        </w:rPr>
        <w:t xml:space="preserve">may </w:t>
      </w:r>
      <w:r w:rsidR="00B658C3">
        <w:rPr>
          <w:sz w:val="18"/>
        </w:rPr>
        <w:t>have caused</w:t>
      </w:r>
      <w:r w:rsidR="00B658C3" w:rsidRPr="007B793C">
        <w:rPr>
          <w:sz w:val="18"/>
        </w:rPr>
        <w:t xml:space="preserve"> </w:t>
      </w:r>
      <w:r w:rsidRPr="007B793C">
        <w:rPr>
          <w:sz w:val="18"/>
        </w:rPr>
        <w:t xml:space="preserve">discrepancies in </w:t>
      </w:r>
      <w:r w:rsidR="00C711AE">
        <w:rPr>
          <w:sz w:val="18"/>
        </w:rPr>
        <w:t xml:space="preserve">the </w:t>
      </w:r>
      <w:r w:rsidRPr="007B793C">
        <w:rPr>
          <w:sz w:val="18"/>
        </w:rPr>
        <w:t>calculations.</w:t>
      </w:r>
    </w:p>
    <w:p w14:paraId="1455C314" w14:textId="77777777" w:rsidR="00F834D9" w:rsidRDefault="00F834D9" w:rsidP="00FF0EE8">
      <w:pPr>
        <w:spacing w:line="240" w:lineRule="auto"/>
        <w:ind w:firstLine="1260"/>
        <w:rPr>
          <w:sz w:val="18"/>
        </w:rPr>
      </w:pPr>
      <w:r>
        <w:rPr>
          <w:sz w:val="18"/>
        </w:rPr>
        <w:t xml:space="preserve">** All values are in </w:t>
      </w:r>
      <w:r w:rsidR="00537A16">
        <w:rPr>
          <w:sz w:val="18"/>
        </w:rPr>
        <w:t xml:space="preserve">2017 </w:t>
      </w:r>
      <w:r>
        <w:rPr>
          <w:sz w:val="18"/>
        </w:rPr>
        <w:t>dollars</w:t>
      </w:r>
      <w:r w:rsidR="00C711AE">
        <w:rPr>
          <w:sz w:val="18"/>
        </w:rPr>
        <w:t>.</w:t>
      </w:r>
    </w:p>
    <w:p w14:paraId="3929A371" w14:textId="77777777" w:rsidR="00DC5FA9" w:rsidRPr="004669CD" w:rsidRDefault="00DC5FA9" w:rsidP="00FF0EE8">
      <w:pPr>
        <w:spacing w:line="240" w:lineRule="auto"/>
        <w:rPr>
          <w:noProof/>
        </w:rPr>
      </w:pPr>
    </w:p>
    <w:p w14:paraId="0D700357" w14:textId="7EB85B73" w:rsidR="006E3507" w:rsidRPr="004669CD" w:rsidRDefault="00330C80" w:rsidP="00FF0EE8">
      <w:pPr>
        <w:spacing w:line="240" w:lineRule="auto"/>
        <w:rPr>
          <w:noProof/>
        </w:rPr>
      </w:pPr>
      <w:r w:rsidRPr="00330C80">
        <w:t xml:space="preserve">As indicated in the </w:t>
      </w:r>
      <w:r w:rsidR="00C711AE">
        <w:t>FR</w:t>
      </w:r>
      <w:r w:rsidRPr="00330C80">
        <w:t xml:space="preserve"> </w:t>
      </w:r>
      <w:r w:rsidR="00C711AE">
        <w:t>n</w:t>
      </w:r>
      <w:r w:rsidRPr="00330C80">
        <w:t>otice for this rulemaking, Code Case OMN</w:t>
      </w:r>
      <w:r w:rsidR="00C711AE">
        <w:noBreakHyphen/>
      </w:r>
      <w:r w:rsidRPr="00330C80">
        <w:t xml:space="preserve">19 allows an extended range </w:t>
      </w:r>
      <w:r w:rsidR="00C711AE">
        <w:t>that</w:t>
      </w:r>
      <w:r w:rsidRPr="00330C80">
        <w:t xml:space="preserve"> provides for an alternative upper limit level for the acceptance criteria in a comprehensive pump test required by </w:t>
      </w:r>
      <w:r w:rsidR="008E6B81">
        <w:t xml:space="preserve">ASME </w:t>
      </w:r>
      <w:r w:rsidR="00740E37">
        <w:t xml:space="preserve">OM Code </w:t>
      </w:r>
      <w:r w:rsidRPr="00330C80">
        <w:t xml:space="preserve">Subsection ISTB.  This extended range will provide significant cost savings to applicants and licensees by avoiding test results that indicate unacceptable pump performance that would require additional pump evaluation and potential declaration of pump inoperability.  As discussed in </w:t>
      </w:r>
      <w:r w:rsidR="001540D7">
        <w:t xml:space="preserve">the </w:t>
      </w:r>
      <w:r w:rsidR="001540D7" w:rsidRPr="000E324D">
        <w:rPr>
          <w:i/>
        </w:rPr>
        <w:t>Federal Register</w:t>
      </w:r>
      <w:r w:rsidR="001540D7">
        <w:t xml:space="preserve"> </w:t>
      </w:r>
      <w:r w:rsidR="001F07C8">
        <w:t xml:space="preserve">notice </w:t>
      </w:r>
      <w:r w:rsidR="001540D7">
        <w:t>dated</w:t>
      </w:r>
      <w:r w:rsidRPr="00330C80">
        <w:t xml:space="preserve"> </w:t>
      </w:r>
      <w:r w:rsidR="001F07C8">
        <w:t xml:space="preserve"> </w:t>
      </w:r>
      <w:r w:rsidRPr="00330C80">
        <w:t>September</w:t>
      </w:r>
      <w:r w:rsidR="008B373C">
        <w:t> </w:t>
      </w:r>
      <w:r w:rsidRPr="00330C80">
        <w:t>18,</w:t>
      </w:r>
      <w:r w:rsidR="008B373C">
        <w:t> </w:t>
      </w:r>
      <w:r w:rsidRPr="00330C80">
        <w:t>2015</w:t>
      </w:r>
      <w:r w:rsidR="001540D7">
        <w:t xml:space="preserve"> (</w:t>
      </w:r>
      <w:r w:rsidR="001540D7" w:rsidRPr="00330C80">
        <w:t>80</w:t>
      </w:r>
      <w:r w:rsidR="001540D7">
        <w:t> </w:t>
      </w:r>
      <w:r w:rsidR="001540D7" w:rsidRPr="00330C80">
        <w:t>FR</w:t>
      </w:r>
      <w:r w:rsidR="001540D7">
        <w:t> </w:t>
      </w:r>
      <w:r w:rsidR="001540D7" w:rsidRPr="00330C80">
        <w:t>56820</w:t>
      </w:r>
      <w:r w:rsidRPr="00330C80">
        <w:t xml:space="preserve">), </w:t>
      </w:r>
      <w:r w:rsidR="008B373C" w:rsidRPr="00330C80">
        <w:t xml:space="preserve">the ASME OM Code </w:t>
      </w:r>
      <w:r w:rsidR="008B373C">
        <w:t xml:space="preserve">includes </w:t>
      </w:r>
      <w:r w:rsidRPr="00330C80">
        <w:t>Mandatory Appendix</w:t>
      </w:r>
      <w:r w:rsidR="008B373C">
        <w:t> </w:t>
      </w:r>
      <w:r w:rsidRPr="00330C80">
        <w:t>V, “Pump Periodic Verification Test Program,” to support a similar extension of the upper range for the pump acceptance criteria in</w:t>
      </w:r>
      <w:r w:rsidR="008B373C">
        <w:t xml:space="preserve"> ASME</w:t>
      </w:r>
      <w:r w:rsidRPr="00330C80">
        <w:t xml:space="preserve"> Subsection</w:t>
      </w:r>
      <w:r w:rsidR="008B373C">
        <w:t> </w:t>
      </w:r>
      <w:r w:rsidRPr="00330C80">
        <w:t xml:space="preserve">ISTB.  </w:t>
      </w:r>
      <w:r w:rsidR="008B373C" w:rsidRPr="00330C80">
        <w:t>Code Case OMN</w:t>
      </w:r>
      <w:r w:rsidR="008B373C">
        <w:noBreakHyphen/>
      </w:r>
      <w:r w:rsidR="008B373C" w:rsidRPr="00330C80">
        <w:t>19</w:t>
      </w:r>
      <w:r w:rsidR="008B373C">
        <w:t xml:space="preserve"> allows t</w:t>
      </w:r>
      <w:r w:rsidRPr="00330C80">
        <w:t>his same upper range extension.  The condition in RG</w:t>
      </w:r>
      <w:r w:rsidR="008B373C">
        <w:t> </w:t>
      </w:r>
      <w:r w:rsidRPr="00330C80">
        <w:t>1.192 for the use of Code Case</w:t>
      </w:r>
      <w:r w:rsidR="008B373C">
        <w:t> </w:t>
      </w:r>
      <w:r w:rsidRPr="00330C80">
        <w:t>OMN</w:t>
      </w:r>
      <w:r w:rsidR="008B373C">
        <w:noBreakHyphen/>
      </w:r>
      <w:r w:rsidRPr="00330C80">
        <w:t>19 specifying a pump periodic verification test is consistent with Mandatory Appendix</w:t>
      </w:r>
      <w:r w:rsidR="008B373C">
        <w:t> </w:t>
      </w:r>
      <w:r w:rsidRPr="00330C80">
        <w:t>V in the ASME OM</w:t>
      </w:r>
      <w:r w:rsidR="008B373C">
        <w:t xml:space="preserve"> Code</w:t>
      </w:r>
      <w:r w:rsidRPr="00330C80">
        <w:t>.  The provisions in Mandatory Appendix</w:t>
      </w:r>
      <w:r w:rsidR="008B373C">
        <w:t> </w:t>
      </w:r>
      <w:r w:rsidRPr="00330C80">
        <w:t>V</w:t>
      </w:r>
      <w:r w:rsidR="008B373C">
        <w:t xml:space="preserve"> and</w:t>
      </w:r>
      <w:r w:rsidRPr="00330C80">
        <w:t xml:space="preserve"> the RG</w:t>
      </w:r>
      <w:r w:rsidR="008B373C">
        <w:t> </w:t>
      </w:r>
      <w:r w:rsidRPr="00330C80">
        <w:t>1.192 condition on the use of Code Case OMN</w:t>
      </w:r>
      <w:r w:rsidR="008B373C">
        <w:noBreakHyphen/>
      </w:r>
      <w:r w:rsidRPr="00330C80">
        <w:t>19 provide assurance that the relaxed upper limit of the acceptance criteria does not result in pumps being considered operable whe</w:t>
      </w:r>
      <w:r w:rsidR="008B373C">
        <w:t>n</w:t>
      </w:r>
      <w:r w:rsidRPr="00330C80">
        <w:t xml:space="preserve"> they are incapable of perfo</w:t>
      </w:r>
      <w:r w:rsidR="003C4587">
        <w:t xml:space="preserve">rming their safety functions.  </w:t>
      </w:r>
      <w:r w:rsidRPr="00330C80">
        <w:t xml:space="preserve">As required by Mandatory Appendix V </w:t>
      </w:r>
      <w:r w:rsidR="008B373C">
        <w:t>and as</w:t>
      </w:r>
      <w:r w:rsidRPr="00330C80">
        <w:t xml:space="preserve"> specified in the RG</w:t>
      </w:r>
      <w:r w:rsidR="008B373C">
        <w:t> </w:t>
      </w:r>
      <w:r w:rsidRPr="00330C80">
        <w:t>1.192 condition on the use of Code Case OMN</w:t>
      </w:r>
      <w:r w:rsidR="008B373C">
        <w:noBreakHyphen/>
      </w:r>
      <w:r w:rsidRPr="00330C80">
        <w:t xml:space="preserve">19, licensees will need to </w:t>
      </w:r>
      <w:r w:rsidR="008B373C">
        <w:t>prepare</w:t>
      </w:r>
      <w:r w:rsidR="008B373C" w:rsidRPr="00330C80">
        <w:t xml:space="preserve"> </w:t>
      </w:r>
      <w:r w:rsidRPr="00330C80">
        <w:t>work packages for periodic pump verification tests.  The NRC staff estimates that each work package will require a plant engineer 40 labor hours to prepare and issue.  Additionally, 16 engineering hours will be required to update plant test procedures</w:t>
      </w:r>
      <w:r w:rsidR="008B373C">
        <w:t>,</w:t>
      </w:r>
      <w:r w:rsidRPr="00330C80">
        <w:t xml:space="preserve"> and an additional 16 engineering hours will be required to determine test points and inspection requirements to perform the initial test.  The NRC staff estimates that </w:t>
      </w:r>
      <w:r w:rsidR="008B373C">
        <w:t>0.5 </w:t>
      </w:r>
      <w:r w:rsidRPr="00330C80">
        <w:t xml:space="preserve">hour is required to test each pump.  The NRC staff estimates that this periodic pump verification would apply to </w:t>
      </w:r>
      <w:r w:rsidR="009715D7">
        <w:t>7</w:t>
      </w:r>
      <w:r w:rsidR="00740E37">
        <w:t> </w:t>
      </w:r>
      <w:r w:rsidRPr="00330C80">
        <w:t xml:space="preserve">pumps per unit.  The NRC staff assumes that the work packages and test procedures will be prepared in 2019 and </w:t>
      </w:r>
      <w:r w:rsidR="008B373C">
        <w:t xml:space="preserve">that </w:t>
      </w:r>
      <w:r w:rsidRPr="00330C80">
        <w:t xml:space="preserve">initial comprehensive pump testing will be completed by half of the units in 2019 with the remaining tests completed in 2020.  The periodic pump tests occur every two years.  The NRC staff estimates that </w:t>
      </w:r>
      <w:r w:rsidR="009715D7">
        <w:t>0.</w:t>
      </w:r>
      <w:r w:rsidR="00F33513">
        <w:t>5 </w:t>
      </w:r>
      <w:r w:rsidRPr="00330C80">
        <w:t xml:space="preserve">hour </w:t>
      </w:r>
      <w:r w:rsidR="009715D7">
        <w:t>is</w:t>
      </w:r>
      <w:r w:rsidRPr="00330C80">
        <w:t xml:space="preserve"> required to prepare </w:t>
      </w:r>
      <w:r w:rsidRPr="00F56ABA">
        <w:t xml:space="preserve">each subsequent periodic test work package and </w:t>
      </w:r>
      <w:r w:rsidR="008B373C" w:rsidRPr="00F56ABA">
        <w:t xml:space="preserve">that </w:t>
      </w:r>
      <w:r w:rsidRPr="00F56ABA">
        <w:t>0.5</w:t>
      </w:r>
      <w:r w:rsidR="008B373C" w:rsidRPr="00F56ABA">
        <w:t> </w:t>
      </w:r>
      <w:r w:rsidRPr="00F56ABA">
        <w:t>hour</w:t>
      </w:r>
      <w:r w:rsidR="008B373C" w:rsidRPr="00F56ABA">
        <w:t xml:space="preserve"> is</w:t>
      </w:r>
      <w:r w:rsidRPr="00F56ABA">
        <w:t xml:space="preserve"> required to test each pump.  Table</w:t>
      </w:r>
      <w:r w:rsidR="008B373C" w:rsidRPr="00F56ABA">
        <w:t> </w:t>
      </w:r>
      <w:r w:rsidRPr="00F56ABA">
        <w:t>16 provides the estimates of the industry costs for conditioned Code Case OMN</w:t>
      </w:r>
      <w:r w:rsidR="00011F7C" w:rsidRPr="00F56ABA">
        <w:noBreakHyphen/>
      </w:r>
      <w:r w:rsidRPr="00F56ABA">
        <w:t xml:space="preserve">19.  The estimated industry </w:t>
      </w:r>
      <w:r w:rsidR="00C83A0C" w:rsidRPr="00F56ABA">
        <w:t>incremental cost savings range from $216,000</w:t>
      </w:r>
      <w:r w:rsidRPr="00F56ABA">
        <w:t xml:space="preserve"> using a 7</w:t>
      </w:r>
      <w:r w:rsidR="00011F7C" w:rsidRPr="00F56ABA">
        <w:noBreakHyphen/>
      </w:r>
      <w:r w:rsidR="00C83A0C" w:rsidRPr="00F56ABA">
        <w:t>percent discount rate to $250,000</w:t>
      </w:r>
      <w:r w:rsidRPr="00F56ABA">
        <w:t xml:space="preserve"> using a 3</w:t>
      </w:r>
      <w:r w:rsidR="00011F7C" w:rsidRPr="00F56ABA">
        <w:noBreakHyphen/>
      </w:r>
      <w:r w:rsidRPr="00F56ABA">
        <w:t xml:space="preserve">percent discount rate.  </w:t>
      </w:r>
      <w:r w:rsidR="004669CD" w:rsidRPr="00F56ABA">
        <w:fldChar w:fldCharType="begin"/>
      </w:r>
      <w:r w:rsidR="004669CD" w:rsidRPr="00F56ABA">
        <w:instrText xml:space="preserve"> REF _Ref434316771 \h </w:instrText>
      </w:r>
      <w:r w:rsidR="00795C9A" w:rsidRPr="00F56ABA">
        <w:instrText xml:space="preserve"> \* MERGEFORMAT </w:instrText>
      </w:r>
      <w:r w:rsidR="004669CD" w:rsidRPr="00F56ABA">
        <w:fldChar w:fldCharType="separate"/>
      </w:r>
      <w:r w:rsidR="00FD3AB6" w:rsidRPr="00FD3AB6">
        <w:t xml:space="preserve">Table </w:t>
      </w:r>
      <w:r w:rsidR="00FD3AB6" w:rsidRPr="00FD3AB6">
        <w:rPr>
          <w:noProof/>
        </w:rPr>
        <w:t>16</w:t>
      </w:r>
      <w:r w:rsidR="004669CD" w:rsidRPr="00F56ABA">
        <w:fldChar w:fldCharType="end"/>
      </w:r>
      <w:r w:rsidR="004669CD" w:rsidRPr="00F56ABA">
        <w:t xml:space="preserve"> provides the estimates of the </w:t>
      </w:r>
      <w:r w:rsidR="00C83A0C" w:rsidRPr="00F56ABA">
        <w:t>industry cost savings</w:t>
      </w:r>
      <w:r w:rsidR="005B7006" w:rsidRPr="00F56ABA">
        <w:t xml:space="preserve"> for conditioned Code Case OMN</w:t>
      </w:r>
      <w:r w:rsidR="00011F7C" w:rsidRPr="00F56ABA">
        <w:noBreakHyphen/>
      </w:r>
      <w:r w:rsidR="005B7006" w:rsidRPr="00F56ABA">
        <w:t xml:space="preserve">19.  </w:t>
      </w:r>
      <w:r w:rsidRPr="00F56ABA">
        <w:t>The</w:t>
      </w:r>
      <w:r w:rsidRPr="00330C80">
        <w:t xml:space="preserve"> NRC staff considers that the potential savings from the relaxed acceptance criteria that avoid test failures will significantly exceed the costs of the condition on the use of Code Case OMN</w:t>
      </w:r>
      <w:r w:rsidR="00011F7C">
        <w:noBreakHyphen/>
      </w:r>
      <w:r w:rsidRPr="00330C80">
        <w:t>19.  For example, a test failure that results in a plant shutdown because of an inoperable pump would result in costs that far exceed the test and procedural costs in this analysis.</w:t>
      </w:r>
    </w:p>
    <w:p w14:paraId="1D3CD98E" w14:textId="3724C5BA" w:rsidR="00BB4884" w:rsidRDefault="00BB4884">
      <w:pPr>
        <w:autoSpaceDE/>
        <w:autoSpaceDN/>
        <w:adjustRightInd/>
        <w:rPr>
          <w:noProof/>
        </w:rPr>
      </w:pPr>
      <w:r>
        <w:rPr>
          <w:noProof/>
        </w:rPr>
        <w:br w:type="page"/>
      </w:r>
    </w:p>
    <w:p w14:paraId="18C25248" w14:textId="77777777" w:rsidR="006E3507" w:rsidRPr="004669CD" w:rsidRDefault="006E3507" w:rsidP="00FF0EE8">
      <w:pPr>
        <w:spacing w:line="240" w:lineRule="auto"/>
        <w:rPr>
          <w:noProof/>
        </w:rPr>
      </w:pPr>
    </w:p>
    <w:p w14:paraId="4272D1DC" w14:textId="7B4974B8" w:rsidR="004665EC" w:rsidRPr="00587EDB" w:rsidRDefault="004665EC" w:rsidP="007E58CE">
      <w:pPr>
        <w:pStyle w:val="Caption"/>
        <w:spacing w:line="240" w:lineRule="auto"/>
        <w:ind w:left="1080" w:hanging="1080"/>
        <w:jc w:val="center"/>
        <w:rPr>
          <w:b/>
        </w:rPr>
      </w:pPr>
      <w:bookmarkStart w:id="211" w:name="_Ref434316771"/>
      <w:bookmarkStart w:id="212" w:name="_Toc467508505"/>
      <w:bookmarkStart w:id="213" w:name="_Toc462225011"/>
      <w:r w:rsidRPr="00587EDB">
        <w:rPr>
          <w:b/>
        </w:rPr>
        <w:t xml:space="preserve">Table </w:t>
      </w:r>
      <w:r w:rsidR="00782423" w:rsidRPr="00587EDB">
        <w:rPr>
          <w:b/>
        </w:rPr>
        <w:fldChar w:fldCharType="begin"/>
      </w:r>
      <w:r w:rsidR="00782423" w:rsidRPr="00587EDB">
        <w:rPr>
          <w:b/>
        </w:rPr>
        <w:instrText xml:space="preserve"> SEQ Table \* ARABIC </w:instrText>
      </w:r>
      <w:r w:rsidR="00782423" w:rsidRPr="00587EDB">
        <w:rPr>
          <w:b/>
        </w:rPr>
        <w:fldChar w:fldCharType="separate"/>
      </w:r>
      <w:r w:rsidR="00FD3AB6">
        <w:rPr>
          <w:b/>
          <w:noProof/>
        </w:rPr>
        <w:t>16</w:t>
      </w:r>
      <w:r w:rsidR="00782423" w:rsidRPr="00587EDB">
        <w:rPr>
          <w:b/>
        </w:rPr>
        <w:fldChar w:fldCharType="end"/>
      </w:r>
      <w:bookmarkEnd w:id="211"/>
      <w:r w:rsidR="006C3FF0" w:rsidRPr="00D557C2">
        <w:rPr>
          <w:b/>
          <w:noProof/>
        </w:rPr>
        <w:t xml:space="preserve">  </w:t>
      </w:r>
      <w:r w:rsidRPr="00587EDB">
        <w:rPr>
          <w:b/>
        </w:rPr>
        <w:t xml:space="preserve">Incremental </w:t>
      </w:r>
      <w:r w:rsidR="00E22216" w:rsidRPr="00587EDB">
        <w:rPr>
          <w:b/>
        </w:rPr>
        <w:t>Industry</w:t>
      </w:r>
      <w:r w:rsidRPr="00587EDB">
        <w:rPr>
          <w:b/>
        </w:rPr>
        <w:t xml:space="preserve"> Costs for Conditioned</w:t>
      </w:r>
      <w:r w:rsidR="006C3FF0">
        <w:rPr>
          <w:b/>
        </w:rPr>
        <w:br/>
      </w:r>
      <w:r w:rsidRPr="00587EDB">
        <w:rPr>
          <w:b/>
        </w:rPr>
        <w:t>Code Case OMN</w:t>
      </w:r>
      <w:r w:rsidR="00011F7C">
        <w:rPr>
          <w:b/>
        </w:rPr>
        <w:noBreakHyphen/>
      </w:r>
      <w:r w:rsidRPr="00587EDB">
        <w:rPr>
          <w:b/>
        </w:rPr>
        <w:t xml:space="preserve">19 for </w:t>
      </w:r>
      <w:r w:rsidR="00675FCC">
        <w:rPr>
          <w:b/>
        </w:rPr>
        <w:t>Operating</w:t>
      </w:r>
      <w:r w:rsidR="00F33513">
        <w:rPr>
          <w:b/>
        </w:rPr>
        <w:t xml:space="preserve"> </w:t>
      </w:r>
      <w:r w:rsidRPr="00587EDB">
        <w:rPr>
          <w:b/>
        </w:rPr>
        <w:t>Reactor</w:t>
      </w:r>
      <w:r w:rsidR="00E22216" w:rsidRPr="00587EDB">
        <w:rPr>
          <w:b/>
        </w:rPr>
        <w:t>s</w:t>
      </w:r>
      <w:bookmarkEnd w:id="212"/>
      <w:bookmarkEnd w:id="213"/>
    </w:p>
    <w:tbl>
      <w:tblPr>
        <w:tblW w:w="9941" w:type="dxa"/>
        <w:jc w:val="center"/>
        <w:tblLook w:val="04A0" w:firstRow="1" w:lastRow="0" w:firstColumn="1" w:lastColumn="0" w:noHBand="0" w:noVBand="1"/>
      </w:tblPr>
      <w:tblGrid>
        <w:gridCol w:w="706"/>
        <w:gridCol w:w="1857"/>
        <w:gridCol w:w="810"/>
        <w:gridCol w:w="900"/>
        <w:gridCol w:w="867"/>
        <w:gridCol w:w="802"/>
        <w:gridCol w:w="1683"/>
        <w:gridCol w:w="1158"/>
        <w:gridCol w:w="1158"/>
      </w:tblGrid>
      <w:tr w:rsidR="00602B86" w:rsidRPr="009F448B" w14:paraId="26158982" w14:textId="77777777" w:rsidTr="004F5401">
        <w:trPr>
          <w:trHeight w:val="288"/>
          <w:tblHeader/>
          <w:jc w:val="center"/>
        </w:trPr>
        <w:tc>
          <w:tcPr>
            <w:tcW w:w="706" w:type="dxa"/>
            <w:tcBorders>
              <w:top w:val="nil"/>
              <w:left w:val="nil"/>
              <w:bottom w:val="nil"/>
              <w:right w:val="nil"/>
            </w:tcBorders>
            <w:shd w:val="clear" w:color="000000" w:fill="FFFFFF"/>
            <w:vAlign w:val="bottom"/>
            <w:hideMark/>
          </w:tcPr>
          <w:p w14:paraId="49E9C461" w14:textId="77777777" w:rsidR="009F448B" w:rsidRPr="007E58CE" w:rsidRDefault="009F448B" w:rsidP="004F5401">
            <w:pPr>
              <w:keepNext/>
              <w:autoSpaceDE/>
              <w:autoSpaceDN/>
              <w:adjustRightInd/>
              <w:spacing w:line="240" w:lineRule="auto"/>
              <w:rPr>
                <w:rFonts w:eastAsia="Times New Roman"/>
                <w:color w:val="000000"/>
                <w:sz w:val="20"/>
                <w:szCs w:val="20"/>
              </w:rPr>
            </w:pPr>
            <w:r w:rsidRPr="007E58CE">
              <w:rPr>
                <w:rFonts w:eastAsia="Times New Roman"/>
                <w:color w:val="000000"/>
                <w:sz w:val="20"/>
                <w:szCs w:val="20"/>
              </w:rPr>
              <w:t> </w:t>
            </w:r>
          </w:p>
        </w:tc>
        <w:tc>
          <w:tcPr>
            <w:tcW w:w="1857" w:type="dxa"/>
            <w:tcBorders>
              <w:top w:val="nil"/>
              <w:left w:val="nil"/>
              <w:bottom w:val="nil"/>
              <w:right w:val="nil"/>
            </w:tcBorders>
            <w:shd w:val="clear" w:color="000000" w:fill="FFFFFF"/>
            <w:vAlign w:val="bottom"/>
            <w:hideMark/>
          </w:tcPr>
          <w:p w14:paraId="281FA6D0" w14:textId="77777777" w:rsidR="009F448B" w:rsidRPr="007E58CE" w:rsidRDefault="009F448B" w:rsidP="004F5401">
            <w:pPr>
              <w:keepNext/>
              <w:autoSpaceDE/>
              <w:autoSpaceDN/>
              <w:adjustRightInd/>
              <w:spacing w:line="240" w:lineRule="auto"/>
              <w:rPr>
                <w:rFonts w:eastAsia="Times New Roman"/>
                <w:color w:val="000000"/>
                <w:sz w:val="20"/>
                <w:szCs w:val="20"/>
              </w:rPr>
            </w:pPr>
            <w:r w:rsidRPr="007E58CE">
              <w:rPr>
                <w:rFonts w:eastAsia="Times New Roman"/>
                <w:color w:val="000000"/>
                <w:sz w:val="20"/>
                <w:szCs w:val="20"/>
              </w:rPr>
              <w:t> </w:t>
            </w:r>
          </w:p>
        </w:tc>
        <w:tc>
          <w:tcPr>
            <w:tcW w:w="810" w:type="dxa"/>
            <w:tcBorders>
              <w:top w:val="nil"/>
              <w:left w:val="nil"/>
              <w:bottom w:val="nil"/>
              <w:right w:val="nil"/>
            </w:tcBorders>
            <w:shd w:val="clear" w:color="000000" w:fill="FFFFFF"/>
            <w:noWrap/>
            <w:vAlign w:val="bottom"/>
            <w:hideMark/>
          </w:tcPr>
          <w:p w14:paraId="614F50C7" w14:textId="77777777" w:rsidR="009F448B" w:rsidRPr="007E58CE" w:rsidRDefault="009F448B" w:rsidP="004F5401">
            <w:pPr>
              <w:keepNext/>
              <w:autoSpaceDE/>
              <w:autoSpaceDN/>
              <w:adjustRightInd/>
              <w:spacing w:line="240" w:lineRule="auto"/>
              <w:rPr>
                <w:rFonts w:eastAsia="Times New Roman"/>
                <w:color w:val="000000"/>
                <w:sz w:val="20"/>
                <w:szCs w:val="20"/>
              </w:rPr>
            </w:pPr>
            <w:r w:rsidRPr="007E58CE">
              <w:rPr>
                <w:rFonts w:eastAsia="Times New Roman"/>
                <w:color w:val="000000"/>
                <w:sz w:val="20"/>
                <w:szCs w:val="20"/>
              </w:rPr>
              <w:t> </w:t>
            </w:r>
          </w:p>
        </w:tc>
        <w:tc>
          <w:tcPr>
            <w:tcW w:w="900" w:type="dxa"/>
            <w:tcBorders>
              <w:top w:val="nil"/>
              <w:left w:val="nil"/>
              <w:bottom w:val="nil"/>
              <w:right w:val="nil"/>
            </w:tcBorders>
            <w:shd w:val="clear" w:color="000000" w:fill="FFFFFF"/>
            <w:noWrap/>
            <w:vAlign w:val="bottom"/>
            <w:hideMark/>
          </w:tcPr>
          <w:p w14:paraId="3ADACC9E" w14:textId="77777777" w:rsidR="009F448B" w:rsidRPr="007E58CE" w:rsidRDefault="009F448B" w:rsidP="004F5401">
            <w:pPr>
              <w:keepNext/>
              <w:autoSpaceDE/>
              <w:autoSpaceDN/>
              <w:adjustRightInd/>
              <w:spacing w:line="240" w:lineRule="auto"/>
              <w:rPr>
                <w:rFonts w:eastAsia="Times New Roman"/>
                <w:color w:val="000000"/>
                <w:sz w:val="20"/>
                <w:szCs w:val="20"/>
              </w:rPr>
            </w:pPr>
            <w:r w:rsidRPr="007E58CE">
              <w:rPr>
                <w:rFonts w:eastAsia="Times New Roman"/>
                <w:color w:val="000000"/>
                <w:sz w:val="20"/>
                <w:szCs w:val="20"/>
              </w:rPr>
              <w:t> </w:t>
            </w:r>
          </w:p>
        </w:tc>
        <w:tc>
          <w:tcPr>
            <w:tcW w:w="867" w:type="dxa"/>
            <w:tcBorders>
              <w:top w:val="nil"/>
              <w:left w:val="nil"/>
              <w:bottom w:val="nil"/>
              <w:right w:val="nil"/>
            </w:tcBorders>
            <w:shd w:val="clear" w:color="000000" w:fill="FFFFFF"/>
            <w:noWrap/>
            <w:vAlign w:val="bottom"/>
            <w:hideMark/>
          </w:tcPr>
          <w:p w14:paraId="76E89992" w14:textId="77777777" w:rsidR="009F448B" w:rsidRPr="007E58CE" w:rsidRDefault="009F448B" w:rsidP="004F5401">
            <w:pPr>
              <w:keepNext/>
              <w:autoSpaceDE/>
              <w:autoSpaceDN/>
              <w:adjustRightInd/>
              <w:spacing w:line="240" w:lineRule="auto"/>
              <w:rPr>
                <w:rFonts w:eastAsia="Times New Roman"/>
                <w:color w:val="000000"/>
                <w:sz w:val="20"/>
                <w:szCs w:val="20"/>
              </w:rPr>
            </w:pPr>
            <w:r w:rsidRPr="007E58CE">
              <w:rPr>
                <w:rFonts w:eastAsia="Times New Roman"/>
                <w:color w:val="000000"/>
                <w:sz w:val="20"/>
                <w:szCs w:val="20"/>
              </w:rPr>
              <w:t> </w:t>
            </w:r>
          </w:p>
        </w:tc>
        <w:tc>
          <w:tcPr>
            <w:tcW w:w="802" w:type="dxa"/>
            <w:tcBorders>
              <w:top w:val="nil"/>
              <w:left w:val="nil"/>
              <w:bottom w:val="nil"/>
              <w:right w:val="nil"/>
            </w:tcBorders>
            <w:shd w:val="clear" w:color="000000" w:fill="FFFFFF"/>
            <w:noWrap/>
            <w:vAlign w:val="bottom"/>
            <w:hideMark/>
          </w:tcPr>
          <w:p w14:paraId="54585D84" w14:textId="77777777" w:rsidR="009F448B" w:rsidRPr="007E58CE" w:rsidRDefault="009F448B" w:rsidP="004F5401">
            <w:pPr>
              <w:keepNext/>
              <w:autoSpaceDE/>
              <w:autoSpaceDN/>
              <w:adjustRightInd/>
              <w:spacing w:line="240" w:lineRule="auto"/>
              <w:rPr>
                <w:rFonts w:eastAsia="Times New Roman"/>
                <w:color w:val="000000"/>
                <w:sz w:val="20"/>
                <w:szCs w:val="20"/>
              </w:rPr>
            </w:pPr>
            <w:r w:rsidRPr="007E58CE">
              <w:rPr>
                <w:rFonts w:eastAsia="Times New Roman"/>
                <w:color w:val="000000"/>
                <w:sz w:val="20"/>
                <w:szCs w:val="20"/>
              </w:rPr>
              <w:t> </w:t>
            </w:r>
          </w:p>
        </w:tc>
        <w:tc>
          <w:tcPr>
            <w:tcW w:w="39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0864F2" w14:textId="0C945EB1" w:rsidR="009F448B" w:rsidRPr="004F5401" w:rsidRDefault="00E22216" w:rsidP="004F5401">
            <w:pPr>
              <w:keepNext/>
              <w:autoSpaceDE/>
              <w:autoSpaceDN/>
              <w:adjustRightInd/>
              <w:spacing w:line="240" w:lineRule="auto"/>
              <w:jc w:val="center"/>
              <w:rPr>
                <w:b/>
                <w:color w:val="000000"/>
                <w:sz w:val="20"/>
                <w:szCs w:val="20"/>
              </w:rPr>
            </w:pPr>
            <w:r w:rsidRPr="004F5401">
              <w:rPr>
                <w:b/>
                <w:color w:val="000000"/>
                <w:sz w:val="20"/>
                <w:szCs w:val="20"/>
              </w:rPr>
              <w:t xml:space="preserve">Industry </w:t>
            </w:r>
            <w:r w:rsidR="009F448B" w:rsidRPr="004F5401">
              <w:rPr>
                <w:b/>
                <w:color w:val="000000"/>
                <w:sz w:val="20"/>
                <w:szCs w:val="20"/>
              </w:rPr>
              <w:t>Cost (201</w:t>
            </w:r>
            <w:r w:rsidR="00C852EB" w:rsidRPr="004F5401">
              <w:rPr>
                <w:b/>
                <w:color w:val="000000"/>
                <w:sz w:val="20"/>
                <w:szCs w:val="20"/>
              </w:rPr>
              <w:t>7</w:t>
            </w:r>
            <w:r w:rsidR="009F448B" w:rsidRPr="004F5401">
              <w:rPr>
                <w:b/>
                <w:color w:val="000000"/>
                <w:sz w:val="20"/>
                <w:szCs w:val="20"/>
              </w:rPr>
              <w:t xml:space="preserve"> </w:t>
            </w:r>
            <w:r w:rsidR="008366F3" w:rsidRPr="004F5401">
              <w:rPr>
                <w:rFonts w:eastAsia="Times New Roman"/>
                <w:b/>
                <w:color w:val="000000"/>
                <w:sz w:val="20"/>
                <w:szCs w:val="20"/>
              </w:rPr>
              <w:t>D</w:t>
            </w:r>
            <w:r w:rsidR="009F448B" w:rsidRPr="004F5401">
              <w:rPr>
                <w:rFonts w:eastAsia="Times New Roman"/>
                <w:b/>
                <w:color w:val="000000"/>
                <w:sz w:val="20"/>
                <w:szCs w:val="20"/>
              </w:rPr>
              <w:t>ollars</w:t>
            </w:r>
            <w:r w:rsidR="009F448B" w:rsidRPr="004F5401">
              <w:rPr>
                <w:b/>
                <w:color w:val="000000"/>
                <w:sz w:val="20"/>
                <w:szCs w:val="20"/>
              </w:rPr>
              <w:t>)</w:t>
            </w:r>
          </w:p>
        </w:tc>
      </w:tr>
      <w:tr w:rsidR="00602B86" w:rsidRPr="009F448B" w14:paraId="62965CF1" w14:textId="77777777" w:rsidTr="004F5401">
        <w:trPr>
          <w:trHeight w:val="288"/>
          <w:tblHeader/>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901CA" w14:textId="77777777" w:rsidR="009F448B" w:rsidRPr="004F5401" w:rsidRDefault="009F448B" w:rsidP="004F5401">
            <w:pPr>
              <w:keepNext/>
              <w:autoSpaceDE/>
              <w:autoSpaceDN/>
              <w:adjustRightInd/>
              <w:spacing w:line="240" w:lineRule="auto"/>
              <w:jc w:val="center"/>
              <w:rPr>
                <w:b/>
                <w:sz w:val="20"/>
                <w:szCs w:val="20"/>
              </w:rPr>
            </w:pPr>
            <w:r w:rsidRPr="004F5401">
              <w:rPr>
                <w:b/>
                <w:sz w:val="20"/>
                <w:szCs w:val="20"/>
              </w:rPr>
              <w:t>Year</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14:paraId="42D679C0" w14:textId="77777777" w:rsidR="009F448B" w:rsidRPr="004F5401" w:rsidRDefault="009F448B" w:rsidP="004F5401">
            <w:pPr>
              <w:keepNext/>
              <w:autoSpaceDE/>
              <w:autoSpaceDN/>
              <w:adjustRightInd/>
              <w:spacing w:line="240" w:lineRule="auto"/>
              <w:jc w:val="center"/>
              <w:rPr>
                <w:b/>
                <w:sz w:val="20"/>
                <w:szCs w:val="20"/>
              </w:rPr>
            </w:pPr>
            <w:r w:rsidRPr="004F5401">
              <w:rPr>
                <w:b/>
                <w:sz w:val="20"/>
                <w:szCs w:val="20"/>
              </w:rPr>
              <w:t>Activity</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9098CA6" w14:textId="3301610D" w:rsidR="009F448B" w:rsidRPr="004F5401" w:rsidRDefault="009F448B" w:rsidP="004F5401">
            <w:pPr>
              <w:keepNext/>
              <w:autoSpaceDE/>
              <w:autoSpaceDN/>
              <w:adjustRightInd/>
              <w:spacing w:line="240" w:lineRule="auto"/>
              <w:jc w:val="center"/>
              <w:rPr>
                <w:b/>
                <w:sz w:val="20"/>
                <w:szCs w:val="20"/>
              </w:rPr>
            </w:pPr>
            <w:r w:rsidRPr="004F5401">
              <w:rPr>
                <w:b/>
                <w:sz w:val="20"/>
                <w:szCs w:val="20"/>
              </w:rPr>
              <w:t xml:space="preserve">No. of </w:t>
            </w:r>
            <w:r w:rsidR="00011F7C" w:rsidRPr="004F5401">
              <w:rPr>
                <w:rFonts w:eastAsia="Times New Roman"/>
                <w:b/>
                <w:sz w:val="20"/>
                <w:szCs w:val="20"/>
              </w:rPr>
              <w:t>I</w:t>
            </w:r>
            <w:r w:rsidRPr="004F5401">
              <w:rPr>
                <w:rFonts w:eastAsia="Times New Roman"/>
                <w:b/>
                <w:sz w:val="20"/>
                <w:szCs w:val="20"/>
              </w:rPr>
              <w:t>tems</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E65843C" w14:textId="56F504C4" w:rsidR="009F448B" w:rsidRPr="004F5401" w:rsidRDefault="009F448B" w:rsidP="004F5401">
            <w:pPr>
              <w:keepNext/>
              <w:autoSpaceDE/>
              <w:autoSpaceDN/>
              <w:adjustRightInd/>
              <w:spacing w:line="240" w:lineRule="auto"/>
              <w:jc w:val="center"/>
              <w:rPr>
                <w:b/>
                <w:sz w:val="20"/>
                <w:szCs w:val="20"/>
              </w:rPr>
            </w:pPr>
            <w:r w:rsidRPr="004F5401">
              <w:rPr>
                <w:b/>
                <w:sz w:val="20"/>
                <w:szCs w:val="20"/>
              </w:rPr>
              <w:t xml:space="preserve">No. of </w:t>
            </w:r>
            <w:r w:rsidR="00011F7C" w:rsidRPr="004F5401">
              <w:rPr>
                <w:rFonts w:eastAsia="Times New Roman"/>
                <w:b/>
                <w:sz w:val="20"/>
                <w:szCs w:val="20"/>
              </w:rPr>
              <w:t>H</w:t>
            </w:r>
            <w:r w:rsidRPr="004F5401">
              <w:rPr>
                <w:rFonts w:eastAsia="Times New Roman"/>
                <w:b/>
                <w:sz w:val="20"/>
                <w:szCs w:val="20"/>
              </w:rPr>
              <w:t>ours</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14:paraId="578EDA05" w14:textId="77777777" w:rsidR="009F448B" w:rsidRPr="004F5401" w:rsidRDefault="009F448B" w:rsidP="004F5401">
            <w:pPr>
              <w:keepNext/>
              <w:autoSpaceDE/>
              <w:autoSpaceDN/>
              <w:adjustRightInd/>
              <w:spacing w:line="240" w:lineRule="auto"/>
              <w:jc w:val="center"/>
              <w:rPr>
                <w:b/>
                <w:sz w:val="20"/>
                <w:szCs w:val="20"/>
              </w:rPr>
            </w:pPr>
            <w:r w:rsidRPr="004F5401">
              <w:rPr>
                <w:b/>
                <w:sz w:val="20"/>
                <w:szCs w:val="20"/>
              </w:rPr>
              <w:t>Labor Rate</w:t>
            </w:r>
          </w:p>
        </w:tc>
        <w:tc>
          <w:tcPr>
            <w:tcW w:w="802" w:type="dxa"/>
            <w:tcBorders>
              <w:top w:val="single" w:sz="4" w:space="0" w:color="auto"/>
              <w:left w:val="nil"/>
              <w:bottom w:val="single" w:sz="4" w:space="0" w:color="auto"/>
              <w:right w:val="nil"/>
            </w:tcBorders>
            <w:shd w:val="clear" w:color="auto" w:fill="auto"/>
            <w:noWrap/>
            <w:vAlign w:val="center"/>
            <w:hideMark/>
          </w:tcPr>
          <w:p w14:paraId="1E4EE50F" w14:textId="10C4B344" w:rsidR="009F448B" w:rsidRPr="004F5401" w:rsidRDefault="009F448B" w:rsidP="004F5401">
            <w:pPr>
              <w:keepNext/>
              <w:autoSpaceDE/>
              <w:autoSpaceDN/>
              <w:adjustRightInd/>
              <w:spacing w:line="240" w:lineRule="auto"/>
              <w:jc w:val="center"/>
              <w:rPr>
                <w:b/>
                <w:sz w:val="20"/>
                <w:szCs w:val="20"/>
              </w:rPr>
            </w:pPr>
            <w:r w:rsidRPr="004F5401">
              <w:rPr>
                <w:b/>
                <w:sz w:val="20"/>
                <w:szCs w:val="20"/>
              </w:rPr>
              <w:t xml:space="preserve">No. of </w:t>
            </w:r>
            <w:r w:rsidR="00011F7C" w:rsidRPr="004F5401">
              <w:rPr>
                <w:rFonts w:eastAsia="Times New Roman"/>
                <w:b/>
                <w:sz w:val="20"/>
                <w:szCs w:val="20"/>
              </w:rPr>
              <w:t>U</w:t>
            </w:r>
            <w:r w:rsidRPr="004F5401">
              <w:rPr>
                <w:rFonts w:eastAsia="Times New Roman"/>
                <w:b/>
                <w:sz w:val="20"/>
                <w:szCs w:val="20"/>
              </w:rPr>
              <w:t>nits</w:t>
            </w:r>
          </w:p>
        </w:tc>
        <w:tc>
          <w:tcPr>
            <w:tcW w:w="1683" w:type="dxa"/>
            <w:tcBorders>
              <w:top w:val="nil"/>
              <w:left w:val="single" w:sz="4" w:space="0" w:color="auto"/>
              <w:bottom w:val="single" w:sz="4" w:space="0" w:color="auto"/>
              <w:right w:val="single" w:sz="4" w:space="0" w:color="auto"/>
            </w:tcBorders>
            <w:shd w:val="clear" w:color="auto" w:fill="auto"/>
            <w:vAlign w:val="center"/>
            <w:hideMark/>
          </w:tcPr>
          <w:p w14:paraId="53B631DC" w14:textId="77777777" w:rsidR="009F448B" w:rsidRPr="004F5401" w:rsidRDefault="009F448B" w:rsidP="004F5401">
            <w:pPr>
              <w:keepNext/>
              <w:autoSpaceDE/>
              <w:autoSpaceDN/>
              <w:adjustRightInd/>
              <w:spacing w:line="240" w:lineRule="auto"/>
              <w:jc w:val="center"/>
              <w:rPr>
                <w:b/>
                <w:sz w:val="20"/>
                <w:szCs w:val="20"/>
              </w:rPr>
            </w:pPr>
            <w:r w:rsidRPr="004F5401">
              <w:rPr>
                <w:b/>
                <w:sz w:val="20"/>
                <w:szCs w:val="20"/>
              </w:rPr>
              <w:t>Undiscounted</w:t>
            </w:r>
          </w:p>
        </w:tc>
        <w:tc>
          <w:tcPr>
            <w:tcW w:w="1158" w:type="dxa"/>
            <w:tcBorders>
              <w:top w:val="nil"/>
              <w:left w:val="nil"/>
              <w:bottom w:val="single" w:sz="4" w:space="0" w:color="auto"/>
              <w:right w:val="single" w:sz="4" w:space="0" w:color="auto"/>
            </w:tcBorders>
            <w:shd w:val="clear" w:color="auto" w:fill="auto"/>
            <w:vAlign w:val="center"/>
            <w:hideMark/>
          </w:tcPr>
          <w:p w14:paraId="0FA3B4B8" w14:textId="651DE5EF" w:rsidR="009F448B" w:rsidRPr="004F5401" w:rsidRDefault="009F448B" w:rsidP="004F5401">
            <w:pPr>
              <w:keepNext/>
              <w:autoSpaceDE/>
              <w:autoSpaceDN/>
              <w:adjustRightInd/>
              <w:spacing w:line="240" w:lineRule="auto"/>
              <w:jc w:val="center"/>
              <w:rPr>
                <w:b/>
                <w:sz w:val="20"/>
                <w:szCs w:val="20"/>
              </w:rPr>
            </w:pPr>
            <w:r w:rsidRPr="004F5401">
              <w:rPr>
                <w:b/>
                <w:sz w:val="20"/>
                <w:szCs w:val="20"/>
              </w:rPr>
              <w:t xml:space="preserve">7% </w:t>
            </w:r>
            <w:r w:rsidR="00011F7C" w:rsidRPr="004F5401">
              <w:rPr>
                <w:rFonts w:eastAsia="Times New Roman"/>
                <w:b/>
                <w:sz w:val="20"/>
                <w:szCs w:val="20"/>
              </w:rPr>
              <w:t>D</w:t>
            </w:r>
            <w:r w:rsidRPr="004F5401">
              <w:rPr>
                <w:rFonts w:eastAsia="Times New Roman"/>
                <w:b/>
                <w:sz w:val="20"/>
                <w:szCs w:val="20"/>
              </w:rPr>
              <w:t>iscount</w:t>
            </w:r>
          </w:p>
        </w:tc>
        <w:tc>
          <w:tcPr>
            <w:tcW w:w="1158" w:type="dxa"/>
            <w:tcBorders>
              <w:top w:val="nil"/>
              <w:left w:val="nil"/>
              <w:bottom w:val="single" w:sz="4" w:space="0" w:color="auto"/>
              <w:right w:val="single" w:sz="4" w:space="0" w:color="auto"/>
            </w:tcBorders>
            <w:shd w:val="clear" w:color="auto" w:fill="auto"/>
            <w:vAlign w:val="center"/>
            <w:hideMark/>
          </w:tcPr>
          <w:p w14:paraId="1658AA9F" w14:textId="470ADE6F" w:rsidR="009F448B" w:rsidRPr="004F5401" w:rsidRDefault="009F448B" w:rsidP="004F5401">
            <w:pPr>
              <w:keepNext/>
              <w:autoSpaceDE/>
              <w:autoSpaceDN/>
              <w:adjustRightInd/>
              <w:spacing w:line="240" w:lineRule="auto"/>
              <w:jc w:val="center"/>
              <w:rPr>
                <w:b/>
                <w:sz w:val="20"/>
                <w:szCs w:val="20"/>
              </w:rPr>
            </w:pPr>
            <w:r w:rsidRPr="004F5401">
              <w:rPr>
                <w:b/>
                <w:sz w:val="20"/>
                <w:szCs w:val="20"/>
              </w:rPr>
              <w:t xml:space="preserve">3% </w:t>
            </w:r>
            <w:r w:rsidR="00011F7C" w:rsidRPr="004F5401">
              <w:rPr>
                <w:rFonts w:eastAsia="Times New Roman"/>
                <w:b/>
                <w:sz w:val="20"/>
                <w:szCs w:val="20"/>
              </w:rPr>
              <w:t>D</w:t>
            </w:r>
            <w:r w:rsidRPr="004F5401">
              <w:rPr>
                <w:rFonts w:eastAsia="Times New Roman"/>
                <w:b/>
                <w:sz w:val="20"/>
                <w:szCs w:val="20"/>
              </w:rPr>
              <w:t>iscount</w:t>
            </w:r>
          </w:p>
        </w:tc>
      </w:tr>
      <w:tr w:rsidR="008641BF" w:rsidRPr="00A27EE7" w14:paraId="543724C4" w14:textId="77777777" w:rsidTr="004F5401">
        <w:trPr>
          <w:trHeight w:val="576"/>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3D7878D2" w14:textId="3138FFE0" w:rsidR="008641BF" w:rsidRPr="004F5401" w:rsidRDefault="008641BF" w:rsidP="004F5401">
            <w:pPr>
              <w:keepNext/>
              <w:autoSpaceDE/>
              <w:autoSpaceDN/>
              <w:adjustRightInd/>
              <w:spacing w:line="240" w:lineRule="auto"/>
              <w:jc w:val="center"/>
              <w:rPr>
                <w:color w:val="000000"/>
                <w:sz w:val="20"/>
                <w:szCs w:val="20"/>
              </w:rPr>
            </w:pPr>
            <w:r w:rsidRPr="004F5401">
              <w:rPr>
                <w:sz w:val="20"/>
                <w:szCs w:val="20"/>
              </w:rPr>
              <w:t>2019</w:t>
            </w:r>
          </w:p>
        </w:tc>
        <w:tc>
          <w:tcPr>
            <w:tcW w:w="1857" w:type="dxa"/>
            <w:tcBorders>
              <w:top w:val="nil"/>
              <w:left w:val="nil"/>
              <w:bottom w:val="single" w:sz="4" w:space="0" w:color="auto"/>
              <w:right w:val="single" w:sz="4" w:space="0" w:color="auto"/>
            </w:tcBorders>
            <w:shd w:val="clear" w:color="auto" w:fill="auto"/>
            <w:vAlign w:val="center"/>
            <w:hideMark/>
          </w:tcPr>
          <w:p w14:paraId="51BFE003" w14:textId="56564E00" w:rsidR="008641BF" w:rsidRPr="004F5401" w:rsidRDefault="008641BF" w:rsidP="004F5401">
            <w:pPr>
              <w:keepNext/>
              <w:autoSpaceDE/>
              <w:autoSpaceDN/>
              <w:adjustRightInd/>
              <w:spacing w:line="240" w:lineRule="auto"/>
              <w:jc w:val="center"/>
              <w:rPr>
                <w:color w:val="000000"/>
                <w:sz w:val="20"/>
                <w:szCs w:val="20"/>
              </w:rPr>
            </w:pPr>
            <w:r w:rsidRPr="004F5401">
              <w:rPr>
                <w:sz w:val="20"/>
                <w:szCs w:val="20"/>
              </w:rPr>
              <w:t>Prepare work package and test procedure documents</w:t>
            </w:r>
          </w:p>
        </w:tc>
        <w:tc>
          <w:tcPr>
            <w:tcW w:w="810" w:type="dxa"/>
            <w:tcBorders>
              <w:top w:val="nil"/>
              <w:left w:val="nil"/>
              <w:bottom w:val="single" w:sz="4" w:space="0" w:color="auto"/>
              <w:right w:val="single" w:sz="4" w:space="0" w:color="auto"/>
            </w:tcBorders>
            <w:shd w:val="clear" w:color="auto" w:fill="auto"/>
            <w:noWrap/>
            <w:vAlign w:val="center"/>
            <w:hideMark/>
          </w:tcPr>
          <w:p w14:paraId="4901B71E" w14:textId="0D527B28" w:rsidR="008641BF" w:rsidRPr="004F5401" w:rsidRDefault="008641BF" w:rsidP="004F5401">
            <w:pPr>
              <w:keepNext/>
              <w:autoSpaceDE/>
              <w:autoSpaceDN/>
              <w:adjustRightInd/>
              <w:spacing w:line="240" w:lineRule="auto"/>
              <w:jc w:val="center"/>
              <w:rPr>
                <w:color w:val="000000"/>
                <w:sz w:val="20"/>
                <w:szCs w:val="20"/>
              </w:rPr>
            </w:pPr>
            <w:r w:rsidRPr="004F5401">
              <w:rPr>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14:paraId="61DAE68B" w14:textId="572B9784" w:rsidR="008641BF" w:rsidRPr="004F5401" w:rsidRDefault="008641BF" w:rsidP="004F5401">
            <w:pPr>
              <w:keepNext/>
              <w:autoSpaceDE/>
              <w:autoSpaceDN/>
              <w:adjustRightInd/>
              <w:spacing w:line="240" w:lineRule="auto"/>
              <w:jc w:val="center"/>
              <w:rPr>
                <w:color w:val="000000"/>
                <w:sz w:val="20"/>
                <w:szCs w:val="20"/>
              </w:rPr>
            </w:pPr>
            <w:r w:rsidRPr="004F5401">
              <w:rPr>
                <w:sz w:val="20"/>
                <w:szCs w:val="20"/>
              </w:rPr>
              <w:t>72</w:t>
            </w:r>
          </w:p>
        </w:tc>
        <w:tc>
          <w:tcPr>
            <w:tcW w:w="867" w:type="dxa"/>
            <w:tcBorders>
              <w:top w:val="nil"/>
              <w:left w:val="nil"/>
              <w:bottom w:val="single" w:sz="4" w:space="0" w:color="auto"/>
              <w:right w:val="single" w:sz="4" w:space="0" w:color="auto"/>
            </w:tcBorders>
            <w:shd w:val="clear" w:color="auto" w:fill="auto"/>
            <w:noWrap/>
            <w:vAlign w:val="center"/>
            <w:hideMark/>
          </w:tcPr>
          <w:p w14:paraId="25CB4AE0" w14:textId="1B0716BA" w:rsidR="008641BF" w:rsidRPr="004F5401" w:rsidRDefault="008641BF" w:rsidP="004F5401">
            <w:pPr>
              <w:keepNext/>
              <w:autoSpaceDE/>
              <w:autoSpaceDN/>
              <w:adjustRightInd/>
              <w:spacing w:line="240" w:lineRule="auto"/>
              <w:jc w:val="center"/>
              <w:rPr>
                <w:color w:val="000000"/>
                <w:sz w:val="20"/>
                <w:szCs w:val="20"/>
              </w:rPr>
            </w:pPr>
            <w:r w:rsidRPr="004F5401">
              <w:rPr>
                <w:sz w:val="20"/>
                <w:szCs w:val="20"/>
              </w:rPr>
              <w:t>$126</w:t>
            </w:r>
          </w:p>
        </w:tc>
        <w:tc>
          <w:tcPr>
            <w:tcW w:w="802" w:type="dxa"/>
            <w:tcBorders>
              <w:top w:val="nil"/>
              <w:left w:val="nil"/>
              <w:bottom w:val="single" w:sz="4" w:space="0" w:color="auto"/>
              <w:right w:val="nil"/>
            </w:tcBorders>
            <w:shd w:val="clear" w:color="auto" w:fill="auto"/>
            <w:noWrap/>
            <w:vAlign w:val="center"/>
            <w:hideMark/>
          </w:tcPr>
          <w:p w14:paraId="030427D4" w14:textId="5BBA130C" w:rsidR="008641BF" w:rsidRPr="004F5401" w:rsidRDefault="008641BF" w:rsidP="004F5401">
            <w:pPr>
              <w:keepNext/>
              <w:autoSpaceDE/>
              <w:autoSpaceDN/>
              <w:adjustRightInd/>
              <w:spacing w:line="240" w:lineRule="auto"/>
              <w:jc w:val="center"/>
              <w:rPr>
                <w:color w:val="000000"/>
                <w:sz w:val="20"/>
                <w:szCs w:val="20"/>
              </w:rPr>
            </w:pPr>
            <w:r w:rsidRPr="004F5401">
              <w:rPr>
                <w:sz w:val="20"/>
                <w:szCs w:val="20"/>
              </w:rPr>
              <w:t>10</w:t>
            </w:r>
          </w:p>
        </w:tc>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5178A92F" w14:textId="22311712" w:rsidR="008641BF" w:rsidRPr="004F5401" w:rsidRDefault="008641BF" w:rsidP="004F5401">
            <w:pPr>
              <w:keepNext/>
              <w:autoSpaceDE/>
              <w:autoSpaceDN/>
              <w:adjustRightInd/>
              <w:spacing w:line="240" w:lineRule="auto"/>
              <w:jc w:val="center"/>
              <w:rPr>
                <w:sz w:val="20"/>
                <w:szCs w:val="20"/>
              </w:rPr>
            </w:pPr>
            <w:r w:rsidRPr="004F5401">
              <w:rPr>
                <w:sz w:val="20"/>
                <w:szCs w:val="20"/>
              </w:rPr>
              <w:t>($90,477)</w:t>
            </w:r>
          </w:p>
        </w:tc>
        <w:tc>
          <w:tcPr>
            <w:tcW w:w="1158" w:type="dxa"/>
            <w:tcBorders>
              <w:top w:val="nil"/>
              <w:left w:val="nil"/>
              <w:bottom w:val="single" w:sz="4" w:space="0" w:color="auto"/>
              <w:right w:val="single" w:sz="4" w:space="0" w:color="auto"/>
            </w:tcBorders>
            <w:shd w:val="clear" w:color="auto" w:fill="auto"/>
            <w:noWrap/>
            <w:vAlign w:val="center"/>
            <w:hideMark/>
          </w:tcPr>
          <w:p w14:paraId="1CFF609F" w14:textId="7D5D0DED" w:rsidR="008641BF" w:rsidRPr="004F5401" w:rsidRDefault="008641BF" w:rsidP="004F5401">
            <w:pPr>
              <w:keepNext/>
              <w:autoSpaceDE/>
              <w:autoSpaceDN/>
              <w:adjustRightInd/>
              <w:spacing w:line="240" w:lineRule="auto"/>
              <w:jc w:val="center"/>
              <w:rPr>
                <w:sz w:val="20"/>
                <w:szCs w:val="20"/>
              </w:rPr>
            </w:pPr>
            <w:r w:rsidRPr="004F5401">
              <w:rPr>
                <w:sz w:val="20"/>
                <w:szCs w:val="20"/>
              </w:rPr>
              <w:t>($79,026)</w:t>
            </w:r>
          </w:p>
        </w:tc>
        <w:tc>
          <w:tcPr>
            <w:tcW w:w="1158" w:type="dxa"/>
            <w:tcBorders>
              <w:top w:val="nil"/>
              <w:left w:val="nil"/>
              <w:bottom w:val="single" w:sz="4" w:space="0" w:color="auto"/>
              <w:right w:val="single" w:sz="4" w:space="0" w:color="auto"/>
            </w:tcBorders>
            <w:shd w:val="clear" w:color="auto" w:fill="auto"/>
            <w:noWrap/>
            <w:vAlign w:val="center"/>
            <w:hideMark/>
          </w:tcPr>
          <w:p w14:paraId="0C2A7780" w14:textId="00F31C01" w:rsidR="008641BF" w:rsidRPr="004F5401" w:rsidRDefault="008641BF" w:rsidP="004F5401">
            <w:pPr>
              <w:keepNext/>
              <w:autoSpaceDE/>
              <w:autoSpaceDN/>
              <w:adjustRightInd/>
              <w:spacing w:line="240" w:lineRule="auto"/>
              <w:jc w:val="center"/>
              <w:rPr>
                <w:sz w:val="20"/>
                <w:szCs w:val="20"/>
              </w:rPr>
            </w:pPr>
            <w:r w:rsidRPr="004F5401">
              <w:rPr>
                <w:sz w:val="20"/>
                <w:szCs w:val="20"/>
              </w:rPr>
              <w:t>($85,283)</w:t>
            </w:r>
          </w:p>
        </w:tc>
      </w:tr>
      <w:tr w:rsidR="008641BF" w:rsidRPr="00A27EE7" w14:paraId="45B850D0" w14:textId="77777777" w:rsidTr="004F5401">
        <w:trPr>
          <w:trHeight w:val="288"/>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628A670A" w14:textId="31E50444" w:rsidR="008641BF" w:rsidRPr="004F5401" w:rsidRDefault="008641BF" w:rsidP="00FF0EE8">
            <w:pPr>
              <w:autoSpaceDE/>
              <w:autoSpaceDN/>
              <w:adjustRightInd/>
              <w:spacing w:line="240" w:lineRule="auto"/>
              <w:jc w:val="center"/>
              <w:rPr>
                <w:color w:val="000000"/>
                <w:sz w:val="20"/>
                <w:szCs w:val="20"/>
              </w:rPr>
            </w:pPr>
            <w:r w:rsidRPr="004F5401">
              <w:rPr>
                <w:sz w:val="20"/>
                <w:szCs w:val="20"/>
              </w:rPr>
              <w:t>2019</w:t>
            </w:r>
          </w:p>
        </w:tc>
        <w:tc>
          <w:tcPr>
            <w:tcW w:w="1857" w:type="dxa"/>
            <w:tcBorders>
              <w:top w:val="nil"/>
              <w:left w:val="nil"/>
              <w:bottom w:val="single" w:sz="4" w:space="0" w:color="auto"/>
              <w:right w:val="single" w:sz="4" w:space="0" w:color="auto"/>
            </w:tcBorders>
            <w:shd w:val="clear" w:color="auto" w:fill="auto"/>
            <w:noWrap/>
            <w:vAlign w:val="center"/>
            <w:hideMark/>
          </w:tcPr>
          <w:p w14:paraId="729FE3CA" w14:textId="16DDD8EB" w:rsidR="008641BF" w:rsidRPr="004F5401" w:rsidRDefault="008641BF" w:rsidP="00FF0EE8">
            <w:pPr>
              <w:autoSpaceDE/>
              <w:autoSpaceDN/>
              <w:adjustRightInd/>
              <w:spacing w:line="240" w:lineRule="auto"/>
              <w:jc w:val="center"/>
              <w:rPr>
                <w:color w:val="000000"/>
                <w:sz w:val="20"/>
                <w:szCs w:val="20"/>
              </w:rPr>
            </w:pPr>
            <w:r w:rsidRPr="004F5401">
              <w:rPr>
                <w:sz w:val="20"/>
                <w:szCs w:val="20"/>
              </w:rPr>
              <w:t>Initial pump test</w:t>
            </w:r>
          </w:p>
        </w:tc>
        <w:tc>
          <w:tcPr>
            <w:tcW w:w="810" w:type="dxa"/>
            <w:tcBorders>
              <w:top w:val="nil"/>
              <w:left w:val="nil"/>
              <w:bottom w:val="single" w:sz="4" w:space="0" w:color="auto"/>
              <w:right w:val="single" w:sz="4" w:space="0" w:color="auto"/>
            </w:tcBorders>
            <w:shd w:val="clear" w:color="auto" w:fill="auto"/>
            <w:noWrap/>
            <w:vAlign w:val="center"/>
            <w:hideMark/>
          </w:tcPr>
          <w:p w14:paraId="7AF2B191" w14:textId="7DDDE628" w:rsidR="008641BF" w:rsidRPr="004F5401" w:rsidRDefault="008641BF" w:rsidP="00FF0EE8">
            <w:pPr>
              <w:autoSpaceDE/>
              <w:autoSpaceDN/>
              <w:adjustRightInd/>
              <w:spacing w:line="240" w:lineRule="auto"/>
              <w:jc w:val="center"/>
              <w:rPr>
                <w:color w:val="000000"/>
                <w:sz w:val="20"/>
                <w:szCs w:val="20"/>
              </w:rPr>
            </w:pPr>
            <w:r w:rsidRPr="004F5401">
              <w:rPr>
                <w:sz w:val="20"/>
                <w:szCs w:val="20"/>
              </w:rPr>
              <w:t>7</w:t>
            </w:r>
          </w:p>
        </w:tc>
        <w:tc>
          <w:tcPr>
            <w:tcW w:w="900" w:type="dxa"/>
            <w:tcBorders>
              <w:top w:val="nil"/>
              <w:left w:val="nil"/>
              <w:bottom w:val="single" w:sz="4" w:space="0" w:color="auto"/>
              <w:right w:val="single" w:sz="4" w:space="0" w:color="auto"/>
            </w:tcBorders>
            <w:shd w:val="clear" w:color="auto" w:fill="auto"/>
            <w:noWrap/>
            <w:vAlign w:val="center"/>
            <w:hideMark/>
          </w:tcPr>
          <w:p w14:paraId="4B930B2D" w14:textId="7F4FC222" w:rsidR="008641BF" w:rsidRPr="004F5401" w:rsidRDefault="008641BF" w:rsidP="00FF0EE8">
            <w:pPr>
              <w:autoSpaceDE/>
              <w:autoSpaceDN/>
              <w:adjustRightInd/>
              <w:spacing w:line="240" w:lineRule="auto"/>
              <w:jc w:val="center"/>
              <w:rPr>
                <w:color w:val="000000"/>
                <w:sz w:val="20"/>
                <w:szCs w:val="20"/>
              </w:rPr>
            </w:pPr>
            <w:r w:rsidRPr="004F5401">
              <w:rPr>
                <w:sz w:val="20"/>
                <w:szCs w:val="20"/>
              </w:rPr>
              <w:t>0.5</w:t>
            </w:r>
          </w:p>
        </w:tc>
        <w:tc>
          <w:tcPr>
            <w:tcW w:w="867" w:type="dxa"/>
            <w:tcBorders>
              <w:top w:val="nil"/>
              <w:left w:val="nil"/>
              <w:bottom w:val="single" w:sz="4" w:space="0" w:color="auto"/>
              <w:right w:val="single" w:sz="4" w:space="0" w:color="auto"/>
            </w:tcBorders>
            <w:shd w:val="clear" w:color="auto" w:fill="auto"/>
            <w:noWrap/>
            <w:vAlign w:val="center"/>
            <w:hideMark/>
          </w:tcPr>
          <w:p w14:paraId="63208ECB" w14:textId="3313264E" w:rsidR="008641BF" w:rsidRPr="004F5401" w:rsidRDefault="008641BF" w:rsidP="00FF0EE8">
            <w:pPr>
              <w:autoSpaceDE/>
              <w:autoSpaceDN/>
              <w:adjustRightInd/>
              <w:spacing w:line="240" w:lineRule="auto"/>
              <w:jc w:val="center"/>
              <w:rPr>
                <w:color w:val="000000"/>
                <w:sz w:val="20"/>
                <w:szCs w:val="20"/>
              </w:rPr>
            </w:pPr>
            <w:r w:rsidRPr="004F5401">
              <w:rPr>
                <w:sz w:val="20"/>
                <w:szCs w:val="20"/>
              </w:rPr>
              <w:t>$126</w:t>
            </w:r>
          </w:p>
        </w:tc>
        <w:tc>
          <w:tcPr>
            <w:tcW w:w="802" w:type="dxa"/>
            <w:tcBorders>
              <w:top w:val="nil"/>
              <w:left w:val="nil"/>
              <w:bottom w:val="single" w:sz="4" w:space="0" w:color="auto"/>
              <w:right w:val="nil"/>
            </w:tcBorders>
            <w:shd w:val="clear" w:color="auto" w:fill="auto"/>
            <w:noWrap/>
            <w:vAlign w:val="center"/>
            <w:hideMark/>
          </w:tcPr>
          <w:p w14:paraId="7312EC97" w14:textId="2F23216D" w:rsidR="008641BF" w:rsidRPr="004F5401" w:rsidRDefault="008641BF" w:rsidP="00FF0EE8">
            <w:pPr>
              <w:autoSpaceDE/>
              <w:autoSpaceDN/>
              <w:adjustRightInd/>
              <w:spacing w:line="240" w:lineRule="auto"/>
              <w:jc w:val="center"/>
              <w:rPr>
                <w:color w:val="000000"/>
                <w:sz w:val="20"/>
                <w:szCs w:val="20"/>
              </w:rPr>
            </w:pPr>
            <w:r w:rsidRPr="004F5401">
              <w:rPr>
                <w:sz w:val="20"/>
                <w:szCs w:val="20"/>
              </w:rPr>
              <w:t>10</w:t>
            </w:r>
          </w:p>
        </w:tc>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380B5DCF" w14:textId="72C67B5E" w:rsidR="008641BF" w:rsidRPr="004F5401" w:rsidRDefault="008641BF" w:rsidP="00FF0EE8">
            <w:pPr>
              <w:autoSpaceDE/>
              <w:autoSpaceDN/>
              <w:adjustRightInd/>
              <w:spacing w:line="240" w:lineRule="auto"/>
              <w:jc w:val="center"/>
              <w:rPr>
                <w:sz w:val="20"/>
                <w:szCs w:val="20"/>
              </w:rPr>
            </w:pPr>
            <w:r w:rsidRPr="004F5401">
              <w:rPr>
                <w:sz w:val="20"/>
                <w:szCs w:val="20"/>
              </w:rPr>
              <w:t>($4,398)</w:t>
            </w:r>
          </w:p>
        </w:tc>
        <w:tc>
          <w:tcPr>
            <w:tcW w:w="1158" w:type="dxa"/>
            <w:tcBorders>
              <w:top w:val="nil"/>
              <w:left w:val="nil"/>
              <w:bottom w:val="single" w:sz="4" w:space="0" w:color="auto"/>
              <w:right w:val="single" w:sz="4" w:space="0" w:color="auto"/>
            </w:tcBorders>
            <w:shd w:val="clear" w:color="auto" w:fill="auto"/>
            <w:noWrap/>
            <w:vAlign w:val="center"/>
            <w:hideMark/>
          </w:tcPr>
          <w:p w14:paraId="271A98E8" w14:textId="612A99F6" w:rsidR="008641BF" w:rsidRPr="004F5401" w:rsidRDefault="008641BF" w:rsidP="00FF0EE8">
            <w:pPr>
              <w:autoSpaceDE/>
              <w:autoSpaceDN/>
              <w:adjustRightInd/>
              <w:spacing w:line="240" w:lineRule="auto"/>
              <w:jc w:val="center"/>
              <w:rPr>
                <w:sz w:val="20"/>
                <w:szCs w:val="20"/>
              </w:rPr>
            </w:pPr>
            <w:r w:rsidRPr="004F5401">
              <w:rPr>
                <w:sz w:val="20"/>
                <w:szCs w:val="20"/>
              </w:rPr>
              <w:t>($3,842)</w:t>
            </w:r>
          </w:p>
        </w:tc>
        <w:tc>
          <w:tcPr>
            <w:tcW w:w="1158" w:type="dxa"/>
            <w:tcBorders>
              <w:top w:val="nil"/>
              <w:left w:val="nil"/>
              <w:bottom w:val="single" w:sz="4" w:space="0" w:color="auto"/>
              <w:right w:val="single" w:sz="4" w:space="0" w:color="auto"/>
            </w:tcBorders>
            <w:shd w:val="clear" w:color="auto" w:fill="auto"/>
            <w:noWrap/>
            <w:vAlign w:val="center"/>
            <w:hideMark/>
          </w:tcPr>
          <w:p w14:paraId="4268B36E" w14:textId="44DD1A96" w:rsidR="008641BF" w:rsidRPr="004F5401" w:rsidRDefault="008641BF" w:rsidP="00FF0EE8">
            <w:pPr>
              <w:autoSpaceDE/>
              <w:autoSpaceDN/>
              <w:adjustRightInd/>
              <w:spacing w:line="240" w:lineRule="auto"/>
              <w:jc w:val="center"/>
              <w:rPr>
                <w:sz w:val="20"/>
                <w:szCs w:val="20"/>
              </w:rPr>
            </w:pPr>
            <w:r w:rsidRPr="004F5401">
              <w:rPr>
                <w:sz w:val="20"/>
                <w:szCs w:val="20"/>
              </w:rPr>
              <w:t>($4,146)</w:t>
            </w:r>
          </w:p>
        </w:tc>
      </w:tr>
      <w:tr w:rsidR="008641BF" w:rsidRPr="00A27EE7" w14:paraId="20577BC9" w14:textId="77777777" w:rsidTr="004F5401">
        <w:trPr>
          <w:trHeight w:val="288"/>
          <w:jc w:val="center"/>
        </w:trPr>
        <w:tc>
          <w:tcPr>
            <w:tcW w:w="706" w:type="dxa"/>
            <w:tcBorders>
              <w:top w:val="nil"/>
              <w:left w:val="single" w:sz="4" w:space="0" w:color="auto"/>
              <w:bottom w:val="single" w:sz="4" w:space="0" w:color="auto"/>
              <w:right w:val="single" w:sz="4" w:space="0" w:color="auto"/>
            </w:tcBorders>
            <w:shd w:val="clear" w:color="auto" w:fill="auto"/>
            <w:noWrap/>
            <w:vAlign w:val="center"/>
          </w:tcPr>
          <w:p w14:paraId="2B0D28D2" w14:textId="71C619A1" w:rsidR="008641BF" w:rsidRPr="004F5401" w:rsidRDefault="008641BF" w:rsidP="00FF0EE8">
            <w:pPr>
              <w:autoSpaceDE/>
              <w:autoSpaceDN/>
              <w:adjustRightInd/>
              <w:spacing w:line="240" w:lineRule="auto"/>
              <w:jc w:val="center"/>
              <w:rPr>
                <w:color w:val="000000"/>
                <w:sz w:val="20"/>
                <w:szCs w:val="20"/>
              </w:rPr>
            </w:pPr>
            <w:r w:rsidRPr="004F5401">
              <w:rPr>
                <w:sz w:val="20"/>
                <w:szCs w:val="20"/>
              </w:rPr>
              <w:t>2019</w:t>
            </w:r>
          </w:p>
        </w:tc>
        <w:tc>
          <w:tcPr>
            <w:tcW w:w="1857" w:type="dxa"/>
            <w:tcBorders>
              <w:top w:val="nil"/>
              <w:left w:val="nil"/>
              <w:bottom w:val="single" w:sz="4" w:space="0" w:color="auto"/>
              <w:right w:val="single" w:sz="4" w:space="0" w:color="auto"/>
            </w:tcBorders>
            <w:shd w:val="clear" w:color="auto" w:fill="auto"/>
            <w:noWrap/>
            <w:vAlign w:val="center"/>
          </w:tcPr>
          <w:p w14:paraId="32E3D901" w14:textId="57D22252" w:rsidR="008641BF" w:rsidRPr="004F5401" w:rsidRDefault="008641BF" w:rsidP="00FF0EE8">
            <w:pPr>
              <w:autoSpaceDE/>
              <w:autoSpaceDN/>
              <w:adjustRightInd/>
              <w:spacing w:line="240" w:lineRule="auto"/>
              <w:jc w:val="center"/>
              <w:rPr>
                <w:rFonts w:eastAsia="Times New Roman"/>
                <w:color w:val="000000"/>
                <w:sz w:val="20"/>
                <w:szCs w:val="20"/>
              </w:rPr>
            </w:pPr>
            <w:r w:rsidRPr="004F5401">
              <w:rPr>
                <w:sz w:val="20"/>
                <w:szCs w:val="20"/>
              </w:rPr>
              <w:t>Cost Averted for Relief Requests</w:t>
            </w:r>
          </w:p>
        </w:tc>
        <w:tc>
          <w:tcPr>
            <w:tcW w:w="810" w:type="dxa"/>
            <w:tcBorders>
              <w:top w:val="nil"/>
              <w:left w:val="nil"/>
              <w:bottom w:val="single" w:sz="4" w:space="0" w:color="auto"/>
              <w:right w:val="single" w:sz="4" w:space="0" w:color="auto"/>
            </w:tcBorders>
            <w:shd w:val="clear" w:color="auto" w:fill="auto"/>
            <w:noWrap/>
            <w:vAlign w:val="center"/>
          </w:tcPr>
          <w:p w14:paraId="6A08D799" w14:textId="77777777" w:rsidR="008641BF" w:rsidRPr="004F5401" w:rsidRDefault="008641BF" w:rsidP="00FF0EE8">
            <w:pPr>
              <w:autoSpaceDE/>
              <w:autoSpaceDN/>
              <w:adjustRightInd/>
              <w:spacing w:line="240" w:lineRule="auto"/>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vAlign w:val="center"/>
          </w:tcPr>
          <w:p w14:paraId="7043F96C" w14:textId="337B8A84" w:rsidR="008641BF" w:rsidRPr="004F5401" w:rsidRDefault="008641BF" w:rsidP="00FF0EE8">
            <w:pPr>
              <w:autoSpaceDE/>
              <w:autoSpaceDN/>
              <w:adjustRightInd/>
              <w:spacing w:line="240" w:lineRule="auto"/>
              <w:jc w:val="center"/>
              <w:rPr>
                <w:color w:val="000000"/>
                <w:sz w:val="20"/>
                <w:szCs w:val="20"/>
              </w:rPr>
            </w:pPr>
            <w:r w:rsidRPr="004F5401">
              <w:rPr>
                <w:sz w:val="20"/>
                <w:szCs w:val="20"/>
              </w:rPr>
              <w:t>150</w:t>
            </w:r>
          </w:p>
        </w:tc>
        <w:tc>
          <w:tcPr>
            <w:tcW w:w="867" w:type="dxa"/>
            <w:tcBorders>
              <w:top w:val="nil"/>
              <w:left w:val="nil"/>
              <w:bottom w:val="single" w:sz="4" w:space="0" w:color="auto"/>
              <w:right w:val="single" w:sz="4" w:space="0" w:color="auto"/>
            </w:tcBorders>
            <w:shd w:val="clear" w:color="auto" w:fill="auto"/>
            <w:noWrap/>
            <w:vAlign w:val="center"/>
          </w:tcPr>
          <w:p w14:paraId="7AC49333" w14:textId="257DC4EB" w:rsidR="008641BF" w:rsidRPr="004F5401" w:rsidRDefault="008641BF" w:rsidP="00FF0EE8">
            <w:pPr>
              <w:autoSpaceDE/>
              <w:autoSpaceDN/>
              <w:adjustRightInd/>
              <w:spacing w:line="240" w:lineRule="auto"/>
              <w:jc w:val="center"/>
              <w:rPr>
                <w:color w:val="000000"/>
                <w:sz w:val="20"/>
                <w:szCs w:val="20"/>
              </w:rPr>
            </w:pPr>
            <w:r w:rsidRPr="004F5401">
              <w:rPr>
                <w:sz w:val="20"/>
                <w:szCs w:val="20"/>
              </w:rPr>
              <w:t xml:space="preserve">$126 </w:t>
            </w:r>
          </w:p>
        </w:tc>
        <w:tc>
          <w:tcPr>
            <w:tcW w:w="802" w:type="dxa"/>
            <w:tcBorders>
              <w:top w:val="nil"/>
              <w:left w:val="nil"/>
              <w:bottom w:val="single" w:sz="4" w:space="0" w:color="auto"/>
              <w:right w:val="nil"/>
            </w:tcBorders>
            <w:shd w:val="clear" w:color="auto" w:fill="auto"/>
            <w:noWrap/>
            <w:vAlign w:val="center"/>
          </w:tcPr>
          <w:p w14:paraId="62500C2D" w14:textId="64F8327A" w:rsidR="008641BF" w:rsidRPr="004F5401" w:rsidRDefault="008641BF" w:rsidP="00FF0EE8">
            <w:pPr>
              <w:autoSpaceDE/>
              <w:autoSpaceDN/>
              <w:adjustRightInd/>
              <w:spacing w:line="240" w:lineRule="auto"/>
              <w:jc w:val="center"/>
              <w:rPr>
                <w:color w:val="000000"/>
                <w:sz w:val="20"/>
                <w:szCs w:val="20"/>
              </w:rPr>
            </w:pPr>
            <w:r w:rsidRPr="004F5401">
              <w:rPr>
                <w:sz w:val="20"/>
                <w:szCs w:val="20"/>
              </w:rPr>
              <w:t>10</w:t>
            </w:r>
          </w:p>
        </w:tc>
        <w:tc>
          <w:tcPr>
            <w:tcW w:w="1683" w:type="dxa"/>
            <w:tcBorders>
              <w:top w:val="nil"/>
              <w:left w:val="single" w:sz="4" w:space="0" w:color="auto"/>
              <w:bottom w:val="single" w:sz="4" w:space="0" w:color="auto"/>
              <w:right w:val="single" w:sz="4" w:space="0" w:color="auto"/>
            </w:tcBorders>
            <w:shd w:val="clear" w:color="auto" w:fill="auto"/>
            <w:noWrap/>
            <w:vAlign w:val="center"/>
          </w:tcPr>
          <w:p w14:paraId="33F015E8" w14:textId="7151BEC3" w:rsidR="008641BF" w:rsidRPr="004F5401" w:rsidRDefault="008641BF" w:rsidP="00FF0EE8">
            <w:pPr>
              <w:autoSpaceDE/>
              <w:autoSpaceDN/>
              <w:adjustRightInd/>
              <w:spacing w:line="240" w:lineRule="auto"/>
              <w:jc w:val="center"/>
              <w:rPr>
                <w:sz w:val="20"/>
                <w:szCs w:val="20"/>
              </w:rPr>
            </w:pPr>
            <w:r w:rsidRPr="004F5401">
              <w:rPr>
                <w:sz w:val="20"/>
                <w:szCs w:val="20"/>
              </w:rPr>
              <w:t xml:space="preserve">$188,494 </w:t>
            </w:r>
          </w:p>
        </w:tc>
        <w:tc>
          <w:tcPr>
            <w:tcW w:w="1158" w:type="dxa"/>
            <w:tcBorders>
              <w:top w:val="nil"/>
              <w:left w:val="nil"/>
              <w:bottom w:val="single" w:sz="4" w:space="0" w:color="auto"/>
              <w:right w:val="single" w:sz="4" w:space="0" w:color="auto"/>
            </w:tcBorders>
            <w:shd w:val="clear" w:color="auto" w:fill="auto"/>
            <w:noWrap/>
            <w:vAlign w:val="center"/>
          </w:tcPr>
          <w:p w14:paraId="1C852CEA" w14:textId="6810299C" w:rsidR="008641BF" w:rsidRPr="004F5401" w:rsidRDefault="008641BF" w:rsidP="00FF0EE8">
            <w:pPr>
              <w:autoSpaceDE/>
              <w:autoSpaceDN/>
              <w:adjustRightInd/>
              <w:spacing w:line="240" w:lineRule="auto"/>
              <w:jc w:val="center"/>
              <w:rPr>
                <w:sz w:val="20"/>
                <w:szCs w:val="20"/>
              </w:rPr>
            </w:pPr>
            <w:r w:rsidRPr="004F5401">
              <w:rPr>
                <w:sz w:val="20"/>
                <w:szCs w:val="20"/>
              </w:rPr>
              <w:t xml:space="preserve">$164,638 </w:t>
            </w:r>
          </w:p>
        </w:tc>
        <w:tc>
          <w:tcPr>
            <w:tcW w:w="1158" w:type="dxa"/>
            <w:tcBorders>
              <w:top w:val="nil"/>
              <w:left w:val="nil"/>
              <w:bottom w:val="single" w:sz="4" w:space="0" w:color="auto"/>
              <w:right w:val="single" w:sz="4" w:space="0" w:color="auto"/>
            </w:tcBorders>
            <w:shd w:val="clear" w:color="auto" w:fill="auto"/>
            <w:noWrap/>
            <w:vAlign w:val="center"/>
          </w:tcPr>
          <w:p w14:paraId="3C18D95C" w14:textId="4F193FBB" w:rsidR="008641BF" w:rsidRPr="004F5401" w:rsidRDefault="008641BF" w:rsidP="00FF0EE8">
            <w:pPr>
              <w:autoSpaceDE/>
              <w:autoSpaceDN/>
              <w:adjustRightInd/>
              <w:spacing w:line="240" w:lineRule="auto"/>
              <w:jc w:val="center"/>
              <w:rPr>
                <w:sz w:val="20"/>
                <w:szCs w:val="20"/>
              </w:rPr>
            </w:pPr>
            <w:r w:rsidRPr="004F5401">
              <w:rPr>
                <w:sz w:val="20"/>
                <w:szCs w:val="20"/>
              </w:rPr>
              <w:t xml:space="preserve">$177,673 </w:t>
            </w:r>
          </w:p>
        </w:tc>
      </w:tr>
      <w:tr w:rsidR="008641BF" w:rsidRPr="00A27EE7" w14:paraId="5AE0F71A" w14:textId="77777777" w:rsidTr="004F5401">
        <w:trPr>
          <w:trHeight w:val="288"/>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4B010AD6" w14:textId="6862599B" w:rsidR="008641BF" w:rsidRPr="004F5401" w:rsidRDefault="008641BF" w:rsidP="00FF0EE8">
            <w:pPr>
              <w:autoSpaceDE/>
              <w:autoSpaceDN/>
              <w:adjustRightInd/>
              <w:spacing w:line="240" w:lineRule="auto"/>
              <w:jc w:val="center"/>
              <w:rPr>
                <w:color w:val="000000"/>
                <w:sz w:val="20"/>
                <w:szCs w:val="20"/>
              </w:rPr>
            </w:pPr>
            <w:r w:rsidRPr="004F5401">
              <w:rPr>
                <w:sz w:val="20"/>
                <w:szCs w:val="20"/>
              </w:rPr>
              <w:t>2021</w:t>
            </w:r>
          </w:p>
        </w:tc>
        <w:tc>
          <w:tcPr>
            <w:tcW w:w="1857" w:type="dxa"/>
            <w:tcBorders>
              <w:top w:val="nil"/>
              <w:left w:val="nil"/>
              <w:bottom w:val="single" w:sz="4" w:space="0" w:color="auto"/>
              <w:right w:val="single" w:sz="4" w:space="0" w:color="auto"/>
            </w:tcBorders>
            <w:shd w:val="clear" w:color="auto" w:fill="auto"/>
            <w:noWrap/>
            <w:vAlign w:val="center"/>
            <w:hideMark/>
          </w:tcPr>
          <w:p w14:paraId="02099454" w14:textId="4B8B3789" w:rsidR="008641BF" w:rsidRPr="004F5401" w:rsidRDefault="008641BF" w:rsidP="00FF0EE8">
            <w:pPr>
              <w:autoSpaceDE/>
              <w:autoSpaceDN/>
              <w:adjustRightInd/>
              <w:spacing w:line="240" w:lineRule="auto"/>
              <w:jc w:val="center"/>
              <w:rPr>
                <w:color w:val="000000"/>
                <w:sz w:val="20"/>
                <w:szCs w:val="20"/>
              </w:rPr>
            </w:pPr>
            <w:r w:rsidRPr="004F5401">
              <w:rPr>
                <w:sz w:val="20"/>
                <w:szCs w:val="20"/>
              </w:rPr>
              <w:t>Prepare subsequent work package</w:t>
            </w:r>
          </w:p>
        </w:tc>
        <w:tc>
          <w:tcPr>
            <w:tcW w:w="810" w:type="dxa"/>
            <w:tcBorders>
              <w:top w:val="nil"/>
              <w:left w:val="nil"/>
              <w:bottom w:val="single" w:sz="4" w:space="0" w:color="auto"/>
              <w:right w:val="single" w:sz="4" w:space="0" w:color="auto"/>
            </w:tcBorders>
            <w:shd w:val="clear" w:color="auto" w:fill="auto"/>
            <w:noWrap/>
            <w:vAlign w:val="center"/>
            <w:hideMark/>
          </w:tcPr>
          <w:p w14:paraId="448C1329" w14:textId="0B1803E9" w:rsidR="008641BF" w:rsidRPr="004F5401" w:rsidRDefault="008641BF" w:rsidP="00FF0EE8">
            <w:pPr>
              <w:autoSpaceDE/>
              <w:autoSpaceDN/>
              <w:adjustRightInd/>
              <w:spacing w:line="240" w:lineRule="auto"/>
              <w:jc w:val="center"/>
              <w:rPr>
                <w:color w:val="000000"/>
                <w:sz w:val="20"/>
                <w:szCs w:val="20"/>
              </w:rPr>
            </w:pPr>
            <w:r w:rsidRPr="004F5401">
              <w:rPr>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14:paraId="4CC7F206" w14:textId="37A171EE" w:rsidR="008641BF" w:rsidRPr="004F5401" w:rsidRDefault="008641BF" w:rsidP="00FF0EE8">
            <w:pPr>
              <w:autoSpaceDE/>
              <w:autoSpaceDN/>
              <w:adjustRightInd/>
              <w:spacing w:line="240" w:lineRule="auto"/>
              <w:jc w:val="center"/>
              <w:rPr>
                <w:color w:val="000000"/>
                <w:sz w:val="20"/>
                <w:szCs w:val="20"/>
              </w:rPr>
            </w:pPr>
            <w:r w:rsidRPr="004F5401">
              <w:rPr>
                <w:sz w:val="20"/>
                <w:szCs w:val="20"/>
              </w:rPr>
              <w:t>72</w:t>
            </w:r>
          </w:p>
        </w:tc>
        <w:tc>
          <w:tcPr>
            <w:tcW w:w="867" w:type="dxa"/>
            <w:tcBorders>
              <w:top w:val="nil"/>
              <w:left w:val="nil"/>
              <w:bottom w:val="single" w:sz="4" w:space="0" w:color="auto"/>
              <w:right w:val="single" w:sz="4" w:space="0" w:color="auto"/>
            </w:tcBorders>
            <w:shd w:val="clear" w:color="auto" w:fill="auto"/>
            <w:noWrap/>
            <w:vAlign w:val="center"/>
            <w:hideMark/>
          </w:tcPr>
          <w:p w14:paraId="2D9CB0C4" w14:textId="5A150473" w:rsidR="008641BF" w:rsidRPr="004F5401" w:rsidRDefault="008641BF" w:rsidP="00FF0EE8">
            <w:pPr>
              <w:autoSpaceDE/>
              <w:autoSpaceDN/>
              <w:adjustRightInd/>
              <w:spacing w:line="240" w:lineRule="auto"/>
              <w:jc w:val="center"/>
              <w:rPr>
                <w:color w:val="000000"/>
                <w:sz w:val="20"/>
                <w:szCs w:val="20"/>
              </w:rPr>
            </w:pPr>
            <w:r w:rsidRPr="004F5401">
              <w:rPr>
                <w:sz w:val="20"/>
                <w:szCs w:val="20"/>
              </w:rPr>
              <w:t>$126</w:t>
            </w:r>
          </w:p>
        </w:tc>
        <w:tc>
          <w:tcPr>
            <w:tcW w:w="802" w:type="dxa"/>
            <w:tcBorders>
              <w:top w:val="nil"/>
              <w:left w:val="nil"/>
              <w:bottom w:val="single" w:sz="4" w:space="0" w:color="auto"/>
              <w:right w:val="nil"/>
            </w:tcBorders>
            <w:shd w:val="clear" w:color="auto" w:fill="auto"/>
            <w:noWrap/>
            <w:vAlign w:val="center"/>
            <w:hideMark/>
          </w:tcPr>
          <w:p w14:paraId="6F3607D9" w14:textId="271FDE83" w:rsidR="008641BF" w:rsidRPr="004F5401" w:rsidRDefault="008641BF" w:rsidP="00FF0EE8">
            <w:pPr>
              <w:autoSpaceDE/>
              <w:autoSpaceDN/>
              <w:adjustRightInd/>
              <w:spacing w:line="240" w:lineRule="auto"/>
              <w:jc w:val="center"/>
              <w:rPr>
                <w:color w:val="000000"/>
                <w:sz w:val="20"/>
                <w:szCs w:val="20"/>
              </w:rPr>
            </w:pPr>
            <w:r w:rsidRPr="004F5401">
              <w:rPr>
                <w:sz w:val="20"/>
                <w:szCs w:val="20"/>
              </w:rPr>
              <w:t>10</w:t>
            </w:r>
          </w:p>
        </w:tc>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06D7F5F7" w14:textId="48D4DEB7" w:rsidR="008641BF" w:rsidRPr="004F5401" w:rsidRDefault="008641BF" w:rsidP="00FF0EE8">
            <w:pPr>
              <w:autoSpaceDE/>
              <w:autoSpaceDN/>
              <w:adjustRightInd/>
              <w:spacing w:line="240" w:lineRule="auto"/>
              <w:jc w:val="center"/>
              <w:rPr>
                <w:sz w:val="20"/>
                <w:szCs w:val="20"/>
              </w:rPr>
            </w:pPr>
            <w:r w:rsidRPr="004F5401">
              <w:rPr>
                <w:sz w:val="20"/>
                <w:szCs w:val="20"/>
              </w:rPr>
              <w:t>($90,477)</w:t>
            </w:r>
          </w:p>
        </w:tc>
        <w:tc>
          <w:tcPr>
            <w:tcW w:w="1158" w:type="dxa"/>
            <w:tcBorders>
              <w:top w:val="nil"/>
              <w:left w:val="nil"/>
              <w:bottom w:val="single" w:sz="4" w:space="0" w:color="auto"/>
              <w:right w:val="single" w:sz="4" w:space="0" w:color="auto"/>
            </w:tcBorders>
            <w:shd w:val="clear" w:color="auto" w:fill="auto"/>
            <w:noWrap/>
            <w:vAlign w:val="center"/>
            <w:hideMark/>
          </w:tcPr>
          <w:p w14:paraId="2603A806" w14:textId="6B8E7E50" w:rsidR="008641BF" w:rsidRPr="004F5401" w:rsidRDefault="008641BF" w:rsidP="00FF0EE8">
            <w:pPr>
              <w:autoSpaceDE/>
              <w:autoSpaceDN/>
              <w:adjustRightInd/>
              <w:spacing w:line="240" w:lineRule="auto"/>
              <w:jc w:val="center"/>
              <w:rPr>
                <w:sz w:val="20"/>
                <w:szCs w:val="20"/>
              </w:rPr>
            </w:pPr>
            <w:r w:rsidRPr="004F5401">
              <w:rPr>
                <w:sz w:val="20"/>
                <w:szCs w:val="20"/>
              </w:rPr>
              <w:t>($69,024)</w:t>
            </w:r>
          </w:p>
        </w:tc>
        <w:tc>
          <w:tcPr>
            <w:tcW w:w="1158" w:type="dxa"/>
            <w:tcBorders>
              <w:top w:val="nil"/>
              <w:left w:val="nil"/>
              <w:bottom w:val="single" w:sz="4" w:space="0" w:color="auto"/>
              <w:right w:val="single" w:sz="4" w:space="0" w:color="auto"/>
            </w:tcBorders>
            <w:shd w:val="clear" w:color="auto" w:fill="auto"/>
            <w:noWrap/>
            <w:vAlign w:val="center"/>
            <w:hideMark/>
          </w:tcPr>
          <w:p w14:paraId="7551B6DB" w14:textId="4ECB4E74" w:rsidR="008641BF" w:rsidRPr="004F5401" w:rsidRDefault="008641BF" w:rsidP="00FF0EE8">
            <w:pPr>
              <w:autoSpaceDE/>
              <w:autoSpaceDN/>
              <w:adjustRightInd/>
              <w:spacing w:line="240" w:lineRule="auto"/>
              <w:jc w:val="center"/>
              <w:rPr>
                <w:sz w:val="20"/>
                <w:szCs w:val="20"/>
              </w:rPr>
            </w:pPr>
            <w:r w:rsidRPr="004F5401">
              <w:rPr>
                <w:sz w:val="20"/>
                <w:szCs w:val="20"/>
              </w:rPr>
              <w:t>($80,388)</w:t>
            </w:r>
          </w:p>
        </w:tc>
      </w:tr>
      <w:tr w:rsidR="008641BF" w:rsidRPr="00A27EE7" w14:paraId="555A743A" w14:textId="77777777" w:rsidTr="004F5401">
        <w:trPr>
          <w:trHeight w:val="576"/>
          <w:jc w:val="center"/>
        </w:trPr>
        <w:tc>
          <w:tcPr>
            <w:tcW w:w="706" w:type="dxa"/>
            <w:tcBorders>
              <w:top w:val="nil"/>
              <w:left w:val="single" w:sz="4" w:space="0" w:color="auto"/>
              <w:bottom w:val="single" w:sz="4" w:space="0" w:color="auto"/>
              <w:right w:val="single" w:sz="4" w:space="0" w:color="auto"/>
            </w:tcBorders>
            <w:shd w:val="clear" w:color="auto" w:fill="auto"/>
            <w:noWrap/>
            <w:vAlign w:val="center"/>
          </w:tcPr>
          <w:p w14:paraId="26E08EAF" w14:textId="0CA8094E" w:rsidR="008641BF" w:rsidRPr="004F5401" w:rsidRDefault="008641BF" w:rsidP="00FF0EE8">
            <w:pPr>
              <w:autoSpaceDE/>
              <w:autoSpaceDN/>
              <w:adjustRightInd/>
              <w:spacing w:line="240" w:lineRule="auto"/>
              <w:jc w:val="center"/>
              <w:rPr>
                <w:color w:val="000000"/>
                <w:sz w:val="20"/>
                <w:szCs w:val="20"/>
              </w:rPr>
            </w:pPr>
            <w:r w:rsidRPr="004F5401">
              <w:rPr>
                <w:sz w:val="20"/>
                <w:szCs w:val="20"/>
              </w:rPr>
              <w:t>2021</w:t>
            </w:r>
          </w:p>
        </w:tc>
        <w:tc>
          <w:tcPr>
            <w:tcW w:w="1857" w:type="dxa"/>
            <w:tcBorders>
              <w:top w:val="nil"/>
              <w:left w:val="nil"/>
              <w:bottom w:val="single" w:sz="4" w:space="0" w:color="auto"/>
              <w:right w:val="single" w:sz="4" w:space="0" w:color="auto"/>
            </w:tcBorders>
            <w:shd w:val="clear" w:color="auto" w:fill="auto"/>
            <w:vAlign w:val="center"/>
          </w:tcPr>
          <w:p w14:paraId="0FCE8BD2" w14:textId="2579B447" w:rsidR="008641BF" w:rsidRPr="004F5401" w:rsidRDefault="008641BF" w:rsidP="00FF0EE8">
            <w:pPr>
              <w:autoSpaceDE/>
              <w:autoSpaceDN/>
              <w:adjustRightInd/>
              <w:spacing w:line="240" w:lineRule="auto"/>
              <w:jc w:val="center"/>
              <w:rPr>
                <w:color w:val="000000"/>
                <w:sz w:val="20"/>
                <w:szCs w:val="20"/>
              </w:rPr>
            </w:pPr>
            <w:r w:rsidRPr="004F5401">
              <w:rPr>
                <w:sz w:val="20"/>
                <w:szCs w:val="20"/>
              </w:rPr>
              <w:t>Recurring pump test</w:t>
            </w:r>
          </w:p>
        </w:tc>
        <w:tc>
          <w:tcPr>
            <w:tcW w:w="810" w:type="dxa"/>
            <w:tcBorders>
              <w:top w:val="nil"/>
              <w:left w:val="nil"/>
              <w:bottom w:val="single" w:sz="4" w:space="0" w:color="auto"/>
              <w:right w:val="single" w:sz="4" w:space="0" w:color="auto"/>
            </w:tcBorders>
            <w:shd w:val="clear" w:color="auto" w:fill="auto"/>
            <w:noWrap/>
            <w:vAlign w:val="center"/>
          </w:tcPr>
          <w:p w14:paraId="01D6AC44" w14:textId="4905D172" w:rsidR="008641BF" w:rsidRPr="004F5401" w:rsidRDefault="008641BF" w:rsidP="00FF0EE8">
            <w:pPr>
              <w:autoSpaceDE/>
              <w:autoSpaceDN/>
              <w:adjustRightInd/>
              <w:spacing w:line="240" w:lineRule="auto"/>
              <w:jc w:val="center"/>
              <w:rPr>
                <w:color w:val="000000"/>
                <w:sz w:val="20"/>
                <w:szCs w:val="20"/>
              </w:rPr>
            </w:pPr>
            <w:r w:rsidRPr="004F5401">
              <w:rPr>
                <w:sz w:val="20"/>
                <w:szCs w:val="20"/>
              </w:rPr>
              <w:t>7</w:t>
            </w:r>
          </w:p>
        </w:tc>
        <w:tc>
          <w:tcPr>
            <w:tcW w:w="900" w:type="dxa"/>
            <w:tcBorders>
              <w:top w:val="nil"/>
              <w:left w:val="nil"/>
              <w:bottom w:val="single" w:sz="4" w:space="0" w:color="auto"/>
              <w:right w:val="single" w:sz="4" w:space="0" w:color="auto"/>
            </w:tcBorders>
            <w:shd w:val="clear" w:color="auto" w:fill="auto"/>
            <w:noWrap/>
            <w:vAlign w:val="center"/>
          </w:tcPr>
          <w:p w14:paraId="239B704A" w14:textId="7F40F174" w:rsidR="008641BF" w:rsidRPr="004F5401" w:rsidRDefault="008641BF" w:rsidP="00FF0EE8">
            <w:pPr>
              <w:autoSpaceDE/>
              <w:autoSpaceDN/>
              <w:adjustRightInd/>
              <w:spacing w:line="240" w:lineRule="auto"/>
              <w:jc w:val="center"/>
              <w:rPr>
                <w:color w:val="000000"/>
                <w:sz w:val="20"/>
                <w:szCs w:val="20"/>
              </w:rPr>
            </w:pPr>
            <w:r w:rsidRPr="004F5401">
              <w:rPr>
                <w:sz w:val="20"/>
                <w:szCs w:val="20"/>
              </w:rPr>
              <w:t>0.5</w:t>
            </w:r>
          </w:p>
        </w:tc>
        <w:tc>
          <w:tcPr>
            <w:tcW w:w="867" w:type="dxa"/>
            <w:tcBorders>
              <w:top w:val="nil"/>
              <w:left w:val="nil"/>
              <w:bottom w:val="single" w:sz="4" w:space="0" w:color="auto"/>
              <w:right w:val="single" w:sz="4" w:space="0" w:color="auto"/>
            </w:tcBorders>
            <w:shd w:val="clear" w:color="auto" w:fill="auto"/>
            <w:noWrap/>
            <w:vAlign w:val="center"/>
          </w:tcPr>
          <w:p w14:paraId="1D2F9A95" w14:textId="797BF6AF" w:rsidR="008641BF" w:rsidRPr="004F5401" w:rsidRDefault="008641BF" w:rsidP="00FF0EE8">
            <w:pPr>
              <w:autoSpaceDE/>
              <w:autoSpaceDN/>
              <w:adjustRightInd/>
              <w:spacing w:line="240" w:lineRule="auto"/>
              <w:jc w:val="center"/>
              <w:rPr>
                <w:color w:val="000000"/>
                <w:sz w:val="20"/>
                <w:szCs w:val="20"/>
              </w:rPr>
            </w:pPr>
            <w:r w:rsidRPr="004F5401">
              <w:rPr>
                <w:sz w:val="20"/>
                <w:szCs w:val="20"/>
              </w:rPr>
              <w:t xml:space="preserve">$126 </w:t>
            </w:r>
          </w:p>
        </w:tc>
        <w:tc>
          <w:tcPr>
            <w:tcW w:w="802" w:type="dxa"/>
            <w:tcBorders>
              <w:top w:val="nil"/>
              <w:left w:val="nil"/>
              <w:bottom w:val="single" w:sz="4" w:space="0" w:color="auto"/>
              <w:right w:val="nil"/>
            </w:tcBorders>
            <w:shd w:val="clear" w:color="auto" w:fill="auto"/>
            <w:noWrap/>
            <w:vAlign w:val="center"/>
          </w:tcPr>
          <w:p w14:paraId="464A0C7D" w14:textId="23B3880B" w:rsidR="008641BF" w:rsidRPr="004F5401" w:rsidRDefault="008641BF" w:rsidP="00FF0EE8">
            <w:pPr>
              <w:autoSpaceDE/>
              <w:autoSpaceDN/>
              <w:adjustRightInd/>
              <w:spacing w:line="240" w:lineRule="auto"/>
              <w:jc w:val="center"/>
              <w:rPr>
                <w:color w:val="000000"/>
                <w:sz w:val="20"/>
                <w:szCs w:val="20"/>
              </w:rPr>
            </w:pPr>
            <w:r w:rsidRPr="004F5401">
              <w:rPr>
                <w:sz w:val="20"/>
                <w:szCs w:val="20"/>
              </w:rPr>
              <w:t>10</w:t>
            </w:r>
          </w:p>
        </w:tc>
        <w:tc>
          <w:tcPr>
            <w:tcW w:w="1683" w:type="dxa"/>
            <w:tcBorders>
              <w:top w:val="nil"/>
              <w:left w:val="single" w:sz="4" w:space="0" w:color="auto"/>
              <w:bottom w:val="single" w:sz="4" w:space="0" w:color="auto"/>
              <w:right w:val="single" w:sz="4" w:space="0" w:color="auto"/>
            </w:tcBorders>
            <w:shd w:val="clear" w:color="auto" w:fill="auto"/>
            <w:noWrap/>
            <w:vAlign w:val="center"/>
          </w:tcPr>
          <w:p w14:paraId="21CDE064" w14:textId="688DA516" w:rsidR="008641BF" w:rsidRPr="004F5401" w:rsidRDefault="008641BF" w:rsidP="00FF0EE8">
            <w:pPr>
              <w:autoSpaceDE/>
              <w:autoSpaceDN/>
              <w:adjustRightInd/>
              <w:spacing w:line="240" w:lineRule="auto"/>
              <w:jc w:val="center"/>
              <w:rPr>
                <w:sz w:val="20"/>
                <w:szCs w:val="20"/>
              </w:rPr>
            </w:pPr>
            <w:r w:rsidRPr="004F5401">
              <w:rPr>
                <w:sz w:val="20"/>
                <w:szCs w:val="20"/>
              </w:rPr>
              <w:t>($4,398)</w:t>
            </w:r>
          </w:p>
        </w:tc>
        <w:tc>
          <w:tcPr>
            <w:tcW w:w="1158" w:type="dxa"/>
            <w:tcBorders>
              <w:top w:val="nil"/>
              <w:left w:val="nil"/>
              <w:bottom w:val="single" w:sz="4" w:space="0" w:color="auto"/>
              <w:right w:val="single" w:sz="4" w:space="0" w:color="auto"/>
            </w:tcBorders>
            <w:shd w:val="clear" w:color="auto" w:fill="auto"/>
            <w:noWrap/>
            <w:vAlign w:val="center"/>
          </w:tcPr>
          <w:p w14:paraId="72263304" w14:textId="1D031AE1" w:rsidR="008641BF" w:rsidRPr="004F5401" w:rsidRDefault="008641BF" w:rsidP="00FF0EE8">
            <w:pPr>
              <w:autoSpaceDE/>
              <w:autoSpaceDN/>
              <w:adjustRightInd/>
              <w:spacing w:line="240" w:lineRule="auto"/>
              <w:jc w:val="center"/>
              <w:rPr>
                <w:sz w:val="20"/>
                <w:szCs w:val="20"/>
              </w:rPr>
            </w:pPr>
            <w:r w:rsidRPr="004F5401">
              <w:rPr>
                <w:sz w:val="20"/>
                <w:szCs w:val="20"/>
              </w:rPr>
              <w:t>($3,355)</w:t>
            </w:r>
          </w:p>
        </w:tc>
        <w:tc>
          <w:tcPr>
            <w:tcW w:w="1158" w:type="dxa"/>
            <w:tcBorders>
              <w:top w:val="nil"/>
              <w:left w:val="nil"/>
              <w:bottom w:val="single" w:sz="4" w:space="0" w:color="auto"/>
              <w:right w:val="single" w:sz="4" w:space="0" w:color="auto"/>
            </w:tcBorders>
            <w:shd w:val="clear" w:color="auto" w:fill="auto"/>
            <w:noWrap/>
            <w:vAlign w:val="center"/>
          </w:tcPr>
          <w:p w14:paraId="3E8026BA" w14:textId="1B2AF412" w:rsidR="008641BF" w:rsidRPr="004F5401" w:rsidRDefault="008641BF" w:rsidP="00FF0EE8">
            <w:pPr>
              <w:autoSpaceDE/>
              <w:autoSpaceDN/>
              <w:adjustRightInd/>
              <w:spacing w:line="240" w:lineRule="auto"/>
              <w:jc w:val="center"/>
              <w:rPr>
                <w:sz w:val="20"/>
                <w:szCs w:val="20"/>
              </w:rPr>
            </w:pPr>
            <w:r w:rsidRPr="004F5401">
              <w:rPr>
                <w:sz w:val="20"/>
                <w:szCs w:val="20"/>
              </w:rPr>
              <w:t>($3,908)</w:t>
            </w:r>
          </w:p>
        </w:tc>
      </w:tr>
      <w:tr w:rsidR="008641BF" w:rsidRPr="00A27EE7" w14:paraId="05638912" w14:textId="77777777" w:rsidTr="004F5401">
        <w:trPr>
          <w:trHeight w:val="576"/>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037490EB" w14:textId="1F9DA5F4" w:rsidR="008641BF" w:rsidRPr="004F5401" w:rsidRDefault="008641BF" w:rsidP="00FF0EE8">
            <w:pPr>
              <w:autoSpaceDE/>
              <w:autoSpaceDN/>
              <w:adjustRightInd/>
              <w:spacing w:line="240" w:lineRule="auto"/>
              <w:jc w:val="center"/>
              <w:rPr>
                <w:color w:val="000000"/>
                <w:sz w:val="20"/>
                <w:szCs w:val="20"/>
              </w:rPr>
            </w:pPr>
            <w:r w:rsidRPr="004F5401">
              <w:rPr>
                <w:sz w:val="20"/>
                <w:szCs w:val="20"/>
              </w:rPr>
              <w:t>2021</w:t>
            </w:r>
          </w:p>
        </w:tc>
        <w:tc>
          <w:tcPr>
            <w:tcW w:w="1857" w:type="dxa"/>
            <w:tcBorders>
              <w:top w:val="nil"/>
              <w:left w:val="nil"/>
              <w:bottom w:val="single" w:sz="4" w:space="0" w:color="auto"/>
              <w:right w:val="single" w:sz="4" w:space="0" w:color="auto"/>
            </w:tcBorders>
            <w:shd w:val="clear" w:color="auto" w:fill="auto"/>
            <w:vAlign w:val="center"/>
            <w:hideMark/>
          </w:tcPr>
          <w:p w14:paraId="29E82D23" w14:textId="1FBFEDE1" w:rsidR="008641BF" w:rsidRPr="004F5401" w:rsidRDefault="008641BF" w:rsidP="00FF0EE8">
            <w:pPr>
              <w:autoSpaceDE/>
              <w:autoSpaceDN/>
              <w:adjustRightInd/>
              <w:spacing w:line="240" w:lineRule="auto"/>
              <w:jc w:val="center"/>
              <w:rPr>
                <w:color w:val="000000"/>
                <w:sz w:val="20"/>
                <w:szCs w:val="20"/>
              </w:rPr>
            </w:pPr>
            <w:r w:rsidRPr="004F5401">
              <w:rPr>
                <w:sz w:val="20"/>
                <w:szCs w:val="20"/>
              </w:rPr>
              <w:t>Cost Averted for Relief Requests</w:t>
            </w:r>
          </w:p>
        </w:tc>
        <w:tc>
          <w:tcPr>
            <w:tcW w:w="810" w:type="dxa"/>
            <w:tcBorders>
              <w:top w:val="nil"/>
              <w:left w:val="nil"/>
              <w:bottom w:val="single" w:sz="4" w:space="0" w:color="auto"/>
              <w:right w:val="single" w:sz="4" w:space="0" w:color="auto"/>
            </w:tcBorders>
            <w:shd w:val="clear" w:color="auto" w:fill="auto"/>
            <w:noWrap/>
            <w:vAlign w:val="center"/>
            <w:hideMark/>
          </w:tcPr>
          <w:p w14:paraId="4B18602C" w14:textId="21159167" w:rsidR="008641BF" w:rsidRPr="004F5401" w:rsidRDefault="008641BF" w:rsidP="00FF0EE8">
            <w:pPr>
              <w:autoSpaceDE/>
              <w:autoSpaceDN/>
              <w:adjustRightInd/>
              <w:spacing w:line="240" w:lineRule="auto"/>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vAlign w:val="center"/>
            <w:hideMark/>
          </w:tcPr>
          <w:p w14:paraId="012E4444" w14:textId="3AC7C3D1" w:rsidR="008641BF" w:rsidRPr="004F5401" w:rsidRDefault="008641BF" w:rsidP="00FF0EE8">
            <w:pPr>
              <w:autoSpaceDE/>
              <w:autoSpaceDN/>
              <w:adjustRightInd/>
              <w:spacing w:line="240" w:lineRule="auto"/>
              <w:jc w:val="center"/>
              <w:rPr>
                <w:color w:val="000000"/>
                <w:sz w:val="20"/>
                <w:szCs w:val="20"/>
              </w:rPr>
            </w:pPr>
            <w:r w:rsidRPr="004F5401">
              <w:rPr>
                <w:sz w:val="20"/>
                <w:szCs w:val="20"/>
              </w:rPr>
              <w:t>150</w:t>
            </w:r>
          </w:p>
        </w:tc>
        <w:tc>
          <w:tcPr>
            <w:tcW w:w="867" w:type="dxa"/>
            <w:tcBorders>
              <w:top w:val="nil"/>
              <w:left w:val="nil"/>
              <w:bottom w:val="single" w:sz="4" w:space="0" w:color="auto"/>
              <w:right w:val="single" w:sz="4" w:space="0" w:color="auto"/>
            </w:tcBorders>
            <w:shd w:val="clear" w:color="auto" w:fill="auto"/>
            <w:noWrap/>
            <w:vAlign w:val="center"/>
            <w:hideMark/>
          </w:tcPr>
          <w:p w14:paraId="66FD94BB" w14:textId="240B718C" w:rsidR="008641BF" w:rsidRPr="004F5401" w:rsidRDefault="008641BF" w:rsidP="00FF0EE8">
            <w:pPr>
              <w:autoSpaceDE/>
              <w:autoSpaceDN/>
              <w:adjustRightInd/>
              <w:spacing w:line="240" w:lineRule="auto"/>
              <w:jc w:val="center"/>
              <w:rPr>
                <w:color w:val="000000"/>
                <w:sz w:val="20"/>
                <w:szCs w:val="20"/>
              </w:rPr>
            </w:pPr>
            <w:r w:rsidRPr="004F5401">
              <w:rPr>
                <w:sz w:val="20"/>
                <w:szCs w:val="20"/>
              </w:rPr>
              <w:t>$126</w:t>
            </w:r>
          </w:p>
        </w:tc>
        <w:tc>
          <w:tcPr>
            <w:tcW w:w="802" w:type="dxa"/>
            <w:tcBorders>
              <w:top w:val="nil"/>
              <w:left w:val="nil"/>
              <w:bottom w:val="single" w:sz="4" w:space="0" w:color="auto"/>
              <w:right w:val="nil"/>
            </w:tcBorders>
            <w:shd w:val="clear" w:color="auto" w:fill="auto"/>
            <w:noWrap/>
            <w:vAlign w:val="center"/>
            <w:hideMark/>
          </w:tcPr>
          <w:p w14:paraId="293FB456" w14:textId="0530BCCE" w:rsidR="008641BF" w:rsidRPr="004F5401" w:rsidRDefault="008641BF" w:rsidP="00FF0EE8">
            <w:pPr>
              <w:autoSpaceDE/>
              <w:autoSpaceDN/>
              <w:adjustRightInd/>
              <w:spacing w:line="240" w:lineRule="auto"/>
              <w:jc w:val="center"/>
              <w:rPr>
                <w:color w:val="000000"/>
                <w:sz w:val="20"/>
                <w:szCs w:val="20"/>
              </w:rPr>
            </w:pPr>
            <w:r w:rsidRPr="004F5401">
              <w:rPr>
                <w:sz w:val="20"/>
                <w:szCs w:val="20"/>
              </w:rPr>
              <w:t>10</w:t>
            </w:r>
          </w:p>
        </w:tc>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0BF6037D" w14:textId="50BB00B6" w:rsidR="008641BF" w:rsidRPr="004F5401" w:rsidRDefault="008641BF" w:rsidP="00FF0EE8">
            <w:pPr>
              <w:autoSpaceDE/>
              <w:autoSpaceDN/>
              <w:adjustRightInd/>
              <w:spacing w:line="240" w:lineRule="auto"/>
              <w:jc w:val="center"/>
              <w:rPr>
                <w:sz w:val="20"/>
                <w:szCs w:val="20"/>
              </w:rPr>
            </w:pPr>
            <w:r w:rsidRPr="004F5401">
              <w:rPr>
                <w:sz w:val="20"/>
                <w:szCs w:val="20"/>
              </w:rPr>
              <w:t xml:space="preserve">$188,494 </w:t>
            </w:r>
          </w:p>
        </w:tc>
        <w:tc>
          <w:tcPr>
            <w:tcW w:w="1158" w:type="dxa"/>
            <w:tcBorders>
              <w:top w:val="nil"/>
              <w:left w:val="nil"/>
              <w:bottom w:val="single" w:sz="4" w:space="0" w:color="auto"/>
              <w:right w:val="single" w:sz="4" w:space="0" w:color="auto"/>
            </w:tcBorders>
            <w:shd w:val="clear" w:color="auto" w:fill="auto"/>
            <w:noWrap/>
            <w:vAlign w:val="center"/>
            <w:hideMark/>
          </w:tcPr>
          <w:p w14:paraId="77F08762" w14:textId="5D54A124" w:rsidR="008641BF" w:rsidRPr="004F5401" w:rsidRDefault="008641BF" w:rsidP="00FF0EE8">
            <w:pPr>
              <w:autoSpaceDE/>
              <w:autoSpaceDN/>
              <w:adjustRightInd/>
              <w:spacing w:line="240" w:lineRule="auto"/>
              <w:jc w:val="center"/>
              <w:rPr>
                <w:sz w:val="20"/>
                <w:szCs w:val="20"/>
              </w:rPr>
            </w:pPr>
            <w:r w:rsidRPr="004F5401">
              <w:rPr>
                <w:sz w:val="20"/>
                <w:szCs w:val="20"/>
              </w:rPr>
              <w:t xml:space="preserve">$143,801 </w:t>
            </w:r>
          </w:p>
        </w:tc>
        <w:tc>
          <w:tcPr>
            <w:tcW w:w="1158" w:type="dxa"/>
            <w:tcBorders>
              <w:top w:val="nil"/>
              <w:left w:val="nil"/>
              <w:bottom w:val="single" w:sz="4" w:space="0" w:color="auto"/>
              <w:right w:val="single" w:sz="4" w:space="0" w:color="auto"/>
            </w:tcBorders>
            <w:shd w:val="clear" w:color="auto" w:fill="auto"/>
            <w:noWrap/>
            <w:vAlign w:val="center"/>
            <w:hideMark/>
          </w:tcPr>
          <w:p w14:paraId="6186A48C" w14:textId="0C0B41BB" w:rsidR="008641BF" w:rsidRPr="004F5401" w:rsidRDefault="008641BF" w:rsidP="00FF0EE8">
            <w:pPr>
              <w:autoSpaceDE/>
              <w:autoSpaceDN/>
              <w:adjustRightInd/>
              <w:spacing w:line="240" w:lineRule="auto"/>
              <w:jc w:val="center"/>
              <w:rPr>
                <w:sz w:val="20"/>
                <w:szCs w:val="20"/>
              </w:rPr>
            </w:pPr>
            <w:r w:rsidRPr="004F5401">
              <w:rPr>
                <w:sz w:val="20"/>
                <w:szCs w:val="20"/>
              </w:rPr>
              <w:t xml:space="preserve">$167,474 </w:t>
            </w:r>
          </w:p>
        </w:tc>
      </w:tr>
      <w:tr w:rsidR="008641BF" w:rsidRPr="00A27EE7" w14:paraId="41FB06A5" w14:textId="77777777" w:rsidTr="004F5401">
        <w:trPr>
          <w:trHeight w:val="288"/>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568E34D4" w14:textId="441E4F6F" w:rsidR="008641BF" w:rsidRPr="004F5401" w:rsidRDefault="008641BF" w:rsidP="00FF0EE8">
            <w:pPr>
              <w:autoSpaceDE/>
              <w:autoSpaceDN/>
              <w:adjustRightInd/>
              <w:spacing w:line="240" w:lineRule="auto"/>
              <w:jc w:val="center"/>
              <w:rPr>
                <w:color w:val="000000"/>
                <w:sz w:val="20"/>
                <w:szCs w:val="20"/>
              </w:rPr>
            </w:pPr>
            <w:r w:rsidRPr="004F5401">
              <w:rPr>
                <w:sz w:val="20"/>
                <w:szCs w:val="20"/>
              </w:rPr>
              <w:t>2023</w:t>
            </w:r>
          </w:p>
        </w:tc>
        <w:tc>
          <w:tcPr>
            <w:tcW w:w="1857" w:type="dxa"/>
            <w:tcBorders>
              <w:top w:val="nil"/>
              <w:left w:val="nil"/>
              <w:bottom w:val="single" w:sz="4" w:space="0" w:color="auto"/>
              <w:right w:val="single" w:sz="4" w:space="0" w:color="auto"/>
            </w:tcBorders>
            <w:shd w:val="clear" w:color="auto" w:fill="auto"/>
            <w:noWrap/>
            <w:vAlign w:val="center"/>
            <w:hideMark/>
          </w:tcPr>
          <w:p w14:paraId="288D992F" w14:textId="1FEBEB7A" w:rsidR="008641BF" w:rsidRPr="004F5401" w:rsidRDefault="008641BF" w:rsidP="00FF0EE8">
            <w:pPr>
              <w:autoSpaceDE/>
              <w:autoSpaceDN/>
              <w:adjustRightInd/>
              <w:spacing w:line="240" w:lineRule="auto"/>
              <w:jc w:val="center"/>
              <w:rPr>
                <w:color w:val="000000"/>
                <w:sz w:val="20"/>
                <w:szCs w:val="20"/>
              </w:rPr>
            </w:pPr>
            <w:r w:rsidRPr="004F5401">
              <w:rPr>
                <w:sz w:val="20"/>
                <w:szCs w:val="20"/>
              </w:rPr>
              <w:t>Prepare subsequent work package</w:t>
            </w:r>
          </w:p>
        </w:tc>
        <w:tc>
          <w:tcPr>
            <w:tcW w:w="810" w:type="dxa"/>
            <w:tcBorders>
              <w:top w:val="nil"/>
              <w:left w:val="nil"/>
              <w:bottom w:val="single" w:sz="4" w:space="0" w:color="auto"/>
              <w:right w:val="single" w:sz="4" w:space="0" w:color="auto"/>
            </w:tcBorders>
            <w:shd w:val="clear" w:color="auto" w:fill="auto"/>
            <w:noWrap/>
            <w:vAlign w:val="center"/>
            <w:hideMark/>
          </w:tcPr>
          <w:p w14:paraId="5B3A76B1" w14:textId="25683C3C" w:rsidR="008641BF" w:rsidRPr="004F5401" w:rsidRDefault="008641BF" w:rsidP="00FF0EE8">
            <w:pPr>
              <w:autoSpaceDE/>
              <w:autoSpaceDN/>
              <w:adjustRightInd/>
              <w:spacing w:line="240" w:lineRule="auto"/>
              <w:jc w:val="center"/>
              <w:rPr>
                <w:color w:val="000000"/>
                <w:sz w:val="20"/>
                <w:szCs w:val="20"/>
              </w:rPr>
            </w:pPr>
            <w:r w:rsidRPr="004F5401">
              <w:rPr>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14:paraId="6CE83D3D" w14:textId="4272CBD1" w:rsidR="008641BF" w:rsidRPr="004F5401" w:rsidRDefault="008641BF" w:rsidP="00FF0EE8">
            <w:pPr>
              <w:autoSpaceDE/>
              <w:autoSpaceDN/>
              <w:adjustRightInd/>
              <w:spacing w:line="240" w:lineRule="auto"/>
              <w:jc w:val="center"/>
              <w:rPr>
                <w:color w:val="000000"/>
                <w:sz w:val="20"/>
                <w:szCs w:val="20"/>
              </w:rPr>
            </w:pPr>
            <w:r w:rsidRPr="004F5401">
              <w:rPr>
                <w:sz w:val="20"/>
                <w:szCs w:val="20"/>
              </w:rPr>
              <w:t>72</w:t>
            </w:r>
          </w:p>
        </w:tc>
        <w:tc>
          <w:tcPr>
            <w:tcW w:w="867" w:type="dxa"/>
            <w:tcBorders>
              <w:top w:val="nil"/>
              <w:left w:val="nil"/>
              <w:bottom w:val="single" w:sz="4" w:space="0" w:color="auto"/>
              <w:right w:val="single" w:sz="4" w:space="0" w:color="auto"/>
            </w:tcBorders>
            <w:shd w:val="clear" w:color="auto" w:fill="auto"/>
            <w:noWrap/>
            <w:vAlign w:val="center"/>
            <w:hideMark/>
          </w:tcPr>
          <w:p w14:paraId="24823E4E" w14:textId="6859213A" w:rsidR="008641BF" w:rsidRPr="004F5401" w:rsidRDefault="008641BF" w:rsidP="00FF0EE8">
            <w:pPr>
              <w:autoSpaceDE/>
              <w:autoSpaceDN/>
              <w:adjustRightInd/>
              <w:spacing w:line="240" w:lineRule="auto"/>
              <w:jc w:val="center"/>
              <w:rPr>
                <w:color w:val="000000"/>
                <w:sz w:val="20"/>
                <w:szCs w:val="20"/>
              </w:rPr>
            </w:pPr>
            <w:r w:rsidRPr="004F5401">
              <w:rPr>
                <w:sz w:val="20"/>
                <w:szCs w:val="20"/>
              </w:rPr>
              <w:t>$126</w:t>
            </w:r>
          </w:p>
        </w:tc>
        <w:tc>
          <w:tcPr>
            <w:tcW w:w="802" w:type="dxa"/>
            <w:tcBorders>
              <w:top w:val="nil"/>
              <w:left w:val="nil"/>
              <w:bottom w:val="single" w:sz="4" w:space="0" w:color="auto"/>
              <w:right w:val="nil"/>
            </w:tcBorders>
            <w:shd w:val="clear" w:color="auto" w:fill="auto"/>
            <w:noWrap/>
            <w:vAlign w:val="center"/>
            <w:hideMark/>
          </w:tcPr>
          <w:p w14:paraId="339CF49A" w14:textId="04152AED" w:rsidR="008641BF" w:rsidRPr="004F5401" w:rsidRDefault="008641BF" w:rsidP="00FF0EE8">
            <w:pPr>
              <w:autoSpaceDE/>
              <w:autoSpaceDN/>
              <w:adjustRightInd/>
              <w:spacing w:line="240" w:lineRule="auto"/>
              <w:jc w:val="center"/>
              <w:rPr>
                <w:color w:val="000000"/>
                <w:sz w:val="20"/>
                <w:szCs w:val="20"/>
              </w:rPr>
            </w:pPr>
            <w:r w:rsidRPr="004F5401">
              <w:rPr>
                <w:sz w:val="20"/>
                <w:szCs w:val="20"/>
              </w:rPr>
              <w:t>10</w:t>
            </w:r>
          </w:p>
        </w:tc>
        <w:tc>
          <w:tcPr>
            <w:tcW w:w="1683" w:type="dxa"/>
            <w:tcBorders>
              <w:top w:val="nil"/>
              <w:left w:val="single" w:sz="4" w:space="0" w:color="auto"/>
              <w:bottom w:val="single" w:sz="4" w:space="0" w:color="auto"/>
              <w:right w:val="single" w:sz="4" w:space="0" w:color="auto"/>
            </w:tcBorders>
            <w:shd w:val="clear" w:color="auto" w:fill="auto"/>
            <w:noWrap/>
            <w:vAlign w:val="center"/>
            <w:hideMark/>
          </w:tcPr>
          <w:p w14:paraId="27608F9D" w14:textId="4673145A" w:rsidR="008641BF" w:rsidRPr="004F5401" w:rsidRDefault="008641BF" w:rsidP="00FF0EE8">
            <w:pPr>
              <w:autoSpaceDE/>
              <w:autoSpaceDN/>
              <w:adjustRightInd/>
              <w:spacing w:line="240" w:lineRule="auto"/>
              <w:jc w:val="center"/>
              <w:rPr>
                <w:sz w:val="20"/>
                <w:szCs w:val="20"/>
              </w:rPr>
            </w:pPr>
            <w:r w:rsidRPr="004F5401">
              <w:rPr>
                <w:sz w:val="20"/>
                <w:szCs w:val="20"/>
              </w:rPr>
              <w:t>($90,477)</w:t>
            </w:r>
          </w:p>
        </w:tc>
        <w:tc>
          <w:tcPr>
            <w:tcW w:w="1158" w:type="dxa"/>
            <w:tcBorders>
              <w:top w:val="nil"/>
              <w:left w:val="nil"/>
              <w:bottom w:val="single" w:sz="4" w:space="0" w:color="auto"/>
              <w:right w:val="single" w:sz="4" w:space="0" w:color="auto"/>
            </w:tcBorders>
            <w:shd w:val="clear" w:color="auto" w:fill="auto"/>
            <w:noWrap/>
            <w:vAlign w:val="center"/>
            <w:hideMark/>
          </w:tcPr>
          <w:p w14:paraId="3E724171" w14:textId="0F084646" w:rsidR="008641BF" w:rsidRPr="004F5401" w:rsidRDefault="008641BF" w:rsidP="00FF0EE8">
            <w:pPr>
              <w:autoSpaceDE/>
              <w:autoSpaceDN/>
              <w:adjustRightInd/>
              <w:spacing w:line="240" w:lineRule="auto"/>
              <w:jc w:val="center"/>
              <w:rPr>
                <w:sz w:val="20"/>
                <w:szCs w:val="20"/>
              </w:rPr>
            </w:pPr>
            <w:r w:rsidRPr="004F5401">
              <w:rPr>
                <w:sz w:val="20"/>
                <w:szCs w:val="20"/>
              </w:rPr>
              <w:t>($60,289)</w:t>
            </w:r>
          </w:p>
        </w:tc>
        <w:tc>
          <w:tcPr>
            <w:tcW w:w="1158" w:type="dxa"/>
            <w:tcBorders>
              <w:top w:val="nil"/>
              <w:left w:val="nil"/>
              <w:bottom w:val="single" w:sz="4" w:space="0" w:color="auto"/>
              <w:right w:val="single" w:sz="4" w:space="0" w:color="auto"/>
            </w:tcBorders>
            <w:shd w:val="clear" w:color="auto" w:fill="auto"/>
            <w:noWrap/>
            <w:vAlign w:val="center"/>
            <w:hideMark/>
          </w:tcPr>
          <w:p w14:paraId="404569DC" w14:textId="0522D064" w:rsidR="008641BF" w:rsidRPr="004F5401" w:rsidRDefault="008641BF" w:rsidP="00FF0EE8">
            <w:pPr>
              <w:autoSpaceDE/>
              <w:autoSpaceDN/>
              <w:adjustRightInd/>
              <w:spacing w:line="240" w:lineRule="auto"/>
              <w:jc w:val="center"/>
              <w:rPr>
                <w:sz w:val="20"/>
                <w:szCs w:val="20"/>
              </w:rPr>
            </w:pPr>
            <w:r w:rsidRPr="004F5401">
              <w:rPr>
                <w:sz w:val="20"/>
                <w:szCs w:val="20"/>
              </w:rPr>
              <w:t>($75,773)</w:t>
            </w:r>
          </w:p>
        </w:tc>
      </w:tr>
      <w:tr w:rsidR="008641BF" w:rsidRPr="00A27EE7" w14:paraId="0EA46150" w14:textId="77777777" w:rsidTr="004F5401">
        <w:trPr>
          <w:trHeight w:val="576"/>
          <w:jc w:val="center"/>
        </w:trPr>
        <w:tc>
          <w:tcPr>
            <w:tcW w:w="706" w:type="dxa"/>
            <w:tcBorders>
              <w:top w:val="nil"/>
              <w:left w:val="single" w:sz="4" w:space="0" w:color="auto"/>
              <w:bottom w:val="single" w:sz="4" w:space="0" w:color="auto"/>
              <w:right w:val="single" w:sz="4" w:space="0" w:color="auto"/>
            </w:tcBorders>
            <w:shd w:val="clear" w:color="auto" w:fill="auto"/>
            <w:noWrap/>
            <w:vAlign w:val="center"/>
          </w:tcPr>
          <w:p w14:paraId="4C207586" w14:textId="3B1C72C1" w:rsidR="008641BF" w:rsidRPr="004F5401" w:rsidRDefault="008641BF" w:rsidP="00FF0EE8">
            <w:pPr>
              <w:autoSpaceDE/>
              <w:autoSpaceDN/>
              <w:adjustRightInd/>
              <w:spacing w:line="240" w:lineRule="auto"/>
              <w:jc w:val="center"/>
              <w:rPr>
                <w:color w:val="000000"/>
                <w:sz w:val="20"/>
                <w:szCs w:val="20"/>
              </w:rPr>
            </w:pPr>
            <w:r w:rsidRPr="004F5401">
              <w:rPr>
                <w:sz w:val="20"/>
                <w:szCs w:val="20"/>
              </w:rPr>
              <w:t>2023</w:t>
            </w:r>
          </w:p>
        </w:tc>
        <w:tc>
          <w:tcPr>
            <w:tcW w:w="1857" w:type="dxa"/>
            <w:tcBorders>
              <w:top w:val="nil"/>
              <w:left w:val="nil"/>
              <w:bottom w:val="single" w:sz="4" w:space="0" w:color="auto"/>
              <w:right w:val="single" w:sz="4" w:space="0" w:color="auto"/>
            </w:tcBorders>
            <w:shd w:val="clear" w:color="auto" w:fill="auto"/>
            <w:vAlign w:val="center"/>
          </w:tcPr>
          <w:p w14:paraId="14496748" w14:textId="4D6B39D8" w:rsidR="008641BF" w:rsidRPr="004F5401" w:rsidRDefault="008641BF" w:rsidP="00FF0EE8">
            <w:pPr>
              <w:autoSpaceDE/>
              <w:autoSpaceDN/>
              <w:adjustRightInd/>
              <w:spacing w:line="240" w:lineRule="auto"/>
              <w:jc w:val="center"/>
              <w:rPr>
                <w:color w:val="000000"/>
                <w:sz w:val="20"/>
                <w:szCs w:val="20"/>
              </w:rPr>
            </w:pPr>
            <w:r w:rsidRPr="004F5401">
              <w:rPr>
                <w:sz w:val="20"/>
                <w:szCs w:val="20"/>
              </w:rPr>
              <w:t>Recurring pump test</w:t>
            </w:r>
          </w:p>
        </w:tc>
        <w:tc>
          <w:tcPr>
            <w:tcW w:w="810" w:type="dxa"/>
            <w:tcBorders>
              <w:top w:val="nil"/>
              <w:left w:val="nil"/>
              <w:bottom w:val="single" w:sz="4" w:space="0" w:color="auto"/>
              <w:right w:val="single" w:sz="4" w:space="0" w:color="auto"/>
            </w:tcBorders>
            <w:shd w:val="clear" w:color="auto" w:fill="auto"/>
            <w:noWrap/>
            <w:vAlign w:val="center"/>
          </w:tcPr>
          <w:p w14:paraId="5F0BE136" w14:textId="2596E43E" w:rsidR="008641BF" w:rsidRPr="004F5401" w:rsidRDefault="008641BF" w:rsidP="00FF0EE8">
            <w:pPr>
              <w:autoSpaceDE/>
              <w:autoSpaceDN/>
              <w:adjustRightInd/>
              <w:spacing w:line="240" w:lineRule="auto"/>
              <w:jc w:val="center"/>
              <w:rPr>
                <w:color w:val="000000"/>
                <w:sz w:val="20"/>
                <w:szCs w:val="20"/>
              </w:rPr>
            </w:pPr>
            <w:r w:rsidRPr="004F5401">
              <w:rPr>
                <w:sz w:val="20"/>
                <w:szCs w:val="20"/>
              </w:rPr>
              <w:t>7</w:t>
            </w:r>
          </w:p>
        </w:tc>
        <w:tc>
          <w:tcPr>
            <w:tcW w:w="900" w:type="dxa"/>
            <w:tcBorders>
              <w:top w:val="nil"/>
              <w:left w:val="nil"/>
              <w:bottom w:val="single" w:sz="4" w:space="0" w:color="auto"/>
              <w:right w:val="single" w:sz="4" w:space="0" w:color="auto"/>
            </w:tcBorders>
            <w:shd w:val="clear" w:color="auto" w:fill="auto"/>
            <w:noWrap/>
            <w:vAlign w:val="center"/>
          </w:tcPr>
          <w:p w14:paraId="65CBCD53" w14:textId="28BEF105" w:rsidR="008641BF" w:rsidRPr="004F5401" w:rsidRDefault="008641BF" w:rsidP="00FF0EE8">
            <w:pPr>
              <w:autoSpaceDE/>
              <w:autoSpaceDN/>
              <w:adjustRightInd/>
              <w:spacing w:line="240" w:lineRule="auto"/>
              <w:jc w:val="center"/>
              <w:rPr>
                <w:color w:val="000000"/>
                <w:sz w:val="20"/>
                <w:szCs w:val="20"/>
              </w:rPr>
            </w:pPr>
            <w:r w:rsidRPr="004F5401">
              <w:rPr>
                <w:sz w:val="20"/>
                <w:szCs w:val="20"/>
              </w:rPr>
              <w:t>0.5</w:t>
            </w:r>
          </w:p>
        </w:tc>
        <w:tc>
          <w:tcPr>
            <w:tcW w:w="867" w:type="dxa"/>
            <w:tcBorders>
              <w:top w:val="nil"/>
              <w:left w:val="nil"/>
              <w:bottom w:val="single" w:sz="4" w:space="0" w:color="auto"/>
              <w:right w:val="single" w:sz="4" w:space="0" w:color="auto"/>
            </w:tcBorders>
            <w:shd w:val="clear" w:color="auto" w:fill="auto"/>
            <w:noWrap/>
            <w:vAlign w:val="center"/>
          </w:tcPr>
          <w:p w14:paraId="5690DAE4" w14:textId="40312622" w:rsidR="008641BF" w:rsidRPr="004F5401" w:rsidRDefault="008641BF" w:rsidP="00FF0EE8">
            <w:pPr>
              <w:autoSpaceDE/>
              <w:autoSpaceDN/>
              <w:adjustRightInd/>
              <w:spacing w:line="240" w:lineRule="auto"/>
              <w:jc w:val="center"/>
              <w:rPr>
                <w:color w:val="000000"/>
                <w:sz w:val="20"/>
                <w:szCs w:val="20"/>
              </w:rPr>
            </w:pPr>
            <w:r w:rsidRPr="004F5401">
              <w:rPr>
                <w:sz w:val="20"/>
                <w:szCs w:val="20"/>
              </w:rPr>
              <w:t xml:space="preserve">$126 </w:t>
            </w:r>
          </w:p>
        </w:tc>
        <w:tc>
          <w:tcPr>
            <w:tcW w:w="802" w:type="dxa"/>
            <w:tcBorders>
              <w:top w:val="nil"/>
              <w:left w:val="nil"/>
              <w:bottom w:val="single" w:sz="4" w:space="0" w:color="auto"/>
              <w:right w:val="nil"/>
            </w:tcBorders>
            <w:shd w:val="clear" w:color="auto" w:fill="auto"/>
            <w:noWrap/>
            <w:vAlign w:val="center"/>
          </w:tcPr>
          <w:p w14:paraId="0E2A52B2" w14:textId="3890AD9C" w:rsidR="008641BF" w:rsidRPr="004F5401" w:rsidRDefault="008641BF" w:rsidP="00FF0EE8">
            <w:pPr>
              <w:autoSpaceDE/>
              <w:autoSpaceDN/>
              <w:adjustRightInd/>
              <w:spacing w:line="240" w:lineRule="auto"/>
              <w:jc w:val="center"/>
              <w:rPr>
                <w:color w:val="000000"/>
                <w:sz w:val="20"/>
                <w:szCs w:val="20"/>
              </w:rPr>
            </w:pPr>
            <w:r w:rsidRPr="004F5401">
              <w:rPr>
                <w:sz w:val="20"/>
                <w:szCs w:val="20"/>
              </w:rPr>
              <w:t>10</w:t>
            </w:r>
          </w:p>
        </w:tc>
        <w:tc>
          <w:tcPr>
            <w:tcW w:w="1683" w:type="dxa"/>
            <w:tcBorders>
              <w:top w:val="nil"/>
              <w:left w:val="single" w:sz="4" w:space="0" w:color="auto"/>
              <w:bottom w:val="single" w:sz="4" w:space="0" w:color="auto"/>
              <w:right w:val="single" w:sz="4" w:space="0" w:color="auto"/>
            </w:tcBorders>
            <w:shd w:val="clear" w:color="auto" w:fill="auto"/>
            <w:noWrap/>
            <w:vAlign w:val="center"/>
          </w:tcPr>
          <w:p w14:paraId="08B31F6E" w14:textId="23A13E4F" w:rsidR="008641BF" w:rsidRPr="004F5401" w:rsidRDefault="008641BF" w:rsidP="00FF0EE8">
            <w:pPr>
              <w:autoSpaceDE/>
              <w:autoSpaceDN/>
              <w:adjustRightInd/>
              <w:spacing w:line="240" w:lineRule="auto"/>
              <w:jc w:val="center"/>
              <w:rPr>
                <w:sz w:val="20"/>
                <w:szCs w:val="20"/>
              </w:rPr>
            </w:pPr>
            <w:r w:rsidRPr="004F5401">
              <w:rPr>
                <w:sz w:val="20"/>
                <w:szCs w:val="20"/>
              </w:rPr>
              <w:t>($4,398)</w:t>
            </w:r>
          </w:p>
        </w:tc>
        <w:tc>
          <w:tcPr>
            <w:tcW w:w="1158" w:type="dxa"/>
            <w:tcBorders>
              <w:top w:val="nil"/>
              <w:left w:val="nil"/>
              <w:bottom w:val="single" w:sz="4" w:space="0" w:color="auto"/>
              <w:right w:val="single" w:sz="4" w:space="0" w:color="auto"/>
            </w:tcBorders>
            <w:shd w:val="clear" w:color="auto" w:fill="auto"/>
            <w:noWrap/>
            <w:vAlign w:val="center"/>
          </w:tcPr>
          <w:p w14:paraId="5AC96B3E" w14:textId="7BE01617" w:rsidR="008641BF" w:rsidRPr="004F5401" w:rsidRDefault="008641BF" w:rsidP="00FF0EE8">
            <w:pPr>
              <w:autoSpaceDE/>
              <w:autoSpaceDN/>
              <w:adjustRightInd/>
              <w:spacing w:line="240" w:lineRule="auto"/>
              <w:jc w:val="center"/>
              <w:rPr>
                <w:sz w:val="20"/>
                <w:szCs w:val="20"/>
              </w:rPr>
            </w:pPr>
            <w:r w:rsidRPr="004F5401">
              <w:rPr>
                <w:sz w:val="20"/>
                <w:szCs w:val="20"/>
              </w:rPr>
              <w:t>($2,931)</w:t>
            </w:r>
          </w:p>
        </w:tc>
        <w:tc>
          <w:tcPr>
            <w:tcW w:w="1158" w:type="dxa"/>
            <w:tcBorders>
              <w:top w:val="nil"/>
              <w:left w:val="nil"/>
              <w:bottom w:val="single" w:sz="4" w:space="0" w:color="auto"/>
              <w:right w:val="single" w:sz="4" w:space="0" w:color="auto"/>
            </w:tcBorders>
            <w:shd w:val="clear" w:color="auto" w:fill="auto"/>
            <w:noWrap/>
            <w:vAlign w:val="center"/>
          </w:tcPr>
          <w:p w14:paraId="7C2410C5" w14:textId="5EBC75CD" w:rsidR="008641BF" w:rsidRPr="004F5401" w:rsidRDefault="008641BF" w:rsidP="00FF0EE8">
            <w:pPr>
              <w:autoSpaceDE/>
              <w:autoSpaceDN/>
              <w:adjustRightInd/>
              <w:spacing w:line="240" w:lineRule="auto"/>
              <w:jc w:val="center"/>
              <w:rPr>
                <w:sz w:val="20"/>
                <w:szCs w:val="20"/>
              </w:rPr>
            </w:pPr>
            <w:r w:rsidRPr="004F5401">
              <w:rPr>
                <w:sz w:val="20"/>
                <w:szCs w:val="20"/>
              </w:rPr>
              <w:t>($3,683)</w:t>
            </w:r>
          </w:p>
        </w:tc>
      </w:tr>
      <w:tr w:rsidR="008641BF" w:rsidRPr="00A27EE7" w14:paraId="60B21025" w14:textId="77777777" w:rsidTr="004F5401">
        <w:trPr>
          <w:trHeight w:val="576"/>
          <w:jc w:val="center"/>
        </w:trPr>
        <w:tc>
          <w:tcPr>
            <w:tcW w:w="706" w:type="dxa"/>
            <w:tcBorders>
              <w:top w:val="nil"/>
              <w:left w:val="single" w:sz="4" w:space="0" w:color="auto"/>
              <w:bottom w:val="single" w:sz="4" w:space="0" w:color="auto"/>
              <w:right w:val="single" w:sz="4" w:space="0" w:color="auto"/>
            </w:tcBorders>
            <w:shd w:val="clear" w:color="auto" w:fill="auto"/>
            <w:noWrap/>
            <w:vAlign w:val="center"/>
          </w:tcPr>
          <w:p w14:paraId="596BFD7F" w14:textId="2161098C" w:rsidR="008641BF" w:rsidRPr="004F5401" w:rsidRDefault="008641BF" w:rsidP="00FF0EE8">
            <w:pPr>
              <w:autoSpaceDE/>
              <w:autoSpaceDN/>
              <w:adjustRightInd/>
              <w:spacing w:line="240" w:lineRule="auto"/>
              <w:jc w:val="center"/>
              <w:rPr>
                <w:color w:val="000000"/>
                <w:sz w:val="20"/>
                <w:szCs w:val="20"/>
              </w:rPr>
            </w:pPr>
            <w:r w:rsidRPr="004F5401">
              <w:rPr>
                <w:sz w:val="20"/>
                <w:szCs w:val="20"/>
              </w:rPr>
              <w:t>2023</w:t>
            </w:r>
          </w:p>
        </w:tc>
        <w:tc>
          <w:tcPr>
            <w:tcW w:w="1857" w:type="dxa"/>
            <w:tcBorders>
              <w:top w:val="nil"/>
              <w:left w:val="nil"/>
              <w:bottom w:val="single" w:sz="4" w:space="0" w:color="auto"/>
              <w:right w:val="single" w:sz="4" w:space="0" w:color="auto"/>
            </w:tcBorders>
            <w:shd w:val="clear" w:color="auto" w:fill="auto"/>
            <w:vAlign w:val="center"/>
          </w:tcPr>
          <w:p w14:paraId="1EE8DD7C" w14:textId="22B80B77" w:rsidR="008641BF" w:rsidRPr="004F5401" w:rsidRDefault="008641BF" w:rsidP="00FF0EE8">
            <w:pPr>
              <w:autoSpaceDE/>
              <w:autoSpaceDN/>
              <w:adjustRightInd/>
              <w:spacing w:line="240" w:lineRule="auto"/>
              <w:jc w:val="center"/>
              <w:rPr>
                <w:color w:val="000000"/>
                <w:sz w:val="20"/>
                <w:szCs w:val="20"/>
              </w:rPr>
            </w:pPr>
            <w:r w:rsidRPr="004F5401">
              <w:rPr>
                <w:sz w:val="20"/>
                <w:szCs w:val="20"/>
              </w:rPr>
              <w:t>Cost Averted for Relief Requests</w:t>
            </w:r>
          </w:p>
        </w:tc>
        <w:tc>
          <w:tcPr>
            <w:tcW w:w="810" w:type="dxa"/>
            <w:tcBorders>
              <w:top w:val="nil"/>
              <w:left w:val="nil"/>
              <w:bottom w:val="single" w:sz="4" w:space="0" w:color="auto"/>
              <w:right w:val="single" w:sz="4" w:space="0" w:color="auto"/>
            </w:tcBorders>
            <w:shd w:val="clear" w:color="auto" w:fill="auto"/>
            <w:noWrap/>
            <w:vAlign w:val="center"/>
          </w:tcPr>
          <w:p w14:paraId="6685AA8C" w14:textId="77777777" w:rsidR="008641BF" w:rsidRPr="004F5401" w:rsidRDefault="008641BF" w:rsidP="00FF0EE8">
            <w:pPr>
              <w:autoSpaceDE/>
              <w:autoSpaceDN/>
              <w:adjustRightInd/>
              <w:spacing w:line="240" w:lineRule="auto"/>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vAlign w:val="center"/>
          </w:tcPr>
          <w:p w14:paraId="30ECA828" w14:textId="099C9246" w:rsidR="008641BF" w:rsidRPr="004F5401" w:rsidRDefault="008641BF" w:rsidP="00FF0EE8">
            <w:pPr>
              <w:autoSpaceDE/>
              <w:autoSpaceDN/>
              <w:adjustRightInd/>
              <w:spacing w:line="240" w:lineRule="auto"/>
              <w:jc w:val="center"/>
              <w:rPr>
                <w:color w:val="000000"/>
                <w:sz w:val="20"/>
                <w:szCs w:val="20"/>
              </w:rPr>
            </w:pPr>
            <w:r w:rsidRPr="004F5401">
              <w:rPr>
                <w:sz w:val="20"/>
                <w:szCs w:val="20"/>
              </w:rPr>
              <w:t>150</w:t>
            </w:r>
          </w:p>
        </w:tc>
        <w:tc>
          <w:tcPr>
            <w:tcW w:w="867" w:type="dxa"/>
            <w:tcBorders>
              <w:top w:val="nil"/>
              <w:left w:val="nil"/>
              <w:bottom w:val="single" w:sz="4" w:space="0" w:color="auto"/>
              <w:right w:val="single" w:sz="4" w:space="0" w:color="auto"/>
            </w:tcBorders>
            <w:shd w:val="clear" w:color="auto" w:fill="auto"/>
            <w:noWrap/>
            <w:vAlign w:val="center"/>
          </w:tcPr>
          <w:p w14:paraId="01FBE492" w14:textId="56A44A31" w:rsidR="008641BF" w:rsidRPr="004F5401" w:rsidRDefault="008641BF" w:rsidP="00FF0EE8">
            <w:pPr>
              <w:autoSpaceDE/>
              <w:autoSpaceDN/>
              <w:adjustRightInd/>
              <w:spacing w:line="240" w:lineRule="auto"/>
              <w:jc w:val="center"/>
              <w:rPr>
                <w:color w:val="000000"/>
                <w:sz w:val="20"/>
                <w:szCs w:val="20"/>
              </w:rPr>
            </w:pPr>
            <w:r w:rsidRPr="004F5401">
              <w:rPr>
                <w:sz w:val="20"/>
                <w:szCs w:val="20"/>
              </w:rPr>
              <w:t>$126</w:t>
            </w:r>
          </w:p>
        </w:tc>
        <w:tc>
          <w:tcPr>
            <w:tcW w:w="802" w:type="dxa"/>
            <w:tcBorders>
              <w:top w:val="nil"/>
              <w:left w:val="nil"/>
              <w:bottom w:val="single" w:sz="4" w:space="0" w:color="auto"/>
              <w:right w:val="nil"/>
            </w:tcBorders>
            <w:shd w:val="clear" w:color="auto" w:fill="auto"/>
            <w:noWrap/>
            <w:vAlign w:val="center"/>
          </w:tcPr>
          <w:p w14:paraId="377C66F1" w14:textId="77BF0D91" w:rsidR="008641BF" w:rsidRPr="004F5401" w:rsidRDefault="008641BF" w:rsidP="00FF0EE8">
            <w:pPr>
              <w:autoSpaceDE/>
              <w:autoSpaceDN/>
              <w:adjustRightInd/>
              <w:spacing w:line="240" w:lineRule="auto"/>
              <w:jc w:val="center"/>
              <w:rPr>
                <w:color w:val="000000"/>
                <w:sz w:val="20"/>
                <w:szCs w:val="20"/>
              </w:rPr>
            </w:pPr>
            <w:r w:rsidRPr="004F5401">
              <w:rPr>
                <w:sz w:val="20"/>
                <w:szCs w:val="20"/>
              </w:rPr>
              <w:t>10</w:t>
            </w:r>
          </w:p>
        </w:tc>
        <w:tc>
          <w:tcPr>
            <w:tcW w:w="1683" w:type="dxa"/>
            <w:tcBorders>
              <w:top w:val="nil"/>
              <w:left w:val="single" w:sz="4" w:space="0" w:color="auto"/>
              <w:bottom w:val="single" w:sz="4" w:space="0" w:color="auto"/>
              <w:right w:val="single" w:sz="4" w:space="0" w:color="auto"/>
            </w:tcBorders>
            <w:shd w:val="clear" w:color="auto" w:fill="auto"/>
            <w:noWrap/>
            <w:vAlign w:val="center"/>
          </w:tcPr>
          <w:p w14:paraId="3A860458" w14:textId="7F0026A4" w:rsidR="008641BF" w:rsidRPr="004F5401" w:rsidRDefault="008641BF" w:rsidP="00FF0EE8">
            <w:pPr>
              <w:autoSpaceDE/>
              <w:autoSpaceDN/>
              <w:adjustRightInd/>
              <w:spacing w:line="240" w:lineRule="auto"/>
              <w:jc w:val="center"/>
              <w:rPr>
                <w:sz w:val="20"/>
                <w:szCs w:val="20"/>
              </w:rPr>
            </w:pPr>
            <w:r w:rsidRPr="004F5401">
              <w:rPr>
                <w:sz w:val="20"/>
                <w:szCs w:val="20"/>
              </w:rPr>
              <w:t xml:space="preserve">$188,494 </w:t>
            </w:r>
          </w:p>
        </w:tc>
        <w:tc>
          <w:tcPr>
            <w:tcW w:w="1158" w:type="dxa"/>
            <w:tcBorders>
              <w:top w:val="nil"/>
              <w:left w:val="nil"/>
              <w:bottom w:val="single" w:sz="4" w:space="0" w:color="auto"/>
              <w:right w:val="single" w:sz="4" w:space="0" w:color="auto"/>
            </w:tcBorders>
            <w:shd w:val="clear" w:color="auto" w:fill="auto"/>
            <w:noWrap/>
            <w:vAlign w:val="center"/>
          </w:tcPr>
          <w:p w14:paraId="426177D0" w14:textId="43D7545E" w:rsidR="008641BF" w:rsidRPr="004F5401" w:rsidRDefault="008641BF" w:rsidP="00FF0EE8">
            <w:pPr>
              <w:autoSpaceDE/>
              <w:autoSpaceDN/>
              <w:adjustRightInd/>
              <w:spacing w:line="240" w:lineRule="auto"/>
              <w:jc w:val="center"/>
              <w:rPr>
                <w:sz w:val="20"/>
                <w:szCs w:val="20"/>
              </w:rPr>
            </w:pPr>
            <w:r w:rsidRPr="004F5401">
              <w:rPr>
                <w:sz w:val="20"/>
                <w:szCs w:val="20"/>
              </w:rPr>
              <w:t xml:space="preserve">$125,601 </w:t>
            </w:r>
          </w:p>
        </w:tc>
        <w:tc>
          <w:tcPr>
            <w:tcW w:w="1158" w:type="dxa"/>
            <w:tcBorders>
              <w:top w:val="nil"/>
              <w:left w:val="nil"/>
              <w:bottom w:val="single" w:sz="4" w:space="0" w:color="auto"/>
              <w:right w:val="single" w:sz="4" w:space="0" w:color="auto"/>
            </w:tcBorders>
            <w:shd w:val="clear" w:color="auto" w:fill="auto"/>
            <w:noWrap/>
            <w:vAlign w:val="center"/>
          </w:tcPr>
          <w:p w14:paraId="303E4A38" w14:textId="36CC7E7A" w:rsidR="008641BF" w:rsidRPr="004F5401" w:rsidRDefault="008641BF" w:rsidP="00FF0EE8">
            <w:pPr>
              <w:autoSpaceDE/>
              <w:autoSpaceDN/>
              <w:adjustRightInd/>
              <w:spacing w:line="240" w:lineRule="auto"/>
              <w:jc w:val="center"/>
              <w:rPr>
                <w:sz w:val="20"/>
                <w:szCs w:val="20"/>
              </w:rPr>
            </w:pPr>
            <w:r w:rsidRPr="004F5401">
              <w:rPr>
                <w:sz w:val="20"/>
                <w:szCs w:val="20"/>
              </w:rPr>
              <w:t xml:space="preserve">$157,860 </w:t>
            </w:r>
          </w:p>
        </w:tc>
      </w:tr>
      <w:tr w:rsidR="00E22216" w:rsidRPr="00E22216" w14:paraId="7BFC5F68" w14:textId="77777777" w:rsidTr="004F5401">
        <w:trPr>
          <w:trHeight w:val="288"/>
          <w:jc w:val="center"/>
        </w:trPr>
        <w:tc>
          <w:tcPr>
            <w:tcW w:w="5942" w:type="dxa"/>
            <w:gridSpan w:val="6"/>
            <w:tcBorders>
              <w:top w:val="single" w:sz="4" w:space="0" w:color="auto"/>
              <w:left w:val="single" w:sz="4" w:space="0" w:color="auto"/>
              <w:bottom w:val="single" w:sz="4" w:space="0" w:color="auto"/>
              <w:right w:val="nil"/>
            </w:tcBorders>
            <w:shd w:val="clear" w:color="auto" w:fill="auto"/>
            <w:vAlign w:val="center"/>
            <w:hideMark/>
          </w:tcPr>
          <w:p w14:paraId="39A51AE5" w14:textId="77777777" w:rsidR="00E22216" w:rsidRPr="004F5401" w:rsidRDefault="00E22216" w:rsidP="00FF0EE8">
            <w:pPr>
              <w:autoSpaceDE/>
              <w:autoSpaceDN/>
              <w:adjustRightInd/>
              <w:spacing w:line="240" w:lineRule="auto"/>
              <w:jc w:val="right"/>
              <w:rPr>
                <w:b/>
                <w:color w:val="000000"/>
                <w:sz w:val="20"/>
                <w:szCs w:val="20"/>
              </w:rPr>
            </w:pPr>
            <w:r w:rsidRPr="004F5401">
              <w:rPr>
                <w:b/>
                <w:color w:val="000000"/>
                <w:sz w:val="20"/>
                <w:szCs w:val="20"/>
              </w:rPr>
              <w:t>Total</w:t>
            </w:r>
          </w:p>
        </w:tc>
        <w:tc>
          <w:tcPr>
            <w:tcW w:w="1683" w:type="dxa"/>
            <w:tcBorders>
              <w:top w:val="nil"/>
              <w:left w:val="single" w:sz="4" w:space="0" w:color="auto"/>
              <w:bottom w:val="single" w:sz="4" w:space="0" w:color="auto"/>
              <w:right w:val="single" w:sz="4" w:space="0" w:color="auto"/>
            </w:tcBorders>
            <w:shd w:val="clear" w:color="auto" w:fill="auto"/>
            <w:vAlign w:val="center"/>
            <w:hideMark/>
          </w:tcPr>
          <w:p w14:paraId="0E05A3ED" w14:textId="463CA22D" w:rsidR="00E22216" w:rsidRPr="004F5401" w:rsidRDefault="00E22216" w:rsidP="00FF0EE8">
            <w:pPr>
              <w:autoSpaceDE/>
              <w:autoSpaceDN/>
              <w:adjustRightInd/>
              <w:spacing w:line="240" w:lineRule="auto"/>
              <w:jc w:val="center"/>
              <w:rPr>
                <w:b/>
                <w:sz w:val="20"/>
                <w:szCs w:val="20"/>
              </w:rPr>
            </w:pPr>
            <w:r w:rsidRPr="004F5401">
              <w:rPr>
                <w:b/>
                <w:sz w:val="20"/>
                <w:szCs w:val="20"/>
              </w:rPr>
              <w:t>$</w:t>
            </w:r>
            <w:r w:rsidR="008641BF" w:rsidRPr="004F5401">
              <w:rPr>
                <w:b/>
                <w:sz w:val="20"/>
                <w:szCs w:val="20"/>
              </w:rPr>
              <w:t>281,000</w:t>
            </w:r>
          </w:p>
        </w:tc>
        <w:tc>
          <w:tcPr>
            <w:tcW w:w="1158" w:type="dxa"/>
            <w:tcBorders>
              <w:top w:val="nil"/>
              <w:left w:val="nil"/>
              <w:bottom w:val="single" w:sz="4" w:space="0" w:color="auto"/>
              <w:right w:val="single" w:sz="4" w:space="0" w:color="auto"/>
            </w:tcBorders>
            <w:shd w:val="clear" w:color="auto" w:fill="auto"/>
            <w:vAlign w:val="center"/>
            <w:hideMark/>
          </w:tcPr>
          <w:p w14:paraId="096E81AF" w14:textId="68F63A91" w:rsidR="00E22216" w:rsidRPr="004F5401" w:rsidRDefault="00E22216" w:rsidP="00FF0EE8">
            <w:pPr>
              <w:autoSpaceDE/>
              <w:autoSpaceDN/>
              <w:adjustRightInd/>
              <w:spacing w:line="240" w:lineRule="auto"/>
              <w:jc w:val="center"/>
              <w:rPr>
                <w:b/>
                <w:sz w:val="20"/>
                <w:szCs w:val="20"/>
              </w:rPr>
            </w:pPr>
            <w:r w:rsidRPr="004F5401">
              <w:rPr>
                <w:b/>
                <w:sz w:val="20"/>
                <w:szCs w:val="20"/>
              </w:rPr>
              <w:t>$</w:t>
            </w:r>
            <w:r w:rsidR="008641BF" w:rsidRPr="004F5401">
              <w:rPr>
                <w:b/>
                <w:sz w:val="20"/>
                <w:szCs w:val="20"/>
              </w:rPr>
              <w:t>216,000</w:t>
            </w:r>
          </w:p>
        </w:tc>
        <w:tc>
          <w:tcPr>
            <w:tcW w:w="1158" w:type="dxa"/>
            <w:tcBorders>
              <w:top w:val="nil"/>
              <w:left w:val="nil"/>
              <w:bottom w:val="single" w:sz="4" w:space="0" w:color="auto"/>
              <w:right w:val="single" w:sz="4" w:space="0" w:color="auto"/>
            </w:tcBorders>
            <w:shd w:val="clear" w:color="auto" w:fill="auto"/>
            <w:vAlign w:val="center"/>
            <w:hideMark/>
          </w:tcPr>
          <w:p w14:paraId="6F71CE18" w14:textId="73350247" w:rsidR="00E22216" w:rsidRPr="004F5401" w:rsidRDefault="00E22216" w:rsidP="00FF0EE8">
            <w:pPr>
              <w:autoSpaceDE/>
              <w:autoSpaceDN/>
              <w:adjustRightInd/>
              <w:spacing w:line="240" w:lineRule="auto"/>
              <w:jc w:val="center"/>
              <w:rPr>
                <w:b/>
                <w:sz w:val="20"/>
                <w:szCs w:val="20"/>
              </w:rPr>
            </w:pPr>
            <w:r w:rsidRPr="004F5401">
              <w:rPr>
                <w:b/>
                <w:sz w:val="20"/>
                <w:szCs w:val="20"/>
              </w:rPr>
              <w:t>$</w:t>
            </w:r>
            <w:r w:rsidR="008641BF" w:rsidRPr="004F5401">
              <w:rPr>
                <w:b/>
                <w:sz w:val="20"/>
                <w:szCs w:val="20"/>
              </w:rPr>
              <w:t>250</w:t>
            </w:r>
            <w:r w:rsidR="00C83A0C" w:rsidRPr="004F5401">
              <w:rPr>
                <w:b/>
                <w:sz w:val="20"/>
                <w:szCs w:val="20"/>
              </w:rPr>
              <w:t>,000</w:t>
            </w:r>
          </w:p>
        </w:tc>
      </w:tr>
    </w:tbl>
    <w:p w14:paraId="1BE5202E" w14:textId="096B1447" w:rsidR="00DC5FA9" w:rsidRPr="006E3507" w:rsidRDefault="00DC5FA9" w:rsidP="00FF0EE8">
      <w:pPr>
        <w:spacing w:line="240" w:lineRule="auto"/>
        <w:ind w:firstLine="180"/>
        <w:rPr>
          <w:sz w:val="18"/>
        </w:rPr>
      </w:pPr>
      <w:r w:rsidRPr="006E3507">
        <w:rPr>
          <w:sz w:val="18"/>
        </w:rPr>
        <w:t xml:space="preserve">* </w:t>
      </w:r>
      <w:r w:rsidR="00B658C3">
        <w:rPr>
          <w:sz w:val="18"/>
        </w:rPr>
        <w:t>Rounding</w:t>
      </w:r>
      <w:r w:rsidR="00B658C3" w:rsidRPr="006E3507">
        <w:rPr>
          <w:sz w:val="18"/>
        </w:rPr>
        <w:t xml:space="preserve"> </w:t>
      </w:r>
      <w:r w:rsidRPr="006E3507">
        <w:rPr>
          <w:sz w:val="18"/>
        </w:rPr>
        <w:t xml:space="preserve">may </w:t>
      </w:r>
      <w:r w:rsidR="00B658C3">
        <w:rPr>
          <w:sz w:val="18"/>
        </w:rPr>
        <w:t>have caused</w:t>
      </w:r>
      <w:r w:rsidR="00B658C3" w:rsidRPr="006E3507">
        <w:rPr>
          <w:sz w:val="18"/>
        </w:rPr>
        <w:t xml:space="preserve"> </w:t>
      </w:r>
      <w:r w:rsidRPr="006E3507">
        <w:rPr>
          <w:sz w:val="18"/>
        </w:rPr>
        <w:t xml:space="preserve">discrepancies in </w:t>
      </w:r>
      <w:r w:rsidR="00011F7C">
        <w:rPr>
          <w:sz w:val="18"/>
        </w:rPr>
        <w:t xml:space="preserve">the </w:t>
      </w:r>
      <w:r w:rsidRPr="006E3507">
        <w:rPr>
          <w:sz w:val="18"/>
        </w:rPr>
        <w:t>calculations.</w:t>
      </w:r>
    </w:p>
    <w:p w14:paraId="401040E1" w14:textId="77777777" w:rsidR="00DC5FA9" w:rsidRPr="006E3507" w:rsidRDefault="00DC5FA9" w:rsidP="00FF0EE8">
      <w:pPr>
        <w:spacing w:line="240" w:lineRule="auto"/>
        <w:ind w:firstLine="180"/>
        <w:rPr>
          <w:sz w:val="18"/>
        </w:rPr>
      </w:pPr>
      <w:r w:rsidRPr="006E3507">
        <w:rPr>
          <w:sz w:val="18"/>
        </w:rPr>
        <w:t xml:space="preserve">** All values are in </w:t>
      </w:r>
      <w:r w:rsidR="00537A16" w:rsidRPr="006E3507">
        <w:rPr>
          <w:sz w:val="18"/>
        </w:rPr>
        <w:t>201</w:t>
      </w:r>
      <w:r w:rsidR="00537A16">
        <w:rPr>
          <w:sz w:val="18"/>
        </w:rPr>
        <w:t>7</w:t>
      </w:r>
      <w:r w:rsidR="00537A16" w:rsidRPr="006E3507">
        <w:rPr>
          <w:sz w:val="18"/>
        </w:rPr>
        <w:t xml:space="preserve"> </w:t>
      </w:r>
      <w:r w:rsidRPr="006E3507">
        <w:rPr>
          <w:sz w:val="18"/>
        </w:rPr>
        <w:t>dollars</w:t>
      </w:r>
      <w:r w:rsidR="00011F7C">
        <w:rPr>
          <w:sz w:val="18"/>
        </w:rPr>
        <w:t>.</w:t>
      </w:r>
    </w:p>
    <w:p w14:paraId="4A95CC1B" w14:textId="6BF59ECA" w:rsidR="00DC5FA9" w:rsidRDefault="00DC5FA9" w:rsidP="00FF0EE8">
      <w:pPr>
        <w:spacing w:line="240" w:lineRule="auto"/>
        <w:ind w:firstLine="180"/>
        <w:rPr>
          <w:sz w:val="18"/>
        </w:rPr>
      </w:pPr>
      <w:r w:rsidRPr="006E3507">
        <w:rPr>
          <w:sz w:val="18"/>
        </w:rPr>
        <w:t>*** Tests for OMN</w:t>
      </w:r>
      <w:r w:rsidR="00011F7C">
        <w:rPr>
          <w:sz w:val="18"/>
        </w:rPr>
        <w:noBreakHyphen/>
      </w:r>
      <w:r w:rsidRPr="006E3507">
        <w:rPr>
          <w:sz w:val="18"/>
        </w:rPr>
        <w:t xml:space="preserve">19 </w:t>
      </w:r>
      <w:r w:rsidR="00BC19FA">
        <w:rPr>
          <w:sz w:val="18"/>
        </w:rPr>
        <w:t>occur</w:t>
      </w:r>
      <w:r w:rsidRPr="006E3507">
        <w:rPr>
          <w:sz w:val="18"/>
        </w:rPr>
        <w:t xml:space="preserve"> every 2 years</w:t>
      </w:r>
      <w:r w:rsidR="00011F7C">
        <w:rPr>
          <w:sz w:val="18"/>
        </w:rPr>
        <w:t>.</w:t>
      </w:r>
    </w:p>
    <w:p w14:paraId="587C5665" w14:textId="4E9FC917" w:rsidR="00BB4884" w:rsidRDefault="00BB4884">
      <w:pPr>
        <w:autoSpaceDE/>
        <w:autoSpaceDN/>
        <w:adjustRightInd/>
        <w:rPr>
          <w:sz w:val="18"/>
        </w:rPr>
      </w:pPr>
      <w:r>
        <w:rPr>
          <w:sz w:val="18"/>
        </w:rPr>
        <w:br w:type="page"/>
      </w:r>
    </w:p>
    <w:p w14:paraId="62F25277" w14:textId="77777777" w:rsidR="00BB4884" w:rsidRPr="006E3507" w:rsidRDefault="00BB4884" w:rsidP="00FF0EE8">
      <w:pPr>
        <w:spacing w:line="240" w:lineRule="auto"/>
        <w:ind w:firstLine="180"/>
        <w:rPr>
          <w:sz w:val="18"/>
        </w:rPr>
      </w:pPr>
    </w:p>
    <w:p w14:paraId="6FC415E0" w14:textId="77777777" w:rsidR="00186364" w:rsidRDefault="00186364" w:rsidP="00FF0EE8">
      <w:pPr>
        <w:pStyle w:val="Heading3"/>
        <w:spacing w:line="240" w:lineRule="auto"/>
        <w:ind w:left="540"/>
      </w:pPr>
      <w:bookmarkStart w:id="214" w:name="_Toc462224969"/>
      <w:bookmarkStart w:id="215" w:name="_Toc468875928"/>
      <w:r>
        <w:t>Total Industry Operations Costs</w:t>
      </w:r>
      <w:bookmarkEnd w:id="214"/>
      <w:bookmarkEnd w:id="215"/>
    </w:p>
    <w:p w14:paraId="50882C0F" w14:textId="77777777" w:rsidR="005E61EB" w:rsidRDefault="005E61EB" w:rsidP="00FF0EE8">
      <w:pPr>
        <w:keepNext/>
        <w:spacing w:line="240" w:lineRule="auto"/>
      </w:pPr>
    </w:p>
    <w:p w14:paraId="130F14B1" w14:textId="15E67345" w:rsidR="006D3728" w:rsidRPr="009505A0" w:rsidRDefault="006D3728" w:rsidP="00FF0EE8">
      <w:pPr>
        <w:spacing w:line="240" w:lineRule="auto"/>
      </w:pPr>
      <w:r w:rsidRPr="00F56ABA">
        <w:t>As shown in</w:t>
      </w:r>
      <w:r w:rsidR="0054085D" w:rsidRPr="00F56ABA">
        <w:t xml:space="preserve"> </w:t>
      </w:r>
      <w:r w:rsidR="0054085D" w:rsidRPr="00F56ABA">
        <w:fldChar w:fldCharType="begin"/>
      </w:r>
      <w:r w:rsidR="0054085D" w:rsidRPr="00F56ABA">
        <w:instrText xml:space="preserve"> REF _Ref435775612 \h </w:instrText>
      </w:r>
      <w:r w:rsidR="00795C9A" w:rsidRPr="00F56ABA">
        <w:instrText xml:space="preserve"> \* MERGEFORMAT </w:instrText>
      </w:r>
      <w:r w:rsidR="0054085D" w:rsidRPr="00F56ABA">
        <w:fldChar w:fldCharType="separate"/>
      </w:r>
      <w:r w:rsidR="00FD3AB6" w:rsidRPr="00FD3AB6">
        <w:t xml:space="preserve">Table </w:t>
      </w:r>
      <w:r w:rsidR="00FD3AB6" w:rsidRPr="00FD3AB6">
        <w:rPr>
          <w:noProof/>
        </w:rPr>
        <w:t>17</w:t>
      </w:r>
      <w:r w:rsidR="0054085D" w:rsidRPr="00F56ABA">
        <w:fldChar w:fldCharType="end"/>
      </w:r>
      <w:r w:rsidRPr="00F56ABA">
        <w:t>, industry would have averted costs of between $</w:t>
      </w:r>
      <w:r w:rsidR="006D426D" w:rsidRPr="00F56ABA">
        <w:t>2.42</w:t>
      </w:r>
      <w:r w:rsidR="00537A16" w:rsidRPr="00F56ABA">
        <w:t xml:space="preserve"> million</w:t>
      </w:r>
      <w:r w:rsidRPr="00F56ABA">
        <w:t xml:space="preserve"> </w:t>
      </w:r>
      <w:r w:rsidR="00A27EE7" w:rsidRPr="00F56ABA">
        <w:t>(</w:t>
      </w:r>
      <w:r w:rsidRPr="00F56ABA">
        <w:t>7</w:t>
      </w:r>
      <w:r w:rsidR="00011F7C" w:rsidRPr="00F56ABA">
        <w:noBreakHyphen/>
      </w:r>
      <w:r w:rsidRPr="00F56ABA">
        <w:t xml:space="preserve">percent </w:t>
      </w:r>
      <w:r w:rsidR="00A27EE7" w:rsidRPr="00F56ABA">
        <w:t>NPV)</w:t>
      </w:r>
      <w:r w:rsidRPr="00F56ABA">
        <w:t xml:space="preserve"> to $</w:t>
      </w:r>
      <w:r w:rsidR="006D426D" w:rsidRPr="00F56ABA">
        <w:t>2.87</w:t>
      </w:r>
      <w:r w:rsidR="00537A16" w:rsidRPr="00F56ABA">
        <w:t xml:space="preserve"> million</w:t>
      </w:r>
      <w:r w:rsidRPr="00F56ABA">
        <w:t xml:space="preserve"> </w:t>
      </w:r>
      <w:r w:rsidR="00A27EE7" w:rsidRPr="00F56ABA">
        <w:t>(</w:t>
      </w:r>
      <w:r w:rsidRPr="00F56ABA">
        <w:t>3</w:t>
      </w:r>
      <w:r w:rsidR="00011F7C" w:rsidRPr="00F56ABA">
        <w:noBreakHyphen/>
      </w:r>
      <w:r w:rsidRPr="00F56ABA">
        <w:t>percent</w:t>
      </w:r>
      <w:r w:rsidR="00A27EE7" w:rsidRPr="00F56ABA">
        <w:t xml:space="preserve"> NPV)</w:t>
      </w:r>
      <w:r w:rsidR="006D426D" w:rsidRPr="00F56ABA">
        <w:t>.</w:t>
      </w:r>
    </w:p>
    <w:p w14:paraId="44998A97" w14:textId="77777777" w:rsidR="006D3728" w:rsidRDefault="006D3728" w:rsidP="00FF0EE8">
      <w:pPr>
        <w:spacing w:line="240" w:lineRule="auto"/>
      </w:pPr>
    </w:p>
    <w:p w14:paraId="516696D9" w14:textId="26B6B9DD" w:rsidR="004665EC" w:rsidRPr="00587EDB" w:rsidRDefault="004665EC" w:rsidP="00FF0EE8">
      <w:pPr>
        <w:pStyle w:val="Caption"/>
        <w:spacing w:line="240" w:lineRule="auto"/>
        <w:ind w:left="1080" w:hanging="1080"/>
        <w:jc w:val="center"/>
        <w:rPr>
          <w:b/>
        </w:rPr>
      </w:pPr>
      <w:bookmarkStart w:id="216" w:name="_Ref435775612"/>
      <w:bookmarkStart w:id="217" w:name="_Toc467508506"/>
      <w:bookmarkStart w:id="218" w:name="_Toc462225012"/>
      <w:r w:rsidRPr="00587EDB">
        <w:rPr>
          <w:b/>
        </w:rPr>
        <w:t xml:space="preserve">Table </w:t>
      </w:r>
      <w:r w:rsidR="00782423" w:rsidRPr="00587EDB">
        <w:rPr>
          <w:b/>
        </w:rPr>
        <w:fldChar w:fldCharType="begin"/>
      </w:r>
      <w:r w:rsidR="00782423" w:rsidRPr="00587EDB">
        <w:rPr>
          <w:b/>
        </w:rPr>
        <w:instrText xml:space="preserve"> SEQ Table \* ARABIC </w:instrText>
      </w:r>
      <w:r w:rsidR="00782423" w:rsidRPr="00587EDB">
        <w:rPr>
          <w:b/>
        </w:rPr>
        <w:fldChar w:fldCharType="separate"/>
      </w:r>
      <w:r w:rsidR="00FD3AB6">
        <w:rPr>
          <w:b/>
          <w:noProof/>
        </w:rPr>
        <w:t>17</w:t>
      </w:r>
      <w:r w:rsidR="00782423" w:rsidRPr="00587EDB">
        <w:rPr>
          <w:b/>
        </w:rPr>
        <w:fldChar w:fldCharType="end"/>
      </w:r>
      <w:bookmarkEnd w:id="216"/>
      <w:r w:rsidR="006C3FF0" w:rsidRPr="00D557C2">
        <w:rPr>
          <w:b/>
        </w:rPr>
        <w:t xml:space="preserve">  </w:t>
      </w:r>
      <w:r w:rsidR="00982DB4" w:rsidRPr="00587EDB">
        <w:rPr>
          <w:b/>
        </w:rPr>
        <w:t>Industry Cost Summary</w:t>
      </w:r>
      <w:bookmarkEnd w:id="217"/>
      <w:bookmarkEnd w:id="218"/>
    </w:p>
    <w:tbl>
      <w:tblPr>
        <w:tblW w:w="10086" w:type="dxa"/>
        <w:jc w:val="center"/>
        <w:tblLook w:val="04A0" w:firstRow="1" w:lastRow="0" w:firstColumn="1" w:lastColumn="0" w:noHBand="0" w:noVBand="1"/>
      </w:tblPr>
      <w:tblGrid>
        <w:gridCol w:w="1573"/>
        <w:gridCol w:w="1351"/>
        <w:gridCol w:w="1483"/>
        <w:gridCol w:w="1461"/>
        <w:gridCol w:w="1581"/>
        <w:gridCol w:w="1351"/>
        <w:gridCol w:w="1351"/>
      </w:tblGrid>
      <w:tr w:rsidR="000617C0" w:rsidRPr="00982DB4" w14:paraId="4F5D7C23" w14:textId="77777777" w:rsidTr="004F5401">
        <w:trPr>
          <w:trHeight w:val="604"/>
          <w:tblHeader/>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5F46C" w14:textId="77777777" w:rsidR="00982DB4" w:rsidRPr="004F5401" w:rsidRDefault="00982DB4" w:rsidP="00FF0EE8">
            <w:pPr>
              <w:autoSpaceDE/>
              <w:autoSpaceDN/>
              <w:adjustRightInd/>
              <w:spacing w:line="240" w:lineRule="auto"/>
              <w:jc w:val="center"/>
              <w:rPr>
                <w:b/>
                <w:color w:val="000000"/>
                <w:sz w:val="20"/>
                <w:szCs w:val="20"/>
              </w:rPr>
            </w:pPr>
            <w:r w:rsidRPr="004F5401">
              <w:rPr>
                <w:b/>
                <w:color w:val="000000"/>
                <w:sz w:val="20"/>
                <w:szCs w:val="20"/>
              </w:rPr>
              <w:t>Cost attribute</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4A6EBB29" w14:textId="77777777" w:rsidR="00982DB4" w:rsidRPr="004F5401" w:rsidRDefault="00982DB4" w:rsidP="00FF0EE8">
            <w:pPr>
              <w:autoSpaceDE/>
              <w:autoSpaceDN/>
              <w:adjustRightInd/>
              <w:spacing w:line="240" w:lineRule="auto"/>
              <w:jc w:val="center"/>
              <w:rPr>
                <w:b/>
                <w:color w:val="000000"/>
                <w:sz w:val="20"/>
                <w:szCs w:val="20"/>
              </w:rPr>
            </w:pPr>
            <w:r w:rsidRPr="004F5401">
              <w:rPr>
                <w:b/>
                <w:color w:val="000000"/>
                <w:sz w:val="20"/>
                <w:szCs w:val="20"/>
              </w:rPr>
              <w:t>Labor</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150EEB44" w14:textId="77777777" w:rsidR="00982DB4" w:rsidRPr="004F5401" w:rsidRDefault="00982DB4" w:rsidP="00FF0EE8">
            <w:pPr>
              <w:autoSpaceDE/>
              <w:autoSpaceDN/>
              <w:adjustRightInd/>
              <w:spacing w:line="240" w:lineRule="auto"/>
              <w:jc w:val="center"/>
              <w:rPr>
                <w:b/>
                <w:color w:val="000000"/>
                <w:sz w:val="20"/>
                <w:szCs w:val="20"/>
              </w:rPr>
            </w:pPr>
            <w:r w:rsidRPr="004F5401">
              <w:rPr>
                <w:b/>
                <w:color w:val="000000"/>
                <w:sz w:val="20"/>
                <w:szCs w:val="20"/>
              </w:rPr>
              <w:t>Occupational Health (Routine)</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78643B3C" w14:textId="77777777" w:rsidR="00982DB4" w:rsidRPr="004F5401" w:rsidRDefault="00982DB4" w:rsidP="00FF0EE8">
            <w:pPr>
              <w:autoSpaceDE/>
              <w:autoSpaceDN/>
              <w:adjustRightInd/>
              <w:spacing w:line="240" w:lineRule="auto"/>
              <w:jc w:val="center"/>
              <w:rPr>
                <w:b/>
                <w:color w:val="000000"/>
                <w:sz w:val="20"/>
                <w:szCs w:val="20"/>
              </w:rPr>
            </w:pPr>
            <w:r w:rsidRPr="004F5401">
              <w:rPr>
                <w:b/>
                <w:color w:val="000000"/>
                <w:sz w:val="20"/>
                <w:szCs w:val="20"/>
              </w:rPr>
              <w:t>Replacement Power</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38415B18" w14:textId="77777777" w:rsidR="00982DB4" w:rsidRPr="004F5401" w:rsidRDefault="00982DB4" w:rsidP="00FF0EE8">
            <w:pPr>
              <w:autoSpaceDE/>
              <w:autoSpaceDN/>
              <w:adjustRightInd/>
              <w:spacing w:line="240" w:lineRule="auto"/>
              <w:jc w:val="center"/>
              <w:rPr>
                <w:b/>
                <w:color w:val="000000"/>
                <w:sz w:val="20"/>
                <w:szCs w:val="20"/>
              </w:rPr>
            </w:pPr>
            <w:r w:rsidRPr="004F5401">
              <w:rPr>
                <w:b/>
                <w:color w:val="000000"/>
                <w:sz w:val="20"/>
                <w:szCs w:val="20"/>
              </w:rPr>
              <w:t>Undiscounted</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3E506995" w14:textId="77777777" w:rsidR="00982DB4" w:rsidRPr="004F5401" w:rsidRDefault="00982DB4" w:rsidP="00FF0EE8">
            <w:pPr>
              <w:autoSpaceDE/>
              <w:autoSpaceDN/>
              <w:adjustRightInd/>
              <w:spacing w:line="240" w:lineRule="auto"/>
              <w:jc w:val="center"/>
              <w:rPr>
                <w:b/>
                <w:color w:val="000000"/>
                <w:sz w:val="20"/>
                <w:szCs w:val="20"/>
              </w:rPr>
            </w:pPr>
            <w:r w:rsidRPr="004F5401">
              <w:rPr>
                <w:b/>
                <w:color w:val="000000"/>
                <w:sz w:val="20"/>
                <w:szCs w:val="20"/>
              </w:rPr>
              <w:t>7% NPV</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2DEF4602" w14:textId="77777777" w:rsidR="00982DB4" w:rsidRPr="004F5401" w:rsidRDefault="00982DB4" w:rsidP="00FF0EE8">
            <w:pPr>
              <w:autoSpaceDE/>
              <w:autoSpaceDN/>
              <w:adjustRightInd/>
              <w:spacing w:line="240" w:lineRule="auto"/>
              <w:jc w:val="center"/>
              <w:rPr>
                <w:b/>
                <w:color w:val="000000"/>
                <w:sz w:val="20"/>
                <w:szCs w:val="20"/>
              </w:rPr>
            </w:pPr>
            <w:r w:rsidRPr="004F5401">
              <w:rPr>
                <w:b/>
                <w:color w:val="000000"/>
                <w:sz w:val="20"/>
                <w:szCs w:val="20"/>
              </w:rPr>
              <w:t>3% NPV</w:t>
            </w:r>
          </w:p>
        </w:tc>
      </w:tr>
      <w:tr w:rsidR="000617C0" w:rsidRPr="00982DB4" w14:paraId="099D9844" w14:textId="77777777" w:rsidTr="004F5401">
        <w:trPr>
          <w:trHeight w:val="58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50703A82" w14:textId="77777777" w:rsidR="006D426D" w:rsidRPr="004F5401" w:rsidRDefault="006D426D" w:rsidP="00FF0EE8">
            <w:pPr>
              <w:autoSpaceDE/>
              <w:autoSpaceDN/>
              <w:adjustRightInd/>
              <w:spacing w:line="240" w:lineRule="auto"/>
              <w:rPr>
                <w:color w:val="000000"/>
                <w:sz w:val="20"/>
                <w:szCs w:val="20"/>
              </w:rPr>
            </w:pPr>
            <w:r w:rsidRPr="004F5401">
              <w:rPr>
                <w:color w:val="000000"/>
                <w:sz w:val="20"/>
                <w:szCs w:val="20"/>
              </w:rPr>
              <w:t>One-time implementation</w:t>
            </w:r>
          </w:p>
        </w:tc>
        <w:tc>
          <w:tcPr>
            <w:tcW w:w="1351" w:type="dxa"/>
            <w:tcBorders>
              <w:top w:val="nil"/>
              <w:left w:val="nil"/>
              <w:bottom w:val="single" w:sz="4" w:space="0" w:color="auto"/>
              <w:right w:val="single" w:sz="4" w:space="0" w:color="auto"/>
            </w:tcBorders>
            <w:shd w:val="clear" w:color="auto" w:fill="auto"/>
            <w:noWrap/>
            <w:vAlign w:val="center"/>
            <w:hideMark/>
          </w:tcPr>
          <w:p w14:paraId="7C81675D" w14:textId="58643BCF"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($1,759,273)</w:t>
            </w:r>
          </w:p>
        </w:tc>
        <w:tc>
          <w:tcPr>
            <w:tcW w:w="1483" w:type="dxa"/>
            <w:tcBorders>
              <w:top w:val="nil"/>
              <w:left w:val="nil"/>
              <w:bottom w:val="single" w:sz="4" w:space="0" w:color="auto"/>
              <w:right w:val="single" w:sz="4" w:space="0" w:color="auto"/>
            </w:tcBorders>
            <w:shd w:val="clear" w:color="auto" w:fill="auto"/>
            <w:noWrap/>
            <w:vAlign w:val="center"/>
            <w:hideMark/>
          </w:tcPr>
          <w:p w14:paraId="0B674855"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461" w:type="dxa"/>
            <w:tcBorders>
              <w:top w:val="nil"/>
              <w:left w:val="nil"/>
              <w:bottom w:val="single" w:sz="4" w:space="0" w:color="auto"/>
              <w:right w:val="single" w:sz="4" w:space="0" w:color="auto"/>
            </w:tcBorders>
            <w:shd w:val="clear" w:color="auto" w:fill="auto"/>
            <w:noWrap/>
            <w:vAlign w:val="center"/>
            <w:hideMark/>
          </w:tcPr>
          <w:p w14:paraId="144EADF0"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581" w:type="dxa"/>
            <w:tcBorders>
              <w:top w:val="nil"/>
              <w:left w:val="nil"/>
              <w:bottom w:val="single" w:sz="4" w:space="0" w:color="auto"/>
              <w:right w:val="single" w:sz="4" w:space="0" w:color="auto"/>
            </w:tcBorders>
            <w:shd w:val="clear" w:color="auto" w:fill="auto"/>
            <w:noWrap/>
            <w:vAlign w:val="center"/>
            <w:hideMark/>
          </w:tcPr>
          <w:p w14:paraId="2973877C" w14:textId="6773B1A6"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($1,759,273)</w:t>
            </w:r>
          </w:p>
        </w:tc>
        <w:tc>
          <w:tcPr>
            <w:tcW w:w="1351" w:type="dxa"/>
            <w:tcBorders>
              <w:top w:val="nil"/>
              <w:left w:val="nil"/>
              <w:bottom w:val="single" w:sz="4" w:space="0" w:color="auto"/>
              <w:right w:val="single" w:sz="4" w:space="0" w:color="auto"/>
            </w:tcBorders>
            <w:shd w:val="clear" w:color="auto" w:fill="auto"/>
            <w:noWrap/>
            <w:vAlign w:val="center"/>
            <w:hideMark/>
          </w:tcPr>
          <w:p w14:paraId="50217BD5" w14:textId="473E8193"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($1,759,273)</w:t>
            </w:r>
          </w:p>
        </w:tc>
        <w:tc>
          <w:tcPr>
            <w:tcW w:w="1351" w:type="dxa"/>
            <w:tcBorders>
              <w:top w:val="nil"/>
              <w:left w:val="nil"/>
              <w:bottom w:val="single" w:sz="4" w:space="0" w:color="auto"/>
              <w:right w:val="single" w:sz="4" w:space="0" w:color="auto"/>
            </w:tcBorders>
            <w:shd w:val="clear" w:color="auto" w:fill="auto"/>
            <w:noWrap/>
            <w:vAlign w:val="center"/>
            <w:hideMark/>
          </w:tcPr>
          <w:p w14:paraId="2F9887C7" w14:textId="7855A3BE"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($1,759,273)</w:t>
            </w:r>
          </w:p>
        </w:tc>
      </w:tr>
      <w:tr w:rsidR="000617C0" w:rsidRPr="00982DB4" w14:paraId="68760F15" w14:textId="77777777" w:rsidTr="004F5401">
        <w:trPr>
          <w:trHeight w:val="29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7DE71A4D" w14:textId="49A1AFBE" w:rsidR="006D426D" w:rsidRPr="004F5401" w:rsidRDefault="006D426D" w:rsidP="00FF0EE8">
            <w:pPr>
              <w:autoSpaceDE/>
              <w:autoSpaceDN/>
              <w:adjustRightInd/>
              <w:spacing w:line="240" w:lineRule="auto"/>
              <w:rPr>
                <w:color w:val="000000"/>
                <w:sz w:val="20"/>
                <w:szCs w:val="20"/>
              </w:rPr>
            </w:pPr>
            <w:r w:rsidRPr="004F5401">
              <w:rPr>
                <w:color w:val="000000"/>
                <w:sz w:val="20"/>
                <w:szCs w:val="20"/>
              </w:rPr>
              <w:t xml:space="preserve">Averted </w:t>
            </w:r>
            <w:r w:rsidRPr="004F5401">
              <w:rPr>
                <w:rFonts w:eastAsia="Times New Roman"/>
                <w:color w:val="000000"/>
                <w:sz w:val="20"/>
                <w:szCs w:val="20"/>
              </w:rPr>
              <w:t>alternative</w:t>
            </w:r>
            <w:r w:rsidRPr="004F5401">
              <w:rPr>
                <w:color w:val="000000"/>
                <w:sz w:val="20"/>
                <w:szCs w:val="20"/>
              </w:rPr>
              <w:t xml:space="preserve"> requests</w:t>
            </w:r>
          </w:p>
        </w:tc>
        <w:tc>
          <w:tcPr>
            <w:tcW w:w="1351" w:type="dxa"/>
            <w:tcBorders>
              <w:top w:val="nil"/>
              <w:left w:val="nil"/>
              <w:bottom w:val="single" w:sz="4" w:space="0" w:color="auto"/>
              <w:right w:val="single" w:sz="4" w:space="0" w:color="auto"/>
            </w:tcBorders>
            <w:shd w:val="clear" w:color="auto" w:fill="auto"/>
            <w:noWrap/>
            <w:vAlign w:val="center"/>
            <w:hideMark/>
          </w:tcPr>
          <w:p w14:paraId="25E9059E" w14:textId="7448A073"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 xml:space="preserve">$9,450,000 </w:t>
            </w:r>
          </w:p>
        </w:tc>
        <w:tc>
          <w:tcPr>
            <w:tcW w:w="1483" w:type="dxa"/>
            <w:tcBorders>
              <w:top w:val="nil"/>
              <w:left w:val="nil"/>
              <w:bottom w:val="single" w:sz="4" w:space="0" w:color="auto"/>
              <w:right w:val="single" w:sz="4" w:space="0" w:color="auto"/>
            </w:tcBorders>
            <w:shd w:val="clear" w:color="auto" w:fill="auto"/>
            <w:noWrap/>
            <w:vAlign w:val="center"/>
            <w:hideMark/>
          </w:tcPr>
          <w:p w14:paraId="77894BCC"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461" w:type="dxa"/>
            <w:tcBorders>
              <w:top w:val="nil"/>
              <w:left w:val="nil"/>
              <w:bottom w:val="single" w:sz="4" w:space="0" w:color="auto"/>
              <w:right w:val="single" w:sz="4" w:space="0" w:color="auto"/>
            </w:tcBorders>
            <w:shd w:val="clear" w:color="auto" w:fill="auto"/>
            <w:noWrap/>
            <w:vAlign w:val="center"/>
            <w:hideMark/>
          </w:tcPr>
          <w:p w14:paraId="692DC34C"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581" w:type="dxa"/>
            <w:tcBorders>
              <w:top w:val="nil"/>
              <w:left w:val="nil"/>
              <w:bottom w:val="single" w:sz="4" w:space="0" w:color="auto"/>
              <w:right w:val="single" w:sz="4" w:space="0" w:color="auto"/>
            </w:tcBorders>
            <w:shd w:val="clear" w:color="auto" w:fill="auto"/>
            <w:noWrap/>
            <w:vAlign w:val="center"/>
            <w:hideMark/>
          </w:tcPr>
          <w:p w14:paraId="1BAA33EC" w14:textId="3C99E36B"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 xml:space="preserve">$9,450,000 </w:t>
            </w:r>
          </w:p>
        </w:tc>
        <w:tc>
          <w:tcPr>
            <w:tcW w:w="1351" w:type="dxa"/>
            <w:tcBorders>
              <w:top w:val="nil"/>
              <w:left w:val="nil"/>
              <w:bottom w:val="single" w:sz="4" w:space="0" w:color="auto"/>
              <w:right w:val="single" w:sz="4" w:space="0" w:color="auto"/>
            </w:tcBorders>
            <w:shd w:val="clear" w:color="auto" w:fill="auto"/>
            <w:noWrap/>
            <w:vAlign w:val="center"/>
            <w:hideMark/>
          </w:tcPr>
          <w:p w14:paraId="6B969B21" w14:textId="4A5AA6C9"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 xml:space="preserve">$7,750,000 </w:t>
            </w:r>
          </w:p>
        </w:tc>
        <w:tc>
          <w:tcPr>
            <w:tcW w:w="1351" w:type="dxa"/>
            <w:tcBorders>
              <w:top w:val="nil"/>
              <w:left w:val="nil"/>
              <w:bottom w:val="single" w:sz="4" w:space="0" w:color="auto"/>
              <w:right w:val="single" w:sz="4" w:space="0" w:color="auto"/>
            </w:tcBorders>
            <w:shd w:val="clear" w:color="auto" w:fill="auto"/>
            <w:noWrap/>
            <w:vAlign w:val="center"/>
            <w:hideMark/>
          </w:tcPr>
          <w:p w14:paraId="0BCA3C40" w14:textId="7FED1344"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 xml:space="preserve">$8,660,000 </w:t>
            </w:r>
          </w:p>
        </w:tc>
      </w:tr>
      <w:tr w:rsidR="000617C0" w:rsidRPr="00982DB4" w14:paraId="7B227005" w14:textId="77777777" w:rsidTr="004F5401">
        <w:trPr>
          <w:trHeight w:val="29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142D7C70" w14:textId="5ADFED0E" w:rsidR="006D426D" w:rsidRPr="004F5401" w:rsidRDefault="006D426D" w:rsidP="00FF0EE8">
            <w:pPr>
              <w:autoSpaceDE/>
              <w:autoSpaceDN/>
              <w:adjustRightInd/>
              <w:spacing w:line="240" w:lineRule="auto"/>
              <w:rPr>
                <w:color w:val="000000"/>
                <w:sz w:val="20"/>
                <w:szCs w:val="20"/>
              </w:rPr>
            </w:pPr>
            <w:r w:rsidRPr="004F5401">
              <w:rPr>
                <w:color w:val="000000"/>
                <w:sz w:val="20"/>
                <w:szCs w:val="20"/>
              </w:rPr>
              <w:t>Code Case N</w:t>
            </w:r>
            <w:r w:rsidRPr="004F5401">
              <w:rPr>
                <w:color w:val="000000"/>
                <w:sz w:val="20"/>
                <w:szCs w:val="20"/>
              </w:rPr>
              <w:noBreakHyphen/>
              <w:t>638</w:t>
            </w:r>
            <w:r w:rsidRPr="004F5401">
              <w:rPr>
                <w:rFonts w:eastAsia="Times New Roman"/>
                <w:color w:val="000000"/>
                <w:sz w:val="20"/>
                <w:szCs w:val="20"/>
              </w:rPr>
              <w:noBreakHyphen/>
            </w:r>
            <w:r w:rsidRPr="004F5401">
              <w:rPr>
                <w:color w:val="000000"/>
                <w:sz w:val="20"/>
                <w:szCs w:val="20"/>
              </w:rPr>
              <w:t>6</w:t>
            </w:r>
          </w:p>
        </w:tc>
        <w:tc>
          <w:tcPr>
            <w:tcW w:w="1351" w:type="dxa"/>
            <w:tcBorders>
              <w:top w:val="nil"/>
              <w:left w:val="nil"/>
              <w:bottom w:val="single" w:sz="4" w:space="0" w:color="auto"/>
              <w:right w:val="single" w:sz="4" w:space="0" w:color="auto"/>
            </w:tcBorders>
            <w:shd w:val="clear" w:color="auto" w:fill="auto"/>
            <w:noWrap/>
            <w:vAlign w:val="center"/>
            <w:hideMark/>
          </w:tcPr>
          <w:p w14:paraId="300B8611" w14:textId="08C47295"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($1,457,683)</w:t>
            </w:r>
          </w:p>
        </w:tc>
        <w:tc>
          <w:tcPr>
            <w:tcW w:w="1483" w:type="dxa"/>
            <w:tcBorders>
              <w:top w:val="nil"/>
              <w:left w:val="nil"/>
              <w:bottom w:val="single" w:sz="4" w:space="0" w:color="auto"/>
              <w:right w:val="single" w:sz="4" w:space="0" w:color="auto"/>
            </w:tcBorders>
            <w:shd w:val="clear" w:color="auto" w:fill="auto"/>
            <w:noWrap/>
            <w:vAlign w:val="center"/>
            <w:hideMark/>
          </w:tcPr>
          <w:p w14:paraId="4523088D" w14:textId="24F29A97"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($49,514)</w:t>
            </w:r>
          </w:p>
        </w:tc>
        <w:tc>
          <w:tcPr>
            <w:tcW w:w="1461" w:type="dxa"/>
            <w:tcBorders>
              <w:top w:val="nil"/>
              <w:left w:val="nil"/>
              <w:bottom w:val="single" w:sz="4" w:space="0" w:color="auto"/>
              <w:right w:val="single" w:sz="4" w:space="0" w:color="auto"/>
            </w:tcBorders>
            <w:shd w:val="clear" w:color="auto" w:fill="auto"/>
            <w:noWrap/>
            <w:vAlign w:val="center"/>
            <w:hideMark/>
          </w:tcPr>
          <w:p w14:paraId="6C0BE2E9"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581" w:type="dxa"/>
            <w:tcBorders>
              <w:top w:val="nil"/>
              <w:left w:val="nil"/>
              <w:bottom w:val="single" w:sz="4" w:space="0" w:color="auto"/>
              <w:right w:val="single" w:sz="4" w:space="0" w:color="auto"/>
            </w:tcBorders>
            <w:shd w:val="clear" w:color="auto" w:fill="auto"/>
            <w:noWrap/>
            <w:vAlign w:val="center"/>
            <w:hideMark/>
          </w:tcPr>
          <w:p w14:paraId="1F0CEEBF" w14:textId="3DDE0B26"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($1,507,198)</w:t>
            </w:r>
          </w:p>
        </w:tc>
        <w:tc>
          <w:tcPr>
            <w:tcW w:w="1351" w:type="dxa"/>
            <w:tcBorders>
              <w:top w:val="nil"/>
              <w:left w:val="nil"/>
              <w:bottom w:val="single" w:sz="4" w:space="0" w:color="auto"/>
              <w:right w:val="single" w:sz="4" w:space="0" w:color="auto"/>
            </w:tcBorders>
            <w:shd w:val="clear" w:color="auto" w:fill="auto"/>
            <w:noWrap/>
            <w:vAlign w:val="center"/>
            <w:hideMark/>
          </w:tcPr>
          <w:p w14:paraId="4E2FD0A8" w14:textId="67B4B0B7"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($1,155,138)</w:t>
            </w:r>
          </w:p>
        </w:tc>
        <w:tc>
          <w:tcPr>
            <w:tcW w:w="1351" w:type="dxa"/>
            <w:tcBorders>
              <w:top w:val="nil"/>
              <w:left w:val="nil"/>
              <w:bottom w:val="single" w:sz="4" w:space="0" w:color="auto"/>
              <w:right w:val="single" w:sz="4" w:space="0" w:color="auto"/>
            </w:tcBorders>
            <w:shd w:val="clear" w:color="auto" w:fill="auto"/>
            <w:noWrap/>
            <w:vAlign w:val="center"/>
            <w:hideMark/>
          </w:tcPr>
          <w:p w14:paraId="1B648A82" w14:textId="192E53F6"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($1,340,310)</w:t>
            </w:r>
          </w:p>
        </w:tc>
      </w:tr>
      <w:tr w:rsidR="000617C0" w:rsidRPr="00982DB4" w14:paraId="3D60E01A" w14:textId="77777777" w:rsidTr="004F5401">
        <w:trPr>
          <w:trHeight w:val="290"/>
          <w:jc w:val="center"/>
        </w:trPr>
        <w:tc>
          <w:tcPr>
            <w:tcW w:w="1508" w:type="dxa"/>
            <w:tcBorders>
              <w:top w:val="nil"/>
              <w:left w:val="single" w:sz="4" w:space="0" w:color="auto"/>
              <w:bottom w:val="single" w:sz="4" w:space="0" w:color="auto"/>
              <w:right w:val="single" w:sz="4" w:space="0" w:color="auto"/>
            </w:tcBorders>
            <w:shd w:val="clear" w:color="auto" w:fill="auto"/>
            <w:vAlign w:val="center"/>
            <w:hideMark/>
          </w:tcPr>
          <w:p w14:paraId="73306500" w14:textId="5B96148A" w:rsidR="006D426D" w:rsidRPr="004F5401" w:rsidRDefault="006D426D" w:rsidP="00FF0EE8">
            <w:pPr>
              <w:autoSpaceDE/>
              <w:autoSpaceDN/>
              <w:adjustRightInd/>
              <w:spacing w:line="240" w:lineRule="auto"/>
              <w:rPr>
                <w:color w:val="000000"/>
                <w:sz w:val="20"/>
                <w:szCs w:val="20"/>
              </w:rPr>
            </w:pPr>
            <w:r w:rsidRPr="004F5401">
              <w:rPr>
                <w:color w:val="000000"/>
                <w:sz w:val="20"/>
                <w:szCs w:val="20"/>
              </w:rPr>
              <w:t>Code Case N</w:t>
            </w:r>
            <w:r w:rsidRPr="004F5401">
              <w:rPr>
                <w:color w:val="000000"/>
                <w:sz w:val="20"/>
                <w:szCs w:val="20"/>
              </w:rPr>
              <w:noBreakHyphen/>
              <w:t>666</w:t>
            </w:r>
            <w:r w:rsidRPr="004F5401">
              <w:rPr>
                <w:rFonts w:eastAsia="Times New Roman"/>
                <w:color w:val="000000"/>
                <w:sz w:val="20"/>
                <w:szCs w:val="20"/>
              </w:rPr>
              <w:noBreakHyphen/>
            </w:r>
            <w:r w:rsidRPr="004F5401">
              <w:rPr>
                <w:color w:val="000000"/>
                <w:sz w:val="20"/>
                <w:szCs w:val="20"/>
              </w:rPr>
              <w:t>1</w:t>
            </w:r>
          </w:p>
        </w:tc>
        <w:tc>
          <w:tcPr>
            <w:tcW w:w="1351" w:type="dxa"/>
            <w:tcBorders>
              <w:top w:val="nil"/>
              <w:left w:val="nil"/>
              <w:bottom w:val="single" w:sz="4" w:space="0" w:color="auto"/>
              <w:right w:val="single" w:sz="4" w:space="0" w:color="auto"/>
            </w:tcBorders>
            <w:shd w:val="clear" w:color="auto" w:fill="auto"/>
            <w:noWrap/>
            <w:vAlign w:val="center"/>
            <w:hideMark/>
          </w:tcPr>
          <w:p w14:paraId="229FB480" w14:textId="3C433601"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($15,202)</w:t>
            </w:r>
          </w:p>
        </w:tc>
        <w:tc>
          <w:tcPr>
            <w:tcW w:w="1483" w:type="dxa"/>
            <w:tcBorders>
              <w:top w:val="nil"/>
              <w:left w:val="nil"/>
              <w:bottom w:val="single" w:sz="4" w:space="0" w:color="auto"/>
              <w:right w:val="single" w:sz="4" w:space="0" w:color="auto"/>
            </w:tcBorders>
            <w:shd w:val="clear" w:color="auto" w:fill="auto"/>
            <w:noWrap/>
            <w:vAlign w:val="center"/>
            <w:hideMark/>
          </w:tcPr>
          <w:p w14:paraId="63DC63F2"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461" w:type="dxa"/>
            <w:tcBorders>
              <w:top w:val="nil"/>
              <w:left w:val="nil"/>
              <w:bottom w:val="single" w:sz="4" w:space="0" w:color="auto"/>
              <w:right w:val="single" w:sz="4" w:space="0" w:color="auto"/>
            </w:tcBorders>
            <w:shd w:val="clear" w:color="auto" w:fill="auto"/>
            <w:noWrap/>
            <w:vAlign w:val="center"/>
            <w:hideMark/>
          </w:tcPr>
          <w:p w14:paraId="18F325C4"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581" w:type="dxa"/>
            <w:tcBorders>
              <w:top w:val="nil"/>
              <w:left w:val="nil"/>
              <w:bottom w:val="single" w:sz="4" w:space="0" w:color="auto"/>
              <w:right w:val="single" w:sz="4" w:space="0" w:color="auto"/>
            </w:tcBorders>
            <w:shd w:val="clear" w:color="auto" w:fill="auto"/>
            <w:noWrap/>
            <w:vAlign w:val="center"/>
            <w:hideMark/>
          </w:tcPr>
          <w:p w14:paraId="42FC846E" w14:textId="168241CA"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($15,202)</w:t>
            </w:r>
          </w:p>
        </w:tc>
        <w:tc>
          <w:tcPr>
            <w:tcW w:w="1351" w:type="dxa"/>
            <w:tcBorders>
              <w:top w:val="nil"/>
              <w:left w:val="nil"/>
              <w:bottom w:val="single" w:sz="4" w:space="0" w:color="auto"/>
              <w:right w:val="single" w:sz="4" w:space="0" w:color="auto"/>
            </w:tcBorders>
            <w:shd w:val="clear" w:color="auto" w:fill="auto"/>
            <w:noWrap/>
            <w:vAlign w:val="center"/>
            <w:hideMark/>
          </w:tcPr>
          <w:p w14:paraId="6C713A96" w14:textId="31D5D3D5"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($15,202)</w:t>
            </w:r>
          </w:p>
        </w:tc>
        <w:tc>
          <w:tcPr>
            <w:tcW w:w="1351" w:type="dxa"/>
            <w:tcBorders>
              <w:top w:val="nil"/>
              <w:left w:val="nil"/>
              <w:bottom w:val="single" w:sz="4" w:space="0" w:color="auto"/>
              <w:right w:val="single" w:sz="4" w:space="0" w:color="auto"/>
            </w:tcBorders>
            <w:shd w:val="clear" w:color="auto" w:fill="auto"/>
            <w:noWrap/>
            <w:vAlign w:val="center"/>
            <w:hideMark/>
          </w:tcPr>
          <w:p w14:paraId="4EE18966" w14:textId="0AB92C96"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($15,202)</w:t>
            </w:r>
          </w:p>
        </w:tc>
      </w:tr>
      <w:tr w:rsidR="000617C0" w:rsidRPr="00982DB4" w14:paraId="1C124C41" w14:textId="77777777" w:rsidTr="004F5401">
        <w:trPr>
          <w:trHeight w:val="29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48821B50" w14:textId="77777777" w:rsidR="006D426D" w:rsidRPr="004F5401" w:rsidRDefault="006D426D" w:rsidP="00FF0EE8">
            <w:pPr>
              <w:autoSpaceDE/>
              <w:autoSpaceDN/>
              <w:adjustRightInd/>
              <w:spacing w:line="240" w:lineRule="auto"/>
              <w:rPr>
                <w:color w:val="000000"/>
                <w:sz w:val="20"/>
                <w:szCs w:val="20"/>
              </w:rPr>
            </w:pPr>
            <w:r w:rsidRPr="004F5401">
              <w:rPr>
                <w:color w:val="000000"/>
                <w:sz w:val="20"/>
                <w:szCs w:val="20"/>
              </w:rPr>
              <w:t>Code Case N</w:t>
            </w:r>
            <w:r w:rsidRPr="004F5401">
              <w:rPr>
                <w:color w:val="000000"/>
                <w:sz w:val="20"/>
                <w:szCs w:val="20"/>
              </w:rPr>
              <w:noBreakHyphen/>
              <w:t>789</w:t>
            </w:r>
          </w:p>
        </w:tc>
        <w:tc>
          <w:tcPr>
            <w:tcW w:w="1351" w:type="dxa"/>
            <w:tcBorders>
              <w:top w:val="nil"/>
              <w:left w:val="nil"/>
              <w:bottom w:val="single" w:sz="4" w:space="0" w:color="auto"/>
              <w:right w:val="single" w:sz="4" w:space="0" w:color="auto"/>
            </w:tcBorders>
            <w:shd w:val="clear" w:color="auto" w:fill="auto"/>
            <w:noWrap/>
            <w:vAlign w:val="center"/>
            <w:hideMark/>
          </w:tcPr>
          <w:p w14:paraId="425EAC0C" w14:textId="27444136"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($2,047,961)</w:t>
            </w:r>
          </w:p>
        </w:tc>
        <w:tc>
          <w:tcPr>
            <w:tcW w:w="1483" w:type="dxa"/>
            <w:tcBorders>
              <w:top w:val="nil"/>
              <w:left w:val="nil"/>
              <w:bottom w:val="single" w:sz="4" w:space="0" w:color="auto"/>
              <w:right w:val="single" w:sz="4" w:space="0" w:color="auto"/>
            </w:tcBorders>
            <w:shd w:val="clear" w:color="auto" w:fill="auto"/>
            <w:noWrap/>
            <w:vAlign w:val="center"/>
            <w:hideMark/>
          </w:tcPr>
          <w:p w14:paraId="44FB15FC" w14:textId="43D1FEA9"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($96,667)</w:t>
            </w:r>
          </w:p>
        </w:tc>
        <w:tc>
          <w:tcPr>
            <w:tcW w:w="1461" w:type="dxa"/>
            <w:tcBorders>
              <w:top w:val="nil"/>
              <w:left w:val="nil"/>
              <w:bottom w:val="single" w:sz="4" w:space="0" w:color="auto"/>
              <w:right w:val="single" w:sz="4" w:space="0" w:color="auto"/>
            </w:tcBorders>
            <w:shd w:val="clear" w:color="auto" w:fill="auto"/>
            <w:noWrap/>
            <w:vAlign w:val="center"/>
            <w:hideMark/>
          </w:tcPr>
          <w:p w14:paraId="6F874547"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581" w:type="dxa"/>
            <w:tcBorders>
              <w:top w:val="nil"/>
              <w:left w:val="nil"/>
              <w:bottom w:val="single" w:sz="4" w:space="0" w:color="auto"/>
              <w:right w:val="single" w:sz="4" w:space="0" w:color="auto"/>
            </w:tcBorders>
            <w:shd w:val="clear" w:color="auto" w:fill="auto"/>
            <w:noWrap/>
            <w:vAlign w:val="center"/>
            <w:hideMark/>
          </w:tcPr>
          <w:p w14:paraId="3379A1BD" w14:textId="6D2560A3"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($2,144,628)</w:t>
            </w:r>
          </w:p>
        </w:tc>
        <w:tc>
          <w:tcPr>
            <w:tcW w:w="1351" w:type="dxa"/>
            <w:tcBorders>
              <w:top w:val="nil"/>
              <w:left w:val="nil"/>
              <w:bottom w:val="single" w:sz="4" w:space="0" w:color="auto"/>
              <w:right w:val="single" w:sz="4" w:space="0" w:color="auto"/>
            </w:tcBorders>
            <w:shd w:val="clear" w:color="auto" w:fill="auto"/>
            <w:noWrap/>
            <w:vAlign w:val="center"/>
            <w:hideMark/>
          </w:tcPr>
          <w:p w14:paraId="5C3EADB2" w14:textId="6E69C712"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($1,754,897)</w:t>
            </w:r>
          </w:p>
        </w:tc>
        <w:tc>
          <w:tcPr>
            <w:tcW w:w="1351" w:type="dxa"/>
            <w:tcBorders>
              <w:top w:val="nil"/>
              <w:left w:val="nil"/>
              <w:bottom w:val="single" w:sz="4" w:space="0" w:color="auto"/>
              <w:right w:val="single" w:sz="4" w:space="0" w:color="auto"/>
            </w:tcBorders>
            <w:shd w:val="clear" w:color="auto" w:fill="auto"/>
            <w:noWrap/>
            <w:vAlign w:val="center"/>
            <w:hideMark/>
          </w:tcPr>
          <w:p w14:paraId="6B9A5DED" w14:textId="01B5083A"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($1,962,465)</w:t>
            </w:r>
          </w:p>
        </w:tc>
      </w:tr>
      <w:tr w:rsidR="000617C0" w:rsidRPr="00982DB4" w14:paraId="2F86759B" w14:textId="77777777" w:rsidTr="004F5401">
        <w:trPr>
          <w:trHeight w:val="29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05041689" w14:textId="77777777" w:rsidR="006D426D" w:rsidRPr="004F5401" w:rsidRDefault="006D426D" w:rsidP="00FF0EE8">
            <w:pPr>
              <w:autoSpaceDE/>
              <w:autoSpaceDN/>
              <w:adjustRightInd/>
              <w:spacing w:line="240" w:lineRule="auto"/>
              <w:rPr>
                <w:color w:val="000000"/>
                <w:sz w:val="20"/>
                <w:szCs w:val="20"/>
              </w:rPr>
            </w:pPr>
            <w:r w:rsidRPr="004F5401">
              <w:rPr>
                <w:color w:val="000000"/>
                <w:sz w:val="20"/>
                <w:szCs w:val="20"/>
              </w:rPr>
              <w:t>Code Case N</w:t>
            </w:r>
            <w:r w:rsidRPr="004F5401">
              <w:rPr>
                <w:color w:val="000000"/>
                <w:sz w:val="20"/>
                <w:szCs w:val="20"/>
              </w:rPr>
              <w:noBreakHyphen/>
              <w:t>795</w:t>
            </w:r>
          </w:p>
        </w:tc>
        <w:tc>
          <w:tcPr>
            <w:tcW w:w="1351" w:type="dxa"/>
            <w:tcBorders>
              <w:top w:val="nil"/>
              <w:left w:val="nil"/>
              <w:bottom w:val="single" w:sz="4" w:space="0" w:color="auto"/>
              <w:right w:val="single" w:sz="4" w:space="0" w:color="auto"/>
            </w:tcBorders>
            <w:shd w:val="clear" w:color="auto" w:fill="auto"/>
            <w:noWrap/>
            <w:vAlign w:val="center"/>
            <w:hideMark/>
          </w:tcPr>
          <w:p w14:paraId="08E12CBC" w14:textId="13FB71D9"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($2,827)</w:t>
            </w:r>
          </w:p>
        </w:tc>
        <w:tc>
          <w:tcPr>
            <w:tcW w:w="1483" w:type="dxa"/>
            <w:tcBorders>
              <w:top w:val="nil"/>
              <w:left w:val="nil"/>
              <w:bottom w:val="single" w:sz="4" w:space="0" w:color="auto"/>
              <w:right w:val="single" w:sz="4" w:space="0" w:color="auto"/>
            </w:tcBorders>
            <w:shd w:val="clear" w:color="auto" w:fill="auto"/>
            <w:noWrap/>
            <w:vAlign w:val="center"/>
            <w:hideMark/>
          </w:tcPr>
          <w:p w14:paraId="417DED28"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461" w:type="dxa"/>
            <w:tcBorders>
              <w:top w:val="nil"/>
              <w:left w:val="nil"/>
              <w:bottom w:val="single" w:sz="4" w:space="0" w:color="auto"/>
              <w:right w:val="single" w:sz="4" w:space="0" w:color="auto"/>
            </w:tcBorders>
            <w:shd w:val="clear" w:color="auto" w:fill="auto"/>
            <w:noWrap/>
            <w:vAlign w:val="center"/>
            <w:hideMark/>
          </w:tcPr>
          <w:p w14:paraId="16FFEE9A" w14:textId="54890408"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($1,018,000)</w:t>
            </w:r>
          </w:p>
        </w:tc>
        <w:tc>
          <w:tcPr>
            <w:tcW w:w="1581" w:type="dxa"/>
            <w:tcBorders>
              <w:top w:val="nil"/>
              <w:left w:val="nil"/>
              <w:bottom w:val="single" w:sz="4" w:space="0" w:color="auto"/>
              <w:right w:val="single" w:sz="4" w:space="0" w:color="auto"/>
            </w:tcBorders>
            <w:shd w:val="clear" w:color="auto" w:fill="auto"/>
            <w:noWrap/>
            <w:vAlign w:val="center"/>
            <w:hideMark/>
          </w:tcPr>
          <w:p w14:paraId="73713FF7" w14:textId="0A17FF9A"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($1,020,827)</w:t>
            </w:r>
          </w:p>
        </w:tc>
        <w:tc>
          <w:tcPr>
            <w:tcW w:w="1351" w:type="dxa"/>
            <w:tcBorders>
              <w:top w:val="nil"/>
              <w:left w:val="nil"/>
              <w:bottom w:val="single" w:sz="4" w:space="0" w:color="auto"/>
              <w:right w:val="single" w:sz="4" w:space="0" w:color="auto"/>
            </w:tcBorders>
            <w:shd w:val="clear" w:color="auto" w:fill="auto"/>
            <w:noWrap/>
            <w:vAlign w:val="center"/>
            <w:hideMark/>
          </w:tcPr>
          <w:p w14:paraId="5AAFE582" w14:textId="2E8C42B5"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($837,319)</w:t>
            </w:r>
          </w:p>
        </w:tc>
        <w:tc>
          <w:tcPr>
            <w:tcW w:w="1351" w:type="dxa"/>
            <w:tcBorders>
              <w:top w:val="nil"/>
              <w:left w:val="nil"/>
              <w:bottom w:val="single" w:sz="4" w:space="0" w:color="auto"/>
              <w:right w:val="single" w:sz="4" w:space="0" w:color="auto"/>
            </w:tcBorders>
            <w:shd w:val="clear" w:color="auto" w:fill="auto"/>
            <w:noWrap/>
            <w:vAlign w:val="center"/>
            <w:hideMark/>
          </w:tcPr>
          <w:p w14:paraId="290492F4" w14:textId="3A1AB233"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($935,590)</w:t>
            </w:r>
          </w:p>
        </w:tc>
      </w:tr>
      <w:tr w:rsidR="000617C0" w:rsidRPr="00982DB4" w14:paraId="151644C0" w14:textId="77777777" w:rsidTr="004F5401">
        <w:trPr>
          <w:trHeight w:val="29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545A826A" w14:textId="77777777" w:rsidR="006D426D" w:rsidRPr="004F5401" w:rsidRDefault="006D426D" w:rsidP="00FF0EE8">
            <w:pPr>
              <w:autoSpaceDE/>
              <w:autoSpaceDN/>
              <w:adjustRightInd/>
              <w:spacing w:line="240" w:lineRule="auto"/>
              <w:rPr>
                <w:color w:val="000000"/>
                <w:sz w:val="20"/>
                <w:szCs w:val="20"/>
              </w:rPr>
            </w:pPr>
            <w:r w:rsidRPr="004F5401">
              <w:rPr>
                <w:color w:val="000000"/>
                <w:sz w:val="20"/>
                <w:szCs w:val="20"/>
              </w:rPr>
              <w:t>Code Case N</w:t>
            </w:r>
            <w:r w:rsidRPr="004F5401">
              <w:rPr>
                <w:color w:val="000000"/>
                <w:sz w:val="20"/>
                <w:szCs w:val="20"/>
              </w:rPr>
              <w:noBreakHyphen/>
              <w:t>799</w:t>
            </w:r>
          </w:p>
        </w:tc>
        <w:tc>
          <w:tcPr>
            <w:tcW w:w="1351" w:type="dxa"/>
            <w:tcBorders>
              <w:top w:val="nil"/>
              <w:left w:val="nil"/>
              <w:bottom w:val="single" w:sz="4" w:space="0" w:color="auto"/>
              <w:right w:val="single" w:sz="4" w:space="0" w:color="auto"/>
            </w:tcBorders>
            <w:shd w:val="clear" w:color="auto" w:fill="auto"/>
            <w:noWrap/>
            <w:vAlign w:val="center"/>
            <w:hideMark/>
          </w:tcPr>
          <w:p w14:paraId="2F4A04CF" w14:textId="1D55DEB2"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($36,700)</w:t>
            </w:r>
          </w:p>
        </w:tc>
        <w:tc>
          <w:tcPr>
            <w:tcW w:w="1483" w:type="dxa"/>
            <w:tcBorders>
              <w:top w:val="nil"/>
              <w:left w:val="nil"/>
              <w:bottom w:val="single" w:sz="4" w:space="0" w:color="auto"/>
              <w:right w:val="single" w:sz="4" w:space="0" w:color="auto"/>
            </w:tcBorders>
            <w:shd w:val="clear" w:color="auto" w:fill="auto"/>
            <w:noWrap/>
            <w:vAlign w:val="center"/>
            <w:hideMark/>
          </w:tcPr>
          <w:p w14:paraId="45A74D0B" w14:textId="61E86E1E"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($250)</w:t>
            </w:r>
          </w:p>
        </w:tc>
        <w:tc>
          <w:tcPr>
            <w:tcW w:w="1461" w:type="dxa"/>
            <w:tcBorders>
              <w:top w:val="nil"/>
              <w:left w:val="nil"/>
              <w:bottom w:val="single" w:sz="4" w:space="0" w:color="auto"/>
              <w:right w:val="single" w:sz="4" w:space="0" w:color="auto"/>
            </w:tcBorders>
            <w:shd w:val="clear" w:color="auto" w:fill="auto"/>
            <w:noWrap/>
            <w:vAlign w:val="center"/>
            <w:hideMark/>
          </w:tcPr>
          <w:p w14:paraId="3E4382A7"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581" w:type="dxa"/>
            <w:tcBorders>
              <w:top w:val="nil"/>
              <w:left w:val="nil"/>
              <w:bottom w:val="single" w:sz="4" w:space="0" w:color="auto"/>
              <w:right w:val="single" w:sz="4" w:space="0" w:color="auto"/>
            </w:tcBorders>
            <w:shd w:val="clear" w:color="auto" w:fill="auto"/>
            <w:noWrap/>
            <w:vAlign w:val="center"/>
            <w:hideMark/>
          </w:tcPr>
          <w:p w14:paraId="3EF80A79" w14:textId="0F5164CB"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($36,950)</w:t>
            </w:r>
          </w:p>
        </w:tc>
        <w:tc>
          <w:tcPr>
            <w:tcW w:w="1351" w:type="dxa"/>
            <w:tcBorders>
              <w:top w:val="nil"/>
              <w:left w:val="nil"/>
              <w:bottom w:val="single" w:sz="4" w:space="0" w:color="auto"/>
              <w:right w:val="single" w:sz="4" w:space="0" w:color="auto"/>
            </w:tcBorders>
            <w:shd w:val="clear" w:color="auto" w:fill="auto"/>
            <w:noWrap/>
            <w:vAlign w:val="center"/>
            <w:hideMark/>
          </w:tcPr>
          <w:p w14:paraId="4CB69A93" w14:textId="1BFDCD65"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($26,492)</w:t>
            </w:r>
          </w:p>
        </w:tc>
        <w:tc>
          <w:tcPr>
            <w:tcW w:w="1351" w:type="dxa"/>
            <w:tcBorders>
              <w:top w:val="nil"/>
              <w:left w:val="nil"/>
              <w:bottom w:val="single" w:sz="4" w:space="0" w:color="auto"/>
              <w:right w:val="single" w:sz="4" w:space="0" w:color="auto"/>
            </w:tcBorders>
            <w:shd w:val="clear" w:color="auto" w:fill="auto"/>
            <w:noWrap/>
            <w:vAlign w:val="center"/>
            <w:hideMark/>
          </w:tcPr>
          <w:p w14:paraId="1454D258" w14:textId="67C0462E"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($31,822)</w:t>
            </w:r>
          </w:p>
        </w:tc>
      </w:tr>
      <w:tr w:rsidR="000617C0" w:rsidRPr="00982DB4" w14:paraId="1AD2B43F" w14:textId="77777777" w:rsidTr="004F5401">
        <w:trPr>
          <w:trHeight w:val="29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14:paraId="125837DE" w14:textId="77777777" w:rsidR="006D426D" w:rsidRPr="004F5401" w:rsidRDefault="006D426D" w:rsidP="00FF0EE8">
            <w:pPr>
              <w:autoSpaceDE/>
              <w:autoSpaceDN/>
              <w:adjustRightInd/>
              <w:spacing w:line="240" w:lineRule="auto"/>
              <w:rPr>
                <w:color w:val="000000"/>
                <w:sz w:val="20"/>
                <w:szCs w:val="20"/>
              </w:rPr>
            </w:pPr>
            <w:r w:rsidRPr="004F5401">
              <w:rPr>
                <w:color w:val="000000"/>
                <w:sz w:val="20"/>
                <w:szCs w:val="20"/>
              </w:rPr>
              <w:t>Code Case OMN</w:t>
            </w:r>
            <w:r w:rsidRPr="004F5401">
              <w:rPr>
                <w:color w:val="000000"/>
                <w:sz w:val="20"/>
                <w:szCs w:val="20"/>
              </w:rPr>
              <w:noBreakHyphen/>
              <w:t>19</w:t>
            </w:r>
          </w:p>
        </w:tc>
        <w:tc>
          <w:tcPr>
            <w:tcW w:w="1351" w:type="dxa"/>
            <w:tcBorders>
              <w:top w:val="nil"/>
              <w:left w:val="nil"/>
              <w:bottom w:val="single" w:sz="4" w:space="0" w:color="auto"/>
              <w:right w:val="single" w:sz="4" w:space="0" w:color="auto"/>
            </w:tcBorders>
            <w:shd w:val="clear" w:color="auto" w:fill="auto"/>
            <w:noWrap/>
            <w:vAlign w:val="center"/>
            <w:hideMark/>
          </w:tcPr>
          <w:p w14:paraId="5D640960" w14:textId="0914AA9D"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 xml:space="preserve">$280,855 </w:t>
            </w:r>
          </w:p>
        </w:tc>
        <w:tc>
          <w:tcPr>
            <w:tcW w:w="1483" w:type="dxa"/>
            <w:tcBorders>
              <w:top w:val="nil"/>
              <w:left w:val="nil"/>
              <w:bottom w:val="single" w:sz="4" w:space="0" w:color="auto"/>
              <w:right w:val="single" w:sz="4" w:space="0" w:color="auto"/>
            </w:tcBorders>
            <w:shd w:val="clear" w:color="auto" w:fill="auto"/>
            <w:noWrap/>
            <w:vAlign w:val="center"/>
            <w:hideMark/>
          </w:tcPr>
          <w:p w14:paraId="61C89DE3"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461" w:type="dxa"/>
            <w:tcBorders>
              <w:top w:val="nil"/>
              <w:left w:val="nil"/>
              <w:bottom w:val="single" w:sz="4" w:space="0" w:color="auto"/>
              <w:right w:val="single" w:sz="4" w:space="0" w:color="auto"/>
            </w:tcBorders>
            <w:shd w:val="clear" w:color="auto" w:fill="auto"/>
            <w:noWrap/>
            <w:vAlign w:val="center"/>
            <w:hideMark/>
          </w:tcPr>
          <w:p w14:paraId="685DEA86" w14:textId="77777777" w:rsidR="006D426D" w:rsidRPr="004F5401" w:rsidRDefault="006D426D" w:rsidP="00FF0EE8">
            <w:pPr>
              <w:autoSpaceDE/>
              <w:autoSpaceDN/>
              <w:adjustRightInd/>
              <w:spacing w:line="240" w:lineRule="auto"/>
              <w:jc w:val="center"/>
              <w:rPr>
                <w:color w:val="000000" w:themeColor="text1"/>
                <w:sz w:val="20"/>
                <w:szCs w:val="20"/>
              </w:rPr>
            </w:pPr>
          </w:p>
        </w:tc>
        <w:tc>
          <w:tcPr>
            <w:tcW w:w="1581" w:type="dxa"/>
            <w:tcBorders>
              <w:top w:val="nil"/>
              <w:left w:val="nil"/>
              <w:bottom w:val="single" w:sz="4" w:space="0" w:color="auto"/>
              <w:right w:val="single" w:sz="4" w:space="0" w:color="auto"/>
            </w:tcBorders>
            <w:shd w:val="clear" w:color="auto" w:fill="auto"/>
            <w:noWrap/>
            <w:vAlign w:val="center"/>
            <w:hideMark/>
          </w:tcPr>
          <w:p w14:paraId="75FB0772" w14:textId="122DAD6B"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 xml:space="preserve">$280,855 </w:t>
            </w:r>
          </w:p>
        </w:tc>
        <w:tc>
          <w:tcPr>
            <w:tcW w:w="1351" w:type="dxa"/>
            <w:tcBorders>
              <w:top w:val="nil"/>
              <w:left w:val="nil"/>
              <w:bottom w:val="single" w:sz="4" w:space="0" w:color="auto"/>
              <w:right w:val="single" w:sz="4" w:space="0" w:color="auto"/>
            </w:tcBorders>
            <w:shd w:val="clear" w:color="auto" w:fill="auto"/>
            <w:noWrap/>
            <w:vAlign w:val="center"/>
            <w:hideMark/>
          </w:tcPr>
          <w:p w14:paraId="3A59886A" w14:textId="4AF9BE24"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 xml:space="preserve">$215,573 </w:t>
            </w:r>
          </w:p>
        </w:tc>
        <w:tc>
          <w:tcPr>
            <w:tcW w:w="1351" w:type="dxa"/>
            <w:tcBorders>
              <w:top w:val="nil"/>
              <w:left w:val="nil"/>
              <w:bottom w:val="single" w:sz="4" w:space="0" w:color="auto"/>
              <w:right w:val="single" w:sz="4" w:space="0" w:color="auto"/>
            </w:tcBorders>
            <w:shd w:val="clear" w:color="auto" w:fill="auto"/>
            <w:noWrap/>
            <w:vAlign w:val="center"/>
            <w:hideMark/>
          </w:tcPr>
          <w:p w14:paraId="17D328D8" w14:textId="2732BF1D" w:rsidR="006D426D" w:rsidRPr="004F5401" w:rsidRDefault="006D426D" w:rsidP="00FF0EE8">
            <w:pPr>
              <w:autoSpaceDE/>
              <w:autoSpaceDN/>
              <w:adjustRightInd/>
              <w:spacing w:line="240" w:lineRule="auto"/>
              <w:jc w:val="center"/>
              <w:rPr>
                <w:color w:val="000000" w:themeColor="text1"/>
                <w:sz w:val="20"/>
                <w:szCs w:val="20"/>
              </w:rPr>
            </w:pPr>
            <w:r w:rsidRPr="004F5401">
              <w:rPr>
                <w:sz w:val="20"/>
                <w:szCs w:val="20"/>
              </w:rPr>
              <w:t xml:space="preserve">$249,827 </w:t>
            </w:r>
          </w:p>
        </w:tc>
      </w:tr>
      <w:tr w:rsidR="000617C0" w:rsidRPr="00982DB4" w14:paraId="3413EE35" w14:textId="77777777" w:rsidTr="004F5401">
        <w:trPr>
          <w:trHeight w:val="302"/>
          <w:jc w:val="center"/>
        </w:trPr>
        <w:tc>
          <w:tcPr>
            <w:tcW w:w="580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99D32" w14:textId="31C5D4E4" w:rsidR="006D426D" w:rsidRPr="004F5401" w:rsidRDefault="00757F1A" w:rsidP="00FF0EE8">
            <w:pPr>
              <w:autoSpaceDE/>
              <w:autoSpaceDN/>
              <w:adjustRightInd/>
              <w:spacing w:line="240" w:lineRule="auto"/>
              <w:jc w:val="right"/>
              <w:rPr>
                <w:b/>
                <w:color w:val="000000"/>
                <w:sz w:val="20"/>
                <w:szCs w:val="20"/>
              </w:rPr>
            </w:pPr>
            <w:r>
              <w:rPr>
                <w:b/>
                <w:color w:val="000000"/>
                <w:sz w:val="20"/>
                <w:szCs w:val="20"/>
              </w:rPr>
              <w:t>Total</w:t>
            </w:r>
          </w:p>
        </w:tc>
        <w:tc>
          <w:tcPr>
            <w:tcW w:w="1581" w:type="dxa"/>
            <w:tcBorders>
              <w:top w:val="nil"/>
              <w:left w:val="nil"/>
              <w:bottom w:val="single" w:sz="4" w:space="0" w:color="auto"/>
              <w:right w:val="single" w:sz="4" w:space="0" w:color="auto"/>
            </w:tcBorders>
            <w:shd w:val="clear" w:color="auto" w:fill="auto"/>
            <w:noWrap/>
            <w:vAlign w:val="center"/>
            <w:hideMark/>
          </w:tcPr>
          <w:p w14:paraId="28F04582" w14:textId="39CE7BFC" w:rsidR="006D426D" w:rsidRPr="004F5401" w:rsidRDefault="006D426D" w:rsidP="00FF0EE8">
            <w:pPr>
              <w:autoSpaceDE/>
              <w:autoSpaceDN/>
              <w:adjustRightInd/>
              <w:spacing w:line="240" w:lineRule="auto"/>
              <w:jc w:val="center"/>
              <w:rPr>
                <w:b/>
                <w:color w:val="000000"/>
                <w:sz w:val="20"/>
                <w:szCs w:val="20"/>
              </w:rPr>
            </w:pPr>
            <w:r w:rsidRPr="004F5401">
              <w:rPr>
                <w:b/>
                <w:sz w:val="20"/>
                <w:szCs w:val="20"/>
              </w:rPr>
              <w:t xml:space="preserve">$3,247,000 </w:t>
            </w:r>
          </w:p>
        </w:tc>
        <w:tc>
          <w:tcPr>
            <w:tcW w:w="1351" w:type="dxa"/>
            <w:tcBorders>
              <w:top w:val="nil"/>
              <w:left w:val="nil"/>
              <w:bottom w:val="single" w:sz="4" w:space="0" w:color="auto"/>
              <w:right w:val="single" w:sz="4" w:space="0" w:color="auto"/>
            </w:tcBorders>
            <w:shd w:val="clear" w:color="auto" w:fill="auto"/>
            <w:noWrap/>
            <w:vAlign w:val="center"/>
            <w:hideMark/>
          </w:tcPr>
          <w:p w14:paraId="24A74480" w14:textId="19277EBA" w:rsidR="006D426D" w:rsidRPr="004F5401" w:rsidRDefault="006D426D" w:rsidP="00FF0EE8">
            <w:pPr>
              <w:autoSpaceDE/>
              <w:autoSpaceDN/>
              <w:adjustRightInd/>
              <w:spacing w:line="240" w:lineRule="auto"/>
              <w:jc w:val="center"/>
              <w:rPr>
                <w:b/>
                <w:color w:val="000000"/>
                <w:sz w:val="20"/>
                <w:szCs w:val="20"/>
              </w:rPr>
            </w:pPr>
            <w:r w:rsidRPr="004F5401">
              <w:rPr>
                <w:b/>
                <w:sz w:val="20"/>
                <w:szCs w:val="20"/>
              </w:rPr>
              <w:t xml:space="preserve">$2,417,000 </w:t>
            </w:r>
          </w:p>
        </w:tc>
        <w:tc>
          <w:tcPr>
            <w:tcW w:w="1351" w:type="dxa"/>
            <w:tcBorders>
              <w:top w:val="nil"/>
              <w:left w:val="nil"/>
              <w:bottom w:val="single" w:sz="4" w:space="0" w:color="auto"/>
              <w:right w:val="single" w:sz="4" w:space="0" w:color="auto"/>
            </w:tcBorders>
            <w:shd w:val="clear" w:color="auto" w:fill="auto"/>
            <w:noWrap/>
            <w:vAlign w:val="center"/>
            <w:hideMark/>
          </w:tcPr>
          <w:p w14:paraId="3FFBA5C9" w14:textId="681BF93D" w:rsidR="006D426D" w:rsidRPr="004F5401" w:rsidRDefault="006D426D" w:rsidP="00FF0EE8">
            <w:pPr>
              <w:autoSpaceDE/>
              <w:autoSpaceDN/>
              <w:adjustRightInd/>
              <w:spacing w:line="240" w:lineRule="auto"/>
              <w:jc w:val="center"/>
              <w:rPr>
                <w:b/>
                <w:color w:val="000000"/>
                <w:sz w:val="20"/>
                <w:szCs w:val="20"/>
              </w:rPr>
            </w:pPr>
            <w:r w:rsidRPr="004F5401">
              <w:rPr>
                <w:b/>
                <w:sz w:val="20"/>
                <w:szCs w:val="20"/>
              </w:rPr>
              <w:t xml:space="preserve">$2,865,000 </w:t>
            </w:r>
          </w:p>
        </w:tc>
      </w:tr>
    </w:tbl>
    <w:p w14:paraId="7BA62717" w14:textId="450BA68C" w:rsidR="00F834D9" w:rsidRDefault="007811F7" w:rsidP="00FF0EE8">
      <w:pPr>
        <w:spacing w:line="240" w:lineRule="auto"/>
        <w:ind w:hanging="720"/>
        <w:rPr>
          <w:sz w:val="18"/>
        </w:rPr>
      </w:pPr>
      <w:r>
        <w:rPr>
          <w:sz w:val="18"/>
        </w:rPr>
        <w:t>*</w:t>
      </w:r>
      <w:r w:rsidR="00F834D9" w:rsidRPr="007B793C">
        <w:rPr>
          <w:sz w:val="18"/>
        </w:rPr>
        <w:t xml:space="preserve"> </w:t>
      </w:r>
      <w:r w:rsidR="00AE7202">
        <w:rPr>
          <w:sz w:val="18"/>
        </w:rPr>
        <w:t>Rounding</w:t>
      </w:r>
      <w:r w:rsidR="00AE7202" w:rsidRPr="007B793C">
        <w:rPr>
          <w:sz w:val="18"/>
        </w:rPr>
        <w:t xml:space="preserve"> </w:t>
      </w:r>
      <w:r w:rsidR="00F834D9" w:rsidRPr="007B793C">
        <w:rPr>
          <w:sz w:val="18"/>
        </w:rPr>
        <w:t xml:space="preserve">may </w:t>
      </w:r>
      <w:r w:rsidR="00AE7202">
        <w:rPr>
          <w:sz w:val="18"/>
        </w:rPr>
        <w:t>have caused</w:t>
      </w:r>
      <w:r w:rsidR="00AE7202" w:rsidRPr="007B793C">
        <w:rPr>
          <w:sz w:val="18"/>
        </w:rPr>
        <w:t xml:space="preserve"> </w:t>
      </w:r>
      <w:r w:rsidR="00F834D9" w:rsidRPr="007B793C">
        <w:rPr>
          <w:sz w:val="18"/>
        </w:rPr>
        <w:t xml:space="preserve">discrepancies in </w:t>
      </w:r>
      <w:r w:rsidR="00AE7202">
        <w:rPr>
          <w:sz w:val="18"/>
        </w:rPr>
        <w:t xml:space="preserve">the </w:t>
      </w:r>
      <w:r w:rsidR="00F834D9" w:rsidRPr="007B793C">
        <w:rPr>
          <w:sz w:val="18"/>
        </w:rPr>
        <w:t>calculations.</w:t>
      </w:r>
    </w:p>
    <w:p w14:paraId="30369445" w14:textId="77777777" w:rsidR="005E61EB" w:rsidRDefault="00F834D9" w:rsidP="00FF0EE8">
      <w:pPr>
        <w:spacing w:line="240" w:lineRule="auto"/>
        <w:ind w:hanging="720"/>
        <w:rPr>
          <w:sz w:val="18"/>
        </w:rPr>
      </w:pPr>
      <w:r>
        <w:rPr>
          <w:sz w:val="18"/>
        </w:rPr>
        <w:t>** All values are in 201</w:t>
      </w:r>
      <w:r w:rsidR="00537A16">
        <w:rPr>
          <w:sz w:val="18"/>
        </w:rPr>
        <w:t>7</w:t>
      </w:r>
      <w:r>
        <w:rPr>
          <w:sz w:val="18"/>
        </w:rPr>
        <w:t xml:space="preserve"> dollars</w:t>
      </w:r>
      <w:r w:rsidR="00011F7C">
        <w:rPr>
          <w:sz w:val="18"/>
        </w:rPr>
        <w:t>.</w:t>
      </w:r>
    </w:p>
    <w:p w14:paraId="38E2D8BC" w14:textId="77777777" w:rsidR="00F75A58" w:rsidRPr="00BD3549" w:rsidRDefault="00931502" w:rsidP="00FF0EE8">
      <w:pPr>
        <w:pStyle w:val="Heading2"/>
        <w:spacing w:line="240" w:lineRule="auto"/>
        <w:ind w:left="540" w:hanging="522"/>
      </w:pPr>
      <w:bookmarkStart w:id="219" w:name="_Toc462224970"/>
      <w:bookmarkStart w:id="220" w:name="_Toc468875929"/>
      <w:r w:rsidRPr="00BD3549">
        <w:t>NRC Implementation</w:t>
      </w:r>
      <w:bookmarkEnd w:id="219"/>
      <w:bookmarkEnd w:id="220"/>
    </w:p>
    <w:p w14:paraId="71A16A94" w14:textId="77777777" w:rsidR="00931502" w:rsidRPr="00BD3549" w:rsidRDefault="00931502" w:rsidP="00FF0EE8">
      <w:pPr>
        <w:keepNext/>
        <w:spacing w:line="240" w:lineRule="auto"/>
      </w:pPr>
    </w:p>
    <w:p w14:paraId="58829824" w14:textId="512FABED" w:rsidR="00EB420F" w:rsidRPr="00A06F1B" w:rsidRDefault="00542221" w:rsidP="00FF0EE8">
      <w:pPr>
        <w:spacing w:line="240" w:lineRule="auto"/>
      </w:pPr>
      <w:r>
        <w:t xml:space="preserve">The NRC has no implementation costs for </w:t>
      </w:r>
      <w:r w:rsidR="00C3787C">
        <w:t>a</w:t>
      </w:r>
      <w:r w:rsidR="00EF0E35">
        <w:t>lternative</w:t>
      </w:r>
      <w:r w:rsidR="008E4562">
        <w:t> </w:t>
      </w:r>
      <w:r w:rsidR="00EF0E35">
        <w:t>2</w:t>
      </w:r>
      <w:r w:rsidR="00A06F1B">
        <w:t>.</w:t>
      </w:r>
    </w:p>
    <w:p w14:paraId="251377F8" w14:textId="77777777" w:rsidR="00825CE6" w:rsidRDefault="003B79FF" w:rsidP="00FF0EE8">
      <w:pPr>
        <w:pStyle w:val="Heading2"/>
        <w:spacing w:line="240" w:lineRule="auto"/>
        <w:ind w:left="540" w:hanging="522"/>
      </w:pPr>
      <w:bookmarkStart w:id="221" w:name="_Toc462224971"/>
      <w:bookmarkStart w:id="222" w:name="_Toc468875930"/>
      <w:r>
        <w:t>NRC Operation</w:t>
      </w:r>
      <w:bookmarkEnd w:id="221"/>
      <w:bookmarkEnd w:id="222"/>
    </w:p>
    <w:p w14:paraId="76EE253B" w14:textId="77777777" w:rsidR="00825CE6" w:rsidRDefault="00825CE6" w:rsidP="00FF0EE8">
      <w:pPr>
        <w:keepNext/>
        <w:spacing w:line="240" w:lineRule="auto"/>
      </w:pPr>
    </w:p>
    <w:p w14:paraId="291734DB" w14:textId="1F791856" w:rsidR="00825CE6" w:rsidRDefault="00825CE6" w:rsidP="00FF0EE8">
      <w:pPr>
        <w:spacing w:line="240" w:lineRule="auto"/>
      </w:pPr>
      <w:r>
        <w:t>When the NRC receives a</w:t>
      </w:r>
      <w:r w:rsidR="00740E37">
        <w:t>n ASME</w:t>
      </w:r>
      <w:r>
        <w:t xml:space="preserve"> Code </w:t>
      </w:r>
      <w:r w:rsidR="001C19EA">
        <w:t>Case</w:t>
      </w:r>
      <w:r>
        <w:t xml:space="preserve"> alternative request, the </w:t>
      </w:r>
      <w:r w:rsidR="008E4562">
        <w:t xml:space="preserve">agency </w:t>
      </w:r>
      <w:r>
        <w:t xml:space="preserve">requires additional NRC staff time to evaluate the acceptability of the request relative to </w:t>
      </w:r>
      <w:r w:rsidR="008E4562">
        <w:t>currently NRC</w:t>
      </w:r>
      <w:r w:rsidR="008E4562">
        <w:noBreakHyphen/>
        <w:t>approved</w:t>
      </w:r>
      <w:r w:rsidR="008E4562" w:rsidDel="008E4562">
        <w:t xml:space="preserve"> </w:t>
      </w:r>
      <w:r>
        <w:t xml:space="preserve">criteria.  Under </w:t>
      </w:r>
      <w:r w:rsidR="00C3787C">
        <w:t>a</w:t>
      </w:r>
      <w:r>
        <w:t>lternative</w:t>
      </w:r>
      <w:r w:rsidR="008E4562">
        <w:t> </w:t>
      </w:r>
      <w:r>
        <w:t xml:space="preserve">2, the </w:t>
      </w:r>
      <w:r w:rsidR="001B5DD8">
        <w:t xml:space="preserve">NRC would not receive any </w:t>
      </w:r>
      <w:r w:rsidR="00740E37">
        <w:t xml:space="preserve">submittals for </w:t>
      </w:r>
      <w:r>
        <w:t xml:space="preserve">Code </w:t>
      </w:r>
      <w:r w:rsidR="001C19EA">
        <w:t>Case</w:t>
      </w:r>
      <w:r>
        <w:t xml:space="preserve"> </w:t>
      </w:r>
      <w:r w:rsidR="001B5DD8">
        <w:t>alternative request</w:t>
      </w:r>
      <w:r w:rsidR="00740E37">
        <w:t>s related to the Code Cases incorporated by reference into the NRC’s regulations</w:t>
      </w:r>
      <w:r w:rsidRPr="003B79FF">
        <w:t xml:space="preserve">.  As shown </w:t>
      </w:r>
      <w:r w:rsidRPr="006E5706">
        <w:t>in</w:t>
      </w:r>
      <w:r w:rsidR="00695E34" w:rsidRPr="000D50A2">
        <w:t xml:space="preserve"> </w:t>
      </w:r>
      <w:r w:rsidR="00695E34" w:rsidRPr="000D50A2">
        <w:fldChar w:fldCharType="begin"/>
      </w:r>
      <w:r w:rsidR="00695E34" w:rsidRPr="000D50A2">
        <w:instrText xml:space="preserve"> REF _Ref421271922 \h </w:instrText>
      </w:r>
      <w:r w:rsidR="00795C9A" w:rsidRPr="00D557C2">
        <w:instrText xml:space="preserve"> \* MERGEFORMAT </w:instrText>
      </w:r>
      <w:r w:rsidR="00695E34" w:rsidRPr="000D50A2">
        <w:fldChar w:fldCharType="separate"/>
      </w:r>
      <w:r w:rsidR="00FD3AB6" w:rsidRPr="00FD3AB6">
        <w:t xml:space="preserve">Table </w:t>
      </w:r>
      <w:r w:rsidR="00FD3AB6" w:rsidRPr="00FD3AB6">
        <w:rPr>
          <w:noProof/>
        </w:rPr>
        <w:t>18</w:t>
      </w:r>
      <w:r w:rsidR="00695E34" w:rsidRPr="000D50A2">
        <w:fldChar w:fldCharType="end"/>
      </w:r>
      <w:r w:rsidRPr="006E5706">
        <w:t>,</w:t>
      </w:r>
      <w:r w:rsidRPr="003B79FF">
        <w:t xml:space="preserve"> the NRC estimates that each</w:t>
      </w:r>
      <w:r w:rsidR="00740E37">
        <w:t xml:space="preserve"> submittal for a</w:t>
      </w:r>
      <w:r w:rsidRPr="003B79FF">
        <w:t xml:space="preserve"> Code </w:t>
      </w:r>
      <w:r w:rsidR="001C19EA">
        <w:t>Case</w:t>
      </w:r>
      <w:r w:rsidRPr="003B79FF">
        <w:t xml:space="preserve"> </w:t>
      </w:r>
      <w:r w:rsidR="001B5DD8">
        <w:t>alternative request</w:t>
      </w:r>
      <w:r w:rsidRPr="003B79FF">
        <w:t xml:space="preserve"> </w:t>
      </w:r>
      <w:r>
        <w:t>require</w:t>
      </w:r>
      <w:r w:rsidR="001B5DD8">
        <w:t>s</w:t>
      </w:r>
      <w:r w:rsidRPr="00EB420F">
        <w:t xml:space="preserve"> </w:t>
      </w:r>
      <w:r w:rsidR="006D426D">
        <w:t xml:space="preserve">a total of 120 hours </w:t>
      </w:r>
      <w:r w:rsidR="001A605C">
        <w:t>for the NRC to evaluate that</w:t>
      </w:r>
      <w:r w:rsidR="008E4562">
        <w:t xml:space="preserve"> request—</w:t>
      </w:r>
      <w:r w:rsidR="007E58CE" w:rsidRPr="00EB420F">
        <w:t>90</w:t>
      </w:r>
      <w:r w:rsidR="007E58CE">
        <w:t> </w:t>
      </w:r>
      <w:r w:rsidRPr="00EB420F">
        <w:t xml:space="preserve">hours to perform the </w:t>
      </w:r>
      <w:r w:rsidRPr="00F56ABA">
        <w:t>technical review</w:t>
      </w:r>
      <w:r w:rsidR="008E4562" w:rsidRPr="00F56ABA">
        <w:t>,</w:t>
      </w:r>
      <w:r w:rsidRPr="00F56ABA">
        <w:t xml:space="preserve"> including resolving technical issues</w:t>
      </w:r>
      <w:r w:rsidR="008E4562" w:rsidRPr="00F56ABA">
        <w:t>,</w:t>
      </w:r>
      <w:r w:rsidRPr="00F56ABA">
        <w:t xml:space="preserve"> and 30</w:t>
      </w:r>
      <w:r w:rsidR="008F5C84" w:rsidRPr="00F56ABA">
        <w:t> </w:t>
      </w:r>
      <w:r w:rsidRPr="00F56ABA">
        <w:t xml:space="preserve">hours to document the evaluation and respond to the licensee on </w:t>
      </w:r>
      <w:r w:rsidR="008E4562" w:rsidRPr="00F56ABA">
        <w:t xml:space="preserve">its </w:t>
      </w:r>
      <w:r w:rsidRPr="00F56ABA">
        <w:t>request.  The cost results in an NRC averted cost of approximately $</w:t>
      </w:r>
      <w:r w:rsidR="006D750B" w:rsidRPr="00F56ABA">
        <w:t>2.</w:t>
      </w:r>
      <w:r w:rsidR="001A605C" w:rsidRPr="00F56ABA">
        <w:t>49</w:t>
      </w:r>
      <w:r w:rsidR="008E4562" w:rsidRPr="00F56ABA">
        <w:t> </w:t>
      </w:r>
      <w:r w:rsidRPr="00F56ABA">
        <w:t xml:space="preserve">million </w:t>
      </w:r>
      <w:r w:rsidR="00A27EE7" w:rsidRPr="00F56ABA">
        <w:t>(</w:t>
      </w:r>
      <w:r w:rsidR="0082432D" w:rsidRPr="00F56ABA">
        <w:t>7</w:t>
      </w:r>
      <w:r w:rsidR="008E4562" w:rsidRPr="00F56ABA">
        <w:noBreakHyphen/>
      </w:r>
      <w:r w:rsidR="0082432D" w:rsidRPr="00F56ABA">
        <w:t>percent</w:t>
      </w:r>
      <w:r w:rsidR="00A27EE7" w:rsidRPr="00F56ABA">
        <w:t xml:space="preserve"> NPV)</w:t>
      </w:r>
      <w:r w:rsidR="003B79FF" w:rsidRPr="00F56ABA">
        <w:t xml:space="preserve"> to $</w:t>
      </w:r>
      <w:r w:rsidR="00D11FAE" w:rsidRPr="00F56ABA">
        <w:t>2.</w:t>
      </w:r>
      <w:r w:rsidR="001A605C" w:rsidRPr="00F56ABA">
        <w:t xml:space="preserve">78 </w:t>
      </w:r>
      <w:r w:rsidR="006D750B" w:rsidRPr="00F56ABA">
        <w:t>million</w:t>
      </w:r>
      <w:r w:rsidR="003B79FF" w:rsidRPr="00F56ABA">
        <w:t xml:space="preserve"> </w:t>
      </w:r>
      <w:r w:rsidR="00A27EE7" w:rsidRPr="00F56ABA">
        <w:t>(</w:t>
      </w:r>
      <w:r w:rsidR="003B79FF" w:rsidRPr="00F56ABA">
        <w:t>3</w:t>
      </w:r>
      <w:r w:rsidR="008E4562" w:rsidRPr="00F56ABA">
        <w:noBreakHyphen/>
      </w:r>
      <w:r w:rsidR="003B79FF" w:rsidRPr="00F56ABA">
        <w:t xml:space="preserve">percent </w:t>
      </w:r>
      <w:r w:rsidR="00A27EE7" w:rsidRPr="00F56ABA">
        <w:t>NPV)</w:t>
      </w:r>
      <w:r w:rsidRPr="00F56ABA">
        <w:t>.</w:t>
      </w:r>
    </w:p>
    <w:p w14:paraId="7A53891A" w14:textId="77777777" w:rsidR="003B79FF" w:rsidRDefault="003B79FF" w:rsidP="00FF0EE8">
      <w:pPr>
        <w:spacing w:line="240" w:lineRule="auto"/>
      </w:pPr>
    </w:p>
    <w:p w14:paraId="71BF9896" w14:textId="3862A714" w:rsidR="00811154" w:rsidRPr="00587EDB" w:rsidRDefault="00811154" w:rsidP="00FF0EE8">
      <w:pPr>
        <w:pStyle w:val="Caption"/>
        <w:spacing w:line="240" w:lineRule="auto"/>
        <w:ind w:left="1080" w:hanging="1080"/>
        <w:jc w:val="center"/>
        <w:rPr>
          <w:b/>
        </w:rPr>
      </w:pPr>
      <w:bookmarkStart w:id="223" w:name="_Ref421271922"/>
      <w:bookmarkStart w:id="224" w:name="_Toc467508507"/>
      <w:bookmarkStart w:id="225" w:name="_Toc462225013"/>
      <w:r w:rsidRPr="00587EDB">
        <w:rPr>
          <w:b/>
        </w:rPr>
        <w:t xml:space="preserve">Table </w:t>
      </w:r>
      <w:r w:rsidR="00782423" w:rsidRPr="00587EDB">
        <w:rPr>
          <w:b/>
        </w:rPr>
        <w:fldChar w:fldCharType="begin"/>
      </w:r>
      <w:r w:rsidR="00782423" w:rsidRPr="00587EDB">
        <w:rPr>
          <w:b/>
        </w:rPr>
        <w:instrText xml:space="preserve"> SEQ Table \* ARABIC </w:instrText>
      </w:r>
      <w:r w:rsidR="00782423" w:rsidRPr="00587EDB">
        <w:rPr>
          <w:b/>
        </w:rPr>
        <w:fldChar w:fldCharType="separate"/>
      </w:r>
      <w:r w:rsidR="00FD3AB6">
        <w:rPr>
          <w:b/>
          <w:noProof/>
        </w:rPr>
        <w:t>18</w:t>
      </w:r>
      <w:r w:rsidR="00782423" w:rsidRPr="00587EDB">
        <w:rPr>
          <w:b/>
        </w:rPr>
        <w:fldChar w:fldCharType="end"/>
      </w:r>
      <w:bookmarkEnd w:id="223"/>
      <w:r w:rsidR="006C3FF0" w:rsidRPr="00D557C2">
        <w:rPr>
          <w:b/>
        </w:rPr>
        <w:t xml:space="preserve">  </w:t>
      </w:r>
      <w:r w:rsidRPr="00587EDB">
        <w:rPr>
          <w:b/>
        </w:rPr>
        <w:t>NRC Operation Costs</w:t>
      </w:r>
      <w:bookmarkEnd w:id="224"/>
      <w:bookmarkEnd w:id="225"/>
    </w:p>
    <w:tbl>
      <w:tblPr>
        <w:tblW w:w="9576" w:type="dxa"/>
        <w:jc w:val="center"/>
        <w:tblLayout w:type="fixed"/>
        <w:tblLook w:val="04A0" w:firstRow="1" w:lastRow="0" w:firstColumn="1" w:lastColumn="0" w:noHBand="0" w:noVBand="1"/>
      </w:tblPr>
      <w:tblGrid>
        <w:gridCol w:w="738"/>
        <w:gridCol w:w="1440"/>
        <w:gridCol w:w="1260"/>
        <w:gridCol w:w="1138"/>
        <w:gridCol w:w="1742"/>
        <w:gridCol w:w="1702"/>
        <w:gridCol w:w="1556"/>
      </w:tblGrid>
      <w:tr w:rsidR="00602B86" w:rsidRPr="00D11FAE" w14:paraId="2B56EA49" w14:textId="77777777" w:rsidTr="004F5401">
        <w:trPr>
          <w:trHeight w:val="54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DB34B" w14:textId="77777777" w:rsidR="00D11FAE" w:rsidRPr="00587EDB" w:rsidRDefault="00D11FAE" w:rsidP="00FF0EE8">
            <w:pPr>
              <w:keepNext/>
              <w:autoSpaceDE/>
              <w:autoSpaceDN/>
              <w:adjustRightInd/>
              <w:spacing w:line="240" w:lineRule="auto"/>
              <w:jc w:val="center"/>
              <w:rPr>
                <w:b/>
                <w:color w:val="000000"/>
              </w:rPr>
            </w:pPr>
            <w:r w:rsidRPr="00587EDB">
              <w:rPr>
                <w:b/>
                <w:color w:val="000000"/>
              </w:rPr>
              <w:t>Year</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42760" w14:textId="77777777" w:rsidR="00D11FAE" w:rsidRPr="00587EDB" w:rsidRDefault="00D11FAE" w:rsidP="00FF0EE8">
            <w:pPr>
              <w:keepNext/>
              <w:autoSpaceDE/>
              <w:autoSpaceDN/>
              <w:adjustRightInd/>
              <w:spacing w:line="240" w:lineRule="auto"/>
              <w:jc w:val="center"/>
              <w:rPr>
                <w:b/>
                <w:color w:val="000000"/>
              </w:rPr>
            </w:pPr>
            <w:r w:rsidRPr="00587EDB">
              <w:rPr>
                <w:b/>
                <w:color w:val="000000"/>
              </w:rPr>
              <w:t>Averted Alternative Request Submittals</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773A0" w14:textId="77777777" w:rsidR="00D11FAE" w:rsidRPr="00587EDB" w:rsidRDefault="00D11FAE" w:rsidP="00FF0EE8">
            <w:pPr>
              <w:keepNext/>
              <w:autoSpaceDE/>
              <w:autoSpaceDN/>
              <w:adjustRightInd/>
              <w:spacing w:line="240" w:lineRule="auto"/>
              <w:jc w:val="center"/>
              <w:rPr>
                <w:b/>
                <w:color w:val="000000"/>
              </w:rPr>
            </w:pPr>
            <w:r w:rsidRPr="00587EDB">
              <w:rPr>
                <w:b/>
                <w:color w:val="000000"/>
              </w:rPr>
              <w:t>Hours per Submittal</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BB498" w14:textId="77777777" w:rsidR="00D11FAE" w:rsidRPr="00587EDB" w:rsidRDefault="00D11FAE" w:rsidP="00FF0EE8">
            <w:pPr>
              <w:keepNext/>
              <w:autoSpaceDE/>
              <w:autoSpaceDN/>
              <w:adjustRightInd/>
              <w:spacing w:line="240" w:lineRule="auto"/>
              <w:jc w:val="center"/>
              <w:rPr>
                <w:b/>
                <w:color w:val="000000"/>
              </w:rPr>
            </w:pPr>
            <w:r w:rsidRPr="00587EDB">
              <w:rPr>
                <w:b/>
                <w:color w:val="000000"/>
              </w:rPr>
              <w:t>Labor Rate</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14:paraId="783BDB3F" w14:textId="1948D862" w:rsidR="00D11FAE" w:rsidRPr="00587EDB" w:rsidRDefault="00D11FAE" w:rsidP="00FF0EE8">
            <w:pPr>
              <w:keepNext/>
              <w:autoSpaceDE/>
              <w:autoSpaceDN/>
              <w:adjustRightInd/>
              <w:spacing w:line="240" w:lineRule="auto"/>
              <w:jc w:val="center"/>
              <w:rPr>
                <w:b/>
                <w:color w:val="000000"/>
              </w:rPr>
            </w:pPr>
            <w:r w:rsidRPr="00587EDB">
              <w:rPr>
                <w:b/>
                <w:color w:val="000000"/>
              </w:rPr>
              <w:t>Averted Industry Operation Costs</w:t>
            </w:r>
            <w:r w:rsidRPr="00587EDB">
              <w:rPr>
                <w:b/>
                <w:color w:val="000000"/>
              </w:rPr>
              <w:br/>
              <w:t>(201</w:t>
            </w:r>
            <w:r w:rsidR="00C852EB" w:rsidRPr="00587EDB">
              <w:rPr>
                <w:b/>
                <w:color w:val="000000"/>
              </w:rPr>
              <w:t>7</w:t>
            </w:r>
            <w:r w:rsidRPr="00587EDB">
              <w:rPr>
                <w:b/>
                <w:color w:val="000000"/>
              </w:rPr>
              <w:t xml:space="preserve"> </w:t>
            </w:r>
            <w:r w:rsidR="003A2222">
              <w:rPr>
                <w:rFonts w:eastAsia="Times New Roman"/>
                <w:b/>
                <w:bCs/>
                <w:color w:val="000000"/>
              </w:rPr>
              <w:t>D</w:t>
            </w:r>
            <w:r w:rsidRPr="00D557C2">
              <w:rPr>
                <w:rFonts w:eastAsia="Times New Roman"/>
                <w:b/>
                <w:bCs/>
                <w:color w:val="000000"/>
              </w:rPr>
              <w:t>ollars</w:t>
            </w:r>
            <w:r w:rsidRPr="00587EDB">
              <w:rPr>
                <w:b/>
                <w:color w:val="000000"/>
              </w:rPr>
              <w:t>)</w:t>
            </w:r>
          </w:p>
        </w:tc>
      </w:tr>
      <w:tr w:rsidR="007E58CE" w:rsidRPr="00D11FAE" w14:paraId="3740C377" w14:textId="77777777" w:rsidTr="007E58CE">
        <w:trPr>
          <w:trHeight w:val="288"/>
          <w:jc w:val="center"/>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4066C9A9" w14:textId="77777777" w:rsidR="00D11FAE" w:rsidRPr="00587EDB" w:rsidRDefault="00D11FAE" w:rsidP="00FF0EE8">
            <w:pPr>
              <w:keepNext/>
              <w:autoSpaceDE/>
              <w:autoSpaceDN/>
              <w:adjustRightInd/>
              <w:spacing w:line="240" w:lineRule="auto"/>
              <w:jc w:val="center"/>
              <w:rPr>
                <w:b/>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2533BC0" w14:textId="77777777" w:rsidR="00D11FAE" w:rsidRPr="00587EDB" w:rsidRDefault="00D11FAE" w:rsidP="00FF0EE8">
            <w:pPr>
              <w:keepNext/>
              <w:autoSpaceDE/>
              <w:autoSpaceDN/>
              <w:adjustRightInd/>
              <w:spacing w:line="240" w:lineRule="auto"/>
              <w:jc w:val="center"/>
              <w:rPr>
                <w:b/>
                <w:color w:val="00000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E28090C" w14:textId="77777777" w:rsidR="00D11FAE" w:rsidRPr="00587EDB" w:rsidRDefault="00D11FAE" w:rsidP="00FF0EE8">
            <w:pPr>
              <w:keepNext/>
              <w:autoSpaceDE/>
              <w:autoSpaceDN/>
              <w:adjustRightInd/>
              <w:spacing w:line="240" w:lineRule="auto"/>
              <w:jc w:val="center"/>
              <w:rPr>
                <w:b/>
                <w:color w:val="000000"/>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30EFD219" w14:textId="77777777" w:rsidR="00D11FAE" w:rsidRPr="00587EDB" w:rsidRDefault="00D11FAE" w:rsidP="00FF0EE8">
            <w:pPr>
              <w:keepNext/>
              <w:autoSpaceDE/>
              <w:autoSpaceDN/>
              <w:adjustRightInd/>
              <w:spacing w:line="240" w:lineRule="auto"/>
              <w:jc w:val="center"/>
              <w:rPr>
                <w:b/>
                <w:color w:val="000000"/>
              </w:rPr>
            </w:pPr>
          </w:p>
        </w:tc>
        <w:tc>
          <w:tcPr>
            <w:tcW w:w="1742" w:type="dxa"/>
            <w:tcBorders>
              <w:top w:val="nil"/>
              <w:left w:val="nil"/>
              <w:bottom w:val="single" w:sz="4" w:space="0" w:color="auto"/>
              <w:right w:val="single" w:sz="4" w:space="0" w:color="auto"/>
            </w:tcBorders>
            <w:shd w:val="clear" w:color="auto" w:fill="auto"/>
            <w:vAlign w:val="center"/>
            <w:hideMark/>
          </w:tcPr>
          <w:p w14:paraId="7B5BE085" w14:textId="77777777" w:rsidR="00D11FAE" w:rsidRPr="00587EDB" w:rsidRDefault="00D11FAE" w:rsidP="00FF0EE8">
            <w:pPr>
              <w:keepNext/>
              <w:autoSpaceDE/>
              <w:autoSpaceDN/>
              <w:adjustRightInd/>
              <w:spacing w:line="240" w:lineRule="auto"/>
              <w:jc w:val="center"/>
              <w:rPr>
                <w:b/>
                <w:color w:val="000000"/>
              </w:rPr>
            </w:pPr>
            <w:r w:rsidRPr="00587EDB">
              <w:rPr>
                <w:b/>
                <w:color w:val="000000"/>
              </w:rPr>
              <w:t>Undiscounted</w:t>
            </w:r>
          </w:p>
        </w:tc>
        <w:tc>
          <w:tcPr>
            <w:tcW w:w="1702" w:type="dxa"/>
            <w:tcBorders>
              <w:top w:val="nil"/>
              <w:left w:val="nil"/>
              <w:bottom w:val="single" w:sz="4" w:space="0" w:color="auto"/>
              <w:right w:val="single" w:sz="4" w:space="0" w:color="auto"/>
            </w:tcBorders>
            <w:shd w:val="clear" w:color="auto" w:fill="auto"/>
            <w:vAlign w:val="center"/>
            <w:hideMark/>
          </w:tcPr>
          <w:p w14:paraId="0EC14D8C" w14:textId="77777777" w:rsidR="00D11FAE" w:rsidRPr="00587EDB" w:rsidRDefault="00D11FAE" w:rsidP="00FF0EE8">
            <w:pPr>
              <w:keepNext/>
              <w:autoSpaceDE/>
              <w:autoSpaceDN/>
              <w:adjustRightInd/>
              <w:spacing w:line="240" w:lineRule="auto"/>
              <w:jc w:val="center"/>
              <w:rPr>
                <w:b/>
                <w:color w:val="000000"/>
              </w:rPr>
            </w:pPr>
            <w:r w:rsidRPr="00587EDB">
              <w:rPr>
                <w:b/>
                <w:color w:val="000000"/>
              </w:rPr>
              <w:t>7% NPV</w:t>
            </w:r>
          </w:p>
        </w:tc>
        <w:tc>
          <w:tcPr>
            <w:tcW w:w="1556" w:type="dxa"/>
            <w:tcBorders>
              <w:top w:val="nil"/>
              <w:left w:val="nil"/>
              <w:bottom w:val="single" w:sz="4" w:space="0" w:color="auto"/>
              <w:right w:val="single" w:sz="4" w:space="0" w:color="auto"/>
            </w:tcBorders>
            <w:shd w:val="clear" w:color="auto" w:fill="auto"/>
            <w:vAlign w:val="center"/>
            <w:hideMark/>
          </w:tcPr>
          <w:p w14:paraId="28C8B7D2" w14:textId="77777777" w:rsidR="00D11FAE" w:rsidRPr="00587EDB" w:rsidRDefault="00D11FAE" w:rsidP="00FF0EE8">
            <w:pPr>
              <w:keepNext/>
              <w:autoSpaceDE/>
              <w:autoSpaceDN/>
              <w:adjustRightInd/>
              <w:spacing w:line="240" w:lineRule="auto"/>
              <w:jc w:val="center"/>
              <w:rPr>
                <w:b/>
                <w:color w:val="000000"/>
              </w:rPr>
            </w:pPr>
            <w:r w:rsidRPr="00587EDB">
              <w:rPr>
                <w:b/>
                <w:color w:val="000000"/>
              </w:rPr>
              <w:t>3% NPV</w:t>
            </w:r>
          </w:p>
        </w:tc>
      </w:tr>
      <w:tr w:rsidR="007E58CE" w:rsidRPr="00D11FAE" w14:paraId="6A273267" w14:textId="77777777" w:rsidTr="007E58CE">
        <w:trPr>
          <w:trHeight w:val="288"/>
          <w:jc w:val="center"/>
        </w:trPr>
        <w:tc>
          <w:tcPr>
            <w:tcW w:w="738" w:type="dxa"/>
            <w:tcBorders>
              <w:top w:val="nil"/>
              <w:left w:val="single" w:sz="4" w:space="0" w:color="auto"/>
              <w:bottom w:val="nil"/>
              <w:right w:val="single" w:sz="4" w:space="0" w:color="auto"/>
            </w:tcBorders>
            <w:shd w:val="clear" w:color="auto" w:fill="auto"/>
            <w:noWrap/>
            <w:vAlign w:val="center"/>
            <w:hideMark/>
          </w:tcPr>
          <w:p w14:paraId="4A976D58" w14:textId="77777777" w:rsidR="001A605C" w:rsidRPr="00587EDB" w:rsidRDefault="001A605C" w:rsidP="00FF0EE8">
            <w:pPr>
              <w:keepNext/>
              <w:autoSpaceDE/>
              <w:autoSpaceDN/>
              <w:adjustRightInd/>
              <w:spacing w:line="240" w:lineRule="auto"/>
              <w:jc w:val="center"/>
              <w:rPr>
                <w:color w:val="000000"/>
              </w:rPr>
            </w:pPr>
            <w:r w:rsidRPr="00587EDB">
              <w:rPr>
                <w:color w:val="000000"/>
              </w:rPr>
              <w:t>2018</w:t>
            </w:r>
          </w:p>
        </w:tc>
        <w:tc>
          <w:tcPr>
            <w:tcW w:w="1440" w:type="dxa"/>
            <w:tcBorders>
              <w:top w:val="nil"/>
              <w:left w:val="nil"/>
              <w:bottom w:val="single" w:sz="4" w:space="0" w:color="auto"/>
              <w:right w:val="single" w:sz="4" w:space="0" w:color="auto"/>
            </w:tcBorders>
            <w:shd w:val="clear" w:color="auto" w:fill="auto"/>
            <w:noWrap/>
            <w:vAlign w:val="center"/>
            <w:hideMark/>
          </w:tcPr>
          <w:p w14:paraId="2E4A9CE4" w14:textId="6F687F32" w:rsidR="001A605C" w:rsidRPr="00587EDB" w:rsidRDefault="001A605C" w:rsidP="00FF0EE8">
            <w:pPr>
              <w:keepNext/>
              <w:autoSpaceDE/>
              <w:autoSpaceDN/>
              <w:adjustRightInd/>
              <w:spacing w:line="240" w:lineRule="auto"/>
              <w:jc w:val="center"/>
              <w:rPr>
                <w:color w:val="000000"/>
              </w:rPr>
            </w:pPr>
            <w:r w:rsidRPr="00403BB8">
              <w:t>40</w:t>
            </w:r>
          </w:p>
        </w:tc>
        <w:tc>
          <w:tcPr>
            <w:tcW w:w="1260" w:type="dxa"/>
            <w:tcBorders>
              <w:top w:val="nil"/>
              <w:left w:val="nil"/>
              <w:bottom w:val="single" w:sz="4" w:space="0" w:color="auto"/>
              <w:right w:val="single" w:sz="4" w:space="0" w:color="auto"/>
            </w:tcBorders>
            <w:shd w:val="clear" w:color="auto" w:fill="auto"/>
            <w:noWrap/>
            <w:vAlign w:val="center"/>
            <w:hideMark/>
          </w:tcPr>
          <w:p w14:paraId="7F719B16" w14:textId="5CE6FB45" w:rsidR="001A605C" w:rsidRPr="00587EDB" w:rsidRDefault="001A605C" w:rsidP="00FF0EE8">
            <w:pPr>
              <w:keepNext/>
              <w:autoSpaceDE/>
              <w:autoSpaceDN/>
              <w:adjustRightInd/>
              <w:spacing w:line="240" w:lineRule="auto"/>
              <w:jc w:val="center"/>
              <w:rPr>
                <w:color w:val="000000"/>
              </w:rPr>
            </w:pPr>
            <w:r w:rsidRPr="00403BB8">
              <w:t>120</w:t>
            </w:r>
          </w:p>
        </w:tc>
        <w:tc>
          <w:tcPr>
            <w:tcW w:w="1138" w:type="dxa"/>
            <w:tcBorders>
              <w:top w:val="nil"/>
              <w:left w:val="nil"/>
              <w:bottom w:val="single" w:sz="4" w:space="0" w:color="auto"/>
              <w:right w:val="single" w:sz="4" w:space="0" w:color="auto"/>
            </w:tcBorders>
            <w:shd w:val="clear" w:color="auto" w:fill="auto"/>
            <w:noWrap/>
            <w:vAlign w:val="center"/>
            <w:hideMark/>
          </w:tcPr>
          <w:p w14:paraId="4457870A" w14:textId="2318256D" w:rsidR="001A605C" w:rsidRPr="00587EDB" w:rsidRDefault="001A605C" w:rsidP="00FF0EE8">
            <w:pPr>
              <w:keepNext/>
              <w:autoSpaceDE/>
              <w:autoSpaceDN/>
              <w:adjustRightInd/>
              <w:spacing w:line="240" w:lineRule="auto"/>
              <w:jc w:val="center"/>
              <w:rPr>
                <w:color w:val="000000"/>
              </w:rPr>
            </w:pPr>
            <w:r w:rsidRPr="00403BB8">
              <w:t>$128</w:t>
            </w:r>
          </w:p>
        </w:tc>
        <w:tc>
          <w:tcPr>
            <w:tcW w:w="1742" w:type="dxa"/>
            <w:tcBorders>
              <w:top w:val="nil"/>
              <w:left w:val="nil"/>
              <w:bottom w:val="single" w:sz="4" w:space="0" w:color="auto"/>
              <w:right w:val="single" w:sz="4" w:space="0" w:color="auto"/>
            </w:tcBorders>
            <w:shd w:val="clear" w:color="auto" w:fill="auto"/>
            <w:noWrap/>
            <w:vAlign w:val="center"/>
            <w:hideMark/>
          </w:tcPr>
          <w:p w14:paraId="6CE461C6" w14:textId="44A1A9C0" w:rsidR="001A605C" w:rsidRPr="00587EDB" w:rsidRDefault="001A605C" w:rsidP="00FF0EE8">
            <w:pPr>
              <w:keepNext/>
              <w:autoSpaceDE/>
              <w:autoSpaceDN/>
              <w:adjustRightInd/>
              <w:spacing w:line="240" w:lineRule="auto"/>
              <w:jc w:val="center"/>
              <w:rPr>
                <w:color w:val="000000"/>
              </w:rPr>
            </w:pPr>
            <w:r w:rsidRPr="00403BB8">
              <w:t>$608,000</w:t>
            </w:r>
          </w:p>
        </w:tc>
        <w:tc>
          <w:tcPr>
            <w:tcW w:w="1702" w:type="dxa"/>
            <w:tcBorders>
              <w:top w:val="nil"/>
              <w:left w:val="nil"/>
              <w:bottom w:val="single" w:sz="4" w:space="0" w:color="auto"/>
              <w:right w:val="single" w:sz="4" w:space="0" w:color="auto"/>
            </w:tcBorders>
            <w:shd w:val="clear" w:color="auto" w:fill="auto"/>
            <w:noWrap/>
            <w:vAlign w:val="center"/>
            <w:hideMark/>
          </w:tcPr>
          <w:p w14:paraId="1087CC4A" w14:textId="79417587" w:rsidR="001A605C" w:rsidRPr="00587EDB" w:rsidRDefault="001A605C" w:rsidP="00FF0EE8">
            <w:pPr>
              <w:keepNext/>
              <w:autoSpaceDE/>
              <w:autoSpaceDN/>
              <w:adjustRightInd/>
              <w:spacing w:line="240" w:lineRule="auto"/>
              <w:jc w:val="center"/>
              <w:rPr>
                <w:color w:val="000000"/>
              </w:rPr>
            </w:pPr>
            <w:r w:rsidRPr="00403BB8">
              <w:t>$568,224</w:t>
            </w:r>
          </w:p>
        </w:tc>
        <w:tc>
          <w:tcPr>
            <w:tcW w:w="1556" w:type="dxa"/>
            <w:tcBorders>
              <w:top w:val="nil"/>
              <w:left w:val="nil"/>
              <w:bottom w:val="single" w:sz="4" w:space="0" w:color="auto"/>
              <w:right w:val="single" w:sz="4" w:space="0" w:color="auto"/>
            </w:tcBorders>
            <w:shd w:val="clear" w:color="auto" w:fill="auto"/>
            <w:noWrap/>
            <w:vAlign w:val="center"/>
            <w:hideMark/>
          </w:tcPr>
          <w:p w14:paraId="44B4E0F7" w14:textId="3485F31B" w:rsidR="001A605C" w:rsidRPr="00587EDB" w:rsidRDefault="001A605C" w:rsidP="00FF0EE8">
            <w:pPr>
              <w:keepNext/>
              <w:autoSpaceDE/>
              <w:autoSpaceDN/>
              <w:adjustRightInd/>
              <w:spacing w:line="240" w:lineRule="auto"/>
              <w:jc w:val="center"/>
              <w:rPr>
                <w:color w:val="000000"/>
              </w:rPr>
            </w:pPr>
            <w:r w:rsidRPr="00403BB8">
              <w:t>$590,291</w:t>
            </w:r>
          </w:p>
        </w:tc>
      </w:tr>
      <w:tr w:rsidR="007E58CE" w:rsidRPr="00D11FAE" w14:paraId="345BED5F" w14:textId="77777777" w:rsidTr="007E58CE">
        <w:trPr>
          <w:trHeight w:val="288"/>
          <w:jc w:val="center"/>
        </w:trPr>
        <w:tc>
          <w:tcPr>
            <w:tcW w:w="738" w:type="dxa"/>
            <w:tcBorders>
              <w:top w:val="single" w:sz="4" w:space="0" w:color="auto"/>
              <w:left w:val="single" w:sz="4" w:space="0" w:color="auto"/>
              <w:bottom w:val="nil"/>
              <w:right w:val="single" w:sz="4" w:space="0" w:color="auto"/>
            </w:tcBorders>
            <w:shd w:val="clear" w:color="auto" w:fill="auto"/>
            <w:noWrap/>
            <w:vAlign w:val="center"/>
            <w:hideMark/>
          </w:tcPr>
          <w:p w14:paraId="7CC58EFA" w14:textId="77777777" w:rsidR="001A605C" w:rsidRPr="00587EDB" w:rsidRDefault="001A605C" w:rsidP="00FF0EE8">
            <w:pPr>
              <w:keepNext/>
              <w:autoSpaceDE/>
              <w:autoSpaceDN/>
              <w:adjustRightInd/>
              <w:spacing w:line="240" w:lineRule="auto"/>
              <w:jc w:val="center"/>
              <w:rPr>
                <w:color w:val="000000"/>
              </w:rPr>
            </w:pPr>
            <w:r w:rsidRPr="00587EDB">
              <w:rPr>
                <w:color w:val="000000"/>
              </w:rPr>
              <w:t>2019</w:t>
            </w:r>
          </w:p>
        </w:tc>
        <w:tc>
          <w:tcPr>
            <w:tcW w:w="1440" w:type="dxa"/>
            <w:tcBorders>
              <w:top w:val="nil"/>
              <w:left w:val="nil"/>
              <w:bottom w:val="single" w:sz="4" w:space="0" w:color="auto"/>
              <w:right w:val="single" w:sz="4" w:space="0" w:color="auto"/>
            </w:tcBorders>
            <w:shd w:val="clear" w:color="auto" w:fill="auto"/>
            <w:noWrap/>
            <w:vAlign w:val="center"/>
            <w:hideMark/>
          </w:tcPr>
          <w:p w14:paraId="420B0CCC" w14:textId="5DC3318A" w:rsidR="001A605C" w:rsidRPr="00587EDB" w:rsidRDefault="001A605C" w:rsidP="00FF0EE8">
            <w:pPr>
              <w:keepNext/>
              <w:autoSpaceDE/>
              <w:autoSpaceDN/>
              <w:adjustRightInd/>
              <w:spacing w:line="240" w:lineRule="auto"/>
              <w:jc w:val="center"/>
              <w:rPr>
                <w:color w:val="000000"/>
              </w:rPr>
            </w:pPr>
            <w:r w:rsidRPr="00403BB8">
              <w:t>40</w:t>
            </w:r>
          </w:p>
        </w:tc>
        <w:tc>
          <w:tcPr>
            <w:tcW w:w="1260" w:type="dxa"/>
            <w:tcBorders>
              <w:top w:val="nil"/>
              <w:left w:val="nil"/>
              <w:bottom w:val="single" w:sz="4" w:space="0" w:color="auto"/>
              <w:right w:val="single" w:sz="4" w:space="0" w:color="auto"/>
            </w:tcBorders>
            <w:shd w:val="clear" w:color="auto" w:fill="auto"/>
            <w:noWrap/>
            <w:vAlign w:val="center"/>
            <w:hideMark/>
          </w:tcPr>
          <w:p w14:paraId="3CF6D13D" w14:textId="3BE3A315" w:rsidR="001A605C" w:rsidRPr="00587EDB" w:rsidRDefault="001A605C" w:rsidP="00FF0EE8">
            <w:pPr>
              <w:keepNext/>
              <w:autoSpaceDE/>
              <w:autoSpaceDN/>
              <w:adjustRightInd/>
              <w:spacing w:line="240" w:lineRule="auto"/>
              <w:jc w:val="center"/>
              <w:rPr>
                <w:color w:val="000000"/>
              </w:rPr>
            </w:pPr>
            <w:r w:rsidRPr="00403BB8">
              <w:t>120</w:t>
            </w:r>
          </w:p>
        </w:tc>
        <w:tc>
          <w:tcPr>
            <w:tcW w:w="1138" w:type="dxa"/>
            <w:tcBorders>
              <w:top w:val="nil"/>
              <w:left w:val="nil"/>
              <w:bottom w:val="single" w:sz="4" w:space="0" w:color="auto"/>
              <w:right w:val="single" w:sz="4" w:space="0" w:color="auto"/>
            </w:tcBorders>
            <w:shd w:val="clear" w:color="auto" w:fill="auto"/>
            <w:noWrap/>
            <w:vAlign w:val="center"/>
            <w:hideMark/>
          </w:tcPr>
          <w:p w14:paraId="63C5F6E9" w14:textId="0125536B" w:rsidR="001A605C" w:rsidRPr="00587EDB" w:rsidRDefault="001A605C" w:rsidP="00FF0EE8">
            <w:pPr>
              <w:keepNext/>
              <w:autoSpaceDE/>
              <w:autoSpaceDN/>
              <w:adjustRightInd/>
              <w:spacing w:line="240" w:lineRule="auto"/>
              <w:jc w:val="center"/>
              <w:rPr>
                <w:color w:val="000000"/>
              </w:rPr>
            </w:pPr>
            <w:r w:rsidRPr="00403BB8">
              <w:t>$128</w:t>
            </w:r>
          </w:p>
        </w:tc>
        <w:tc>
          <w:tcPr>
            <w:tcW w:w="1742" w:type="dxa"/>
            <w:tcBorders>
              <w:top w:val="nil"/>
              <w:left w:val="nil"/>
              <w:bottom w:val="single" w:sz="4" w:space="0" w:color="auto"/>
              <w:right w:val="single" w:sz="4" w:space="0" w:color="auto"/>
            </w:tcBorders>
            <w:shd w:val="clear" w:color="auto" w:fill="auto"/>
            <w:noWrap/>
            <w:vAlign w:val="center"/>
            <w:hideMark/>
          </w:tcPr>
          <w:p w14:paraId="3C9E3C1C" w14:textId="18A04F2C" w:rsidR="001A605C" w:rsidRPr="00587EDB" w:rsidRDefault="001A605C" w:rsidP="00FF0EE8">
            <w:pPr>
              <w:keepNext/>
              <w:autoSpaceDE/>
              <w:autoSpaceDN/>
              <w:adjustRightInd/>
              <w:spacing w:line="240" w:lineRule="auto"/>
              <w:jc w:val="center"/>
              <w:rPr>
                <w:color w:val="000000"/>
              </w:rPr>
            </w:pPr>
            <w:r w:rsidRPr="00403BB8">
              <w:t>$608,000</w:t>
            </w:r>
          </w:p>
        </w:tc>
        <w:tc>
          <w:tcPr>
            <w:tcW w:w="1702" w:type="dxa"/>
            <w:tcBorders>
              <w:top w:val="nil"/>
              <w:left w:val="nil"/>
              <w:bottom w:val="single" w:sz="4" w:space="0" w:color="auto"/>
              <w:right w:val="single" w:sz="4" w:space="0" w:color="auto"/>
            </w:tcBorders>
            <w:shd w:val="clear" w:color="auto" w:fill="auto"/>
            <w:noWrap/>
            <w:vAlign w:val="center"/>
            <w:hideMark/>
          </w:tcPr>
          <w:p w14:paraId="1D74D47E" w14:textId="73914723" w:rsidR="001A605C" w:rsidRPr="00587EDB" w:rsidRDefault="001A605C" w:rsidP="00FF0EE8">
            <w:pPr>
              <w:keepNext/>
              <w:autoSpaceDE/>
              <w:autoSpaceDN/>
              <w:adjustRightInd/>
              <w:spacing w:line="240" w:lineRule="auto"/>
              <w:jc w:val="center"/>
              <w:rPr>
                <w:color w:val="000000"/>
              </w:rPr>
            </w:pPr>
            <w:r w:rsidRPr="00403BB8">
              <w:t>$531,051</w:t>
            </w:r>
          </w:p>
        </w:tc>
        <w:tc>
          <w:tcPr>
            <w:tcW w:w="1556" w:type="dxa"/>
            <w:tcBorders>
              <w:top w:val="nil"/>
              <w:left w:val="nil"/>
              <w:bottom w:val="single" w:sz="4" w:space="0" w:color="auto"/>
              <w:right w:val="single" w:sz="4" w:space="0" w:color="auto"/>
            </w:tcBorders>
            <w:shd w:val="clear" w:color="auto" w:fill="auto"/>
            <w:noWrap/>
            <w:vAlign w:val="center"/>
            <w:hideMark/>
          </w:tcPr>
          <w:p w14:paraId="2608A2D8" w14:textId="1E2FA628" w:rsidR="001A605C" w:rsidRPr="00587EDB" w:rsidRDefault="001A605C" w:rsidP="00FF0EE8">
            <w:pPr>
              <w:keepNext/>
              <w:autoSpaceDE/>
              <w:autoSpaceDN/>
              <w:adjustRightInd/>
              <w:spacing w:line="240" w:lineRule="auto"/>
              <w:jc w:val="center"/>
              <w:rPr>
                <w:color w:val="000000"/>
              </w:rPr>
            </w:pPr>
            <w:r w:rsidRPr="00403BB8">
              <w:t>$573,098</w:t>
            </w:r>
          </w:p>
        </w:tc>
      </w:tr>
      <w:tr w:rsidR="007E58CE" w:rsidRPr="00D11FAE" w14:paraId="10AEA1EE" w14:textId="77777777" w:rsidTr="007E58CE">
        <w:trPr>
          <w:trHeight w:val="288"/>
          <w:jc w:val="center"/>
        </w:trPr>
        <w:tc>
          <w:tcPr>
            <w:tcW w:w="738" w:type="dxa"/>
            <w:tcBorders>
              <w:top w:val="single" w:sz="4" w:space="0" w:color="auto"/>
              <w:left w:val="single" w:sz="4" w:space="0" w:color="auto"/>
              <w:bottom w:val="nil"/>
              <w:right w:val="single" w:sz="4" w:space="0" w:color="auto"/>
            </w:tcBorders>
            <w:shd w:val="clear" w:color="auto" w:fill="auto"/>
            <w:noWrap/>
            <w:vAlign w:val="center"/>
            <w:hideMark/>
          </w:tcPr>
          <w:p w14:paraId="45AE1221" w14:textId="77777777" w:rsidR="001A605C" w:rsidRPr="00587EDB" w:rsidRDefault="001A605C" w:rsidP="00FF0EE8">
            <w:pPr>
              <w:keepNext/>
              <w:autoSpaceDE/>
              <w:autoSpaceDN/>
              <w:adjustRightInd/>
              <w:spacing w:line="240" w:lineRule="auto"/>
              <w:jc w:val="center"/>
              <w:rPr>
                <w:color w:val="000000"/>
              </w:rPr>
            </w:pPr>
            <w:r w:rsidRPr="00587EDB">
              <w:rPr>
                <w:color w:val="000000"/>
              </w:rPr>
              <w:t>2020</w:t>
            </w:r>
          </w:p>
        </w:tc>
        <w:tc>
          <w:tcPr>
            <w:tcW w:w="1440" w:type="dxa"/>
            <w:tcBorders>
              <w:top w:val="nil"/>
              <w:left w:val="nil"/>
              <w:bottom w:val="single" w:sz="4" w:space="0" w:color="auto"/>
              <w:right w:val="single" w:sz="4" w:space="0" w:color="auto"/>
            </w:tcBorders>
            <w:shd w:val="clear" w:color="auto" w:fill="auto"/>
            <w:noWrap/>
            <w:vAlign w:val="center"/>
            <w:hideMark/>
          </w:tcPr>
          <w:p w14:paraId="41FA53CE" w14:textId="74BC218E" w:rsidR="001A605C" w:rsidRPr="00587EDB" w:rsidRDefault="001A605C" w:rsidP="00FF0EE8">
            <w:pPr>
              <w:keepNext/>
              <w:autoSpaceDE/>
              <w:autoSpaceDN/>
              <w:adjustRightInd/>
              <w:spacing w:line="240" w:lineRule="auto"/>
              <w:jc w:val="center"/>
              <w:rPr>
                <w:color w:val="000000"/>
              </w:rPr>
            </w:pPr>
            <w:r w:rsidRPr="00403BB8">
              <w:t>40</w:t>
            </w:r>
          </w:p>
        </w:tc>
        <w:tc>
          <w:tcPr>
            <w:tcW w:w="1260" w:type="dxa"/>
            <w:tcBorders>
              <w:top w:val="nil"/>
              <w:left w:val="nil"/>
              <w:bottom w:val="single" w:sz="4" w:space="0" w:color="auto"/>
              <w:right w:val="single" w:sz="4" w:space="0" w:color="auto"/>
            </w:tcBorders>
            <w:shd w:val="clear" w:color="auto" w:fill="auto"/>
            <w:noWrap/>
            <w:vAlign w:val="center"/>
            <w:hideMark/>
          </w:tcPr>
          <w:p w14:paraId="3B6DDB2E" w14:textId="386CA8DB" w:rsidR="001A605C" w:rsidRPr="00587EDB" w:rsidRDefault="001A605C" w:rsidP="00FF0EE8">
            <w:pPr>
              <w:keepNext/>
              <w:autoSpaceDE/>
              <w:autoSpaceDN/>
              <w:adjustRightInd/>
              <w:spacing w:line="240" w:lineRule="auto"/>
              <w:jc w:val="center"/>
              <w:rPr>
                <w:color w:val="000000"/>
              </w:rPr>
            </w:pPr>
            <w:r w:rsidRPr="00403BB8">
              <w:t>120</w:t>
            </w:r>
          </w:p>
        </w:tc>
        <w:tc>
          <w:tcPr>
            <w:tcW w:w="1138" w:type="dxa"/>
            <w:tcBorders>
              <w:top w:val="nil"/>
              <w:left w:val="nil"/>
              <w:bottom w:val="single" w:sz="4" w:space="0" w:color="auto"/>
              <w:right w:val="single" w:sz="4" w:space="0" w:color="auto"/>
            </w:tcBorders>
            <w:shd w:val="clear" w:color="auto" w:fill="auto"/>
            <w:noWrap/>
            <w:vAlign w:val="center"/>
            <w:hideMark/>
          </w:tcPr>
          <w:p w14:paraId="007E4949" w14:textId="205E96DE" w:rsidR="001A605C" w:rsidRPr="00587EDB" w:rsidRDefault="001A605C" w:rsidP="00FF0EE8">
            <w:pPr>
              <w:keepNext/>
              <w:autoSpaceDE/>
              <w:autoSpaceDN/>
              <w:adjustRightInd/>
              <w:spacing w:line="240" w:lineRule="auto"/>
              <w:jc w:val="center"/>
              <w:rPr>
                <w:color w:val="000000"/>
              </w:rPr>
            </w:pPr>
            <w:r w:rsidRPr="00403BB8">
              <w:t>$128</w:t>
            </w:r>
          </w:p>
        </w:tc>
        <w:tc>
          <w:tcPr>
            <w:tcW w:w="1742" w:type="dxa"/>
            <w:tcBorders>
              <w:top w:val="nil"/>
              <w:left w:val="nil"/>
              <w:bottom w:val="single" w:sz="4" w:space="0" w:color="auto"/>
              <w:right w:val="single" w:sz="4" w:space="0" w:color="auto"/>
            </w:tcBorders>
            <w:shd w:val="clear" w:color="auto" w:fill="auto"/>
            <w:noWrap/>
            <w:vAlign w:val="center"/>
            <w:hideMark/>
          </w:tcPr>
          <w:p w14:paraId="07CE1345" w14:textId="7662BD9F" w:rsidR="001A605C" w:rsidRPr="00587EDB" w:rsidRDefault="001A605C" w:rsidP="00FF0EE8">
            <w:pPr>
              <w:keepNext/>
              <w:autoSpaceDE/>
              <w:autoSpaceDN/>
              <w:adjustRightInd/>
              <w:spacing w:line="240" w:lineRule="auto"/>
              <w:jc w:val="center"/>
              <w:rPr>
                <w:color w:val="000000"/>
              </w:rPr>
            </w:pPr>
            <w:r w:rsidRPr="00403BB8">
              <w:t>$608,000</w:t>
            </w:r>
          </w:p>
        </w:tc>
        <w:tc>
          <w:tcPr>
            <w:tcW w:w="1702" w:type="dxa"/>
            <w:tcBorders>
              <w:top w:val="nil"/>
              <w:left w:val="nil"/>
              <w:bottom w:val="single" w:sz="4" w:space="0" w:color="auto"/>
              <w:right w:val="single" w:sz="4" w:space="0" w:color="auto"/>
            </w:tcBorders>
            <w:shd w:val="clear" w:color="auto" w:fill="auto"/>
            <w:noWrap/>
            <w:vAlign w:val="center"/>
            <w:hideMark/>
          </w:tcPr>
          <w:p w14:paraId="07C5F5D1" w14:textId="4A80E6A6" w:rsidR="001A605C" w:rsidRPr="00587EDB" w:rsidRDefault="001A605C" w:rsidP="00FF0EE8">
            <w:pPr>
              <w:keepNext/>
              <w:autoSpaceDE/>
              <w:autoSpaceDN/>
              <w:adjustRightInd/>
              <w:spacing w:line="240" w:lineRule="auto"/>
              <w:jc w:val="center"/>
              <w:rPr>
                <w:color w:val="000000"/>
              </w:rPr>
            </w:pPr>
            <w:r w:rsidRPr="00403BB8">
              <w:t>$496,309</w:t>
            </w:r>
          </w:p>
        </w:tc>
        <w:tc>
          <w:tcPr>
            <w:tcW w:w="1556" w:type="dxa"/>
            <w:tcBorders>
              <w:top w:val="nil"/>
              <w:left w:val="nil"/>
              <w:bottom w:val="single" w:sz="4" w:space="0" w:color="auto"/>
              <w:right w:val="single" w:sz="4" w:space="0" w:color="auto"/>
            </w:tcBorders>
            <w:shd w:val="clear" w:color="auto" w:fill="auto"/>
            <w:noWrap/>
            <w:vAlign w:val="center"/>
            <w:hideMark/>
          </w:tcPr>
          <w:p w14:paraId="5074174C" w14:textId="57148634" w:rsidR="001A605C" w:rsidRPr="00587EDB" w:rsidRDefault="001A605C" w:rsidP="00FF0EE8">
            <w:pPr>
              <w:keepNext/>
              <w:autoSpaceDE/>
              <w:autoSpaceDN/>
              <w:adjustRightInd/>
              <w:spacing w:line="240" w:lineRule="auto"/>
              <w:jc w:val="center"/>
              <w:rPr>
                <w:color w:val="000000"/>
              </w:rPr>
            </w:pPr>
            <w:r w:rsidRPr="00403BB8">
              <w:t>$556,406</w:t>
            </w:r>
          </w:p>
        </w:tc>
      </w:tr>
      <w:tr w:rsidR="007E58CE" w:rsidRPr="00D11FAE" w14:paraId="4DD463B6" w14:textId="77777777" w:rsidTr="007E58CE">
        <w:trPr>
          <w:trHeight w:val="288"/>
          <w:jc w:val="center"/>
        </w:trPr>
        <w:tc>
          <w:tcPr>
            <w:tcW w:w="738" w:type="dxa"/>
            <w:tcBorders>
              <w:top w:val="single" w:sz="4" w:space="0" w:color="auto"/>
              <w:left w:val="single" w:sz="4" w:space="0" w:color="auto"/>
              <w:bottom w:val="nil"/>
              <w:right w:val="single" w:sz="4" w:space="0" w:color="auto"/>
            </w:tcBorders>
            <w:shd w:val="clear" w:color="auto" w:fill="auto"/>
            <w:noWrap/>
            <w:vAlign w:val="center"/>
            <w:hideMark/>
          </w:tcPr>
          <w:p w14:paraId="1686E50E" w14:textId="77777777" w:rsidR="001A605C" w:rsidRPr="00587EDB" w:rsidRDefault="001A605C" w:rsidP="00FF0EE8">
            <w:pPr>
              <w:keepNext/>
              <w:autoSpaceDE/>
              <w:autoSpaceDN/>
              <w:adjustRightInd/>
              <w:spacing w:line="240" w:lineRule="auto"/>
              <w:jc w:val="center"/>
              <w:rPr>
                <w:color w:val="000000"/>
              </w:rPr>
            </w:pPr>
            <w:r w:rsidRPr="00587EDB">
              <w:rPr>
                <w:color w:val="000000"/>
              </w:rPr>
              <w:t>2021</w:t>
            </w:r>
          </w:p>
        </w:tc>
        <w:tc>
          <w:tcPr>
            <w:tcW w:w="1440" w:type="dxa"/>
            <w:tcBorders>
              <w:top w:val="nil"/>
              <w:left w:val="nil"/>
              <w:bottom w:val="single" w:sz="4" w:space="0" w:color="auto"/>
              <w:right w:val="single" w:sz="4" w:space="0" w:color="auto"/>
            </w:tcBorders>
            <w:shd w:val="clear" w:color="auto" w:fill="auto"/>
            <w:noWrap/>
            <w:vAlign w:val="center"/>
            <w:hideMark/>
          </w:tcPr>
          <w:p w14:paraId="500E0966" w14:textId="03DA6CCA" w:rsidR="001A605C" w:rsidRPr="00587EDB" w:rsidRDefault="001A605C" w:rsidP="00FF0EE8">
            <w:pPr>
              <w:keepNext/>
              <w:autoSpaceDE/>
              <w:autoSpaceDN/>
              <w:adjustRightInd/>
              <w:spacing w:line="240" w:lineRule="auto"/>
              <w:jc w:val="center"/>
              <w:rPr>
                <w:color w:val="000000"/>
              </w:rPr>
            </w:pPr>
            <w:r w:rsidRPr="00403BB8">
              <w:t>40</w:t>
            </w:r>
          </w:p>
        </w:tc>
        <w:tc>
          <w:tcPr>
            <w:tcW w:w="1260" w:type="dxa"/>
            <w:tcBorders>
              <w:top w:val="nil"/>
              <w:left w:val="nil"/>
              <w:bottom w:val="single" w:sz="4" w:space="0" w:color="auto"/>
              <w:right w:val="single" w:sz="4" w:space="0" w:color="auto"/>
            </w:tcBorders>
            <w:shd w:val="clear" w:color="auto" w:fill="auto"/>
            <w:noWrap/>
            <w:vAlign w:val="center"/>
            <w:hideMark/>
          </w:tcPr>
          <w:p w14:paraId="458B7A8D" w14:textId="351161E6" w:rsidR="001A605C" w:rsidRPr="00587EDB" w:rsidRDefault="001A605C" w:rsidP="00FF0EE8">
            <w:pPr>
              <w:keepNext/>
              <w:autoSpaceDE/>
              <w:autoSpaceDN/>
              <w:adjustRightInd/>
              <w:spacing w:line="240" w:lineRule="auto"/>
              <w:jc w:val="center"/>
              <w:rPr>
                <w:color w:val="000000"/>
              </w:rPr>
            </w:pPr>
            <w:r w:rsidRPr="00403BB8">
              <w:t>120</w:t>
            </w:r>
          </w:p>
        </w:tc>
        <w:tc>
          <w:tcPr>
            <w:tcW w:w="1138" w:type="dxa"/>
            <w:tcBorders>
              <w:top w:val="nil"/>
              <w:left w:val="nil"/>
              <w:bottom w:val="single" w:sz="4" w:space="0" w:color="auto"/>
              <w:right w:val="single" w:sz="4" w:space="0" w:color="auto"/>
            </w:tcBorders>
            <w:shd w:val="clear" w:color="auto" w:fill="auto"/>
            <w:noWrap/>
            <w:vAlign w:val="center"/>
            <w:hideMark/>
          </w:tcPr>
          <w:p w14:paraId="12E94DAA" w14:textId="5EBFD3EF" w:rsidR="001A605C" w:rsidRPr="00587EDB" w:rsidRDefault="001A605C" w:rsidP="00FF0EE8">
            <w:pPr>
              <w:keepNext/>
              <w:autoSpaceDE/>
              <w:autoSpaceDN/>
              <w:adjustRightInd/>
              <w:spacing w:line="240" w:lineRule="auto"/>
              <w:jc w:val="center"/>
              <w:rPr>
                <w:color w:val="000000"/>
              </w:rPr>
            </w:pPr>
            <w:r w:rsidRPr="00403BB8">
              <w:t>$128</w:t>
            </w:r>
          </w:p>
        </w:tc>
        <w:tc>
          <w:tcPr>
            <w:tcW w:w="1742" w:type="dxa"/>
            <w:tcBorders>
              <w:top w:val="nil"/>
              <w:left w:val="nil"/>
              <w:bottom w:val="single" w:sz="4" w:space="0" w:color="auto"/>
              <w:right w:val="single" w:sz="4" w:space="0" w:color="auto"/>
            </w:tcBorders>
            <w:shd w:val="clear" w:color="auto" w:fill="auto"/>
            <w:noWrap/>
            <w:vAlign w:val="center"/>
            <w:hideMark/>
          </w:tcPr>
          <w:p w14:paraId="1B552F74" w14:textId="2517BC92" w:rsidR="001A605C" w:rsidRPr="00587EDB" w:rsidRDefault="001A605C" w:rsidP="00FF0EE8">
            <w:pPr>
              <w:keepNext/>
              <w:autoSpaceDE/>
              <w:autoSpaceDN/>
              <w:adjustRightInd/>
              <w:spacing w:line="240" w:lineRule="auto"/>
              <w:jc w:val="center"/>
              <w:rPr>
                <w:color w:val="000000"/>
              </w:rPr>
            </w:pPr>
            <w:r w:rsidRPr="00403BB8">
              <w:t>$608,000</w:t>
            </w:r>
          </w:p>
        </w:tc>
        <w:tc>
          <w:tcPr>
            <w:tcW w:w="1702" w:type="dxa"/>
            <w:tcBorders>
              <w:top w:val="nil"/>
              <w:left w:val="nil"/>
              <w:bottom w:val="single" w:sz="4" w:space="0" w:color="auto"/>
              <w:right w:val="single" w:sz="4" w:space="0" w:color="auto"/>
            </w:tcBorders>
            <w:shd w:val="clear" w:color="auto" w:fill="auto"/>
            <w:noWrap/>
            <w:vAlign w:val="center"/>
            <w:hideMark/>
          </w:tcPr>
          <w:p w14:paraId="2E0A2D90" w14:textId="0489ABD2" w:rsidR="001A605C" w:rsidRPr="00587EDB" w:rsidRDefault="001A605C" w:rsidP="00FF0EE8">
            <w:pPr>
              <w:keepNext/>
              <w:autoSpaceDE/>
              <w:autoSpaceDN/>
              <w:adjustRightInd/>
              <w:spacing w:line="240" w:lineRule="auto"/>
              <w:jc w:val="center"/>
              <w:rPr>
                <w:color w:val="000000"/>
              </w:rPr>
            </w:pPr>
            <w:r w:rsidRPr="00403BB8">
              <w:t>$463,840</w:t>
            </w:r>
          </w:p>
        </w:tc>
        <w:tc>
          <w:tcPr>
            <w:tcW w:w="1556" w:type="dxa"/>
            <w:tcBorders>
              <w:top w:val="nil"/>
              <w:left w:val="nil"/>
              <w:bottom w:val="single" w:sz="4" w:space="0" w:color="auto"/>
              <w:right w:val="single" w:sz="4" w:space="0" w:color="auto"/>
            </w:tcBorders>
            <w:shd w:val="clear" w:color="auto" w:fill="auto"/>
            <w:noWrap/>
            <w:vAlign w:val="center"/>
            <w:hideMark/>
          </w:tcPr>
          <w:p w14:paraId="5782BE89" w14:textId="537D7563" w:rsidR="001A605C" w:rsidRPr="00587EDB" w:rsidRDefault="001A605C" w:rsidP="00FF0EE8">
            <w:pPr>
              <w:keepNext/>
              <w:autoSpaceDE/>
              <w:autoSpaceDN/>
              <w:adjustRightInd/>
              <w:spacing w:line="240" w:lineRule="auto"/>
              <w:jc w:val="center"/>
              <w:rPr>
                <w:color w:val="000000"/>
              </w:rPr>
            </w:pPr>
            <w:r w:rsidRPr="00403BB8">
              <w:t>$540,200</w:t>
            </w:r>
          </w:p>
        </w:tc>
      </w:tr>
      <w:tr w:rsidR="007E58CE" w:rsidRPr="00D11FAE" w14:paraId="0E68E00D" w14:textId="77777777" w:rsidTr="007E58CE">
        <w:trPr>
          <w:trHeight w:val="288"/>
          <w:jc w:val="center"/>
        </w:trPr>
        <w:tc>
          <w:tcPr>
            <w:tcW w:w="738" w:type="dxa"/>
            <w:tcBorders>
              <w:top w:val="single" w:sz="4" w:space="0" w:color="auto"/>
              <w:left w:val="single" w:sz="4" w:space="0" w:color="auto"/>
              <w:bottom w:val="nil"/>
              <w:right w:val="single" w:sz="4" w:space="0" w:color="auto"/>
            </w:tcBorders>
            <w:shd w:val="clear" w:color="auto" w:fill="auto"/>
            <w:noWrap/>
            <w:vAlign w:val="center"/>
            <w:hideMark/>
          </w:tcPr>
          <w:p w14:paraId="68022411" w14:textId="77777777" w:rsidR="001A605C" w:rsidRPr="00587EDB" w:rsidRDefault="001A605C" w:rsidP="00FF0EE8">
            <w:pPr>
              <w:keepNext/>
              <w:autoSpaceDE/>
              <w:autoSpaceDN/>
              <w:adjustRightInd/>
              <w:spacing w:line="240" w:lineRule="auto"/>
              <w:jc w:val="center"/>
              <w:rPr>
                <w:color w:val="000000"/>
              </w:rPr>
            </w:pPr>
            <w:r w:rsidRPr="00587EDB">
              <w:rPr>
                <w:color w:val="000000"/>
              </w:rPr>
              <w:t>2022</w:t>
            </w:r>
          </w:p>
        </w:tc>
        <w:tc>
          <w:tcPr>
            <w:tcW w:w="1440" w:type="dxa"/>
            <w:tcBorders>
              <w:top w:val="nil"/>
              <w:left w:val="nil"/>
              <w:bottom w:val="single" w:sz="4" w:space="0" w:color="auto"/>
              <w:right w:val="single" w:sz="4" w:space="0" w:color="auto"/>
            </w:tcBorders>
            <w:shd w:val="clear" w:color="auto" w:fill="auto"/>
            <w:noWrap/>
            <w:vAlign w:val="center"/>
            <w:hideMark/>
          </w:tcPr>
          <w:p w14:paraId="352E900B" w14:textId="0AF03FAA" w:rsidR="001A605C" w:rsidRPr="00587EDB" w:rsidRDefault="001A605C" w:rsidP="00FF0EE8">
            <w:pPr>
              <w:keepNext/>
              <w:autoSpaceDE/>
              <w:autoSpaceDN/>
              <w:adjustRightInd/>
              <w:spacing w:line="240" w:lineRule="auto"/>
              <w:jc w:val="center"/>
              <w:rPr>
                <w:color w:val="000000"/>
              </w:rPr>
            </w:pPr>
            <w:r w:rsidRPr="00403BB8">
              <w:t>40</w:t>
            </w:r>
          </w:p>
        </w:tc>
        <w:tc>
          <w:tcPr>
            <w:tcW w:w="1260" w:type="dxa"/>
            <w:tcBorders>
              <w:top w:val="nil"/>
              <w:left w:val="nil"/>
              <w:bottom w:val="single" w:sz="4" w:space="0" w:color="auto"/>
              <w:right w:val="single" w:sz="4" w:space="0" w:color="auto"/>
            </w:tcBorders>
            <w:shd w:val="clear" w:color="auto" w:fill="auto"/>
            <w:noWrap/>
            <w:vAlign w:val="center"/>
            <w:hideMark/>
          </w:tcPr>
          <w:p w14:paraId="5658D71A" w14:textId="1711B321" w:rsidR="001A605C" w:rsidRPr="00587EDB" w:rsidRDefault="001A605C" w:rsidP="00FF0EE8">
            <w:pPr>
              <w:keepNext/>
              <w:autoSpaceDE/>
              <w:autoSpaceDN/>
              <w:adjustRightInd/>
              <w:spacing w:line="240" w:lineRule="auto"/>
              <w:jc w:val="center"/>
              <w:rPr>
                <w:color w:val="000000"/>
              </w:rPr>
            </w:pPr>
            <w:r w:rsidRPr="00403BB8">
              <w:t>120</w:t>
            </w:r>
          </w:p>
        </w:tc>
        <w:tc>
          <w:tcPr>
            <w:tcW w:w="1138" w:type="dxa"/>
            <w:tcBorders>
              <w:top w:val="nil"/>
              <w:left w:val="nil"/>
              <w:bottom w:val="single" w:sz="4" w:space="0" w:color="auto"/>
              <w:right w:val="single" w:sz="4" w:space="0" w:color="auto"/>
            </w:tcBorders>
            <w:shd w:val="clear" w:color="auto" w:fill="auto"/>
            <w:noWrap/>
            <w:vAlign w:val="center"/>
            <w:hideMark/>
          </w:tcPr>
          <w:p w14:paraId="2940E9DF" w14:textId="4BE3CDF3" w:rsidR="001A605C" w:rsidRPr="00587EDB" w:rsidRDefault="001A605C" w:rsidP="00FF0EE8">
            <w:pPr>
              <w:keepNext/>
              <w:autoSpaceDE/>
              <w:autoSpaceDN/>
              <w:adjustRightInd/>
              <w:spacing w:line="240" w:lineRule="auto"/>
              <w:jc w:val="center"/>
              <w:rPr>
                <w:color w:val="000000"/>
              </w:rPr>
            </w:pPr>
            <w:r w:rsidRPr="00403BB8">
              <w:t>$128</w:t>
            </w:r>
          </w:p>
        </w:tc>
        <w:tc>
          <w:tcPr>
            <w:tcW w:w="1742" w:type="dxa"/>
            <w:tcBorders>
              <w:top w:val="nil"/>
              <w:left w:val="nil"/>
              <w:bottom w:val="single" w:sz="4" w:space="0" w:color="auto"/>
              <w:right w:val="single" w:sz="4" w:space="0" w:color="auto"/>
            </w:tcBorders>
            <w:shd w:val="clear" w:color="auto" w:fill="auto"/>
            <w:noWrap/>
            <w:vAlign w:val="center"/>
            <w:hideMark/>
          </w:tcPr>
          <w:p w14:paraId="3A58D94B" w14:textId="06A252C7" w:rsidR="001A605C" w:rsidRPr="00587EDB" w:rsidRDefault="001A605C" w:rsidP="00FF0EE8">
            <w:pPr>
              <w:keepNext/>
              <w:autoSpaceDE/>
              <w:autoSpaceDN/>
              <w:adjustRightInd/>
              <w:spacing w:line="240" w:lineRule="auto"/>
              <w:jc w:val="center"/>
              <w:rPr>
                <w:color w:val="000000"/>
              </w:rPr>
            </w:pPr>
            <w:r w:rsidRPr="00403BB8">
              <w:t>$608,000</w:t>
            </w:r>
          </w:p>
        </w:tc>
        <w:tc>
          <w:tcPr>
            <w:tcW w:w="1702" w:type="dxa"/>
            <w:tcBorders>
              <w:top w:val="nil"/>
              <w:left w:val="nil"/>
              <w:bottom w:val="single" w:sz="4" w:space="0" w:color="auto"/>
              <w:right w:val="single" w:sz="4" w:space="0" w:color="auto"/>
            </w:tcBorders>
            <w:shd w:val="clear" w:color="auto" w:fill="auto"/>
            <w:noWrap/>
            <w:vAlign w:val="center"/>
            <w:hideMark/>
          </w:tcPr>
          <w:p w14:paraId="7D94DE72" w14:textId="01FE19C3" w:rsidR="001A605C" w:rsidRPr="00587EDB" w:rsidRDefault="001A605C" w:rsidP="00FF0EE8">
            <w:pPr>
              <w:keepNext/>
              <w:autoSpaceDE/>
              <w:autoSpaceDN/>
              <w:adjustRightInd/>
              <w:spacing w:line="240" w:lineRule="auto"/>
              <w:jc w:val="center"/>
              <w:rPr>
                <w:color w:val="000000"/>
              </w:rPr>
            </w:pPr>
            <w:r w:rsidRPr="00403BB8">
              <w:t>$433,496</w:t>
            </w:r>
          </w:p>
        </w:tc>
        <w:tc>
          <w:tcPr>
            <w:tcW w:w="1556" w:type="dxa"/>
            <w:tcBorders>
              <w:top w:val="nil"/>
              <w:left w:val="nil"/>
              <w:bottom w:val="single" w:sz="4" w:space="0" w:color="auto"/>
              <w:right w:val="single" w:sz="4" w:space="0" w:color="auto"/>
            </w:tcBorders>
            <w:shd w:val="clear" w:color="auto" w:fill="auto"/>
            <w:noWrap/>
            <w:vAlign w:val="center"/>
            <w:hideMark/>
          </w:tcPr>
          <w:p w14:paraId="5326B133" w14:textId="01A01A1F" w:rsidR="001A605C" w:rsidRPr="00587EDB" w:rsidRDefault="001A605C" w:rsidP="00FF0EE8">
            <w:pPr>
              <w:keepNext/>
              <w:autoSpaceDE/>
              <w:autoSpaceDN/>
              <w:adjustRightInd/>
              <w:spacing w:line="240" w:lineRule="auto"/>
              <w:jc w:val="center"/>
              <w:rPr>
                <w:color w:val="000000"/>
              </w:rPr>
            </w:pPr>
            <w:r w:rsidRPr="00403BB8">
              <w:t>$524,466</w:t>
            </w:r>
          </w:p>
        </w:tc>
      </w:tr>
      <w:tr w:rsidR="001A605C" w:rsidRPr="00D11FAE" w14:paraId="4FDD6534" w14:textId="77777777" w:rsidTr="004F5401">
        <w:trPr>
          <w:trHeight w:val="288"/>
          <w:jc w:val="center"/>
        </w:trPr>
        <w:tc>
          <w:tcPr>
            <w:tcW w:w="457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8680320" w14:textId="77777777" w:rsidR="001A605C" w:rsidRPr="00587EDB" w:rsidRDefault="001A605C" w:rsidP="00FF0EE8">
            <w:pPr>
              <w:keepNext/>
              <w:autoSpaceDE/>
              <w:autoSpaceDN/>
              <w:adjustRightInd/>
              <w:spacing w:line="240" w:lineRule="auto"/>
              <w:jc w:val="right"/>
              <w:rPr>
                <w:b/>
                <w:color w:val="000000"/>
              </w:rPr>
            </w:pPr>
            <w:r w:rsidRPr="00587EDB">
              <w:rPr>
                <w:b/>
                <w:color w:val="000000"/>
              </w:rPr>
              <w:t>Total</w:t>
            </w:r>
          </w:p>
        </w:tc>
        <w:tc>
          <w:tcPr>
            <w:tcW w:w="1742" w:type="dxa"/>
            <w:tcBorders>
              <w:top w:val="nil"/>
              <w:left w:val="nil"/>
              <w:bottom w:val="single" w:sz="4" w:space="0" w:color="auto"/>
              <w:right w:val="single" w:sz="4" w:space="0" w:color="auto"/>
            </w:tcBorders>
            <w:shd w:val="clear" w:color="auto" w:fill="auto"/>
            <w:noWrap/>
            <w:vAlign w:val="center"/>
            <w:hideMark/>
          </w:tcPr>
          <w:p w14:paraId="794CC980" w14:textId="7526B77E" w:rsidR="001A605C" w:rsidRPr="001A605C" w:rsidRDefault="001A605C" w:rsidP="00FF0EE8">
            <w:pPr>
              <w:keepNext/>
              <w:autoSpaceDE/>
              <w:autoSpaceDN/>
              <w:adjustRightInd/>
              <w:spacing w:line="240" w:lineRule="auto"/>
              <w:jc w:val="center"/>
              <w:rPr>
                <w:b/>
                <w:color w:val="000000"/>
              </w:rPr>
            </w:pPr>
            <w:r w:rsidRPr="001A605C">
              <w:rPr>
                <w:b/>
              </w:rPr>
              <w:t>$3,040,000</w:t>
            </w:r>
          </w:p>
        </w:tc>
        <w:tc>
          <w:tcPr>
            <w:tcW w:w="1702" w:type="dxa"/>
            <w:tcBorders>
              <w:top w:val="nil"/>
              <w:left w:val="nil"/>
              <w:bottom w:val="single" w:sz="4" w:space="0" w:color="auto"/>
              <w:right w:val="single" w:sz="4" w:space="0" w:color="auto"/>
            </w:tcBorders>
            <w:shd w:val="clear" w:color="auto" w:fill="auto"/>
            <w:noWrap/>
            <w:vAlign w:val="center"/>
            <w:hideMark/>
          </w:tcPr>
          <w:p w14:paraId="11DB1C67" w14:textId="489182D5" w:rsidR="001A605C" w:rsidRPr="001A605C" w:rsidRDefault="001A605C" w:rsidP="007E58CE">
            <w:pPr>
              <w:keepNext/>
              <w:autoSpaceDE/>
              <w:autoSpaceDN/>
              <w:adjustRightInd/>
              <w:spacing w:line="240" w:lineRule="auto"/>
              <w:jc w:val="center"/>
              <w:rPr>
                <w:b/>
                <w:color w:val="000000"/>
              </w:rPr>
            </w:pPr>
            <w:r w:rsidRPr="001A605C">
              <w:rPr>
                <w:b/>
              </w:rPr>
              <w:t>$2,</w:t>
            </w:r>
            <w:r w:rsidR="007E58CE" w:rsidRPr="001A605C">
              <w:rPr>
                <w:b/>
              </w:rPr>
              <w:t>49</w:t>
            </w:r>
            <w:r w:rsidR="007E58CE">
              <w:rPr>
                <w:b/>
              </w:rPr>
              <w:t>3</w:t>
            </w:r>
            <w:r w:rsidRPr="001A605C">
              <w:rPr>
                <w:b/>
              </w:rPr>
              <w:t>,</w:t>
            </w:r>
            <w:r w:rsidR="007E58CE">
              <w:rPr>
                <w:b/>
              </w:rPr>
              <w:t>00</w:t>
            </w:r>
            <w:r w:rsidR="007E58CE" w:rsidRPr="001A605C">
              <w:rPr>
                <w:b/>
              </w:rPr>
              <w:t>0</w:t>
            </w:r>
          </w:p>
        </w:tc>
        <w:tc>
          <w:tcPr>
            <w:tcW w:w="1556" w:type="dxa"/>
            <w:tcBorders>
              <w:top w:val="nil"/>
              <w:left w:val="nil"/>
              <w:bottom w:val="single" w:sz="4" w:space="0" w:color="auto"/>
              <w:right w:val="single" w:sz="4" w:space="0" w:color="auto"/>
            </w:tcBorders>
            <w:shd w:val="clear" w:color="auto" w:fill="auto"/>
            <w:noWrap/>
            <w:vAlign w:val="center"/>
            <w:hideMark/>
          </w:tcPr>
          <w:p w14:paraId="1DDD5A49" w14:textId="1154FE2C" w:rsidR="001A605C" w:rsidRPr="001A605C" w:rsidRDefault="001A605C" w:rsidP="007E58CE">
            <w:pPr>
              <w:keepNext/>
              <w:autoSpaceDE/>
              <w:autoSpaceDN/>
              <w:adjustRightInd/>
              <w:spacing w:line="240" w:lineRule="auto"/>
              <w:jc w:val="center"/>
              <w:rPr>
                <w:b/>
                <w:color w:val="000000"/>
              </w:rPr>
            </w:pPr>
            <w:r w:rsidRPr="001A605C">
              <w:rPr>
                <w:b/>
              </w:rPr>
              <w:t>$2,784,</w:t>
            </w:r>
            <w:r w:rsidR="007E58CE">
              <w:rPr>
                <w:b/>
              </w:rPr>
              <w:t>000</w:t>
            </w:r>
          </w:p>
        </w:tc>
      </w:tr>
    </w:tbl>
    <w:p w14:paraId="7B806F0D" w14:textId="0B56309F" w:rsidR="00F834D9" w:rsidRDefault="00F834D9" w:rsidP="00FF0EE8">
      <w:pPr>
        <w:keepNext/>
        <w:spacing w:line="240" w:lineRule="auto"/>
        <w:rPr>
          <w:sz w:val="18"/>
        </w:rPr>
      </w:pPr>
      <w:r w:rsidRPr="007B793C">
        <w:rPr>
          <w:sz w:val="18"/>
        </w:rPr>
        <w:t xml:space="preserve">* </w:t>
      </w:r>
      <w:r w:rsidR="00C96719">
        <w:rPr>
          <w:sz w:val="18"/>
        </w:rPr>
        <w:t>Rounding may have caused d</w:t>
      </w:r>
      <w:r w:rsidRPr="007B793C">
        <w:rPr>
          <w:sz w:val="18"/>
        </w:rPr>
        <w:t>iscrepancies in</w:t>
      </w:r>
      <w:r w:rsidR="00C96719">
        <w:rPr>
          <w:sz w:val="18"/>
        </w:rPr>
        <w:t xml:space="preserve"> the</w:t>
      </w:r>
      <w:r w:rsidRPr="007B793C">
        <w:rPr>
          <w:sz w:val="18"/>
        </w:rPr>
        <w:t xml:space="preserve"> calculations.</w:t>
      </w:r>
    </w:p>
    <w:p w14:paraId="09314CE6" w14:textId="77777777" w:rsidR="00825CE6" w:rsidRDefault="00F834D9" w:rsidP="00FF0EE8">
      <w:pPr>
        <w:keepNext/>
        <w:spacing w:line="240" w:lineRule="auto"/>
      </w:pPr>
      <w:r>
        <w:rPr>
          <w:sz w:val="18"/>
        </w:rPr>
        <w:t xml:space="preserve">** All values are in </w:t>
      </w:r>
      <w:r w:rsidR="00542221">
        <w:rPr>
          <w:sz w:val="18"/>
        </w:rPr>
        <w:t xml:space="preserve">2017 </w:t>
      </w:r>
      <w:r>
        <w:rPr>
          <w:sz w:val="18"/>
        </w:rPr>
        <w:t>dollars</w:t>
      </w:r>
      <w:r w:rsidR="00C96719">
        <w:rPr>
          <w:sz w:val="18"/>
        </w:rPr>
        <w:t>.</w:t>
      </w:r>
    </w:p>
    <w:p w14:paraId="435FBABE" w14:textId="77777777" w:rsidR="00F834D9" w:rsidRDefault="00F834D9" w:rsidP="00FF0EE8">
      <w:pPr>
        <w:spacing w:line="240" w:lineRule="auto"/>
      </w:pPr>
    </w:p>
    <w:p w14:paraId="4A8BE4CA" w14:textId="2CEB7D60" w:rsidR="00D07194" w:rsidRDefault="00D07194" w:rsidP="00FF0EE8">
      <w:pPr>
        <w:spacing w:line="240" w:lineRule="auto"/>
      </w:pPr>
      <w:r w:rsidRPr="00F56ABA">
        <w:t>As shown in</w:t>
      </w:r>
      <w:r w:rsidR="00427F42" w:rsidRPr="00F56ABA">
        <w:t xml:space="preserve"> </w:t>
      </w:r>
      <w:r w:rsidR="00427F42" w:rsidRPr="00F56ABA">
        <w:fldChar w:fldCharType="begin"/>
      </w:r>
      <w:r w:rsidR="00427F42" w:rsidRPr="00F56ABA">
        <w:instrText xml:space="preserve"> REF _Ref420421393 \h </w:instrText>
      </w:r>
      <w:r w:rsidR="007962DF" w:rsidRPr="00F56ABA">
        <w:instrText xml:space="preserve"> \* MERGEFORMAT </w:instrText>
      </w:r>
      <w:r w:rsidR="00427F42" w:rsidRPr="00F56ABA">
        <w:fldChar w:fldCharType="separate"/>
      </w:r>
      <w:r w:rsidR="00FD3AB6" w:rsidRPr="00FD3AB6">
        <w:t xml:space="preserve">Table </w:t>
      </w:r>
      <w:r w:rsidR="00FD3AB6" w:rsidRPr="00FD3AB6">
        <w:rPr>
          <w:noProof/>
        </w:rPr>
        <w:t>19</w:t>
      </w:r>
      <w:r w:rsidR="00427F42" w:rsidRPr="00F56ABA">
        <w:fldChar w:fldCharType="end"/>
      </w:r>
      <w:r w:rsidRPr="00F56ABA">
        <w:t xml:space="preserve">, </w:t>
      </w:r>
      <w:r w:rsidR="00740E37" w:rsidRPr="00F56ABA">
        <w:t xml:space="preserve">the </w:t>
      </w:r>
      <w:r w:rsidR="000551F9" w:rsidRPr="00F56ABA">
        <w:t>industry</w:t>
      </w:r>
      <w:r w:rsidR="00740E37" w:rsidRPr="00F56ABA">
        <w:t>’s</w:t>
      </w:r>
      <w:r w:rsidR="000551F9" w:rsidRPr="00F56ABA">
        <w:t xml:space="preserve"> </w:t>
      </w:r>
      <w:r w:rsidRPr="00F56ABA">
        <w:t>submitt</w:t>
      </w:r>
      <w:r w:rsidR="00740E37" w:rsidRPr="00F56ABA">
        <w:t>al of</w:t>
      </w:r>
      <w:r w:rsidRPr="00F56ABA">
        <w:t xml:space="preserve"> Code </w:t>
      </w:r>
      <w:r w:rsidR="001C19EA" w:rsidRPr="00F56ABA">
        <w:t>Case</w:t>
      </w:r>
      <w:r w:rsidRPr="00F56ABA">
        <w:t xml:space="preserve"> alternative request</w:t>
      </w:r>
      <w:r w:rsidR="008305ED" w:rsidRPr="00F56ABA">
        <w:t>s</w:t>
      </w:r>
      <w:r w:rsidRPr="00F56ABA">
        <w:t xml:space="preserve"> </w:t>
      </w:r>
      <w:r w:rsidR="000551F9" w:rsidRPr="00F56ABA">
        <w:t xml:space="preserve">for new reactors </w:t>
      </w:r>
      <w:r w:rsidRPr="00F56ABA">
        <w:t xml:space="preserve">after </w:t>
      </w:r>
      <w:r w:rsidR="00740E37" w:rsidRPr="00F56ABA">
        <w:t>starting</w:t>
      </w:r>
      <w:r w:rsidRPr="00F56ABA">
        <w:t xml:space="preserve"> commercial operation in 20</w:t>
      </w:r>
      <w:r w:rsidR="00032506" w:rsidRPr="00F56ABA">
        <w:t>20</w:t>
      </w:r>
      <w:r w:rsidRPr="00F56ABA">
        <w:t xml:space="preserve"> would incur an NRC review cost in the following year</w:t>
      </w:r>
      <w:r w:rsidR="008305ED" w:rsidRPr="00F56ABA">
        <w:t>.  Consistent with the assumptions made in Section</w:t>
      </w:r>
      <w:r w:rsidR="007962DF" w:rsidRPr="00F56ABA">
        <w:t> </w:t>
      </w:r>
      <w:r w:rsidR="008305ED" w:rsidRPr="00F56ABA">
        <w:fldChar w:fldCharType="begin"/>
      </w:r>
      <w:r w:rsidR="008305ED" w:rsidRPr="00F56ABA">
        <w:instrText xml:space="preserve"> REF _Ref435781240 \r \h </w:instrText>
      </w:r>
      <w:r w:rsidR="001A605C" w:rsidRPr="00F56ABA">
        <w:instrText xml:space="preserve"> \* MERGEFORMAT </w:instrText>
      </w:r>
      <w:r w:rsidR="008305ED" w:rsidRPr="00F56ABA">
        <w:fldChar w:fldCharType="separate"/>
      </w:r>
      <w:r w:rsidR="00FD3AB6">
        <w:t>5.6.1</w:t>
      </w:r>
      <w:r w:rsidR="008305ED" w:rsidRPr="00F56ABA">
        <w:fldChar w:fldCharType="end"/>
      </w:r>
      <w:r w:rsidR="008305ED" w:rsidRPr="00F56ABA">
        <w:t xml:space="preserve">, the NRC staff estimates </w:t>
      </w:r>
      <w:r w:rsidR="000551F9" w:rsidRPr="00F56ABA">
        <w:t xml:space="preserve">averted operating costs for new reactors </w:t>
      </w:r>
      <w:r w:rsidRPr="00F56ABA">
        <w:t>that range from $</w:t>
      </w:r>
      <w:r w:rsidR="00E7231A" w:rsidRPr="00F56ABA">
        <w:t>23,7</w:t>
      </w:r>
      <w:r w:rsidRPr="00F56ABA">
        <w:t xml:space="preserve">00 </w:t>
      </w:r>
      <w:r w:rsidR="000551F9" w:rsidRPr="00F56ABA">
        <w:t xml:space="preserve">using a </w:t>
      </w:r>
      <w:r w:rsidR="0082432D" w:rsidRPr="00F56ABA">
        <w:t>7</w:t>
      </w:r>
      <w:r w:rsidR="007962DF" w:rsidRPr="00F56ABA">
        <w:noBreakHyphen/>
      </w:r>
      <w:r w:rsidR="0082432D" w:rsidRPr="00F56ABA">
        <w:t>percent</w:t>
      </w:r>
      <w:r w:rsidRPr="00F56ABA">
        <w:t xml:space="preserve"> </w:t>
      </w:r>
      <w:r w:rsidR="000551F9" w:rsidRPr="00F56ABA">
        <w:t>discount rate</w:t>
      </w:r>
      <w:r w:rsidRPr="00F56ABA">
        <w:t xml:space="preserve"> to $</w:t>
      </w:r>
      <w:r w:rsidR="00E7231A" w:rsidRPr="00F56ABA">
        <w:t>27,3</w:t>
      </w:r>
      <w:r w:rsidRPr="00F56ABA">
        <w:t xml:space="preserve">00 </w:t>
      </w:r>
      <w:r w:rsidR="000551F9" w:rsidRPr="00F56ABA">
        <w:t xml:space="preserve">using a </w:t>
      </w:r>
      <w:r w:rsidR="0082432D" w:rsidRPr="00F56ABA">
        <w:t>3</w:t>
      </w:r>
      <w:r w:rsidR="007962DF" w:rsidRPr="00F56ABA">
        <w:noBreakHyphen/>
      </w:r>
      <w:r w:rsidR="0082432D" w:rsidRPr="00F56ABA">
        <w:t>percent</w:t>
      </w:r>
      <w:r w:rsidRPr="00F56ABA">
        <w:t xml:space="preserve"> </w:t>
      </w:r>
      <w:r w:rsidR="000551F9" w:rsidRPr="00F56ABA">
        <w:t>discount rate</w:t>
      </w:r>
      <w:r w:rsidRPr="00F56ABA">
        <w:t xml:space="preserve">, yielding a net savings for each </w:t>
      </w:r>
      <w:r w:rsidR="00740E37" w:rsidRPr="00F56ABA">
        <w:t xml:space="preserve">averted review of a submittal for a </w:t>
      </w:r>
      <w:r w:rsidRPr="00F56ABA">
        <w:t xml:space="preserve">Code </w:t>
      </w:r>
      <w:r w:rsidR="001C19EA" w:rsidRPr="00F56ABA">
        <w:t>Case</w:t>
      </w:r>
      <w:r w:rsidRPr="00F56ABA">
        <w:t xml:space="preserve"> alternative request.</w:t>
      </w:r>
    </w:p>
    <w:p w14:paraId="6986AD19" w14:textId="77777777" w:rsidR="00D07194" w:rsidRPr="00587EDB" w:rsidRDefault="00D07194" w:rsidP="00FF0EE8">
      <w:pPr>
        <w:spacing w:line="240" w:lineRule="auto"/>
        <w:jc w:val="center"/>
        <w:rPr>
          <w:b/>
        </w:rPr>
      </w:pPr>
    </w:p>
    <w:p w14:paraId="493EFD81" w14:textId="326FC6F2" w:rsidR="00811154" w:rsidRPr="00587EDB" w:rsidRDefault="00811154" w:rsidP="00FF0EE8">
      <w:pPr>
        <w:pStyle w:val="Caption"/>
        <w:spacing w:line="240" w:lineRule="auto"/>
        <w:jc w:val="center"/>
        <w:rPr>
          <w:b/>
        </w:rPr>
      </w:pPr>
      <w:bookmarkStart w:id="226" w:name="_Ref420421393"/>
      <w:bookmarkStart w:id="227" w:name="_Toc467508508"/>
      <w:bookmarkStart w:id="228" w:name="_Toc462225014"/>
      <w:r w:rsidRPr="00587EDB">
        <w:rPr>
          <w:b/>
        </w:rPr>
        <w:t xml:space="preserve">Table </w:t>
      </w:r>
      <w:r w:rsidR="00782423" w:rsidRPr="00587EDB">
        <w:rPr>
          <w:b/>
        </w:rPr>
        <w:fldChar w:fldCharType="begin"/>
      </w:r>
      <w:r w:rsidR="00782423" w:rsidRPr="00587EDB">
        <w:rPr>
          <w:b/>
        </w:rPr>
        <w:instrText xml:space="preserve"> SEQ Table \* ARABIC </w:instrText>
      </w:r>
      <w:r w:rsidR="00782423" w:rsidRPr="00587EDB">
        <w:rPr>
          <w:b/>
        </w:rPr>
        <w:fldChar w:fldCharType="separate"/>
      </w:r>
      <w:r w:rsidR="00FD3AB6">
        <w:rPr>
          <w:b/>
          <w:noProof/>
        </w:rPr>
        <w:t>19</w:t>
      </w:r>
      <w:r w:rsidR="00782423" w:rsidRPr="00587EDB">
        <w:rPr>
          <w:b/>
        </w:rPr>
        <w:fldChar w:fldCharType="end"/>
      </w:r>
      <w:bookmarkEnd w:id="226"/>
      <w:r w:rsidR="006C3FF0" w:rsidRPr="00D557C2">
        <w:rPr>
          <w:b/>
        </w:rPr>
        <w:t xml:space="preserve">  </w:t>
      </w:r>
      <w:r w:rsidRPr="00587EDB">
        <w:rPr>
          <w:b/>
        </w:rPr>
        <w:t xml:space="preserve">Averted NRC Operation Costs for </w:t>
      </w:r>
      <w:r w:rsidR="000551F9" w:rsidRPr="00587EDB">
        <w:rPr>
          <w:b/>
        </w:rPr>
        <w:t>New</w:t>
      </w:r>
      <w:r w:rsidRPr="00587EDB">
        <w:rPr>
          <w:b/>
        </w:rPr>
        <w:t xml:space="preserve"> Reactor ASME Code </w:t>
      </w:r>
      <w:r w:rsidR="001B5DD8" w:rsidRPr="00587EDB">
        <w:rPr>
          <w:b/>
        </w:rPr>
        <w:t>Case</w:t>
      </w:r>
      <w:r w:rsidR="006C3FF0" w:rsidRPr="00D557C2">
        <w:rPr>
          <w:b/>
        </w:rPr>
        <w:br/>
      </w:r>
      <w:r w:rsidR="001B5DD8" w:rsidRPr="00587EDB">
        <w:rPr>
          <w:b/>
        </w:rPr>
        <w:t>Alternative Request Submittal</w:t>
      </w:r>
      <w:bookmarkEnd w:id="227"/>
      <w:bookmarkEnd w:id="228"/>
    </w:p>
    <w:tbl>
      <w:tblPr>
        <w:tblW w:w="9360" w:type="dxa"/>
        <w:jc w:val="center"/>
        <w:tblLook w:val="04A0" w:firstRow="1" w:lastRow="0" w:firstColumn="1" w:lastColumn="0" w:noHBand="0" w:noVBand="1"/>
      </w:tblPr>
      <w:tblGrid>
        <w:gridCol w:w="818"/>
        <w:gridCol w:w="1445"/>
        <w:gridCol w:w="1391"/>
        <w:gridCol w:w="1391"/>
        <w:gridCol w:w="1683"/>
        <w:gridCol w:w="1391"/>
        <w:gridCol w:w="1391"/>
      </w:tblGrid>
      <w:tr w:rsidR="00602B86" w:rsidRPr="000551F9" w14:paraId="1652F1B4" w14:textId="77777777" w:rsidTr="004F5401">
        <w:trPr>
          <w:trHeight w:val="588"/>
          <w:jc w:val="center"/>
        </w:trPr>
        <w:tc>
          <w:tcPr>
            <w:tcW w:w="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0BB8" w14:textId="77777777" w:rsidR="000551F9" w:rsidRPr="00587EDB" w:rsidRDefault="000551F9" w:rsidP="00FF0EE8">
            <w:pPr>
              <w:autoSpaceDE/>
              <w:autoSpaceDN/>
              <w:adjustRightInd/>
              <w:spacing w:line="240" w:lineRule="auto"/>
              <w:jc w:val="center"/>
              <w:rPr>
                <w:b/>
                <w:color w:val="000000"/>
              </w:rPr>
            </w:pPr>
            <w:r w:rsidRPr="00587EDB">
              <w:rPr>
                <w:b/>
                <w:color w:val="000000"/>
              </w:rPr>
              <w:t>Year</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1E3AC2" w14:textId="77777777" w:rsidR="000551F9" w:rsidRPr="00587EDB" w:rsidRDefault="000551F9" w:rsidP="00FF0EE8">
            <w:pPr>
              <w:autoSpaceDE/>
              <w:autoSpaceDN/>
              <w:adjustRightInd/>
              <w:spacing w:line="240" w:lineRule="auto"/>
              <w:jc w:val="center"/>
              <w:rPr>
                <w:b/>
                <w:color w:val="000000"/>
              </w:rPr>
            </w:pPr>
            <w:r w:rsidRPr="00587EDB">
              <w:rPr>
                <w:b/>
                <w:color w:val="000000"/>
              </w:rPr>
              <w:t>Averted Alternative Request Submittals</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0DEB1" w14:textId="77777777" w:rsidR="000551F9" w:rsidRPr="00587EDB" w:rsidRDefault="000551F9" w:rsidP="00FF0EE8">
            <w:pPr>
              <w:autoSpaceDE/>
              <w:autoSpaceDN/>
              <w:adjustRightInd/>
              <w:spacing w:line="240" w:lineRule="auto"/>
              <w:jc w:val="center"/>
              <w:rPr>
                <w:b/>
                <w:color w:val="000000"/>
              </w:rPr>
            </w:pPr>
            <w:r w:rsidRPr="00587EDB">
              <w:rPr>
                <w:b/>
                <w:color w:val="000000"/>
              </w:rPr>
              <w:t>Hours per Submittal</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C31AD" w14:textId="77777777" w:rsidR="000551F9" w:rsidRPr="00587EDB" w:rsidRDefault="000551F9" w:rsidP="00FF0EE8">
            <w:pPr>
              <w:autoSpaceDE/>
              <w:autoSpaceDN/>
              <w:adjustRightInd/>
              <w:spacing w:line="240" w:lineRule="auto"/>
              <w:jc w:val="center"/>
              <w:rPr>
                <w:b/>
                <w:color w:val="000000"/>
              </w:rPr>
            </w:pPr>
            <w:r w:rsidRPr="00587EDB">
              <w:rPr>
                <w:b/>
                <w:color w:val="000000"/>
              </w:rPr>
              <w:t>Labor Rate</w:t>
            </w:r>
          </w:p>
        </w:tc>
        <w:tc>
          <w:tcPr>
            <w:tcW w:w="4315" w:type="dxa"/>
            <w:gridSpan w:val="3"/>
            <w:tcBorders>
              <w:top w:val="single" w:sz="4" w:space="0" w:color="auto"/>
              <w:left w:val="nil"/>
              <w:bottom w:val="single" w:sz="4" w:space="0" w:color="auto"/>
              <w:right w:val="single" w:sz="4" w:space="0" w:color="auto"/>
            </w:tcBorders>
            <w:shd w:val="clear" w:color="auto" w:fill="auto"/>
            <w:vAlign w:val="center"/>
            <w:hideMark/>
          </w:tcPr>
          <w:p w14:paraId="2B7A8527" w14:textId="1D5DD10A" w:rsidR="000551F9" w:rsidRPr="00587EDB" w:rsidRDefault="000551F9" w:rsidP="00FF0EE8">
            <w:pPr>
              <w:autoSpaceDE/>
              <w:autoSpaceDN/>
              <w:adjustRightInd/>
              <w:spacing w:line="240" w:lineRule="auto"/>
              <w:jc w:val="center"/>
              <w:rPr>
                <w:b/>
                <w:color w:val="000000"/>
              </w:rPr>
            </w:pPr>
            <w:r w:rsidRPr="00587EDB">
              <w:rPr>
                <w:b/>
                <w:color w:val="000000"/>
              </w:rPr>
              <w:t>Averted NRC Operation Costs</w:t>
            </w:r>
            <w:r w:rsidRPr="00587EDB">
              <w:rPr>
                <w:b/>
                <w:color w:val="000000"/>
              </w:rPr>
              <w:br/>
              <w:t>(</w:t>
            </w:r>
            <w:r w:rsidR="00A56A56" w:rsidRPr="00587EDB">
              <w:rPr>
                <w:b/>
                <w:color w:val="000000"/>
              </w:rPr>
              <w:t xml:space="preserve">2017 </w:t>
            </w:r>
            <w:r w:rsidR="003973FE">
              <w:rPr>
                <w:rFonts w:eastAsia="Times New Roman"/>
                <w:b/>
                <w:bCs/>
                <w:color w:val="000000"/>
              </w:rPr>
              <w:t>D</w:t>
            </w:r>
            <w:r w:rsidRPr="00D557C2">
              <w:rPr>
                <w:rFonts w:eastAsia="Times New Roman"/>
                <w:b/>
                <w:bCs/>
                <w:color w:val="000000"/>
              </w:rPr>
              <w:t>ollars</w:t>
            </w:r>
            <w:r w:rsidRPr="00587EDB">
              <w:rPr>
                <w:b/>
                <w:color w:val="000000"/>
              </w:rPr>
              <w:t>)</w:t>
            </w:r>
          </w:p>
        </w:tc>
      </w:tr>
      <w:tr w:rsidR="00602B86" w:rsidRPr="000551F9" w14:paraId="5748D4C0" w14:textId="77777777" w:rsidTr="004F5401">
        <w:trPr>
          <w:trHeight w:val="288"/>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070F3347" w14:textId="77777777" w:rsidR="000551F9" w:rsidRPr="00587EDB" w:rsidRDefault="000551F9" w:rsidP="00FF0EE8">
            <w:pPr>
              <w:autoSpaceDE/>
              <w:autoSpaceDN/>
              <w:adjustRightInd/>
              <w:spacing w:line="240" w:lineRule="auto"/>
              <w:jc w:val="center"/>
              <w:rPr>
                <w:b/>
                <w:color w:val="000000"/>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6D2ED6B3" w14:textId="77777777" w:rsidR="000551F9" w:rsidRPr="00587EDB" w:rsidRDefault="000551F9" w:rsidP="00FF0EE8">
            <w:pPr>
              <w:autoSpaceDE/>
              <w:autoSpaceDN/>
              <w:adjustRightInd/>
              <w:spacing w:line="240" w:lineRule="auto"/>
              <w:jc w:val="center"/>
              <w:rPr>
                <w:b/>
                <w:color w:val="000000"/>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38EF7BCD" w14:textId="77777777" w:rsidR="000551F9" w:rsidRPr="00587EDB" w:rsidRDefault="000551F9" w:rsidP="00FF0EE8">
            <w:pPr>
              <w:autoSpaceDE/>
              <w:autoSpaceDN/>
              <w:adjustRightInd/>
              <w:spacing w:line="240" w:lineRule="auto"/>
              <w:jc w:val="center"/>
              <w:rPr>
                <w:b/>
                <w:color w:val="000000"/>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566D3B2B" w14:textId="77777777" w:rsidR="000551F9" w:rsidRPr="00587EDB" w:rsidRDefault="000551F9" w:rsidP="00FF0EE8">
            <w:pPr>
              <w:autoSpaceDE/>
              <w:autoSpaceDN/>
              <w:adjustRightInd/>
              <w:spacing w:line="240" w:lineRule="auto"/>
              <w:jc w:val="center"/>
              <w:rPr>
                <w:b/>
                <w:color w:val="000000"/>
              </w:rPr>
            </w:pPr>
          </w:p>
        </w:tc>
        <w:tc>
          <w:tcPr>
            <w:tcW w:w="1533" w:type="dxa"/>
            <w:tcBorders>
              <w:top w:val="nil"/>
              <w:left w:val="nil"/>
              <w:bottom w:val="single" w:sz="4" w:space="0" w:color="auto"/>
              <w:right w:val="single" w:sz="4" w:space="0" w:color="auto"/>
            </w:tcBorders>
            <w:shd w:val="clear" w:color="auto" w:fill="auto"/>
            <w:vAlign w:val="center"/>
            <w:hideMark/>
          </w:tcPr>
          <w:p w14:paraId="3783B657" w14:textId="77777777" w:rsidR="000551F9" w:rsidRPr="00587EDB" w:rsidRDefault="000551F9" w:rsidP="00FF0EE8">
            <w:pPr>
              <w:autoSpaceDE/>
              <w:autoSpaceDN/>
              <w:adjustRightInd/>
              <w:spacing w:line="240" w:lineRule="auto"/>
              <w:jc w:val="center"/>
              <w:rPr>
                <w:b/>
                <w:color w:val="000000"/>
              </w:rPr>
            </w:pPr>
            <w:r w:rsidRPr="00587EDB">
              <w:rPr>
                <w:b/>
                <w:color w:val="000000"/>
              </w:rPr>
              <w:t>Undiscounted</w:t>
            </w:r>
          </w:p>
        </w:tc>
        <w:tc>
          <w:tcPr>
            <w:tcW w:w="1391" w:type="dxa"/>
            <w:tcBorders>
              <w:top w:val="nil"/>
              <w:left w:val="nil"/>
              <w:bottom w:val="single" w:sz="4" w:space="0" w:color="auto"/>
              <w:right w:val="single" w:sz="4" w:space="0" w:color="auto"/>
            </w:tcBorders>
            <w:shd w:val="clear" w:color="auto" w:fill="auto"/>
            <w:vAlign w:val="center"/>
            <w:hideMark/>
          </w:tcPr>
          <w:p w14:paraId="52F6F9A7" w14:textId="7ABF9D77" w:rsidR="000551F9" w:rsidRPr="00587EDB" w:rsidRDefault="000551F9" w:rsidP="00FF0EE8">
            <w:pPr>
              <w:autoSpaceDE/>
              <w:autoSpaceDN/>
              <w:adjustRightInd/>
              <w:spacing w:line="240" w:lineRule="auto"/>
              <w:jc w:val="center"/>
              <w:rPr>
                <w:b/>
                <w:color w:val="000000"/>
              </w:rPr>
            </w:pPr>
            <w:r w:rsidRPr="00587EDB">
              <w:rPr>
                <w:b/>
                <w:color w:val="000000"/>
              </w:rPr>
              <w:t xml:space="preserve">7% </w:t>
            </w:r>
            <w:r w:rsidR="000B063C">
              <w:rPr>
                <w:rFonts w:eastAsia="Times New Roman"/>
                <w:b/>
                <w:color w:val="000000"/>
              </w:rPr>
              <w:t>D</w:t>
            </w:r>
            <w:r w:rsidRPr="00D557C2">
              <w:rPr>
                <w:rFonts w:eastAsia="Times New Roman"/>
                <w:b/>
                <w:color w:val="000000"/>
              </w:rPr>
              <w:t>iscount</w:t>
            </w:r>
          </w:p>
        </w:tc>
        <w:tc>
          <w:tcPr>
            <w:tcW w:w="1391" w:type="dxa"/>
            <w:tcBorders>
              <w:top w:val="nil"/>
              <w:left w:val="nil"/>
              <w:bottom w:val="single" w:sz="4" w:space="0" w:color="auto"/>
              <w:right w:val="single" w:sz="4" w:space="0" w:color="auto"/>
            </w:tcBorders>
            <w:shd w:val="clear" w:color="auto" w:fill="auto"/>
            <w:vAlign w:val="center"/>
            <w:hideMark/>
          </w:tcPr>
          <w:p w14:paraId="67D45189" w14:textId="2408D25F" w:rsidR="000551F9" w:rsidRPr="00587EDB" w:rsidRDefault="000551F9" w:rsidP="00FF0EE8">
            <w:pPr>
              <w:autoSpaceDE/>
              <w:autoSpaceDN/>
              <w:adjustRightInd/>
              <w:spacing w:line="240" w:lineRule="auto"/>
              <w:jc w:val="center"/>
              <w:rPr>
                <w:b/>
                <w:color w:val="000000"/>
              </w:rPr>
            </w:pPr>
            <w:r w:rsidRPr="00587EDB">
              <w:rPr>
                <w:b/>
                <w:color w:val="000000"/>
              </w:rPr>
              <w:t xml:space="preserve">3% </w:t>
            </w:r>
            <w:r w:rsidR="000B063C">
              <w:rPr>
                <w:rFonts w:eastAsia="Times New Roman"/>
                <w:b/>
                <w:color w:val="000000"/>
              </w:rPr>
              <w:t>D</w:t>
            </w:r>
            <w:r w:rsidRPr="00D557C2">
              <w:rPr>
                <w:rFonts w:eastAsia="Times New Roman"/>
                <w:b/>
                <w:color w:val="000000"/>
              </w:rPr>
              <w:t>iscount</w:t>
            </w:r>
          </w:p>
        </w:tc>
      </w:tr>
      <w:tr w:rsidR="00A56A56" w:rsidRPr="000551F9" w14:paraId="4725F01B" w14:textId="77777777" w:rsidTr="004F5401">
        <w:trPr>
          <w:trHeight w:val="288"/>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016BDBE" w14:textId="77777777" w:rsidR="00A56A56" w:rsidRPr="00587EDB" w:rsidRDefault="00A56A56" w:rsidP="00FF0EE8">
            <w:pPr>
              <w:autoSpaceDE/>
              <w:autoSpaceDN/>
              <w:adjustRightInd/>
              <w:spacing w:line="240" w:lineRule="auto"/>
              <w:jc w:val="center"/>
              <w:rPr>
                <w:color w:val="000000"/>
              </w:rPr>
            </w:pPr>
            <w:r w:rsidRPr="00587EDB">
              <w:rPr>
                <w:color w:val="000000"/>
              </w:rPr>
              <w:t>2023</w:t>
            </w:r>
          </w:p>
        </w:tc>
        <w:tc>
          <w:tcPr>
            <w:tcW w:w="1445" w:type="dxa"/>
            <w:tcBorders>
              <w:top w:val="nil"/>
              <w:left w:val="nil"/>
              <w:bottom w:val="single" w:sz="4" w:space="0" w:color="auto"/>
              <w:right w:val="single" w:sz="4" w:space="0" w:color="auto"/>
            </w:tcBorders>
            <w:shd w:val="clear" w:color="auto" w:fill="auto"/>
            <w:noWrap/>
            <w:vAlign w:val="center"/>
            <w:hideMark/>
          </w:tcPr>
          <w:p w14:paraId="2379DC65" w14:textId="77777777" w:rsidR="00A56A56" w:rsidRPr="00587EDB" w:rsidRDefault="00A56A56" w:rsidP="00FF0EE8">
            <w:pPr>
              <w:autoSpaceDE/>
              <w:autoSpaceDN/>
              <w:adjustRightInd/>
              <w:spacing w:line="240" w:lineRule="auto"/>
              <w:jc w:val="center"/>
              <w:rPr>
                <w:color w:val="000000"/>
              </w:rPr>
            </w:pPr>
            <w:r w:rsidRPr="00587EDB">
              <w:rPr>
                <w:color w:val="000000"/>
              </w:rPr>
              <w:t>1</w:t>
            </w:r>
          </w:p>
        </w:tc>
        <w:tc>
          <w:tcPr>
            <w:tcW w:w="1391" w:type="dxa"/>
            <w:tcBorders>
              <w:top w:val="nil"/>
              <w:left w:val="nil"/>
              <w:bottom w:val="single" w:sz="4" w:space="0" w:color="auto"/>
              <w:right w:val="single" w:sz="4" w:space="0" w:color="auto"/>
            </w:tcBorders>
            <w:shd w:val="clear" w:color="auto" w:fill="auto"/>
            <w:noWrap/>
            <w:vAlign w:val="center"/>
            <w:hideMark/>
          </w:tcPr>
          <w:p w14:paraId="1508D547" w14:textId="77777777" w:rsidR="00A56A56" w:rsidRPr="00587EDB" w:rsidRDefault="00A56A56" w:rsidP="00FF0EE8">
            <w:pPr>
              <w:autoSpaceDE/>
              <w:autoSpaceDN/>
              <w:adjustRightInd/>
              <w:spacing w:line="240" w:lineRule="auto"/>
              <w:jc w:val="center"/>
              <w:rPr>
                <w:color w:val="000000"/>
              </w:rPr>
            </w:pPr>
            <w:r w:rsidRPr="00587EDB">
              <w:rPr>
                <w:color w:val="000000"/>
              </w:rPr>
              <w:t>120</w:t>
            </w:r>
          </w:p>
        </w:tc>
        <w:tc>
          <w:tcPr>
            <w:tcW w:w="1391" w:type="dxa"/>
            <w:tcBorders>
              <w:top w:val="nil"/>
              <w:left w:val="nil"/>
              <w:bottom w:val="single" w:sz="4" w:space="0" w:color="auto"/>
              <w:right w:val="single" w:sz="4" w:space="0" w:color="auto"/>
            </w:tcBorders>
            <w:shd w:val="clear" w:color="auto" w:fill="auto"/>
            <w:noWrap/>
            <w:vAlign w:val="center"/>
            <w:hideMark/>
          </w:tcPr>
          <w:p w14:paraId="0EEABC51" w14:textId="77777777" w:rsidR="00A56A56" w:rsidRPr="00587EDB" w:rsidRDefault="00A56A56" w:rsidP="00FF0EE8">
            <w:pPr>
              <w:autoSpaceDE/>
              <w:autoSpaceDN/>
              <w:adjustRightInd/>
              <w:spacing w:line="240" w:lineRule="auto"/>
              <w:jc w:val="center"/>
              <w:rPr>
                <w:color w:val="000000"/>
              </w:rPr>
            </w:pPr>
            <w:r w:rsidRPr="00587EDB">
              <w:rPr>
                <w:color w:val="000000"/>
              </w:rPr>
              <w:t>$128</w:t>
            </w:r>
          </w:p>
        </w:tc>
        <w:tc>
          <w:tcPr>
            <w:tcW w:w="1533" w:type="dxa"/>
            <w:tcBorders>
              <w:top w:val="nil"/>
              <w:left w:val="nil"/>
              <w:bottom w:val="single" w:sz="4" w:space="0" w:color="auto"/>
              <w:right w:val="single" w:sz="4" w:space="0" w:color="auto"/>
            </w:tcBorders>
            <w:shd w:val="clear" w:color="auto" w:fill="auto"/>
            <w:noWrap/>
            <w:vAlign w:val="center"/>
            <w:hideMark/>
          </w:tcPr>
          <w:p w14:paraId="5E4739C1" w14:textId="77777777" w:rsidR="00A56A56" w:rsidRPr="00587EDB" w:rsidRDefault="00A56A56" w:rsidP="00FF0EE8">
            <w:pPr>
              <w:autoSpaceDE/>
              <w:autoSpaceDN/>
              <w:adjustRightInd/>
              <w:spacing w:line="240" w:lineRule="auto"/>
              <w:jc w:val="center"/>
              <w:rPr>
                <w:color w:val="000000"/>
              </w:rPr>
            </w:pPr>
            <w:r w:rsidRPr="00587EDB">
              <w:t xml:space="preserve">$15,360 </w:t>
            </w:r>
          </w:p>
        </w:tc>
        <w:tc>
          <w:tcPr>
            <w:tcW w:w="1391" w:type="dxa"/>
            <w:tcBorders>
              <w:top w:val="nil"/>
              <w:left w:val="nil"/>
              <w:bottom w:val="single" w:sz="4" w:space="0" w:color="auto"/>
              <w:right w:val="single" w:sz="4" w:space="0" w:color="auto"/>
            </w:tcBorders>
            <w:shd w:val="clear" w:color="auto" w:fill="auto"/>
            <w:vAlign w:val="center"/>
            <w:hideMark/>
          </w:tcPr>
          <w:p w14:paraId="6D7F8225" w14:textId="77777777" w:rsidR="00A56A56" w:rsidRPr="00587EDB" w:rsidRDefault="00A56A56" w:rsidP="00FF0EE8">
            <w:pPr>
              <w:autoSpaceDE/>
              <w:autoSpaceDN/>
              <w:adjustRightInd/>
              <w:spacing w:line="240" w:lineRule="auto"/>
              <w:jc w:val="center"/>
              <w:rPr>
                <w:color w:val="000000"/>
              </w:rPr>
            </w:pPr>
            <w:r w:rsidRPr="00587EDB">
              <w:t xml:space="preserve">$10,235 </w:t>
            </w:r>
          </w:p>
        </w:tc>
        <w:tc>
          <w:tcPr>
            <w:tcW w:w="1391" w:type="dxa"/>
            <w:tcBorders>
              <w:top w:val="nil"/>
              <w:left w:val="nil"/>
              <w:bottom w:val="single" w:sz="4" w:space="0" w:color="auto"/>
              <w:right w:val="single" w:sz="4" w:space="0" w:color="auto"/>
            </w:tcBorders>
            <w:shd w:val="clear" w:color="auto" w:fill="auto"/>
            <w:vAlign w:val="center"/>
            <w:hideMark/>
          </w:tcPr>
          <w:p w14:paraId="4FB0A7E6" w14:textId="77777777" w:rsidR="00A56A56" w:rsidRPr="00587EDB" w:rsidRDefault="00A56A56" w:rsidP="00FF0EE8">
            <w:pPr>
              <w:autoSpaceDE/>
              <w:autoSpaceDN/>
              <w:adjustRightInd/>
              <w:spacing w:line="240" w:lineRule="auto"/>
              <w:jc w:val="center"/>
              <w:rPr>
                <w:color w:val="000000"/>
              </w:rPr>
            </w:pPr>
            <w:r w:rsidRPr="00587EDB">
              <w:t xml:space="preserve">$12,864 </w:t>
            </w:r>
          </w:p>
        </w:tc>
      </w:tr>
      <w:tr w:rsidR="00A56A56" w:rsidRPr="000551F9" w14:paraId="750D34C0" w14:textId="77777777" w:rsidTr="004F5401">
        <w:trPr>
          <w:trHeight w:val="288"/>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5791593" w14:textId="77777777" w:rsidR="00A56A56" w:rsidRPr="00587EDB" w:rsidRDefault="00A56A56" w:rsidP="00FF0EE8">
            <w:pPr>
              <w:autoSpaceDE/>
              <w:autoSpaceDN/>
              <w:adjustRightInd/>
              <w:spacing w:line="240" w:lineRule="auto"/>
              <w:jc w:val="center"/>
              <w:rPr>
                <w:color w:val="000000"/>
              </w:rPr>
            </w:pPr>
            <w:r w:rsidRPr="00587EDB">
              <w:rPr>
                <w:color w:val="000000"/>
              </w:rPr>
              <w:t>2025</w:t>
            </w:r>
          </w:p>
        </w:tc>
        <w:tc>
          <w:tcPr>
            <w:tcW w:w="1445" w:type="dxa"/>
            <w:tcBorders>
              <w:top w:val="nil"/>
              <w:left w:val="nil"/>
              <w:bottom w:val="single" w:sz="4" w:space="0" w:color="auto"/>
              <w:right w:val="single" w:sz="4" w:space="0" w:color="auto"/>
            </w:tcBorders>
            <w:shd w:val="clear" w:color="auto" w:fill="auto"/>
            <w:noWrap/>
            <w:vAlign w:val="center"/>
            <w:hideMark/>
          </w:tcPr>
          <w:p w14:paraId="613D731B" w14:textId="77777777" w:rsidR="00A56A56" w:rsidRPr="00587EDB" w:rsidRDefault="00A56A56" w:rsidP="00FF0EE8">
            <w:pPr>
              <w:autoSpaceDE/>
              <w:autoSpaceDN/>
              <w:adjustRightInd/>
              <w:spacing w:line="240" w:lineRule="auto"/>
              <w:jc w:val="center"/>
              <w:rPr>
                <w:color w:val="000000"/>
              </w:rPr>
            </w:pPr>
            <w:r w:rsidRPr="00587EDB">
              <w:rPr>
                <w:color w:val="000000"/>
              </w:rPr>
              <w:t>1</w:t>
            </w:r>
          </w:p>
        </w:tc>
        <w:tc>
          <w:tcPr>
            <w:tcW w:w="1391" w:type="dxa"/>
            <w:tcBorders>
              <w:top w:val="nil"/>
              <w:left w:val="nil"/>
              <w:bottom w:val="single" w:sz="4" w:space="0" w:color="auto"/>
              <w:right w:val="single" w:sz="4" w:space="0" w:color="auto"/>
            </w:tcBorders>
            <w:shd w:val="clear" w:color="auto" w:fill="auto"/>
            <w:noWrap/>
            <w:vAlign w:val="center"/>
            <w:hideMark/>
          </w:tcPr>
          <w:p w14:paraId="0D75B053" w14:textId="77777777" w:rsidR="00A56A56" w:rsidRPr="00587EDB" w:rsidRDefault="00A56A56" w:rsidP="00FF0EE8">
            <w:pPr>
              <w:autoSpaceDE/>
              <w:autoSpaceDN/>
              <w:adjustRightInd/>
              <w:spacing w:line="240" w:lineRule="auto"/>
              <w:jc w:val="center"/>
              <w:rPr>
                <w:color w:val="000000"/>
              </w:rPr>
            </w:pPr>
            <w:r w:rsidRPr="00587EDB">
              <w:rPr>
                <w:color w:val="000000"/>
              </w:rPr>
              <w:t>120</w:t>
            </w:r>
          </w:p>
        </w:tc>
        <w:tc>
          <w:tcPr>
            <w:tcW w:w="1391" w:type="dxa"/>
            <w:tcBorders>
              <w:top w:val="nil"/>
              <w:left w:val="nil"/>
              <w:bottom w:val="single" w:sz="4" w:space="0" w:color="auto"/>
              <w:right w:val="single" w:sz="4" w:space="0" w:color="auto"/>
            </w:tcBorders>
            <w:shd w:val="clear" w:color="auto" w:fill="auto"/>
            <w:noWrap/>
            <w:vAlign w:val="center"/>
            <w:hideMark/>
          </w:tcPr>
          <w:p w14:paraId="76FA07A3" w14:textId="77777777" w:rsidR="00A56A56" w:rsidRPr="00587EDB" w:rsidRDefault="00A56A56" w:rsidP="00FF0EE8">
            <w:pPr>
              <w:autoSpaceDE/>
              <w:autoSpaceDN/>
              <w:adjustRightInd/>
              <w:spacing w:line="240" w:lineRule="auto"/>
              <w:jc w:val="center"/>
              <w:rPr>
                <w:color w:val="000000"/>
              </w:rPr>
            </w:pPr>
            <w:r w:rsidRPr="00587EDB">
              <w:rPr>
                <w:color w:val="000000"/>
              </w:rPr>
              <w:t>$128</w:t>
            </w:r>
          </w:p>
        </w:tc>
        <w:tc>
          <w:tcPr>
            <w:tcW w:w="1533" w:type="dxa"/>
            <w:tcBorders>
              <w:top w:val="nil"/>
              <w:left w:val="nil"/>
              <w:bottom w:val="single" w:sz="4" w:space="0" w:color="auto"/>
              <w:right w:val="single" w:sz="4" w:space="0" w:color="auto"/>
            </w:tcBorders>
            <w:shd w:val="clear" w:color="auto" w:fill="auto"/>
            <w:noWrap/>
            <w:vAlign w:val="center"/>
            <w:hideMark/>
          </w:tcPr>
          <w:p w14:paraId="7103EDD9" w14:textId="77777777" w:rsidR="00A56A56" w:rsidRPr="00587EDB" w:rsidRDefault="00A56A56" w:rsidP="00FF0EE8">
            <w:pPr>
              <w:autoSpaceDE/>
              <w:autoSpaceDN/>
              <w:adjustRightInd/>
              <w:spacing w:line="240" w:lineRule="auto"/>
              <w:jc w:val="center"/>
              <w:rPr>
                <w:color w:val="000000"/>
              </w:rPr>
            </w:pPr>
            <w:r w:rsidRPr="00587EDB">
              <w:t xml:space="preserve">$15,360 </w:t>
            </w:r>
          </w:p>
        </w:tc>
        <w:tc>
          <w:tcPr>
            <w:tcW w:w="1391" w:type="dxa"/>
            <w:tcBorders>
              <w:top w:val="nil"/>
              <w:left w:val="nil"/>
              <w:bottom w:val="single" w:sz="4" w:space="0" w:color="auto"/>
              <w:right w:val="single" w:sz="4" w:space="0" w:color="auto"/>
            </w:tcBorders>
            <w:shd w:val="clear" w:color="auto" w:fill="auto"/>
            <w:vAlign w:val="center"/>
            <w:hideMark/>
          </w:tcPr>
          <w:p w14:paraId="3EC8A4EE" w14:textId="77777777" w:rsidR="00A56A56" w:rsidRPr="00587EDB" w:rsidRDefault="00A56A56" w:rsidP="00FF0EE8">
            <w:pPr>
              <w:autoSpaceDE/>
              <w:autoSpaceDN/>
              <w:adjustRightInd/>
              <w:spacing w:line="240" w:lineRule="auto"/>
              <w:jc w:val="center"/>
              <w:rPr>
                <w:color w:val="000000"/>
              </w:rPr>
            </w:pPr>
            <w:r w:rsidRPr="00587EDB">
              <w:t xml:space="preserve">$13,416 </w:t>
            </w:r>
          </w:p>
        </w:tc>
        <w:tc>
          <w:tcPr>
            <w:tcW w:w="1391" w:type="dxa"/>
            <w:tcBorders>
              <w:top w:val="nil"/>
              <w:left w:val="nil"/>
              <w:bottom w:val="single" w:sz="4" w:space="0" w:color="auto"/>
              <w:right w:val="single" w:sz="4" w:space="0" w:color="auto"/>
            </w:tcBorders>
            <w:shd w:val="clear" w:color="auto" w:fill="auto"/>
            <w:vAlign w:val="center"/>
            <w:hideMark/>
          </w:tcPr>
          <w:p w14:paraId="326C051F" w14:textId="77777777" w:rsidR="00A56A56" w:rsidRPr="00587EDB" w:rsidRDefault="00A56A56" w:rsidP="00FF0EE8">
            <w:pPr>
              <w:autoSpaceDE/>
              <w:autoSpaceDN/>
              <w:adjustRightInd/>
              <w:spacing w:line="240" w:lineRule="auto"/>
              <w:jc w:val="center"/>
              <w:rPr>
                <w:color w:val="000000"/>
              </w:rPr>
            </w:pPr>
            <w:r w:rsidRPr="00587EDB">
              <w:t xml:space="preserve">$14,478 </w:t>
            </w:r>
          </w:p>
        </w:tc>
      </w:tr>
      <w:tr w:rsidR="00A56A56" w:rsidRPr="000551F9" w14:paraId="56AD206D" w14:textId="77777777" w:rsidTr="004F5401">
        <w:trPr>
          <w:trHeight w:val="288"/>
          <w:jc w:val="center"/>
        </w:trPr>
        <w:tc>
          <w:tcPr>
            <w:tcW w:w="50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D9653" w14:textId="77777777" w:rsidR="00A56A56" w:rsidRPr="00587EDB" w:rsidRDefault="00A56A56" w:rsidP="00FF0EE8">
            <w:pPr>
              <w:autoSpaceDE/>
              <w:autoSpaceDN/>
              <w:adjustRightInd/>
              <w:spacing w:line="240" w:lineRule="auto"/>
              <w:jc w:val="right"/>
              <w:rPr>
                <w:b/>
                <w:color w:val="000000"/>
              </w:rPr>
            </w:pPr>
            <w:r w:rsidRPr="00587EDB">
              <w:rPr>
                <w:b/>
                <w:color w:val="000000"/>
              </w:rPr>
              <w:t>Total</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1C6CA946" w14:textId="19137E64" w:rsidR="00A56A56" w:rsidRPr="00587EDB" w:rsidRDefault="001A605C" w:rsidP="00FF0EE8">
            <w:pPr>
              <w:autoSpaceDE/>
              <w:autoSpaceDN/>
              <w:adjustRightInd/>
              <w:spacing w:line="240" w:lineRule="auto"/>
              <w:jc w:val="center"/>
              <w:rPr>
                <w:b/>
                <w:color w:val="000000"/>
              </w:rPr>
            </w:pPr>
            <w:r>
              <w:rPr>
                <w:b/>
                <w:color w:val="000000"/>
              </w:rPr>
              <w:t>30,70</w:t>
            </w:r>
            <w:r w:rsidR="00A56A56" w:rsidRPr="00587EDB">
              <w:rPr>
                <w:b/>
                <w:color w:val="000000"/>
              </w:rPr>
              <w:t>0</w:t>
            </w:r>
          </w:p>
        </w:tc>
        <w:tc>
          <w:tcPr>
            <w:tcW w:w="1391" w:type="dxa"/>
            <w:tcBorders>
              <w:top w:val="nil"/>
              <w:left w:val="nil"/>
              <w:bottom w:val="single" w:sz="4" w:space="0" w:color="auto"/>
              <w:right w:val="single" w:sz="4" w:space="0" w:color="auto"/>
            </w:tcBorders>
            <w:shd w:val="clear" w:color="auto" w:fill="auto"/>
            <w:noWrap/>
            <w:vAlign w:val="center"/>
            <w:hideMark/>
          </w:tcPr>
          <w:p w14:paraId="0FA6A1F9" w14:textId="4814F928" w:rsidR="00A56A56" w:rsidRPr="00587EDB" w:rsidRDefault="001A605C" w:rsidP="00FF0EE8">
            <w:pPr>
              <w:autoSpaceDE/>
              <w:autoSpaceDN/>
              <w:adjustRightInd/>
              <w:spacing w:line="240" w:lineRule="auto"/>
              <w:jc w:val="center"/>
              <w:rPr>
                <w:b/>
                <w:color w:val="000000"/>
              </w:rPr>
            </w:pPr>
            <w:r>
              <w:rPr>
                <w:b/>
                <w:color w:val="000000"/>
              </w:rPr>
              <w:t>$23</w:t>
            </w:r>
            <w:r w:rsidR="00A56A56" w:rsidRPr="00587EDB">
              <w:rPr>
                <w:b/>
                <w:color w:val="000000"/>
              </w:rPr>
              <w:t>,700</w:t>
            </w:r>
          </w:p>
        </w:tc>
        <w:tc>
          <w:tcPr>
            <w:tcW w:w="1391" w:type="dxa"/>
            <w:tcBorders>
              <w:top w:val="nil"/>
              <w:left w:val="nil"/>
              <w:bottom w:val="single" w:sz="4" w:space="0" w:color="auto"/>
              <w:right w:val="single" w:sz="4" w:space="0" w:color="auto"/>
            </w:tcBorders>
            <w:shd w:val="clear" w:color="auto" w:fill="auto"/>
            <w:noWrap/>
            <w:vAlign w:val="center"/>
            <w:hideMark/>
          </w:tcPr>
          <w:p w14:paraId="06A08223" w14:textId="77777777" w:rsidR="00A56A56" w:rsidRPr="00587EDB" w:rsidRDefault="00A56A56" w:rsidP="00FF0EE8">
            <w:pPr>
              <w:autoSpaceDE/>
              <w:autoSpaceDN/>
              <w:adjustRightInd/>
              <w:spacing w:line="240" w:lineRule="auto"/>
              <w:jc w:val="center"/>
              <w:rPr>
                <w:b/>
                <w:color w:val="000000"/>
              </w:rPr>
            </w:pPr>
            <w:r w:rsidRPr="00587EDB">
              <w:rPr>
                <w:b/>
                <w:color w:val="000000"/>
              </w:rPr>
              <w:t>$27,300</w:t>
            </w:r>
          </w:p>
        </w:tc>
      </w:tr>
    </w:tbl>
    <w:p w14:paraId="4AC1D9C7" w14:textId="4B2BAEE8" w:rsidR="00F834D9" w:rsidRDefault="00F834D9" w:rsidP="00FF0EE8">
      <w:pPr>
        <w:spacing w:line="240" w:lineRule="auto"/>
        <w:rPr>
          <w:sz w:val="18"/>
        </w:rPr>
      </w:pPr>
      <w:r w:rsidRPr="007B793C">
        <w:rPr>
          <w:sz w:val="18"/>
        </w:rPr>
        <w:t xml:space="preserve">* </w:t>
      </w:r>
      <w:r w:rsidR="000B063C">
        <w:rPr>
          <w:sz w:val="18"/>
        </w:rPr>
        <w:t>Rounding</w:t>
      </w:r>
      <w:r w:rsidR="000B063C" w:rsidRPr="007B793C">
        <w:rPr>
          <w:sz w:val="18"/>
        </w:rPr>
        <w:t xml:space="preserve"> </w:t>
      </w:r>
      <w:r w:rsidRPr="007B793C">
        <w:rPr>
          <w:sz w:val="18"/>
        </w:rPr>
        <w:t>may</w:t>
      </w:r>
      <w:r w:rsidR="000B063C">
        <w:rPr>
          <w:sz w:val="18"/>
        </w:rPr>
        <w:t xml:space="preserve"> have caused</w:t>
      </w:r>
      <w:r w:rsidRPr="007B793C">
        <w:rPr>
          <w:sz w:val="18"/>
        </w:rPr>
        <w:t xml:space="preserve"> discrepancies in </w:t>
      </w:r>
      <w:r w:rsidR="000B063C">
        <w:rPr>
          <w:sz w:val="18"/>
        </w:rPr>
        <w:t xml:space="preserve">the </w:t>
      </w:r>
      <w:r w:rsidRPr="007B793C">
        <w:rPr>
          <w:sz w:val="18"/>
        </w:rPr>
        <w:t>calculations.</w:t>
      </w:r>
    </w:p>
    <w:p w14:paraId="09CC7B84" w14:textId="77777777" w:rsidR="00D07194" w:rsidRDefault="00F834D9" w:rsidP="00FF0EE8">
      <w:pPr>
        <w:spacing w:line="240" w:lineRule="auto"/>
        <w:rPr>
          <w:sz w:val="18"/>
        </w:rPr>
      </w:pPr>
      <w:r>
        <w:rPr>
          <w:sz w:val="18"/>
        </w:rPr>
        <w:t xml:space="preserve">** All values are in </w:t>
      </w:r>
      <w:r w:rsidR="00A56A56">
        <w:rPr>
          <w:sz w:val="18"/>
        </w:rPr>
        <w:t xml:space="preserve">2017 </w:t>
      </w:r>
      <w:r>
        <w:rPr>
          <w:sz w:val="18"/>
        </w:rPr>
        <w:t>dollars</w:t>
      </w:r>
      <w:r w:rsidR="000B063C">
        <w:rPr>
          <w:sz w:val="18"/>
        </w:rPr>
        <w:t>.</w:t>
      </w:r>
    </w:p>
    <w:p w14:paraId="4561DF23" w14:textId="77777777" w:rsidR="00955C07" w:rsidRDefault="00955C07" w:rsidP="00FF0EE8">
      <w:pPr>
        <w:spacing w:line="240" w:lineRule="auto"/>
        <w:rPr>
          <w:sz w:val="18"/>
        </w:rPr>
      </w:pPr>
    </w:p>
    <w:p w14:paraId="56BA2D03" w14:textId="72D8CD05" w:rsidR="00955C07" w:rsidRDefault="00F27444" w:rsidP="00FF0EE8">
      <w:pPr>
        <w:spacing w:line="240" w:lineRule="auto"/>
      </w:pPr>
      <w:r>
        <w:t>The total net averted operation cost for NRC and industry is $2.52</w:t>
      </w:r>
      <w:r w:rsidRPr="00F27444">
        <w:t xml:space="preserve"> million using</w:t>
      </w:r>
      <w:r>
        <w:t xml:space="preserve"> a 7-percent discount rate to $2.81</w:t>
      </w:r>
      <w:r w:rsidRPr="00F27444">
        <w:t xml:space="preserve"> million using a 3-percent discount rate.</w:t>
      </w:r>
    </w:p>
    <w:p w14:paraId="04AB30BA" w14:textId="77777777" w:rsidR="0002547F" w:rsidRDefault="0002547F" w:rsidP="00FF0EE8">
      <w:pPr>
        <w:pStyle w:val="Heading3"/>
        <w:spacing w:line="240" w:lineRule="auto"/>
        <w:ind w:left="540"/>
      </w:pPr>
      <w:bookmarkStart w:id="229" w:name="_Ref386985648"/>
      <w:bookmarkStart w:id="230" w:name="_Toc462224972"/>
      <w:bookmarkStart w:id="231" w:name="_Toc468875931"/>
      <w:r>
        <w:t>NRC Operation Averted Cost Sensitivity</w:t>
      </w:r>
      <w:bookmarkEnd w:id="229"/>
      <w:bookmarkEnd w:id="230"/>
      <w:bookmarkEnd w:id="231"/>
    </w:p>
    <w:p w14:paraId="367904C5" w14:textId="77777777" w:rsidR="0002547F" w:rsidRDefault="0002547F" w:rsidP="00FF0EE8">
      <w:pPr>
        <w:keepNext/>
        <w:spacing w:line="240" w:lineRule="auto"/>
      </w:pPr>
    </w:p>
    <w:p w14:paraId="5BB8D20E" w14:textId="6972F28D" w:rsidR="0002547F" w:rsidRPr="00825CE6" w:rsidRDefault="0002547F" w:rsidP="00FF0EE8">
      <w:pPr>
        <w:spacing w:line="240" w:lineRule="auto"/>
      </w:pPr>
      <w:r>
        <w:t xml:space="preserve">Although </w:t>
      </w:r>
      <w:r w:rsidRPr="00BD3549">
        <w:t xml:space="preserve">incorporating the most recent </w:t>
      </w:r>
      <w:r w:rsidR="00E1261B">
        <w:t>RG</w:t>
      </w:r>
      <w:r w:rsidRPr="00BD3549">
        <w:t xml:space="preserve">s </w:t>
      </w:r>
      <w:r w:rsidR="00E1261B">
        <w:t xml:space="preserve">that </w:t>
      </w:r>
      <w:r w:rsidRPr="00BD3549">
        <w:t>list NRC</w:t>
      </w:r>
      <w:r w:rsidR="00E1261B">
        <w:noBreakHyphen/>
      </w:r>
      <w:r w:rsidRPr="00BD3549">
        <w:t xml:space="preserve">approved </w:t>
      </w:r>
      <w:r w:rsidR="00AE121B">
        <w:t>Code Cases</w:t>
      </w:r>
      <w:r w:rsidRPr="00BD3549">
        <w:t xml:space="preserve"> by reference into the</w:t>
      </w:r>
      <w:r w:rsidRPr="00BD3549">
        <w:rPr>
          <w:i/>
        </w:rPr>
        <w:t xml:space="preserve"> Code of Federal Regulations</w:t>
      </w:r>
      <w:r>
        <w:t xml:space="preserve"> </w:t>
      </w:r>
      <w:r w:rsidR="008F5C84">
        <w:t xml:space="preserve">could </w:t>
      </w:r>
      <w:r>
        <w:t xml:space="preserve">decrease NRC operation costs, the NRC has not received data from licensees stating the number of planned ASME Code </w:t>
      </w:r>
      <w:r w:rsidR="001C19EA">
        <w:t>Case</w:t>
      </w:r>
      <w:r>
        <w:t xml:space="preserve"> </w:t>
      </w:r>
      <w:r w:rsidR="001B5DD8">
        <w:t xml:space="preserve">alternative request </w:t>
      </w:r>
      <w:r>
        <w:t xml:space="preserve">submittals that will no longer be necessary.  Because of such uncertainty in </w:t>
      </w:r>
      <w:r w:rsidR="00803F9D">
        <w:t xml:space="preserve">the reduced number of planned ASME Code </w:t>
      </w:r>
      <w:r w:rsidR="001C19EA">
        <w:t>Case</w:t>
      </w:r>
      <w:r w:rsidR="00803F9D">
        <w:t xml:space="preserve"> </w:t>
      </w:r>
      <w:r w:rsidR="001B5DD8">
        <w:t xml:space="preserve">alternative request </w:t>
      </w:r>
      <w:r w:rsidR="00803F9D">
        <w:t>submittals</w:t>
      </w:r>
      <w:r>
        <w:t xml:space="preserve">, the NRC made conservative estimates on the number of Code </w:t>
      </w:r>
      <w:r w:rsidR="001C19EA">
        <w:t>Case</w:t>
      </w:r>
      <w:r>
        <w:t xml:space="preserve"> </w:t>
      </w:r>
      <w:r w:rsidR="001B5DD8">
        <w:t xml:space="preserve">alternative request </w:t>
      </w:r>
      <w:r>
        <w:t xml:space="preserve">submittals </w:t>
      </w:r>
      <w:r w:rsidR="00BC19FA">
        <w:t xml:space="preserve">averted </w:t>
      </w:r>
      <w:r>
        <w:t xml:space="preserve">and the amount of </w:t>
      </w:r>
      <w:r w:rsidR="00803F9D">
        <w:t>NRC</w:t>
      </w:r>
      <w:r>
        <w:t xml:space="preserve"> resources that would have been otherwise required to </w:t>
      </w:r>
      <w:r w:rsidR="00803F9D">
        <w:t>review</w:t>
      </w:r>
      <w:r>
        <w:t xml:space="preserve"> these submittals.  </w:t>
      </w:r>
      <w:r w:rsidR="00E036D5">
        <w:t>V</w:t>
      </w:r>
      <w:r w:rsidR="00BC19FA">
        <w:t>erify</w:t>
      </w:r>
      <w:r w:rsidR="00E036D5">
        <w:t>ing</w:t>
      </w:r>
      <w:r w:rsidR="00BC19FA">
        <w:t xml:space="preserve"> these estimates</w:t>
      </w:r>
      <w:r w:rsidR="00E036D5">
        <w:t xml:space="preserve"> would require</w:t>
      </w:r>
      <w:r w:rsidR="00BC19FA">
        <w:t xml:space="preserve"> </w:t>
      </w:r>
      <w:r w:rsidR="00803F9D">
        <w:t xml:space="preserve">industry feedback or </w:t>
      </w:r>
      <w:r>
        <w:t xml:space="preserve">empirical testing.  </w:t>
      </w:r>
      <w:r w:rsidR="00BC19FA">
        <w:t>If</w:t>
      </w:r>
      <w:r>
        <w:t xml:space="preserve"> </w:t>
      </w:r>
      <w:r w:rsidR="00E036D5">
        <w:t xml:space="preserve">the affected licensees do not use </w:t>
      </w:r>
      <w:r>
        <w:t>the NRC</w:t>
      </w:r>
      <w:r w:rsidR="000551F9">
        <w:noBreakHyphen/>
      </w:r>
      <w:r>
        <w:t xml:space="preserve">approved </w:t>
      </w:r>
      <w:r w:rsidR="00AE121B">
        <w:t>Code Cases</w:t>
      </w:r>
      <w:r w:rsidR="00803F9D">
        <w:t xml:space="preserve"> considered in this analysis</w:t>
      </w:r>
      <w:r>
        <w:t xml:space="preserve">, the potential averted </w:t>
      </w:r>
      <w:r w:rsidR="00803F9D">
        <w:t xml:space="preserve">NRC </w:t>
      </w:r>
      <w:r>
        <w:t xml:space="preserve">operation costs presented in </w:t>
      </w:r>
      <w:r w:rsidR="00C814F6" w:rsidRPr="000D50A2">
        <w:fldChar w:fldCharType="begin"/>
      </w:r>
      <w:r w:rsidR="00C814F6" w:rsidRPr="000D50A2">
        <w:instrText xml:space="preserve"> REF _Ref421271922 \h </w:instrText>
      </w:r>
      <w:r w:rsidR="00795C9A" w:rsidRPr="00D557C2">
        <w:instrText xml:space="preserve"> \* MERGEFORMAT </w:instrText>
      </w:r>
      <w:r w:rsidR="00C814F6" w:rsidRPr="000D50A2">
        <w:fldChar w:fldCharType="separate"/>
      </w:r>
      <w:r w:rsidR="00FD3AB6" w:rsidRPr="00FD3AB6">
        <w:t xml:space="preserve">Table </w:t>
      </w:r>
      <w:r w:rsidR="00FD3AB6" w:rsidRPr="00FD3AB6">
        <w:rPr>
          <w:noProof/>
        </w:rPr>
        <w:t>18</w:t>
      </w:r>
      <w:r w:rsidR="00C814F6" w:rsidRPr="000D50A2">
        <w:fldChar w:fldCharType="end"/>
      </w:r>
      <w:r w:rsidR="00C814F6" w:rsidRPr="006E5706">
        <w:t xml:space="preserve"> </w:t>
      </w:r>
      <w:r w:rsidR="00766DB6" w:rsidRPr="000D50A2">
        <w:t xml:space="preserve">and </w:t>
      </w:r>
      <w:r w:rsidR="00C814F6" w:rsidRPr="000D50A2">
        <w:fldChar w:fldCharType="begin"/>
      </w:r>
      <w:r w:rsidR="00C814F6" w:rsidRPr="000D50A2">
        <w:instrText xml:space="preserve"> REF _Ref420421393 \h </w:instrText>
      </w:r>
      <w:r w:rsidR="00795C9A" w:rsidRPr="00D557C2">
        <w:instrText xml:space="preserve"> \* MERGEFORMAT </w:instrText>
      </w:r>
      <w:r w:rsidR="00C814F6" w:rsidRPr="000D50A2">
        <w:fldChar w:fldCharType="separate"/>
      </w:r>
      <w:r w:rsidR="00FD3AB6" w:rsidRPr="00FD3AB6">
        <w:t xml:space="preserve">Table </w:t>
      </w:r>
      <w:r w:rsidR="00FD3AB6" w:rsidRPr="00FD3AB6">
        <w:rPr>
          <w:noProof/>
        </w:rPr>
        <w:t>19</w:t>
      </w:r>
      <w:r w:rsidR="00C814F6" w:rsidRPr="000D50A2">
        <w:fldChar w:fldCharType="end"/>
      </w:r>
      <w:r w:rsidR="00766DB6">
        <w:t xml:space="preserve"> </w:t>
      </w:r>
      <w:r>
        <w:t>are overstated.</w:t>
      </w:r>
    </w:p>
    <w:p w14:paraId="5C5F50C8" w14:textId="77777777" w:rsidR="00CD44E8" w:rsidRDefault="00CD44E8" w:rsidP="00FF0EE8">
      <w:pPr>
        <w:pStyle w:val="Heading2"/>
        <w:spacing w:line="240" w:lineRule="auto"/>
        <w:ind w:left="540" w:hanging="522"/>
      </w:pPr>
      <w:bookmarkStart w:id="232" w:name="_Toc462224973"/>
      <w:bookmarkStart w:id="233" w:name="_Toc468875932"/>
      <w:r>
        <w:t>Improvements in Knowledge</w:t>
      </w:r>
      <w:bookmarkEnd w:id="232"/>
      <w:bookmarkEnd w:id="233"/>
    </w:p>
    <w:p w14:paraId="4FAADF7F" w14:textId="77777777" w:rsidR="00CD44E8" w:rsidRDefault="00CD44E8" w:rsidP="00FF0EE8">
      <w:pPr>
        <w:keepNext/>
        <w:spacing w:line="240" w:lineRule="auto"/>
      </w:pPr>
    </w:p>
    <w:p w14:paraId="694CF8FB" w14:textId="1DA05C72" w:rsidR="00CD44E8" w:rsidRPr="00BD3549" w:rsidRDefault="00CD44E8" w:rsidP="00FF0EE8">
      <w:pPr>
        <w:spacing w:line="240" w:lineRule="auto"/>
      </w:pPr>
      <w:r>
        <w:t>Alternative</w:t>
      </w:r>
      <w:r w:rsidR="00E036D5">
        <w:t> </w:t>
      </w:r>
      <w:r>
        <w:t>2 relative to the regulatory baseline (alternative</w:t>
      </w:r>
      <w:r w:rsidR="00E036D5">
        <w:t> </w:t>
      </w:r>
      <w:r>
        <w:t xml:space="preserve">1) would improve </w:t>
      </w:r>
      <w:r w:rsidR="00BC19FA">
        <w:t xml:space="preserve">the </w:t>
      </w:r>
      <w:r>
        <w:t xml:space="preserve">knowledge </w:t>
      </w:r>
      <w:r w:rsidR="00BC19FA">
        <w:t xml:space="preserve">of </w:t>
      </w:r>
      <w:r>
        <w:t xml:space="preserve">industry and NRC staff by </w:t>
      </w:r>
      <w:r w:rsidR="00E036D5">
        <w:t xml:space="preserve">allowing them to </w:t>
      </w:r>
      <w:r w:rsidRPr="00BD3549">
        <w:t xml:space="preserve">gain experience with new technology </w:t>
      </w:r>
      <w:r w:rsidR="00164305">
        <w:t>before</w:t>
      </w:r>
      <w:r w:rsidRPr="00BD3549">
        <w:t xml:space="preserve"> </w:t>
      </w:r>
      <w:r w:rsidR="00CC69F3">
        <w:t xml:space="preserve">its </w:t>
      </w:r>
      <w:r w:rsidRPr="00BD3549">
        <w:t xml:space="preserve">incorporation into the ASME Code </w:t>
      </w:r>
      <w:r>
        <w:t xml:space="preserve">and </w:t>
      </w:r>
      <w:r w:rsidR="00E036D5">
        <w:t xml:space="preserve">by </w:t>
      </w:r>
      <w:r w:rsidRPr="00BD3549">
        <w:t>permit</w:t>
      </w:r>
      <w:r>
        <w:t>ting</w:t>
      </w:r>
      <w:r w:rsidRPr="00BD3549">
        <w:t xml:space="preserve"> licensees to </w:t>
      </w:r>
      <w:r>
        <w:t>use advancements in ISI and IST.</w:t>
      </w:r>
      <w:r w:rsidR="00F87A16">
        <w:t xml:space="preserve">  Developing greater knowledge and common understanding of the </w:t>
      </w:r>
      <w:r w:rsidR="00E036D5">
        <w:t xml:space="preserve">ASME </w:t>
      </w:r>
      <w:r w:rsidR="00F87A16">
        <w:t>Code</w:t>
      </w:r>
      <w:r w:rsidR="00E036D5">
        <w:t xml:space="preserve">, as well as </w:t>
      </w:r>
      <w:r w:rsidR="00F87A16">
        <w:t>eliminating unnecessary work</w:t>
      </w:r>
      <w:r w:rsidR="00E036D5">
        <w:t>,</w:t>
      </w:r>
      <w:r w:rsidR="00F87A16">
        <w:t xml:space="preserve"> better enables industry and </w:t>
      </w:r>
      <w:r w:rsidR="00E036D5">
        <w:t xml:space="preserve">the </w:t>
      </w:r>
      <w:r w:rsidR="00F87A16">
        <w:t>NRC staff to produce desired on</w:t>
      </w:r>
      <w:r w:rsidR="00E036D5">
        <w:noBreakHyphen/>
      </w:r>
      <w:r w:rsidR="00F87A16">
        <w:t>the</w:t>
      </w:r>
      <w:r w:rsidR="00E036D5">
        <w:noBreakHyphen/>
      </w:r>
      <w:r w:rsidR="00F87A16">
        <w:t>job results, which leads to pride in performance and increased job satisfaction.</w:t>
      </w:r>
    </w:p>
    <w:p w14:paraId="48F899F6" w14:textId="77777777" w:rsidR="00337CB2" w:rsidRDefault="00337CB2" w:rsidP="00FF0EE8">
      <w:pPr>
        <w:pStyle w:val="Heading2"/>
        <w:spacing w:line="240" w:lineRule="auto"/>
        <w:ind w:left="540" w:hanging="522"/>
      </w:pPr>
      <w:bookmarkStart w:id="234" w:name="_Toc462224974"/>
      <w:bookmarkStart w:id="235" w:name="_Toc468875933"/>
      <w:r>
        <w:t>Regulatory Efficiency</w:t>
      </w:r>
      <w:bookmarkEnd w:id="234"/>
      <w:bookmarkEnd w:id="235"/>
    </w:p>
    <w:p w14:paraId="043757F9" w14:textId="77777777" w:rsidR="00337CB2" w:rsidRDefault="00337CB2" w:rsidP="00FF0EE8">
      <w:pPr>
        <w:keepNext/>
        <w:spacing w:line="240" w:lineRule="auto"/>
      </w:pPr>
    </w:p>
    <w:p w14:paraId="5A36AA9F" w14:textId="7DDD38B3" w:rsidR="00337CB2" w:rsidRPr="00BD3549" w:rsidRDefault="0019789F" w:rsidP="00FF0EE8">
      <w:pPr>
        <w:spacing w:line="240" w:lineRule="auto"/>
      </w:pPr>
      <w:r w:rsidRPr="002B08D8">
        <w:t>Alternative</w:t>
      </w:r>
      <w:r w:rsidR="00E036D5">
        <w:t> </w:t>
      </w:r>
      <w:r w:rsidRPr="002B08D8">
        <w:t>2</w:t>
      </w:r>
      <w:r w:rsidR="00CC69F3">
        <w:t>,</w:t>
      </w:r>
      <w:r w:rsidRPr="002B08D8">
        <w:t xml:space="preserve"> relative to the regulatory baseline (alternative</w:t>
      </w:r>
      <w:r w:rsidR="00E036D5">
        <w:t> </w:t>
      </w:r>
      <w:r w:rsidRPr="002B08D8">
        <w:t>1)</w:t>
      </w:r>
      <w:r w:rsidR="00CC69F3">
        <w:t>,</w:t>
      </w:r>
      <w:r w:rsidRPr="002B08D8">
        <w:t xml:space="preserve"> would increase regulatory </w:t>
      </w:r>
      <w:r w:rsidR="00DE239B" w:rsidRPr="002B08D8">
        <w:t>efficiency</w:t>
      </w:r>
      <w:r w:rsidR="00E036D5">
        <w:t xml:space="preserve"> because</w:t>
      </w:r>
      <w:r w:rsidRPr="002B08D8">
        <w:t xml:space="preserve"> licensees that wish to </w:t>
      </w:r>
      <w:r>
        <w:t>use NRC</w:t>
      </w:r>
      <w:r w:rsidR="00E036D5">
        <w:noBreakHyphen/>
      </w:r>
      <w:r>
        <w:t xml:space="preserve">approved ASME </w:t>
      </w:r>
      <w:r w:rsidR="00AE121B">
        <w:t>Code Cases</w:t>
      </w:r>
      <w:r w:rsidRPr="002B08D8">
        <w:t xml:space="preserve"> would not </w:t>
      </w:r>
      <w:r w:rsidR="00CC69F3">
        <w:t>need to submit requests for</w:t>
      </w:r>
      <w:r w:rsidRPr="002B08D8">
        <w:t xml:space="preserve"> </w:t>
      </w:r>
      <w:r w:rsidR="004C1341">
        <w:t>alternatives</w:t>
      </w:r>
      <w:r w:rsidRPr="002B08D8">
        <w:t xml:space="preserve"> </w:t>
      </w:r>
      <w:r w:rsidR="00CC69F3">
        <w:t>to</w:t>
      </w:r>
      <w:r w:rsidRPr="002B08D8">
        <w:t xml:space="preserve"> </w:t>
      </w:r>
      <w:r w:rsidR="00450BDE">
        <w:t xml:space="preserve">the </w:t>
      </w:r>
      <w:r w:rsidRPr="002B08D8">
        <w:t>NRC</w:t>
      </w:r>
      <w:r w:rsidR="00450BDE">
        <w:t>’s</w:t>
      </w:r>
      <w:r w:rsidRPr="002B08D8">
        <w:t xml:space="preserve"> regulations.  This would provide licensees with flexibility and would decrease </w:t>
      </w:r>
      <w:r w:rsidR="00E036D5">
        <w:t>their</w:t>
      </w:r>
      <w:r w:rsidR="00E036D5" w:rsidRPr="002B08D8">
        <w:t xml:space="preserve"> </w:t>
      </w:r>
      <w:r w:rsidRPr="002B08D8">
        <w:t>uncertainty when making modifications</w:t>
      </w:r>
      <w:r>
        <w:t xml:space="preserve"> or preparing to perform ISI or IST</w:t>
      </w:r>
      <w:r w:rsidRPr="002B08D8">
        <w:t>.  Further, alternative</w:t>
      </w:r>
      <w:r w:rsidR="00E036D5">
        <w:t> </w:t>
      </w:r>
      <w:r w:rsidRPr="002B08D8">
        <w:t xml:space="preserve">2 </w:t>
      </w:r>
      <w:r>
        <w:t>is</w:t>
      </w:r>
      <w:r w:rsidRPr="002B08D8">
        <w:t xml:space="preserve"> consistent with the provisions of the NTTAA, which encourages Federal regulatory agencies to consider adopting voluntary consensus standards as an alternative to </w:t>
      </w:r>
      <w:r w:rsidRPr="003C65C7">
        <w:rPr>
          <w:i/>
        </w:rPr>
        <w:t>de novo</w:t>
      </w:r>
      <w:r w:rsidRPr="002B08D8">
        <w:rPr>
          <w:i/>
        </w:rPr>
        <w:t xml:space="preserve"> </w:t>
      </w:r>
      <w:r w:rsidRPr="002B08D8">
        <w:t xml:space="preserve">agency development of standards affecting an industry.  </w:t>
      </w:r>
      <w:r>
        <w:t>Alternative</w:t>
      </w:r>
      <w:r w:rsidR="00E036D5">
        <w:t> </w:t>
      </w:r>
      <w:r w:rsidRPr="002B08D8">
        <w:t xml:space="preserve">2 </w:t>
      </w:r>
      <w:r>
        <w:t>is</w:t>
      </w:r>
      <w:r w:rsidRPr="002B08D8">
        <w:t xml:space="preserve"> also consistent with </w:t>
      </w:r>
      <w:r w:rsidR="00E036D5">
        <w:t xml:space="preserve">the </w:t>
      </w:r>
      <w:r w:rsidRPr="002B08D8">
        <w:t>NRC</w:t>
      </w:r>
      <w:r w:rsidR="004C1341">
        <w:t>’s</w:t>
      </w:r>
      <w:r w:rsidRPr="002B08D8">
        <w:t xml:space="preserve"> policy of evaluating the latest versions of consensus standards in terms of their suitability for endorsement by regulations and </w:t>
      </w:r>
      <w:r w:rsidR="00E036D5">
        <w:t>RG</w:t>
      </w:r>
      <w:r w:rsidRPr="002B08D8">
        <w:t xml:space="preserve">s.  </w:t>
      </w:r>
      <w:r>
        <w:t>Finally</w:t>
      </w:r>
      <w:r w:rsidRPr="002B08D8">
        <w:t>, alternative</w:t>
      </w:r>
      <w:r w:rsidR="00E036D5">
        <w:t> </w:t>
      </w:r>
      <w:r w:rsidRPr="002B08D8">
        <w:t xml:space="preserve">2 </w:t>
      </w:r>
      <w:r>
        <w:t>is</w:t>
      </w:r>
      <w:r w:rsidRPr="002B08D8">
        <w:t xml:space="preserve"> consistent with </w:t>
      </w:r>
      <w:r w:rsidR="00CC69F3">
        <w:t xml:space="preserve">the </w:t>
      </w:r>
      <w:r w:rsidRPr="002B08D8">
        <w:t>NRC’s goal to harmonize with international standards to improve regulatory efficiency for both the NRC and international standards groups.</w:t>
      </w:r>
    </w:p>
    <w:p w14:paraId="7E3C7451" w14:textId="77777777" w:rsidR="00092667" w:rsidRPr="00BD3549" w:rsidRDefault="00092667" w:rsidP="00FF0EE8">
      <w:pPr>
        <w:pStyle w:val="Heading2"/>
        <w:spacing w:line="240" w:lineRule="auto"/>
        <w:ind w:left="540" w:hanging="522"/>
      </w:pPr>
      <w:bookmarkStart w:id="236" w:name="_Toc462224975"/>
      <w:bookmarkStart w:id="237" w:name="_Toc468875934"/>
      <w:r w:rsidRPr="00BD3549">
        <w:t>Disaggregation</w:t>
      </w:r>
      <w:bookmarkEnd w:id="236"/>
      <w:bookmarkEnd w:id="237"/>
    </w:p>
    <w:p w14:paraId="70475078" w14:textId="77777777" w:rsidR="00092667" w:rsidRPr="00BD3549" w:rsidRDefault="00092667" w:rsidP="00FF0EE8">
      <w:pPr>
        <w:keepNext/>
        <w:spacing w:line="240" w:lineRule="auto"/>
      </w:pPr>
    </w:p>
    <w:p w14:paraId="7AE6EDF9" w14:textId="3939F579" w:rsidR="00092667" w:rsidRPr="00BD3549" w:rsidRDefault="00E036D5" w:rsidP="00FF0EE8">
      <w:pPr>
        <w:spacing w:line="240" w:lineRule="auto"/>
      </w:pPr>
      <w:r>
        <w:t>T</w:t>
      </w:r>
      <w:r w:rsidR="00092667" w:rsidRPr="00BD3549">
        <w:t>o comply with the guidance in Section</w:t>
      </w:r>
      <w:r>
        <w:t> </w:t>
      </w:r>
      <w:r w:rsidR="00092667" w:rsidRPr="00BD3549">
        <w:t xml:space="preserve">4.3.2 of </w:t>
      </w:r>
      <w:r>
        <w:t>NUREG/BR</w:t>
      </w:r>
      <w:r>
        <w:noBreakHyphen/>
        <w:t>0058</w:t>
      </w:r>
      <w:r w:rsidR="00CC69F3">
        <w:t xml:space="preserve"> on </w:t>
      </w:r>
      <w:r w:rsidR="00CC69F3" w:rsidRPr="00CC69F3">
        <w:t>criteria for the treatment of individual requirements</w:t>
      </w:r>
      <w:r w:rsidR="00092667" w:rsidRPr="00BD3549">
        <w:t xml:space="preserve">, the NRC performed a screening review to determine </w:t>
      </w:r>
      <w:r w:rsidR="00501CD5">
        <w:t>whether</w:t>
      </w:r>
      <w:r w:rsidR="00092667" w:rsidRPr="00BD3549">
        <w:t xml:space="preserve"> any of the individual requirements (or set of integrated requirements) of the final rule would be unnecessary to achieve the objectives of the rulemaking</w:t>
      </w:r>
      <w:r w:rsidR="000A3709" w:rsidRPr="00BD3549">
        <w:t xml:space="preserve">.  </w:t>
      </w:r>
      <w:r w:rsidR="00092667" w:rsidRPr="00BD3549">
        <w:t xml:space="preserve">The NRC determined that the objectives of the rulemaking are to </w:t>
      </w:r>
      <w:r w:rsidR="00D36A52">
        <w:t>incorporate by reference</w:t>
      </w:r>
      <w:r w:rsidR="00092667" w:rsidRPr="00BD3549">
        <w:t xml:space="preserve"> </w:t>
      </w:r>
      <w:r w:rsidR="00501CD5">
        <w:t>RG</w:t>
      </w:r>
      <w:r w:rsidR="00092667" w:rsidRPr="00BD3549">
        <w:t>s</w:t>
      </w:r>
      <w:r w:rsidR="00C90818">
        <w:t xml:space="preserve"> and</w:t>
      </w:r>
      <w:r w:rsidR="00092667" w:rsidRPr="00BD3549">
        <w:t xml:space="preserve"> </w:t>
      </w:r>
      <w:r w:rsidR="00501CD5">
        <w:t xml:space="preserve">to </w:t>
      </w:r>
      <w:r w:rsidR="00092667" w:rsidRPr="00BD3549">
        <w:t xml:space="preserve">make conforming changes.  Furthermore, the NRC concludes that each of the </w:t>
      </w:r>
      <w:r w:rsidR="00126047">
        <w:t>final</w:t>
      </w:r>
      <w:r w:rsidR="00092667" w:rsidRPr="00BD3549">
        <w:t xml:space="preserve"> rule’s requirements would be necessary to achieve one or more objectives of the rulemaking.  </w:t>
      </w:r>
      <w:r w:rsidR="00501CD5" w:rsidRPr="000D50A2">
        <w:fldChar w:fldCharType="begin"/>
      </w:r>
      <w:r w:rsidR="00501CD5" w:rsidRPr="000D50A2">
        <w:instrText xml:space="preserve"> REF _Ref421275090 \h </w:instrText>
      </w:r>
      <w:r w:rsidR="00795C9A" w:rsidRPr="00D557C2">
        <w:instrText xml:space="preserve"> \* MERGEFORMAT </w:instrText>
      </w:r>
      <w:r w:rsidR="00501CD5" w:rsidRPr="000D50A2">
        <w:fldChar w:fldCharType="separate"/>
      </w:r>
      <w:r w:rsidR="00FD3AB6" w:rsidRPr="00FD3AB6">
        <w:t xml:space="preserve">Table </w:t>
      </w:r>
      <w:r w:rsidR="00FD3AB6" w:rsidRPr="00FD3AB6">
        <w:rPr>
          <w:noProof/>
        </w:rPr>
        <w:t>20</w:t>
      </w:r>
      <w:r w:rsidR="00501CD5" w:rsidRPr="000D50A2">
        <w:fldChar w:fldCharType="end"/>
      </w:r>
      <w:r w:rsidR="00501CD5" w:rsidRPr="006E5706">
        <w:t xml:space="preserve"> </w:t>
      </w:r>
      <w:r w:rsidR="00501CD5">
        <w:t>provides t</w:t>
      </w:r>
      <w:r w:rsidR="00092667" w:rsidRPr="00BD3549">
        <w:t>he results of this determination.</w:t>
      </w:r>
    </w:p>
    <w:p w14:paraId="08445655" w14:textId="77777777" w:rsidR="00092667" w:rsidRPr="00BD3549" w:rsidRDefault="00092667" w:rsidP="00FF0EE8">
      <w:pPr>
        <w:spacing w:line="240" w:lineRule="auto"/>
      </w:pPr>
    </w:p>
    <w:p w14:paraId="40B0AB82" w14:textId="7B50FAC2" w:rsidR="00811154" w:rsidRPr="00587EDB" w:rsidRDefault="00811154" w:rsidP="000E324D">
      <w:pPr>
        <w:pStyle w:val="Caption"/>
        <w:keepNext w:val="0"/>
        <w:spacing w:line="240" w:lineRule="auto"/>
        <w:ind w:left="1080" w:hanging="1080"/>
        <w:jc w:val="center"/>
        <w:rPr>
          <w:b/>
        </w:rPr>
      </w:pPr>
      <w:bookmarkStart w:id="238" w:name="_Ref421275090"/>
      <w:bookmarkStart w:id="239" w:name="_Toc467508509"/>
      <w:bookmarkStart w:id="240" w:name="_Toc462225015"/>
      <w:r w:rsidRPr="00587EDB">
        <w:rPr>
          <w:b/>
        </w:rPr>
        <w:t xml:space="preserve">Table </w:t>
      </w:r>
      <w:r w:rsidR="00782423" w:rsidRPr="00587EDB">
        <w:rPr>
          <w:b/>
        </w:rPr>
        <w:fldChar w:fldCharType="begin"/>
      </w:r>
      <w:r w:rsidR="00782423" w:rsidRPr="00587EDB">
        <w:rPr>
          <w:b/>
        </w:rPr>
        <w:instrText xml:space="preserve"> SEQ Table \* ARABIC </w:instrText>
      </w:r>
      <w:r w:rsidR="00782423" w:rsidRPr="00587EDB">
        <w:rPr>
          <w:b/>
        </w:rPr>
        <w:fldChar w:fldCharType="separate"/>
      </w:r>
      <w:r w:rsidR="00FD3AB6">
        <w:rPr>
          <w:b/>
          <w:noProof/>
        </w:rPr>
        <w:t>20</w:t>
      </w:r>
      <w:r w:rsidR="00782423" w:rsidRPr="00587EDB">
        <w:rPr>
          <w:b/>
        </w:rPr>
        <w:fldChar w:fldCharType="end"/>
      </w:r>
      <w:bookmarkEnd w:id="238"/>
      <w:r w:rsidR="006C3FF0" w:rsidRPr="00D557C2">
        <w:rPr>
          <w:b/>
        </w:rPr>
        <w:t xml:space="preserve">  </w:t>
      </w:r>
      <w:r w:rsidRPr="00587EDB">
        <w:rPr>
          <w:b/>
        </w:rPr>
        <w:t>Disaggregation</w:t>
      </w:r>
      <w:bookmarkEnd w:id="239"/>
      <w:bookmarkEnd w:id="240"/>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2196"/>
        <w:gridCol w:w="2646"/>
      </w:tblGrid>
      <w:tr w:rsidR="00027866" w:rsidRPr="00BD3549" w14:paraId="0BB94BF9" w14:textId="77777777" w:rsidTr="004F5401">
        <w:trPr>
          <w:cantSplit/>
          <w:trHeight w:val="584"/>
          <w:tblHeader/>
          <w:jc w:val="center"/>
        </w:trPr>
        <w:tc>
          <w:tcPr>
            <w:tcW w:w="3942" w:type="dxa"/>
            <w:vAlign w:val="center"/>
          </w:tcPr>
          <w:p w14:paraId="54B06FA5" w14:textId="77777777" w:rsidR="00027866" w:rsidRPr="00587EDB" w:rsidRDefault="00027866" w:rsidP="000E324D">
            <w:pPr>
              <w:spacing w:line="240" w:lineRule="auto"/>
              <w:jc w:val="center"/>
              <w:rPr>
                <w:b/>
              </w:rPr>
            </w:pPr>
            <w:r w:rsidRPr="00587EDB">
              <w:rPr>
                <w:b/>
              </w:rPr>
              <w:t>Regulatory Goals for Final Rule</w:t>
            </w:r>
          </w:p>
        </w:tc>
        <w:tc>
          <w:tcPr>
            <w:tcW w:w="2196" w:type="dxa"/>
            <w:vAlign w:val="center"/>
          </w:tcPr>
          <w:p w14:paraId="0FB7E97B" w14:textId="7A787172" w:rsidR="00027866" w:rsidRPr="00587EDB" w:rsidRDefault="00501CD5" w:rsidP="000E324D">
            <w:pPr>
              <w:spacing w:line="240" w:lineRule="auto"/>
              <w:jc w:val="center"/>
              <w:rPr>
                <w:b/>
              </w:rPr>
            </w:pPr>
            <w:r>
              <w:rPr>
                <w:b/>
              </w:rPr>
              <w:t>(</w:t>
            </w:r>
            <w:r w:rsidR="00027866" w:rsidRPr="00587EDB">
              <w:rPr>
                <w:b/>
              </w:rPr>
              <w:t xml:space="preserve">1) </w:t>
            </w:r>
            <w:r w:rsidR="008A0D75" w:rsidRPr="00587EDB">
              <w:rPr>
                <w:b/>
              </w:rPr>
              <w:t xml:space="preserve">Approve for </w:t>
            </w:r>
            <w:r>
              <w:rPr>
                <w:b/>
              </w:rPr>
              <w:t>U</w:t>
            </w:r>
            <w:r w:rsidR="008A0D75" w:rsidRPr="00D557C2">
              <w:rPr>
                <w:b/>
              </w:rPr>
              <w:t xml:space="preserve">se </w:t>
            </w:r>
            <w:r>
              <w:rPr>
                <w:b/>
              </w:rPr>
              <w:t>of</w:t>
            </w:r>
            <w:r w:rsidRPr="00587EDB">
              <w:rPr>
                <w:b/>
              </w:rPr>
              <w:t xml:space="preserve"> </w:t>
            </w:r>
            <w:r w:rsidR="008A0D75" w:rsidRPr="00587EDB">
              <w:rPr>
                <w:b/>
              </w:rPr>
              <w:t xml:space="preserve">the </w:t>
            </w:r>
            <w:r>
              <w:rPr>
                <w:b/>
              </w:rPr>
              <w:t>N</w:t>
            </w:r>
            <w:r w:rsidR="008A0D75" w:rsidRPr="00D557C2">
              <w:rPr>
                <w:b/>
              </w:rPr>
              <w:t>ew</w:t>
            </w:r>
            <w:r w:rsidR="008A0D75" w:rsidRPr="00587EDB">
              <w:rPr>
                <w:b/>
              </w:rPr>
              <w:t xml:space="preserve"> Code Cases</w:t>
            </w:r>
            <w:r w:rsidR="002D4D45" w:rsidRPr="00587EDB">
              <w:rPr>
                <w:b/>
              </w:rPr>
              <w:t xml:space="preserve"> in </w:t>
            </w:r>
            <w:r>
              <w:rPr>
                <w:b/>
              </w:rPr>
              <w:t>E</w:t>
            </w:r>
            <w:r w:rsidR="002D4D45" w:rsidRPr="00D557C2">
              <w:rPr>
                <w:b/>
              </w:rPr>
              <w:t>ach</w:t>
            </w:r>
            <w:r w:rsidR="002D4D45" w:rsidRPr="00587EDB">
              <w:rPr>
                <w:b/>
              </w:rPr>
              <w:t xml:space="preserve"> of the </w:t>
            </w:r>
            <w:r>
              <w:rPr>
                <w:b/>
              </w:rPr>
              <w:t>RG</w:t>
            </w:r>
            <w:r w:rsidR="002D4D45" w:rsidRPr="00D557C2">
              <w:rPr>
                <w:b/>
              </w:rPr>
              <w:t>s</w:t>
            </w:r>
          </w:p>
        </w:tc>
        <w:tc>
          <w:tcPr>
            <w:tcW w:w="2646" w:type="dxa"/>
            <w:vAlign w:val="center"/>
          </w:tcPr>
          <w:p w14:paraId="1D84D3AD" w14:textId="09F98916" w:rsidR="00027866" w:rsidRPr="00587EDB" w:rsidRDefault="00501CD5" w:rsidP="000E324D">
            <w:pPr>
              <w:spacing w:line="240" w:lineRule="auto"/>
              <w:jc w:val="center"/>
              <w:rPr>
                <w:b/>
              </w:rPr>
            </w:pPr>
            <w:r>
              <w:rPr>
                <w:b/>
              </w:rPr>
              <w:t>(</w:t>
            </w:r>
            <w:r w:rsidR="00027866" w:rsidRPr="00587EDB">
              <w:rPr>
                <w:b/>
              </w:rPr>
              <w:t xml:space="preserve">2) Make </w:t>
            </w:r>
            <w:r>
              <w:rPr>
                <w:b/>
              </w:rPr>
              <w:t>I</w:t>
            </w:r>
            <w:r w:rsidR="002C3CF2" w:rsidRPr="00D557C2">
              <w:rPr>
                <w:b/>
              </w:rPr>
              <w:t>ncorporation</w:t>
            </w:r>
            <w:r w:rsidR="002C3CF2" w:rsidRPr="00587EDB">
              <w:rPr>
                <w:b/>
              </w:rPr>
              <w:t xml:space="preserve"> by </w:t>
            </w:r>
            <w:r>
              <w:rPr>
                <w:b/>
              </w:rPr>
              <w:t>R</w:t>
            </w:r>
            <w:r w:rsidR="002C3CF2" w:rsidRPr="00D557C2">
              <w:rPr>
                <w:b/>
              </w:rPr>
              <w:t>eference</w:t>
            </w:r>
            <w:r w:rsidR="00027866" w:rsidRPr="00D557C2">
              <w:rPr>
                <w:b/>
              </w:rPr>
              <w:t xml:space="preserve"> </w:t>
            </w:r>
            <w:r>
              <w:rPr>
                <w:b/>
              </w:rPr>
              <w:t>C</w:t>
            </w:r>
            <w:r w:rsidR="00027866" w:rsidRPr="00D557C2">
              <w:rPr>
                <w:b/>
              </w:rPr>
              <w:t xml:space="preserve">onforming </w:t>
            </w:r>
            <w:r>
              <w:rPr>
                <w:b/>
              </w:rPr>
              <w:t>C</w:t>
            </w:r>
            <w:r w:rsidR="00027866" w:rsidRPr="00D557C2">
              <w:rPr>
                <w:b/>
              </w:rPr>
              <w:t>hanges</w:t>
            </w:r>
          </w:p>
        </w:tc>
      </w:tr>
      <w:tr w:rsidR="00027866" w:rsidRPr="00BD3549" w:rsidDel="004C026F" w14:paraId="351E1757" w14:textId="77777777" w:rsidTr="004F5401">
        <w:trPr>
          <w:cantSplit/>
          <w:jc w:val="center"/>
        </w:trPr>
        <w:tc>
          <w:tcPr>
            <w:tcW w:w="3942" w:type="dxa"/>
            <w:vAlign w:val="center"/>
          </w:tcPr>
          <w:p w14:paraId="5EA444CE" w14:textId="78EAC2FC" w:rsidR="00027866" w:rsidRPr="00587EDB" w:rsidRDefault="00027866" w:rsidP="000E324D">
            <w:pPr>
              <w:spacing w:line="240" w:lineRule="auto"/>
            </w:pPr>
            <w:r w:rsidRPr="00587EDB">
              <w:t>10 CFR 50.55a(a)(3)(i</w:t>
            </w:r>
            <w:r w:rsidRPr="00D557C2">
              <w:t>)</w:t>
            </w:r>
            <w:r w:rsidR="00501CD5">
              <w:t>,</w:t>
            </w:r>
            <w:r w:rsidR="00501CD5" w:rsidRPr="00587EDB">
              <w:t xml:space="preserve"> </w:t>
            </w:r>
            <w:r w:rsidRPr="00587EDB">
              <w:t xml:space="preserve">NRC </w:t>
            </w:r>
            <w:r w:rsidR="00501CD5">
              <w:t>RG </w:t>
            </w:r>
            <w:r w:rsidR="003D5FDD" w:rsidRPr="00587EDB">
              <w:t>1.84, Revision 37</w:t>
            </w:r>
          </w:p>
        </w:tc>
        <w:tc>
          <w:tcPr>
            <w:tcW w:w="2196" w:type="dxa"/>
            <w:vAlign w:val="center"/>
          </w:tcPr>
          <w:p w14:paraId="5EF07943" w14:textId="77777777" w:rsidR="00027866" w:rsidRPr="00587EDB" w:rsidRDefault="00027866" w:rsidP="000E324D">
            <w:pPr>
              <w:spacing w:line="240" w:lineRule="auto"/>
              <w:jc w:val="center"/>
            </w:pPr>
            <w:r w:rsidRPr="00587EDB">
              <w:t>X</w:t>
            </w:r>
          </w:p>
        </w:tc>
        <w:tc>
          <w:tcPr>
            <w:tcW w:w="2646" w:type="dxa"/>
            <w:vAlign w:val="center"/>
          </w:tcPr>
          <w:p w14:paraId="4A68E4CB" w14:textId="77777777" w:rsidR="00027866" w:rsidRPr="00587EDB" w:rsidRDefault="00027866" w:rsidP="000E324D">
            <w:pPr>
              <w:spacing w:line="240" w:lineRule="auto"/>
              <w:jc w:val="center"/>
            </w:pPr>
            <w:r w:rsidRPr="00587EDB">
              <w:t>X</w:t>
            </w:r>
          </w:p>
        </w:tc>
      </w:tr>
      <w:tr w:rsidR="00027866" w:rsidRPr="00BD3549" w:rsidDel="004C026F" w14:paraId="61194F16" w14:textId="77777777" w:rsidTr="004F5401">
        <w:trPr>
          <w:cantSplit/>
          <w:jc w:val="center"/>
        </w:trPr>
        <w:tc>
          <w:tcPr>
            <w:tcW w:w="3942" w:type="dxa"/>
            <w:vAlign w:val="center"/>
          </w:tcPr>
          <w:p w14:paraId="5E72250B" w14:textId="27908EE7" w:rsidR="00027866" w:rsidRPr="00587EDB" w:rsidRDefault="00027866" w:rsidP="000E324D">
            <w:pPr>
              <w:spacing w:line="240" w:lineRule="auto"/>
            </w:pPr>
            <w:r w:rsidRPr="00587EDB">
              <w:t>10 CFR 50.55a(a)(3)(ii</w:t>
            </w:r>
            <w:r w:rsidRPr="00D557C2">
              <w:t>)</w:t>
            </w:r>
            <w:r w:rsidR="00501CD5">
              <w:t>,</w:t>
            </w:r>
            <w:r w:rsidRPr="00587EDB">
              <w:t xml:space="preserve"> NRC </w:t>
            </w:r>
            <w:r w:rsidR="00501CD5">
              <w:t>RG </w:t>
            </w:r>
            <w:r w:rsidR="003D5FDD" w:rsidRPr="00587EDB">
              <w:t>1.147, Revision 18</w:t>
            </w:r>
          </w:p>
        </w:tc>
        <w:tc>
          <w:tcPr>
            <w:tcW w:w="2196" w:type="dxa"/>
            <w:vAlign w:val="center"/>
          </w:tcPr>
          <w:p w14:paraId="5C03F8ED" w14:textId="77777777" w:rsidR="00027866" w:rsidRPr="00587EDB" w:rsidRDefault="00027866" w:rsidP="000E324D">
            <w:pPr>
              <w:spacing w:line="240" w:lineRule="auto"/>
              <w:jc w:val="center"/>
            </w:pPr>
            <w:r w:rsidRPr="00587EDB">
              <w:t>X</w:t>
            </w:r>
          </w:p>
        </w:tc>
        <w:tc>
          <w:tcPr>
            <w:tcW w:w="2646" w:type="dxa"/>
            <w:vAlign w:val="center"/>
          </w:tcPr>
          <w:p w14:paraId="1F718573" w14:textId="77777777" w:rsidR="00027866" w:rsidRPr="00587EDB" w:rsidRDefault="00027866" w:rsidP="000E324D">
            <w:pPr>
              <w:spacing w:line="240" w:lineRule="auto"/>
              <w:jc w:val="center"/>
            </w:pPr>
            <w:r w:rsidRPr="00587EDB">
              <w:t>X</w:t>
            </w:r>
          </w:p>
        </w:tc>
      </w:tr>
      <w:tr w:rsidR="00027866" w:rsidRPr="00BD3549" w:rsidDel="004C026F" w14:paraId="6FD27DD3" w14:textId="77777777" w:rsidTr="004F5401">
        <w:trPr>
          <w:cantSplit/>
          <w:jc w:val="center"/>
        </w:trPr>
        <w:tc>
          <w:tcPr>
            <w:tcW w:w="3942" w:type="dxa"/>
            <w:vAlign w:val="center"/>
          </w:tcPr>
          <w:p w14:paraId="22FBF5AE" w14:textId="551F35C8" w:rsidR="00027866" w:rsidRPr="00587EDB" w:rsidRDefault="00027866" w:rsidP="000E324D">
            <w:pPr>
              <w:spacing w:line="240" w:lineRule="auto"/>
            </w:pPr>
            <w:r w:rsidRPr="00587EDB">
              <w:t>10 CFR 50.55a(a)(3)(iii</w:t>
            </w:r>
            <w:r w:rsidRPr="00D557C2">
              <w:t>)</w:t>
            </w:r>
            <w:r w:rsidR="00501CD5">
              <w:t>,</w:t>
            </w:r>
            <w:r w:rsidRPr="00587EDB">
              <w:t xml:space="preserve"> NRC </w:t>
            </w:r>
            <w:r w:rsidR="00501CD5">
              <w:t>RG </w:t>
            </w:r>
            <w:r w:rsidR="003D5FDD" w:rsidRPr="00587EDB">
              <w:t>1.192, Revision</w:t>
            </w:r>
            <w:r w:rsidR="00501CD5">
              <w:t> </w:t>
            </w:r>
            <w:r w:rsidR="003D5FDD" w:rsidRPr="00587EDB">
              <w:t>2</w:t>
            </w:r>
          </w:p>
        </w:tc>
        <w:tc>
          <w:tcPr>
            <w:tcW w:w="2196" w:type="dxa"/>
            <w:vAlign w:val="center"/>
          </w:tcPr>
          <w:p w14:paraId="370CE343" w14:textId="77777777" w:rsidR="00027866" w:rsidRPr="00587EDB" w:rsidRDefault="00027866" w:rsidP="000E324D">
            <w:pPr>
              <w:spacing w:line="240" w:lineRule="auto"/>
              <w:jc w:val="center"/>
            </w:pPr>
            <w:r w:rsidRPr="00587EDB">
              <w:t>X</w:t>
            </w:r>
          </w:p>
        </w:tc>
        <w:tc>
          <w:tcPr>
            <w:tcW w:w="2646" w:type="dxa"/>
            <w:vAlign w:val="center"/>
          </w:tcPr>
          <w:p w14:paraId="04774D05" w14:textId="77777777" w:rsidR="00027866" w:rsidRPr="00587EDB" w:rsidRDefault="00027866" w:rsidP="000E324D">
            <w:pPr>
              <w:spacing w:line="240" w:lineRule="auto"/>
              <w:jc w:val="center"/>
            </w:pPr>
            <w:r w:rsidRPr="00587EDB">
              <w:t>X</w:t>
            </w:r>
          </w:p>
        </w:tc>
      </w:tr>
    </w:tbl>
    <w:p w14:paraId="7931ECA7" w14:textId="77777777" w:rsidR="00B238B6" w:rsidRDefault="00B238B6" w:rsidP="00150E0C">
      <w:pPr>
        <w:pStyle w:val="Heading2"/>
        <w:spacing w:line="240" w:lineRule="auto"/>
        <w:ind w:left="540" w:hanging="522"/>
      </w:pPr>
      <w:bookmarkStart w:id="241" w:name="_Ref435702621"/>
      <w:bookmarkStart w:id="242" w:name="_Toc462224976"/>
      <w:bookmarkStart w:id="243" w:name="_Toc468875935"/>
      <w:r>
        <w:t>Uncertainty Analysis</w:t>
      </w:r>
      <w:bookmarkEnd w:id="241"/>
      <w:bookmarkEnd w:id="242"/>
      <w:bookmarkEnd w:id="243"/>
    </w:p>
    <w:p w14:paraId="0B50BD2E" w14:textId="77777777" w:rsidR="00B238B6" w:rsidRPr="00766DB6" w:rsidRDefault="00B238B6" w:rsidP="000E324D">
      <w:pPr>
        <w:keepNext/>
        <w:keepLines/>
        <w:spacing w:line="240" w:lineRule="auto"/>
        <w:rPr>
          <w:rFonts w:eastAsia="Times New Roman"/>
        </w:rPr>
      </w:pPr>
    </w:p>
    <w:p w14:paraId="33764097" w14:textId="75EDB018" w:rsidR="0034156C" w:rsidRPr="00BF5AC4" w:rsidRDefault="0034156C" w:rsidP="000E324D">
      <w:pPr>
        <w:keepNext/>
        <w:keepLines/>
        <w:spacing w:line="240" w:lineRule="auto"/>
      </w:pPr>
      <w:r w:rsidRPr="00FD4253">
        <w:t>To determine the robustness of the</w:t>
      </w:r>
      <w:r w:rsidRPr="00BF5AC4">
        <w:t xml:space="preserve"> costs and net benefits </w:t>
      </w:r>
      <w:r>
        <w:t>contained within this document</w:t>
      </w:r>
      <w:r w:rsidRPr="00BF5AC4">
        <w:t xml:space="preserve">, the NRC staff examined how </w:t>
      </w:r>
      <w:r>
        <w:t>the values estimated for benefits and</w:t>
      </w:r>
      <w:r w:rsidRPr="00BF5AC4">
        <w:t xml:space="preserve"> costs change </w:t>
      </w:r>
      <w:r w:rsidR="00540DB7">
        <w:t>as a result of</w:t>
      </w:r>
      <w:r w:rsidRPr="00BF5AC4">
        <w:t xml:space="preserve"> uncertainties associated with the staff’s analytical assumptions and input data.  </w:t>
      </w:r>
      <w:r>
        <w:t>T</w:t>
      </w:r>
      <w:r w:rsidRPr="00BF5AC4">
        <w:t>he NRC used Monte Carlo simulation</w:t>
      </w:r>
      <w:r w:rsidR="00540DB7">
        <w:t>s</w:t>
      </w:r>
      <w:r w:rsidRPr="00BF5AC4">
        <w:t xml:space="preserve"> to examine the impact of uncertainty on the estimated net benefits.  The</w:t>
      </w:r>
      <w:r w:rsidR="00DE239B">
        <w:t xml:space="preserve"> NRC staff performed </w:t>
      </w:r>
      <w:r w:rsidRPr="00BF5AC4">
        <w:t>Monte Carlo simulations using the @Risk software package by Palisade Corporation.</w:t>
      </w:r>
      <w:r w:rsidRPr="00BF5AC4">
        <w:rPr>
          <w:vertAlign w:val="superscript"/>
        </w:rPr>
        <w:footnoteReference w:id="12"/>
      </w:r>
    </w:p>
    <w:p w14:paraId="5A98A125" w14:textId="77777777" w:rsidR="0034156C" w:rsidRPr="00BF5AC4" w:rsidRDefault="0034156C" w:rsidP="00FF0EE8">
      <w:pPr>
        <w:spacing w:line="240" w:lineRule="auto"/>
      </w:pPr>
    </w:p>
    <w:p w14:paraId="2C6ADC70" w14:textId="3581781E" w:rsidR="0034156C" w:rsidRPr="00BF5AC4" w:rsidRDefault="0034156C" w:rsidP="00FF0EE8">
      <w:pPr>
        <w:spacing w:line="240" w:lineRule="auto"/>
      </w:pPr>
      <w:r w:rsidRPr="00BF5AC4">
        <w:t>Monte Carlo simulations involve introducing uncertainty into the analysis by replacing the point estimates of the variables used to estimate costs and benefits with probability distributions.  By defining input variables as probability distributions as opposed to point estimates, the effect of uncertainty on the results of the analysis (i.e.,</w:t>
      </w:r>
      <w:r w:rsidR="00540DB7">
        <w:t> </w:t>
      </w:r>
      <w:r w:rsidRPr="00BF5AC4">
        <w:t>the net benefit</w:t>
      </w:r>
      <w:r>
        <w:t>s</w:t>
      </w:r>
      <w:r w:rsidR="00587EDB">
        <w:t xml:space="preserve"> and costs</w:t>
      </w:r>
      <w:r>
        <w:t>) can be modeled.</w:t>
      </w:r>
    </w:p>
    <w:p w14:paraId="41131BEF" w14:textId="31BF15FC" w:rsidR="0034156C" w:rsidRPr="00BF5AC4" w:rsidRDefault="0034156C" w:rsidP="00FF0EE8">
      <w:pPr>
        <w:spacing w:before="220" w:line="240" w:lineRule="auto"/>
      </w:pPr>
      <w:r w:rsidRPr="00BF5AC4">
        <w:t xml:space="preserve">The probability distributions chosen to represent the different variables in the analysis were bounded by the range of </w:t>
      </w:r>
      <w:r>
        <w:t>estimates</w:t>
      </w:r>
      <w:r w:rsidRPr="00BF5AC4">
        <w:t xml:space="preserve"> </w:t>
      </w:r>
      <w:r>
        <w:t>collected</w:t>
      </w:r>
      <w:r w:rsidRPr="00BF5AC4">
        <w:t xml:space="preserve"> and the NRC staff’s professional judgment.  These distributions have mean values </w:t>
      </w:r>
      <w:r>
        <w:t>calculated from the low, medium</w:t>
      </w:r>
      <w:r w:rsidR="00540DB7">
        <w:t>,</w:t>
      </w:r>
      <w:r>
        <w:t xml:space="preserve"> and high estimates</w:t>
      </w:r>
      <w:r w:rsidRPr="00BF5AC4">
        <w:t xml:space="preserve">.  </w:t>
      </w:r>
      <w:r w:rsidR="00540DB7">
        <w:t xml:space="preserve">Appendix B </w:t>
      </w:r>
      <w:r w:rsidR="00CC69F3">
        <w:t>contains</w:t>
      </w:r>
      <w:r w:rsidR="00540DB7">
        <w:t xml:space="preserve"> t</w:t>
      </w:r>
      <w:r w:rsidRPr="00BF5AC4">
        <w:t xml:space="preserve">hese </w:t>
      </w:r>
      <w:r>
        <w:t xml:space="preserve">estimates, </w:t>
      </w:r>
      <w:r w:rsidRPr="00BF5AC4">
        <w:t>mean values</w:t>
      </w:r>
      <w:r>
        <w:t>, and assigned distributions.</w:t>
      </w:r>
    </w:p>
    <w:p w14:paraId="15237732" w14:textId="77777777" w:rsidR="0034156C" w:rsidRPr="00BF5AC4" w:rsidRDefault="0034156C" w:rsidP="00FF0EE8">
      <w:pPr>
        <w:spacing w:line="240" w:lineRule="auto"/>
      </w:pPr>
    </w:p>
    <w:p w14:paraId="0CA064B3" w14:textId="54646FA4" w:rsidR="0034156C" w:rsidRPr="00BF5AC4" w:rsidRDefault="0034156C" w:rsidP="00FF0EE8">
      <w:pPr>
        <w:spacing w:line="240" w:lineRule="auto"/>
      </w:pPr>
      <w:r w:rsidRPr="00BF5AC4">
        <w:t>When defining the probability distributions for use in the Monte Carlo simulation</w:t>
      </w:r>
      <w:r w:rsidR="00540DB7">
        <w:t>s</w:t>
      </w:r>
      <w:r w:rsidRPr="00BF5AC4">
        <w:t>, other summary statistics besides the mean value</w:t>
      </w:r>
      <w:r w:rsidR="00540DB7">
        <w:t>s</w:t>
      </w:r>
      <w:r w:rsidRPr="00BF5AC4">
        <w:t xml:space="preserve"> </w:t>
      </w:r>
      <w:r>
        <w:t>are</w:t>
      </w:r>
      <w:r w:rsidRPr="00BF5AC4">
        <w:t xml:space="preserve"> needed to characterize the distributions.  These other summary statistics include the standard deviation of a distribution with a normal shape or the minimum and maximum </w:t>
      </w:r>
      <w:r w:rsidR="00F71FEA">
        <w:t xml:space="preserve">values </w:t>
      </w:r>
      <w:r w:rsidRPr="00BF5AC4">
        <w:t xml:space="preserve">of </w:t>
      </w:r>
      <w:r w:rsidRPr="00FD4253">
        <w:t xml:space="preserve">a </w:t>
      </w:r>
      <w:r w:rsidR="00540DB7" w:rsidRPr="00FD4253">
        <w:t>p</w:t>
      </w:r>
      <w:r w:rsidR="00540DB7" w:rsidRPr="00473906">
        <w:t>rogram evaluation and review t</w:t>
      </w:r>
      <w:r w:rsidR="00540DB7" w:rsidRPr="00D557C2">
        <w:t xml:space="preserve">echnique </w:t>
      </w:r>
      <w:r w:rsidR="00540DB7">
        <w:t>(</w:t>
      </w:r>
      <w:r w:rsidRPr="00FD4253">
        <w:t>PERT</w:t>
      </w:r>
      <w:r w:rsidR="00540DB7">
        <w:t>)</w:t>
      </w:r>
      <w:r w:rsidRPr="0034156C">
        <w:rPr>
          <w:rStyle w:val="FootnoteReference"/>
          <w:vertAlign w:val="superscript"/>
        </w:rPr>
        <w:footnoteReference w:id="13"/>
      </w:r>
      <w:r w:rsidRPr="00BF5AC4">
        <w:t xml:space="preserve"> distribution.  For the</w:t>
      </w:r>
      <w:r>
        <w:t>se</w:t>
      </w:r>
      <w:r w:rsidRPr="00BF5AC4">
        <w:t xml:space="preserve"> distributions, the NRC </w:t>
      </w:r>
      <w:r>
        <w:t xml:space="preserve">staff </w:t>
      </w:r>
      <w:r w:rsidRPr="00BF5AC4">
        <w:t xml:space="preserve">used </w:t>
      </w:r>
      <w:r>
        <w:t xml:space="preserve">collected </w:t>
      </w:r>
      <w:r w:rsidRPr="00BF5AC4">
        <w:t xml:space="preserve">input to set the minimum and maximum values of the </w:t>
      </w:r>
      <w:r>
        <w:t>PERT</w:t>
      </w:r>
      <w:r w:rsidR="00C62E5A">
        <w:t xml:space="preserve"> distributions.</w:t>
      </w:r>
    </w:p>
    <w:p w14:paraId="0043EEF6" w14:textId="77777777" w:rsidR="0034156C" w:rsidRPr="00BF5AC4" w:rsidRDefault="0034156C" w:rsidP="00FF0EE8">
      <w:pPr>
        <w:spacing w:line="240" w:lineRule="auto"/>
      </w:pPr>
    </w:p>
    <w:p w14:paraId="4933153B" w14:textId="77777777" w:rsidR="0034156C" w:rsidRPr="00BF5AC4" w:rsidRDefault="0034156C" w:rsidP="00FF0EE8">
      <w:pPr>
        <w:spacing w:line="240" w:lineRule="auto"/>
      </w:pPr>
      <w:r w:rsidRPr="00BF5AC4">
        <w:t>Lastly, the NRC selected the output variable</w:t>
      </w:r>
      <w:r w:rsidR="00C62E5A">
        <w:t>s</w:t>
      </w:r>
      <w:r w:rsidRPr="00BF5AC4">
        <w:t xml:space="preserve"> for the Monte Carlo simulations, which were the estimated net benefits</w:t>
      </w:r>
      <w:r w:rsidR="00C62E5A">
        <w:t>.</w:t>
      </w:r>
    </w:p>
    <w:p w14:paraId="47C24550" w14:textId="77777777" w:rsidR="00464D4F" w:rsidRPr="00140A50" w:rsidRDefault="00F71FEA" w:rsidP="00FF0EE8">
      <w:pPr>
        <w:pStyle w:val="Heading3"/>
        <w:spacing w:line="240" w:lineRule="auto"/>
        <w:ind w:left="720" w:hanging="684"/>
      </w:pPr>
      <w:r>
        <w:t xml:space="preserve"> </w:t>
      </w:r>
      <w:r w:rsidR="00963BDA">
        <w:t xml:space="preserve"> </w:t>
      </w:r>
      <w:bookmarkStart w:id="244" w:name="_Toc462224977"/>
      <w:bookmarkStart w:id="245" w:name="_Toc468875936"/>
      <w:r w:rsidR="00464D4F">
        <w:t>Uncertainty Analysis Results</w:t>
      </w:r>
      <w:bookmarkEnd w:id="244"/>
      <w:bookmarkEnd w:id="245"/>
      <w:r w:rsidR="00464D4F">
        <w:t xml:space="preserve"> </w:t>
      </w:r>
    </w:p>
    <w:p w14:paraId="02E9DDDD" w14:textId="77777777" w:rsidR="00B238B6" w:rsidRDefault="00B238B6" w:rsidP="00FF0EE8">
      <w:pPr>
        <w:keepNext/>
        <w:spacing w:line="240" w:lineRule="auto"/>
      </w:pPr>
    </w:p>
    <w:p w14:paraId="60F12BEB" w14:textId="7A147651" w:rsidR="00464D4F" w:rsidRDefault="00F71FEA" w:rsidP="00FF0EE8">
      <w:pPr>
        <w:spacing w:line="240" w:lineRule="auto"/>
        <w:rPr>
          <w:rFonts w:eastAsia="Times New Roman"/>
        </w:rPr>
      </w:pPr>
      <w:r w:rsidRPr="00F56ABA">
        <w:rPr>
          <w:rFonts w:eastAsia="Times New Roman"/>
        </w:rPr>
        <w:t>The NRC ran 10,000</w:t>
      </w:r>
      <w:r w:rsidR="00464D4F" w:rsidRPr="00F56ABA">
        <w:rPr>
          <w:rFonts w:eastAsia="Times New Roman"/>
        </w:rPr>
        <w:t xml:space="preserve"> simulations.  Figure</w:t>
      </w:r>
      <w:r w:rsidRPr="00F56ABA">
        <w:rPr>
          <w:rFonts w:eastAsia="Times New Roman"/>
        </w:rPr>
        <w:t> </w:t>
      </w:r>
      <w:r w:rsidR="00464D4F" w:rsidRPr="00F56ABA">
        <w:rPr>
          <w:rFonts w:eastAsia="Times New Roman"/>
        </w:rPr>
        <w:t>1</w:t>
      </w:r>
      <w:r w:rsidR="007E58CE">
        <w:rPr>
          <w:rFonts w:eastAsia="Times New Roman"/>
        </w:rPr>
        <w:t xml:space="preserve"> through Figure </w:t>
      </w:r>
      <w:r w:rsidR="008B2D8C" w:rsidRPr="00F56ABA">
        <w:rPr>
          <w:rFonts w:eastAsia="Times New Roman"/>
        </w:rPr>
        <w:t>4</w:t>
      </w:r>
      <w:r w:rsidR="00464D4F" w:rsidRPr="00F56ABA">
        <w:rPr>
          <w:rFonts w:eastAsia="Times New Roman"/>
        </w:rPr>
        <w:t xml:space="preserve"> display the histograms of the realized benefits</w:t>
      </w:r>
      <w:r w:rsidR="00833B93" w:rsidRPr="00F56ABA">
        <w:rPr>
          <w:rFonts w:eastAsia="Times New Roman"/>
        </w:rPr>
        <w:t xml:space="preserve"> and costs</w:t>
      </w:r>
      <w:r w:rsidR="00464D4F" w:rsidRPr="00F56ABA">
        <w:rPr>
          <w:rFonts w:eastAsia="Times New Roman"/>
        </w:rPr>
        <w:t xml:space="preserve">.  The analysis showed that industry would realize </w:t>
      </w:r>
      <w:r w:rsidRPr="00F56ABA">
        <w:rPr>
          <w:rFonts w:eastAsia="Times New Roman"/>
        </w:rPr>
        <w:t>operation</w:t>
      </w:r>
      <w:r w:rsidR="00FD4253" w:rsidRPr="00F56ABA">
        <w:rPr>
          <w:rFonts w:eastAsia="Times New Roman"/>
        </w:rPr>
        <w:t>s</w:t>
      </w:r>
      <w:r w:rsidRPr="00F56ABA">
        <w:rPr>
          <w:rFonts w:eastAsia="Times New Roman"/>
        </w:rPr>
        <w:t xml:space="preserve"> </w:t>
      </w:r>
      <w:r w:rsidR="00464D4F" w:rsidRPr="00F56ABA">
        <w:rPr>
          <w:rFonts w:eastAsia="Times New Roman"/>
        </w:rPr>
        <w:t>averted costs (savings).</w:t>
      </w:r>
      <w:r w:rsidR="00C62E5A" w:rsidRPr="00F56ABA">
        <w:rPr>
          <w:rFonts w:eastAsia="Times New Roman"/>
        </w:rPr>
        <w:t xml:space="preserve">  </w:t>
      </w:r>
      <w:r w:rsidR="00C62E5A" w:rsidRPr="00F56ABA">
        <w:t xml:space="preserve">By allowing uncertain assumptions and inputs to range across a distribution, the results are no longer static and instead spread across a range with varying degrees of certainty.  In </w:t>
      </w:r>
      <w:r w:rsidR="00C62E5A" w:rsidRPr="00F56ABA">
        <w:fldChar w:fldCharType="begin"/>
      </w:r>
      <w:r w:rsidR="00C62E5A" w:rsidRPr="00F56ABA">
        <w:instrText xml:space="preserve"> REF _Ref435787712 \h </w:instrText>
      </w:r>
      <w:r w:rsidR="000E2214" w:rsidRPr="00F56ABA">
        <w:instrText xml:space="preserve"> \* MERGEFORMAT </w:instrText>
      </w:r>
      <w:r w:rsidR="00C62E5A" w:rsidRPr="00F56ABA">
        <w:fldChar w:fldCharType="separate"/>
      </w:r>
      <w:r w:rsidR="00FD3AB6" w:rsidRPr="00FD3AB6">
        <w:t xml:space="preserve">Figure </w:t>
      </w:r>
      <w:r w:rsidR="00FD3AB6" w:rsidRPr="00FD3AB6">
        <w:rPr>
          <w:noProof/>
        </w:rPr>
        <w:t>1</w:t>
      </w:r>
      <w:r w:rsidR="00C62E5A" w:rsidRPr="00F56ABA">
        <w:fldChar w:fldCharType="end"/>
      </w:r>
      <w:r w:rsidR="00C62E5A" w:rsidRPr="00F56ABA">
        <w:t>, the analysis indicates that</w:t>
      </w:r>
      <w:r w:rsidRPr="00F56ABA">
        <w:t>,</w:t>
      </w:r>
      <w:r w:rsidR="00C62E5A" w:rsidRPr="00F56ABA">
        <w:t xml:space="preserve"> 90</w:t>
      </w:r>
      <w:r w:rsidRPr="00F56ABA">
        <w:t> </w:t>
      </w:r>
      <w:r w:rsidR="00C62E5A" w:rsidRPr="00F56ABA">
        <w:t>percent of the time the simulation model was run (out of 10,000</w:t>
      </w:r>
      <w:r w:rsidR="00CC69F3" w:rsidRPr="00F56ABA">
        <w:t> </w:t>
      </w:r>
      <w:r w:rsidR="00C62E5A" w:rsidRPr="00F56ABA">
        <w:t>times)</w:t>
      </w:r>
      <w:r w:rsidRPr="00F56ABA">
        <w:t>,</w:t>
      </w:r>
      <w:r w:rsidR="00C62E5A" w:rsidRPr="00F56ABA">
        <w:t xml:space="preserve"> the industry implementation costs ranged from (</w:t>
      </w:r>
      <w:r w:rsidR="00BC19FA" w:rsidRPr="00F56ABA">
        <w:t>$</w:t>
      </w:r>
      <w:r w:rsidR="007607B0" w:rsidRPr="00F56ABA">
        <w:t>2.18</w:t>
      </w:r>
      <w:r w:rsidRPr="00F56ABA">
        <w:t> </w:t>
      </w:r>
      <w:r w:rsidR="00C62E5A" w:rsidRPr="00F56ABA">
        <w:t>million) to ($</w:t>
      </w:r>
      <w:r w:rsidR="007607B0" w:rsidRPr="00F56ABA">
        <w:t>1.37</w:t>
      </w:r>
      <w:r w:rsidRPr="00F56ABA">
        <w:t> </w:t>
      </w:r>
      <w:r w:rsidR="00C62E5A" w:rsidRPr="00F56ABA">
        <w:t>million</w:t>
      </w:r>
      <w:r w:rsidR="00725A73" w:rsidRPr="00F56ABA">
        <w:t>)</w:t>
      </w:r>
      <w:r w:rsidR="00CC69F3" w:rsidRPr="00F56ABA">
        <w:t>,</w:t>
      </w:r>
      <w:r w:rsidR="00C62E5A" w:rsidRPr="00F56ABA">
        <w:t xml:space="preserve"> with </w:t>
      </w:r>
      <w:r w:rsidR="001A2817" w:rsidRPr="00F56ABA">
        <w:t>a mean value</w:t>
      </w:r>
      <w:r w:rsidR="00C62E5A" w:rsidRPr="00F56ABA">
        <w:t xml:space="preserve"> of </w:t>
      </w:r>
      <w:r w:rsidR="00F91E64" w:rsidRPr="00F56ABA">
        <w:t>(</w:t>
      </w:r>
      <w:r w:rsidR="00C62E5A" w:rsidRPr="00F56ABA">
        <w:t>$</w:t>
      </w:r>
      <w:r w:rsidR="007607B0" w:rsidRPr="00F56ABA">
        <w:t>1.</w:t>
      </w:r>
      <w:r w:rsidR="00725A73" w:rsidRPr="00F56ABA">
        <w:t>7</w:t>
      </w:r>
      <w:r w:rsidR="007607B0" w:rsidRPr="00F56ABA">
        <w:t>6</w:t>
      </w:r>
      <w:r w:rsidRPr="00F56ABA">
        <w:t> </w:t>
      </w:r>
      <w:r w:rsidR="00C62E5A" w:rsidRPr="00F56ABA">
        <w:t>million</w:t>
      </w:r>
      <w:r w:rsidR="00F91E64" w:rsidRPr="00F56ABA">
        <w:t>)</w:t>
      </w:r>
      <w:r w:rsidR="00C62E5A" w:rsidRPr="00F56ABA">
        <w:t>.</w:t>
      </w:r>
      <w:r w:rsidR="00B863BD" w:rsidRPr="00F56ABA">
        <w:t xml:space="preserve">  </w:t>
      </w:r>
      <w:r w:rsidR="00153EB9" w:rsidRPr="00F56ABA">
        <w:t xml:space="preserve">Figure 2 </w:t>
      </w:r>
      <w:r w:rsidR="00B863BD" w:rsidRPr="00F56ABA">
        <w:t>shows that</w:t>
      </w:r>
      <w:r w:rsidRPr="00F56ABA">
        <w:t>,</w:t>
      </w:r>
      <w:r w:rsidR="00B863BD" w:rsidRPr="00F56ABA">
        <w:t xml:space="preserve"> 90</w:t>
      </w:r>
      <w:r w:rsidRPr="00F56ABA">
        <w:t> </w:t>
      </w:r>
      <w:r w:rsidR="00B863BD" w:rsidRPr="00F56ABA">
        <w:t>percent of the time, industry operation</w:t>
      </w:r>
      <w:r w:rsidR="007607B0" w:rsidRPr="00F56ABA">
        <w:t xml:space="preserve"> averted costs ranged from $3.11</w:t>
      </w:r>
      <w:r w:rsidRPr="00F56ABA">
        <w:t> </w:t>
      </w:r>
      <w:r w:rsidR="007607B0" w:rsidRPr="00F56ABA">
        <w:t>million to $7.04</w:t>
      </w:r>
      <w:r w:rsidRPr="00F56ABA">
        <w:t> </w:t>
      </w:r>
      <w:r w:rsidR="00B863BD" w:rsidRPr="00F56ABA">
        <w:t xml:space="preserve">million.  </w:t>
      </w:r>
      <w:r w:rsidR="00153EB9" w:rsidRPr="00F56ABA">
        <w:t xml:space="preserve">Figure 3 </w:t>
      </w:r>
      <w:r w:rsidR="00B863BD" w:rsidRPr="00F56ABA">
        <w:t>shows that</w:t>
      </w:r>
      <w:r w:rsidRPr="00F56ABA">
        <w:t>,</w:t>
      </w:r>
      <w:r w:rsidR="00B863BD" w:rsidRPr="00F56ABA">
        <w:t xml:space="preserve"> 90</w:t>
      </w:r>
      <w:r w:rsidRPr="00F56ABA">
        <w:t> </w:t>
      </w:r>
      <w:r w:rsidR="00B863BD" w:rsidRPr="00F56ABA">
        <w:t>percent of the time, NR</w:t>
      </w:r>
      <w:r w:rsidR="007607B0" w:rsidRPr="00F56ABA">
        <w:t>C averted costs ranged from $2.1</w:t>
      </w:r>
      <w:r w:rsidR="00B863BD" w:rsidRPr="00F56ABA">
        <w:t>4</w:t>
      </w:r>
      <w:r w:rsidRPr="00F56ABA">
        <w:t> </w:t>
      </w:r>
      <w:r w:rsidR="007607B0" w:rsidRPr="00F56ABA">
        <w:t>million to $2.91</w:t>
      </w:r>
      <w:r w:rsidRPr="00F56ABA">
        <w:t> </w:t>
      </w:r>
      <w:r w:rsidR="00B863BD" w:rsidRPr="00F56ABA">
        <w:t xml:space="preserve">million.  </w:t>
      </w:r>
      <w:r w:rsidR="00B863BD" w:rsidRPr="005718AE">
        <w:fldChar w:fldCharType="begin"/>
      </w:r>
      <w:r w:rsidR="00B863BD" w:rsidRPr="005718AE">
        <w:instrText xml:space="preserve"> REF _Ref462223189 \h </w:instrText>
      </w:r>
      <w:r w:rsidR="000E2214" w:rsidRPr="005718AE">
        <w:instrText xml:space="preserve"> \* MERGEFORMAT </w:instrText>
      </w:r>
      <w:r w:rsidR="00B863BD" w:rsidRPr="005718AE">
        <w:fldChar w:fldCharType="separate"/>
      </w:r>
      <w:r w:rsidR="00FD3AB6" w:rsidRPr="00FD3AB6">
        <w:t xml:space="preserve">Figure </w:t>
      </w:r>
      <w:r w:rsidR="00FD3AB6" w:rsidRPr="00FD3AB6">
        <w:rPr>
          <w:noProof/>
        </w:rPr>
        <w:t>4</w:t>
      </w:r>
      <w:r w:rsidR="00B863BD" w:rsidRPr="005718AE">
        <w:fldChar w:fldCharType="end"/>
      </w:r>
      <w:r w:rsidR="005718AE">
        <w:t xml:space="preserve"> </w:t>
      </w:r>
      <w:r w:rsidR="00B863BD" w:rsidRPr="00F56ABA">
        <w:t>shows the net averted cost o</w:t>
      </w:r>
      <w:r w:rsidR="007607B0" w:rsidRPr="00F56ABA">
        <w:t>f this final rule ranged from $2.86</w:t>
      </w:r>
      <w:r w:rsidRPr="00F56ABA">
        <w:t> </w:t>
      </w:r>
      <w:r w:rsidR="007607B0" w:rsidRPr="00F56ABA">
        <w:t>million to $6.90</w:t>
      </w:r>
      <w:r w:rsidRPr="00F56ABA">
        <w:t> </w:t>
      </w:r>
      <w:r w:rsidR="00B863BD" w:rsidRPr="00F56ABA">
        <w:t>million, and each of the 10,000 iterations showed a net averted cost (net benefit) for the final rule.</w:t>
      </w:r>
      <w:r w:rsidR="008E0890" w:rsidRPr="00F56ABA">
        <w:t xml:space="preserve"> Table 21 displays the minimum, mean and maximum costs for each regulatory attribute. Additionally</w:t>
      </w:r>
      <w:r w:rsidR="005718AE">
        <w:t>,</w:t>
      </w:r>
      <w:r w:rsidR="008E0890" w:rsidRPr="00F56ABA">
        <w:t xml:space="preserve"> Table 21 shows the 5 percent and 95 percent probabilistic costs for each attribute.</w:t>
      </w:r>
    </w:p>
    <w:p w14:paraId="1F2EBEE7" w14:textId="59B9C0E0" w:rsidR="00464D4F" w:rsidRDefault="00A71444" w:rsidP="00FF0EE8">
      <w:pPr>
        <w:spacing w:line="240" w:lineRule="auto"/>
        <w:rPr>
          <w:rFonts w:eastAsia="Times New Roman"/>
        </w:rPr>
      </w:pPr>
      <w:r w:rsidRPr="00A71444">
        <w:rPr>
          <w:rFonts w:eastAsia="Times New Roman"/>
          <w:noProof/>
        </w:rPr>
        <w:drawing>
          <wp:inline distT="0" distB="0" distL="0" distR="0" wp14:anchorId="6B4B1CF6" wp14:editId="02EB21A2">
            <wp:extent cx="5943600" cy="35632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63203"/>
                    </a:xfrm>
                    <a:prstGeom prst="rect">
                      <a:avLst/>
                    </a:prstGeom>
                    <a:noFill/>
                    <a:ln>
                      <a:noFill/>
                    </a:ln>
                  </pic:spPr>
                </pic:pic>
              </a:graphicData>
            </a:graphic>
          </wp:inline>
        </w:drawing>
      </w:r>
    </w:p>
    <w:p w14:paraId="5F5E56F1" w14:textId="3C61964D" w:rsidR="006C3FF0" w:rsidRPr="00587EDB" w:rsidRDefault="006C3FF0" w:rsidP="00FF0EE8">
      <w:pPr>
        <w:spacing w:line="240" w:lineRule="auto"/>
        <w:jc w:val="center"/>
        <w:rPr>
          <w:b/>
        </w:rPr>
      </w:pPr>
      <w:bookmarkStart w:id="246" w:name="_Ref435787712"/>
      <w:bookmarkStart w:id="247" w:name="_Toc467508456"/>
      <w:bookmarkStart w:id="248" w:name="_Toc462224991"/>
      <w:bookmarkStart w:id="249" w:name="_Ref462223170"/>
      <w:r w:rsidRPr="00587EDB">
        <w:rPr>
          <w:b/>
        </w:rPr>
        <w:t xml:space="preserve">Figure </w:t>
      </w:r>
      <w:r w:rsidRPr="00587EDB">
        <w:rPr>
          <w:b/>
        </w:rPr>
        <w:fldChar w:fldCharType="begin"/>
      </w:r>
      <w:r w:rsidRPr="00587EDB">
        <w:rPr>
          <w:b/>
        </w:rPr>
        <w:instrText xml:space="preserve"> SEQ Figure \* ARABIC </w:instrText>
      </w:r>
      <w:r w:rsidRPr="00587EDB">
        <w:rPr>
          <w:b/>
        </w:rPr>
        <w:fldChar w:fldCharType="separate"/>
      </w:r>
      <w:r w:rsidR="00FD3AB6">
        <w:rPr>
          <w:b/>
          <w:noProof/>
        </w:rPr>
        <w:t>1</w:t>
      </w:r>
      <w:r w:rsidRPr="00587EDB">
        <w:rPr>
          <w:b/>
        </w:rPr>
        <w:fldChar w:fldCharType="end"/>
      </w:r>
      <w:bookmarkEnd w:id="246"/>
      <w:r w:rsidRPr="00D557C2">
        <w:rPr>
          <w:b/>
        </w:rPr>
        <w:t xml:space="preserve">  </w:t>
      </w:r>
      <w:r w:rsidRPr="00587EDB">
        <w:rPr>
          <w:b/>
        </w:rPr>
        <w:t>I</w:t>
      </w:r>
      <w:r w:rsidR="00F71FEA" w:rsidRPr="00587EDB">
        <w:rPr>
          <w:b/>
        </w:rPr>
        <w:t xml:space="preserve">ndustry </w:t>
      </w:r>
      <w:r w:rsidR="00F71FEA" w:rsidRPr="00FD4253">
        <w:rPr>
          <w:b/>
        </w:rPr>
        <w:t>implementation costs</w:t>
      </w:r>
      <w:r w:rsidR="00F71FEA" w:rsidRPr="00587EDB">
        <w:rPr>
          <w:b/>
        </w:rPr>
        <w:t xml:space="preserve"> (7</w:t>
      </w:r>
      <w:r w:rsidR="00F71FEA" w:rsidRPr="00FD4253">
        <w:rPr>
          <w:b/>
        </w:rPr>
        <w:t>-p</w:t>
      </w:r>
      <w:r w:rsidR="00F71FEA" w:rsidRPr="00473906">
        <w:rPr>
          <w:b/>
        </w:rPr>
        <w:t>ercent</w:t>
      </w:r>
      <w:r w:rsidRPr="00587EDB">
        <w:rPr>
          <w:b/>
        </w:rPr>
        <w:t xml:space="preserve"> NPV)</w:t>
      </w:r>
      <w:bookmarkEnd w:id="247"/>
      <w:bookmarkEnd w:id="248"/>
    </w:p>
    <w:p w14:paraId="77DD12CA" w14:textId="41C89286" w:rsidR="007607B0" w:rsidRDefault="007607B0" w:rsidP="00FF0EE8">
      <w:pPr>
        <w:spacing w:line="240" w:lineRule="auto"/>
        <w:jc w:val="center"/>
        <w:rPr>
          <w:rFonts w:eastAsia="Times New Roman"/>
          <w:noProof/>
        </w:rPr>
      </w:pPr>
      <w:bookmarkStart w:id="250" w:name="_Toc467508457"/>
      <w:bookmarkStart w:id="251" w:name="_Toc462224992"/>
      <w:bookmarkStart w:id="252" w:name="_Ref462223177"/>
      <w:bookmarkEnd w:id="249"/>
      <w:r w:rsidRPr="007607B0">
        <w:rPr>
          <w:rFonts w:eastAsia="Times New Roman"/>
          <w:noProof/>
        </w:rPr>
        <w:drawing>
          <wp:inline distT="0" distB="0" distL="0" distR="0" wp14:anchorId="144C7BFF" wp14:editId="4AD3FE1E">
            <wp:extent cx="5890260" cy="3398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0260" cy="3398520"/>
                    </a:xfrm>
                    <a:prstGeom prst="rect">
                      <a:avLst/>
                    </a:prstGeom>
                    <a:noFill/>
                    <a:ln>
                      <a:noFill/>
                    </a:ln>
                  </pic:spPr>
                </pic:pic>
              </a:graphicData>
            </a:graphic>
          </wp:inline>
        </w:drawing>
      </w:r>
    </w:p>
    <w:p w14:paraId="17C0F75C" w14:textId="7F86F7CB" w:rsidR="006C3FF0" w:rsidRPr="00587EDB" w:rsidRDefault="006C3FF0" w:rsidP="00FF0EE8">
      <w:pPr>
        <w:spacing w:line="240" w:lineRule="auto"/>
        <w:jc w:val="center"/>
        <w:rPr>
          <w:b/>
        </w:rPr>
      </w:pPr>
      <w:r w:rsidRPr="00587EDB">
        <w:rPr>
          <w:b/>
        </w:rPr>
        <w:t xml:space="preserve">Figure </w:t>
      </w:r>
      <w:r w:rsidRPr="00587EDB">
        <w:rPr>
          <w:b/>
        </w:rPr>
        <w:fldChar w:fldCharType="begin"/>
      </w:r>
      <w:r w:rsidRPr="00587EDB">
        <w:rPr>
          <w:b/>
        </w:rPr>
        <w:instrText xml:space="preserve"> SEQ Figure \* ARABIC </w:instrText>
      </w:r>
      <w:r w:rsidRPr="00587EDB">
        <w:rPr>
          <w:b/>
        </w:rPr>
        <w:fldChar w:fldCharType="separate"/>
      </w:r>
      <w:r w:rsidR="00FD3AB6">
        <w:rPr>
          <w:b/>
          <w:noProof/>
        </w:rPr>
        <w:t>2</w:t>
      </w:r>
      <w:r w:rsidRPr="00587EDB">
        <w:rPr>
          <w:b/>
        </w:rPr>
        <w:fldChar w:fldCharType="end"/>
      </w:r>
      <w:r w:rsidR="00F71FEA" w:rsidRPr="00FD4253">
        <w:rPr>
          <w:b/>
        </w:rPr>
        <w:t xml:space="preserve">  </w:t>
      </w:r>
      <w:r w:rsidR="00F71FEA" w:rsidRPr="00587EDB">
        <w:rPr>
          <w:b/>
        </w:rPr>
        <w:t xml:space="preserve">Industry </w:t>
      </w:r>
      <w:r w:rsidR="00F71FEA" w:rsidRPr="00FD4253">
        <w:rPr>
          <w:b/>
        </w:rPr>
        <w:t>operations costs</w:t>
      </w:r>
      <w:r w:rsidR="00F71FEA" w:rsidRPr="00587EDB">
        <w:rPr>
          <w:b/>
        </w:rPr>
        <w:t xml:space="preserve"> (7</w:t>
      </w:r>
      <w:r w:rsidR="00F71FEA" w:rsidRPr="00FD4253">
        <w:rPr>
          <w:b/>
        </w:rPr>
        <w:t>-percent</w:t>
      </w:r>
      <w:r w:rsidRPr="00587EDB">
        <w:rPr>
          <w:b/>
        </w:rPr>
        <w:t xml:space="preserve"> NPV)</w:t>
      </w:r>
      <w:bookmarkEnd w:id="250"/>
      <w:bookmarkEnd w:id="251"/>
    </w:p>
    <w:bookmarkEnd w:id="252"/>
    <w:p w14:paraId="492737D0" w14:textId="7CA3A486" w:rsidR="0014727E" w:rsidRDefault="007607B0" w:rsidP="00FF0EE8">
      <w:pPr>
        <w:spacing w:line="240" w:lineRule="auto"/>
        <w:rPr>
          <w:rFonts w:eastAsia="Times New Roman"/>
        </w:rPr>
      </w:pPr>
      <w:r w:rsidRPr="007607B0">
        <w:rPr>
          <w:rFonts w:eastAsia="Times New Roman"/>
          <w:noProof/>
        </w:rPr>
        <w:drawing>
          <wp:inline distT="0" distB="0" distL="0" distR="0" wp14:anchorId="6103334E" wp14:editId="4728A08A">
            <wp:extent cx="5890260" cy="3398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0260" cy="3398520"/>
                    </a:xfrm>
                    <a:prstGeom prst="rect">
                      <a:avLst/>
                    </a:prstGeom>
                    <a:noFill/>
                    <a:ln>
                      <a:noFill/>
                    </a:ln>
                  </pic:spPr>
                </pic:pic>
              </a:graphicData>
            </a:graphic>
          </wp:inline>
        </w:drawing>
      </w:r>
    </w:p>
    <w:p w14:paraId="0094F3F8" w14:textId="58670DAA" w:rsidR="00A73328" w:rsidRPr="00587EDB" w:rsidRDefault="00A73328" w:rsidP="00FF0EE8">
      <w:pPr>
        <w:pStyle w:val="Caption"/>
        <w:spacing w:line="240" w:lineRule="auto"/>
        <w:jc w:val="center"/>
        <w:rPr>
          <w:b/>
        </w:rPr>
      </w:pPr>
      <w:bookmarkStart w:id="253" w:name="_Toc467508458"/>
      <w:bookmarkStart w:id="254" w:name="_Toc462224993"/>
      <w:r w:rsidRPr="00587EDB">
        <w:rPr>
          <w:b/>
        </w:rPr>
        <w:t xml:space="preserve">Figure </w:t>
      </w:r>
      <w:r w:rsidRPr="00587EDB">
        <w:rPr>
          <w:b/>
        </w:rPr>
        <w:fldChar w:fldCharType="begin"/>
      </w:r>
      <w:r w:rsidRPr="00587EDB">
        <w:rPr>
          <w:b/>
        </w:rPr>
        <w:instrText xml:space="preserve"> SEQ Figure \* ARABIC </w:instrText>
      </w:r>
      <w:r w:rsidRPr="00587EDB">
        <w:rPr>
          <w:b/>
        </w:rPr>
        <w:fldChar w:fldCharType="separate"/>
      </w:r>
      <w:r w:rsidR="00FD3AB6">
        <w:rPr>
          <w:b/>
          <w:noProof/>
        </w:rPr>
        <w:t>3</w:t>
      </w:r>
      <w:r w:rsidRPr="00587EDB">
        <w:rPr>
          <w:b/>
        </w:rPr>
        <w:fldChar w:fldCharType="end"/>
      </w:r>
      <w:r w:rsidRPr="00D557C2">
        <w:rPr>
          <w:b/>
        </w:rPr>
        <w:t xml:space="preserve">  </w:t>
      </w:r>
      <w:r w:rsidRPr="00587EDB">
        <w:rPr>
          <w:b/>
        </w:rPr>
        <w:t xml:space="preserve">NRC </w:t>
      </w:r>
      <w:r w:rsidRPr="00D557C2">
        <w:rPr>
          <w:b/>
        </w:rPr>
        <w:t>operations averted costs</w:t>
      </w:r>
      <w:r w:rsidRPr="00587EDB">
        <w:rPr>
          <w:b/>
        </w:rPr>
        <w:t xml:space="preserve"> (7</w:t>
      </w:r>
      <w:r w:rsidR="00F71FEA">
        <w:rPr>
          <w:b/>
        </w:rPr>
        <w:noBreakHyphen/>
        <w:t>percent</w:t>
      </w:r>
      <w:r w:rsidRPr="00D557C2">
        <w:rPr>
          <w:b/>
        </w:rPr>
        <w:t xml:space="preserve"> discount rate</w:t>
      </w:r>
      <w:r w:rsidRPr="00587EDB">
        <w:rPr>
          <w:b/>
        </w:rPr>
        <w:t>)</w:t>
      </w:r>
      <w:bookmarkEnd w:id="253"/>
      <w:bookmarkEnd w:id="254"/>
    </w:p>
    <w:p w14:paraId="46CFBF91" w14:textId="57818A70" w:rsidR="0014727E" w:rsidRDefault="008E10B7" w:rsidP="00FF0EE8">
      <w:pPr>
        <w:spacing w:line="240" w:lineRule="auto"/>
        <w:rPr>
          <w:rFonts w:eastAsia="Times New Roman"/>
        </w:rPr>
      </w:pPr>
      <w:r w:rsidRPr="008E10B7">
        <w:rPr>
          <w:rFonts w:eastAsia="Times New Roman"/>
          <w:noProof/>
        </w:rPr>
        <w:drawing>
          <wp:inline distT="0" distB="0" distL="0" distR="0" wp14:anchorId="1CC11E16" wp14:editId="45AB4BA3">
            <wp:extent cx="5890260" cy="33985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90260" cy="3398520"/>
                    </a:xfrm>
                    <a:prstGeom prst="rect">
                      <a:avLst/>
                    </a:prstGeom>
                    <a:noFill/>
                    <a:ln>
                      <a:noFill/>
                    </a:ln>
                  </pic:spPr>
                </pic:pic>
              </a:graphicData>
            </a:graphic>
          </wp:inline>
        </w:drawing>
      </w:r>
    </w:p>
    <w:p w14:paraId="2AF4F87E" w14:textId="0AFF5724" w:rsidR="00A73328" w:rsidRPr="00587EDB" w:rsidRDefault="00A73328" w:rsidP="00FF0EE8">
      <w:pPr>
        <w:pStyle w:val="Caption"/>
        <w:keepNext w:val="0"/>
        <w:spacing w:line="240" w:lineRule="auto"/>
        <w:ind w:left="1080" w:hanging="1080"/>
        <w:jc w:val="center"/>
        <w:rPr>
          <w:b/>
        </w:rPr>
      </w:pPr>
      <w:bookmarkStart w:id="255" w:name="_Ref462223189"/>
      <w:bookmarkStart w:id="256" w:name="_Toc467508459"/>
      <w:bookmarkStart w:id="257" w:name="_Toc462224994"/>
      <w:r w:rsidRPr="00587EDB">
        <w:rPr>
          <w:b/>
        </w:rPr>
        <w:t xml:space="preserve">Figure </w:t>
      </w:r>
      <w:r w:rsidRPr="00587EDB">
        <w:rPr>
          <w:b/>
        </w:rPr>
        <w:fldChar w:fldCharType="begin"/>
      </w:r>
      <w:r w:rsidRPr="00587EDB">
        <w:rPr>
          <w:b/>
        </w:rPr>
        <w:instrText xml:space="preserve"> SEQ Figure \* ARABIC </w:instrText>
      </w:r>
      <w:r w:rsidRPr="00587EDB">
        <w:rPr>
          <w:b/>
        </w:rPr>
        <w:fldChar w:fldCharType="separate"/>
      </w:r>
      <w:r w:rsidR="00FD3AB6">
        <w:rPr>
          <w:b/>
          <w:noProof/>
        </w:rPr>
        <w:t>4</w:t>
      </w:r>
      <w:r w:rsidRPr="00587EDB">
        <w:rPr>
          <w:b/>
        </w:rPr>
        <w:fldChar w:fldCharType="end"/>
      </w:r>
      <w:bookmarkEnd w:id="255"/>
      <w:r w:rsidRPr="00D557C2">
        <w:rPr>
          <w:b/>
        </w:rPr>
        <w:t xml:space="preserve">  </w:t>
      </w:r>
      <w:r w:rsidRPr="00587EDB">
        <w:rPr>
          <w:b/>
        </w:rPr>
        <w:t>Total (7</w:t>
      </w:r>
      <w:r w:rsidR="00F71FEA">
        <w:rPr>
          <w:b/>
        </w:rPr>
        <w:noBreakHyphen/>
        <w:t>percent</w:t>
      </w:r>
      <w:r w:rsidRPr="00D557C2">
        <w:rPr>
          <w:b/>
        </w:rPr>
        <w:t xml:space="preserve"> discount rate</w:t>
      </w:r>
      <w:r w:rsidRPr="00587EDB">
        <w:rPr>
          <w:b/>
        </w:rPr>
        <w:t>)</w:t>
      </w:r>
      <w:bookmarkEnd w:id="256"/>
      <w:bookmarkEnd w:id="257"/>
    </w:p>
    <w:p w14:paraId="6B0143D0" w14:textId="0FB802D7" w:rsidR="00811154" w:rsidRPr="00587EDB" w:rsidRDefault="00811154" w:rsidP="00FF0EE8">
      <w:pPr>
        <w:pStyle w:val="Caption"/>
        <w:spacing w:line="240" w:lineRule="auto"/>
        <w:ind w:left="1080" w:hanging="1080"/>
        <w:jc w:val="center"/>
        <w:rPr>
          <w:b/>
        </w:rPr>
      </w:pPr>
      <w:bookmarkStart w:id="258" w:name="_Toc467508510"/>
      <w:bookmarkStart w:id="259" w:name="_Toc462225016"/>
      <w:r w:rsidRPr="00587EDB">
        <w:rPr>
          <w:b/>
        </w:rPr>
        <w:t xml:space="preserve">Table </w:t>
      </w:r>
      <w:r w:rsidR="00782423" w:rsidRPr="00587EDB">
        <w:rPr>
          <w:b/>
        </w:rPr>
        <w:fldChar w:fldCharType="begin"/>
      </w:r>
      <w:r w:rsidR="00782423" w:rsidRPr="00587EDB">
        <w:rPr>
          <w:b/>
        </w:rPr>
        <w:instrText xml:space="preserve"> SEQ Table \* ARABIC </w:instrText>
      </w:r>
      <w:r w:rsidR="00782423" w:rsidRPr="00587EDB">
        <w:rPr>
          <w:b/>
        </w:rPr>
        <w:fldChar w:fldCharType="separate"/>
      </w:r>
      <w:r w:rsidR="00FD3AB6">
        <w:rPr>
          <w:b/>
          <w:noProof/>
        </w:rPr>
        <w:t>21</w:t>
      </w:r>
      <w:r w:rsidR="00782423" w:rsidRPr="00587EDB">
        <w:rPr>
          <w:b/>
        </w:rPr>
        <w:fldChar w:fldCharType="end"/>
      </w:r>
      <w:r w:rsidR="00A73328" w:rsidRPr="00D557C2">
        <w:rPr>
          <w:b/>
        </w:rPr>
        <w:t xml:space="preserve">  </w:t>
      </w:r>
      <w:r w:rsidRPr="00587EDB">
        <w:rPr>
          <w:b/>
        </w:rPr>
        <w:t>Uncertainty Results Descriptive Statistics</w:t>
      </w:r>
      <w:bookmarkEnd w:id="258"/>
      <w:bookmarkEnd w:id="259"/>
    </w:p>
    <w:tbl>
      <w:tblPr>
        <w:tblW w:w="4283" w:type="pct"/>
        <w:jc w:val="center"/>
        <w:tblLook w:val="04A0" w:firstRow="1" w:lastRow="0" w:firstColumn="1" w:lastColumn="0" w:noHBand="0" w:noVBand="1"/>
      </w:tblPr>
      <w:tblGrid>
        <w:gridCol w:w="2160"/>
        <w:gridCol w:w="1243"/>
        <w:gridCol w:w="1170"/>
        <w:gridCol w:w="1292"/>
        <w:gridCol w:w="1169"/>
        <w:gridCol w:w="1169"/>
      </w:tblGrid>
      <w:tr w:rsidR="008E0890" w:rsidRPr="002F57F3" w14:paraId="2493FEC5" w14:textId="77777777" w:rsidTr="004F5401">
        <w:trPr>
          <w:trHeight w:val="270"/>
          <w:tblHeader/>
          <w:jc w:val="center"/>
        </w:trPr>
        <w:tc>
          <w:tcPr>
            <w:tcW w:w="2160" w:type="dxa"/>
            <w:tcBorders>
              <w:top w:val="single" w:sz="8" w:space="0" w:color="auto"/>
              <w:left w:val="single" w:sz="4" w:space="0" w:color="auto"/>
              <w:bottom w:val="single" w:sz="4" w:space="0" w:color="auto"/>
              <w:right w:val="single" w:sz="4" w:space="0" w:color="auto"/>
            </w:tcBorders>
            <w:vAlign w:val="center"/>
          </w:tcPr>
          <w:p w14:paraId="2A936D43" w14:textId="77777777" w:rsidR="008E0890" w:rsidRPr="00587EDB" w:rsidRDefault="008E0890" w:rsidP="00FF0EE8">
            <w:pPr>
              <w:keepNext/>
              <w:spacing w:line="240" w:lineRule="auto"/>
              <w:jc w:val="center"/>
              <w:rPr>
                <w:b/>
              </w:rPr>
            </w:pPr>
            <w:r w:rsidRPr="00587EDB">
              <w:rPr>
                <w:b/>
              </w:rPr>
              <w:t>Uncertainty Result</w:t>
            </w:r>
          </w:p>
        </w:tc>
        <w:tc>
          <w:tcPr>
            <w:tcW w:w="124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4D36FFD" w14:textId="7E0C07EB" w:rsidR="008E0890" w:rsidRPr="00587EDB" w:rsidRDefault="008E0890" w:rsidP="007E58CE">
            <w:pPr>
              <w:keepNext/>
              <w:spacing w:line="240" w:lineRule="auto"/>
              <w:jc w:val="center"/>
              <w:rPr>
                <w:b/>
              </w:rPr>
            </w:pPr>
            <w:r w:rsidRPr="00587EDB">
              <w:rPr>
                <w:b/>
              </w:rPr>
              <w:t>Min</w:t>
            </w:r>
            <w:r w:rsidR="007E58CE">
              <w:rPr>
                <w:rFonts w:eastAsia="Times New Roman"/>
                <w:b/>
              </w:rPr>
              <w:t>imum</w:t>
            </w:r>
          </w:p>
        </w:tc>
        <w:tc>
          <w:tcPr>
            <w:tcW w:w="1170" w:type="dxa"/>
            <w:tcBorders>
              <w:top w:val="single" w:sz="8" w:space="0" w:color="auto"/>
              <w:left w:val="nil"/>
              <w:bottom w:val="single" w:sz="4" w:space="0" w:color="auto"/>
              <w:right w:val="single" w:sz="4" w:space="0" w:color="auto"/>
            </w:tcBorders>
            <w:shd w:val="clear" w:color="auto" w:fill="auto"/>
            <w:noWrap/>
            <w:vAlign w:val="center"/>
            <w:hideMark/>
          </w:tcPr>
          <w:p w14:paraId="6E7C3624" w14:textId="77777777" w:rsidR="008E0890" w:rsidRPr="00587EDB" w:rsidRDefault="008E0890" w:rsidP="00FF0EE8">
            <w:pPr>
              <w:keepNext/>
              <w:spacing w:line="240" w:lineRule="auto"/>
              <w:jc w:val="center"/>
              <w:rPr>
                <w:b/>
              </w:rPr>
            </w:pPr>
            <w:r w:rsidRPr="00587EDB">
              <w:rPr>
                <w:b/>
              </w:rPr>
              <w:t>Mean</w:t>
            </w:r>
          </w:p>
        </w:tc>
        <w:tc>
          <w:tcPr>
            <w:tcW w:w="129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316A5F5" w14:textId="2E98C460" w:rsidR="008E0890" w:rsidRPr="00587EDB" w:rsidRDefault="008E0890" w:rsidP="007E58CE">
            <w:pPr>
              <w:keepNext/>
              <w:spacing w:line="240" w:lineRule="auto"/>
              <w:jc w:val="center"/>
              <w:rPr>
                <w:b/>
              </w:rPr>
            </w:pPr>
            <w:r w:rsidRPr="00587EDB">
              <w:rPr>
                <w:b/>
              </w:rPr>
              <w:t>Max</w:t>
            </w:r>
            <w:r w:rsidR="007E58CE">
              <w:rPr>
                <w:rFonts w:eastAsia="Times New Roman"/>
                <w:b/>
              </w:rPr>
              <w:t>imum</w:t>
            </w:r>
          </w:p>
        </w:tc>
        <w:tc>
          <w:tcPr>
            <w:tcW w:w="1169" w:type="dxa"/>
            <w:tcBorders>
              <w:top w:val="single" w:sz="8" w:space="0" w:color="auto"/>
              <w:left w:val="nil"/>
              <w:bottom w:val="single" w:sz="4" w:space="0" w:color="auto"/>
              <w:right w:val="single" w:sz="4" w:space="0" w:color="auto"/>
            </w:tcBorders>
            <w:shd w:val="clear" w:color="auto" w:fill="auto"/>
            <w:noWrap/>
            <w:vAlign w:val="center"/>
            <w:hideMark/>
          </w:tcPr>
          <w:p w14:paraId="46E9AB5A" w14:textId="77777777" w:rsidR="008E0890" w:rsidRPr="00587EDB" w:rsidRDefault="008E0890" w:rsidP="00FF0EE8">
            <w:pPr>
              <w:keepNext/>
              <w:spacing w:line="240" w:lineRule="auto"/>
              <w:jc w:val="center"/>
              <w:rPr>
                <w:b/>
              </w:rPr>
            </w:pPr>
            <w:r w:rsidRPr="00587EDB">
              <w:rPr>
                <w:b/>
              </w:rPr>
              <w:t>5%</w:t>
            </w:r>
          </w:p>
        </w:tc>
        <w:tc>
          <w:tcPr>
            <w:tcW w:w="1169" w:type="dxa"/>
            <w:tcBorders>
              <w:top w:val="single" w:sz="8" w:space="0" w:color="auto"/>
              <w:left w:val="nil"/>
              <w:bottom w:val="single" w:sz="4" w:space="0" w:color="auto"/>
              <w:right w:val="single" w:sz="4" w:space="0" w:color="auto"/>
            </w:tcBorders>
            <w:shd w:val="clear" w:color="auto" w:fill="auto"/>
            <w:noWrap/>
            <w:vAlign w:val="center"/>
            <w:hideMark/>
          </w:tcPr>
          <w:p w14:paraId="0D5F8593" w14:textId="77777777" w:rsidR="008E0890" w:rsidRPr="00587EDB" w:rsidRDefault="008E0890" w:rsidP="00FF0EE8">
            <w:pPr>
              <w:keepNext/>
              <w:spacing w:line="240" w:lineRule="auto"/>
              <w:jc w:val="center"/>
              <w:rPr>
                <w:b/>
              </w:rPr>
            </w:pPr>
            <w:r w:rsidRPr="00587EDB">
              <w:rPr>
                <w:b/>
              </w:rPr>
              <w:t>95%</w:t>
            </w:r>
          </w:p>
        </w:tc>
      </w:tr>
      <w:tr w:rsidR="008E0890" w:rsidRPr="002F57F3" w14:paraId="729FF257" w14:textId="77777777" w:rsidTr="004F5401">
        <w:trPr>
          <w:trHeight w:val="795"/>
          <w:jc w:val="center"/>
        </w:trPr>
        <w:tc>
          <w:tcPr>
            <w:tcW w:w="2160" w:type="dxa"/>
            <w:tcBorders>
              <w:top w:val="nil"/>
              <w:left w:val="single" w:sz="4" w:space="0" w:color="auto"/>
              <w:bottom w:val="single" w:sz="4" w:space="0" w:color="auto"/>
              <w:right w:val="single" w:sz="4" w:space="0" w:color="auto"/>
            </w:tcBorders>
            <w:vAlign w:val="center"/>
          </w:tcPr>
          <w:p w14:paraId="5CA17F0A" w14:textId="33F0D5E0" w:rsidR="008E0890" w:rsidRPr="00587EDB" w:rsidRDefault="008E0890" w:rsidP="00FF0EE8">
            <w:pPr>
              <w:keepNext/>
              <w:spacing w:line="240" w:lineRule="auto"/>
              <w:jc w:val="center"/>
            </w:pPr>
            <w:r w:rsidRPr="00587EDB">
              <w:t xml:space="preserve">Industry </w:t>
            </w:r>
            <w:r>
              <w:t>One-Time Implementation (7% Discount Rate</w:t>
            </w:r>
            <w:r w:rsidRPr="00587EDB">
              <w:t>)</w:t>
            </w:r>
          </w:p>
        </w:tc>
        <w:tc>
          <w:tcPr>
            <w:tcW w:w="1243" w:type="dxa"/>
            <w:tcBorders>
              <w:top w:val="nil"/>
              <w:left w:val="single" w:sz="4" w:space="0" w:color="auto"/>
              <w:bottom w:val="single" w:sz="4" w:space="0" w:color="auto"/>
              <w:right w:val="single" w:sz="4" w:space="0" w:color="auto"/>
            </w:tcBorders>
            <w:shd w:val="clear" w:color="auto" w:fill="auto"/>
            <w:vAlign w:val="center"/>
          </w:tcPr>
          <w:p w14:paraId="3A939AAB" w14:textId="05E0258F" w:rsidR="008E0890" w:rsidRPr="00587EDB" w:rsidRDefault="008E0890" w:rsidP="00FF0EE8">
            <w:pPr>
              <w:keepNext/>
              <w:spacing w:line="240" w:lineRule="auto"/>
              <w:jc w:val="center"/>
            </w:pPr>
            <w:r w:rsidRPr="00587EDB">
              <w:t>($2.</w:t>
            </w:r>
            <w:r>
              <w:t>73</w:t>
            </w:r>
            <w:r w:rsidRPr="00587EDB">
              <w:t>)</w:t>
            </w:r>
          </w:p>
        </w:tc>
        <w:tc>
          <w:tcPr>
            <w:tcW w:w="1170" w:type="dxa"/>
            <w:tcBorders>
              <w:top w:val="nil"/>
              <w:left w:val="nil"/>
              <w:bottom w:val="single" w:sz="4" w:space="0" w:color="auto"/>
              <w:right w:val="single" w:sz="4" w:space="0" w:color="auto"/>
            </w:tcBorders>
            <w:shd w:val="clear" w:color="auto" w:fill="auto"/>
            <w:vAlign w:val="center"/>
          </w:tcPr>
          <w:p w14:paraId="4BA16B83" w14:textId="3D8E708D" w:rsidR="008E0890" w:rsidRPr="00587EDB" w:rsidRDefault="008E0890" w:rsidP="00FF0EE8">
            <w:pPr>
              <w:keepNext/>
              <w:spacing w:line="240" w:lineRule="auto"/>
              <w:jc w:val="center"/>
            </w:pPr>
            <w:r w:rsidRPr="00587EDB">
              <w:t>($1.7</w:t>
            </w:r>
            <w:r>
              <w:t>6</w:t>
            </w:r>
            <w:r w:rsidRPr="00587EDB">
              <w:t>)</w:t>
            </w:r>
          </w:p>
        </w:tc>
        <w:tc>
          <w:tcPr>
            <w:tcW w:w="1292" w:type="dxa"/>
            <w:tcBorders>
              <w:top w:val="nil"/>
              <w:left w:val="single" w:sz="4" w:space="0" w:color="auto"/>
              <w:bottom w:val="single" w:sz="4" w:space="0" w:color="auto"/>
              <w:right w:val="single" w:sz="4" w:space="0" w:color="auto"/>
            </w:tcBorders>
            <w:shd w:val="clear" w:color="auto" w:fill="auto"/>
            <w:vAlign w:val="center"/>
          </w:tcPr>
          <w:p w14:paraId="5CA4A630" w14:textId="171CFF2D" w:rsidR="008E0890" w:rsidRPr="00587EDB" w:rsidRDefault="008E0890" w:rsidP="00FF0EE8">
            <w:pPr>
              <w:keepNext/>
              <w:spacing w:line="240" w:lineRule="auto"/>
              <w:jc w:val="center"/>
            </w:pPr>
            <w:r w:rsidRPr="00587EDB">
              <w:t>($1.</w:t>
            </w:r>
            <w:r>
              <w:t>06</w:t>
            </w:r>
            <w:r w:rsidRPr="00587EDB">
              <w:t>)</w:t>
            </w:r>
          </w:p>
        </w:tc>
        <w:tc>
          <w:tcPr>
            <w:tcW w:w="1169" w:type="dxa"/>
            <w:tcBorders>
              <w:top w:val="nil"/>
              <w:left w:val="nil"/>
              <w:bottom w:val="single" w:sz="4" w:space="0" w:color="auto"/>
              <w:right w:val="single" w:sz="4" w:space="0" w:color="auto"/>
            </w:tcBorders>
            <w:shd w:val="clear" w:color="auto" w:fill="auto"/>
            <w:vAlign w:val="center"/>
          </w:tcPr>
          <w:p w14:paraId="33886052" w14:textId="263A0F99" w:rsidR="008E0890" w:rsidRPr="00587EDB" w:rsidRDefault="008E0890" w:rsidP="00FF0EE8">
            <w:pPr>
              <w:keepNext/>
              <w:spacing w:line="240" w:lineRule="auto"/>
              <w:jc w:val="center"/>
            </w:pPr>
            <w:r w:rsidRPr="00587EDB">
              <w:t>($2.</w:t>
            </w:r>
            <w:r>
              <w:t>18</w:t>
            </w:r>
            <w:r w:rsidRPr="00587EDB">
              <w:t>)</w:t>
            </w:r>
          </w:p>
        </w:tc>
        <w:tc>
          <w:tcPr>
            <w:tcW w:w="1169" w:type="dxa"/>
            <w:tcBorders>
              <w:top w:val="nil"/>
              <w:left w:val="nil"/>
              <w:bottom w:val="single" w:sz="4" w:space="0" w:color="auto"/>
              <w:right w:val="single" w:sz="4" w:space="0" w:color="auto"/>
            </w:tcBorders>
            <w:shd w:val="clear" w:color="auto" w:fill="auto"/>
            <w:vAlign w:val="center"/>
          </w:tcPr>
          <w:p w14:paraId="11E3FE50" w14:textId="576B20C1" w:rsidR="008E0890" w:rsidRPr="00587EDB" w:rsidRDefault="008E0890" w:rsidP="00FF0EE8">
            <w:pPr>
              <w:keepNext/>
              <w:spacing w:line="240" w:lineRule="auto"/>
              <w:jc w:val="center"/>
            </w:pPr>
            <w:r w:rsidRPr="00587EDB">
              <w:t>($1.</w:t>
            </w:r>
            <w:r>
              <w:t>38</w:t>
            </w:r>
            <w:r w:rsidRPr="00587EDB">
              <w:t>)</w:t>
            </w:r>
          </w:p>
        </w:tc>
      </w:tr>
      <w:tr w:rsidR="008E0890" w:rsidRPr="002F57F3" w14:paraId="016CEDBD" w14:textId="77777777" w:rsidTr="004F5401">
        <w:trPr>
          <w:trHeight w:val="665"/>
          <w:jc w:val="center"/>
        </w:trPr>
        <w:tc>
          <w:tcPr>
            <w:tcW w:w="2160" w:type="dxa"/>
            <w:tcBorders>
              <w:top w:val="nil"/>
              <w:left w:val="single" w:sz="4" w:space="0" w:color="auto"/>
              <w:bottom w:val="single" w:sz="4" w:space="0" w:color="auto"/>
              <w:right w:val="single" w:sz="4" w:space="0" w:color="auto"/>
            </w:tcBorders>
            <w:vAlign w:val="center"/>
          </w:tcPr>
          <w:p w14:paraId="7D20E50B" w14:textId="77777777" w:rsidR="008E0890" w:rsidRPr="00587EDB" w:rsidRDefault="008E0890" w:rsidP="00FF0EE8">
            <w:pPr>
              <w:spacing w:line="240" w:lineRule="auto"/>
              <w:jc w:val="center"/>
            </w:pPr>
            <w:r w:rsidRPr="00587EDB">
              <w:t>Industry Operation (7% Discount Rate)</w:t>
            </w:r>
          </w:p>
        </w:tc>
        <w:tc>
          <w:tcPr>
            <w:tcW w:w="1243" w:type="dxa"/>
            <w:tcBorders>
              <w:top w:val="nil"/>
              <w:left w:val="single" w:sz="4" w:space="0" w:color="auto"/>
              <w:bottom w:val="single" w:sz="4" w:space="0" w:color="auto"/>
              <w:right w:val="single" w:sz="4" w:space="0" w:color="auto"/>
            </w:tcBorders>
            <w:shd w:val="clear" w:color="auto" w:fill="auto"/>
            <w:vAlign w:val="center"/>
          </w:tcPr>
          <w:p w14:paraId="71FFD77F" w14:textId="77F2497F" w:rsidR="008E0890" w:rsidRPr="00587EDB" w:rsidRDefault="008E0890" w:rsidP="00FF0EE8">
            <w:pPr>
              <w:spacing w:line="240" w:lineRule="auto"/>
              <w:jc w:val="center"/>
            </w:pPr>
            <w:r w:rsidRPr="00587EDB">
              <w:t>$</w:t>
            </w:r>
            <w:r>
              <w:t>0.19</w:t>
            </w:r>
          </w:p>
        </w:tc>
        <w:tc>
          <w:tcPr>
            <w:tcW w:w="1170" w:type="dxa"/>
            <w:tcBorders>
              <w:top w:val="nil"/>
              <w:left w:val="nil"/>
              <w:bottom w:val="single" w:sz="4" w:space="0" w:color="auto"/>
              <w:right w:val="single" w:sz="4" w:space="0" w:color="auto"/>
            </w:tcBorders>
            <w:shd w:val="clear" w:color="auto" w:fill="auto"/>
            <w:vAlign w:val="center"/>
          </w:tcPr>
          <w:p w14:paraId="7EFB10C1" w14:textId="6B8120B2" w:rsidR="008E0890" w:rsidRPr="00587EDB" w:rsidRDefault="008E0890" w:rsidP="00FF0EE8">
            <w:pPr>
              <w:spacing w:line="240" w:lineRule="auto"/>
              <w:jc w:val="center"/>
            </w:pPr>
            <w:r w:rsidRPr="00587EDB">
              <w:t>$</w:t>
            </w:r>
            <w:r>
              <w:t>5</w:t>
            </w:r>
            <w:r w:rsidRPr="00587EDB">
              <w:t>.</w:t>
            </w:r>
            <w:r>
              <w:t>12</w:t>
            </w:r>
          </w:p>
        </w:tc>
        <w:tc>
          <w:tcPr>
            <w:tcW w:w="1292" w:type="dxa"/>
            <w:tcBorders>
              <w:top w:val="nil"/>
              <w:left w:val="single" w:sz="4" w:space="0" w:color="auto"/>
              <w:bottom w:val="single" w:sz="4" w:space="0" w:color="auto"/>
              <w:right w:val="single" w:sz="4" w:space="0" w:color="auto"/>
            </w:tcBorders>
            <w:shd w:val="clear" w:color="auto" w:fill="auto"/>
            <w:vAlign w:val="center"/>
          </w:tcPr>
          <w:p w14:paraId="75C17BC6" w14:textId="42B83294" w:rsidR="008E0890" w:rsidRPr="00587EDB" w:rsidRDefault="008E0890" w:rsidP="00FF0EE8">
            <w:pPr>
              <w:spacing w:line="240" w:lineRule="auto"/>
              <w:jc w:val="center"/>
            </w:pPr>
            <w:r w:rsidRPr="00587EDB">
              <w:t>$</w:t>
            </w:r>
            <w:r>
              <w:t>9.01</w:t>
            </w:r>
          </w:p>
        </w:tc>
        <w:tc>
          <w:tcPr>
            <w:tcW w:w="1169" w:type="dxa"/>
            <w:tcBorders>
              <w:top w:val="nil"/>
              <w:left w:val="nil"/>
              <w:bottom w:val="single" w:sz="4" w:space="0" w:color="auto"/>
              <w:right w:val="single" w:sz="4" w:space="0" w:color="auto"/>
            </w:tcBorders>
            <w:shd w:val="clear" w:color="auto" w:fill="auto"/>
            <w:vAlign w:val="center"/>
          </w:tcPr>
          <w:p w14:paraId="1AB64BD0" w14:textId="1A37F75A" w:rsidR="008E0890" w:rsidRPr="00587EDB" w:rsidRDefault="008E0890" w:rsidP="00FF0EE8">
            <w:pPr>
              <w:spacing w:line="240" w:lineRule="auto"/>
              <w:jc w:val="center"/>
            </w:pPr>
            <w:r w:rsidRPr="00587EDB">
              <w:t>$</w:t>
            </w:r>
            <w:r>
              <w:t>3</w:t>
            </w:r>
            <w:r w:rsidRPr="00587EDB">
              <w:t>.</w:t>
            </w:r>
            <w:r>
              <w:t>11</w:t>
            </w:r>
          </w:p>
        </w:tc>
        <w:tc>
          <w:tcPr>
            <w:tcW w:w="1169" w:type="dxa"/>
            <w:tcBorders>
              <w:top w:val="nil"/>
              <w:left w:val="nil"/>
              <w:bottom w:val="single" w:sz="4" w:space="0" w:color="auto"/>
              <w:right w:val="single" w:sz="4" w:space="0" w:color="auto"/>
            </w:tcBorders>
            <w:shd w:val="clear" w:color="auto" w:fill="auto"/>
            <w:vAlign w:val="center"/>
          </w:tcPr>
          <w:p w14:paraId="5E872395" w14:textId="07AC6108" w:rsidR="008E0890" w:rsidRPr="00587EDB" w:rsidRDefault="008E0890" w:rsidP="00FF0EE8">
            <w:pPr>
              <w:spacing w:line="240" w:lineRule="auto"/>
              <w:jc w:val="center"/>
            </w:pPr>
            <w:r w:rsidRPr="00587EDB">
              <w:t>$</w:t>
            </w:r>
            <w:r>
              <w:t>7.04</w:t>
            </w:r>
          </w:p>
        </w:tc>
      </w:tr>
      <w:tr w:rsidR="008E0890" w:rsidRPr="002F57F3" w14:paraId="5B2B92FC" w14:textId="77777777" w:rsidTr="004F5401">
        <w:trPr>
          <w:trHeight w:val="620"/>
          <w:jc w:val="center"/>
        </w:trPr>
        <w:tc>
          <w:tcPr>
            <w:tcW w:w="2160" w:type="dxa"/>
            <w:tcBorders>
              <w:top w:val="nil"/>
              <w:left w:val="single" w:sz="4" w:space="0" w:color="auto"/>
              <w:bottom w:val="single" w:sz="4" w:space="0" w:color="auto"/>
              <w:right w:val="single" w:sz="4" w:space="0" w:color="auto"/>
            </w:tcBorders>
            <w:vAlign w:val="center"/>
          </w:tcPr>
          <w:p w14:paraId="4AE920A2" w14:textId="77777777" w:rsidR="008E0890" w:rsidRPr="00587EDB" w:rsidRDefault="008E0890" w:rsidP="00FF0EE8">
            <w:pPr>
              <w:spacing w:line="240" w:lineRule="auto"/>
              <w:jc w:val="center"/>
            </w:pPr>
            <w:r w:rsidRPr="00587EDB">
              <w:t xml:space="preserve">NRC Operation </w:t>
            </w:r>
            <w:r w:rsidRPr="00587EDB">
              <w:br/>
              <w:t>(7% Discount Rate)</w:t>
            </w:r>
          </w:p>
        </w:tc>
        <w:tc>
          <w:tcPr>
            <w:tcW w:w="1243" w:type="dxa"/>
            <w:tcBorders>
              <w:top w:val="nil"/>
              <w:left w:val="single" w:sz="4" w:space="0" w:color="auto"/>
              <w:bottom w:val="single" w:sz="4" w:space="0" w:color="auto"/>
              <w:right w:val="single" w:sz="4" w:space="0" w:color="auto"/>
            </w:tcBorders>
            <w:shd w:val="clear" w:color="auto" w:fill="auto"/>
            <w:vAlign w:val="center"/>
          </w:tcPr>
          <w:p w14:paraId="6C95D0CD" w14:textId="26418F4C" w:rsidR="008E0890" w:rsidRPr="00587EDB" w:rsidRDefault="008E0890" w:rsidP="00FF0EE8">
            <w:pPr>
              <w:spacing w:line="240" w:lineRule="auto"/>
              <w:jc w:val="center"/>
            </w:pPr>
            <w:r w:rsidRPr="00587EDB">
              <w:t>$1.</w:t>
            </w:r>
            <w:r>
              <w:t>8</w:t>
            </w:r>
            <w:r w:rsidRPr="00587EDB">
              <w:t>6</w:t>
            </w:r>
          </w:p>
        </w:tc>
        <w:tc>
          <w:tcPr>
            <w:tcW w:w="1170" w:type="dxa"/>
            <w:tcBorders>
              <w:top w:val="nil"/>
              <w:left w:val="nil"/>
              <w:bottom w:val="single" w:sz="4" w:space="0" w:color="auto"/>
              <w:right w:val="single" w:sz="4" w:space="0" w:color="auto"/>
            </w:tcBorders>
            <w:shd w:val="clear" w:color="auto" w:fill="auto"/>
            <w:vAlign w:val="center"/>
          </w:tcPr>
          <w:p w14:paraId="4A7827A2" w14:textId="27E7B86C" w:rsidR="008E0890" w:rsidRPr="00587EDB" w:rsidRDefault="008E0890" w:rsidP="00FF0EE8">
            <w:pPr>
              <w:spacing w:line="240" w:lineRule="auto"/>
              <w:jc w:val="center"/>
            </w:pPr>
            <w:r w:rsidRPr="00587EDB">
              <w:t>$2.</w:t>
            </w:r>
            <w:r>
              <w:t>52</w:t>
            </w:r>
          </w:p>
        </w:tc>
        <w:tc>
          <w:tcPr>
            <w:tcW w:w="1292" w:type="dxa"/>
            <w:tcBorders>
              <w:top w:val="nil"/>
              <w:left w:val="single" w:sz="4" w:space="0" w:color="auto"/>
              <w:bottom w:val="single" w:sz="4" w:space="0" w:color="auto"/>
              <w:right w:val="single" w:sz="4" w:space="0" w:color="auto"/>
            </w:tcBorders>
            <w:shd w:val="clear" w:color="auto" w:fill="auto"/>
            <w:vAlign w:val="center"/>
          </w:tcPr>
          <w:p w14:paraId="73FB797D" w14:textId="73912962" w:rsidR="008E0890" w:rsidRPr="00587EDB" w:rsidRDefault="008E0890" w:rsidP="00FF0EE8">
            <w:pPr>
              <w:spacing w:line="240" w:lineRule="auto"/>
              <w:jc w:val="center"/>
            </w:pPr>
            <w:r w:rsidRPr="00587EDB">
              <w:t>$3.</w:t>
            </w:r>
            <w:r>
              <w:t>30</w:t>
            </w:r>
          </w:p>
        </w:tc>
        <w:tc>
          <w:tcPr>
            <w:tcW w:w="1169" w:type="dxa"/>
            <w:tcBorders>
              <w:top w:val="nil"/>
              <w:left w:val="nil"/>
              <w:bottom w:val="single" w:sz="4" w:space="0" w:color="auto"/>
              <w:right w:val="single" w:sz="4" w:space="0" w:color="auto"/>
            </w:tcBorders>
            <w:shd w:val="clear" w:color="auto" w:fill="auto"/>
            <w:vAlign w:val="center"/>
          </w:tcPr>
          <w:p w14:paraId="11709D5C" w14:textId="356BCCEA" w:rsidR="008E0890" w:rsidRPr="00587EDB" w:rsidRDefault="008E0890" w:rsidP="00FF0EE8">
            <w:pPr>
              <w:spacing w:line="240" w:lineRule="auto"/>
              <w:jc w:val="center"/>
            </w:pPr>
            <w:r w:rsidRPr="00587EDB">
              <w:t>$2.</w:t>
            </w:r>
            <w:r>
              <w:t>14</w:t>
            </w:r>
          </w:p>
        </w:tc>
        <w:tc>
          <w:tcPr>
            <w:tcW w:w="1169" w:type="dxa"/>
            <w:tcBorders>
              <w:top w:val="nil"/>
              <w:left w:val="nil"/>
              <w:bottom w:val="single" w:sz="4" w:space="0" w:color="auto"/>
              <w:right w:val="single" w:sz="4" w:space="0" w:color="auto"/>
            </w:tcBorders>
            <w:shd w:val="clear" w:color="auto" w:fill="auto"/>
            <w:vAlign w:val="center"/>
          </w:tcPr>
          <w:p w14:paraId="28518A18" w14:textId="5C470B1C" w:rsidR="008E0890" w:rsidRPr="00587EDB" w:rsidRDefault="008E0890" w:rsidP="00FF0EE8">
            <w:pPr>
              <w:spacing w:line="240" w:lineRule="auto"/>
              <w:jc w:val="center"/>
            </w:pPr>
            <w:r w:rsidRPr="00587EDB">
              <w:t>$</w:t>
            </w:r>
            <w:r>
              <w:t>2</w:t>
            </w:r>
            <w:r w:rsidRPr="00587EDB">
              <w:t>.</w:t>
            </w:r>
            <w:r>
              <w:t>91</w:t>
            </w:r>
          </w:p>
        </w:tc>
      </w:tr>
      <w:tr w:rsidR="008E0890" w:rsidRPr="002F57F3" w14:paraId="45F80084" w14:textId="77777777" w:rsidTr="004F5401">
        <w:trPr>
          <w:trHeight w:val="620"/>
          <w:jc w:val="center"/>
        </w:trPr>
        <w:tc>
          <w:tcPr>
            <w:tcW w:w="2160" w:type="dxa"/>
            <w:tcBorders>
              <w:top w:val="single" w:sz="4" w:space="0" w:color="auto"/>
              <w:left w:val="single" w:sz="4" w:space="0" w:color="auto"/>
              <w:bottom w:val="single" w:sz="4" w:space="0" w:color="auto"/>
              <w:right w:val="single" w:sz="4" w:space="0" w:color="auto"/>
            </w:tcBorders>
            <w:vAlign w:val="center"/>
          </w:tcPr>
          <w:p w14:paraId="31B2A657" w14:textId="77777777" w:rsidR="008E0890" w:rsidRPr="00587EDB" w:rsidRDefault="008E0890" w:rsidP="00FF0EE8">
            <w:pPr>
              <w:spacing w:line="240" w:lineRule="auto"/>
              <w:jc w:val="center"/>
            </w:pPr>
            <w:r w:rsidRPr="00587EDB">
              <w:t>Net Benefit (Cost) (7% Discount Rate)</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2DA41473" w14:textId="46020DBB" w:rsidR="008E0890" w:rsidRPr="00587EDB" w:rsidRDefault="00707940" w:rsidP="00FF0EE8">
            <w:pPr>
              <w:spacing w:line="240" w:lineRule="auto"/>
              <w:jc w:val="center"/>
            </w:pPr>
            <w:r>
              <w:t>(</w:t>
            </w:r>
            <w:r w:rsidR="008E0890" w:rsidRPr="00587EDB">
              <w:t>$</w:t>
            </w:r>
            <w:r>
              <w:t>0</w:t>
            </w:r>
            <w:r w:rsidR="008E0890" w:rsidRPr="00587EDB">
              <w:t>.</w:t>
            </w:r>
            <w:r>
              <w:t>69)</w:t>
            </w:r>
          </w:p>
        </w:tc>
        <w:tc>
          <w:tcPr>
            <w:tcW w:w="1170" w:type="dxa"/>
            <w:tcBorders>
              <w:top w:val="single" w:sz="4" w:space="0" w:color="auto"/>
              <w:left w:val="nil"/>
              <w:bottom w:val="single" w:sz="4" w:space="0" w:color="auto"/>
              <w:right w:val="single" w:sz="4" w:space="0" w:color="auto"/>
            </w:tcBorders>
            <w:shd w:val="clear" w:color="auto" w:fill="auto"/>
            <w:vAlign w:val="center"/>
          </w:tcPr>
          <w:p w14:paraId="0AB14623" w14:textId="74659CEC" w:rsidR="008E0890" w:rsidRPr="00587EDB" w:rsidRDefault="008E0890" w:rsidP="00FF0EE8">
            <w:pPr>
              <w:spacing w:line="240" w:lineRule="auto"/>
              <w:jc w:val="center"/>
            </w:pPr>
            <w:r w:rsidRPr="00587EDB">
              <w:t>$</w:t>
            </w:r>
            <w:r w:rsidR="00707940">
              <w:t>4</w:t>
            </w:r>
            <w:r w:rsidRPr="00587EDB">
              <w:t>.</w:t>
            </w:r>
            <w:r w:rsidR="00707940">
              <w:t>93</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55FF6F9" w14:textId="40B4F97C" w:rsidR="008E0890" w:rsidRPr="00587EDB" w:rsidRDefault="008E0890" w:rsidP="00FF0EE8">
            <w:pPr>
              <w:spacing w:line="240" w:lineRule="auto"/>
              <w:jc w:val="center"/>
            </w:pPr>
            <w:r w:rsidRPr="00587EDB">
              <w:t>$</w:t>
            </w:r>
            <w:r w:rsidR="00707940">
              <w:t>9</w:t>
            </w:r>
            <w:r w:rsidRPr="00587EDB">
              <w:t>.</w:t>
            </w:r>
            <w:r w:rsidR="00707940">
              <w:t>06</w:t>
            </w:r>
          </w:p>
        </w:tc>
        <w:tc>
          <w:tcPr>
            <w:tcW w:w="1169" w:type="dxa"/>
            <w:tcBorders>
              <w:top w:val="single" w:sz="4" w:space="0" w:color="auto"/>
              <w:left w:val="nil"/>
              <w:bottom w:val="single" w:sz="4" w:space="0" w:color="auto"/>
              <w:right w:val="single" w:sz="4" w:space="0" w:color="auto"/>
            </w:tcBorders>
            <w:shd w:val="clear" w:color="auto" w:fill="auto"/>
            <w:vAlign w:val="center"/>
          </w:tcPr>
          <w:p w14:paraId="4D924EC0" w14:textId="403C9FD8" w:rsidR="008E0890" w:rsidRPr="00587EDB" w:rsidRDefault="008E0890" w:rsidP="00FF0EE8">
            <w:pPr>
              <w:spacing w:line="240" w:lineRule="auto"/>
              <w:jc w:val="center"/>
            </w:pPr>
            <w:r w:rsidRPr="00587EDB">
              <w:t>$</w:t>
            </w:r>
            <w:r w:rsidR="00707940">
              <w:t>2</w:t>
            </w:r>
            <w:r w:rsidRPr="00587EDB">
              <w:t>.</w:t>
            </w:r>
            <w:r w:rsidR="00707940">
              <w:t>86</w:t>
            </w:r>
          </w:p>
        </w:tc>
        <w:tc>
          <w:tcPr>
            <w:tcW w:w="1169" w:type="dxa"/>
            <w:tcBorders>
              <w:top w:val="single" w:sz="4" w:space="0" w:color="auto"/>
              <w:left w:val="nil"/>
              <w:bottom w:val="single" w:sz="4" w:space="0" w:color="auto"/>
              <w:right w:val="single" w:sz="4" w:space="0" w:color="auto"/>
            </w:tcBorders>
            <w:shd w:val="clear" w:color="auto" w:fill="auto"/>
            <w:vAlign w:val="center"/>
          </w:tcPr>
          <w:p w14:paraId="00E4009C" w14:textId="4D2FC09B" w:rsidR="008E0890" w:rsidRPr="00587EDB" w:rsidRDefault="008E0890" w:rsidP="00FF0EE8">
            <w:pPr>
              <w:spacing w:line="240" w:lineRule="auto"/>
              <w:jc w:val="center"/>
            </w:pPr>
            <w:r w:rsidRPr="00587EDB">
              <w:t>$</w:t>
            </w:r>
            <w:r w:rsidR="00707940">
              <w:t>6</w:t>
            </w:r>
            <w:r w:rsidRPr="00587EDB">
              <w:t>.</w:t>
            </w:r>
            <w:r w:rsidR="00707940">
              <w:t>90</w:t>
            </w:r>
          </w:p>
        </w:tc>
      </w:tr>
    </w:tbl>
    <w:p w14:paraId="5638A95C" w14:textId="040689EE" w:rsidR="00F834D9" w:rsidRPr="00F834D9" w:rsidRDefault="00F26151" w:rsidP="00FF0EE8">
      <w:pPr>
        <w:spacing w:line="240" w:lineRule="auto"/>
        <w:rPr>
          <w:sz w:val="18"/>
          <w:szCs w:val="18"/>
        </w:rPr>
      </w:pPr>
      <w:r w:rsidRPr="00F834D9">
        <w:rPr>
          <w:sz w:val="18"/>
          <w:szCs w:val="18"/>
        </w:rPr>
        <w:t>*</w:t>
      </w:r>
      <w:r w:rsidR="00F834D9" w:rsidRPr="00F834D9">
        <w:rPr>
          <w:sz w:val="18"/>
          <w:szCs w:val="18"/>
        </w:rPr>
        <w:t xml:space="preserve"> </w:t>
      </w:r>
      <w:r w:rsidR="00FD4253">
        <w:rPr>
          <w:sz w:val="18"/>
          <w:szCs w:val="18"/>
        </w:rPr>
        <w:t>Rounding may have caused d</w:t>
      </w:r>
      <w:r w:rsidR="00F834D9" w:rsidRPr="00F834D9">
        <w:rPr>
          <w:sz w:val="18"/>
          <w:szCs w:val="18"/>
        </w:rPr>
        <w:t xml:space="preserve">iscrepancies in </w:t>
      </w:r>
      <w:r w:rsidR="00FD4253">
        <w:rPr>
          <w:sz w:val="18"/>
          <w:szCs w:val="18"/>
        </w:rPr>
        <w:t xml:space="preserve">the </w:t>
      </w:r>
      <w:r w:rsidR="00F834D9" w:rsidRPr="00F834D9">
        <w:rPr>
          <w:sz w:val="18"/>
          <w:szCs w:val="18"/>
        </w:rPr>
        <w:t>calculations.</w:t>
      </w:r>
    </w:p>
    <w:p w14:paraId="56C618D2" w14:textId="09E62470" w:rsidR="00F03A26" w:rsidRPr="00F834D9" w:rsidRDefault="00F834D9" w:rsidP="00FF0EE8">
      <w:pPr>
        <w:spacing w:line="240" w:lineRule="auto"/>
        <w:rPr>
          <w:sz w:val="18"/>
          <w:szCs w:val="18"/>
        </w:rPr>
      </w:pPr>
      <w:r w:rsidRPr="00F834D9">
        <w:rPr>
          <w:sz w:val="18"/>
          <w:szCs w:val="18"/>
        </w:rPr>
        <w:t xml:space="preserve">** All values are in </w:t>
      </w:r>
      <w:r w:rsidR="00F26151" w:rsidRPr="00F834D9">
        <w:rPr>
          <w:rFonts w:eastAsia="Times New Roman"/>
          <w:sz w:val="18"/>
          <w:szCs w:val="18"/>
        </w:rPr>
        <w:t>201</w:t>
      </w:r>
      <w:r w:rsidR="00737E83">
        <w:rPr>
          <w:rFonts w:eastAsia="Times New Roman"/>
          <w:sz w:val="18"/>
          <w:szCs w:val="18"/>
        </w:rPr>
        <w:t xml:space="preserve">7 </w:t>
      </w:r>
      <w:r w:rsidR="00F26151" w:rsidRPr="00F834D9">
        <w:rPr>
          <w:rFonts w:eastAsia="Times New Roman"/>
          <w:sz w:val="18"/>
          <w:szCs w:val="18"/>
        </w:rPr>
        <w:t>million dollars.</w:t>
      </w:r>
    </w:p>
    <w:p w14:paraId="08B3076F" w14:textId="77777777" w:rsidR="00F26151" w:rsidRDefault="00F26151" w:rsidP="00FF0EE8">
      <w:pPr>
        <w:spacing w:line="240" w:lineRule="auto"/>
      </w:pPr>
    </w:p>
    <w:p w14:paraId="5730EA51" w14:textId="3F4AF617" w:rsidR="000E324D" w:rsidRDefault="005718AE" w:rsidP="00FF0EE8">
      <w:pPr>
        <w:spacing w:line="240" w:lineRule="auto"/>
      </w:pPr>
      <w:r w:rsidRPr="007F6FF6">
        <w:rPr>
          <w:rFonts w:eastAsia="Times New Roman"/>
        </w:rPr>
        <w:fldChar w:fldCharType="begin"/>
      </w:r>
      <w:r w:rsidRPr="007F6FF6">
        <w:rPr>
          <w:rFonts w:eastAsia="Times New Roman"/>
        </w:rPr>
        <w:instrText xml:space="preserve"> REF _Ref468867292 \h </w:instrText>
      </w:r>
      <w:r w:rsidR="007F6FF6" w:rsidRPr="007F6FF6">
        <w:rPr>
          <w:rFonts w:eastAsia="Times New Roman"/>
        </w:rPr>
        <w:instrText xml:space="preserve"> \* MERGEFORMAT </w:instrText>
      </w:r>
      <w:r w:rsidRPr="007F6FF6">
        <w:rPr>
          <w:rFonts w:eastAsia="Times New Roman"/>
        </w:rPr>
      </w:r>
      <w:r w:rsidRPr="007F6FF6">
        <w:rPr>
          <w:rFonts w:eastAsia="Times New Roman"/>
        </w:rPr>
        <w:fldChar w:fldCharType="separate"/>
      </w:r>
      <w:r w:rsidR="00FD3AB6" w:rsidRPr="00FD3AB6">
        <w:t xml:space="preserve">Figure </w:t>
      </w:r>
      <w:r w:rsidR="00FD3AB6" w:rsidRPr="00FD3AB6">
        <w:rPr>
          <w:noProof/>
        </w:rPr>
        <w:t>5</w:t>
      </w:r>
      <w:r w:rsidRPr="007F6FF6">
        <w:rPr>
          <w:rFonts w:eastAsia="Times New Roman"/>
        </w:rPr>
        <w:fldChar w:fldCharType="end"/>
      </w:r>
      <w:r w:rsidR="007E54FE" w:rsidRPr="007F6FF6">
        <w:rPr>
          <w:rFonts w:eastAsia="Times New Roman"/>
        </w:rPr>
        <w:t xml:space="preserve"> </w:t>
      </w:r>
      <w:r w:rsidR="00F03A26" w:rsidRPr="007F6FF6">
        <w:rPr>
          <w:rFonts w:eastAsia="Times New Roman"/>
        </w:rPr>
        <w:t>show</w:t>
      </w:r>
      <w:r w:rsidR="00B863BD" w:rsidRPr="007F6FF6">
        <w:rPr>
          <w:rFonts w:eastAsia="Times New Roman"/>
        </w:rPr>
        <w:t>s</w:t>
      </w:r>
      <w:r w:rsidR="00F03A26" w:rsidRPr="007F6FF6">
        <w:rPr>
          <w:rFonts w:eastAsia="Times New Roman"/>
        </w:rPr>
        <w:t xml:space="preserve"> a </w:t>
      </w:r>
      <w:r w:rsidR="00FD4253" w:rsidRPr="007F6FF6">
        <w:t>t</w:t>
      </w:r>
      <w:r w:rsidR="00F03A26" w:rsidRPr="007F6FF6">
        <w:t xml:space="preserve">ornado </w:t>
      </w:r>
      <w:r w:rsidR="00FD4253" w:rsidRPr="007F6FF6">
        <w:t>d</w:t>
      </w:r>
      <w:r w:rsidR="00F03A26" w:rsidRPr="007F6FF6">
        <w:t>iagram, which identifies the factors whose uncertainty drives the largest impact</w:t>
      </w:r>
      <w:r w:rsidR="008D1546" w:rsidRPr="007F6FF6">
        <w:t xml:space="preserve"> on total costs (and averted costs) for this rulemaking</w:t>
      </w:r>
      <w:r w:rsidR="00F03A26" w:rsidRPr="007F6FF6">
        <w:t>.  The uncertainty regarding the</w:t>
      </w:r>
      <w:r w:rsidR="00554BC8" w:rsidRPr="007F6FF6">
        <w:t xml:space="preserve"> number of hours required to prepare and disposition an alternative request, the range in industry labor rates,</w:t>
      </w:r>
      <w:r w:rsidR="00F03A26" w:rsidRPr="007F6FF6">
        <w:t xml:space="preserve"> </w:t>
      </w:r>
      <w:r w:rsidR="00396E5E" w:rsidRPr="007F6FF6">
        <w:t xml:space="preserve">and </w:t>
      </w:r>
      <w:r w:rsidR="00084F04" w:rsidRPr="007F6FF6">
        <w:t xml:space="preserve">the number of alternative requests averted </w:t>
      </w:r>
      <w:r w:rsidR="008D1546" w:rsidRPr="007F6FF6">
        <w:t>drive the largest amount of uncertainty in the costs</w:t>
      </w:r>
      <w:r w:rsidR="008C2C78" w:rsidRPr="007F6FF6">
        <w:t xml:space="preserve"> (and averted costs)</w:t>
      </w:r>
      <w:r w:rsidR="008D1546" w:rsidRPr="007F6FF6">
        <w:t xml:space="preserve"> of the rulemaking</w:t>
      </w:r>
      <w:r w:rsidR="00F03A26" w:rsidRPr="007F6FF6">
        <w:t xml:space="preserve">.  The </w:t>
      </w:r>
      <w:r w:rsidR="008C2C78" w:rsidRPr="007F6FF6">
        <w:t xml:space="preserve">rest of the variables in </w:t>
      </w:r>
      <w:r w:rsidR="007F6FF6" w:rsidRPr="007F6FF6">
        <w:fldChar w:fldCharType="begin"/>
      </w:r>
      <w:r w:rsidR="007F6FF6" w:rsidRPr="007F6FF6">
        <w:instrText xml:space="preserve"> REF _Ref468867292 \h  \* MERGEFORMAT </w:instrText>
      </w:r>
      <w:r w:rsidR="007F6FF6" w:rsidRPr="007F6FF6">
        <w:fldChar w:fldCharType="separate"/>
      </w:r>
      <w:r w:rsidR="00FD3AB6" w:rsidRPr="00FD3AB6">
        <w:t xml:space="preserve">Figure </w:t>
      </w:r>
      <w:r w:rsidR="00FD3AB6" w:rsidRPr="00FD3AB6">
        <w:rPr>
          <w:noProof/>
        </w:rPr>
        <w:t>5</w:t>
      </w:r>
      <w:r w:rsidR="007F6FF6" w:rsidRPr="007F6FF6">
        <w:fldChar w:fldCharType="end"/>
      </w:r>
      <w:r w:rsidR="007F6FF6" w:rsidRPr="007F6FF6">
        <w:t xml:space="preserve"> </w:t>
      </w:r>
      <w:r w:rsidR="008C2C78" w:rsidRPr="007F6FF6">
        <w:rPr>
          <w:rFonts w:eastAsia="Times New Roman"/>
        </w:rPr>
        <w:t xml:space="preserve">show </w:t>
      </w:r>
      <w:r w:rsidR="00554BC8" w:rsidRPr="007F6FF6">
        <w:rPr>
          <w:rFonts w:eastAsia="Times New Roman"/>
        </w:rPr>
        <w:t>diminishing</w:t>
      </w:r>
      <w:r w:rsidR="008C2C78" w:rsidRPr="007F6FF6">
        <w:rPr>
          <w:rFonts w:eastAsia="Times New Roman"/>
        </w:rPr>
        <w:t xml:space="preserve"> variation </w:t>
      </w:r>
      <w:r w:rsidR="00396E5E" w:rsidRPr="007F6FF6">
        <w:rPr>
          <w:rFonts w:eastAsia="Times New Roman"/>
        </w:rPr>
        <w:t>with respect to the net benefit mean value for this regulatory action</w:t>
      </w:r>
      <w:r w:rsidR="00554BC8" w:rsidRPr="007F6FF6">
        <w:t>.</w:t>
      </w:r>
    </w:p>
    <w:p w14:paraId="39CF9BE2" w14:textId="77777777" w:rsidR="000E324D" w:rsidRDefault="000E324D">
      <w:pPr>
        <w:autoSpaceDE/>
        <w:autoSpaceDN/>
        <w:adjustRightInd/>
      </w:pPr>
      <w:r>
        <w:br w:type="page"/>
      </w:r>
    </w:p>
    <w:p w14:paraId="1EA51CB4" w14:textId="77777777" w:rsidR="00F03A26" w:rsidRPr="007F6FF6" w:rsidRDefault="00F03A26" w:rsidP="00FF0EE8">
      <w:pPr>
        <w:spacing w:line="240" w:lineRule="auto"/>
      </w:pPr>
    </w:p>
    <w:p w14:paraId="500DEEF2" w14:textId="76217BFF" w:rsidR="00A73328" w:rsidRDefault="00A71444" w:rsidP="00FF0EE8">
      <w:pPr>
        <w:spacing w:line="240" w:lineRule="auto"/>
      </w:pPr>
      <w:r w:rsidRPr="00A71444">
        <w:rPr>
          <w:noProof/>
        </w:rPr>
        <w:drawing>
          <wp:inline distT="0" distB="0" distL="0" distR="0" wp14:anchorId="59405B0B" wp14:editId="3B88A772">
            <wp:extent cx="5465975" cy="332232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65975" cy="3322320"/>
                    </a:xfrm>
                    <a:prstGeom prst="rect">
                      <a:avLst/>
                    </a:prstGeom>
                    <a:noFill/>
                    <a:ln>
                      <a:noFill/>
                    </a:ln>
                  </pic:spPr>
                </pic:pic>
              </a:graphicData>
            </a:graphic>
          </wp:inline>
        </w:drawing>
      </w:r>
    </w:p>
    <w:p w14:paraId="7BC38301" w14:textId="24478F88" w:rsidR="00A71444" w:rsidRDefault="00A73328" w:rsidP="00A71444">
      <w:pPr>
        <w:pStyle w:val="Caption"/>
        <w:spacing w:line="240" w:lineRule="auto"/>
        <w:jc w:val="center"/>
      </w:pPr>
      <w:bookmarkStart w:id="260" w:name="_Ref468867292"/>
      <w:bookmarkStart w:id="261" w:name="_Toc462224995"/>
      <w:bookmarkStart w:id="262" w:name="_Toc467508460"/>
      <w:bookmarkStart w:id="263" w:name="_Ref468867280"/>
      <w:r w:rsidRPr="001E16B0">
        <w:rPr>
          <w:b/>
        </w:rPr>
        <w:t xml:space="preserve">Figure </w:t>
      </w:r>
      <w:r w:rsidRPr="001E16B0">
        <w:rPr>
          <w:b/>
        </w:rPr>
        <w:fldChar w:fldCharType="begin"/>
      </w:r>
      <w:r w:rsidRPr="001E16B0">
        <w:rPr>
          <w:b/>
        </w:rPr>
        <w:instrText xml:space="preserve"> SEQ Figure \* ARABIC </w:instrText>
      </w:r>
      <w:r w:rsidRPr="001E16B0">
        <w:rPr>
          <w:b/>
        </w:rPr>
        <w:fldChar w:fldCharType="separate"/>
      </w:r>
      <w:r w:rsidR="00FD3AB6">
        <w:rPr>
          <w:b/>
          <w:noProof/>
        </w:rPr>
        <w:t>5</w:t>
      </w:r>
      <w:r w:rsidRPr="001E16B0">
        <w:rPr>
          <w:b/>
        </w:rPr>
        <w:fldChar w:fldCharType="end"/>
      </w:r>
      <w:bookmarkEnd w:id="260"/>
      <w:r w:rsidRPr="00D557C2">
        <w:rPr>
          <w:b/>
          <w:bCs w:val="0"/>
        </w:rPr>
        <w:t xml:space="preserve">  </w:t>
      </w:r>
      <w:r w:rsidRPr="001E16B0">
        <w:rPr>
          <w:b/>
        </w:rPr>
        <w:t xml:space="preserve">Net </w:t>
      </w:r>
      <w:r w:rsidRPr="00D557C2">
        <w:rPr>
          <w:b/>
          <w:bCs w:val="0"/>
        </w:rPr>
        <w:t>benefit (cost) tornado diagram</w:t>
      </w:r>
      <w:r w:rsidRPr="001E16B0">
        <w:rPr>
          <w:b/>
        </w:rPr>
        <w:t xml:space="preserve"> based on 7-percent </w:t>
      </w:r>
      <w:r w:rsidRPr="00D557C2">
        <w:rPr>
          <w:b/>
          <w:bCs w:val="0"/>
        </w:rPr>
        <w:t>discount rate—</w:t>
      </w:r>
      <w:r w:rsidR="00963BDA">
        <w:rPr>
          <w:b/>
        </w:rPr>
        <w:t>i</w:t>
      </w:r>
      <w:r w:rsidRPr="00D557C2">
        <w:rPr>
          <w:b/>
          <w:bCs w:val="0"/>
        </w:rPr>
        <w:t>nputs ranked</w:t>
      </w:r>
      <w:r w:rsidRPr="001E16B0">
        <w:rPr>
          <w:b/>
        </w:rPr>
        <w:t xml:space="preserve"> by </w:t>
      </w:r>
      <w:r w:rsidRPr="00D557C2">
        <w:rPr>
          <w:b/>
          <w:bCs w:val="0"/>
        </w:rPr>
        <w:t>effect</w:t>
      </w:r>
      <w:r w:rsidRPr="001E16B0">
        <w:rPr>
          <w:b/>
        </w:rPr>
        <w:t xml:space="preserve"> on </w:t>
      </w:r>
      <w:bookmarkEnd w:id="261"/>
      <w:r w:rsidRPr="00D557C2">
        <w:rPr>
          <w:b/>
          <w:bCs w:val="0"/>
        </w:rPr>
        <w:t>output mean</w:t>
      </w:r>
      <w:bookmarkEnd w:id="262"/>
      <w:bookmarkEnd w:id="263"/>
      <w:r w:rsidR="00FD4253">
        <w:t xml:space="preserve"> </w:t>
      </w:r>
      <w:r w:rsidR="00963BDA">
        <w:t xml:space="preserve"> </w:t>
      </w:r>
      <w:bookmarkStart w:id="264" w:name="_Toc462224978"/>
      <w:bookmarkStart w:id="265" w:name="_Toc468875937"/>
    </w:p>
    <w:p w14:paraId="1C0BDFF5" w14:textId="1685C0F1" w:rsidR="008D1546" w:rsidRDefault="008D1546" w:rsidP="00FF0EE8">
      <w:pPr>
        <w:pStyle w:val="Heading3"/>
        <w:spacing w:line="240" w:lineRule="auto"/>
        <w:ind w:left="720" w:hanging="684"/>
      </w:pPr>
      <w:r>
        <w:t>Summary of Uncertainty Analysis</w:t>
      </w:r>
      <w:bookmarkEnd w:id="264"/>
      <w:bookmarkEnd w:id="265"/>
    </w:p>
    <w:p w14:paraId="0E9B8A55" w14:textId="77777777" w:rsidR="008D1546" w:rsidRDefault="008D1546" w:rsidP="00FF0EE8">
      <w:pPr>
        <w:keepNext/>
        <w:spacing w:line="240" w:lineRule="auto"/>
      </w:pPr>
    </w:p>
    <w:p w14:paraId="00168792" w14:textId="660B1567" w:rsidR="008D1546" w:rsidRDefault="008D1546" w:rsidP="00FF0EE8">
      <w:pPr>
        <w:spacing w:line="240" w:lineRule="auto"/>
        <w:rPr>
          <w:rFonts w:eastAsia="Times New Roman"/>
        </w:rPr>
      </w:pPr>
      <w:r w:rsidRPr="00AB18B9">
        <w:rPr>
          <w:rFonts w:eastAsia="Times New Roman"/>
        </w:rPr>
        <w:t xml:space="preserve">A Monte Carlo analysis found that </w:t>
      </w:r>
      <w:r w:rsidRPr="00AB18B9">
        <w:t xml:space="preserve">amending the </w:t>
      </w:r>
      <w:r w:rsidR="00126047">
        <w:t>final</w:t>
      </w:r>
      <w:r w:rsidRPr="00AB18B9">
        <w:t xml:space="preserve"> </w:t>
      </w:r>
      <w:r>
        <w:t>r</w:t>
      </w:r>
      <w:r w:rsidRPr="00AB18B9">
        <w:t>ule</w:t>
      </w:r>
      <w:r>
        <w:t xml:space="preserve"> </w:t>
      </w:r>
      <w:r w:rsidRPr="00AB18B9">
        <w:rPr>
          <w:rFonts w:eastAsia="Times New Roman"/>
        </w:rPr>
        <w:t xml:space="preserve">would result in </w:t>
      </w:r>
      <w:r w:rsidR="00396E5E">
        <w:rPr>
          <w:rFonts w:eastAsia="Times New Roman"/>
        </w:rPr>
        <w:t xml:space="preserve">a </w:t>
      </w:r>
      <w:r w:rsidRPr="00AB18B9">
        <w:rPr>
          <w:rFonts w:eastAsia="Times New Roman"/>
        </w:rPr>
        <w:t xml:space="preserve">positive </w:t>
      </w:r>
      <w:r w:rsidR="00396E5E">
        <w:rPr>
          <w:rFonts w:eastAsia="Times New Roman"/>
        </w:rPr>
        <w:t>net benefit</w:t>
      </w:r>
      <w:r w:rsidRPr="00AB18B9">
        <w:rPr>
          <w:rFonts w:eastAsia="Times New Roman"/>
        </w:rPr>
        <w:t xml:space="preserve"> (e.g.,</w:t>
      </w:r>
      <w:r w:rsidR="00FD4253">
        <w:rPr>
          <w:rFonts w:eastAsia="Times New Roman"/>
        </w:rPr>
        <w:t> </w:t>
      </w:r>
      <w:r w:rsidRPr="00AB18B9">
        <w:rPr>
          <w:rFonts w:eastAsia="Times New Roman"/>
        </w:rPr>
        <w:t xml:space="preserve">savings) for all </w:t>
      </w:r>
      <w:r>
        <w:rPr>
          <w:rFonts w:eastAsia="Times New Roman"/>
        </w:rPr>
        <w:t>10,</w:t>
      </w:r>
      <w:r w:rsidRPr="00AB18B9">
        <w:rPr>
          <w:rFonts w:eastAsia="Times New Roman"/>
        </w:rPr>
        <w:t>000 simulations</w:t>
      </w:r>
      <w:r w:rsidR="00396E5E">
        <w:rPr>
          <w:rFonts w:eastAsia="Times New Roman"/>
        </w:rPr>
        <w:t xml:space="preserve"> using either a 7</w:t>
      </w:r>
      <w:r w:rsidR="00FD4253">
        <w:rPr>
          <w:rFonts w:eastAsia="Times New Roman"/>
        </w:rPr>
        <w:noBreakHyphen/>
      </w:r>
      <w:r w:rsidR="00396E5E">
        <w:rPr>
          <w:rFonts w:eastAsia="Times New Roman"/>
        </w:rPr>
        <w:t>percent or a 3</w:t>
      </w:r>
      <w:r w:rsidR="00FD4253">
        <w:rPr>
          <w:rFonts w:eastAsia="Times New Roman"/>
        </w:rPr>
        <w:noBreakHyphen/>
      </w:r>
      <w:r w:rsidR="00396E5E">
        <w:rPr>
          <w:rFonts w:eastAsia="Times New Roman"/>
        </w:rPr>
        <w:t>percent discount rate</w:t>
      </w:r>
      <w:r w:rsidRPr="00AB18B9">
        <w:rPr>
          <w:rFonts w:eastAsia="Times New Roman"/>
        </w:rPr>
        <w:t xml:space="preserve">.  Given the uncertainties involved in obtaining these estimates, a reasonable inference from the analysis is that proceeding with the </w:t>
      </w:r>
      <w:r w:rsidR="00126047">
        <w:rPr>
          <w:rFonts w:eastAsia="Times New Roman"/>
        </w:rPr>
        <w:t>final</w:t>
      </w:r>
      <w:r w:rsidRPr="00AB18B9">
        <w:rPr>
          <w:rFonts w:eastAsia="Times New Roman"/>
        </w:rPr>
        <w:t xml:space="preserve"> rule represents a </w:t>
      </w:r>
      <w:r w:rsidR="00B863BD">
        <w:rPr>
          <w:rFonts w:eastAsia="Times New Roman"/>
        </w:rPr>
        <w:t>fiscally</w:t>
      </w:r>
      <w:r w:rsidRPr="00AB18B9">
        <w:rPr>
          <w:rFonts w:eastAsia="Times New Roman"/>
        </w:rPr>
        <w:t xml:space="preserve"> efficient use of resources.</w:t>
      </w:r>
    </w:p>
    <w:p w14:paraId="7B5B915A" w14:textId="77777777" w:rsidR="008C781C" w:rsidRDefault="008C781C" w:rsidP="00FF0EE8">
      <w:pPr>
        <w:pStyle w:val="Heading2"/>
        <w:spacing w:line="240" w:lineRule="auto"/>
        <w:ind w:left="540" w:hanging="522"/>
      </w:pPr>
      <w:bookmarkStart w:id="266" w:name="_Toc462224979"/>
      <w:bookmarkStart w:id="267" w:name="_Toc468875938"/>
      <w:r>
        <w:t>Independent Cost Estimate</w:t>
      </w:r>
      <w:bookmarkEnd w:id="266"/>
      <w:bookmarkEnd w:id="267"/>
    </w:p>
    <w:p w14:paraId="02E41513" w14:textId="77777777" w:rsidR="008C781C" w:rsidRDefault="008C781C" w:rsidP="00FF0EE8">
      <w:pPr>
        <w:spacing w:line="240" w:lineRule="auto"/>
      </w:pPr>
    </w:p>
    <w:p w14:paraId="03091FE5" w14:textId="5AB71798" w:rsidR="00D1710A" w:rsidRPr="00F74E04" w:rsidRDefault="00D1710A" w:rsidP="00FF0EE8">
      <w:pPr>
        <w:spacing w:line="240" w:lineRule="auto"/>
      </w:pPr>
      <w:r w:rsidRPr="00F74E04">
        <w:t>In December 2014, GAO published</w:t>
      </w:r>
      <w:r>
        <w:t xml:space="preserve"> </w:t>
      </w:r>
      <w:r w:rsidRPr="00F74E04">
        <w:t>GAO</w:t>
      </w:r>
      <w:r w:rsidR="00FD4253">
        <w:noBreakHyphen/>
      </w:r>
      <w:r w:rsidRPr="00F74E04">
        <w:t>15</w:t>
      </w:r>
      <w:r w:rsidR="00FD4253">
        <w:noBreakHyphen/>
      </w:r>
      <w:r w:rsidRPr="00F74E04">
        <w:t>98, “Nuclear Regulatory Commission—NRC Needs to Improve Its Cost Estimates by</w:t>
      </w:r>
      <w:r>
        <w:t xml:space="preserve"> </w:t>
      </w:r>
      <w:r w:rsidRPr="00F74E04">
        <w:t xml:space="preserve">Incorporating </w:t>
      </w:r>
      <w:r>
        <w:t>More Best Practices”</w:t>
      </w:r>
      <w:r w:rsidR="00396E5E">
        <w:t xml:space="preserve"> (Ref. </w:t>
      </w:r>
      <w:r w:rsidR="00396E5E">
        <w:fldChar w:fldCharType="begin"/>
      </w:r>
      <w:r w:rsidR="00396E5E">
        <w:instrText xml:space="preserve"> REF _Ref436893530 \r \h </w:instrText>
      </w:r>
      <w:r w:rsidR="00396E5E">
        <w:fldChar w:fldCharType="separate"/>
      </w:r>
      <w:r w:rsidR="00FD3AB6">
        <w:t>27</w:t>
      </w:r>
      <w:r w:rsidR="00396E5E">
        <w:fldChar w:fldCharType="end"/>
      </w:r>
      <w:r w:rsidR="00396E5E">
        <w:t>).</w:t>
      </w:r>
      <w:r w:rsidRPr="00F74E04">
        <w:t xml:space="preserve"> </w:t>
      </w:r>
      <w:r>
        <w:t xml:space="preserve"> The </w:t>
      </w:r>
      <w:r w:rsidRPr="00F74E04">
        <w:t>GAO</w:t>
      </w:r>
      <w:r>
        <w:t xml:space="preserve"> report</w:t>
      </w:r>
      <w:r w:rsidRPr="00F74E04">
        <w:t xml:space="preserve"> examine</w:t>
      </w:r>
      <w:r>
        <w:t>d</w:t>
      </w:r>
      <w:r w:rsidRPr="00F74E04">
        <w:t xml:space="preserve"> the extent to which</w:t>
      </w:r>
      <w:r>
        <w:t xml:space="preserve"> </w:t>
      </w:r>
      <w:r w:rsidR="001651E9">
        <w:t xml:space="preserve">the </w:t>
      </w:r>
      <w:r w:rsidRPr="00F74E04">
        <w:t>NRC’s cost</w:t>
      </w:r>
      <w:r w:rsidR="002D59BF">
        <w:noBreakHyphen/>
      </w:r>
      <w:r w:rsidRPr="00F74E04">
        <w:t>estimating procedures support development of reliable cost estimates and follow</w:t>
      </w:r>
      <w:r>
        <w:t xml:space="preserve"> </w:t>
      </w:r>
      <w:r w:rsidRPr="00F74E04">
        <w:t>specific best practices in GAO</w:t>
      </w:r>
      <w:r w:rsidR="002D59BF">
        <w:noBreakHyphen/>
      </w:r>
      <w:r w:rsidRPr="00F74E04">
        <w:t>09</w:t>
      </w:r>
      <w:r w:rsidR="002D59BF">
        <w:noBreakHyphen/>
      </w:r>
      <w:r w:rsidRPr="00F74E04">
        <w:t>3SP, “GAO Cost Estimating and Managing Capital</w:t>
      </w:r>
      <w:r>
        <w:t xml:space="preserve"> Program Costs</w:t>
      </w:r>
      <w:r w:rsidR="002D59BF">
        <w:t>,</w:t>
      </w:r>
      <w:r>
        <w:t>”</w:t>
      </w:r>
      <w:r w:rsidR="002D59BF">
        <w:t xml:space="preserve"> issued March 2009 (Ref. 28).</w:t>
      </w:r>
      <w:r w:rsidRPr="00F74E04">
        <w:t xml:space="preserve"> </w:t>
      </w:r>
      <w:r>
        <w:t xml:space="preserve"> </w:t>
      </w:r>
      <w:r w:rsidRPr="00F74E04">
        <w:t xml:space="preserve">As a result of </w:t>
      </w:r>
      <w:r>
        <w:t>this audit</w:t>
      </w:r>
      <w:r w:rsidRPr="00F74E04">
        <w:t>, GAO recommended that</w:t>
      </w:r>
      <w:r>
        <w:t xml:space="preserve"> </w:t>
      </w:r>
      <w:r w:rsidR="002D59BF">
        <w:t xml:space="preserve">the </w:t>
      </w:r>
      <w:r w:rsidRPr="00F74E04">
        <w:t>NRC align its cost</w:t>
      </w:r>
      <w:r w:rsidR="002D59BF">
        <w:noBreakHyphen/>
      </w:r>
      <w:r w:rsidRPr="00F74E04">
        <w:t xml:space="preserve">estimating procedures with </w:t>
      </w:r>
      <w:r w:rsidR="002D59BF">
        <w:t xml:space="preserve">the </w:t>
      </w:r>
      <w:r w:rsidRPr="00F74E04">
        <w:t>relevant cost</w:t>
      </w:r>
      <w:r w:rsidR="002D59BF">
        <w:noBreakHyphen/>
      </w:r>
      <w:r w:rsidRPr="00F74E04">
        <w:t>estimating best practices in</w:t>
      </w:r>
      <w:r>
        <w:t xml:space="preserve"> GAO</w:t>
      </w:r>
      <w:r w:rsidR="002D59BF">
        <w:noBreakHyphen/>
      </w:r>
      <w:r>
        <w:t>09</w:t>
      </w:r>
      <w:r w:rsidR="002D59BF">
        <w:noBreakHyphen/>
      </w:r>
      <w:r>
        <w:t>3SP</w:t>
      </w:r>
      <w:r w:rsidR="00A61981">
        <w:t xml:space="preserve"> </w:t>
      </w:r>
      <w:r>
        <w:t xml:space="preserve">in an effort to </w:t>
      </w:r>
      <w:r w:rsidRPr="00F74E04">
        <w:t xml:space="preserve">ensure that </w:t>
      </w:r>
      <w:r w:rsidR="002D59BF">
        <w:t xml:space="preserve">it prepares its </w:t>
      </w:r>
      <w:r w:rsidRPr="00F74E04">
        <w:t>future cost estimates in accordance with relevant</w:t>
      </w:r>
      <w:r>
        <w:t xml:space="preserve"> </w:t>
      </w:r>
      <w:r w:rsidRPr="00F74E04">
        <w:t>cost</w:t>
      </w:r>
      <w:r w:rsidR="002D59BF">
        <w:noBreakHyphen/>
      </w:r>
      <w:r w:rsidRPr="00F74E04">
        <w:t xml:space="preserve">estimating best practices. </w:t>
      </w:r>
      <w:r>
        <w:t xml:space="preserve"> Additionally</w:t>
      </w:r>
      <w:r w:rsidR="002D59BF">
        <w:t>,</w:t>
      </w:r>
      <w:r>
        <w:t xml:space="preserve"> GAO recommended </w:t>
      </w:r>
      <w:r w:rsidRPr="00F74E04">
        <w:t xml:space="preserve">that </w:t>
      </w:r>
      <w:r>
        <w:t xml:space="preserve">the </w:t>
      </w:r>
      <w:r w:rsidRPr="00F74E04">
        <w:t>NRC</w:t>
      </w:r>
      <w:r>
        <w:t xml:space="preserve"> demonstrate credibility in</w:t>
      </w:r>
      <w:r w:rsidRPr="00F74E04">
        <w:t xml:space="preserve"> its cost estimates by cross</w:t>
      </w:r>
      <w:r w:rsidR="002D59BF">
        <w:noBreakHyphen/>
      </w:r>
      <w:r w:rsidRPr="00F74E04">
        <w:t xml:space="preserve">checking </w:t>
      </w:r>
      <w:r>
        <w:t xml:space="preserve">the </w:t>
      </w:r>
      <w:r w:rsidRPr="00F74E04">
        <w:t xml:space="preserve">results with ICEs </w:t>
      </w:r>
      <w:r>
        <w:t xml:space="preserve">that are </w:t>
      </w:r>
      <w:r w:rsidRPr="00F74E04">
        <w:t>developed by other</w:t>
      </w:r>
      <w:r>
        <w:t xml:space="preserve">s and </w:t>
      </w:r>
      <w:r w:rsidR="002D59BF">
        <w:t xml:space="preserve">by </w:t>
      </w:r>
      <w:r>
        <w:t xml:space="preserve">conducting </w:t>
      </w:r>
      <w:r w:rsidR="002D59BF">
        <w:t xml:space="preserve">a </w:t>
      </w:r>
      <w:r w:rsidRPr="00F74E04">
        <w:t>sensitivity analysis to identify variables most affecting cost estimates</w:t>
      </w:r>
      <w:r>
        <w:t xml:space="preserve"> (i.e.</w:t>
      </w:r>
      <w:r w:rsidR="00FC2937">
        <w:t>, </w:t>
      </w:r>
      <w:r>
        <w:t>cost drivers)</w:t>
      </w:r>
      <w:r w:rsidRPr="00F74E04">
        <w:t>.</w:t>
      </w:r>
    </w:p>
    <w:p w14:paraId="10194B32" w14:textId="77777777" w:rsidR="008C781C" w:rsidRDefault="008C781C" w:rsidP="00FF0EE8">
      <w:pPr>
        <w:spacing w:line="240" w:lineRule="auto"/>
      </w:pPr>
    </w:p>
    <w:p w14:paraId="35666DB7" w14:textId="02D63062" w:rsidR="00CC0DCD" w:rsidRDefault="00D1710A" w:rsidP="00FF0EE8">
      <w:pPr>
        <w:spacing w:line="240" w:lineRule="auto"/>
      </w:pPr>
      <w:r w:rsidRPr="00F74E04">
        <w:t>In response to the GAO concerns and recommendations, the</w:t>
      </w:r>
      <w:r>
        <w:t xml:space="preserve"> NRC tasked the </w:t>
      </w:r>
      <w:r w:rsidRPr="00F74E04">
        <w:t>Center for Nuclear Waste</w:t>
      </w:r>
      <w:r>
        <w:t xml:space="preserve"> </w:t>
      </w:r>
      <w:r w:rsidRPr="00F74E04">
        <w:t xml:space="preserve">Regulatory Analyses </w:t>
      </w:r>
      <w:r w:rsidR="00CC0DCD">
        <w:t xml:space="preserve">(CNWRA) </w:t>
      </w:r>
      <w:r w:rsidRPr="00F74E04">
        <w:t xml:space="preserve">to </w:t>
      </w:r>
      <w:r>
        <w:t>perform</w:t>
      </w:r>
      <w:r w:rsidRPr="00F74E04">
        <w:t xml:space="preserve"> an ICE </w:t>
      </w:r>
      <w:r w:rsidR="00CC0DCD">
        <w:t xml:space="preserve">for </w:t>
      </w:r>
      <w:r>
        <w:t xml:space="preserve">this </w:t>
      </w:r>
      <w:r w:rsidR="00CC0DCD">
        <w:t xml:space="preserve">regulatory action.  </w:t>
      </w:r>
      <w:r w:rsidR="00FC2937">
        <w:t>CNWRA used the</w:t>
      </w:r>
      <w:r w:rsidR="00CC0DCD">
        <w:t xml:space="preserve"> same cost</w:t>
      </w:r>
      <w:r w:rsidR="00FC2937">
        <w:noBreakHyphen/>
      </w:r>
      <w:r w:rsidR="00CC0DCD">
        <w:t xml:space="preserve">estimating procedures that </w:t>
      </w:r>
      <w:r w:rsidR="00FC2937">
        <w:t xml:space="preserve">the </w:t>
      </w:r>
      <w:r w:rsidR="00CC0DCD">
        <w:t>NRC staff uses (e.g.,</w:t>
      </w:r>
      <w:r w:rsidR="003E7E32">
        <w:t> </w:t>
      </w:r>
      <w:r w:rsidR="00CC0DCD">
        <w:t>NUREG/BR</w:t>
      </w:r>
      <w:r w:rsidR="00FC2937">
        <w:noBreakHyphen/>
      </w:r>
      <w:r w:rsidR="00CC0DCD">
        <w:t>0058 and NUREG/BR</w:t>
      </w:r>
      <w:r w:rsidR="00FC2937">
        <w:noBreakHyphen/>
      </w:r>
      <w:r w:rsidR="00CC0DCD">
        <w:t xml:space="preserve">0184), but the methods and techniques employed by CNWRA were independent of those used by the NRC staff.  The </w:t>
      </w:r>
      <w:r w:rsidR="00FC2937">
        <w:t xml:space="preserve">NRC compared the </w:t>
      </w:r>
      <w:r w:rsidR="00CC0DCD">
        <w:t xml:space="preserve">results of both efforts and </w:t>
      </w:r>
      <w:r w:rsidR="00FC2937">
        <w:t xml:space="preserve">revised </w:t>
      </w:r>
      <w:r w:rsidR="00CC0DCD">
        <w:t>the draft NRC regulatory analysis to incorporate the following changes:</w:t>
      </w:r>
    </w:p>
    <w:p w14:paraId="358BCC4F" w14:textId="77777777" w:rsidR="00CC0DCD" w:rsidRDefault="00CC0DCD" w:rsidP="00FF0EE8">
      <w:pPr>
        <w:spacing w:line="240" w:lineRule="auto"/>
      </w:pPr>
    </w:p>
    <w:p w14:paraId="4F29B742" w14:textId="567CAEAE" w:rsidR="00CC0DCD" w:rsidRDefault="00FC2937" w:rsidP="00FF0EE8">
      <w:pPr>
        <w:pStyle w:val="ListParagraph"/>
        <w:numPr>
          <w:ilvl w:val="0"/>
          <w:numId w:val="30"/>
        </w:numPr>
        <w:autoSpaceDE/>
        <w:autoSpaceDN/>
        <w:adjustRightInd/>
        <w:spacing w:after="240" w:line="240" w:lineRule="auto"/>
        <w:ind w:hanging="720"/>
        <w:contextualSpacing w:val="0"/>
        <w:rPr>
          <w:rFonts w:ascii="ArialMT" w:hAnsi="ArialMT" w:cs="ArialMT"/>
        </w:rPr>
      </w:pPr>
      <w:r>
        <w:rPr>
          <w:rFonts w:ascii="ArialMT" w:hAnsi="ArialMT" w:cs="ArialMT"/>
        </w:rPr>
        <w:t>T</w:t>
      </w:r>
      <w:r w:rsidR="00CC0DCD">
        <w:rPr>
          <w:rFonts w:ascii="ArialMT" w:hAnsi="ArialMT" w:cs="ArialMT"/>
        </w:rPr>
        <w:t>he incremental cost of Code Case N</w:t>
      </w:r>
      <w:r>
        <w:rPr>
          <w:rFonts w:ascii="ArialMT" w:hAnsi="ArialMT" w:cs="ArialMT"/>
        </w:rPr>
        <w:noBreakHyphen/>
      </w:r>
      <w:r w:rsidR="00CC0DCD">
        <w:rPr>
          <w:rFonts w:ascii="ArialMT" w:hAnsi="ArialMT" w:cs="ArialMT"/>
        </w:rPr>
        <w:t>666</w:t>
      </w:r>
      <w:r>
        <w:rPr>
          <w:rFonts w:ascii="ArialMT" w:hAnsi="ArialMT" w:cs="ArialMT"/>
        </w:rPr>
        <w:noBreakHyphen/>
      </w:r>
      <w:r w:rsidR="00CC0DCD">
        <w:rPr>
          <w:rFonts w:ascii="ArialMT" w:hAnsi="ArialMT" w:cs="ArialMT"/>
        </w:rPr>
        <w:t xml:space="preserve">1 </w:t>
      </w:r>
      <w:r>
        <w:rPr>
          <w:rFonts w:ascii="ArialMT" w:hAnsi="ArialMT" w:cs="ArialMT"/>
        </w:rPr>
        <w:t xml:space="preserve">was removed </w:t>
      </w:r>
      <w:r w:rsidR="00CC0DCD">
        <w:rPr>
          <w:rFonts w:ascii="ArialMT" w:hAnsi="ArialMT" w:cs="ArialMT"/>
        </w:rPr>
        <w:t>and converted to a one</w:t>
      </w:r>
      <w:r>
        <w:rPr>
          <w:rFonts w:ascii="ArialMT" w:hAnsi="ArialMT" w:cs="ArialMT"/>
        </w:rPr>
        <w:noBreakHyphen/>
      </w:r>
      <w:r w:rsidR="00CC0DCD">
        <w:rPr>
          <w:rFonts w:ascii="ArialMT" w:hAnsi="ArialMT" w:cs="ArialMT"/>
        </w:rPr>
        <w:t>time cost</w:t>
      </w:r>
      <w:r>
        <w:rPr>
          <w:rFonts w:ascii="ArialMT" w:hAnsi="ArialMT" w:cs="ArialMT"/>
        </w:rPr>
        <w:t>.</w:t>
      </w:r>
    </w:p>
    <w:p w14:paraId="0E684089" w14:textId="5DFFD676" w:rsidR="00CC0DCD" w:rsidRDefault="00FC2937" w:rsidP="00FF0EE8">
      <w:pPr>
        <w:pStyle w:val="ListParagraph"/>
        <w:numPr>
          <w:ilvl w:val="0"/>
          <w:numId w:val="30"/>
        </w:numPr>
        <w:autoSpaceDE/>
        <w:autoSpaceDN/>
        <w:adjustRightInd/>
        <w:spacing w:after="240" w:line="240" w:lineRule="auto"/>
        <w:ind w:hanging="720"/>
        <w:contextualSpacing w:val="0"/>
        <w:rPr>
          <w:rFonts w:ascii="ArialMT" w:hAnsi="ArialMT" w:cs="ArialMT"/>
        </w:rPr>
      </w:pPr>
      <w:r>
        <w:rPr>
          <w:rFonts w:ascii="ArialMT" w:hAnsi="ArialMT" w:cs="ArialMT"/>
        </w:rPr>
        <w:t>T</w:t>
      </w:r>
      <w:r w:rsidR="00CC0DCD">
        <w:rPr>
          <w:rFonts w:ascii="ArialMT" w:hAnsi="ArialMT" w:cs="ArialMT"/>
        </w:rPr>
        <w:t xml:space="preserve">he electric power replacement cost </w:t>
      </w:r>
      <w:r>
        <w:rPr>
          <w:rFonts w:ascii="ArialMT" w:hAnsi="ArialMT" w:cs="ArialMT"/>
        </w:rPr>
        <w:t>caused by the</w:t>
      </w:r>
      <w:r w:rsidR="00CC0DCD">
        <w:rPr>
          <w:rFonts w:ascii="ArialMT" w:hAnsi="ArialMT" w:cs="ArialMT"/>
        </w:rPr>
        <w:t xml:space="preserve"> shutdown of a nuclear unit for repair and maintenance</w:t>
      </w:r>
      <w:r>
        <w:rPr>
          <w:rFonts w:ascii="ArialMT" w:hAnsi="ArialMT" w:cs="ArialMT"/>
        </w:rPr>
        <w:t xml:space="preserve"> was added.</w:t>
      </w:r>
    </w:p>
    <w:p w14:paraId="50808E47" w14:textId="4776C95D" w:rsidR="00CC0DCD" w:rsidRDefault="00FC2937" w:rsidP="00FF0EE8">
      <w:pPr>
        <w:pStyle w:val="ListParagraph"/>
        <w:numPr>
          <w:ilvl w:val="0"/>
          <w:numId w:val="30"/>
        </w:numPr>
        <w:autoSpaceDE/>
        <w:autoSpaceDN/>
        <w:adjustRightInd/>
        <w:spacing w:after="240" w:line="240" w:lineRule="auto"/>
        <w:ind w:hanging="720"/>
        <w:contextualSpacing w:val="0"/>
        <w:rPr>
          <w:rFonts w:ascii="ArialMT" w:hAnsi="ArialMT" w:cs="ArialMT"/>
        </w:rPr>
      </w:pPr>
      <w:r>
        <w:rPr>
          <w:rFonts w:ascii="ArialMT" w:hAnsi="ArialMT" w:cs="ArialMT"/>
        </w:rPr>
        <w:t>C</w:t>
      </w:r>
      <w:r w:rsidR="00CC0DCD">
        <w:rPr>
          <w:rFonts w:ascii="ArialMT" w:hAnsi="ArialMT" w:cs="ArialMT"/>
        </w:rPr>
        <w:t xml:space="preserve">ost impact </w:t>
      </w:r>
      <w:r>
        <w:rPr>
          <w:rFonts w:ascii="ArialMT" w:hAnsi="ArialMT" w:cs="ArialMT"/>
        </w:rPr>
        <w:t>of</w:t>
      </w:r>
      <w:r w:rsidR="00CC0DCD">
        <w:rPr>
          <w:rFonts w:ascii="ArialMT" w:hAnsi="ArialMT" w:cs="ArialMT"/>
        </w:rPr>
        <w:t xml:space="preserve"> routine occupational radiation dose</w:t>
      </w:r>
      <w:r>
        <w:rPr>
          <w:rFonts w:ascii="ArialMT" w:hAnsi="ArialMT" w:cs="ArialMT"/>
        </w:rPr>
        <w:t xml:space="preserve"> was added.</w:t>
      </w:r>
    </w:p>
    <w:p w14:paraId="6EDF10B5" w14:textId="1E8E8205" w:rsidR="00CC0DCD" w:rsidRDefault="00FC2937" w:rsidP="00FF0EE8">
      <w:pPr>
        <w:pStyle w:val="ListParagraph"/>
        <w:numPr>
          <w:ilvl w:val="0"/>
          <w:numId w:val="30"/>
        </w:numPr>
        <w:autoSpaceDE/>
        <w:autoSpaceDN/>
        <w:adjustRightInd/>
        <w:spacing w:after="240" w:line="240" w:lineRule="auto"/>
        <w:ind w:hanging="720"/>
        <w:contextualSpacing w:val="0"/>
        <w:rPr>
          <w:rFonts w:ascii="ArialMT" w:hAnsi="ArialMT" w:cs="ArialMT"/>
        </w:rPr>
      </w:pPr>
      <w:r>
        <w:rPr>
          <w:rFonts w:ascii="ArialMT" w:hAnsi="ArialMT" w:cs="ArialMT"/>
        </w:rPr>
        <w:t>P</w:t>
      </w:r>
      <w:r w:rsidR="00CC0DCD">
        <w:rPr>
          <w:rFonts w:ascii="ArialMT" w:hAnsi="ArialMT" w:cs="ArialMT"/>
        </w:rPr>
        <w:t xml:space="preserve">ump verification test costs </w:t>
      </w:r>
      <w:r>
        <w:rPr>
          <w:rFonts w:ascii="ArialMT" w:hAnsi="ArialMT" w:cs="ArialMT"/>
        </w:rPr>
        <w:t xml:space="preserve">were added </w:t>
      </w:r>
      <w:r w:rsidR="00CC0DCD">
        <w:rPr>
          <w:rFonts w:ascii="ArialMT" w:hAnsi="ArialMT" w:cs="ArialMT"/>
        </w:rPr>
        <w:t>to the OMN Code Cases</w:t>
      </w:r>
      <w:r>
        <w:rPr>
          <w:rFonts w:ascii="ArialMT" w:hAnsi="ArialMT" w:cs="ArialMT"/>
        </w:rPr>
        <w:t>.</w:t>
      </w:r>
    </w:p>
    <w:p w14:paraId="7E90E490" w14:textId="5E230B79" w:rsidR="00CC0DCD" w:rsidRDefault="00FC2937" w:rsidP="00FF0EE8">
      <w:pPr>
        <w:pStyle w:val="ListParagraph"/>
        <w:numPr>
          <w:ilvl w:val="0"/>
          <w:numId w:val="30"/>
        </w:numPr>
        <w:autoSpaceDE/>
        <w:autoSpaceDN/>
        <w:adjustRightInd/>
        <w:spacing w:line="240" w:lineRule="auto"/>
        <w:ind w:hanging="720"/>
      </w:pPr>
      <w:r>
        <w:rPr>
          <w:rFonts w:ascii="ArialMT" w:hAnsi="ArialMT" w:cs="ArialMT"/>
        </w:rPr>
        <w:t>I</w:t>
      </w:r>
      <w:r w:rsidR="00CC0DCD" w:rsidRPr="00CC0DCD">
        <w:rPr>
          <w:rFonts w:ascii="ArialMT" w:hAnsi="ArialMT" w:cs="ArialMT"/>
        </w:rPr>
        <w:t>nputs (i.e.,</w:t>
      </w:r>
      <w:r>
        <w:rPr>
          <w:rFonts w:ascii="ArialMT" w:hAnsi="ArialMT" w:cs="ArialMT"/>
        </w:rPr>
        <w:t> </w:t>
      </w:r>
      <w:r w:rsidR="00CC0DCD" w:rsidRPr="00CC0DCD">
        <w:rPr>
          <w:rFonts w:ascii="ArialMT" w:hAnsi="ArialMT" w:cs="ArialMT"/>
        </w:rPr>
        <w:t>the number of labor hours and number of weld examinations) for generating the cost uncertainty statistics were revised.</w:t>
      </w:r>
    </w:p>
    <w:p w14:paraId="179D6F69" w14:textId="77777777" w:rsidR="00D1710A" w:rsidRDefault="00D1710A" w:rsidP="00FF0EE8">
      <w:pPr>
        <w:spacing w:line="240" w:lineRule="auto"/>
      </w:pPr>
    </w:p>
    <w:p w14:paraId="0DC7D5CE" w14:textId="6D61053A" w:rsidR="00CC0DCD" w:rsidRDefault="00CC0DCD" w:rsidP="00FF0EE8">
      <w:pPr>
        <w:spacing w:line="240" w:lineRule="auto"/>
      </w:pPr>
      <w:r>
        <w:t xml:space="preserve">Based on the ICE input, </w:t>
      </w:r>
      <w:r w:rsidR="006A18BF">
        <w:t>the NRC staff updated the</w:t>
      </w:r>
      <w:r>
        <w:t xml:space="preserve"> regulatory analysis </w:t>
      </w:r>
      <w:r w:rsidR="004939C7">
        <w:t xml:space="preserve">to incorporate these changes.  </w:t>
      </w:r>
      <w:r w:rsidR="00FC2937">
        <w:t xml:space="preserve">Table </w:t>
      </w:r>
      <w:r w:rsidR="00C66123">
        <w:t>2</w:t>
      </w:r>
      <w:r w:rsidR="00FC2937">
        <w:rPr>
          <w:noProof/>
        </w:rPr>
        <w:t>2 summarizes t</w:t>
      </w:r>
      <w:r w:rsidR="004939C7">
        <w:t>he impact on the estimated costs.</w:t>
      </w:r>
    </w:p>
    <w:p w14:paraId="4661FE53" w14:textId="77777777" w:rsidR="004939C7" w:rsidRDefault="004939C7" w:rsidP="00FF0EE8">
      <w:pPr>
        <w:spacing w:line="240" w:lineRule="auto"/>
      </w:pPr>
    </w:p>
    <w:p w14:paraId="3866A2B9" w14:textId="7C269AB0" w:rsidR="00126AB4" w:rsidRPr="00170EFF" w:rsidRDefault="00126AB4" w:rsidP="00FF0EE8">
      <w:pPr>
        <w:pStyle w:val="Caption"/>
        <w:spacing w:line="240" w:lineRule="auto"/>
        <w:jc w:val="center"/>
        <w:rPr>
          <w:b/>
        </w:rPr>
      </w:pPr>
      <w:bookmarkStart w:id="268" w:name="_Ref436835454"/>
      <w:bookmarkStart w:id="269" w:name="_Toc467508511"/>
      <w:bookmarkStart w:id="270" w:name="_Toc462225017"/>
      <w:r w:rsidRPr="00170EFF">
        <w:rPr>
          <w:b/>
        </w:rPr>
        <w:t xml:space="preserve">Table </w:t>
      </w:r>
      <w:r w:rsidR="00782423" w:rsidRPr="00170EFF">
        <w:rPr>
          <w:b/>
        </w:rPr>
        <w:fldChar w:fldCharType="begin"/>
      </w:r>
      <w:r w:rsidR="00782423" w:rsidRPr="00170EFF">
        <w:rPr>
          <w:b/>
        </w:rPr>
        <w:instrText xml:space="preserve"> SEQ Table \* ARABIC </w:instrText>
      </w:r>
      <w:r w:rsidR="00782423" w:rsidRPr="00170EFF">
        <w:rPr>
          <w:b/>
        </w:rPr>
        <w:fldChar w:fldCharType="separate"/>
      </w:r>
      <w:r w:rsidR="00FD3AB6">
        <w:rPr>
          <w:b/>
          <w:noProof/>
        </w:rPr>
        <w:t>22</w:t>
      </w:r>
      <w:r w:rsidR="00782423" w:rsidRPr="00170EFF">
        <w:rPr>
          <w:b/>
        </w:rPr>
        <w:fldChar w:fldCharType="end"/>
      </w:r>
      <w:bookmarkEnd w:id="268"/>
      <w:r w:rsidR="00A73328" w:rsidRPr="00D557C2">
        <w:rPr>
          <w:b/>
        </w:rPr>
        <w:t xml:space="preserve">  </w:t>
      </w:r>
      <w:r w:rsidRPr="00170EFF">
        <w:rPr>
          <w:b/>
        </w:rPr>
        <w:t>Regulatory Analysis Estimate Changes</w:t>
      </w:r>
      <w:bookmarkEnd w:id="269"/>
      <w:bookmarkEnd w:id="270"/>
    </w:p>
    <w:tbl>
      <w:tblPr>
        <w:tblW w:w="9360" w:type="dxa"/>
        <w:jc w:val="center"/>
        <w:tblLook w:val="04A0" w:firstRow="1" w:lastRow="0" w:firstColumn="1" w:lastColumn="0" w:noHBand="0" w:noVBand="1"/>
      </w:tblPr>
      <w:tblGrid>
        <w:gridCol w:w="3775"/>
        <w:gridCol w:w="1890"/>
        <w:gridCol w:w="1890"/>
        <w:gridCol w:w="1805"/>
      </w:tblGrid>
      <w:tr w:rsidR="006A18BF" w:rsidRPr="006A18BF" w14:paraId="5F8CCE40" w14:textId="77777777" w:rsidTr="00170EFF">
        <w:trPr>
          <w:trHeight w:val="288"/>
          <w:jc w:val="center"/>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47D749D" w14:textId="77777777" w:rsidR="006A18BF" w:rsidRPr="00170EFF" w:rsidRDefault="006A18BF" w:rsidP="00FF0EE8">
            <w:pPr>
              <w:keepNext/>
              <w:autoSpaceDE/>
              <w:autoSpaceDN/>
              <w:adjustRightInd/>
              <w:spacing w:line="240" w:lineRule="auto"/>
              <w:jc w:val="center"/>
              <w:rPr>
                <w:b/>
                <w:color w:val="000000"/>
              </w:rPr>
            </w:pPr>
            <w:r w:rsidRPr="00170EFF">
              <w:rPr>
                <w:b/>
                <w:color w:val="000000"/>
              </w:rPr>
              <w:t>Attribute</w:t>
            </w:r>
          </w:p>
        </w:tc>
        <w:tc>
          <w:tcPr>
            <w:tcW w:w="5585" w:type="dxa"/>
            <w:gridSpan w:val="3"/>
            <w:tcBorders>
              <w:top w:val="single" w:sz="4" w:space="0" w:color="auto"/>
              <w:left w:val="nil"/>
              <w:bottom w:val="single" w:sz="4" w:space="0" w:color="auto"/>
              <w:right w:val="single" w:sz="4" w:space="0" w:color="auto"/>
            </w:tcBorders>
            <w:shd w:val="clear" w:color="auto" w:fill="auto"/>
            <w:noWrap/>
            <w:hideMark/>
          </w:tcPr>
          <w:p w14:paraId="6BEF89F8" w14:textId="77777777" w:rsidR="006A18BF" w:rsidRPr="00170EFF" w:rsidRDefault="006A18BF" w:rsidP="00FF0EE8">
            <w:pPr>
              <w:keepNext/>
              <w:autoSpaceDE/>
              <w:autoSpaceDN/>
              <w:adjustRightInd/>
              <w:spacing w:line="240" w:lineRule="auto"/>
              <w:jc w:val="center"/>
              <w:rPr>
                <w:b/>
                <w:color w:val="000000"/>
              </w:rPr>
            </w:pPr>
            <w:r w:rsidRPr="00170EFF">
              <w:rPr>
                <w:b/>
                <w:color w:val="000000"/>
              </w:rPr>
              <w:t>Net Benefit (Costs) (7% NPV)</w:t>
            </w:r>
          </w:p>
        </w:tc>
      </w:tr>
      <w:tr w:rsidR="006A18BF" w:rsidRPr="006A18BF" w14:paraId="19549B3C" w14:textId="77777777" w:rsidTr="00170EFF">
        <w:trPr>
          <w:trHeight w:val="728"/>
          <w:jc w:val="center"/>
        </w:trPr>
        <w:tc>
          <w:tcPr>
            <w:tcW w:w="3775" w:type="dxa"/>
            <w:vMerge/>
            <w:tcBorders>
              <w:top w:val="single" w:sz="4" w:space="0" w:color="auto"/>
              <w:left w:val="single" w:sz="4" w:space="0" w:color="auto"/>
              <w:bottom w:val="single" w:sz="4" w:space="0" w:color="auto"/>
              <w:right w:val="single" w:sz="4" w:space="0" w:color="auto"/>
            </w:tcBorders>
            <w:hideMark/>
          </w:tcPr>
          <w:p w14:paraId="37D16177" w14:textId="77777777" w:rsidR="006A18BF" w:rsidRPr="00170EFF" w:rsidRDefault="006A18BF" w:rsidP="00FF0EE8">
            <w:pPr>
              <w:keepNext/>
              <w:autoSpaceDE/>
              <w:autoSpaceDN/>
              <w:adjustRightInd/>
              <w:spacing w:line="240" w:lineRule="auto"/>
              <w:jc w:val="center"/>
              <w:rPr>
                <w:b/>
                <w:color w:val="000000"/>
              </w:rPr>
            </w:pPr>
          </w:p>
        </w:tc>
        <w:tc>
          <w:tcPr>
            <w:tcW w:w="1890" w:type="dxa"/>
            <w:tcBorders>
              <w:top w:val="nil"/>
              <w:left w:val="nil"/>
              <w:bottom w:val="single" w:sz="4" w:space="0" w:color="auto"/>
              <w:right w:val="single" w:sz="4" w:space="0" w:color="auto"/>
            </w:tcBorders>
            <w:shd w:val="clear" w:color="auto" w:fill="auto"/>
            <w:hideMark/>
          </w:tcPr>
          <w:p w14:paraId="7694E180" w14:textId="4A4E11DD" w:rsidR="006A18BF" w:rsidRPr="00170EFF" w:rsidRDefault="006A18BF" w:rsidP="00FF0EE8">
            <w:pPr>
              <w:keepNext/>
              <w:autoSpaceDE/>
              <w:autoSpaceDN/>
              <w:adjustRightInd/>
              <w:spacing w:line="240" w:lineRule="auto"/>
              <w:jc w:val="center"/>
              <w:rPr>
                <w:b/>
                <w:color w:val="000000"/>
              </w:rPr>
            </w:pPr>
            <w:r w:rsidRPr="00170EFF">
              <w:rPr>
                <w:b/>
                <w:color w:val="000000"/>
              </w:rPr>
              <w:t xml:space="preserve">Pre-ICE NRC </w:t>
            </w:r>
            <w:r w:rsidR="00FC2937">
              <w:rPr>
                <w:rFonts w:eastAsia="Times New Roman"/>
                <w:b/>
                <w:bCs/>
                <w:color w:val="000000"/>
              </w:rPr>
              <w:t>E</w:t>
            </w:r>
            <w:r w:rsidRPr="00D557C2">
              <w:rPr>
                <w:rFonts w:eastAsia="Times New Roman"/>
                <w:b/>
                <w:bCs/>
                <w:color w:val="000000"/>
              </w:rPr>
              <w:t>stimate</w:t>
            </w:r>
            <w:r w:rsidRPr="00170EFF">
              <w:rPr>
                <w:b/>
                <w:color w:val="000000"/>
              </w:rPr>
              <w:br/>
              <w:t>(A)</w:t>
            </w:r>
          </w:p>
        </w:tc>
        <w:tc>
          <w:tcPr>
            <w:tcW w:w="1890" w:type="dxa"/>
            <w:tcBorders>
              <w:top w:val="nil"/>
              <w:left w:val="nil"/>
              <w:bottom w:val="single" w:sz="4" w:space="0" w:color="auto"/>
              <w:right w:val="single" w:sz="4" w:space="0" w:color="auto"/>
            </w:tcBorders>
            <w:shd w:val="clear" w:color="auto" w:fill="auto"/>
            <w:hideMark/>
          </w:tcPr>
          <w:p w14:paraId="489BF272" w14:textId="2171A87C" w:rsidR="006A18BF" w:rsidRPr="00170EFF" w:rsidRDefault="006A18BF" w:rsidP="00FF0EE8">
            <w:pPr>
              <w:keepNext/>
              <w:autoSpaceDE/>
              <w:autoSpaceDN/>
              <w:adjustRightInd/>
              <w:spacing w:line="240" w:lineRule="auto"/>
              <w:jc w:val="center"/>
              <w:rPr>
                <w:b/>
                <w:color w:val="000000"/>
              </w:rPr>
            </w:pPr>
            <w:r w:rsidRPr="00170EFF">
              <w:rPr>
                <w:b/>
                <w:color w:val="000000"/>
              </w:rPr>
              <w:t xml:space="preserve">Revised NRC </w:t>
            </w:r>
            <w:r w:rsidR="00FC2937">
              <w:rPr>
                <w:rFonts w:eastAsia="Times New Roman"/>
                <w:b/>
                <w:bCs/>
                <w:color w:val="000000"/>
              </w:rPr>
              <w:t>E</w:t>
            </w:r>
            <w:r w:rsidRPr="00D557C2">
              <w:rPr>
                <w:rFonts w:eastAsia="Times New Roman"/>
                <w:b/>
                <w:bCs/>
                <w:color w:val="000000"/>
              </w:rPr>
              <w:t>stimate</w:t>
            </w:r>
            <w:r w:rsidRPr="00170EFF">
              <w:rPr>
                <w:b/>
                <w:color w:val="000000"/>
              </w:rPr>
              <w:br/>
              <w:t>(B)</w:t>
            </w:r>
          </w:p>
        </w:tc>
        <w:tc>
          <w:tcPr>
            <w:tcW w:w="1805" w:type="dxa"/>
            <w:tcBorders>
              <w:top w:val="nil"/>
              <w:left w:val="nil"/>
              <w:bottom w:val="single" w:sz="4" w:space="0" w:color="auto"/>
              <w:right w:val="single" w:sz="4" w:space="0" w:color="auto"/>
            </w:tcBorders>
            <w:shd w:val="clear" w:color="auto" w:fill="auto"/>
            <w:hideMark/>
          </w:tcPr>
          <w:p w14:paraId="21B0DE80" w14:textId="2544B1CE" w:rsidR="006A18BF" w:rsidRPr="00170EFF" w:rsidRDefault="006A18BF" w:rsidP="00FF0EE8">
            <w:pPr>
              <w:keepNext/>
              <w:autoSpaceDE/>
              <w:autoSpaceDN/>
              <w:adjustRightInd/>
              <w:spacing w:line="240" w:lineRule="auto"/>
              <w:jc w:val="center"/>
              <w:rPr>
                <w:b/>
                <w:color w:val="000000"/>
              </w:rPr>
            </w:pPr>
            <w:r w:rsidRPr="00170EFF">
              <w:rPr>
                <w:b/>
                <w:color w:val="000000"/>
              </w:rPr>
              <w:t xml:space="preserve">Percent </w:t>
            </w:r>
            <w:r w:rsidR="00FC2937">
              <w:rPr>
                <w:rFonts w:eastAsia="Times New Roman"/>
                <w:b/>
                <w:bCs/>
                <w:color w:val="000000"/>
              </w:rPr>
              <w:t>C</w:t>
            </w:r>
            <w:r w:rsidRPr="00D557C2">
              <w:rPr>
                <w:rFonts w:eastAsia="Times New Roman"/>
                <w:b/>
                <w:bCs/>
                <w:color w:val="000000"/>
              </w:rPr>
              <w:t>hange</w:t>
            </w:r>
            <w:r w:rsidRPr="00170EFF">
              <w:rPr>
                <w:b/>
                <w:color w:val="000000"/>
              </w:rPr>
              <w:br/>
              <w:t>(A</w:t>
            </w:r>
            <w:r w:rsidR="00A10A69">
              <w:rPr>
                <w:rFonts w:eastAsia="Times New Roman"/>
                <w:b/>
                <w:bCs/>
                <w:color w:val="000000"/>
              </w:rPr>
              <w:t xml:space="preserve"> </w:t>
            </w:r>
            <w:r w:rsidRPr="00D557C2">
              <w:rPr>
                <w:rFonts w:eastAsia="Times New Roman"/>
                <w:b/>
                <w:bCs/>
                <w:color w:val="000000"/>
              </w:rPr>
              <w:t>-</w:t>
            </w:r>
            <w:r w:rsidR="00A10A69">
              <w:rPr>
                <w:rFonts w:eastAsia="Times New Roman"/>
                <w:b/>
                <w:bCs/>
                <w:color w:val="000000"/>
              </w:rPr>
              <w:t xml:space="preserve"> </w:t>
            </w:r>
            <w:r w:rsidRPr="00170EFF">
              <w:rPr>
                <w:b/>
                <w:color w:val="000000"/>
              </w:rPr>
              <w:t>B)/A</w:t>
            </w:r>
          </w:p>
        </w:tc>
      </w:tr>
      <w:tr w:rsidR="00007702" w:rsidRPr="006A18BF" w14:paraId="790E9A67" w14:textId="77777777" w:rsidTr="005718AE">
        <w:trPr>
          <w:trHeight w:val="288"/>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DD41241" w14:textId="77777777" w:rsidR="00007702" w:rsidRPr="00170EFF" w:rsidRDefault="00007702" w:rsidP="00FF0EE8">
            <w:pPr>
              <w:keepNext/>
              <w:autoSpaceDE/>
              <w:autoSpaceDN/>
              <w:adjustRightInd/>
              <w:spacing w:line="240" w:lineRule="auto"/>
              <w:rPr>
                <w:color w:val="000000"/>
              </w:rPr>
            </w:pPr>
            <w:r w:rsidRPr="00170EFF">
              <w:rPr>
                <w:color w:val="000000"/>
              </w:rPr>
              <w:t>Industry Implementation</w:t>
            </w:r>
          </w:p>
        </w:tc>
        <w:tc>
          <w:tcPr>
            <w:tcW w:w="1890" w:type="dxa"/>
            <w:tcBorders>
              <w:top w:val="nil"/>
              <w:left w:val="nil"/>
              <w:bottom w:val="single" w:sz="4" w:space="0" w:color="auto"/>
              <w:right w:val="single" w:sz="4" w:space="0" w:color="auto"/>
            </w:tcBorders>
            <w:shd w:val="clear" w:color="auto" w:fill="auto"/>
            <w:hideMark/>
          </w:tcPr>
          <w:p w14:paraId="2BCD3011" w14:textId="386F48E6" w:rsidR="00007702" w:rsidRPr="00170EFF" w:rsidRDefault="00007702" w:rsidP="00FF0EE8">
            <w:pPr>
              <w:keepNext/>
              <w:autoSpaceDE/>
              <w:autoSpaceDN/>
              <w:adjustRightInd/>
              <w:spacing w:line="240" w:lineRule="auto"/>
              <w:jc w:val="right"/>
              <w:rPr>
                <w:color w:val="000000" w:themeColor="text1"/>
              </w:rPr>
            </w:pPr>
            <w:r w:rsidRPr="00831BA8">
              <w:t>($1,478,000)</w:t>
            </w:r>
          </w:p>
        </w:tc>
        <w:tc>
          <w:tcPr>
            <w:tcW w:w="1890" w:type="dxa"/>
            <w:tcBorders>
              <w:top w:val="nil"/>
              <w:left w:val="nil"/>
              <w:bottom w:val="single" w:sz="4" w:space="0" w:color="auto"/>
              <w:right w:val="single" w:sz="4" w:space="0" w:color="auto"/>
            </w:tcBorders>
            <w:shd w:val="clear" w:color="auto" w:fill="auto"/>
            <w:hideMark/>
          </w:tcPr>
          <w:p w14:paraId="79B9B797" w14:textId="2DE30B82" w:rsidR="00007702" w:rsidRPr="00170EFF" w:rsidRDefault="00007702" w:rsidP="00FF0EE8">
            <w:pPr>
              <w:keepNext/>
              <w:autoSpaceDE/>
              <w:autoSpaceDN/>
              <w:adjustRightInd/>
              <w:spacing w:line="240" w:lineRule="auto"/>
              <w:jc w:val="right"/>
              <w:rPr>
                <w:color w:val="000000" w:themeColor="text1"/>
              </w:rPr>
            </w:pPr>
            <w:r w:rsidRPr="00831BA8">
              <w:t>($1,759,273)</w:t>
            </w:r>
          </w:p>
        </w:tc>
        <w:tc>
          <w:tcPr>
            <w:tcW w:w="1805" w:type="dxa"/>
            <w:tcBorders>
              <w:top w:val="nil"/>
              <w:left w:val="nil"/>
              <w:bottom w:val="single" w:sz="4" w:space="0" w:color="auto"/>
              <w:right w:val="single" w:sz="4" w:space="0" w:color="auto"/>
            </w:tcBorders>
            <w:shd w:val="clear" w:color="auto" w:fill="auto"/>
            <w:hideMark/>
          </w:tcPr>
          <w:p w14:paraId="64C51DA1" w14:textId="12CD2839" w:rsidR="00007702" w:rsidRPr="00170EFF" w:rsidRDefault="007E58CE" w:rsidP="00FF0EE8">
            <w:pPr>
              <w:keepNext/>
              <w:autoSpaceDE/>
              <w:autoSpaceDN/>
              <w:adjustRightInd/>
              <w:spacing w:line="240" w:lineRule="auto"/>
              <w:jc w:val="center"/>
              <w:rPr>
                <w:color w:val="000000"/>
              </w:rPr>
            </w:pPr>
            <w:r>
              <w:t>(</w:t>
            </w:r>
            <w:r w:rsidR="00007702" w:rsidRPr="00695646">
              <w:t>19%</w:t>
            </w:r>
            <w:r>
              <w:t>)</w:t>
            </w:r>
          </w:p>
        </w:tc>
      </w:tr>
      <w:tr w:rsidR="00007702" w:rsidRPr="006A18BF" w14:paraId="50F6595C" w14:textId="77777777" w:rsidTr="005718AE">
        <w:trPr>
          <w:trHeight w:val="288"/>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046575B" w14:textId="77777777" w:rsidR="00007702" w:rsidRPr="00170EFF" w:rsidRDefault="00007702" w:rsidP="00FF0EE8">
            <w:pPr>
              <w:keepNext/>
              <w:autoSpaceDE/>
              <w:autoSpaceDN/>
              <w:adjustRightInd/>
              <w:spacing w:line="240" w:lineRule="auto"/>
              <w:rPr>
                <w:color w:val="000000"/>
              </w:rPr>
            </w:pPr>
            <w:r w:rsidRPr="00170EFF">
              <w:rPr>
                <w:color w:val="000000"/>
              </w:rPr>
              <w:t>Industry Operation</w:t>
            </w:r>
          </w:p>
        </w:tc>
        <w:tc>
          <w:tcPr>
            <w:tcW w:w="1890" w:type="dxa"/>
            <w:tcBorders>
              <w:top w:val="nil"/>
              <w:left w:val="nil"/>
              <w:bottom w:val="single" w:sz="4" w:space="0" w:color="auto"/>
              <w:right w:val="single" w:sz="4" w:space="0" w:color="auto"/>
            </w:tcBorders>
            <w:shd w:val="clear" w:color="auto" w:fill="auto"/>
            <w:hideMark/>
          </w:tcPr>
          <w:p w14:paraId="6592144D" w14:textId="1A0ECD0C" w:rsidR="00007702" w:rsidRPr="00170EFF" w:rsidRDefault="00007702" w:rsidP="00FF0EE8">
            <w:pPr>
              <w:keepNext/>
              <w:autoSpaceDE/>
              <w:autoSpaceDN/>
              <w:adjustRightInd/>
              <w:spacing w:line="240" w:lineRule="auto"/>
              <w:jc w:val="right"/>
              <w:rPr>
                <w:color w:val="000000" w:themeColor="text1"/>
              </w:rPr>
            </w:pPr>
            <w:r w:rsidRPr="00831BA8">
              <w:t xml:space="preserve">$5,560,000 </w:t>
            </w:r>
          </w:p>
        </w:tc>
        <w:tc>
          <w:tcPr>
            <w:tcW w:w="1890" w:type="dxa"/>
            <w:tcBorders>
              <w:top w:val="nil"/>
              <w:left w:val="nil"/>
              <w:bottom w:val="single" w:sz="4" w:space="0" w:color="auto"/>
              <w:right w:val="single" w:sz="4" w:space="0" w:color="auto"/>
            </w:tcBorders>
            <w:shd w:val="clear" w:color="auto" w:fill="auto"/>
            <w:hideMark/>
          </w:tcPr>
          <w:p w14:paraId="3021AA6F" w14:textId="6B7F8435" w:rsidR="00007702" w:rsidRPr="00170EFF" w:rsidRDefault="00007702" w:rsidP="00FF0EE8">
            <w:pPr>
              <w:keepNext/>
              <w:autoSpaceDE/>
              <w:autoSpaceDN/>
              <w:adjustRightInd/>
              <w:spacing w:line="240" w:lineRule="auto"/>
              <w:jc w:val="right"/>
              <w:rPr>
                <w:color w:val="000000" w:themeColor="text1"/>
              </w:rPr>
            </w:pPr>
            <w:r w:rsidRPr="00831BA8">
              <w:t xml:space="preserve">$5,123,783 </w:t>
            </w:r>
          </w:p>
        </w:tc>
        <w:tc>
          <w:tcPr>
            <w:tcW w:w="1805" w:type="dxa"/>
            <w:tcBorders>
              <w:top w:val="nil"/>
              <w:left w:val="nil"/>
              <w:bottom w:val="single" w:sz="4" w:space="0" w:color="auto"/>
              <w:right w:val="single" w:sz="4" w:space="0" w:color="auto"/>
            </w:tcBorders>
            <w:shd w:val="clear" w:color="auto" w:fill="auto"/>
            <w:hideMark/>
          </w:tcPr>
          <w:p w14:paraId="169443B6" w14:textId="27FBB314" w:rsidR="00007702" w:rsidRPr="00170EFF" w:rsidRDefault="00007702" w:rsidP="00FF0EE8">
            <w:pPr>
              <w:keepNext/>
              <w:autoSpaceDE/>
              <w:autoSpaceDN/>
              <w:adjustRightInd/>
              <w:spacing w:line="240" w:lineRule="auto"/>
              <w:jc w:val="center"/>
              <w:rPr>
                <w:color w:val="000000"/>
              </w:rPr>
            </w:pPr>
            <w:r w:rsidRPr="00695646">
              <w:t>8%</w:t>
            </w:r>
          </w:p>
        </w:tc>
      </w:tr>
      <w:tr w:rsidR="00007702" w:rsidRPr="006A18BF" w14:paraId="2AA0C5C7" w14:textId="77777777" w:rsidTr="005718AE">
        <w:trPr>
          <w:trHeight w:val="296"/>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5CEF9C3" w14:textId="77777777" w:rsidR="00007702" w:rsidRPr="00170EFF" w:rsidRDefault="00007702" w:rsidP="00FF0EE8">
            <w:pPr>
              <w:keepNext/>
              <w:autoSpaceDE/>
              <w:autoSpaceDN/>
              <w:adjustRightInd/>
              <w:spacing w:line="240" w:lineRule="auto"/>
              <w:rPr>
                <w:color w:val="000000"/>
              </w:rPr>
            </w:pPr>
            <w:r w:rsidRPr="00170EFF">
              <w:rPr>
                <w:color w:val="000000"/>
              </w:rPr>
              <w:t>Occupational Health (Routine)</w:t>
            </w:r>
          </w:p>
        </w:tc>
        <w:tc>
          <w:tcPr>
            <w:tcW w:w="1890" w:type="dxa"/>
            <w:tcBorders>
              <w:top w:val="nil"/>
              <w:left w:val="nil"/>
              <w:bottom w:val="single" w:sz="4" w:space="0" w:color="auto"/>
              <w:right w:val="single" w:sz="4" w:space="0" w:color="auto"/>
            </w:tcBorders>
            <w:shd w:val="clear" w:color="auto" w:fill="auto"/>
            <w:hideMark/>
          </w:tcPr>
          <w:p w14:paraId="4050716D" w14:textId="77777777" w:rsidR="00007702" w:rsidRPr="00170EFF" w:rsidRDefault="00007702" w:rsidP="00FF0EE8">
            <w:pPr>
              <w:keepNext/>
              <w:autoSpaceDE/>
              <w:autoSpaceDN/>
              <w:adjustRightInd/>
              <w:spacing w:line="240" w:lineRule="auto"/>
              <w:jc w:val="right"/>
              <w:rPr>
                <w:color w:val="000000" w:themeColor="text1"/>
              </w:rPr>
            </w:pPr>
          </w:p>
        </w:tc>
        <w:tc>
          <w:tcPr>
            <w:tcW w:w="1890" w:type="dxa"/>
            <w:tcBorders>
              <w:top w:val="nil"/>
              <w:left w:val="nil"/>
              <w:bottom w:val="single" w:sz="4" w:space="0" w:color="auto"/>
              <w:right w:val="single" w:sz="4" w:space="0" w:color="auto"/>
            </w:tcBorders>
            <w:shd w:val="clear" w:color="auto" w:fill="auto"/>
            <w:hideMark/>
          </w:tcPr>
          <w:p w14:paraId="691C364A" w14:textId="1101FA12" w:rsidR="00007702" w:rsidRPr="00170EFF" w:rsidRDefault="00007702" w:rsidP="00FF0EE8">
            <w:pPr>
              <w:keepNext/>
              <w:autoSpaceDE/>
              <w:autoSpaceDN/>
              <w:adjustRightInd/>
              <w:spacing w:line="240" w:lineRule="auto"/>
              <w:jc w:val="right"/>
              <w:rPr>
                <w:color w:val="000000" w:themeColor="text1"/>
              </w:rPr>
            </w:pPr>
            <w:r w:rsidRPr="00831BA8">
              <w:t>($112,257)</w:t>
            </w:r>
          </w:p>
        </w:tc>
        <w:tc>
          <w:tcPr>
            <w:tcW w:w="1805" w:type="dxa"/>
            <w:tcBorders>
              <w:top w:val="nil"/>
              <w:left w:val="nil"/>
              <w:bottom w:val="single" w:sz="4" w:space="0" w:color="auto"/>
              <w:right w:val="single" w:sz="4" w:space="0" w:color="auto"/>
            </w:tcBorders>
            <w:shd w:val="clear" w:color="auto" w:fill="auto"/>
            <w:vAlign w:val="center"/>
            <w:hideMark/>
          </w:tcPr>
          <w:p w14:paraId="7A5BB0F6" w14:textId="77777777" w:rsidR="00007702" w:rsidRPr="00170EFF" w:rsidRDefault="00007702" w:rsidP="00FF0EE8">
            <w:pPr>
              <w:keepNext/>
              <w:autoSpaceDE/>
              <w:autoSpaceDN/>
              <w:adjustRightInd/>
              <w:spacing w:line="240" w:lineRule="auto"/>
              <w:jc w:val="center"/>
              <w:rPr>
                <w:color w:val="000000"/>
              </w:rPr>
            </w:pPr>
            <w:r w:rsidRPr="00170EFF">
              <w:rPr>
                <w:color w:val="000000"/>
              </w:rPr>
              <w:t>NM</w:t>
            </w:r>
            <w:r w:rsidRPr="00170EFF">
              <w:rPr>
                <w:color w:val="000000"/>
                <w:vertAlign w:val="superscript"/>
              </w:rPr>
              <w:t>a</w:t>
            </w:r>
          </w:p>
        </w:tc>
      </w:tr>
      <w:tr w:rsidR="00007702" w:rsidRPr="006A18BF" w14:paraId="3012D9EC" w14:textId="77777777" w:rsidTr="005718AE">
        <w:trPr>
          <w:trHeight w:val="288"/>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4D0393C" w14:textId="77777777" w:rsidR="00007702" w:rsidRPr="00170EFF" w:rsidRDefault="00007702" w:rsidP="00FF0EE8">
            <w:pPr>
              <w:keepNext/>
              <w:autoSpaceDE/>
              <w:autoSpaceDN/>
              <w:adjustRightInd/>
              <w:spacing w:line="240" w:lineRule="auto"/>
              <w:rPr>
                <w:color w:val="000000"/>
              </w:rPr>
            </w:pPr>
            <w:r w:rsidRPr="00170EFF">
              <w:rPr>
                <w:color w:val="000000"/>
              </w:rPr>
              <w:t>Replacement Power Cost</w:t>
            </w:r>
          </w:p>
        </w:tc>
        <w:tc>
          <w:tcPr>
            <w:tcW w:w="1890" w:type="dxa"/>
            <w:tcBorders>
              <w:top w:val="nil"/>
              <w:left w:val="nil"/>
              <w:bottom w:val="single" w:sz="4" w:space="0" w:color="auto"/>
              <w:right w:val="single" w:sz="4" w:space="0" w:color="auto"/>
            </w:tcBorders>
            <w:shd w:val="clear" w:color="auto" w:fill="auto"/>
            <w:hideMark/>
          </w:tcPr>
          <w:p w14:paraId="733099BF" w14:textId="77777777" w:rsidR="00007702" w:rsidRPr="00170EFF" w:rsidRDefault="00007702" w:rsidP="00FF0EE8">
            <w:pPr>
              <w:keepNext/>
              <w:autoSpaceDE/>
              <w:autoSpaceDN/>
              <w:adjustRightInd/>
              <w:spacing w:line="240" w:lineRule="auto"/>
              <w:jc w:val="right"/>
              <w:rPr>
                <w:color w:val="000000" w:themeColor="text1"/>
              </w:rPr>
            </w:pPr>
          </w:p>
        </w:tc>
        <w:tc>
          <w:tcPr>
            <w:tcW w:w="1890" w:type="dxa"/>
            <w:tcBorders>
              <w:top w:val="nil"/>
              <w:left w:val="nil"/>
              <w:bottom w:val="single" w:sz="4" w:space="0" w:color="auto"/>
              <w:right w:val="single" w:sz="4" w:space="0" w:color="auto"/>
            </w:tcBorders>
            <w:shd w:val="clear" w:color="auto" w:fill="auto"/>
            <w:hideMark/>
          </w:tcPr>
          <w:p w14:paraId="2A872468" w14:textId="0F3C1F61" w:rsidR="00007702" w:rsidRPr="00170EFF" w:rsidRDefault="00007702" w:rsidP="00FF0EE8">
            <w:pPr>
              <w:keepNext/>
              <w:autoSpaceDE/>
              <w:autoSpaceDN/>
              <w:adjustRightInd/>
              <w:spacing w:line="240" w:lineRule="auto"/>
              <w:jc w:val="right"/>
              <w:rPr>
                <w:color w:val="000000" w:themeColor="text1"/>
              </w:rPr>
            </w:pPr>
            <w:r w:rsidRPr="00831BA8">
              <w:t>($835,000)</w:t>
            </w:r>
          </w:p>
        </w:tc>
        <w:tc>
          <w:tcPr>
            <w:tcW w:w="1805" w:type="dxa"/>
            <w:tcBorders>
              <w:top w:val="nil"/>
              <w:left w:val="nil"/>
              <w:bottom w:val="single" w:sz="4" w:space="0" w:color="auto"/>
              <w:right w:val="single" w:sz="4" w:space="0" w:color="auto"/>
            </w:tcBorders>
            <w:shd w:val="clear" w:color="auto" w:fill="auto"/>
            <w:vAlign w:val="center"/>
            <w:hideMark/>
          </w:tcPr>
          <w:p w14:paraId="1D8C728A" w14:textId="77777777" w:rsidR="00007702" w:rsidRPr="00170EFF" w:rsidRDefault="00007702" w:rsidP="00FF0EE8">
            <w:pPr>
              <w:keepNext/>
              <w:autoSpaceDE/>
              <w:autoSpaceDN/>
              <w:adjustRightInd/>
              <w:spacing w:line="240" w:lineRule="auto"/>
              <w:jc w:val="center"/>
              <w:rPr>
                <w:color w:val="000000"/>
              </w:rPr>
            </w:pPr>
            <w:r w:rsidRPr="00170EFF">
              <w:rPr>
                <w:color w:val="000000"/>
              </w:rPr>
              <w:t>NM</w:t>
            </w:r>
          </w:p>
        </w:tc>
      </w:tr>
      <w:tr w:rsidR="00007702" w:rsidRPr="006A18BF" w14:paraId="309CEF8F" w14:textId="77777777" w:rsidTr="005718AE">
        <w:trPr>
          <w:trHeight w:val="288"/>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E3EF8A4" w14:textId="77777777" w:rsidR="00007702" w:rsidRPr="00170EFF" w:rsidRDefault="00007702" w:rsidP="00FF0EE8">
            <w:pPr>
              <w:keepNext/>
              <w:autoSpaceDE/>
              <w:autoSpaceDN/>
              <w:adjustRightInd/>
              <w:spacing w:line="240" w:lineRule="auto"/>
              <w:rPr>
                <w:i/>
                <w:color w:val="000000"/>
              </w:rPr>
            </w:pPr>
            <w:r w:rsidRPr="00170EFF">
              <w:rPr>
                <w:i/>
                <w:color w:val="000000"/>
              </w:rPr>
              <w:t>Total Industry Costs</w:t>
            </w:r>
          </w:p>
        </w:tc>
        <w:tc>
          <w:tcPr>
            <w:tcW w:w="1890" w:type="dxa"/>
            <w:tcBorders>
              <w:top w:val="nil"/>
              <w:left w:val="nil"/>
              <w:bottom w:val="single" w:sz="4" w:space="0" w:color="auto"/>
              <w:right w:val="single" w:sz="4" w:space="0" w:color="auto"/>
            </w:tcBorders>
            <w:shd w:val="clear" w:color="auto" w:fill="auto"/>
            <w:hideMark/>
          </w:tcPr>
          <w:p w14:paraId="30D5977A" w14:textId="7851898E" w:rsidR="00007702" w:rsidRPr="00170EFF" w:rsidRDefault="00007702" w:rsidP="00FF0EE8">
            <w:pPr>
              <w:keepNext/>
              <w:autoSpaceDE/>
              <w:autoSpaceDN/>
              <w:adjustRightInd/>
              <w:spacing w:line="240" w:lineRule="auto"/>
              <w:jc w:val="right"/>
              <w:rPr>
                <w:i/>
                <w:color w:val="000000" w:themeColor="text1"/>
              </w:rPr>
            </w:pPr>
            <w:r w:rsidRPr="00831BA8">
              <w:t xml:space="preserve">$4,080,000 </w:t>
            </w:r>
          </w:p>
        </w:tc>
        <w:tc>
          <w:tcPr>
            <w:tcW w:w="1890" w:type="dxa"/>
            <w:tcBorders>
              <w:top w:val="nil"/>
              <w:left w:val="nil"/>
              <w:bottom w:val="single" w:sz="4" w:space="0" w:color="auto"/>
              <w:right w:val="single" w:sz="4" w:space="0" w:color="auto"/>
            </w:tcBorders>
            <w:shd w:val="clear" w:color="auto" w:fill="auto"/>
            <w:hideMark/>
          </w:tcPr>
          <w:p w14:paraId="0D20EC61" w14:textId="6E2754FE" w:rsidR="00007702" w:rsidRPr="00170EFF" w:rsidRDefault="00007702" w:rsidP="00FF0EE8">
            <w:pPr>
              <w:keepNext/>
              <w:autoSpaceDE/>
              <w:autoSpaceDN/>
              <w:adjustRightInd/>
              <w:spacing w:line="240" w:lineRule="auto"/>
              <w:jc w:val="right"/>
              <w:rPr>
                <w:i/>
                <w:color w:val="000000" w:themeColor="text1"/>
              </w:rPr>
            </w:pPr>
            <w:r w:rsidRPr="00831BA8">
              <w:t xml:space="preserve">$2,417,253 </w:t>
            </w:r>
          </w:p>
        </w:tc>
        <w:tc>
          <w:tcPr>
            <w:tcW w:w="1805" w:type="dxa"/>
            <w:tcBorders>
              <w:top w:val="nil"/>
              <w:left w:val="nil"/>
              <w:bottom w:val="single" w:sz="4" w:space="0" w:color="auto"/>
              <w:right w:val="single" w:sz="4" w:space="0" w:color="auto"/>
            </w:tcBorders>
            <w:shd w:val="clear" w:color="auto" w:fill="auto"/>
            <w:hideMark/>
          </w:tcPr>
          <w:p w14:paraId="4318FC89" w14:textId="44D6DB2E" w:rsidR="00007702" w:rsidRPr="00170EFF" w:rsidRDefault="00007702" w:rsidP="00FF0EE8">
            <w:pPr>
              <w:keepNext/>
              <w:autoSpaceDE/>
              <w:autoSpaceDN/>
              <w:adjustRightInd/>
              <w:spacing w:line="240" w:lineRule="auto"/>
              <w:jc w:val="center"/>
              <w:rPr>
                <w:i/>
                <w:color w:val="000000"/>
              </w:rPr>
            </w:pPr>
            <w:r w:rsidRPr="00A204B6">
              <w:t>41%</w:t>
            </w:r>
          </w:p>
        </w:tc>
      </w:tr>
      <w:tr w:rsidR="00007702" w:rsidRPr="006A18BF" w14:paraId="138D49FF" w14:textId="77777777" w:rsidTr="005718AE">
        <w:trPr>
          <w:trHeight w:hRule="exact" w:val="141"/>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F9F07FC" w14:textId="77777777" w:rsidR="00007702" w:rsidRPr="00170EFF" w:rsidRDefault="00007702" w:rsidP="00FF0EE8">
            <w:pPr>
              <w:keepNext/>
              <w:autoSpaceDE/>
              <w:autoSpaceDN/>
              <w:adjustRightInd/>
              <w:spacing w:line="240" w:lineRule="auto"/>
              <w:rPr>
                <w:color w:val="000000"/>
              </w:rPr>
            </w:pPr>
            <w:r w:rsidRPr="00170EFF">
              <w:rPr>
                <w:color w:val="000000"/>
              </w:rPr>
              <w:t> </w:t>
            </w:r>
          </w:p>
        </w:tc>
        <w:tc>
          <w:tcPr>
            <w:tcW w:w="1890" w:type="dxa"/>
            <w:tcBorders>
              <w:top w:val="nil"/>
              <w:left w:val="nil"/>
              <w:bottom w:val="single" w:sz="4" w:space="0" w:color="auto"/>
              <w:right w:val="single" w:sz="4" w:space="0" w:color="auto"/>
            </w:tcBorders>
            <w:shd w:val="clear" w:color="auto" w:fill="auto"/>
            <w:hideMark/>
          </w:tcPr>
          <w:p w14:paraId="63020983" w14:textId="77777777" w:rsidR="00007702" w:rsidRPr="00473906" w:rsidRDefault="00007702" w:rsidP="00FF0EE8">
            <w:pPr>
              <w:keepNext/>
              <w:autoSpaceDE/>
              <w:autoSpaceDN/>
              <w:adjustRightInd/>
              <w:spacing w:line="240" w:lineRule="auto"/>
              <w:rPr>
                <w:rFonts w:eastAsia="Times New Roman"/>
                <w:color w:val="000000" w:themeColor="text1"/>
              </w:rPr>
            </w:pPr>
          </w:p>
        </w:tc>
        <w:tc>
          <w:tcPr>
            <w:tcW w:w="1890" w:type="dxa"/>
            <w:tcBorders>
              <w:top w:val="nil"/>
              <w:left w:val="nil"/>
              <w:bottom w:val="single" w:sz="4" w:space="0" w:color="auto"/>
              <w:right w:val="single" w:sz="4" w:space="0" w:color="auto"/>
            </w:tcBorders>
            <w:shd w:val="clear" w:color="auto" w:fill="auto"/>
            <w:hideMark/>
          </w:tcPr>
          <w:p w14:paraId="6033E4EB" w14:textId="77777777" w:rsidR="00007702" w:rsidRPr="00FC2937" w:rsidRDefault="00007702" w:rsidP="00FF0EE8">
            <w:pPr>
              <w:keepNext/>
              <w:autoSpaceDE/>
              <w:autoSpaceDN/>
              <w:adjustRightInd/>
              <w:spacing w:line="240" w:lineRule="auto"/>
              <w:rPr>
                <w:rFonts w:eastAsia="Times New Roman"/>
                <w:color w:val="000000" w:themeColor="text1"/>
              </w:rPr>
            </w:pPr>
          </w:p>
        </w:tc>
        <w:tc>
          <w:tcPr>
            <w:tcW w:w="1805" w:type="dxa"/>
            <w:tcBorders>
              <w:top w:val="nil"/>
              <w:left w:val="nil"/>
              <w:bottom w:val="single" w:sz="4" w:space="0" w:color="auto"/>
              <w:right w:val="single" w:sz="4" w:space="0" w:color="auto"/>
            </w:tcBorders>
            <w:shd w:val="clear" w:color="auto" w:fill="auto"/>
            <w:hideMark/>
          </w:tcPr>
          <w:p w14:paraId="41E1EEA7" w14:textId="77777777" w:rsidR="00007702" w:rsidRPr="00170EFF" w:rsidRDefault="00007702" w:rsidP="00FF0EE8">
            <w:pPr>
              <w:keepNext/>
              <w:autoSpaceDE/>
              <w:autoSpaceDN/>
              <w:adjustRightInd/>
              <w:spacing w:line="240" w:lineRule="auto"/>
              <w:jc w:val="center"/>
              <w:rPr>
                <w:color w:val="000000"/>
              </w:rPr>
            </w:pPr>
          </w:p>
        </w:tc>
      </w:tr>
      <w:tr w:rsidR="00007702" w:rsidRPr="006A18BF" w14:paraId="5662DDFB" w14:textId="77777777" w:rsidTr="005718AE">
        <w:trPr>
          <w:trHeight w:val="288"/>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E5C807F" w14:textId="77777777" w:rsidR="00007702" w:rsidRPr="00170EFF" w:rsidRDefault="00007702" w:rsidP="00FF0EE8">
            <w:pPr>
              <w:keepNext/>
              <w:autoSpaceDE/>
              <w:autoSpaceDN/>
              <w:adjustRightInd/>
              <w:spacing w:line="240" w:lineRule="auto"/>
              <w:rPr>
                <w:color w:val="000000"/>
              </w:rPr>
            </w:pPr>
            <w:r w:rsidRPr="00170EFF">
              <w:rPr>
                <w:color w:val="000000"/>
              </w:rPr>
              <w:t>NRC Implementation</w:t>
            </w:r>
          </w:p>
        </w:tc>
        <w:tc>
          <w:tcPr>
            <w:tcW w:w="1890" w:type="dxa"/>
            <w:tcBorders>
              <w:top w:val="nil"/>
              <w:left w:val="nil"/>
              <w:bottom w:val="single" w:sz="4" w:space="0" w:color="auto"/>
              <w:right w:val="single" w:sz="4" w:space="0" w:color="auto"/>
            </w:tcBorders>
            <w:shd w:val="clear" w:color="auto" w:fill="auto"/>
            <w:hideMark/>
          </w:tcPr>
          <w:p w14:paraId="2DBA5F34" w14:textId="40A67873" w:rsidR="00007702" w:rsidRPr="00170EFF" w:rsidRDefault="00007702" w:rsidP="00FF0EE8">
            <w:pPr>
              <w:keepNext/>
              <w:autoSpaceDE/>
              <w:autoSpaceDN/>
              <w:adjustRightInd/>
              <w:spacing w:line="240" w:lineRule="auto"/>
              <w:jc w:val="right"/>
              <w:rPr>
                <w:color w:val="000000" w:themeColor="text1"/>
              </w:rPr>
            </w:pPr>
            <w:r w:rsidRPr="00831BA8">
              <w:t>($640,000)</w:t>
            </w:r>
          </w:p>
        </w:tc>
        <w:tc>
          <w:tcPr>
            <w:tcW w:w="1890" w:type="dxa"/>
            <w:tcBorders>
              <w:top w:val="nil"/>
              <w:left w:val="nil"/>
              <w:bottom w:val="single" w:sz="4" w:space="0" w:color="auto"/>
              <w:right w:val="single" w:sz="4" w:space="0" w:color="auto"/>
            </w:tcBorders>
            <w:shd w:val="clear" w:color="auto" w:fill="auto"/>
            <w:hideMark/>
          </w:tcPr>
          <w:p w14:paraId="61E32A47" w14:textId="1DFAD262" w:rsidR="00007702" w:rsidRPr="00170EFF" w:rsidRDefault="00007702" w:rsidP="00FF0EE8">
            <w:pPr>
              <w:keepNext/>
              <w:autoSpaceDE/>
              <w:autoSpaceDN/>
              <w:adjustRightInd/>
              <w:spacing w:line="240" w:lineRule="auto"/>
              <w:jc w:val="right"/>
              <w:rPr>
                <w:color w:val="000000" w:themeColor="text1"/>
              </w:rPr>
            </w:pPr>
            <w:r w:rsidRPr="00831BA8">
              <w:t xml:space="preserve">$0 </w:t>
            </w:r>
          </w:p>
        </w:tc>
        <w:tc>
          <w:tcPr>
            <w:tcW w:w="1805" w:type="dxa"/>
            <w:tcBorders>
              <w:top w:val="nil"/>
              <w:left w:val="nil"/>
              <w:bottom w:val="single" w:sz="4" w:space="0" w:color="auto"/>
              <w:right w:val="single" w:sz="4" w:space="0" w:color="auto"/>
            </w:tcBorders>
            <w:shd w:val="clear" w:color="auto" w:fill="auto"/>
            <w:hideMark/>
          </w:tcPr>
          <w:p w14:paraId="62D9BE35" w14:textId="6FE8D725" w:rsidR="00007702" w:rsidRPr="00170EFF" w:rsidRDefault="00007702" w:rsidP="00FF0EE8">
            <w:pPr>
              <w:keepNext/>
              <w:autoSpaceDE/>
              <w:autoSpaceDN/>
              <w:adjustRightInd/>
              <w:spacing w:line="240" w:lineRule="auto"/>
              <w:jc w:val="center"/>
              <w:rPr>
                <w:color w:val="000000"/>
              </w:rPr>
            </w:pPr>
            <w:r w:rsidRPr="00A204B6">
              <w:t>100%</w:t>
            </w:r>
          </w:p>
        </w:tc>
      </w:tr>
      <w:tr w:rsidR="00007702" w:rsidRPr="006A18BF" w14:paraId="436A1C22" w14:textId="77777777" w:rsidTr="005718AE">
        <w:trPr>
          <w:trHeight w:val="288"/>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9EAC126" w14:textId="77777777" w:rsidR="00007702" w:rsidRPr="00170EFF" w:rsidRDefault="00007702" w:rsidP="00FF0EE8">
            <w:pPr>
              <w:keepNext/>
              <w:autoSpaceDE/>
              <w:autoSpaceDN/>
              <w:adjustRightInd/>
              <w:spacing w:line="240" w:lineRule="auto"/>
              <w:rPr>
                <w:color w:val="000000"/>
              </w:rPr>
            </w:pPr>
            <w:r w:rsidRPr="00170EFF">
              <w:rPr>
                <w:color w:val="000000"/>
              </w:rPr>
              <w:t>NRC Operation</w:t>
            </w:r>
          </w:p>
        </w:tc>
        <w:tc>
          <w:tcPr>
            <w:tcW w:w="1890" w:type="dxa"/>
            <w:tcBorders>
              <w:top w:val="nil"/>
              <w:left w:val="nil"/>
              <w:bottom w:val="single" w:sz="4" w:space="0" w:color="auto"/>
              <w:right w:val="single" w:sz="4" w:space="0" w:color="auto"/>
            </w:tcBorders>
            <w:shd w:val="clear" w:color="auto" w:fill="auto"/>
            <w:hideMark/>
          </w:tcPr>
          <w:p w14:paraId="2E0095EA" w14:textId="6B2ED89B" w:rsidR="00007702" w:rsidRPr="00170EFF" w:rsidRDefault="00007702" w:rsidP="00FF0EE8">
            <w:pPr>
              <w:keepNext/>
              <w:autoSpaceDE/>
              <w:autoSpaceDN/>
              <w:adjustRightInd/>
              <w:spacing w:line="240" w:lineRule="auto"/>
              <w:jc w:val="right"/>
              <w:rPr>
                <w:color w:val="000000" w:themeColor="text1"/>
              </w:rPr>
            </w:pPr>
            <w:r w:rsidRPr="00831BA8">
              <w:t xml:space="preserve">$2,734,000 </w:t>
            </w:r>
          </w:p>
        </w:tc>
        <w:tc>
          <w:tcPr>
            <w:tcW w:w="1890" w:type="dxa"/>
            <w:tcBorders>
              <w:top w:val="nil"/>
              <w:left w:val="nil"/>
              <w:bottom w:val="single" w:sz="4" w:space="0" w:color="auto"/>
              <w:right w:val="single" w:sz="4" w:space="0" w:color="auto"/>
            </w:tcBorders>
            <w:shd w:val="clear" w:color="auto" w:fill="auto"/>
            <w:hideMark/>
          </w:tcPr>
          <w:p w14:paraId="6783F3F1" w14:textId="3ACF383D" w:rsidR="00007702" w:rsidRPr="00170EFF" w:rsidRDefault="00007702" w:rsidP="00FF0EE8">
            <w:pPr>
              <w:keepNext/>
              <w:autoSpaceDE/>
              <w:autoSpaceDN/>
              <w:adjustRightInd/>
              <w:spacing w:line="240" w:lineRule="auto"/>
              <w:jc w:val="right"/>
              <w:rPr>
                <w:color w:val="000000" w:themeColor="text1"/>
              </w:rPr>
            </w:pPr>
            <w:r w:rsidRPr="00831BA8">
              <w:t xml:space="preserve">$2,516,620 </w:t>
            </w:r>
          </w:p>
        </w:tc>
        <w:tc>
          <w:tcPr>
            <w:tcW w:w="1805" w:type="dxa"/>
            <w:tcBorders>
              <w:top w:val="nil"/>
              <w:left w:val="nil"/>
              <w:bottom w:val="single" w:sz="4" w:space="0" w:color="auto"/>
              <w:right w:val="single" w:sz="4" w:space="0" w:color="auto"/>
            </w:tcBorders>
            <w:shd w:val="clear" w:color="auto" w:fill="auto"/>
            <w:hideMark/>
          </w:tcPr>
          <w:p w14:paraId="4C325EC2" w14:textId="5B3BB140" w:rsidR="00007702" w:rsidRPr="00170EFF" w:rsidRDefault="00007702" w:rsidP="00FF0EE8">
            <w:pPr>
              <w:keepNext/>
              <w:autoSpaceDE/>
              <w:autoSpaceDN/>
              <w:adjustRightInd/>
              <w:spacing w:line="240" w:lineRule="auto"/>
              <w:jc w:val="center"/>
              <w:rPr>
                <w:color w:val="000000"/>
              </w:rPr>
            </w:pPr>
            <w:r w:rsidRPr="00A204B6">
              <w:t>8%</w:t>
            </w:r>
          </w:p>
        </w:tc>
      </w:tr>
      <w:tr w:rsidR="00007702" w:rsidRPr="006A18BF" w14:paraId="3C64A2BD" w14:textId="77777777" w:rsidTr="005718AE">
        <w:trPr>
          <w:trHeight w:val="288"/>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8C60E28" w14:textId="77777777" w:rsidR="00007702" w:rsidRPr="00170EFF" w:rsidRDefault="00007702" w:rsidP="00FF0EE8">
            <w:pPr>
              <w:keepNext/>
              <w:autoSpaceDE/>
              <w:autoSpaceDN/>
              <w:adjustRightInd/>
              <w:spacing w:line="240" w:lineRule="auto"/>
              <w:rPr>
                <w:i/>
                <w:color w:val="000000"/>
              </w:rPr>
            </w:pPr>
            <w:r w:rsidRPr="00170EFF">
              <w:rPr>
                <w:i/>
                <w:color w:val="000000"/>
              </w:rPr>
              <w:t>Total NRC Cost</w:t>
            </w:r>
          </w:p>
        </w:tc>
        <w:tc>
          <w:tcPr>
            <w:tcW w:w="1890" w:type="dxa"/>
            <w:tcBorders>
              <w:top w:val="nil"/>
              <w:left w:val="nil"/>
              <w:bottom w:val="single" w:sz="4" w:space="0" w:color="auto"/>
              <w:right w:val="single" w:sz="4" w:space="0" w:color="auto"/>
            </w:tcBorders>
            <w:shd w:val="clear" w:color="auto" w:fill="auto"/>
            <w:hideMark/>
          </w:tcPr>
          <w:p w14:paraId="4119EB26" w14:textId="24002FBF" w:rsidR="00007702" w:rsidRPr="00170EFF" w:rsidRDefault="00007702" w:rsidP="00FF0EE8">
            <w:pPr>
              <w:keepNext/>
              <w:autoSpaceDE/>
              <w:autoSpaceDN/>
              <w:adjustRightInd/>
              <w:spacing w:line="240" w:lineRule="auto"/>
              <w:jc w:val="right"/>
              <w:rPr>
                <w:i/>
                <w:color w:val="000000"/>
              </w:rPr>
            </w:pPr>
            <w:r w:rsidRPr="00831BA8">
              <w:t xml:space="preserve">$2,090,000 </w:t>
            </w:r>
          </w:p>
        </w:tc>
        <w:tc>
          <w:tcPr>
            <w:tcW w:w="1890" w:type="dxa"/>
            <w:tcBorders>
              <w:top w:val="nil"/>
              <w:left w:val="nil"/>
              <w:bottom w:val="single" w:sz="4" w:space="0" w:color="auto"/>
              <w:right w:val="single" w:sz="4" w:space="0" w:color="auto"/>
            </w:tcBorders>
            <w:shd w:val="clear" w:color="auto" w:fill="auto"/>
            <w:hideMark/>
          </w:tcPr>
          <w:p w14:paraId="1A5EE9BF" w14:textId="16D23751" w:rsidR="00007702" w:rsidRPr="00170EFF" w:rsidRDefault="00007702" w:rsidP="00FF0EE8">
            <w:pPr>
              <w:keepNext/>
              <w:autoSpaceDE/>
              <w:autoSpaceDN/>
              <w:adjustRightInd/>
              <w:spacing w:line="240" w:lineRule="auto"/>
              <w:jc w:val="right"/>
              <w:rPr>
                <w:i/>
                <w:color w:val="000000"/>
              </w:rPr>
            </w:pPr>
            <w:r w:rsidRPr="00831BA8">
              <w:t xml:space="preserve">$2,516,620 </w:t>
            </w:r>
          </w:p>
        </w:tc>
        <w:tc>
          <w:tcPr>
            <w:tcW w:w="1805" w:type="dxa"/>
            <w:tcBorders>
              <w:top w:val="nil"/>
              <w:left w:val="nil"/>
              <w:bottom w:val="single" w:sz="4" w:space="0" w:color="auto"/>
              <w:right w:val="single" w:sz="4" w:space="0" w:color="auto"/>
            </w:tcBorders>
            <w:shd w:val="clear" w:color="auto" w:fill="auto"/>
            <w:hideMark/>
          </w:tcPr>
          <w:p w14:paraId="463A0F2A" w14:textId="638CBF36" w:rsidR="00007702" w:rsidRPr="00170EFF" w:rsidRDefault="007E58CE" w:rsidP="00FF0EE8">
            <w:pPr>
              <w:keepNext/>
              <w:autoSpaceDE/>
              <w:autoSpaceDN/>
              <w:adjustRightInd/>
              <w:spacing w:line="240" w:lineRule="auto"/>
              <w:jc w:val="center"/>
              <w:rPr>
                <w:i/>
                <w:color w:val="000000"/>
              </w:rPr>
            </w:pPr>
            <w:r>
              <w:t>(</w:t>
            </w:r>
            <w:r w:rsidR="00007702" w:rsidRPr="00A204B6">
              <w:t>20%</w:t>
            </w:r>
            <w:r>
              <w:t>)</w:t>
            </w:r>
          </w:p>
        </w:tc>
      </w:tr>
      <w:tr w:rsidR="00007702" w:rsidRPr="006A18BF" w14:paraId="772CA6E7" w14:textId="77777777" w:rsidTr="005718AE">
        <w:trPr>
          <w:trHeight w:hRule="exact" w:val="141"/>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BC3F663" w14:textId="77777777" w:rsidR="00007702" w:rsidRPr="00170EFF" w:rsidRDefault="00007702" w:rsidP="00FF0EE8">
            <w:pPr>
              <w:keepNext/>
              <w:autoSpaceDE/>
              <w:autoSpaceDN/>
              <w:adjustRightInd/>
              <w:spacing w:line="240" w:lineRule="auto"/>
              <w:rPr>
                <w:color w:val="000000"/>
              </w:rPr>
            </w:pPr>
            <w:r w:rsidRPr="00170EFF">
              <w:rPr>
                <w:color w:val="000000"/>
              </w:rPr>
              <w:t> </w:t>
            </w:r>
          </w:p>
        </w:tc>
        <w:tc>
          <w:tcPr>
            <w:tcW w:w="1890" w:type="dxa"/>
            <w:tcBorders>
              <w:top w:val="nil"/>
              <w:left w:val="nil"/>
              <w:bottom w:val="single" w:sz="4" w:space="0" w:color="auto"/>
              <w:right w:val="single" w:sz="4" w:space="0" w:color="auto"/>
            </w:tcBorders>
            <w:shd w:val="clear" w:color="auto" w:fill="auto"/>
            <w:hideMark/>
          </w:tcPr>
          <w:p w14:paraId="27D029FB" w14:textId="77777777" w:rsidR="00007702" w:rsidRPr="00473906" w:rsidRDefault="00007702" w:rsidP="00FF0EE8">
            <w:pPr>
              <w:keepNext/>
              <w:autoSpaceDE/>
              <w:autoSpaceDN/>
              <w:adjustRightInd/>
              <w:spacing w:line="240" w:lineRule="auto"/>
              <w:rPr>
                <w:rFonts w:eastAsia="Times New Roman"/>
                <w:color w:val="000000"/>
              </w:rPr>
            </w:pPr>
          </w:p>
        </w:tc>
        <w:tc>
          <w:tcPr>
            <w:tcW w:w="1890" w:type="dxa"/>
            <w:tcBorders>
              <w:top w:val="nil"/>
              <w:left w:val="nil"/>
              <w:bottom w:val="single" w:sz="4" w:space="0" w:color="auto"/>
              <w:right w:val="single" w:sz="4" w:space="0" w:color="auto"/>
            </w:tcBorders>
            <w:shd w:val="clear" w:color="auto" w:fill="auto"/>
            <w:hideMark/>
          </w:tcPr>
          <w:p w14:paraId="77E738F4" w14:textId="77777777" w:rsidR="00007702" w:rsidRPr="00FC2937" w:rsidRDefault="00007702" w:rsidP="00FF0EE8">
            <w:pPr>
              <w:keepNext/>
              <w:autoSpaceDE/>
              <w:autoSpaceDN/>
              <w:adjustRightInd/>
              <w:spacing w:line="240" w:lineRule="auto"/>
              <w:rPr>
                <w:rFonts w:eastAsia="Times New Roman"/>
                <w:color w:val="000000"/>
              </w:rPr>
            </w:pPr>
          </w:p>
        </w:tc>
        <w:tc>
          <w:tcPr>
            <w:tcW w:w="1805" w:type="dxa"/>
            <w:tcBorders>
              <w:top w:val="nil"/>
              <w:left w:val="nil"/>
              <w:bottom w:val="single" w:sz="4" w:space="0" w:color="auto"/>
              <w:right w:val="single" w:sz="4" w:space="0" w:color="auto"/>
            </w:tcBorders>
            <w:shd w:val="clear" w:color="auto" w:fill="auto"/>
            <w:hideMark/>
          </w:tcPr>
          <w:p w14:paraId="7C80E05F" w14:textId="77777777" w:rsidR="00007702" w:rsidRPr="00170EFF" w:rsidRDefault="00007702" w:rsidP="00FF0EE8">
            <w:pPr>
              <w:keepNext/>
              <w:autoSpaceDE/>
              <w:autoSpaceDN/>
              <w:adjustRightInd/>
              <w:spacing w:line="240" w:lineRule="auto"/>
              <w:jc w:val="center"/>
              <w:rPr>
                <w:color w:val="000000"/>
              </w:rPr>
            </w:pPr>
          </w:p>
        </w:tc>
      </w:tr>
      <w:tr w:rsidR="00007702" w:rsidRPr="006A18BF" w14:paraId="7067E115" w14:textId="77777777" w:rsidTr="005718AE">
        <w:trPr>
          <w:trHeight w:val="288"/>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70BD8A5" w14:textId="77777777" w:rsidR="00007702" w:rsidRPr="00170EFF" w:rsidRDefault="00007702" w:rsidP="00FF0EE8">
            <w:pPr>
              <w:keepNext/>
              <w:autoSpaceDE/>
              <w:autoSpaceDN/>
              <w:adjustRightInd/>
              <w:spacing w:line="240" w:lineRule="auto"/>
              <w:jc w:val="right"/>
              <w:rPr>
                <w:b/>
                <w:color w:val="000000"/>
              </w:rPr>
            </w:pPr>
            <w:r w:rsidRPr="00170EFF">
              <w:rPr>
                <w:b/>
                <w:color w:val="000000"/>
              </w:rPr>
              <w:t>Net Benefit</w:t>
            </w:r>
          </w:p>
        </w:tc>
        <w:tc>
          <w:tcPr>
            <w:tcW w:w="1890" w:type="dxa"/>
            <w:tcBorders>
              <w:top w:val="nil"/>
              <w:left w:val="nil"/>
              <w:bottom w:val="single" w:sz="4" w:space="0" w:color="auto"/>
              <w:right w:val="single" w:sz="4" w:space="0" w:color="auto"/>
            </w:tcBorders>
            <w:shd w:val="clear" w:color="auto" w:fill="auto"/>
            <w:hideMark/>
          </w:tcPr>
          <w:p w14:paraId="6C82D4A1" w14:textId="4BEBC235" w:rsidR="00007702" w:rsidRPr="00007702" w:rsidRDefault="00007702" w:rsidP="00FF0EE8">
            <w:pPr>
              <w:keepNext/>
              <w:autoSpaceDE/>
              <w:autoSpaceDN/>
              <w:adjustRightInd/>
              <w:spacing w:line="240" w:lineRule="auto"/>
              <w:jc w:val="right"/>
              <w:rPr>
                <w:b/>
                <w:color w:val="000000"/>
              </w:rPr>
            </w:pPr>
            <w:r w:rsidRPr="00007702">
              <w:rPr>
                <w:b/>
              </w:rPr>
              <w:t xml:space="preserve">$6,176,000 </w:t>
            </w:r>
          </w:p>
        </w:tc>
        <w:tc>
          <w:tcPr>
            <w:tcW w:w="1890" w:type="dxa"/>
            <w:tcBorders>
              <w:top w:val="nil"/>
              <w:left w:val="nil"/>
              <w:bottom w:val="single" w:sz="4" w:space="0" w:color="auto"/>
              <w:right w:val="single" w:sz="4" w:space="0" w:color="auto"/>
            </w:tcBorders>
            <w:shd w:val="clear" w:color="auto" w:fill="auto"/>
            <w:hideMark/>
          </w:tcPr>
          <w:p w14:paraId="72242882" w14:textId="7082B679" w:rsidR="00007702" w:rsidRPr="00007702" w:rsidRDefault="00007702" w:rsidP="00FF0EE8">
            <w:pPr>
              <w:keepNext/>
              <w:autoSpaceDE/>
              <w:autoSpaceDN/>
              <w:adjustRightInd/>
              <w:spacing w:line="240" w:lineRule="auto"/>
              <w:jc w:val="right"/>
              <w:rPr>
                <w:b/>
                <w:color w:val="000000"/>
              </w:rPr>
            </w:pPr>
            <w:r w:rsidRPr="00007702">
              <w:rPr>
                <w:b/>
              </w:rPr>
              <w:t xml:space="preserve">$4,933,873 </w:t>
            </w:r>
          </w:p>
        </w:tc>
        <w:tc>
          <w:tcPr>
            <w:tcW w:w="1805" w:type="dxa"/>
            <w:tcBorders>
              <w:top w:val="nil"/>
              <w:left w:val="nil"/>
              <w:bottom w:val="single" w:sz="4" w:space="0" w:color="auto"/>
              <w:right w:val="single" w:sz="4" w:space="0" w:color="auto"/>
            </w:tcBorders>
            <w:shd w:val="clear" w:color="auto" w:fill="auto"/>
            <w:hideMark/>
          </w:tcPr>
          <w:p w14:paraId="70330586" w14:textId="3731D77D" w:rsidR="00007702" w:rsidRPr="00170EFF" w:rsidRDefault="00007702" w:rsidP="00FF0EE8">
            <w:pPr>
              <w:keepNext/>
              <w:autoSpaceDE/>
              <w:autoSpaceDN/>
              <w:adjustRightInd/>
              <w:spacing w:line="240" w:lineRule="auto"/>
              <w:jc w:val="center"/>
              <w:rPr>
                <w:b/>
                <w:color w:val="000000"/>
              </w:rPr>
            </w:pPr>
            <w:r w:rsidRPr="00A204B6">
              <w:t>20%</w:t>
            </w:r>
          </w:p>
        </w:tc>
      </w:tr>
    </w:tbl>
    <w:p w14:paraId="5C32E920" w14:textId="447E3318" w:rsidR="006A18BF" w:rsidRPr="006A18BF" w:rsidRDefault="006A18BF" w:rsidP="00FF0EE8">
      <w:pPr>
        <w:spacing w:line="240" w:lineRule="auto"/>
        <w:ind w:left="180" w:hanging="180"/>
        <w:rPr>
          <w:sz w:val="20"/>
        </w:rPr>
      </w:pPr>
      <w:r w:rsidRPr="006A18BF">
        <w:rPr>
          <w:sz w:val="20"/>
          <w:vertAlign w:val="superscript"/>
        </w:rPr>
        <w:t>a</w:t>
      </w:r>
      <w:r w:rsidRPr="006A18BF">
        <w:rPr>
          <w:sz w:val="20"/>
        </w:rPr>
        <w:tab/>
      </w:r>
      <w:r w:rsidR="001651E9">
        <w:rPr>
          <w:sz w:val="20"/>
        </w:rPr>
        <w:t>NM = n</w:t>
      </w:r>
      <w:r w:rsidRPr="006A18BF">
        <w:rPr>
          <w:sz w:val="20"/>
        </w:rPr>
        <w:t>ot meaningful</w:t>
      </w:r>
    </w:p>
    <w:p w14:paraId="28264C44" w14:textId="77777777" w:rsidR="00F42E5A" w:rsidRPr="0028294D" w:rsidRDefault="00F00E40" w:rsidP="00FF0EE8">
      <w:pPr>
        <w:pStyle w:val="Heading2"/>
        <w:spacing w:line="240" w:lineRule="auto"/>
        <w:ind w:left="450"/>
      </w:pPr>
      <w:bookmarkStart w:id="271" w:name="_Toc462224980"/>
      <w:bookmarkStart w:id="272" w:name="_Toc468875939"/>
      <w:r>
        <w:t>Summary</w:t>
      </w:r>
      <w:bookmarkEnd w:id="271"/>
      <w:bookmarkEnd w:id="272"/>
    </w:p>
    <w:p w14:paraId="604885CC" w14:textId="77777777" w:rsidR="00084F04" w:rsidRDefault="00084F04" w:rsidP="00FF0EE8">
      <w:pPr>
        <w:keepNext/>
        <w:spacing w:line="240" w:lineRule="auto"/>
      </w:pPr>
    </w:p>
    <w:p w14:paraId="5941CCAF" w14:textId="24B4B5D0" w:rsidR="003A133F" w:rsidRDefault="001651E9" w:rsidP="00FF0EE8">
      <w:pPr>
        <w:spacing w:line="240" w:lineRule="auto"/>
      </w:pPr>
      <w:r>
        <w:t>To determine a net integrated benefit</w:t>
      </w:r>
      <w:r>
        <w:noBreakHyphen/>
        <w:t>cost figure, t</w:t>
      </w:r>
      <w:r w:rsidR="00F92D8C">
        <w:t xml:space="preserve">his </w:t>
      </w:r>
      <w:r w:rsidR="004C1341">
        <w:t xml:space="preserve">regulatory </w:t>
      </w:r>
      <w:r w:rsidR="00F92D8C">
        <w:t>analysis identifie</w:t>
      </w:r>
      <w:r w:rsidR="008F4423">
        <w:t>s and integrates</w:t>
      </w:r>
      <w:r w:rsidR="00F92D8C">
        <w:t xml:space="preserve"> both quantifiable and nonquantifiable benefits </w:t>
      </w:r>
      <w:r w:rsidR="00F00E40">
        <w:t xml:space="preserve">and costs </w:t>
      </w:r>
      <w:r w:rsidR="00F92D8C">
        <w:t xml:space="preserve">that will emerge from </w:t>
      </w:r>
      <w:r w:rsidR="00F92D8C" w:rsidRPr="00BD3549">
        <w:t xml:space="preserve">incorporating the most recent </w:t>
      </w:r>
      <w:r w:rsidR="00631CEE">
        <w:t>RG</w:t>
      </w:r>
      <w:r w:rsidR="00F92D8C" w:rsidRPr="00BD3549">
        <w:t xml:space="preserve">s </w:t>
      </w:r>
      <w:r w:rsidR="00631CEE">
        <w:t xml:space="preserve">that </w:t>
      </w:r>
      <w:r w:rsidR="00F92D8C" w:rsidRPr="00BD3549">
        <w:t xml:space="preserve">list </w:t>
      </w:r>
      <w:r w:rsidR="00BA5A76">
        <w:t xml:space="preserve">the </w:t>
      </w:r>
      <w:r w:rsidR="00F92D8C" w:rsidRPr="00BD3549">
        <w:t>NRC</w:t>
      </w:r>
      <w:r w:rsidR="00631CEE">
        <w:noBreakHyphen/>
      </w:r>
      <w:r w:rsidR="00F92D8C" w:rsidRPr="00BD3549">
        <w:t xml:space="preserve">approved </w:t>
      </w:r>
      <w:r w:rsidR="00AE121B">
        <w:t>Code Cases</w:t>
      </w:r>
      <w:r w:rsidR="00F92D8C" w:rsidRPr="00BD3549">
        <w:t xml:space="preserve"> by reference into the</w:t>
      </w:r>
      <w:r w:rsidR="00F92D8C" w:rsidRPr="00BD3549">
        <w:rPr>
          <w:i/>
        </w:rPr>
        <w:t xml:space="preserve"> Code of Federal Regulations</w:t>
      </w:r>
      <w:r w:rsidR="004C1341">
        <w:t>.</w:t>
      </w:r>
    </w:p>
    <w:p w14:paraId="4C562CCA" w14:textId="77777777" w:rsidR="0052082A" w:rsidRPr="00140A50" w:rsidRDefault="00FC2937" w:rsidP="00FF0EE8">
      <w:pPr>
        <w:pStyle w:val="Heading3"/>
        <w:spacing w:line="240" w:lineRule="auto"/>
        <w:ind w:left="720" w:hanging="684"/>
      </w:pPr>
      <w:bookmarkStart w:id="273" w:name="_Toc414345536"/>
      <w:bookmarkStart w:id="274" w:name="_Toc414345914"/>
      <w:bookmarkStart w:id="275" w:name="_Toc414346132"/>
      <w:bookmarkStart w:id="276" w:name="_Toc414345537"/>
      <w:bookmarkStart w:id="277" w:name="_Toc414345915"/>
      <w:bookmarkStart w:id="278" w:name="_Toc414346133"/>
      <w:bookmarkEnd w:id="273"/>
      <w:bookmarkEnd w:id="274"/>
      <w:bookmarkEnd w:id="275"/>
      <w:bookmarkEnd w:id="276"/>
      <w:bookmarkEnd w:id="277"/>
      <w:bookmarkEnd w:id="278"/>
      <w:r>
        <w:t xml:space="preserve"> </w:t>
      </w:r>
      <w:bookmarkStart w:id="279" w:name="_Toc462224981"/>
      <w:bookmarkStart w:id="280" w:name="_Toc468875940"/>
      <w:r w:rsidR="0052082A" w:rsidRPr="00140A50">
        <w:t>Quantified Net Benefit</w:t>
      </w:r>
      <w:bookmarkEnd w:id="279"/>
      <w:bookmarkEnd w:id="280"/>
      <w:r w:rsidR="0052082A" w:rsidRPr="00140A50">
        <w:t xml:space="preserve"> </w:t>
      </w:r>
    </w:p>
    <w:p w14:paraId="21012BB5" w14:textId="77777777" w:rsidR="0052082A" w:rsidRPr="0052082A" w:rsidRDefault="0052082A" w:rsidP="00FF0EE8">
      <w:pPr>
        <w:keepNext/>
        <w:spacing w:line="240" w:lineRule="auto"/>
      </w:pPr>
    </w:p>
    <w:p w14:paraId="44F68EED" w14:textId="262962F2" w:rsidR="00A95288" w:rsidRDefault="003A6D55" w:rsidP="00FF0EE8">
      <w:pPr>
        <w:spacing w:line="240" w:lineRule="auto"/>
      </w:pPr>
      <w:r w:rsidRPr="000D50A2">
        <w:fldChar w:fldCharType="begin"/>
      </w:r>
      <w:r w:rsidRPr="000D50A2">
        <w:instrText xml:space="preserve"> REF _Ref420421576 \h </w:instrText>
      </w:r>
      <w:r w:rsidR="00C66123" w:rsidRPr="00D557C2">
        <w:instrText xml:space="preserve"> \* MERGEFORMAT </w:instrText>
      </w:r>
      <w:r w:rsidRPr="000D50A2">
        <w:fldChar w:fldCharType="separate"/>
      </w:r>
      <w:r w:rsidR="00FD3AB6" w:rsidRPr="00FD3AB6">
        <w:t xml:space="preserve">Table </w:t>
      </w:r>
      <w:r w:rsidR="00FD3AB6" w:rsidRPr="00FD3AB6">
        <w:rPr>
          <w:noProof/>
        </w:rPr>
        <w:t>23</w:t>
      </w:r>
      <w:r w:rsidRPr="000D50A2">
        <w:fldChar w:fldCharType="end"/>
      </w:r>
      <w:r w:rsidR="00631CEE" w:rsidRPr="006E5706">
        <w:t xml:space="preserve"> show</w:t>
      </w:r>
      <w:r w:rsidR="00631CEE">
        <w:t>s that,</w:t>
      </w:r>
      <w:r w:rsidR="00F42E5A" w:rsidRPr="00E13C6C">
        <w:t xml:space="preserve"> </w:t>
      </w:r>
      <w:r w:rsidR="00631CEE">
        <w:t xml:space="preserve">based on </w:t>
      </w:r>
      <w:r w:rsidR="00F42E5A" w:rsidRPr="00E13C6C">
        <w:t xml:space="preserve">the estimated total </w:t>
      </w:r>
      <w:r w:rsidR="003617C0">
        <w:t>net benefit</w:t>
      </w:r>
      <w:r w:rsidR="00F42E5A" w:rsidRPr="00E13C6C">
        <w:t xml:space="preserve"> for alternative</w:t>
      </w:r>
      <w:r w:rsidR="00631CEE">
        <w:t> </w:t>
      </w:r>
      <w:r w:rsidR="00F42E5A" w:rsidRPr="00E13C6C">
        <w:t>2 relative to the regulatory baseline</w:t>
      </w:r>
      <w:r w:rsidR="00F42E5A">
        <w:t xml:space="preserve"> </w:t>
      </w:r>
      <w:r w:rsidR="00F00E40">
        <w:t xml:space="preserve">over the </w:t>
      </w:r>
      <w:r w:rsidR="006B3DAF">
        <w:t>six</w:t>
      </w:r>
      <w:r w:rsidR="00F00E40">
        <w:t xml:space="preserve"> year timeframe of the alternative, the quantitative </w:t>
      </w:r>
      <w:r w:rsidR="003617C0">
        <w:t>benefit</w:t>
      </w:r>
      <w:r w:rsidR="00631CEE">
        <w:t>s</w:t>
      </w:r>
      <w:r w:rsidR="009214BD">
        <w:t xml:space="preserve"> </w:t>
      </w:r>
      <w:r w:rsidR="00F00E40">
        <w:t xml:space="preserve">outweigh the </w:t>
      </w:r>
      <w:r w:rsidR="003617C0">
        <w:t>costs</w:t>
      </w:r>
      <w:r w:rsidR="009214BD">
        <w:t xml:space="preserve"> </w:t>
      </w:r>
      <w:r w:rsidR="0052082A">
        <w:t xml:space="preserve">by a </w:t>
      </w:r>
      <w:r w:rsidR="00F42E5A">
        <w:t xml:space="preserve">range </w:t>
      </w:r>
      <w:r w:rsidR="00631CEE">
        <w:t xml:space="preserve">of </w:t>
      </w:r>
      <w:r w:rsidR="0052082A">
        <w:t xml:space="preserve">approximately </w:t>
      </w:r>
      <w:r w:rsidR="009214BD">
        <w:t>$</w:t>
      </w:r>
      <w:r w:rsidR="00D26359">
        <w:t>4.93</w:t>
      </w:r>
      <w:r w:rsidR="00631CEE">
        <w:t> </w:t>
      </w:r>
      <w:r w:rsidR="000D0BCB">
        <w:t>million</w:t>
      </w:r>
      <w:r w:rsidR="00D07194">
        <w:t xml:space="preserve"> (</w:t>
      </w:r>
      <w:r w:rsidR="0082432D">
        <w:t>7</w:t>
      </w:r>
      <w:r w:rsidR="00631CEE">
        <w:noBreakHyphen/>
      </w:r>
      <w:r w:rsidR="0082432D">
        <w:t>percent</w:t>
      </w:r>
      <w:r w:rsidR="00D07194">
        <w:t xml:space="preserve"> NPV) </w:t>
      </w:r>
      <w:r w:rsidR="0052082A">
        <w:t>to $</w:t>
      </w:r>
      <w:r w:rsidR="00D26359">
        <w:t>5.68</w:t>
      </w:r>
      <w:r w:rsidR="00631CEE">
        <w:t> </w:t>
      </w:r>
      <w:r w:rsidR="000D0BCB">
        <w:t>million</w:t>
      </w:r>
      <w:r w:rsidR="0052082A">
        <w:t xml:space="preserve"> (</w:t>
      </w:r>
      <w:r w:rsidR="0082432D">
        <w:t>3</w:t>
      </w:r>
      <w:r w:rsidR="00631CEE">
        <w:noBreakHyphen/>
      </w:r>
      <w:r w:rsidR="0082432D">
        <w:t>percent</w:t>
      </w:r>
      <w:r w:rsidR="00500F67">
        <w:t> </w:t>
      </w:r>
      <w:r w:rsidR="0052082A">
        <w:t>NPV)</w:t>
      </w:r>
      <w:bookmarkStart w:id="281" w:name="_Ref386635458"/>
      <w:r w:rsidR="00B232D1">
        <w:t>.</w:t>
      </w:r>
    </w:p>
    <w:p w14:paraId="41D60193" w14:textId="77777777" w:rsidR="00A23DEA" w:rsidRDefault="00A23DEA" w:rsidP="00FF0EE8">
      <w:pPr>
        <w:spacing w:line="240" w:lineRule="auto"/>
        <w:rPr>
          <w:bCs/>
        </w:rPr>
      </w:pPr>
    </w:p>
    <w:p w14:paraId="4A073852" w14:textId="08D700DE" w:rsidR="00811154" w:rsidRPr="00170EFF" w:rsidRDefault="00811154" w:rsidP="00FF0EE8">
      <w:pPr>
        <w:pStyle w:val="Caption"/>
        <w:spacing w:line="240" w:lineRule="auto"/>
        <w:ind w:left="1080" w:hanging="1080"/>
        <w:jc w:val="center"/>
        <w:rPr>
          <w:b/>
        </w:rPr>
      </w:pPr>
      <w:bookmarkStart w:id="282" w:name="_Ref420421576"/>
      <w:bookmarkStart w:id="283" w:name="_Toc467508512"/>
      <w:bookmarkStart w:id="284" w:name="_Toc462225018"/>
      <w:bookmarkEnd w:id="281"/>
      <w:r w:rsidRPr="00170EFF">
        <w:rPr>
          <w:b/>
        </w:rPr>
        <w:t xml:space="preserve">Table </w:t>
      </w:r>
      <w:r w:rsidR="00782423" w:rsidRPr="00170EFF">
        <w:rPr>
          <w:b/>
        </w:rPr>
        <w:fldChar w:fldCharType="begin"/>
      </w:r>
      <w:r w:rsidR="00782423" w:rsidRPr="00170EFF">
        <w:rPr>
          <w:b/>
        </w:rPr>
        <w:instrText xml:space="preserve"> SEQ Table \* ARABIC </w:instrText>
      </w:r>
      <w:r w:rsidR="00782423" w:rsidRPr="00170EFF">
        <w:rPr>
          <w:b/>
        </w:rPr>
        <w:fldChar w:fldCharType="separate"/>
      </w:r>
      <w:r w:rsidR="00FD3AB6">
        <w:rPr>
          <w:b/>
          <w:noProof/>
        </w:rPr>
        <w:t>23</w:t>
      </w:r>
      <w:r w:rsidR="00782423" w:rsidRPr="00170EFF">
        <w:rPr>
          <w:b/>
        </w:rPr>
        <w:fldChar w:fldCharType="end"/>
      </w:r>
      <w:bookmarkEnd w:id="282"/>
      <w:r w:rsidR="00A73328" w:rsidRPr="00D557C2">
        <w:rPr>
          <w:b/>
        </w:rPr>
        <w:t xml:space="preserve">  </w:t>
      </w:r>
      <w:r w:rsidRPr="00170EFF">
        <w:rPr>
          <w:b/>
        </w:rPr>
        <w:t>Total Net Benefits and Costs</w:t>
      </w:r>
      <w:bookmarkEnd w:id="283"/>
      <w:bookmarkEnd w:id="284"/>
    </w:p>
    <w:tbl>
      <w:tblPr>
        <w:tblW w:w="9360" w:type="dxa"/>
        <w:jc w:val="center"/>
        <w:tblLook w:val="04A0" w:firstRow="1" w:lastRow="0" w:firstColumn="1" w:lastColumn="0" w:noHBand="0" w:noVBand="1"/>
      </w:tblPr>
      <w:tblGrid>
        <w:gridCol w:w="3001"/>
        <w:gridCol w:w="2161"/>
        <w:gridCol w:w="2099"/>
        <w:gridCol w:w="2099"/>
      </w:tblGrid>
      <w:tr w:rsidR="00CE1D08" w:rsidRPr="00CE1D08" w14:paraId="217F22CB" w14:textId="77777777" w:rsidTr="00007702">
        <w:trPr>
          <w:trHeight w:val="288"/>
          <w:jc w:val="center"/>
        </w:trPr>
        <w:tc>
          <w:tcPr>
            <w:tcW w:w="300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2088C6A" w14:textId="77777777" w:rsidR="00CE1D08" w:rsidRPr="00170EFF" w:rsidRDefault="00CE1D08" w:rsidP="00FF0EE8">
            <w:pPr>
              <w:keepNext/>
              <w:autoSpaceDE/>
              <w:autoSpaceDN/>
              <w:adjustRightInd/>
              <w:spacing w:line="240" w:lineRule="auto"/>
              <w:jc w:val="center"/>
              <w:rPr>
                <w:b/>
                <w:color w:val="000000"/>
              </w:rPr>
            </w:pPr>
            <w:r w:rsidRPr="00170EFF">
              <w:rPr>
                <w:b/>
                <w:color w:val="000000"/>
              </w:rPr>
              <w:t>Attribute</w:t>
            </w:r>
          </w:p>
        </w:tc>
        <w:tc>
          <w:tcPr>
            <w:tcW w:w="6359" w:type="dxa"/>
            <w:gridSpan w:val="3"/>
            <w:tcBorders>
              <w:top w:val="single" w:sz="4" w:space="0" w:color="auto"/>
              <w:left w:val="nil"/>
              <w:bottom w:val="single" w:sz="4" w:space="0" w:color="auto"/>
              <w:right w:val="single" w:sz="4" w:space="0" w:color="auto"/>
            </w:tcBorders>
            <w:shd w:val="clear" w:color="auto" w:fill="auto"/>
            <w:noWrap/>
            <w:hideMark/>
          </w:tcPr>
          <w:p w14:paraId="6CFF8430" w14:textId="77777777" w:rsidR="00CE1D08" w:rsidRPr="00170EFF" w:rsidRDefault="00CE1D08" w:rsidP="00FF0EE8">
            <w:pPr>
              <w:keepNext/>
              <w:autoSpaceDE/>
              <w:autoSpaceDN/>
              <w:adjustRightInd/>
              <w:spacing w:line="240" w:lineRule="auto"/>
              <w:jc w:val="center"/>
              <w:rPr>
                <w:b/>
                <w:color w:val="000000"/>
              </w:rPr>
            </w:pPr>
            <w:r w:rsidRPr="00170EFF">
              <w:rPr>
                <w:b/>
                <w:color w:val="000000"/>
              </w:rPr>
              <w:t>Total Averted Costs (Costs)</w:t>
            </w:r>
          </w:p>
        </w:tc>
      </w:tr>
      <w:tr w:rsidR="00602B86" w:rsidRPr="00CE1D08" w14:paraId="40A406B4" w14:textId="77777777" w:rsidTr="00007702">
        <w:trPr>
          <w:trHeight w:val="288"/>
          <w:jc w:val="center"/>
        </w:trPr>
        <w:tc>
          <w:tcPr>
            <w:tcW w:w="3001" w:type="dxa"/>
            <w:vMerge/>
            <w:tcBorders>
              <w:top w:val="single" w:sz="4" w:space="0" w:color="auto"/>
              <w:left w:val="single" w:sz="4" w:space="0" w:color="auto"/>
              <w:bottom w:val="single" w:sz="4" w:space="0" w:color="000000"/>
              <w:right w:val="single" w:sz="4" w:space="0" w:color="auto"/>
            </w:tcBorders>
            <w:hideMark/>
          </w:tcPr>
          <w:p w14:paraId="25669B3E" w14:textId="77777777" w:rsidR="00CE1D08" w:rsidRPr="00170EFF" w:rsidRDefault="00CE1D08" w:rsidP="00FF0EE8">
            <w:pPr>
              <w:keepNext/>
              <w:autoSpaceDE/>
              <w:autoSpaceDN/>
              <w:adjustRightInd/>
              <w:spacing w:line="240" w:lineRule="auto"/>
              <w:jc w:val="center"/>
              <w:rPr>
                <w:b/>
                <w:color w:val="000000"/>
              </w:rPr>
            </w:pPr>
          </w:p>
        </w:tc>
        <w:tc>
          <w:tcPr>
            <w:tcW w:w="2161" w:type="dxa"/>
            <w:tcBorders>
              <w:top w:val="nil"/>
              <w:left w:val="nil"/>
              <w:bottom w:val="single" w:sz="4" w:space="0" w:color="auto"/>
              <w:right w:val="single" w:sz="4" w:space="0" w:color="auto"/>
            </w:tcBorders>
            <w:shd w:val="clear" w:color="auto" w:fill="auto"/>
            <w:noWrap/>
            <w:hideMark/>
          </w:tcPr>
          <w:p w14:paraId="6C5E56AA" w14:textId="77777777" w:rsidR="00CE1D08" w:rsidRPr="00170EFF" w:rsidRDefault="00CE1D08" w:rsidP="00FF0EE8">
            <w:pPr>
              <w:keepNext/>
              <w:autoSpaceDE/>
              <w:autoSpaceDN/>
              <w:adjustRightInd/>
              <w:spacing w:line="240" w:lineRule="auto"/>
              <w:jc w:val="center"/>
              <w:rPr>
                <w:b/>
                <w:color w:val="000000"/>
              </w:rPr>
            </w:pPr>
            <w:r w:rsidRPr="00170EFF">
              <w:rPr>
                <w:b/>
                <w:color w:val="000000"/>
              </w:rPr>
              <w:t>Undiscounted</w:t>
            </w:r>
          </w:p>
        </w:tc>
        <w:tc>
          <w:tcPr>
            <w:tcW w:w="2099" w:type="dxa"/>
            <w:tcBorders>
              <w:top w:val="nil"/>
              <w:left w:val="nil"/>
              <w:bottom w:val="single" w:sz="4" w:space="0" w:color="auto"/>
              <w:right w:val="single" w:sz="4" w:space="0" w:color="auto"/>
            </w:tcBorders>
            <w:shd w:val="clear" w:color="auto" w:fill="auto"/>
            <w:noWrap/>
            <w:hideMark/>
          </w:tcPr>
          <w:p w14:paraId="7A2F99FC" w14:textId="77777777" w:rsidR="00CE1D08" w:rsidRPr="00170EFF" w:rsidRDefault="00CE1D08" w:rsidP="00FF0EE8">
            <w:pPr>
              <w:keepNext/>
              <w:autoSpaceDE/>
              <w:autoSpaceDN/>
              <w:adjustRightInd/>
              <w:spacing w:line="240" w:lineRule="auto"/>
              <w:jc w:val="center"/>
              <w:rPr>
                <w:b/>
                <w:color w:val="000000"/>
              </w:rPr>
            </w:pPr>
            <w:r w:rsidRPr="00170EFF">
              <w:rPr>
                <w:b/>
                <w:color w:val="000000"/>
              </w:rPr>
              <w:t>7% NPV</w:t>
            </w:r>
          </w:p>
        </w:tc>
        <w:tc>
          <w:tcPr>
            <w:tcW w:w="2099" w:type="dxa"/>
            <w:tcBorders>
              <w:top w:val="nil"/>
              <w:left w:val="nil"/>
              <w:bottom w:val="single" w:sz="4" w:space="0" w:color="auto"/>
              <w:right w:val="single" w:sz="4" w:space="0" w:color="auto"/>
            </w:tcBorders>
            <w:shd w:val="clear" w:color="auto" w:fill="auto"/>
            <w:noWrap/>
            <w:hideMark/>
          </w:tcPr>
          <w:p w14:paraId="0F335DD9" w14:textId="77777777" w:rsidR="00CE1D08" w:rsidRPr="00170EFF" w:rsidRDefault="00CE1D08" w:rsidP="00FF0EE8">
            <w:pPr>
              <w:keepNext/>
              <w:autoSpaceDE/>
              <w:autoSpaceDN/>
              <w:adjustRightInd/>
              <w:spacing w:line="240" w:lineRule="auto"/>
              <w:jc w:val="center"/>
              <w:rPr>
                <w:b/>
                <w:color w:val="000000"/>
              </w:rPr>
            </w:pPr>
            <w:r w:rsidRPr="00170EFF">
              <w:rPr>
                <w:b/>
                <w:color w:val="000000"/>
              </w:rPr>
              <w:t>3% NPV</w:t>
            </w:r>
          </w:p>
        </w:tc>
      </w:tr>
      <w:tr w:rsidR="00007702" w:rsidRPr="00CE1D08" w14:paraId="63E26A4B" w14:textId="77777777" w:rsidTr="00007702">
        <w:trPr>
          <w:trHeight w:val="288"/>
          <w:jc w:val="center"/>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6FA1FC0F" w14:textId="77777777" w:rsidR="00007702" w:rsidRPr="00170EFF" w:rsidRDefault="00007702" w:rsidP="00FF0EE8">
            <w:pPr>
              <w:keepNext/>
              <w:autoSpaceDE/>
              <w:autoSpaceDN/>
              <w:adjustRightInd/>
              <w:spacing w:line="240" w:lineRule="auto"/>
            </w:pPr>
            <w:r w:rsidRPr="00170EFF">
              <w:t>Industry Implementation</w:t>
            </w:r>
          </w:p>
        </w:tc>
        <w:tc>
          <w:tcPr>
            <w:tcW w:w="2161" w:type="dxa"/>
            <w:tcBorders>
              <w:top w:val="nil"/>
              <w:left w:val="nil"/>
              <w:bottom w:val="single" w:sz="4" w:space="0" w:color="auto"/>
              <w:right w:val="single" w:sz="4" w:space="0" w:color="auto"/>
            </w:tcBorders>
            <w:shd w:val="clear" w:color="auto" w:fill="auto"/>
            <w:hideMark/>
          </w:tcPr>
          <w:p w14:paraId="344FAF08" w14:textId="7A24DC9D" w:rsidR="00007702" w:rsidRPr="00170EFF" w:rsidRDefault="003E713B" w:rsidP="00FF0EE8">
            <w:pPr>
              <w:keepNext/>
              <w:autoSpaceDE/>
              <w:autoSpaceDN/>
              <w:adjustRightInd/>
              <w:spacing w:line="240" w:lineRule="auto"/>
              <w:jc w:val="right"/>
            </w:pPr>
            <w:r>
              <w:t>($1,759,000</w:t>
            </w:r>
            <w:r w:rsidR="00007702" w:rsidRPr="0006702B">
              <w:t>)</w:t>
            </w:r>
          </w:p>
        </w:tc>
        <w:tc>
          <w:tcPr>
            <w:tcW w:w="2099" w:type="dxa"/>
            <w:tcBorders>
              <w:top w:val="nil"/>
              <w:left w:val="nil"/>
              <w:bottom w:val="single" w:sz="4" w:space="0" w:color="auto"/>
              <w:right w:val="single" w:sz="4" w:space="0" w:color="auto"/>
            </w:tcBorders>
            <w:shd w:val="clear" w:color="auto" w:fill="auto"/>
            <w:hideMark/>
          </w:tcPr>
          <w:p w14:paraId="6FFA88D1" w14:textId="02C86851" w:rsidR="00007702" w:rsidRPr="00170EFF" w:rsidRDefault="003E713B" w:rsidP="00FF0EE8">
            <w:pPr>
              <w:keepNext/>
              <w:autoSpaceDE/>
              <w:autoSpaceDN/>
              <w:adjustRightInd/>
              <w:spacing w:line="240" w:lineRule="auto"/>
              <w:jc w:val="right"/>
            </w:pPr>
            <w:r>
              <w:t>($1,759,000</w:t>
            </w:r>
            <w:r w:rsidR="00007702" w:rsidRPr="0006702B">
              <w:t>)</w:t>
            </w:r>
          </w:p>
        </w:tc>
        <w:tc>
          <w:tcPr>
            <w:tcW w:w="2099" w:type="dxa"/>
            <w:tcBorders>
              <w:top w:val="nil"/>
              <w:left w:val="nil"/>
              <w:bottom w:val="single" w:sz="4" w:space="0" w:color="auto"/>
              <w:right w:val="single" w:sz="4" w:space="0" w:color="auto"/>
            </w:tcBorders>
            <w:shd w:val="clear" w:color="auto" w:fill="auto"/>
            <w:hideMark/>
          </w:tcPr>
          <w:p w14:paraId="795F9BA1" w14:textId="6D27523E" w:rsidR="00007702" w:rsidRPr="00170EFF" w:rsidRDefault="003E713B" w:rsidP="00FF0EE8">
            <w:pPr>
              <w:keepNext/>
              <w:autoSpaceDE/>
              <w:autoSpaceDN/>
              <w:adjustRightInd/>
              <w:spacing w:line="240" w:lineRule="auto"/>
              <w:jc w:val="right"/>
            </w:pPr>
            <w:r>
              <w:t>($1,759,000</w:t>
            </w:r>
            <w:r w:rsidR="00007702" w:rsidRPr="0006702B">
              <w:t>)</w:t>
            </w:r>
          </w:p>
        </w:tc>
      </w:tr>
      <w:tr w:rsidR="00007702" w:rsidRPr="00CE1D08" w14:paraId="273A8670" w14:textId="77777777" w:rsidTr="00007702">
        <w:trPr>
          <w:trHeight w:val="288"/>
          <w:jc w:val="center"/>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0014B45D" w14:textId="77777777" w:rsidR="00007702" w:rsidRPr="00170EFF" w:rsidRDefault="00007702" w:rsidP="00FF0EE8">
            <w:pPr>
              <w:keepNext/>
              <w:autoSpaceDE/>
              <w:autoSpaceDN/>
              <w:adjustRightInd/>
              <w:spacing w:line="240" w:lineRule="auto"/>
            </w:pPr>
            <w:r w:rsidRPr="00170EFF">
              <w:t>Industry Operation</w:t>
            </w:r>
          </w:p>
        </w:tc>
        <w:tc>
          <w:tcPr>
            <w:tcW w:w="2161" w:type="dxa"/>
            <w:tcBorders>
              <w:top w:val="nil"/>
              <w:left w:val="nil"/>
              <w:bottom w:val="single" w:sz="4" w:space="0" w:color="auto"/>
              <w:right w:val="single" w:sz="4" w:space="0" w:color="auto"/>
            </w:tcBorders>
            <w:shd w:val="clear" w:color="auto" w:fill="auto"/>
            <w:hideMark/>
          </w:tcPr>
          <w:p w14:paraId="35580397" w14:textId="229F957B" w:rsidR="00007702" w:rsidRPr="00170EFF" w:rsidRDefault="003E713B" w:rsidP="00FF0EE8">
            <w:pPr>
              <w:keepNext/>
              <w:autoSpaceDE/>
              <w:autoSpaceDN/>
              <w:adjustRightInd/>
              <w:spacing w:line="240" w:lineRule="auto"/>
              <w:jc w:val="right"/>
            </w:pPr>
            <w:r>
              <w:t>$6,170,000</w:t>
            </w:r>
            <w:r w:rsidR="00007702" w:rsidRPr="0006702B">
              <w:t xml:space="preserve"> </w:t>
            </w:r>
          </w:p>
        </w:tc>
        <w:tc>
          <w:tcPr>
            <w:tcW w:w="2099" w:type="dxa"/>
            <w:tcBorders>
              <w:top w:val="nil"/>
              <w:left w:val="nil"/>
              <w:bottom w:val="single" w:sz="4" w:space="0" w:color="auto"/>
              <w:right w:val="single" w:sz="4" w:space="0" w:color="auto"/>
            </w:tcBorders>
            <w:shd w:val="clear" w:color="auto" w:fill="auto"/>
            <w:hideMark/>
          </w:tcPr>
          <w:p w14:paraId="0C8E8D5A" w14:textId="1F72094E" w:rsidR="00007702" w:rsidRPr="00170EFF" w:rsidRDefault="003E713B" w:rsidP="003E713B">
            <w:pPr>
              <w:keepNext/>
              <w:autoSpaceDE/>
              <w:autoSpaceDN/>
              <w:adjustRightInd/>
              <w:spacing w:line="240" w:lineRule="auto"/>
              <w:jc w:val="right"/>
            </w:pPr>
            <w:r>
              <w:t>$5,124</w:t>
            </w:r>
            <w:r w:rsidR="00007702" w:rsidRPr="0006702B">
              <w:t>,</w:t>
            </w:r>
            <w:r>
              <w:t>000</w:t>
            </w:r>
            <w:r w:rsidR="00007702" w:rsidRPr="0006702B">
              <w:t xml:space="preserve"> </w:t>
            </w:r>
          </w:p>
        </w:tc>
        <w:tc>
          <w:tcPr>
            <w:tcW w:w="2099" w:type="dxa"/>
            <w:tcBorders>
              <w:top w:val="nil"/>
              <w:left w:val="nil"/>
              <w:bottom w:val="single" w:sz="4" w:space="0" w:color="auto"/>
              <w:right w:val="single" w:sz="4" w:space="0" w:color="auto"/>
            </w:tcBorders>
            <w:shd w:val="clear" w:color="auto" w:fill="auto"/>
            <w:hideMark/>
          </w:tcPr>
          <w:p w14:paraId="53D18079" w14:textId="5D0D8904" w:rsidR="00007702" w:rsidRPr="00170EFF" w:rsidRDefault="00007702" w:rsidP="003E713B">
            <w:pPr>
              <w:keepNext/>
              <w:autoSpaceDE/>
              <w:autoSpaceDN/>
              <w:adjustRightInd/>
              <w:spacing w:line="240" w:lineRule="auto"/>
              <w:jc w:val="right"/>
            </w:pPr>
            <w:r w:rsidRPr="0006702B">
              <w:t>$</w:t>
            </w:r>
            <w:r w:rsidR="003E713B">
              <w:t>5,688</w:t>
            </w:r>
            <w:r w:rsidRPr="0006702B">
              <w:t>,</w:t>
            </w:r>
            <w:r w:rsidR="003E713B">
              <w:t>000</w:t>
            </w:r>
            <w:r w:rsidRPr="0006702B">
              <w:t xml:space="preserve"> </w:t>
            </w:r>
          </w:p>
        </w:tc>
      </w:tr>
      <w:tr w:rsidR="00007702" w:rsidRPr="00CE1D08" w14:paraId="3ACB7D94" w14:textId="77777777" w:rsidTr="00007702">
        <w:trPr>
          <w:trHeight w:val="288"/>
          <w:jc w:val="center"/>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0B44406C" w14:textId="77777777" w:rsidR="00007702" w:rsidRPr="00170EFF" w:rsidRDefault="00007702" w:rsidP="00FF0EE8">
            <w:pPr>
              <w:keepNext/>
              <w:autoSpaceDE/>
              <w:autoSpaceDN/>
              <w:adjustRightInd/>
              <w:spacing w:line="240" w:lineRule="auto"/>
            </w:pPr>
            <w:r w:rsidRPr="00170EFF">
              <w:t>Occupational Health (Routine)</w:t>
            </w:r>
          </w:p>
        </w:tc>
        <w:tc>
          <w:tcPr>
            <w:tcW w:w="2161" w:type="dxa"/>
            <w:tcBorders>
              <w:top w:val="nil"/>
              <w:left w:val="nil"/>
              <w:bottom w:val="single" w:sz="4" w:space="0" w:color="auto"/>
              <w:right w:val="single" w:sz="4" w:space="0" w:color="auto"/>
            </w:tcBorders>
            <w:shd w:val="clear" w:color="auto" w:fill="auto"/>
            <w:hideMark/>
          </w:tcPr>
          <w:p w14:paraId="54681885" w14:textId="4313E707" w:rsidR="00007702" w:rsidRPr="00170EFF" w:rsidRDefault="003E713B" w:rsidP="00FF0EE8">
            <w:pPr>
              <w:keepNext/>
              <w:autoSpaceDE/>
              <w:autoSpaceDN/>
              <w:adjustRightInd/>
              <w:spacing w:line="240" w:lineRule="auto"/>
              <w:jc w:val="right"/>
            </w:pPr>
            <w:r>
              <w:t>($146,000</w:t>
            </w:r>
            <w:r w:rsidR="00007702" w:rsidRPr="0006702B">
              <w:t>)</w:t>
            </w:r>
          </w:p>
        </w:tc>
        <w:tc>
          <w:tcPr>
            <w:tcW w:w="2099" w:type="dxa"/>
            <w:tcBorders>
              <w:top w:val="nil"/>
              <w:left w:val="nil"/>
              <w:bottom w:val="single" w:sz="4" w:space="0" w:color="auto"/>
              <w:right w:val="single" w:sz="4" w:space="0" w:color="auto"/>
            </w:tcBorders>
            <w:shd w:val="clear" w:color="auto" w:fill="auto"/>
            <w:hideMark/>
          </w:tcPr>
          <w:p w14:paraId="38818361" w14:textId="1D9E79C7" w:rsidR="00007702" w:rsidRPr="00170EFF" w:rsidRDefault="003E713B" w:rsidP="00FF0EE8">
            <w:pPr>
              <w:keepNext/>
              <w:autoSpaceDE/>
              <w:autoSpaceDN/>
              <w:adjustRightInd/>
              <w:spacing w:line="240" w:lineRule="auto"/>
              <w:jc w:val="right"/>
            </w:pPr>
            <w:r>
              <w:t>($112,000</w:t>
            </w:r>
            <w:r w:rsidR="00007702" w:rsidRPr="0006702B">
              <w:t>)</w:t>
            </w:r>
          </w:p>
        </w:tc>
        <w:tc>
          <w:tcPr>
            <w:tcW w:w="2099" w:type="dxa"/>
            <w:tcBorders>
              <w:top w:val="nil"/>
              <w:left w:val="nil"/>
              <w:bottom w:val="single" w:sz="4" w:space="0" w:color="auto"/>
              <w:right w:val="single" w:sz="4" w:space="0" w:color="auto"/>
            </w:tcBorders>
            <w:shd w:val="clear" w:color="auto" w:fill="auto"/>
            <w:hideMark/>
          </w:tcPr>
          <w:p w14:paraId="5B99EAA4" w14:textId="3772B1A3" w:rsidR="00007702" w:rsidRPr="00170EFF" w:rsidRDefault="003E713B" w:rsidP="00FF0EE8">
            <w:pPr>
              <w:keepNext/>
              <w:autoSpaceDE/>
              <w:autoSpaceDN/>
              <w:adjustRightInd/>
              <w:spacing w:line="240" w:lineRule="auto"/>
              <w:jc w:val="right"/>
            </w:pPr>
            <w:r>
              <w:t>($130,000</w:t>
            </w:r>
            <w:r w:rsidR="00007702" w:rsidRPr="0006702B">
              <w:t>)</w:t>
            </w:r>
          </w:p>
        </w:tc>
      </w:tr>
      <w:tr w:rsidR="00007702" w:rsidRPr="00CE1D08" w14:paraId="0ABE1462" w14:textId="77777777" w:rsidTr="00007702">
        <w:trPr>
          <w:trHeight w:val="288"/>
          <w:jc w:val="center"/>
        </w:trPr>
        <w:tc>
          <w:tcPr>
            <w:tcW w:w="3001" w:type="dxa"/>
            <w:tcBorders>
              <w:top w:val="nil"/>
              <w:left w:val="single" w:sz="4" w:space="0" w:color="auto"/>
              <w:bottom w:val="single" w:sz="4" w:space="0" w:color="auto"/>
              <w:right w:val="single" w:sz="4" w:space="0" w:color="auto"/>
            </w:tcBorders>
            <w:shd w:val="clear" w:color="auto" w:fill="auto"/>
            <w:vAlign w:val="center"/>
          </w:tcPr>
          <w:p w14:paraId="2B9D751A" w14:textId="77777777" w:rsidR="00007702" w:rsidRPr="00170EFF" w:rsidRDefault="00007702" w:rsidP="00FF0EE8">
            <w:pPr>
              <w:keepNext/>
              <w:autoSpaceDE/>
              <w:autoSpaceDN/>
              <w:adjustRightInd/>
              <w:spacing w:line="240" w:lineRule="auto"/>
            </w:pPr>
            <w:r w:rsidRPr="00170EFF">
              <w:t>Replacement Power Cost</w:t>
            </w:r>
          </w:p>
        </w:tc>
        <w:tc>
          <w:tcPr>
            <w:tcW w:w="2161" w:type="dxa"/>
            <w:tcBorders>
              <w:top w:val="nil"/>
              <w:left w:val="nil"/>
              <w:bottom w:val="single" w:sz="4" w:space="0" w:color="auto"/>
              <w:right w:val="single" w:sz="4" w:space="0" w:color="auto"/>
            </w:tcBorders>
            <w:shd w:val="clear" w:color="auto" w:fill="auto"/>
            <w:hideMark/>
          </w:tcPr>
          <w:p w14:paraId="52A23438" w14:textId="41628117" w:rsidR="00007702" w:rsidRPr="00170EFF" w:rsidRDefault="00007702" w:rsidP="00FF0EE8">
            <w:pPr>
              <w:keepNext/>
              <w:autoSpaceDE/>
              <w:autoSpaceDN/>
              <w:adjustRightInd/>
              <w:spacing w:line="240" w:lineRule="auto"/>
              <w:jc w:val="right"/>
            </w:pPr>
            <w:r w:rsidRPr="0006702B">
              <w:t>($1,018,000)</w:t>
            </w:r>
          </w:p>
        </w:tc>
        <w:tc>
          <w:tcPr>
            <w:tcW w:w="2099" w:type="dxa"/>
            <w:tcBorders>
              <w:top w:val="nil"/>
              <w:left w:val="nil"/>
              <w:bottom w:val="single" w:sz="4" w:space="0" w:color="auto"/>
              <w:right w:val="single" w:sz="4" w:space="0" w:color="auto"/>
            </w:tcBorders>
            <w:shd w:val="clear" w:color="auto" w:fill="auto"/>
            <w:hideMark/>
          </w:tcPr>
          <w:p w14:paraId="33BA3704" w14:textId="26B4792E" w:rsidR="00007702" w:rsidRPr="00170EFF" w:rsidRDefault="00007702" w:rsidP="00FF0EE8">
            <w:pPr>
              <w:keepNext/>
              <w:autoSpaceDE/>
              <w:autoSpaceDN/>
              <w:adjustRightInd/>
              <w:spacing w:line="240" w:lineRule="auto"/>
              <w:jc w:val="right"/>
            </w:pPr>
            <w:r w:rsidRPr="0006702B">
              <w:t>($835,000)</w:t>
            </w:r>
          </w:p>
        </w:tc>
        <w:tc>
          <w:tcPr>
            <w:tcW w:w="2099" w:type="dxa"/>
            <w:tcBorders>
              <w:top w:val="nil"/>
              <w:left w:val="nil"/>
              <w:bottom w:val="single" w:sz="4" w:space="0" w:color="auto"/>
              <w:right w:val="single" w:sz="4" w:space="0" w:color="auto"/>
            </w:tcBorders>
            <w:shd w:val="clear" w:color="auto" w:fill="auto"/>
            <w:hideMark/>
          </w:tcPr>
          <w:p w14:paraId="09DD52CC" w14:textId="42CCF078" w:rsidR="00007702" w:rsidRPr="00170EFF" w:rsidRDefault="00007702" w:rsidP="00FF0EE8">
            <w:pPr>
              <w:keepNext/>
              <w:autoSpaceDE/>
              <w:autoSpaceDN/>
              <w:adjustRightInd/>
              <w:spacing w:line="240" w:lineRule="auto"/>
              <w:jc w:val="right"/>
            </w:pPr>
            <w:r w:rsidRPr="0006702B">
              <w:t>($933,000)</w:t>
            </w:r>
          </w:p>
        </w:tc>
      </w:tr>
      <w:tr w:rsidR="00007702" w:rsidRPr="00CE1D08" w14:paraId="2A4744E3" w14:textId="77777777" w:rsidTr="00007702">
        <w:trPr>
          <w:trHeight w:val="288"/>
          <w:jc w:val="center"/>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3920B6E3" w14:textId="77777777" w:rsidR="00007702" w:rsidRPr="00170EFF" w:rsidRDefault="00007702" w:rsidP="00FF0EE8">
            <w:pPr>
              <w:keepNext/>
              <w:autoSpaceDE/>
              <w:autoSpaceDN/>
              <w:adjustRightInd/>
              <w:spacing w:line="240" w:lineRule="auto"/>
              <w:rPr>
                <w:i/>
              </w:rPr>
            </w:pPr>
            <w:r w:rsidRPr="00170EFF">
              <w:rPr>
                <w:i/>
              </w:rPr>
              <w:t>Total Industry Costs</w:t>
            </w:r>
          </w:p>
        </w:tc>
        <w:tc>
          <w:tcPr>
            <w:tcW w:w="2161" w:type="dxa"/>
            <w:tcBorders>
              <w:top w:val="nil"/>
              <w:left w:val="nil"/>
              <w:bottom w:val="single" w:sz="4" w:space="0" w:color="auto"/>
              <w:right w:val="single" w:sz="4" w:space="0" w:color="auto"/>
            </w:tcBorders>
            <w:shd w:val="clear" w:color="auto" w:fill="auto"/>
            <w:hideMark/>
          </w:tcPr>
          <w:p w14:paraId="371500A7" w14:textId="74754242" w:rsidR="00007702" w:rsidRPr="00170EFF" w:rsidRDefault="003E713B" w:rsidP="003E713B">
            <w:pPr>
              <w:keepNext/>
              <w:autoSpaceDE/>
              <w:autoSpaceDN/>
              <w:adjustRightInd/>
              <w:spacing w:line="240" w:lineRule="auto"/>
              <w:jc w:val="right"/>
              <w:rPr>
                <w:i/>
              </w:rPr>
            </w:pPr>
            <w:r>
              <w:t>$3,247</w:t>
            </w:r>
            <w:r w:rsidR="00007702" w:rsidRPr="0006702B">
              <w:t>,</w:t>
            </w:r>
            <w:r>
              <w:t>000</w:t>
            </w:r>
            <w:r w:rsidR="00007702" w:rsidRPr="0006702B">
              <w:t xml:space="preserve"> </w:t>
            </w:r>
          </w:p>
        </w:tc>
        <w:tc>
          <w:tcPr>
            <w:tcW w:w="2099" w:type="dxa"/>
            <w:tcBorders>
              <w:top w:val="nil"/>
              <w:left w:val="nil"/>
              <w:bottom w:val="single" w:sz="4" w:space="0" w:color="auto"/>
              <w:right w:val="single" w:sz="4" w:space="0" w:color="auto"/>
            </w:tcBorders>
            <w:shd w:val="clear" w:color="auto" w:fill="auto"/>
            <w:hideMark/>
          </w:tcPr>
          <w:p w14:paraId="3BC6C682" w14:textId="54D41E6E" w:rsidR="00007702" w:rsidRPr="00170EFF" w:rsidRDefault="00007702" w:rsidP="00FF0EE8">
            <w:pPr>
              <w:keepNext/>
              <w:autoSpaceDE/>
              <w:autoSpaceDN/>
              <w:adjustRightInd/>
              <w:spacing w:line="240" w:lineRule="auto"/>
              <w:jc w:val="right"/>
              <w:rPr>
                <w:i/>
              </w:rPr>
            </w:pPr>
            <w:r w:rsidRPr="0006702B">
              <w:t>$</w:t>
            </w:r>
            <w:r w:rsidR="003E713B">
              <w:t>2,417,000</w:t>
            </w:r>
            <w:r w:rsidRPr="0006702B">
              <w:t xml:space="preserve"> </w:t>
            </w:r>
          </w:p>
        </w:tc>
        <w:tc>
          <w:tcPr>
            <w:tcW w:w="2099" w:type="dxa"/>
            <w:tcBorders>
              <w:top w:val="nil"/>
              <w:left w:val="nil"/>
              <w:bottom w:val="single" w:sz="4" w:space="0" w:color="auto"/>
              <w:right w:val="single" w:sz="4" w:space="0" w:color="auto"/>
            </w:tcBorders>
            <w:shd w:val="clear" w:color="auto" w:fill="auto"/>
            <w:hideMark/>
          </w:tcPr>
          <w:p w14:paraId="53BA39C6" w14:textId="4356C059" w:rsidR="00007702" w:rsidRPr="00170EFF" w:rsidRDefault="003E713B" w:rsidP="00FF0EE8">
            <w:pPr>
              <w:keepNext/>
              <w:autoSpaceDE/>
              <w:autoSpaceDN/>
              <w:adjustRightInd/>
              <w:spacing w:line="240" w:lineRule="auto"/>
              <w:jc w:val="right"/>
              <w:rPr>
                <w:i/>
              </w:rPr>
            </w:pPr>
            <w:r>
              <w:t>$2,865,000</w:t>
            </w:r>
            <w:r w:rsidR="00007702" w:rsidRPr="0006702B">
              <w:t xml:space="preserve"> </w:t>
            </w:r>
          </w:p>
        </w:tc>
      </w:tr>
      <w:tr w:rsidR="00007702" w:rsidRPr="00CE1D08" w14:paraId="754C319F" w14:textId="77777777" w:rsidTr="00007702">
        <w:trPr>
          <w:trHeight w:hRule="exact" w:val="130"/>
          <w:jc w:val="center"/>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0B2A77C8" w14:textId="77777777" w:rsidR="00007702" w:rsidRPr="00170EFF" w:rsidRDefault="00007702" w:rsidP="00FF0EE8">
            <w:pPr>
              <w:keepNext/>
              <w:autoSpaceDE/>
              <w:autoSpaceDN/>
              <w:adjustRightInd/>
              <w:spacing w:line="240" w:lineRule="auto"/>
            </w:pPr>
            <w:r w:rsidRPr="00170EFF">
              <w:t> </w:t>
            </w:r>
          </w:p>
        </w:tc>
        <w:tc>
          <w:tcPr>
            <w:tcW w:w="2161" w:type="dxa"/>
            <w:tcBorders>
              <w:top w:val="nil"/>
              <w:left w:val="nil"/>
              <w:bottom w:val="single" w:sz="4" w:space="0" w:color="auto"/>
              <w:right w:val="single" w:sz="4" w:space="0" w:color="auto"/>
            </w:tcBorders>
            <w:shd w:val="clear" w:color="auto" w:fill="auto"/>
            <w:hideMark/>
          </w:tcPr>
          <w:p w14:paraId="7741F9C9" w14:textId="77777777" w:rsidR="00007702" w:rsidRPr="00170EFF" w:rsidRDefault="00007702" w:rsidP="00FF0EE8">
            <w:pPr>
              <w:keepNext/>
              <w:autoSpaceDE/>
              <w:autoSpaceDN/>
              <w:adjustRightInd/>
              <w:spacing w:line="240" w:lineRule="auto"/>
            </w:pPr>
          </w:p>
        </w:tc>
        <w:tc>
          <w:tcPr>
            <w:tcW w:w="2099" w:type="dxa"/>
            <w:tcBorders>
              <w:top w:val="nil"/>
              <w:left w:val="nil"/>
              <w:bottom w:val="single" w:sz="4" w:space="0" w:color="auto"/>
              <w:right w:val="single" w:sz="4" w:space="0" w:color="auto"/>
            </w:tcBorders>
            <w:shd w:val="clear" w:color="auto" w:fill="auto"/>
            <w:hideMark/>
          </w:tcPr>
          <w:p w14:paraId="391894D2" w14:textId="77777777" w:rsidR="00007702" w:rsidRPr="00170EFF" w:rsidRDefault="00007702" w:rsidP="00FF0EE8">
            <w:pPr>
              <w:keepNext/>
              <w:autoSpaceDE/>
              <w:autoSpaceDN/>
              <w:adjustRightInd/>
              <w:spacing w:line="240" w:lineRule="auto"/>
            </w:pPr>
          </w:p>
        </w:tc>
        <w:tc>
          <w:tcPr>
            <w:tcW w:w="2099" w:type="dxa"/>
            <w:tcBorders>
              <w:top w:val="nil"/>
              <w:left w:val="nil"/>
              <w:bottom w:val="single" w:sz="4" w:space="0" w:color="auto"/>
              <w:right w:val="single" w:sz="4" w:space="0" w:color="auto"/>
            </w:tcBorders>
            <w:shd w:val="clear" w:color="auto" w:fill="auto"/>
            <w:hideMark/>
          </w:tcPr>
          <w:p w14:paraId="7F121F6A" w14:textId="77777777" w:rsidR="00007702" w:rsidRPr="00170EFF" w:rsidRDefault="00007702" w:rsidP="00FF0EE8">
            <w:pPr>
              <w:keepNext/>
              <w:autoSpaceDE/>
              <w:autoSpaceDN/>
              <w:adjustRightInd/>
              <w:spacing w:line="240" w:lineRule="auto"/>
            </w:pPr>
          </w:p>
        </w:tc>
      </w:tr>
      <w:tr w:rsidR="00007702" w:rsidRPr="00CE1D08" w14:paraId="40521390" w14:textId="77777777" w:rsidTr="00007702">
        <w:trPr>
          <w:trHeight w:val="288"/>
          <w:jc w:val="center"/>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07189461" w14:textId="77777777" w:rsidR="00007702" w:rsidRPr="00170EFF" w:rsidRDefault="00007702" w:rsidP="00FF0EE8">
            <w:pPr>
              <w:keepNext/>
              <w:autoSpaceDE/>
              <w:autoSpaceDN/>
              <w:adjustRightInd/>
              <w:spacing w:line="240" w:lineRule="auto"/>
            </w:pPr>
            <w:r w:rsidRPr="00170EFF">
              <w:t>NRC Implementation</w:t>
            </w:r>
          </w:p>
        </w:tc>
        <w:tc>
          <w:tcPr>
            <w:tcW w:w="2161" w:type="dxa"/>
            <w:tcBorders>
              <w:top w:val="nil"/>
              <w:left w:val="nil"/>
              <w:bottom w:val="single" w:sz="4" w:space="0" w:color="auto"/>
              <w:right w:val="single" w:sz="4" w:space="0" w:color="auto"/>
            </w:tcBorders>
            <w:shd w:val="clear" w:color="auto" w:fill="auto"/>
            <w:hideMark/>
          </w:tcPr>
          <w:p w14:paraId="55010B34" w14:textId="0942A7FB" w:rsidR="00007702" w:rsidRPr="00170EFF" w:rsidRDefault="00007702" w:rsidP="00FF0EE8">
            <w:pPr>
              <w:keepNext/>
              <w:autoSpaceDE/>
              <w:autoSpaceDN/>
              <w:adjustRightInd/>
              <w:spacing w:line="240" w:lineRule="auto"/>
              <w:jc w:val="right"/>
            </w:pPr>
            <w:r w:rsidRPr="0006702B">
              <w:t xml:space="preserve">$0 </w:t>
            </w:r>
          </w:p>
        </w:tc>
        <w:tc>
          <w:tcPr>
            <w:tcW w:w="2099" w:type="dxa"/>
            <w:tcBorders>
              <w:top w:val="nil"/>
              <w:left w:val="nil"/>
              <w:bottom w:val="single" w:sz="4" w:space="0" w:color="auto"/>
              <w:right w:val="single" w:sz="4" w:space="0" w:color="auto"/>
            </w:tcBorders>
            <w:shd w:val="clear" w:color="auto" w:fill="auto"/>
            <w:hideMark/>
          </w:tcPr>
          <w:p w14:paraId="2417AC0C" w14:textId="05DF4BBD" w:rsidR="00007702" w:rsidRPr="00170EFF" w:rsidRDefault="00007702" w:rsidP="00FF0EE8">
            <w:pPr>
              <w:keepNext/>
              <w:autoSpaceDE/>
              <w:autoSpaceDN/>
              <w:adjustRightInd/>
              <w:spacing w:line="240" w:lineRule="auto"/>
              <w:jc w:val="right"/>
            </w:pPr>
            <w:r w:rsidRPr="0006702B">
              <w:t xml:space="preserve">$0 </w:t>
            </w:r>
          </w:p>
        </w:tc>
        <w:tc>
          <w:tcPr>
            <w:tcW w:w="2099" w:type="dxa"/>
            <w:tcBorders>
              <w:top w:val="nil"/>
              <w:left w:val="nil"/>
              <w:bottom w:val="single" w:sz="4" w:space="0" w:color="auto"/>
              <w:right w:val="single" w:sz="4" w:space="0" w:color="auto"/>
            </w:tcBorders>
            <w:shd w:val="clear" w:color="auto" w:fill="auto"/>
            <w:hideMark/>
          </w:tcPr>
          <w:p w14:paraId="3B302040" w14:textId="7985D8CB" w:rsidR="00007702" w:rsidRPr="00170EFF" w:rsidRDefault="00007702" w:rsidP="00FF0EE8">
            <w:pPr>
              <w:keepNext/>
              <w:autoSpaceDE/>
              <w:autoSpaceDN/>
              <w:adjustRightInd/>
              <w:spacing w:line="240" w:lineRule="auto"/>
              <w:jc w:val="right"/>
            </w:pPr>
            <w:r w:rsidRPr="0006702B">
              <w:t xml:space="preserve">$0 </w:t>
            </w:r>
          </w:p>
        </w:tc>
      </w:tr>
      <w:tr w:rsidR="00007702" w:rsidRPr="00CE1D08" w14:paraId="77B34B35" w14:textId="77777777" w:rsidTr="00007702">
        <w:trPr>
          <w:trHeight w:val="288"/>
          <w:jc w:val="center"/>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27C54CC3" w14:textId="77777777" w:rsidR="00007702" w:rsidRPr="00170EFF" w:rsidRDefault="00007702" w:rsidP="00FF0EE8">
            <w:pPr>
              <w:keepNext/>
              <w:autoSpaceDE/>
              <w:autoSpaceDN/>
              <w:adjustRightInd/>
              <w:spacing w:line="240" w:lineRule="auto"/>
            </w:pPr>
            <w:r w:rsidRPr="00170EFF">
              <w:t>NRC Operation</w:t>
            </w:r>
          </w:p>
        </w:tc>
        <w:tc>
          <w:tcPr>
            <w:tcW w:w="2161" w:type="dxa"/>
            <w:tcBorders>
              <w:top w:val="nil"/>
              <w:left w:val="nil"/>
              <w:bottom w:val="single" w:sz="4" w:space="0" w:color="auto"/>
              <w:right w:val="single" w:sz="4" w:space="0" w:color="auto"/>
            </w:tcBorders>
            <w:shd w:val="clear" w:color="auto" w:fill="auto"/>
            <w:hideMark/>
          </w:tcPr>
          <w:p w14:paraId="571E9953" w14:textId="0BEEEF90" w:rsidR="00007702" w:rsidRPr="00170EFF" w:rsidRDefault="003E713B" w:rsidP="00FF0EE8">
            <w:pPr>
              <w:keepNext/>
              <w:autoSpaceDE/>
              <w:autoSpaceDN/>
              <w:adjustRightInd/>
              <w:spacing w:line="240" w:lineRule="auto"/>
              <w:jc w:val="right"/>
            </w:pPr>
            <w:r>
              <w:t>$3,071,0</w:t>
            </w:r>
            <w:r w:rsidR="00007702" w:rsidRPr="0006702B">
              <w:t xml:space="preserve">00 </w:t>
            </w:r>
          </w:p>
        </w:tc>
        <w:tc>
          <w:tcPr>
            <w:tcW w:w="2099" w:type="dxa"/>
            <w:tcBorders>
              <w:top w:val="nil"/>
              <w:left w:val="nil"/>
              <w:bottom w:val="single" w:sz="4" w:space="0" w:color="auto"/>
              <w:right w:val="single" w:sz="4" w:space="0" w:color="auto"/>
            </w:tcBorders>
            <w:shd w:val="clear" w:color="auto" w:fill="auto"/>
            <w:hideMark/>
          </w:tcPr>
          <w:p w14:paraId="4BECDFBE" w14:textId="542E889C" w:rsidR="00007702" w:rsidRPr="00170EFF" w:rsidRDefault="003E713B" w:rsidP="003E713B">
            <w:pPr>
              <w:keepNext/>
              <w:autoSpaceDE/>
              <w:autoSpaceDN/>
              <w:adjustRightInd/>
              <w:spacing w:line="240" w:lineRule="auto"/>
              <w:jc w:val="right"/>
            </w:pPr>
            <w:r>
              <w:t>$2,517</w:t>
            </w:r>
            <w:r w:rsidR="00007702" w:rsidRPr="0006702B">
              <w:t>,</w:t>
            </w:r>
            <w:r>
              <w:t>00</w:t>
            </w:r>
            <w:r w:rsidR="00007702" w:rsidRPr="0006702B">
              <w:t xml:space="preserve">0 </w:t>
            </w:r>
          </w:p>
        </w:tc>
        <w:tc>
          <w:tcPr>
            <w:tcW w:w="2099" w:type="dxa"/>
            <w:tcBorders>
              <w:top w:val="nil"/>
              <w:left w:val="nil"/>
              <w:bottom w:val="single" w:sz="4" w:space="0" w:color="auto"/>
              <w:right w:val="single" w:sz="4" w:space="0" w:color="auto"/>
            </w:tcBorders>
            <w:shd w:val="clear" w:color="auto" w:fill="auto"/>
            <w:hideMark/>
          </w:tcPr>
          <w:p w14:paraId="595046A7" w14:textId="155830E8" w:rsidR="00007702" w:rsidRPr="00170EFF" w:rsidRDefault="00007702" w:rsidP="003E713B">
            <w:pPr>
              <w:keepNext/>
              <w:autoSpaceDE/>
              <w:autoSpaceDN/>
              <w:adjustRightInd/>
              <w:spacing w:line="240" w:lineRule="auto"/>
              <w:jc w:val="right"/>
            </w:pPr>
            <w:r w:rsidRPr="0006702B">
              <w:t>$</w:t>
            </w:r>
            <w:r w:rsidR="003E713B">
              <w:t>2,812</w:t>
            </w:r>
            <w:r w:rsidRPr="0006702B">
              <w:t>,</w:t>
            </w:r>
            <w:r w:rsidR="003E713B">
              <w:t>000</w:t>
            </w:r>
            <w:r w:rsidRPr="0006702B">
              <w:t xml:space="preserve"> </w:t>
            </w:r>
          </w:p>
        </w:tc>
      </w:tr>
      <w:tr w:rsidR="00007702" w:rsidRPr="00CE1D08" w14:paraId="4F643BF4" w14:textId="77777777" w:rsidTr="00007702">
        <w:trPr>
          <w:trHeight w:val="288"/>
          <w:jc w:val="center"/>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34592897" w14:textId="77777777" w:rsidR="00007702" w:rsidRPr="00170EFF" w:rsidRDefault="00007702" w:rsidP="00FF0EE8">
            <w:pPr>
              <w:keepNext/>
              <w:autoSpaceDE/>
              <w:autoSpaceDN/>
              <w:adjustRightInd/>
              <w:spacing w:line="240" w:lineRule="auto"/>
              <w:rPr>
                <w:i/>
              </w:rPr>
            </w:pPr>
            <w:r w:rsidRPr="00170EFF">
              <w:rPr>
                <w:i/>
              </w:rPr>
              <w:t>Total NRC Cost</w:t>
            </w:r>
          </w:p>
        </w:tc>
        <w:tc>
          <w:tcPr>
            <w:tcW w:w="2161" w:type="dxa"/>
            <w:tcBorders>
              <w:top w:val="nil"/>
              <w:left w:val="nil"/>
              <w:bottom w:val="single" w:sz="4" w:space="0" w:color="auto"/>
              <w:right w:val="single" w:sz="4" w:space="0" w:color="auto"/>
            </w:tcBorders>
            <w:shd w:val="clear" w:color="auto" w:fill="auto"/>
            <w:hideMark/>
          </w:tcPr>
          <w:p w14:paraId="5B76F7E7" w14:textId="3C5FB467" w:rsidR="00007702" w:rsidRPr="00170EFF" w:rsidRDefault="003E713B" w:rsidP="00FF0EE8">
            <w:pPr>
              <w:keepNext/>
              <w:autoSpaceDE/>
              <w:autoSpaceDN/>
              <w:adjustRightInd/>
              <w:spacing w:line="240" w:lineRule="auto"/>
              <w:jc w:val="right"/>
              <w:rPr>
                <w:i/>
              </w:rPr>
            </w:pPr>
            <w:r>
              <w:t>$3,071,0</w:t>
            </w:r>
            <w:r w:rsidR="00007702" w:rsidRPr="0006702B">
              <w:t xml:space="preserve">00 </w:t>
            </w:r>
          </w:p>
        </w:tc>
        <w:tc>
          <w:tcPr>
            <w:tcW w:w="2099" w:type="dxa"/>
            <w:tcBorders>
              <w:top w:val="nil"/>
              <w:left w:val="nil"/>
              <w:bottom w:val="single" w:sz="4" w:space="0" w:color="auto"/>
              <w:right w:val="single" w:sz="4" w:space="0" w:color="auto"/>
            </w:tcBorders>
            <w:shd w:val="clear" w:color="auto" w:fill="auto"/>
            <w:hideMark/>
          </w:tcPr>
          <w:p w14:paraId="7E114AF5" w14:textId="6D2BC4D6" w:rsidR="00007702" w:rsidRPr="00170EFF" w:rsidRDefault="003E713B" w:rsidP="003E713B">
            <w:pPr>
              <w:keepNext/>
              <w:autoSpaceDE/>
              <w:autoSpaceDN/>
              <w:adjustRightInd/>
              <w:spacing w:line="240" w:lineRule="auto"/>
              <w:jc w:val="right"/>
              <w:rPr>
                <w:i/>
              </w:rPr>
            </w:pPr>
            <w:r>
              <w:t>$2,517</w:t>
            </w:r>
            <w:r w:rsidR="00007702" w:rsidRPr="0006702B">
              <w:t>,</w:t>
            </w:r>
            <w:r>
              <w:t>00</w:t>
            </w:r>
            <w:r w:rsidR="00007702" w:rsidRPr="0006702B">
              <w:t xml:space="preserve">0 </w:t>
            </w:r>
          </w:p>
        </w:tc>
        <w:tc>
          <w:tcPr>
            <w:tcW w:w="2099" w:type="dxa"/>
            <w:tcBorders>
              <w:top w:val="nil"/>
              <w:left w:val="nil"/>
              <w:bottom w:val="single" w:sz="4" w:space="0" w:color="auto"/>
              <w:right w:val="single" w:sz="4" w:space="0" w:color="auto"/>
            </w:tcBorders>
            <w:shd w:val="clear" w:color="auto" w:fill="auto"/>
            <w:hideMark/>
          </w:tcPr>
          <w:p w14:paraId="7875845F" w14:textId="3F9B1418" w:rsidR="00007702" w:rsidRPr="00170EFF" w:rsidRDefault="00007702" w:rsidP="003E713B">
            <w:pPr>
              <w:keepNext/>
              <w:autoSpaceDE/>
              <w:autoSpaceDN/>
              <w:adjustRightInd/>
              <w:spacing w:line="240" w:lineRule="auto"/>
              <w:jc w:val="right"/>
              <w:rPr>
                <w:i/>
              </w:rPr>
            </w:pPr>
            <w:r w:rsidRPr="0006702B">
              <w:t>$</w:t>
            </w:r>
            <w:r w:rsidR="003E713B">
              <w:t>2,812</w:t>
            </w:r>
            <w:r w:rsidRPr="0006702B">
              <w:t>,</w:t>
            </w:r>
            <w:r w:rsidR="003E713B">
              <w:t>000</w:t>
            </w:r>
            <w:r w:rsidRPr="0006702B">
              <w:t xml:space="preserve"> </w:t>
            </w:r>
          </w:p>
        </w:tc>
      </w:tr>
      <w:tr w:rsidR="00007702" w:rsidRPr="00CE1D08" w14:paraId="76D17DC1" w14:textId="77777777" w:rsidTr="00007702">
        <w:trPr>
          <w:trHeight w:hRule="exact" w:val="144"/>
          <w:jc w:val="center"/>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535CDAD4" w14:textId="77777777" w:rsidR="00007702" w:rsidRPr="00170EFF" w:rsidRDefault="00007702" w:rsidP="00FF0EE8">
            <w:pPr>
              <w:keepNext/>
              <w:autoSpaceDE/>
              <w:autoSpaceDN/>
              <w:adjustRightInd/>
              <w:spacing w:line="240" w:lineRule="auto"/>
            </w:pPr>
            <w:r w:rsidRPr="00170EFF">
              <w:t> </w:t>
            </w:r>
          </w:p>
        </w:tc>
        <w:tc>
          <w:tcPr>
            <w:tcW w:w="2161" w:type="dxa"/>
            <w:tcBorders>
              <w:top w:val="nil"/>
              <w:left w:val="nil"/>
              <w:bottom w:val="single" w:sz="4" w:space="0" w:color="auto"/>
              <w:right w:val="single" w:sz="4" w:space="0" w:color="auto"/>
            </w:tcBorders>
            <w:shd w:val="clear" w:color="auto" w:fill="auto"/>
            <w:hideMark/>
          </w:tcPr>
          <w:p w14:paraId="2C43D307" w14:textId="77777777" w:rsidR="00007702" w:rsidRPr="00170EFF" w:rsidRDefault="00007702" w:rsidP="00FF0EE8">
            <w:pPr>
              <w:keepNext/>
              <w:autoSpaceDE/>
              <w:autoSpaceDN/>
              <w:adjustRightInd/>
              <w:spacing w:line="240" w:lineRule="auto"/>
            </w:pPr>
          </w:p>
        </w:tc>
        <w:tc>
          <w:tcPr>
            <w:tcW w:w="2099" w:type="dxa"/>
            <w:tcBorders>
              <w:top w:val="nil"/>
              <w:left w:val="nil"/>
              <w:bottom w:val="single" w:sz="4" w:space="0" w:color="auto"/>
              <w:right w:val="single" w:sz="4" w:space="0" w:color="auto"/>
            </w:tcBorders>
            <w:shd w:val="clear" w:color="auto" w:fill="auto"/>
            <w:hideMark/>
          </w:tcPr>
          <w:p w14:paraId="41038F7B" w14:textId="77777777" w:rsidR="00007702" w:rsidRPr="00170EFF" w:rsidRDefault="00007702" w:rsidP="00FF0EE8">
            <w:pPr>
              <w:keepNext/>
              <w:autoSpaceDE/>
              <w:autoSpaceDN/>
              <w:adjustRightInd/>
              <w:spacing w:line="240" w:lineRule="auto"/>
            </w:pPr>
          </w:p>
        </w:tc>
        <w:tc>
          <w:tcPr>
            <w:tcW w:w="2099" w:type="dxa"/>
            <w:tcBorders>
              <w:top w:val="nil"/>
              <w:left w:val="nil"/>
              <w:bottom w:val="single" w:sz="4" w:space="0" w:color="auto"/>
              <w:right w:val="single" w:sz="4" w:space="0" w:color="auto"/>
            </w:tcBorders>
            <w:shd w:val="clear" w:color="auto" w:fill="auto"/>
            <w:hideMark/>
          </w:tcPr>
          <w:p w14:paraId="40A436A7" w14:textId="77777777" w:rsidR="00007702" w:rsidRPr="00170EFF" w:rsidRDefault="00007702" w:rsidP="00FF0EE8">
            <w:pPr>
              <w:keepNext/>
              <w:autoSpaceDE/>
              <w:autoSpaceDN/>
              <w:adjustRightInd/>
              <w:spacing w:line="240" w:lineRule="auto"/>
            </w:pPr>
          </w:p>
        </w:tc>
      </w:tr>
      <w:tr w:rsidR="009B69E8" w:rsidRPr="00CE1D08" w14:paraId="6092EE4A" w14:textId="77777777" w:rsidTr="00007702">
        <w:trPr>
          <w:trHeight w:val="288"/>
          <w:jc w:val="center"/>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5DD25431" w14:textId="77777777" w:rsidR="009B69E8" w:rsidRPr="00170EFF" w:rsidRDefault="009B69E8" w:rsidP="00FF0EE8">
            <w:pPr>
              <w:keepNext/>
              <w:autoSpaceDE/>
              <w:autoSpaceDN/>
              <w:adjustRightInd/>
              <w:spacing w:line="240" w:lineRule="auto"/>
              <w:jc w:val="right"/>
              <w:rPr>
                <w:b/>
              </w:rPr>
            </w:pPr>
            <w:r w:rsidRPr="00170EFF">
              <w:rPr>
                <w:b/>
              </w:rPr>
              <w:t>Net Benefit</w:t>
            </w:r>
          </w:p>
        </w:tc>
        <w:tc>
          <w:tcPr>
            <w:tcW w:w="2161" w:type="dxa"/>
            <w:tcBorders>
              <w:top w:val="nil"/>
              <w:left w:val="nil"/>
              <w:bottom w:val="single" w:sz="4" w:space="0" w:color="auto"/>
              <w:right w:val="single" w:sz="4" w:space="0" w:color="auto"/>
            </w:tcBorders>
            <w:shd w:val="clear" w:color="auto" w:fill="auto"/>
            <w:hideMark/>
          </w:tcPr>
          <w:p w14:paraId="68F4B809" w14:textId="10FC1748" w:rsidR="009B69E8" w:rsidRPr="009B69E8" w:rsidRDefault="009B69E8" w:rsidP="00FF0EE8">
            <w:pPr>
              <w:keepNext/>
              <w:autoSpaceDE/>
              <w:autoSpaceDN/>
              <w:adjustRightInd/>
              <w:spacing w:line="240" w:lineRule="auto"/>
              <w:jc w:val="right"/>
              <w:rPr>
                <w:b/>
              </w:rPr>
            </w:pPr>
            <w:r w:rsidRPr="009B69E8">
              <w:rPr>
                <w:b/>
              </w:rPr>
              <w:t xml:space="preserve">$6,317,000 </w:t>
            </w:r>
          </w:p>
        </w:tc>
        <w:tc>
          <w:tcPr>
            <w:tcW w:w="2099" w:type="dxa"/>
            <w:tcBorders>
              <w:top w:val="nil"/>
              <w:left w:val="nil"/>
              <w:bottom w:val="single" w:sz="4" w:space="0" w:color="auto"/>
              <w:right w:val="single" w:sz="4" w:space="0" w:color="auto"/>
            </w:tcBorders>
            <w:shd w:val="clear" w:color="auto" w:fill="auto"/>
            <w:hideMark/>
          </w:tcPr>
          <w:p w14:paraId="0F45221D" w14:textId="0E7D29FD" w:rsidR="009B69E8" w:rsidRPr="009B69E8" w:rsidRDefault="009B69E8" w:rsidP="00FF0EE8">
            <w:pPr>
              <w:keepNext/>
              <w:autoSpaceDE/>
              <w:autoSpaceDN/>
              <w:adjustRightInd/>
              <w:spacing w:line="240" w:lineRule="auto"/>
              <w:jc w:val="right"/>
              <w:rPr>
                <w:b/>
              </w:rPr>
            </w:pPr>
            <w:r w:rsidRPr="009B69E8">
              <w:rPr>
                <w:b/>
              </w:rPr>
              <w:t xml:space="preserve">$4,934,000 </w:t>
            </w:r>
          </w:p>
        </w:tc>
        <w:tc>
          <w:tcPr>
            <w:tcW w:w="2099" w:type="dxa"/>
            <w:tcBorders>
              <w:top w:val="nil"/>
              <w:left w:val="nil"/>
              <w:bottom w:val="single" w:sz="4" w:space="0" w:color="auto"/>
              <w:right w:val="single" w:sz="4" w:space="0" w:color="auto"/>
            </w:tcBorders>
            <w:shd w:val="clear" w:color="auto" w:fill="auto"/>
            <w:hideMark/>
          </w:tcPr>
          <w:p w14:paraId="6A3A7B23" w14:textId="5E346330" w:rsidR="009B69E8" w:rsidRPr="009B69E8" w:rsidRDefault="009B69E8" w:rsidP="00FF0EE8">
            <w:pPr>
              <w:keepNext/>
              <w:autoSpaceDE/>
              <w:autoSpaceDN/>
              <w:adjustRightInd/>
              <w:spacing w:line="240" w:lineRule="auto"/>
              <w:jc w:val="right"/>
              <w:rPr>
                <w:b/>
              </w:rPr>
            </w:pPr>
            <w:r w:rsidRPr="009B69E8">
              <w:rPr>
                <w:b/>
              </w:rPr>
              <w:t xml:space="preserve">$5,677,000 </w:t>
            </w:r>
          </w:p>
        </w:tc>
      </w:tr>
    </w:tbl>
    <w:p w14:paraId="7FCC8165" w14:textId="190EC08D" w:rsidR="00F834D9" w:rsidRDefault="00F834D9" w:rsidP="00FF0EE8">
      <w:pPr>
        <w:keepNext/>
        <w:spacing w:line="240" w:lineRule="auto"/>
        <w:rPr>
          <w:sz w:val="18"/>
        </w:rPr>
      </w:pPr>
      <w:r w:rsidRPr="007B793C">
        <w:rPr>
          <w:sz w:val="18"/>
        </w:rPr>
        <w:t xml:space="preserve">* </w:t>
      </w:r>
      <w:r w:rsidR="00631CEE">
        <w:rPr>
          <w:sz w:val="18"/>
        </w:rPr>
        <w:t xml:space="preserve">Rounding </w:t>
      </w:r>
      <w:r w:rsidRPr="007B793C">
        <w:rPr>
          <w:sz w:val="18"/>
        </w:rPr>
        <w:t xml:space="preserve">may </w:t>
      </w:r>
      <w:r w:rsidR="00631CEE">
        <w:rPr>
          <w:sz w:val="18"/>
        </w:rPr>
        <w:t>have caused</w:t>
      </w:r>
      <w:r w:rsidR="00631CEE" w:rsidRPr="007B793C">
        <w:rPr>
          <w:sz w:val="18"/>
        </w:rPr>
        <w:t xml:space="preserve"> </w:t>
      </w:r>
      <w:r w:rsidRPr="007B793C">
        <w:rPr>
          <w:sz w:val="18"/>
        </w:rPr>
        <w:t xml:space="preserve">discrepancies in </w:t>
      </w:r>
      <w:r w:rsidR="00631CEE">
        <w:rPr>
          <w:sz w:val="18"/>
        </w:rPr>
        <w:t xml:space="preserve">the </w:t>
      </w:r>
      <w:r w:rsidRPr="007B793C">
        <w:rPr>
          <w:sz w:val="18"/>
        </w:rPr>
        <w:t>calculations.</w:t>
      </w:r>
    </w:p>
    <w:p w14:paraId="638CEAD6" w14:textId="77777777" w:rsidR="00F834D9" w:rsidRDefault="00F834D9" w:rsidP="00FF0EE8">
      <w:pPr>
        <w:keepNext/>
        <w:spacing w:line="240" w:lineRule="auto"/>
      </w:pPr>
      <w:r>
        <w:rPr>
          <w:sz w:val="18"/>
        </w:rPr>
        <w:t xml:space="preserve">** All values are in </w:t>
      </w:r>
      <w:r w:rsidR="002B3473">
        <w:rPr>
          <w:sz w:val="18"/>
        </w:rPr>
        <w:t xml:space="preserve">2017 </w:t>
      </w:r>
      <w:r>
        <w:rPr>
          <w:sz w:val="18"/>
        </w:rPr>
        <w:t>dollars</w:t>
      </w:r>
      <w:r w:rsidR="00631CEE">
        <w:rPr>
          <w:sz w:val="18"/>
        </w:rPr>
        <w:t>.</w:t>
      </w:r>
    </w:p>
    <w:p w14:paraId="301A0A5B" w14:textId="18779A51" w:rsidR="00F00E40" w:rsidRDefault="00631CEE" w:rsidP="00FF0EE8">
      <w:pPr>
        <w:pStyle w:val="Heading3"/>
        <w:spacing w:line="240" w:lineRule="auto"/>
        <w:ind w:left="720" w:hanging="684"/>
      </w:pPr>
      <w:bookmarkStart w:id="285" w:name="_Toc409512393"/>
      <w:bookmarkStart w:id="286" w:name="_Toc409512640"/>
      <w:bookmarkStart w:id="287" w:name="_Toc409512700"/>
      <w:bookmarkStart w:id="288" w:name="_Toc414345539"/>
      <w:bookmarkStart w:id="289" w:name="_Toc414345917"/>
      <w:bookmarkStart w:id="290" w:name="_Toc414346135"/>
      <w:bookmarkStart w:id="291" w:name="_Toc409512394"/>
      <w:bookmarkStart w:id="292" w:name="_Toc409512641"/>
      <w:bookmarkStart w:id="293" w:name="_Toc409512701"/>
      <w:bookmarkStart w:id="294" w:name="_Toc414345540"/>
      <w:bookmarkStart w:id="295" w:name="_Toc414345918"/>
      <w:bookmarkStart w:id="296" w:name="_Toc414346136"/>
      <w:bookmarkStart w:id="297" w:name="_Toc409512395"/>
      <w:bookmarkStart w:id="298" w:name="_Toc409512642"/>
      <w:bookmarkStart w:id="299" w:name="_Toc409512702"/>
      <w:bookmarkStart w:id="300" w:name="_Toc414345541"/>
      <w:bookmarkStart w:id="301" w:name="_Toc414345919"/>
      <w:bookmarkStart w:id="302" w:name="_Toc414346137"/>
      <w:bookmarkStart w:id="303" w:name="_Toc409512396"/>
      <w:bookmarkStart w:id="304" w:name="_Toc409512643"/>
      <w:bookmarkStart w:id="305" w:name="_Toc409512703"/>
      <w:bookmarkStart w:id="306" w:name="_Toc414345542"/>
      <w:bookmarkStart w:id="307" w:name="_Toc414345920"/>
      <w:bookmarkStart w:id="308" w:name="_Toc414346138"/>
      <w:bookmarkStart w:id="309" w:name="_Toc409512397"/>
      <w:bookmarkStart w:id="310" w:name="_Toc409512644"/>
      <w:bookmarkStart w:id="311" w:name="_Toc409512704"/>
      <w:bookmarkStart w:id="312" w:name="_Toc414345543"/>
      <w:bookmarkStart w:id="313" w:name="_Toc414345921"/>
      <w:bookmarkStart w:id="314" w:name="_Toc414346139"/>
      <w:bookmarkStart w:id="315" w:name="_Toc409512398"/>
      <w:bookmarkStart w:id="316" w:name="_Toc409512645"/>
      <w:bookmarkStart w:id="317" w:name="_Toc409512705"/>
      <w:bookmarkStart w:id="318" w:name="_Toc414345544"/>
      <w:bookmarkStart w:id="319" w:name="_Toc414345922"/>
      <w:bookmarkStart w:id="320" w:name="_Toc414346140"/>
      <w:bookmarkStart w:id="321" w:name="_Toc409512399"/>
      <w:bookmarkStart w:id="322" w:name="_Toc409512646"/>
      <w:bookmarkStart w:id="323" w:name="_Toc409512706"/>
      <w:bookmarkStart w:id="324" w:name="_Toc414345545"/>
      <w:bookmarkStart w:id="325" w:name="_Toc414345923"/>
      <w:bookmarkStart w:id="326" w:name="_Toc414346141"/>
      <w:bookmarkStart w:id="327" w:name="_Ref386986522"/>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t xml:space="preserve"> </w:t>
      </w:r>
      <w:bookmarkStart w:id="328" w:name="_Toc462224982"/>
      <w:bookmarkStart w:id="329" w:name="_Toc468875941"/>
      <w:r w:rsidR="004C05F6">
        <w:t xml:space="preserve">Qualitative </w:t>
      </w:r>
      <w:r w:rsidR="0052082A">
        <w:t>B</w:t>
      </w:r>
      <w:r w:rsidR="00F00E40">
        <w:t>enefits</w:t>
      </w:r>
      <w:bookmarkEnd w:id="327"/>
      <w:bookmarkEnd w:id="328"/>
      <w:bookmarkEnd w:id="329"/>
    </w:p>
    <w:p w14:paraId="720C0D23" w14:textId="77777777" w:rsidR="0052082A" w:rsidRDefault="0052082A" w:rsidP="00FF0EE8">
      <w:pPr>
        <w:keepNext/>
        <w:spacing w:line="240" w:lineRule="auto"/>
      </w:pPr>
    </w:p>
    <w:p w14:paraId="5360EDE0" w14:textId="454C24C9" w:rsidR="00E92666" w:rsidRDefault="0052082A" w:rsidP="00FF0EE8">
      <w:pPr>
        <w:spacing w:line="240" w:lineRule="auto"/>
      </w:pPr>
      <w:r>
        <w:t xml:space="preserve">In addition to averted costs from the elimination of planned ASME Code </w:t>
      </w:r>
      <w:r w:rsidR="001C19EA">
        <w:t>Case</w:t>
      </w:r>
      <w:r>
        <w:t xml:space="preserve"> </w:t>
      </w:r>
      <w:r w:rsidR="001B5DD8">
        <w:t xml:space="preserve">alternative request </w:t>
      </w:r>
      <w:r>
        <w:t xml:space="preserve">submittals, </w:t>
      </w:r>
      <w:r w:rsidR="00E7756F">
        <w:t xml:space="preserve">impacts related to the attributes of </w:t>
      </w:r>
      <w:r>
        <w:t>public health (accident)</w:t>
      </w:r>
      <w:r w:rsidR="00E7756F">
        <w:t xml:space="preserve"> and</w:t>
      </w:r>
      <w:r>
        <w:t xml:space="preserve"> occupational health (accident and routine), </w:t>
      </w:r>
      <w:r w:rsidR="00E7756F">
        <w:t xml:space="preserve">improved </w:t>
      </w:r>
      <w:r w:rsidR="00DF4345">
        <w:t xml:space="preserve">regulatory efficiency, </w:t>
      </w:r>
      <w:r>
        <w:t xml:space="preserve">and </w:t>
      </w:r>
      <w:r w:rsidR="00631CEE">
        <w:t xml:space="preserve">an </w:t>
      </w:r>
      <w:r w:rsidR="00DF4345">
        <w:t xml:space="preserve">increase of knowledge </w:t>
      </w:r>
      <w:r>
        <w:t>produce a number o</w:t>
      </w:r>
      <w:r w:rsidR="00DF4345">
        <w:t>f</w:t>
      </w:r>
      <w:r>
        <w:t xml:space="preserve"> nonquantifiable benefits for industry and the NRC.  </w:t>
      </w:r>
      <w:r w:rsidR="001C4A8F">
        <w:t>For example, advancements in ISI and IST may provide an incremental reduction of the likelihood of a radiological accident, incrementally decrease the likelihood of post</w:t>
      </w:r>
      <w:r w:rsidR="00745626">
        <w:t>-</w:t>
      </w:r>
      <w:r w:rsidR="001C4A8F">
        <w:t xml:space="preserve">accident plant worker exposure, and incrementally decrease plant worker radiological exposures during routine inspections or testing.  </w:t>
      </w:r>
      <w:r w:rsidR="00631CEE">
        <w:t xml:space="preserve">Alternative 2 </w:t>
      </w:r>
      <w:r w:rsidR="00631CEE" w:rsidRPr="002B08D8">
        <w:t>would</w:t>
      </w:r>
      <w:r w:rsidR="00631CEE">
        <w:t xml:space="preserve"> provide</w:t>
      </w:r>
      <w:r w:rsidR="00631CEE" w:rsidDel="00631CEE">
        <w:t xml:space="preserve"> </w:t>
      </w:r>
      <w:r w:rsidR="00631CEE">
        <w:t>the following f</w:t>
      </w:r>
      <w:r w:rsidR="004C1341">
        <w:t>our</w:t>
      </w:r>
      <w:r w:rsidR="001C4A8F">
        <w:t xml:space="preserve"> nonquantifiable benefits from regulatory efficiency</w:t>
      </w:r>
      <w:r w:rsidR="00E92666">
        <w:t>:</w:t>
      </w:r>
    </w:p>
    <w:p w14:paraId="48929573" w14:textId="77777777" w:rsidR="00E92666" w:rsidRDefault="00E92666" w:rsidP="00FF0EE8">
      <w:pPr>
        <w:spacing w:line="240" w:lineRule="auto"/>
      </w:pPr>
    </w:p>
    <w:p w14:paraId="3A7C25E8" w14:textId="04EBCCE8" w:rsidR="00E92666" w:rsidRDefault="004C1341" w:rsidP="00FF0EE8">
      <w:pPr>
        <w:pStyle w:val="ListParagraph"/>
        <w:numPr>
          <w:ilvl w:val="0"/>
          <w:numId w:val="9"/>
        </w:numPr>
        <w:spacing w:after="240" w:line="240" w:lineRule="auto"/>
        <w:ind w:hanging="720"/>
        <w:contextualSpacing w:val="0"/>
      </w:pPr>
      <w:r w:rsidRPr="002B08D8">
        <w:t xml:space="preserve">flexibility and </w:t>
      </w:r>
      <w:r w:rsidR="00473906">
        <w:t>a</w:t>
      </w:r>
      <w:r w:rsidR="00473906" w:rsidRPr="002B08D8">
        <w:t xml:space="preserve"> </w:t>
      </w:r>
      <w:r w:rsidRPr="002B08D8">
        <w:t xml:space="preserve">decrease </w:t>
      </w:r>
      <w:r w:rsidR="00473906">
        <w:t>in</w:t>
      </w:r>
      <w:r w:rsidR="00473906" w:rsidRPr="002B08D8">
        <w:t xml:space="preserve"> </w:t>
      </w:r>
      <w:r w:rsidRPr="002B08D8">
        <w:t xml:space="preserve">uncertainty when </w:t>
      </w:r>
      <w:r w:rsidR="00473906">
        <w:t xml:space="preserve">licensees </w:t>
      </w:r>
      <w:r w:rsidRPr="002B08D8">
        <w:t>mak</w:t>
      </w:r>
      <w:r w:rsidR="00473906">
        <w:t>e</w:t>
      </w:r>
      <w:r w:rsidRPr="002B08D8">
        <w:t xml:space="preserve"> modifications</w:t>
      </w:r>
      <w:r>
        <w:t xml:space="preserve"> or prepar</w:t>
      </w:r>
      <w:r w:rsidR="00473906">
        <w:t>e</w:t>
      </w:r>
      <w:r>
        <w:t xml:space="preserve"> to perform ISI or IST</w:t>
      </w:r>
    </w:p>
    <w:p w14:paraId="47C719E9" w14:textId="20B306A3" w:rsidR="00E92666" w:rsidRDefault="00645C88" w:rsidP="00FF0EE8">
      <w:pPr>
        <w:pStyle w:val="ListParagraph"/>
        <w:numPr>
          <w:ilvl w:val="0"/>
          <w:numId w:val="9"/>
        </w:numPr>
        <w:spacing w:after="240" w:line="240" w:lineRule="auto"/>
        <w:ind w:hanging="720"/>
        <w:contextualSpacing w:val="0"/>
      </w:pPr>
      <w:r>
        <w:t>consistency</w:t>
      </w:r>
      <w:r w:rsidR="004C1341" w:rsidRPr="002B08D8">
        <w:t xml:space="preserve"> with the provisions of the NTTAA, which encourages Federal regulatory agencies to consider adopting voluntary consensus standards as an alternative to </w:t>
      </w:r>
      <w:r w:rsidR="004C1341" w:rsidRPr="003C65C7">
        <w:rPr>
          <w:i/>
        </w:rPr>
        <w:t xml:space="preserve">de novo </w:t>
      </w:r>
      <w:r w:rsidR="004C1341" w:rsidRPr="00473906">
        <w:t>ag</w:t>
      </w:r>
      <w:r w:rsidR="004C1341" w:rsidRPr="002B08D8">
        <w:t>ency development of standards affecting an industry</w:t>
      </w:r>
    </w:p>
    <w:p w14:paraId="3C39D750" w14:textId="1145F772" w:rsidR="00E92666" w:rsidRDefault="004C1341" w:rsidP="00FF0EE8">
      <w:pPr>
        <w:pStyle w:val="ListParagraph"/>
        <w:numPr>
          <w:ilvl w:val="0"/>
          <w:numId w:val="9"/>
        </w:numPr>
        <w:spacing w:after="240" w:line="240" w:lineRule="auto"/>
        <w:ind w:hanging="720"/>
        <w:contextualSpacing w:val="0"/>
      </w:pPr>
      <w:r>
        <w:t>consistency</w:t>
      </w:r>
      <w:r w:rsidRPr="002B08D8">
        <w:t xml:space="preserve"> with </w:t>
      </w:r>
      <w:r w:rsidR="002430B8">
        <w:t xml:space="preserve">the </w:t>
      </w:r>
      <w:r w:rsidRPr="002B08D8">
        <w:t>NRC</w:t>
      </w:r>
      <w:r>
        <w:t>’s</w:t>
      </w:r>
      <w:r w:rsidRPr="002B08D8">
        <w:t xml:space="preserve"> policy of evaluating the latest versions of consensus standards in terms of their suitability for endorsement by regulations and </w:t>
      </w:r>
      <w:r w:rsidR="00473906">
        <w:t>RG</w:t>
      </w:r>
      <w:r w:rsidRPr="002B08D8">
        <w:t>s</w:t>
      </w:r>
    </w:p>
    <w:p w14:paraId="1205DF79" w14:textId="03B847C8" w:rsidR="004C1341" w:rsidRDefault="004C1341" w:rsidP="00FF0EE8">
      <w:pPr>
        <w:pStyle w:val="ListParagraph"/>
        <w:numPr>
          <w:ilvl w:val="0"/>
          <w:numId w:val="9"/>
        </w:numPr>
        <w:spacing w:line="240" w:lineRule="auto"/>
        <w:ind w:hanging="720"/>
      </w:pPr>
      <w:r w:rsidRPr="002B08D8">
        <w:t>consisten</w:t>
      </w:r>
      <w:r>
        <w:t>cy</w:t>
      </w:r>
      <w:r w:rsidRPr="002B08D8">
        <w:t xml:space="preserve"> with </w:t>
      </w:r>
      <w:r w:rsidR="002430B8">
        <w:t xml:space="preserve">the </w:t>
      </w:r>
      <w:r w:rsidRPr="002B08D8">
        <w:t>NRC’s goal to harmonize with international standards to improve regulatory efficiency for both the NRC and international standards groups</w:t>
      </w:r>
    </w:p>
    <w:p w14:paraId="065ADC68" w14:textId="77777777" w:rsidR="004C1341" w:rsidRDefault="004C1341" w:rsidP="00FF0EE8">
      <w:pPr>
        <w:spacing w:line="240" w:lineRule="auto"/>
      </w:pPr>
    </w:p>
    <w:p w14:paraId="66C64524" w14:textId="45E43CCD" w:rsidR="0052082A" w:rsidRPr="001C4A8F" w:rsidRDefault="00543681" w:rsidP="00FF0EE8">
      <w:pPr>
        <w:spacing w:line="240" w:lineRule="auto"/>
      </w:pPr>
      <w:r>
        <w:t>The</w:t>
      </w:r>
      <w:r w:rsidR="001C4A8F">
        <w:t xml:space="preserve"> </w:t>
      </w:r>
      <w:r w:rsidR="002C3CF2">
        <w:t>incorporation by reference</w:t>
      </w:r>
      <w:r w:rsidR="001C4A8F">
        <w:t xml:space="preserve"> of </w:t>
      </w:r>
      <w:r w:rsidR="0046138F">
        <w:t xml:space="preserve">the </w:t>
      </w:r>
      <w:r w:rsidR="0046138F" w:rsidRPr="00BD3549">
        <w:t xml:space="preserve">latest revisions </w:t>
      </w:r>
      <w:r w:rsidR="00AD53A1">
        <w:t>to</w:t>
      </w:r>
      <w:r w:rsidR="00AD53A1" w:rsidRPr="00BD3549">
        <w:t xml:space="preserve"> </w:t>
      </w:r>
      <w:r w:rsidR="0046138F" w:rsidRPr="00BD3549">
        <w:t xml:space="preserve">three </w:t>
      </w:r>
      <w:r w:rsidR="00473906">
        <w:t>RG</w:t>
      </w:r>
      <w:r w:rsidR="0046138F">
        <w:t xml:space="preserve">s </w:t>
      </w:r>
      <w:r w:rsidR="0046138F" w:rsidRPr="00BD3549">
        <w:t>that</w:t>
      </w:r>
      <w:r w:rsidR="0046138F">
        <w:t xml:space="preserve"> include </w:t>
      </w:r>
      <w:r w:rsidR="008B49DB">
        <w:t xml:space="preserve">the  </w:t>
      </w:r>
      <w:r w:rsidR="001C4A8F">
        <w:t>NRC</w:t>
      </w:r>
      <w:r w:rsidR="00473906">
        <w:noBreakHyphen/>
      </w:r>
      <w:r w:rsidR="001C4A8F">
        <w:t xml:space="preserve">approved </w:t>
      </w:r>
      <w:r w:rsidR="00AE121B">
        <w:t>Code Cases</w:t>
      </w:r>
      <w:r w:rsidR="001C4A8F">
        <w:t xml:space="preserve"> into the </w:t>
      </w:r>
      <w:r w:rsidR="001C4A8F">
        <w:rPr>
          <w:i/>
        </w:rPr>
        <w:t>Code of Federal Regulations</w:t>
      </w:r>
      <w:r w:rsidR="001C4A8F">
        <w:t xml:space="preserve"> provides significant gain </w:t>
      </w:r>
      <w:r w:rsidR="00CD660A">
        <w:t xml:space="preserve">by allowing for </w:t>
      </w:r>
      <w:r w:rsidR="001C4A8F">
        <w:t xml:space="preserve">the consistent application of these </w:t>
      </w:r>
      <w:r w:rsidR="00AE121B">
        <w:t>Code Cases</w:t>
      </w:r>
      <w:r w:rsidR="00CD660A">
        <w:t>,</w:t>
      </w:r>
      <w:r>
        <w:t xml:space="preserve"> </w:t>
      </w:r>
      <w:r w:rsidR="001C4A8F">
        <w:t>consistency with the provisions of the NTTAA</w:t>
      </w:r>
      <w:r w:rsidR="00CD660A">
        <w:t>,</w:t>
      </w:r>
      <w:r w:rsidR="001C4A8F">
        <w:t xml:space="preserve"> and harmoniz</w:t>
      </w:r>
      <w:r w:rsidR="00CD660A">
        <w:t>ation</w:t>
      </w:r>
      <w:r w:rsidR="001C4A8F">
        <w:t xml:space="preserve"> with international standards.</w:t>
      </w:r>
      <w:r w:rsidR="00412424">
        <w:t xml:space="preserve">  The NRC staff </w:t>
      </w:r>
      <w:r w:rsidR="00E92666">
        <w:t>believes</w:t>
      </w:r>
      <w:r w:rsidR="00412424">
        <w:t xml:space="preserve"> that </w:t>
      </w:r>
      <w:r w:rsidR="00473906">
        <w:t xml:space="preserve">the agency’s </w:t>
      </w:r>
      <w:r w:rsidR="00412424">
        <w:t xml:space="preserve">timely review and approval of </w:t>
      </w:r>
      <w:r w:rsidR="00AE121B">
        <w:t>Code Cases</w:t>
      </w:r>
      <w:r w:rsidR="00412424">
        <w:t xml:space="preserve"> </w:t>
      </w:r>
      <w:r w:rsidR="00AD53A1">
        <w:t xml:space="preserve">will help </w:t>
      </w:r>
      <w:r w:rsidR="00412424">
        <w:t xml:space="preserve">maintain </w:t>
      </w:r>
      <w:r w:rsidR="00473906">
        <w:t>its</w:t>
      </w:r>
      <w:r w:rsidR="00473906" w:rsidRPr="00BD3549">
        <w:t xml:space="preserve"> </w:t>
      </w:r>
      <w:r w:rsidR="00412424" w:rsidRPr="00BD3549">
        <w:t xml:space="preserve">role as an effective industry regulator </w:t>
      </w:r>
      <w:r w:rsidR="00412424">
        <w:t>that would otherwise be</w:t>
      </w:r>
      <w:r w:rsidR="00412424" w:rsidRPr="00BD3549">
        <w:t xml:space="preserve"> unde</w:t>
      </w:r>
      <w:r w:rsidR="00DF4345">
        <w:t>te</w:t>
      </w:r>
      <w:r w:rsidR="00412424" w:rsidRPr="00BD3549">
        <w:t xml:space="preserve">rmined </w:t>
      </w:r>
      <w:r w:rsidR="00412424">
        <w:t>if</w:t>
      </w:r>
      <w:r w:rsidR="00412424" w:rsidRPr="00BD3549">
        <w:t xml:space="preserve"> outdated material would remain </w:t>
      </w:r>
      <w:r w:rsidR="002C3CF2">
        <w:t>incorporated by reference</w:t>
      </w:r>
      <w:r w:rsidR="00412424" w:rsidRPr="00BD3549">
        <w:t xml:space="preserve"> in</w:t>
      </w:r>
      <w:r w:rsidR="00400B59">
        <w:t>to</w:t>
      </w:r>
      <w:r w:rsidR="00412424" w:rsidRPr="00BD3549">
        <w:t xml:space="preserve"> the </w:t>
      </w:r>
      <w:r w:rsidR="00412424" w:rsidRPr="00BD3549">
        <w:rPr>
          <w:i/>
        </w:rPr>
        <w:t>Code of Federal Regulations</w:t>
      </w:r>
      <w:r w:rsidR="00412424" w:rsidRPr="00BD3549">
        <w:t>.</w:t>
      </w:r>
    </w:p>
    <w:p w14:paraId="55C65023" w14:textId="77777777" w:rsidR="00CB5FBE" w:rsidRDefault="00CB5FBE" w:rsidP="00FF0EE8">
      <w:pPr>
        <w:spacing w:line="240" w:lineRule="auto"/>
      </w:pPr>
    </w:p>
    <w:p w14:paraId="3553C884" w14:textId="6848DA82" w:rsidR="00F87A16" w:rsidRDefault="00412424" w:rsidP="00FF0EE8">
      <w:pPr>
        <w:spacing w:line="240" w:lineRule="auto"/>
      </w:pPr>
      <w:r>
        <w:t xml:space="preserve">Furthermore, </w:t>
      </w:r>
      <w:r w:rsidR="00F87A16">
        <w:t xml:space="preserve">the opportunity for staff to improve </w:t>
      </w:r>
      <w:r w:rsidR="00543681">
        <w:t xml:space="preserve">its </w:t>
      </w:r>
      <w:r w:rsidR="00F87A16">
        <w:t>knowledge</w:t>
      </w:r>
      <w:r>
        <w:t xml:space="preserve"> results in increased job satisfaction.  Developing greater knowledge and common understanding of the </w:t>
      </w:r>
      <w:r w:rsidR="00543681">
        <w:t xml:space="preserve">ASME </w:t>
      </w:r>
      <w:r w:rsidR="00F87A16">
        <w:t>Code</w:t>
      </w:r>
      <w:r w:rsidR="00543681">
        <w:t xml:space="preserve">, as well as </w:t>
      </w:r>
      <w:r w:rsidR="00F87A16">
        <w:t>eliminating unnecessary work</w:t>
      </w:r>
      <w:r w:rsidR="00543681">
        <w:t>,</w:t>
      </w:r>
      <w:r w:rsidR="00F87A16">
        <w:t xml:space="preserve"> better enables</w:t>
      </w:r>
      <w:r w:rsidR="006F0BA5">
        <w:t xml:space="preserve"> the</w:t>
      </w:r>
      <w:r w:rsidR="00F87A16">
        <w:t xml:space="preserve"> industry and </w:t>
      </w:r>
      <w:r w:rsidR="00543681">
        <w:t xml:space="preserve">the </w:t>
      </w:r>
      <w:r w:rsidR="00F87A16">
        <w:t>NRC staff to produce desired on</w:t>
      </w:r>
      <w:r w:rsidR="00543681">
        <w:noBreakHyphen/>
      </w:r>
      <w:r w:rsidR="00F87A16">
        <w:t>the</w:t>
      </w:r>
      <w:r w:rsidR="00543681">
        <w:noBreakHyphen/>
      </w:r>
      <w:r w:rsidR="00F87A16">
        <w:t>job results, which leads to pride in performance and increased job satisfaction.</w:t>
      </w:r>
    </w:p>
    <w:p w14:paraId="6A4040E0" w14:textId="77777777" w:rsidR="001C4A8F" w:rsidRDefault="00543681" w:rsidP="00FF0EE8">
      <w:pPr>
        <w:pStyle w:val="Heading3"/>
        <w:spacing w:line="240" w:lineRule="auto"/>
        <w:ind w:left="720" w:hanging="684"/>
      </w:pPr>
      <w:r>
        <w:t xml:space="preserve"> </w:t>
      </w:r>
      <w:bookmarkStart w:id="330" w:name="_Toc462224983"/>
      <w:bookmarkStart w:id="331" w:name="_Toc468875942"/>
      <w:r w:rsidR="00580140">
        <w:t>Nonquantified Costs</w:t>
      </w:r>
      <w:bookmarkEnd w:id="330"/>
      <w:bookmarkEnd w:id="331"/>
    </w:p>
    <w:p w14:paraId="3E05B1CF" w14:textId="77777777" w:rsidR="00580140" w:rsidRDefault="00580140" w:rsidP="00FF0EE8">
      <w:pPr>
        <w:keepNext/>
        <w:spacing w:line="240" w:lineRule="auto"/>
      </w:pPr>
    </w:p>
    <w:p w14:paraId="7B832345" w14:textId="720BCFED" w:rsidR="009D1B0C" w:rsidRDefault="009D1B0C" w:rsidP="00FF0EE8">
      <w:pPr>
        <w:spacing w:line="240" w:lineRule="auto"/>
      </w:pPr>
      <w:r>
        <w:t xml:space="preserve">As discussed in </w:t>
      </w:r>
      <w:r w:rsidR="00543681">
        <w:t>S</w:t>
      </w:r>
      <w:r>
        <w:t>ections</w:t>
      </w:r>
      <w:r w:rsidR="00543681">
        <w:t> </w:t>
      </w:r>
      <w:r>
        <w:fldChar w:fldCharType="begin"/>
      </w:r>
      <w:r>
        <w:instrText xml:space="preserve"> REF _Ref386985636 \r \h </w:instrText>
      </w:r>
      <w:r>
        <w:fldChar w:fldCharType="separate"/>
      </w:r>
      <w:r w:rsidR="00FD3AB6">
        <w:t>5.6.1</w:t>
      </w:r>
      <w:r>
        <w:fldChar w:fldCharType="end"/>
      </w:r>
      <w:r>
        <w:t xml:space="preserve"> and </w:t>
      </w:r>
      <w:r>
        <w:fldChar w:fldCharType="begin"/>
      </w:r>
      <w:r>
        <w:instrText xml:space="preserve"> REF _Ref386985648 \r \h </w:instrText>
      </w:r>
      <w:r>
        <w:fldChar w:fldCharType="separate"/>
      </w:r>
      <w:r w:rsidR="00FD3AB6">
        <w:t>5.8.1</w:t>
      </w:r>
      <w:r>
        <w:fldChar w:fldCharType="end"/>
      </w:r>
      <w:r>
        <w:t xml:space="preserve">, the NRC staff </w:t>
      </w:r>
      <w:r w:rsidR="00517498">
        <w:t xml:space="preserve">believes that </w:t>
      </w:r>
      <w:r w:rsidR="002C3CF2">
        <w:t>incorporatin</w:t>
      </w:r>
      <w:r w:rsidR="006F0BA5">
        <w:t>g</w:t>
      </w:r>
      <w:r w:rsidR="002C3CF2">
        <w:t xml:space="preserve"> by reference</w:t>
      </w:r>
      <w:r w:rsidRPr="00BD3549">
        <w:t xml:space="preserve"> the most recent </w:t>
      </w:r>
      <w:r w:rsidR="0062744C">
        <w:t>RGs</w:t>
      </w:r>
      <w:r w:rsidR="00DF4345">
        <w:t xml:space="preserve"> that</w:t>
      </w:r>
      <w:r w:rsidRPr="00BD3549">
        <w:t xml:space="preserve"> list NRC</w:t>
      </w:r>
      <w:r w:rsidR="00543681">
        <w:noBreakHyphen/>
      </w:r>
      <w:r w:rsidRPr="00BD3549">
        <w:t xml:space="preserve">approved </w:t>
      </w:r>
      <w:r w:rsidR="00AE121B">
        <w:t>Code Cases</w:t>
      </w:r>
      <w:r w:rsidRPr="00BD3549">
        <w:t xml:space="preserve"> in</w:t>
      </w:r>
      <w:r w:rsidR="00543681">
        <w:t xml:space="preserve">to </w:t>
      </w:r>
      <w:r w:rsidRPr="00BD3549">
        <w:t>the</w:t>
      </w:r>
      <w:r w:rsidRPr="00BD3549">
        <w:rPr>
          <w:i/>
        </w:rPr>
        <w:t xml:space="preserve"> Code of Federal Regulations</w:t>
      </w:r>
      <w:r>
        <w:t xml:space="preserve"> </w:t>
      </w:r>
      <w:r w:rsidR="00517498">
        <w:t>would</w:t>
      </w:r>
      <w:r>
        <w:t xml:space="preserve"> decrease industry and NRC operation costs.  If the NRC staff underestimated the number or the complexity of these </w:t>
      </w:r>
      <w:r w:rsidR="00517498">
        <w:t xml:space="preserve">eliminated </w:t>
      </w:r>
      <w:r>
        <w:t xml:space="preserve">submittals, the averted costs would increase proportionally, </w:t>
      </w:r>
      <w:r w:rsidR="00543681">
        <w:t xml:space="preserve">thus </w:t>
      </w:r>
      <w:r>
        <w:t xml:space="preserve">causing the quantified net </w:t>
      </w:r>
      <w:r w:rsidR="009505A0">
        <w:t xml:space="preserve">cost </w:t>
      </w:r>
      <w:r>
        <w:t>of alternative</w:t>
      </w:r>
      <w:r w:rsidR="00543681">
        <w:t> </w:t>
      </w:r>
      <w:r w:rsidR="0071323B">
        <w:t xml:space="preserve">2 to </w:t>
      </w:r>
      <w:r w:rsidR="009505A0">
        <w:t>decrease</w:t>
      </w:r>
      <w:r w:rsidR="0071323B">
        <w:t>.</w:t>
      </w:r>
    </w:p>
    <w:p w14:paraId="70ECFC6F" w14:textId="77777777" w:rsidR="0028294D" w:rsidRDefault="0028294D" w:rsidP="00FF0EE8">
      <w:pPr>
        <w:pStyle w:val="Heading2"/>
        <w:spacing w:line="240" w:lineRule="auto"/>
        <w:ind w:left="360" w:hanging="360"/>
      </w:pPr>
      <w:bookmarkStart w:id="332" w:name="_Toc414345548"/>
      <w:bookmarkStart w:id="333" w:name="_Toc414345926"/>
      <w:bookmarkStart w:id="334" w:name="_Toc414346144"/>
      <w:bookmarkStart w:id="335" w:name="_Toc414345549"/>
      <w:bookmarkStart w:id="336" w:name="_Toc414345927"/>
      <w:bookmarkStart w:id="337" w:name="_Toc414346145"/>
      <w:bookmarkStart w:id="338" w:name="_Toc462224984"/>
      <w:bookmarkStart w:id="339" w:name="_Toc468875943"/>
      <w:bookmarkEnd w:id="332"/>
      <w:bookmarkEnd w:id="333"/>
      <w:bookmarkEnd w:id="334"/>
      <w:bookmarkEnd w:id="335"/>
      <w:bookmarkEnd w:id="336"/>
      <w:bookmarkEnd w:id="337"/>
      <w:r>
        <w:t>Safety Goal Evaluation</w:t>
      </w:r>
      <w:bookmarkEnd w:id="338"/>
      <w:bookmarkEnd w:id="339"/>
    </w:p>
    <w:p w14:paraId="4E9D1D98" w14:textId="77777777" w:rsidR="0028294D" w:rsidRPr="0028294D" w:rsidRDefault="0028294D" w:rsidP="00FF0EE8">
      <w:pPr>
        <w:keepNext/>
        <w:spacing w:line="240" w:lineRule="auto"/>
      </w:pPr>
    </w:p>
    <w:p w14:paraId="7C852004" w14:textId="16B2BA3E" w:rsidR="00197710" w:rsidRDefault="00197710" w:rsidP="00FF0EE8">
      <w:pPr>
        <w:spacing w:line="240" w:lineRule="auto"/>
      </w:pPr>
      <w:r w:rsidRPr="001778F0">
        <w:t xml:space="preserve">The </w:t>
      </w:r>
      <w:r w:rsidR="00126047">
        <w:t>final</w:t>
      </w:r>
      <w:r>
        <w:t xml:space="preserve"> </w:t>
      </w:r>
      <w:r w:rsidRPr="001778F0">
        <w:t xml:space="preserve">rule </w:t>
      </w:r>
      <w:r>
        <w:t>alternative (alternative</w:t>
      </w:r>
      <w:r w:rsidR="00543681">
        <w:t> </w:t>
      </w:r>
      <w:r>
        <w:t xml:space="preserve">2) </w:t>
      </w:r>
      <w:r w:rsidRPr="001778F0">
        <w:t>would allow licensees and applicants to apply NRC</w:t>
      </w:r>
      <w:r w:rsidR="00543681">
        <w:noBreakHyphen/>
      </w:r>
      <w:r w:rsidRPr="001778F0">
        <w:t>approved Code Cases</w:t>
      </w:r>
      <w:r w:rsidR="006F0BA5" w:rsidRPr="006F0BA5">
        <w:t xml:space="preserve"> </w:t>
      </w:r>
      <w:r w:rsidR="006F0BA5" w:rsidRPr="001778F0">
        <w:t>voluntarily</w:t>
      </w:r>
      <w:r w:rsidRPr="001778F0">
        <w:t>, sometimes with NRC</w:t>
      </w:r>
      <w:r w:rsidR="00543681">
        <w:noBreakHyphen/>
      </w:r>
      <w:r w:rsidRPr="001778F0">
        <w:t xml:space="preserve">specified conditions.  Three </w:t>
      </w:r>
      <w:r w:rsidR="00543681">
        <w:t>RG</w:t>
      </w:r>
      <w:r>
        <w:t>s</w:t>
      </w:r>
      <w:r w:rsidRPr="001778F0">
        <w:t xml:space="preserve"> that are incorporated by reference into </w:t>
      </w:r>
      <w:r>
        <w:t>10</w:t>
      </w:r>
      <w:r w:rsidR="00543681">
        <w:t> </w:t>
      </w:r>
      <w:r>
        <w:t>CFR</w:t>
      </w:r>
      <w:r w:rsidR="00543681">
        <w:t> </w:t>
      </w:r>
      <w:r>
        <w:t>50.55a</w:t>
      </w:r>
      <w:r w:rsidR="00874A0F">
        <w:t xml:space="preserve"> list the approved Code Cases</w:t>
      </w:r>
      <w:r>
        <w:t>.</w:t>
      </w:r>
    </w:p>
    <w:p w14:paraId="1A2A2474" w14:textId="77777777" w:rsidR="00197710" w:rsidRPr="001778F0" w:rsidRDefault="00197710" w:rsidP="00FF0EE8">
      <w:pPr>
        <w:spacing w:line="240" w:lineRule="auto"/>
      </w:pPr>
    </w:p>
    <w:p w14:paraId="5DC5384D" w14:textId="31EB49CC" w:rsidR="00780F91" w:rsidRPr="0028294D" w:rsidRDefault="00197710" w:rsidP="00FF0EE8">
      <w:pPr>
        <w:spacing w:line="240" w:lineRule="auto"/>
      </w:pPr>
      <w:r w:rsidRPr="001778F0">
        <w:t xml:space="preserve">An applicant’s or a licensee’s voluntary application of an approved Code Case does not constitute backfitting </w:t>
      </w:r>
      <w:r w:rsidR="00543681">
        <w:t>because</w:t>
      </w:r>
      <w:r w:rsidRPr="001778F0">
        <w:t xml:space="preserve"> there is no imposition of a new requirement or new position.  Similarly, voluntary application of an approved Code Case by a 10</w:t>
      </w:r>
      <w:r w:rsidR="00543681">
        <w:t> </w:t>
      </w:r>
      <w:r w:rsidRPr="001778F0">
        <w:t>CFR</w:t>
      </w:r>
      <w:r w:rsidR="00543681">
        <w:t> </w:t>
      </w:r>
      <w:r>
        <w:t>Part</w:t>
      </w:r>
      <w:r w:rsidR="00543681">
        <w:t> </w:t>
      </w:r>
      <w:r w:rsidRPr="001778F0">
        <w:t xml:space="preserve">52 applicant or licensee does not represent </w:t>
      </w:r>
      <w:r w:rsidR="008B49DB">
        <w:t xml:space="preserve">the </w:t>
      </w:r>
      <w:r w:rsidRPr="001778F0">
        <w:t>NRC</w:t>
      </w:r>
      <w:r w:rsidR="008B49DB">
        <w:t>’s</w:t>
      </w:r>
      <w:r w:rsidRPr="001778F0">
        <w:t xml:space="preserve"> imposition of a requirement or action, which is inconsistent with any issue finality provision in 10</w:t>
      </w:r>
      <w:r w:rsidR="00543681">
        <w:t> </w:t>
      </w:r>
      <w:r w:rsidRPr="001778F0">
        <w:t>CFR</w:t>
      </w:r>
      <w:r w:rsidR="00543681">
        <w:t> </w:t>
      </w:r>
      <w:r>
        <w:t>P</w:t>
      </w:r>
      <w:r w:rsidRPr="001778F0">
        <w:t>art</w:t>
      </w:r>
      <w:r w:rsidR="00543681">
        <w:t> </w:t>
      </w:r>
      <w:r w:rsidRPr="001778F0">
        <w:t>52.  For these reason</w:t>
      </w:r>
      <w:r>
        <w:t xml:space="preserve">s, the NRC finds that this </w:t>
      </w:r>
      <w:r w:rsidR="00126047">
        <w:t>final</w:t>
      </w:r>
      <w:r w:rsidRPr="001778F0">
        <w:t xml:space="preserve"> rule does not involve any provisions requiring the preparation of a backfit analysis or documentation demonstrating that one or more of the issue finality criteria in 10</w:t>
      </w:r>
      <w:r w:rsidR="00543681">
        <w:t> </w:t>
      </w:r>
      <w:r w:rsidRPr="001778F0">
        <w:t>CFR</w:t>
      </w:r>
      <w:r w:rsidR="00543681">
        <w:t> </w:t>
      </w:r>
      <w:r>
        <w:t>P</w:t>
      </w:r>
      <w:r w:rsidRPr="001778F0">
        <w:t>art</w:t>
      </w:r>
      <w:r w:rsidR="00543681">
        <w:t> </w:t>
      </w:r>
      <w:r w:rsidRPr="001778F0">
        <w:t>52 are met.</w:t>
      </w:r>
      <w:r>
        <w:t xml:space="preserve">  Furthermore, the safety goal evaluation </w:t>
      </w:r>
      <w:r w:rsidR="00383495">
        <w:t>applies</w:t>
      </w:r>
      <w:r>
        <w:t xml:space="preserve"> only to regulatory initiatives considered to be generic safety enhancement backfits subject to the substantial additional protection standard at 10</w:t>
      </w:r>
      <w:r w:rsidR="00543681">
        <w:t> </w:t>
      </w:r>
      <w:r>
        <w:t>CFR</w:t>
      </w:r>
      <w:r w:rsidR="00543681">
        <w:t> </w:t>
      </w:r>
      <w:r>
        <w:t>50.109(a)(3).  Therefore</w:t>
      </w:r>
      <w:r w:rsidR="00780F91">
        <w:t xml:space="preserve">, a safety goal evaluation is not appropriate for this </w:t>
      </w:r>
      <w:r w:rsidR="0026556F">
        <w:t xml:space="preserve">regulatory </w:t>
      </w:r>
      <w:r w:rsidR="00780F91">
        <w:t>analysis.</w:t>
      </w:r>
    </w:p>
    <w:p w14:paraId="720DCAB8" w14:textId="77777777" w:rsidR="00F75A58" w:rsidRPr="00BD3549" w:rsidRDefault="00F75A58" w:rsidP="00FF0EE8">
      <w:pPr>
        <w:pStyle w:val="Heading1"/>
        <w:spacing w:line="240" w:lineRule="auto"/>
        <w:ind w:left="360"/>
      </w:pPr>
      <w:bookmarkStart w:id="340" w:name="_Toc462224985"/>
      <w:bookmarkStart w:id="341" w:name="_Toc468875944"/>
      <w:r w:rsidRPr="00BD3549">
        <w:t>Decision Rationale</w:t>
      </w:r>
      <w:bookmarkEnd w:id="340"/>
      <w:bookmarkEnd w:id="341"/>
    </w:p>
    <w:p w14:paraId="1626F280" w14:textId="77777777" w:rsidR="00A12937" w:rsidRDefault="00A12937" w:rsidP="00FF0EE8">
      <w:pPr>
        <w:keepNext/>
        <w:spacing w:line="240" w:lineRule="auto"/>
      </w:pPr>
    </w:p>
    <w:p w14:paraId="6F31E380" w14:textId="66F0C6C0" w:rsidR="00625149" w:rsidRDefault="003A6D55" w:rsidP="00FF0EE8">
      <w:pPr>
        <w:spacing w:line="240" w:lineRule="auto"/>
      </w:pPr>
      <w:r w:rsidRPr="00AE6536">
        <w:fldChar w:fldCharType="begin"/>
      </w:r>
      <w:r w:rsidRPr="00AE6536">
        <w:instrText xml:space="preserve"> REF _Ref420421620 \h </w:instrText>
      </w:r>
      <w:r w:rsidR="00383495" w:rsidRPr="00D557C2">
        <w:instrText xml:space="preserve"> \* MERGEFORMAT </w:instrText>
      </w:r>
      <w:r w:rsidRPr="00AE6536">
        <w:fldChar w:fldCharType="separate"/>
      </w:r>
      <w:r w:rsidR="00FD3AB6" w:rsidRPr="00FD3AB6">
        <w:t xml:space="preserve">Table </w:t>
      </w:r>
      <w:r w:rsidR="00FD3AB6" w:rsidRPr="00FD3AB6">
        <w:rPr>
          <w:noProof/>
        </w:rPr>
        <w:t>24</w:t>
      </w:r>
      <w:r w:rsidRPr="00AE6536">
        <w:fldChar w:fldCharType="end"/>
      </w:r>
      <w:r w:rsidRPr="00CD387F">
        <w:t xml:space="preserve"> </w:t>
      </w:r>
      <w:r w:rsidR="00625149" w:rsidRPr="00AE6536">
        <w:t>prov</w:t>
      </w:r>
      <w:r w:rsidR="00625149">
        <w:t xml:space="preserve">ides the </w:t>
      </w:r>
      <w:r w:rsidR="00EE22F1">
        <w:t xml:space="preserve">monetary savings and costs and nonmonetary benefits and costs </w:t>
      </w:r>
      <w:r w:rsidR="00625149">
        <w:t xml:space="preserve">for </w:t>
      </w:r>
      <w:r w:rsidR="00C3787C">
        <w:t>a</w:t>
      </w:r>
      <w:r w:rsidR="00625149">
        <w:t>lternative</w:t>
      </w:r>
      <w:r w:rsidR="00611F89">
        <w:t> </w:t>
      </w:r>
      <w:r w:rsidR="00625149">
        <w:t>2</w:t>
      </w:r>
      <w:r w:rsidR="00611F89">
        <w:t>,</w:t>
      </w:r>
      <w:r w:rsidR="00A17027">
        <w:t xml:space="preserve"> incorporating by reference into 10</w:t>
      </w:r>
      <w:r w:rsidR="00611F89">
        <w:t> </w:t>
      </w:r>
      <w:r w:rsidR="00A17027">
        <w:t>CFR</w:t>
      </w:r>
      <w:r w:rsidR="00611F89">
        <w:t> </w:t>
      </w:r>
      <w:r w:rsidR="00A17027">
        <w:t xml:space="preserve">50.55a the latest revision of the </w:t>
      </w:r>
      <w:r w:rsidR="00611F89">
        <w:t>RG</w:t>
      </w:r>
      <w:r w:rsidR="00A17027">
        <w:t>s</w:t>
      </w:r>
      <w:r w:rsidR="00611F89">
        <w:t xml:space="preserve"> that</w:t>
      </w:r>
      <w:r w:rsidR="00A17027">
        <w:t xml:space="preserve"> list Code Case</w:t>
      </w:r>
      <w:r w:rsidR="00611F89">
        <w:t>s that are</w:t>
      </w:r>
      <w:r w:rsidR="00A17027">
        <w:t xml:space="preserve"> newly approved for use by the NRC</w:t>
      </w:r>
      <w:r w:rsidR="00625149">
        <w:t xml:space="preserve">.  </w:t>
      </w:r>
      <w:r w:rsidR="00874A0F">
        <w:t>T</w:t>
      </w:r>
      <w:r w:rsidR="00625149">
        <w:t>he quantitative analysis</w:t>
      </w:r>
      <w:r w:rsidR="00874A0F">
        <w:t xml:space="preserve"> used</w:t>
      </w:r>
      <w:r w:rsidR="00625149">
        <w:t xml:space="preserve"> the </w:t>
      </w:r>
      <w:r w:rsidR="00F00E40">
        <w:t>best estimate values</w:t>
      </w:r>
      <w:r w:rsidR="00EE22F1">
        <w:t>, which are expressed in the monetary savings and costs</w:t>
      </w:r>
      <w:r w:rsidR="00F00E40">
        <w:t>.</w:t>
      </w:r>
    </w:p>
    <w:p w14:paraId="67F19EE2" w14:textId="77777777" w:rsidR="00625149" w:rsidRDefault="00625149" w:rsidP="00FF0EE8">
      <w:pPr>
        <w:spacing w:line="240" w:lineRule="auto"/>
      </w:pPr>
    </w:p>
    <w:p w14:paraId="3B6927D5" w14:textId="636C22CD" w:rsidR="00811154" w:rsidRPr="00170EFF" w:rsidRDefault="00811154" w:rsidP="00FF0EE8">
      <w:pPr>
        <w:pStyle w:val="Caption"/>
        <w:spacing w:line="240" w:lineRule="auto"/>
        <w:ind w:left="1080" w:hanging="1080"/>
        <w:jc w:val="center"/>
        <w:rPr>
          <w:b/>
        </w:rPr>
      </w:pPr>
      <w:bookmarkStart w:id="342" w:name="_Ref420421620"/>
      <w:bookmarkStart w:id="343" w:name="_Toc467508513"/>
      <w:bookmarkStart w:id="344" w:name="_Toc462225019"/>
      <w:r w:rsidRPr="00170EFF">
        <w:rPr>
          <w:b/>
        </w:rPr>
        <w:t xml:space="preserve">Table </w:t>
      </w:r>
      <w:r w:rsidR="00782423" w:rsidRPr="00170EFF">
        <w:rPr>
          <w:b/>
        </w:rPr>
        <w:fldChar w:fldCharType="begin"/>
      </w:r>
      <w:r w:rsidR="00782423" w:rsidRPr="00170EFF">
        <w:rPr>
          <w:b/>
        </w:rPr>
        <w:instrText xml:space="preserve"> SEQ Table \* ARABIC </w:instrText>
      </w:r>
      <w:r w:rsidR="00782423" w:rsidRPr="00170EFF">
        <w:rPr>
          <w:b/>
        </w:rPr>
        <w:fldChar w:fldCharType="separate"/>
      </w:r>
      <w:r w:rsidR="00FD3AB6">
        <w:rPr>
          <w:b/>
          <w:noProof/>
        </w:rPr>
        <w:t>24</w:t>
      </w:r>
      <w:r w:rsidR="00782423" w:rsidRPr="00170EFF">
        <w:rPr>
          <w:b/>
        </w:rPr>
        <w:fldChar w:fldCharType="end"/>
      </w:r>
      <w:bookmarkEnd w:id="342"/>
      <w:r w:rsidR="00A73328" w:rsidRPr="00D557C2">
        <w:rPr>
          <w:b/>
        </w:rPr>
        <w:t xml:space="preserve">  </w:t>
      </w:r>
      <w:r w:rsidRPr="00170EFF">
        <w:rPr>
          <w:b/>
        </w:rPr>
        <w:t>Summary of Totals</w:t>
      </w:r>
      <w:bookmarkEnd w:id="343"/>
      <w:bookmarkEnd w:id="344"/>
    </w:p>
    <w:tbl>
      <w:tblPr>
        <w:tblStyle w:val="TableGrid"/>
        <w:tblW w:w="0" w:type="auto"/>
        <w:tblLook w:val="04A0" w:firstRow="1" w:lastRow="0" w:firstColumn="1" w:lastColumn="0" w:noHBand="0" w:noVBand="1"/>
      </w:tblPr>
      <w:tblGrid>
        <w:gridCol w:w="4248"/>
        <w:gridCol w:w="5328"/>
      </w:tblGrid>
      <w:tr w:rsidR="00A12937" w:rsidRPr="002C68BF" w14:paraId="4B9B7412" w14:textId="77777777" w:rsidTr="00D557C2">
        <w:trPr>
          <w:tblHeader/>
        </w:trPr>
        <w:tc>
          <w:tcPr>
            <w:tcW w:w="4248" w:type="dxa"/>
          </w:tcPr>
          <w:p w14:paraId="4C29E727" w14:textId="4E2850F2" w:rsidR="00A12937" w:rsidRPr="00170EFF" w:rsidRDefault="00A12937" w:rsidP="00FF0EE8">
            <w:pPr>
              <w:jc w:val="center"/>
              <w:rPr>
                <w:b/>
              </w:rPr>
            </w:pPr>
            <w:r w:rsidRPr="00170EFF">
              <w:rPr>
                <w:b/>
              </w:rPr>
              <w:t>Net Monetary Savings (or Costs</w:t>
            </w:r>
            <w:r w:rsidRPr="00D557C2">
              <w:rPr>
                <w:b/>
              </w:rPr>
              <w:t>)</w:t>
            </w:r>
            <w:r w:rsidR="00611F89" w:rsidRPr="00D557C2">
              <w:rPr>
                <w:b/>
              </w:rPr>
              <w:t>—</w:t>
            </w:r>
            <w:r w:rsidRPr="00170EFF">
              <w:rPr>
                <w:b/>
              </w:rPr>
              <w:t>Total Present Value</w:t>
            </w:r>
          </w:p>
        </w:tc>
        <w:tc>
          <w:tcPr>
            <w:tcW w:w="5328" w:type="dxa"/>
          </w:tcPr>
          <w:p w14:paraId="7E9595A9" w14:textId="470D764A" w:rsidR="00A12937" w:rsidRPr="00170EFF" w:rsidRDefault="00A12937" w:rsidP="00FF0EE8">
            <w:pPr>
              <w:jc w:val="center"/>
              <w:rPr>
                <w:b/>
              </w:rPr>
            </w:pPr>
            <w:r w:rsidRPr="00D557C2">
              <w:rPr>
                <w:b/>
              </w:rPr>
              <w:t>Non</w:t>
            </w:r>
            <w:r w:rsidR="00611F89" w:rsidRPr="00D557C2">
              <w:rPr>
                <w:b/>
              </w:rPr>
              <w:t>m</w:t>
            </w:r>
            <w:r w:rsidRPr="00D557C2">
              <w:rPr>
                <w:b/>
              </w:rPr>
              <w:t>onetary</w:t>
            </w:r>
            <w:r w:rsidRPr="00170EFF">
              <w:rPr>
                <w:b/>
              </w:rPr>
              <w:t xml:space="preserve"> Benefits or (Costs)</w:t>
            </w:r>
          </w:p>
        </w:tc>
      </w:tr>
      <w:tr w:rsidR="00A12937" w:rsidRPr="002C68BF" w14:paraId="241C4E40" w14:textId="77777777" w:rsidTr="003A6D55">
        <w:tc>
          <w:tcPr>
            <w:tcW w:w="4248" w:type="dxa"/>
          </w:tcPr>
          <w:p w14:paraId="25C0C429" w14:textId="77777777" w:rsidR="00A12937" w:rsidRPr="00170EFF" w:rsidRDefault="00A12937" w:rsidP="00FF0EE8">
            <w:pPr>
              <w:rPr>
                <w:b/>
              </w:rPr>
            </w:pPr>
            <w:r w:rsidRPr="00170EFF">
              <w:rPr>
                <w:b/>
              </w:rPr>
              <w:t xml:space="preserve">Alternative 1: </w:t>
            </w:r>
            <w:r w:rsidR="00611F89" w:rsidRPr="00D557C2">
              <w:rPr>
                <w:b/>
              </w:rPr>
              <w:t xml:space="preserve"> </w:t>
            </w:r>
            <w:r w:rsidRPr="00170EFF">
              <w:rPr>
                <w:b/>
              </w:rPr>
              <w:t>No Action</w:t>
            </w:r>
          </w:p>
          <w:p w14:paraId="6F3228C4" w14:textId="77777777" w:rsidR="00A12937" w:rsidRPr="00170EFF" w:rsidRDefault="00A12937" w:rsidP="00FF0EE8">
            <w:r w:rsidRPr="00170EFF">
              <w:t>$0</w:t>
            </w:r>
          </w:p>
        </w:tc>
        <w:tc>
          <w:tcPr>
            <w:tcW w:w="5328" w:type="dxa"/>
          </w:tcPr>
          <w:p w14:paraId="7252D92B" w14:textId="63D6419E" w:rsidR="00A12937" w:rsidRPr="00170EFF" w:rsidRDefault="005A63B0" w:rsidP="00FF0EE8">
            <w:pPr>
              <w:rPr>
                <w:b/>
              </w:rPr>
            </w:pPr>
            <w:r w:rsidRPr="00D557C2">
              <w:rPr>
                <w:b/>
              </w:rPr>
              <w:t>Non</w:t>
            </w:r>
            <w:r w:rsidR="00611F89" w:rsidRPr="00D557C2">
              <w:rPr>
                <w:b/>
              </w:rPr>
              <w:t>m</w:t>
            </w:r>
            <w:r w:rsidRPr="00D557C2">
              <w:rPr>
                <w:b/>
              </w:rPr>
              <w:t>onetary</w:t>
            </w:r>
            <w:r w:rsidR="00EE22F1">
              <w:rPr>
                <w:b/>
              </w:rPr>
              <w:t xml:space="preserve"> Benefits</w:t>
            </w:r>
            <w:r w:rsidR="00A12937" w:rsidRPr="00170EFF">
              <w:rPr>
                <w:b/>
              </w:rPr>
              <w:t>:</w:t>
            </w:r>
          </w:p>
          <w:p w14:paraId="6F622B19" w14:textId="77777777" w:rsidR="00A12937" w:rsidRPr="00170EFF" w:rsidRDefault="00A12937" w:rsidP="00FF0EE8">
            <w:r w:rsidRPr="00170EFF">
              <w:t>None</w:t>
            </w:r>
          </w:p>
        </w:tc>
      </w:tr>
      <w:tr w:rsidR="00A12937" w:rsidRPr="00F56ABA" w14:paraId="0B6DDD3C" w14:textId="77777777" w:rsidTr="003A6D55">
        <w:tc>
          <w:tcPr>
            <w:tcW w:w="4248" w:type="dxa"/>
          </w:tcPr>
          <w:p w14:paraId="6CF2C3F1" w14:textId="01D0B700" w:rsidR="00A12937" w:rsidRPr="00F56ABA" w:rsidRDefault="00A12937" w:rsidP="00FF0EE8">
            <w:pPr>
              <w:rPr>
                <w:b/>
              </w:rPr>
            </w:pPr>
            <w:r w:rsidRPr="00F56ABA">
              <w:rPr>
                <w:b/>
              </w:rPr>
              <w:t xml:space="preserve">Alternative 2: </w:t>
            </w:r>
            <w:r w:rsidR="00611F89" w:rsidRPr="00F56ABA">
              <w:rPr>
                <w:b/>
              </w:rPr>
              <w:t xml:space="preserve"> </w:t>
            </w:r>
            <w:r w:rsidRPr="00F56ABA">
              <w:t xml:space="preserve">Incorporate by </w:t>
            </w:r>
            <w:r w:rsidR="00611F89" w:rsidRPr="00F56ABA">
              <w:t>r</w:t>
            </w:r>
            <w:r w:rsidRPr="00F56ABA">
              <w:t>eference NRC-</w:t>
            </w:r>
            <w:r w:rsidR="00611F89" w:rsidRPr="00F56ABA">
              <w:t>a</w:t>
            </w:r>
            <w:r w:rsidRPr="00F56ABA">
              <w:t xml:space="preserve">pproved ASME BPV and OM </w:t>
            </w:r>
            <w:r w:rsidR="00AE121B" w:rsidRPr="00F56ABA">
              <w:t>Code Cases</w:t>
            </w:r>
          </w:p>
          <w:p w14:paraId="3853D476" w14:textId="77777777" w:rsidR="00A12937" w:rsidRPr="00F56ABA" w:rsidRDefault="00A12937" w:rsidP="00FF0EE8"/>
          <w:p w14:paraId="030A7987" w14:textId="77777777" w:rsidR="00A12937" w:rsidRPr="00F56ABA" w:rsidRDefault="00A12937" w:rsidP="00FF0EE8">
            <w:pPr>
              <w:rPr>
                <w:b/>
              </w:rPr>
            </w:pPr>
            <w:r w:rsidRPr="00F56ABA">
              <w:rPr>
                <w:b/>
              </w:rPr>
              <w:t>Industry:</w:t>
            </w:r>
          </w:p>
          <w:p w14:paraId="43E4EE89" w14:textId="6A651478" w:rsidR="00A12937" w:rsidRPr="00F56ABA" w:rsidRDefault="00A12937" w:rsidP="00FF0EE8">
            <w:r w:rsidRPr="00F56ABA">
              <w:t>$</w:t>
            </w:r>
            <w:r w:rsidR="00D26359" w:rsidRPr="00F56ABA">
              <w:t>2.42</w:t>
            </w:r>
            <w:r w:rsidR="00B605B8" w:rsidRPr="00F56ABA">
              <w:t xml:space="preserve"> million</w:t>
            </w:r>
            <w:r w:rsidR="00084F04" w:rsidRPr="00F56ABA">
              <w:t xml:space="preserve"> </w:t>
            </w:r>
            <w:r w:rsidRPr="00F56ABA">
              <w:t>using a 7% discount rate</w:t>
            </w:r>
          </w:p>
          <w:p w14:paraId="409FC3FB" w14:textId="20D6A1D9" w:rsidR="00A12937" w:rsidRPr="00F56ABA" w:rsidRDefault="00585AAC" w:rsidP="00FF0EE8">
            <w:r w:rsidRPr="00F56ABA">
              <w:t>$</w:t>
            </w:r>
            <w:r w:rsidR="00D26359" w:rsidRPr="00F56ABA">
              <w:t>2.87</w:t>
            </w:r>
            <w:r w:rsidR="00B605B8" w:rsidRPr="00F56ABA">
              <w:t xml:space="preserve"> million</w:t>
            </w:r>
            <w:r w:rsidR="00A12937" w:rsidRPr="00F56ABA">
              <w:t xml:space="preserve"> using a </w:t>
            </w:r>
            <w:r w:rsidR="00D804DC" w:rsidRPr="00F56ABA">
              <w:t>3% discount rate</w:t>
            </w:r>
          </w:p>
          <w:p w14:paraId="4C2E463B" w14:textId="77777777" w:rsidR="00A12937" w:rsidRPr="00F56ABA" w:rsidRDefault="00A12937" w:rsidP="00FF0EE8"/>
          <w:p w14:paraId="26491B4E" w14:textId="77777777" w:rsidR="00A12937" w:rsidRPr="00F56ABA" w:rsidRDefault="00A12937" w:rsidP="00FF0EE8">
            <w:pPr>
              <w:rPr>
                <w:b/>
              </w:rPr>
            </w:pPr>
            <w:r w:rsidRPr="00F56ABA">
              <w:rPr>
                <w:b/>
              </w:rPr>
              <w:t>NRC:</w:t>
            </w:r>
          </w:p>
          <w:p w14:paraId="5DA938F4" w14:textId="11FFF248" w:rsidR="00A12937" w:rsidRPr="00F56ABA" w:rsidRDefault="00D804DC" w:rsidP="00FF0EE8">
            <w:r w:rsidRPr="00F56ABA">
              <w:t>$</w:t>
            </w:r>
            <w:r w:rsidR="00D26359" w:rsidRPr="00F56ABA">
              <w:t>2.52</w:t>
            </w:r>
            <w:r w:rsidR="00B605B8" w:rsidRPr="00F56ABA">
              <w:t xml:space="preserve"> million</w:t>
            </w:r>
            <w:r w:rsidR="00A12937" w:rsidRPr="00F56ABA">
              <w:t xml:space="preserve"> using a 7% discount rate</w:t>
            </w:r>
          </w:p>
          <w:p w14:paraId="3FFADCA1" w14:textId="1627F486" w:rsidR="00A12937" w:rsidRPr="00F56ABA" w:rsidRDefault="00A12937" w:rsidP="00FF0EE8">
            <w:r w:rsidRPr="00F56ABA">
              <w:t>$</w:t>
            </w:r>
            <w:r w:rsidR="00D26359" w:rsidRPr="00F56ABA">
              <w:t>2.81</w:t>
            </w:r>
            <w:r w:rsidR="00B605B8" w:rsidRPr="00F56ABA">
              <w:t xml:space="preserve"> million</w:t>
            </w:r>
            <w:r w:rsidR="00D804DC" w:rsidRPr="00F56ABA">
              <w:t xml:space="preserve"> using a 3% discount rate</w:t>
            </w:r>
          </w:p>
          <w:p w14:paraId="15EEED39" w14:textId="77777777" w:rsidR="00625149" w:rsidRPr="00F56ABA" w:rsidRDefault="00625149" w:rsidP="00FF0EE8"/>
          <w:p w14:paraId="0A0F6A4B" w14:textId="77777777" w:rsidR="00625149" w:rsidRPr="00F56ABA" w:rsidRDefault="00625149" w:rsidP="00FF0EE8">
            <w:pPr>
              <w:rPr>
                <w:b/>
              </w:rPr>
            </w:pPr>
            <w:r w:rsidRPr="00F56ABA">
              <w:rPr>
                <w:b/>
              </w:rPr>
              <w:t>Net Benefit</w:t>
            </w:r>
            <w:r w:rsidR="00585AAC" w:rsidRPr="00F56ABA">
              <w:rPr>
                <w:b/>
              </w:rPr>
              <w:t xml:space="preserve"> (Cost)</w:t>
            </w:r>
            <w:r w:rsidRPr="00F56ABA">
              <w:rPr>
                <w:b/>
              </w:rPr>
              <w:t>:</w:t>
            </w:r>
          </w:p>
          <w:p w14:paraId="0C6D76C5" w14:textId="776F2F20" w:rsidR="00625149" w:rsidRPr="00F56ABA" w:rsidRDefault="003617C0" w:rsidP="00FF0EE8">
            <w:r w:rsidRPr="00F56ABA">
              <w:t>$</w:t>
            </w:r>
            <w:r w:rsidR="00D26359" w:rsidRPr="00F56ABA">
              <w:t>4.9</w:t>
            </w:r>
            <w:r w:rsidR="00B605B8" w:rsidRPr="00F56ABA">
              <w:t>3 million</w:t>
            </w:r>
            <w:r w:rsidR="00625149" w:rsidRPr="00F56ABA">
              <w:t xml:space="preserve"> using a 7% discount rate</w:t>
            </w:r>
          </w:p>
          <w:p w14:paraId="5E722DE5" w14:textId="3F370FB0" w:rsidR="00D804DC" w:rsidRPr="00F56ABA" w:rsidRDefault="003617C0" w:rsidP="00FF0EE8">
            <w:r w:rsidRPr="00F56ABA">
              <w:t>$</w:t>
            </w:r>
            <w:r w:rsidR="00D26359" w:rsidRPr="00F56ABA">
              <w:t>5.68</w:t>
            </w:r>
            <w:r w:rsidR="00B605B8" w:rsidRPr="00F56ABA">
              <w:t xml:space="preserve"> million</w:t>
            </w:r>
            <w:r w:rsidR="00625149" w:rsidRPr="00F56ABA">
              <w:t xml:space="preserve"> using a 3% discount rate</w:t>
            </w:r>
          </w:p>
          <w:p w14:paraId="5D578B39" w14:textId="77777777" w:rsidR="00A17027" w:rsidRPr="00F56ABA" w:rsidRDefault="00A17027" w:rsidP="00FF0EE8"/>
          <w:p w14:paraId="0284EC2B" w14:textId="3F0924A9" w:rsidR="00A17027" w:rsidRPr="00F56ABA" w:rsidRDefault="00A17027" w:rsidP="00FF0EE8">
            <w:r w:rsidRPr="00F56ABA">
              <w:t>The quantified results show that alternative</w:t>
            </w:r>
            <w:r w:rsidR="00084F04" w:rsidRPr="00F56ABA">
              <w:t> </w:t>
            </w:r>
            <w:r w:rsidRPr="00F56ABA">
              <w:t>2 is cost</w:t>
            </w:r>
            <w:r w:rsidR="00611F89" w:rsidRPr="00F56ABA">
              <w:t xml:space="preserve"> </w:t>
            </w:r>
            <w:r w:rsidRPr="00F56ABA">
              <w:t>beneficial.</w:t>
            </w:r>
          </w:p>
        </w:tc>
        <w:tc>
          <w:tcPr>
            <w:tcW w:w="5328" w:type="dxa"/>
          </w:tcPr>
          <w:p w14:paraId="4064D4A9" w14:textId="3C5803FD" w:rsidR="00A12937" w:rsidRPr="00F56ABA" w:rsidRDefault="005A63B0" w:rsidP="00FF0EE8">
            <w:pPr>
              <w:rPr>
                <w:b/>
              </w:rPr>
            </w:pPr>
            <w:r w:rsidRPr="00F56ABA">
              <w:rPr>
                <w:b/>
              </w:rPr>
              <w:t>Non</w:t>
            </w:r>
            <w:r w:rsidR="00611F89" w:rsidRPr="00F56ABA">
              <w:rPr>
                <w:b/>
              </w:rPr>
              <w:t>m</w:t>
            </w:r>
            <w:r w:rsidRPr="00F56ABA">
              <w:rPr>
                <w:b/>
              </w:rPr>
              <w:t>onetary</w:t>
            </w:r>
            <w:r w:rsidR="00A12937" w:rsidRPr="00F56ABA">
              <w:rPr>
                <w:b/>
              </w:rPr>
              <w:t xml:space="preserve"> Benefits:</w:t>
            </w:r>
          </w:p>
          <w:p w14:paraId="773F2339" w14:textId="1EE91D66" w:rsidR="00A12937" w:rsidRPr="00F56ABA" w:rsidRDefault="00A12937" w:rsidP="00FF0EE8">
            <w:pPr>
              <w:pStyle w:val="ListParagraph"/>
              <w:numPr>
                <w:ilvl w:val="0"/>
                <w:numId w:val="7"/>
              </w:numPr>
              <w:ind w:left="342"/>
            </w:pPr>
            <w:r w:rsidRPr="00F56ABA">
              <w:rPr>
                <w:u w:val="single"/>
              </w:rPr>
              <w:t>Public Health (Accident)</w:t>
            </w:r>
            <w:r w:rsidR="00611F89" w:rsidRPr="00F56ABA">
              <w:t>.  T</w:t>
            </w:r>
            <w:r w:rsidR="00796DF7" w:rsidRPr="00F56ABA">
              <w:t>he likelihood of a radiological accident may be reduced by allowing for advancements in ISI and IST that may result in earlier identification of material degradation that</w:t>
            </w:r>
            <w:r w:rsidR="00611F89" w:rsidRPr="00F56ABA">
              <w:t>,</w:t>
            </w:r>
            <w:r w:rsidR="00796DF7" w:rsidRPr="00F56ABA">
              <w:t xml:space="preserve"> if undetected</w:t>
            </w:r>
            <w:r w:rsidR="00611F89" w:rsidRPr="00F56ABA">
              <w:t>,</w:t>
            </w:r>
            <w:r w:rsidR="00796DF7" w:rsidRPr="00F56ABA">
              <w:t xml:space="preserve"> could result in further degradation that eventually results in a plant transient.</w:t>
            </w:r>
          </w:p>
          <w:p w14:paraId="4C372BA8" w14:textId="77777777" w:rsidR="00796DF7" w:rsidRPr="00F56ABA" w:rsidRDefault="00796DF7" w:rsidP="00FF0EE8">
            <w:pPr>
              <w:pStyle w:val="ListParagraph"/>
              <w:ind w:left="342"/>
            </w:pPr>
          </w:p>
          <w:p w14:paraId="7B929FDF" w14:textId="0BA562D8" w:rsidR="00625149" w:rsidRPr="00F56ABA" w:rsidRDefault="00625149" w:rsidP="00FF0EE8">
            <w:pPr>
              <w:pStyle w:val="ListParagraph"/>
              <w:numPr>
                <w:ilvl w:val="0"/>
                <w:numId w:val="7"/>
              </w:numPr>
              <w:ind w:left="342"/>
            </w:pPr>
            <w:r w:rsidRPr="00F56ABA">
              <w:rPr>
                <w:u w:val="single"/>
              </w:rPr>
              <w:t>Occupational Health (Accident)</w:t>
            </w:r>
            <w:r w:rsidR="00611F89" w:rsidRPr="00F56ABA">
              <w:t>.  A</w:t>
            </w:r>
            <w:r w:rsidR="00796DF7" w:rsidRPr="00F56ABA">
              <w:t>dvancements in ISI and IST may result in an incremental decrease in the likelihood of an accident resulting in postaccident worker exposure</w:t>
            </w:r>
            <w:r w:rsidR="00231F2B" w:rsidRPr="00F56ABA">
              <w:t>.</w:t>
            </w:r>
          </w:p>
          <w:p w14:paraId="430C3808" w14:textId="77777777" w:rsidR="00796DF7" w:rsidRPr="00F56ABA" w:rsidRDefault="00796DF7" w:rsidP="00FF0EE8">
            <w:pPr>
              <w:pStyle w:val="ListParagraph"/>
              <w:ind w:left="342"/>
            </w:pPr>
          </w:p>
          <w:p w14:paraId="46CE54DC" w14:textId="68628134" w:rsidR="002C68BF" w:rsidRPr="00F56ABA" w:rsidRDefault="002C68BF" w:rsidP="00FF0EE8">
            <w:pPr>
              <w:pStyle w:val="ListParagraph"/>
              <w:numPr>
                <w:ilvl w:val="0"/>
                <w:numId w:val="7"/>
              </w:numPr>
              <w:ind w:left="342"/>
            </w:pPr>
            <w:r w:rsidRPr="00F56ABA">
              <w:rPr>
                <w:u w:val="single"/>
              </w:rPr>
              <w:t>Improvement in Knowledge</w:t>
            </w:r>
            <w:r w:rsidR="00611F89" w:rsidRPr="00F56ABA">
              <w:t xml:space="preserve">.  </w:t>
            </w:r>
            <w:r w:rsidR="00713338" w:rsidRPr="00F56ABA">
              <w:t>Code Cases are developed to allow licensees to g</w:t>
            </w:r>
            <w:r w:rsidRPr="00F56ABA">
              <w:t xml:space="preserve">ain experience with new technology and </w:t>
            </w:r>
            <w:r w:rsidR="00713338" w:rsidRPr="00F56ABA">
              <w:t xml:space="preserve">to use advancements in </w:t>
            </w:r>
            <w:r w:rsidRPr="00F56ABA">
              <w:t xml:space="preserve">ISI and IST.  On-the-job learning increases worker satisfaction.  Eliminating unnecessary work better </w:t>
            </w:r>
            <w:r w:rsidR="001D2EA4" w:rsidRPr="00F56ABA">
              <w:t xml:space="preserve">also </w:t>
            </w:r>
            <w:r w:rsidRPr="00F56ABA">
              <w:t xml:space="preserve">enables </w:t>
            </w:r>
            <w:r w:rsidR="001D2EA4" w:rsidRPr="00F56ABA">
              <w:t xml:space="preserve">the </w:t>
            </w:r>
            <w:r w:rsidRPr="00F56ABA">
              <w:t>staff to produce desired on-the-job results, which leads to pride in performance and increased job satisfaction</w:t>
            </w:r>
            <w:r w:rsidR="00231F2B" w:rsidRPr="00F56ABA">
              <w:t>.</w:t>
            </w:r>
          </w:p>
          <w:p w14:paraId="749A6079" w14:textId="77777777" w:rsidR="002C68BF" w:rsidRPr="00F56ABA" w:rsidRDefault="002C68BF" w:rsidP="00FF0EE8">
            <w:pPr>
              <w:pStyle w:val="ListParagraph"/>
              <w:ind w:left="342"/>
            </w:pPr>
          </w:p>
          <w:p w14:paraId="6173F904" w14:textId="3DC25950" w:rsidR="007318DD" w:rsidRPr="00F56ABA" w:rsidRDefault="00A12937" w:rsidP="00FF0EE8">
            <w:pPr>
              <w:pStyle w:val="ListParagraph"/>
              <w:numPr>
                <w:ilvl w:val="0"/>
                <w:numId w:val="7"/>
              </w:numPr>
              <w:spacing w:after="60"/>
              <w:ind w:left="342"/>
              <w:contextualSpacing w:val="0"/>
            </w:pPr>
            <w:r w:rsidRPr="00F56ABA">
              <w:rPr>
                <w:u w:val="single"/>
              </w:rPr>
              <w:t>Regulatory Efficiency</w:t>
            </w:r>
            <w:r w:rsidR="00611F89" w:rsidRPr="00F56ABA">
              <w:t>.  L</w:t>
            </w:r>
            <w:r w:rsidR="007318DD" w:rsidRPr="00F56ABA">
              <w:t>icensees that wish to use NRC</w:t>
            </w:r>
            <w:r w:rsidR="00713338" w:rsidRPr="00F56ABA">
              <w:noBreakHyphen/>
            </w:r>
            <w:r w:rsidR="007318DD" w:rsidRPr="00F56ABA">
              <w:t xml:space="preserve">approved ASME </w:t>
            </w:r>
            <w:r w:rsidR="00AE121B" w:rsidRPr="00F56ABA">
              <w:t>Code Cases</w:t>
            </w:r>
            <w:r w:rsidR="007318DD" w:rsidRPr="00F56ABA">
              <w:t xml:space="preserve"> would not require exemptions from NRC regulations.  This practice is consistent with</w:t>
            </w:r>
            <w:r w:rsidR="00713338" w:rsidRPr="00F56ABA">
              <w:t xml:space="preserve"> the following</w:t>
            </w:r>
            <w:r w:rsidR="007318DD" w:rsidRPr="00F56ABA">
              <w:t>:</w:t>
            </w:r>
          </w:p>
          <w:p w14:paraId="3925006B" w14:textId="77777777" w:rsidR="007318DD" w:rsidRPr="00F56ABA" w:rsidRDefault="007318DD" w:rsidP="00FF0EE8">
            <w:pPr>
              <w:pStyle w:val="ListParagraph"/>
              <w:numPr>
                <w:ilvl w:val="0"/>
                <w:numId w:val="8"/>
              </w:numPr>
              <w:spacing w:after="60"/>
              <w:contextualSpacing w:val="0"/>
            </w:pPr>
            <w:r w:rsidRPr="00F56ABA">
              <w:t>the provisions of the NTTAA</w:t>
            </w:r>
          </w:p>
          <w:p w14:paraId="5B8DED46" w14:textId="02C79449" w:rsidR="007318DD" w:rsidRPr="00F56ABA" w:rsidRDefault="00713338" w:rsidP="00FF0EE8">
            <w:pPr>
              <w:pStyle w:val="ListParagraph"/>
              <w:numPr>
                <w:ilvl w:val="0"/>
                <w:numId w:val="8"/>
              </w:numPr>
              <w:spacing w:after="60"/>
              <w:contextualSpacing w:val="0"/>
            </w:pPr>
            <w:r w:rsidRPr="00F56ABA">
              <w:t xml:space="preserve">the </w:t>
            </w:r>
            <w:r w:rsidR="007318DD" w:rsidRPr="00F56ABA">
              <w:t>NRC</w:t>
            </w:r>
            <w:r w:rsidRPr="00F56ABA">
              <w:t>’s</w:t>
            </w:r>
            <w:r w:rsidR="007318DD" w:rsidRPr="00F56ABA">
              <w:t xml:space="preserve"> policy of evaluating the latest versions of consensus standards in terms of their suitability for endorsement by regulations and </w:t>
            </w:r>
            <w:r w:rsidR="00071DA2" w:rsidRPr="00F56ABA">
              <w:t>RG</w:t>
            </w:r>
            <w:r w:rsidR="007318DD" w:rsidRPr="00F56ABA">
              <w:t>s</w:t>
            </w:r>
          </w:p>
          <w:p w14:paraId="6ED47F8D" w14:textId="3D905D0E" w:rsidR="00A12937" w:rsidRPr="00F56ABA" w:rsidRDefault="00713338" w:rsidP="00FF0EE8">
            <w:pPr>
              <w:pStyle w:val="ListParagraph"/>
              <w:numPr>
                <w:ilvl w:val="0"/>
                <w:numId w:val="8"/>
              </w:numPr>
            </w:pPr>
            <w:r w:rsidRPr="00F56ABA">
              <w:t xml:space="preserve">the </w:t>
            </w:r>
            <w:r w:rsidR="007318DD" w:rsidRPr="00F56ABA">
              <w:t>NRC’s goal to harmonize with international standards to improve regulatory efficiency for both the NRC and international standards groups</w:t>
            </w:r>
          </w:p>
          <w:p w14:paraId="692E3E5B" w14:textId="77777777" w:rsidR="0071323B" w:rsidRPr="00F56ABA" w:rsidRDefault="0071323B" w:rsidP="00FF0EE8">
            <w:pPr>
              <w:ind w:left="360"/>
            </w:pPr>
          </w:p>
          <w:p w14:paraId="2E1B05E5" w14:textId="77162A0D" w:rsidR="00713338" w:rsidRPr="00F56ABA" w:rsidRDefault="005A63B0" w:rsidP="00FF0EE8">
            <w:pPr>
              <w:rPr>
                <w:b/>
              </w:rPr>
            </w:pPr>
            <w:r w:rsidRPr="00F56ABA">
              <w:rPr>
                <w:b/>
              </w:rPr>
              <w:t>Non</w:t>
            </w:r>
            <w:r w:rsidR="00713338" w:rsidRPr="00F56ABA">
              <w:rPr>
                <w:b/>
              </w:rPr>
              <w:t>m</w:t>
            </w:r>
            <w:r w:rsidRPr="00F56ABA">
              <w:rPr>
                <w:b/>
              </w:rPr>
              <w:t>onetary</w:t>
            </w:r>
            <w:r w:rsidR="00A12937" w:rsidRPr="00F56ABA">
              <w:rPr>
                <w:b/>
              </w:rPr>
              <w:t xml:space="preserve"> Costs:</w:t>
            </w:r>
          </w:p>
          <w:p w14:paraId="5DBDFE0D" w14:textId="6E3A79C4" w:rsidR="00A12937" w:rsidRPr="00F56ABA" w:rsidRDefault="00E92666" w:rsidP="00FF0EE8">
            <w:pPr>
              <w:pStyle w:val="ListParagraph"/>
              <w:numPr>
                <w:ilvl w:val="0"/>
                <w:numId w:val="33"/>
              </w:numPr>
              <w:ind w:left="358"/>
            </w:pPr>
            <w:r w:rsidRPr="00F56ABA">
              <w:rPr>
                <w:u w:val="single"/>
              </w:rPr>
              <w:t>Industry and NRC Operation Costs</w:t>
            </w:r>
            <w:r w:rsidR="00713338" w:rsidRPr="00F56ABA">
              <w:t xml:space="preserve">.  </w:t>
            </w:r>
            <w:r w:rsidRPr="00F56ABA">
              <w:t xml:space="preserve">If the number of planned industry submittals </w:t>
            </w:r>
            <w:r w:rsidR="00475790" w:rsidRPr="00F56ABA">
              <w:t>or the effort to prepare these submittal</w:t>
            </w:r>
            <w:r w:rsidR="002430B8" w:rsidRPr="00F56ABA">
              <w:t>s</w:t>
            </w:r>
            <w:r w:rsidR="00475790" w:rsidRPr="00F56ABA">
              <w:t xml:space="preserve"> are less</w:t>
            </w:r>
            <w:r w:rsidR="00585AAC" w:rsidRPr="00F56ABA">
              <w:t xml:space="preserve"> </w:t>
            </w:r>
            <w:r w:rsidRPr="00F56ABA">
              <w:t>than the NRC assume</w:t>
            </w:r>
            <w:r w:rsidR="001D2EA4" w:rsidRPr="00F56ABA">
              <w:t>d</w:t>
            </w:r>
            <w:r w:rsidRPr="00F56ABA">
              <w:t xml:space="preserve"> in the regulatory analysis, the </w:t>
            </w:r>
            <w:r w:rsidR="00585AAC" w:rsidRPr="00F56ABA">
              <w:t xml:space="preserve">averted quantified costs </w:t>
            </w:r>
            <w:r w:rsidRPr="00F56ABA">
              <w:t xml:space="preserve">are </w:t>
            </w:r>
            <w:r w:rsidR="00475790" w:rsidRPr="00F56ABA">
              <w:t>over</w:t>
            </w:r>
            <w:r w:rsidR="00585AAC" w:rsidRPr="00F56ABA">
              <w:t>stated</w:t>
            </w:r>
            <w:r w:rsidR="00A17027" w:rsidRPr="00F56ABA">
              <w:t>.</w:t>
            </w:r>
          </w:p>
          <w:p w14:paraId="5CC82D16" w14:textId="77777777" w:rsidR="00A17027" w:rsidRPr="00F56ABA" w:rsidRDefault="00A17027" w:rsidP="00FF0EE8"/>
          <w:p w14:paraId="06768235" w14:textId="5247F595" w:rsidR="00A17027" w:rsidRPr="00F56ABA" w:rsidRDefault="00A17027" w:rsidP="00FF0EE8">
            <w:r w:rsidRPr="00F56ABA">
              <w:t xml:space="preserve">The </w:t>
            </w:r>
            <w:r w:rsidR="005A63B0" w:rsidRPr="00F56ABA">
              <w:t xml:space="preserve">NRC staff’s evaluation of </w:t>
            </w:r>
            <w:r w:rsidR="004C05F6">
              <w:t>qualitative</w:t>
            </w:r>
            <w:r w:rsidRPr="00F56ABA">
              <w:t xml:space="preserve"> </w:t>
            </w:r>
            <w:r w:rsidR="005A63B0" w:rsidRPr="00F56ABA">
              <w:t>benefits and costs</w:t>
            </w:r>
            <w:r w:rsidRPr="00F56ABA">
              <w:t xml:space="preserve"> show that alternative</w:t>
            </w:r>
            <w:r w:rsidR="00713338" w:rsidRPr="00F56ABA">
              <w:t> </w:t>
            </w:r>
            <w:r w:rsidRPr="00F56ABA">
              <w:t>2 is justified.</w:t>
            </w:r>
          </w:p>
        </w:tc>
      </w:tr>
    </w:tbl>
    <w:p w14:paraId="10CD0032" w14:textId="77777777" w:rsidR="00A12937" w:rsidRPr="00F56ABA" w:rsidRDefault="00A12937" w:rsidP="00FF0EE8">
      <w:pPr>
        <w:spacing w:line="240" w:lineRule="auto"/>
      </w:pPr>
    </w:p>
    <w:p w14:paraId="238D36E3" w14:textId="7134802F" w:rsidR="00D12448" w:rsidRDefault="00F75A58" w:rsidP="00FF0EE8">
      <w:pPr>
        <w:spacing w:line="240" w:lineRule="auto"/>
      </w:pPr>
      <w:r w:rsidRPr="00F56ABA">
        <w:t xml:space="preserve">The </w:t>
      </w:r>
      <w:r w:rsidR="00586BBF" w:rsidRPr="00F56ABA">
        <w:t>staff recommends</w:t>
      </w:r>
      <w:r w:rsidRPr="00F56ABA">
        <w:t xml:space="preserve"> </w:t>
      </w:r>
      <w:r w:rsidR="00C3787C" w:rsidRPr="00F56ABA">
        <w:t>a</w:t>
      </w:r>
      <w:r w:rsidRPr="00F56ABA">
        <w:t>lternative</w:t>
      </w:r>
      <w:r w:rsidR="00A06F16" w:rsidRPr="00F56ABA">
        <w:t> </w:t>
      </w:r>
      <w:r w:rsidRPr="00F56ABA">
        <w:t xml:space="preserve">2.  As </w:t>
      </w:r>
      <w:r w:rsidR="00C7075F" w:rsidRPr="00F56ABA">
        <w:t xml:space="preserve">shown in </w:t>
      </w:r>
      <w:r w:rsidR="00CE1D08" w:rsidRPr="00F56ABA">
        <w:fldChar w:fldCharType="begin"/>
      </w:r>
      <w:r w:rsidR="00CE1D08" w:rsidRPr="00F56ABA">
        <w:instrText xml:space="preserve"> REF _Ref420421620 \h </w:instrText>
      </w:r>
      <w:r w:rsidR="00153EB9" w:rsidRPr="00F56ABA">
        <w:instrText xml:space="preserve"> \* MERGEFORMAT </w:instrText>
      </w:r>
      <w:r w:rsidR="00CE1D08" w:rsidRPr="00F56ABA">
        <w:fldChar w:fldCharType="separate"/>
      </w:r>
      <w:r w:rsidR="00FD3AB6" w:rsidRPr="00FD3AB6">
        <w:t xml:space="preserve">Table </w:t>
      </w:r>
      <w:r w:rsidR="00FD3AB6" w:rsidRPr="00FD3AB6">
        <w:rPr>
          <w:noProof/>
        </w:rPr>
        <w:t>24</w:t>
      </w:r>
      <w:r w:rsidR="00CE1D08" w:rsidRPr="00F56ABA">
        <w:fldChar w:fldCharType="end"/>
      </w:r>
      <w:r w:rsidRPr="00F56ABA">
        <w:t xml:space="preserve">, </w:t>
      </w:r>
      <w:r w:rsidR="00C3787C" w:rsidRPr="00F56ABA">
        <w:t>a</w:t>
      </w:r>
      <w:r w:rsidRPr="00F56ABA">
        <w:t>lternative</w:t>
      </w:r>
      <w:r w:rsidR="00A06F16" w:rsidRPr="00F56ABA">
        <w:t> </w:t>
      </w:r>
      <w:r w:rsidR="00C7075F" w:rsidRPr="00F56ABA">
        <w:t>2</w:t>
      </w:r>
      <w:r w:rsidR="004F4699" w:rsidRPr="00F56ABA">
        <w:t>,</w:t>
      </w:r>
      <w:r w:rsidR="00C7075F" w:rsidRPr="00F56ABA">
        <w:t xml:space="preserve"> relative to the regulatory baseline</w:t>
      </w:r>
      <w:r w:rsidR="004F4699" w:rsidRPr="00F56ABA">
        <w:t>,</w:t>
      </w:r>
      <w:r w:rsidR="00C7075F" w:rsidRPr="00F56ABA">
        <w:t xml:space="preserve"> </w:t>
      </w:r>
      <w:r w:rsidR="00A17027" w:rsidRPr="00F56ABA">
        <w:t xml:space="preserve">is cost beneficial and </w:t>
      </w:r>
      <w:r w:rsidR="00C7075F" w:rsidRPr="00F56ABA">
        <w:t xml:space="preserve">would result in a net </w:t>
      </w:r>
      <w:r w:rsidR="00500F67" w:rsidRPr="00F56ABA">
        <w:t xml:space="preserve">averted </w:t>
      </w:r>
      <w:r w:rsidR="009B79D0" w:rsidRPr="00F56ABA">
        <w:t>cost to the</w:t>
      </w:r>
      <w:r w:rsidR="00C7075F" w:rsidRPr="00F56ABA">
        <w:t xml:space="preserve"> industry from $</w:t>
      </w:r>
      <w:r w:rsidR="00D26359" w:rsidRPr="00F56ABA">
        <w:t>2.42</w:t>
      </w:r>
      <w:r w:rsidR="00A06F16" w:rsidRPr="00F56ABA">
        <w:t> </w:t>
      </w:r>
      <w:r w:rsidR="00B605B8" w:rsidRPr="00F56ABA">
        <w:t>million</w:t>
      </w:r>
      <w:r w:rsidR="00C7075F" w:rsidRPr="00F56ABA">
        <w:t xml:space="preserve"> (</w:t>
      </w:r>
      <w:r w:rsidR="0082432D" w:rsidRPr="00F56ABA">
        <w:t>7</w:t>
      </w:r>
      <w:r w:rsidR="00A06F16" w:rsidRPr="00F56ABA">
        <w:noBreakHyphen/>
      </w:r>
      <w:r w:rsidR="0082432D" w:rsidRPr="00F56ABA">
        <w:t>percent</w:t>
      </w:r>
      <w:r w:rsidR="00500F67" w:rsidRPr="00F56ABA">
        <w:t> </w:t>
      </w:r>
      <w:r w:rsidR="00C7075F" w:rsidRPr="00F56ABA">
        <w:t>NPV) to $</w:t>
      </w:r>
      <w:r w:rsidR="00D26359" w:rsidRPr="00F56ABA">
        <w:t>2.87</w:t>
      </w:r>
      <w:r w:rsidR="00A06F16" w:rsidRPr="00F56ABA">
        <w:t> </w:t>
      </w:r>
      <w:r w:rsidR="00B605B8" w:rsidRPr="00F56ABA">
        <w:t>million</w:t>
      </w:r>
      <w:r w:rsidR="00C7075F" w:rsidRPr="00F56ABA">
        <w:t xml:space="preserve"> (</w:t>
      </w:r>
      <w:r w:rsidR="00B84681" w:rsidRPr="00F56ABA">
        <w:t>3</w:t>
      </w:r>
      <w:r w:rsidR="00A06F16" w:rsidRPr="00F56ABA">
        <w:noBreakHyphen/>
      </w:r>
      <w:r w:rsidR="0082432D" w:rsidRPr="00F56ABA">
        <w:t>percent</w:t>
      </w:r>
      <w:r w:rsidR="00C7075F" w:rsidRPr="00F56ABA">
        <w:t xml:space="preserve"> NPV).  </w:t>
      </w:r>
      <w:r w:rsidR="009B79D0" w:rsidRPr="00F56ABA">
        <w:t xml:space="preserve">Relative to the regulatory baseline, the NRC would realize a net benefit of </w:t>
      </w:r>
      <w:r w:rsidR="00084F04" w:rsidRPr="00F56ABA">
        <w:t>$</w:t>
      </w:r>
      <w:r w:rsidR="00D26359" w:rsidRPr="00F56ABA">
        <w:t>2.52</w:t>
      </w:r>
      <w:r w:rsidR="00A06F16" w:rsidRPr="00F56ABA">
        <w:t> </w:t>
      </w:r>
      <w:r w:rsidR="00B605B8" w:rsidRPr="00F56ABA">
        <w:t>million</w:t>
      </w:r>
      <w:r w:rsidR="009B79D0" w:rsidRPr="00F56ABA">
        <w:t xml:space="preserve"> (</w:t>
      </w:r>
      <w:r w:rsidR="00B84681" w:rsidRPr="00F56ABA">
        <w:t>7</w:t>
      </w:r>
      <w:r w:rsidR="00A06F16" w:rsidRPr="00F56ABA">
        <w:noBreakHyphen/>
      </w:r>
      <w:r w:rsidR="0082432D" w:rsidRPr="00F56ABA">
        <w:t>percent</w:t>
      </w:r>
      <w:r w:rsidR="009B79D0" w:rsidRPr="00F56ABA">
        <w:t xml:space="preserve"> NPV) to $</w:t>
      </w:r>
      <w:r w:rsidR="00B605B8" w:rsidRPr="00F56ABA">
        <w:t>2.</w:t>
      </w:r>
      <w:r w:rsidR="00D26359" w:rsidRPr="00F56ABA">
        <w:t>81</w:t>
      </w:r>
      <w:r w:rsidR="00A06F16" w:rsidRPr="00F56ABA">
        <w:t> </w:t>
      </w:r>
      <w:r w:rsidR="00B605B8" w:rsidRPr="00F56ABA">
        <w:t>million</w:t>
      </w:r>
      <w:r w:rsidR="009B79D0" w:rsidRPr="00F56ABA">
        <w:t xml:space="preserve"> (</w:t>
      </w:r>
      <w:r w:rsidR="0082432D" w:rsidRPr="00F56ABA">
        <w:t>3</w:t>
      </w:r>
      <w:r w:rsidR="00A06F16" w:rsidRPr="00F56ABA">
        <w:noBreakHyphen/>
      </w:r>
      <w:r w:rsidR="0082432D" w:rsidRPr="00F56ABA">
        <w:t>percent</w:t>
      </w:r>
      <w:r w:rsidR="009B79D0" w:rsidRPr="00F56ABA">
        <w:t xml:space="preserve"> NPV) in net benefits.  </w:t>
      </w:r>
      <w:r w:rsidR="00C7075F" w:rsidRPr="00F56ABA">
        <w:t xml:space="preserve">The estimated net </w:t>
      </w:r>
      <w:r w:rsidR="003617C0" w:rsidRPr="00F56ABA">
        <w:t>benefit</w:t>
      </w:r>
      <w:r w:rsidR="00585AAC" w:rsidRPr="00F56ABA">
        <w:t xml:space="preserve"> </w:t>
      </w:r>
      <w:r w:rsidR="00C7075F" w:rsidRPr="00F56ABA">
        <w:t>is $</w:t>
      </w:r>
      <w:r w:rsidR="00D26359" w:rsidRPr="00F56ABA">
        <w:t>4.93</w:t>
      </w:r>
      <w:r w:rsidR="00A06F16" w:rsidRPr="00F56ABA">
        <w:t> </w:t>
      </w:r>
      <w:r w:rsidR="00B84681" w:rsidRPr="00F56ABA">
        <w:t>million (7</w:t>
      </w:r>
      <w:r w:rsidR="00A06F16" w:rsidRPr="00F56ABA">
        <w:noBreakHyphen/>
      </w:r>
      <w:r w:rsidR="0082432D" w:rsidRPr="00F56ABA">
        <w:t>percent</w:t>
      </w:r>
      <w:r w:rsidR="00C7075F" w:rsidRPr="00F56ABA">
        <w:t xml:space="preserve"> </w:t>
      </w:r>
      <w:r w:rsidR="00B84681" w:rsidRPr="00F56ABA">
        <w:t>NPV)</w:t>
      </w:r>
      <w:r w:rsidR="00B605B8" w:rsidRPr="00F56ABA">
        <w:t xml:space="preserve"> and</w:t>
      </w:r>
      <w:r w:rsidR="00C7075F" w:rsidRPr="00F56ABA">
        <w:t xml:space="preserve"> $</w:t>
      </w:r>
      <w:r w:rsidR="00D26359" w:rsidRPr="00F56ABA">
        <w:t>5.68</w:t>
      </w:r>
      <w:r w:rsidR="00A06F16" w:rsidRPr="00F56ABA">
        <w:t> </w:t>
      </w:r>
      <w:r w:rsidR="00B605B8" w:rsidRPr="00F56ABA">
        <w:t xml:space="preserve">million </w:t>
      </w:r>
      <w:r w:rsidR="00B84681" w:rsidRPr="00F56ABA">
        <w:t>(</w:t>
      </w:r>
      <w:r w:rsidR="0082432D" w:rsidRPr="00F56ABA">
        <w:t>3</w:t>
      </w:r>
      <w:r w:rsidR="00A06F16" w:rsidRPr="00F56ABA">
        <w:noBreakHyphen/>
      </w:r>
      <w:r w:rsidR="0082432D" w:rsidRPr="00F56ABA">
        <w:t>percent</w:t>
      </w:r>
      <w:r w:rsidR="0038662A" w:rsidRPr="00F56ABA">
        <w:t> </w:t>
      </w:r>
      <w:r w:rsidR="00C7075F" w:rsidRPr="00F56ABA">
        <w:t>NPV)</w:t>
      </w:r>
      <w:r w:rsidR="003A6D55" w:rsidRPr="00F56ABA">
        <w:t>.</w:t>
      </w:r>
      <w:r w:rsidR="00A17027" w:rsidRPr="00F56ABA">
        <w:t xml:space="preserve">  </w:t>
      </w:r>
      <w:r w:rsidR="00FF65CA" w:rsidRPr="00F56ABA">
        <w:t xml:space="preserve">Alternative 2 </w:t>
      </w:r>
      <w:r w:rsidR="00A17027" w:rsidRPr="00F56ABA">
        <w:t xml:space="preserve">is </w:t>
      </w:r>
      <w:r w:rsidR="00FF65CA" w:rsidRPr="00F56ABA">
        <w:t xml:space="preserve">also </w:t>
      </w:r>
      <w:r w:rsidR="00A17027" w:rsidRPr="00F56ABA">
        <w:t xml:space="preserve">justified when considering the </w:t>
      </w:r>
      <w:r w:rsidR="005A63B0" w:rsidRPr="00F56ABA">
        <w:t>nonmonetized</w:t>
      </w:r>
      <w:r w:rsidR="00A17027" w:rsidRPr="00F56ABA">
        <w:t xml:space="preserve"> considerations.  Alternative</w:t>
      </w:r>
      <w:r w:rsidR="00A06F16" w:rsidRPr="00F56ABA">
        <w:t> </w:t>
      </w:r>
      <w:r w:rsidR="00A17027" w:rsidRPr="00F56ABA">
        <w:t xml:space="preserve">2 </w:t>
      </w:r>
      <w:r w:rsidR="00FF65CA" w:rsidRPr="00F56ABA">
        <w:t xml:space="preserve">has the benefit of </w:t>
      </w:r>
      <w:r w:rsidRPr="00F56ABA">
        <w:t>meet</w:t>
      </w:r>
      <w:r w:rsidR="00FF65CA" w:rsidRPr="00F56ABA">
        <w:t>ing</w:t>
      </w:r>
      <w:r w:rsidRPr="00F56ABA">
        <w:t xml:space="preserve"> the NRC</w:t>
      </w:r>
      <w:r w:rsidR="008B49DB">
        <w:t>’s</w:t>
      </w:r>
      <w:r w:rsidRPr="00F56ABA">
        <w:t xml:space="preserve"> goal of ensuring the protection of public health and</w:t>
      </w:r>
      <w:r w:rsidRPr="00BD3549">
        <w:t xml:space="preserve"> safety and the environment through the NRC’s approval of new ASME </w:t>
      </w:r>
      <w:r w:rsidR="00AE121B">
        <w:t>Code Cases</w:t>
      </w:r>
      <w:r w:rsidRPr="00BD3549">
        <w:t xml:space="preserve"> that allow the use of the most current methods and technology.  In addition, this alternative would help ensure that the NRC’s actions are effective, efficient, realistic, and timely by eliminating the need for the NRC</w:t>
      </w:r>
      <w:r w:rsidR="008B49DB">
        <w:t>’s</w:t>
      </w:r>
      <w:r w:rsidRPr="00BD3549">
        <w:t xml:space="preserve"> review of plant-specific </w:t>
      </w:r>
      <w:r w:rsidR="00891309">
        <w:t>alternative</w:t>
      </w:r>
      <w:r w:rsidRPr="00BD3549">
        <w:t xml:space="preserve"> requests.  This alternative would also support the NRC’s goal of maintaining an open regulatory process</w:t>
      </w:r>
      <w:r w:rsidR="00C85618">
        <w:t>,</w:t>
      </w:r>
      <w:r w:rsidRPr="00BD3549">
        <w:t xml:space="preserve"> because </w:t>
      </w:r>
      <w:r w:rsidR="00C85618">
        <w:t xml:space="preserve">the agency’s </w:t>
      </w:r>
      <w:r w:rsidRPr="00BD3549">
        <w:t>approv</w:t>
      </w:r>
      <w:r w:rsidR="00C85618">
        <w:t>al of</w:t>
      </w:r>
      <w:r w:rsidRPr="00BD3549">
        <w:t xml:space="preserve"> ASME </w:t>
      </w:r>
      <w:r w:rsidR="00AE121B">
        <w:t>Code Cases</w:t>
      </w:r>
      <w:r w:rsidRPr="00BD3549">
        <w:t xml:space="preserve"> demonstrates </w:t>
      </w:r>
      <w:r w:rsidR="00C85618">
        <w:t>its</w:t>
      </w:r>
      <w:r w:rsidRPr="00BD3549">
        <w:t xml:space="preserve"> commitment to participate in the national consensus standards process.</w:t>
      </w:r>
    </w:p>
    <w:p w14:paraId="7B7F6932" w14:textId="77777777" w:rsidR="00393865" w:rsidRPr="00BD3549" w:rsidRDefault="00393865" w:rsidP="00FF0EE8">
      <w:pPr>
        <w:spacing w:line="240" w:lineRule="auto"/>
      </w:pPr>
    </w:p>
    <w:p w14:paraId="61F38EFC" w14:textId="4790A00C" w:rsidR="008A3A46" w:rsidRDefault="00F75A58" w:rsidP="00FF0EE8">
      <w:pPr>
        <w:spacing w:line="240" w:lineRule="auto"/>
      </w:pPr>
      <w:r w:rsidRPr="00BD3549">
        <w:t>Other important considerations lead the N</w:t>
      </w:r>
      <w:r w:rsidR="00586BBF" w:rsidRPr="00BD3549">
        <w:t xml:space="preserve">RC </w:t>
      </w:r>
      <w:r w:rsidR="00E92666">
        <w:t xml:space="preserve">staff </w:t>
      </w:r>
      <w:r w:rsidR="00586BBF" w:rsidRPr="00BD3549">
        <w:t xml:space="preserve">to recommend </w:t>
      </w:r>
      <w:r w:rsidR="00C3787C">
        <w:t>a</w:t>
      </w:r>
      <w:r w:rsidR="00586BBF" w:rsidRPr="00BD3549">
        <w:t>lternative</w:t>
      </w:r>
      <w:r w:rsidR="008A3A46">
        <w:t> </w:t>
      </w:r>
      <w:r w:rsidR="00586BBF" w:rsidRPr="00BD3549">
        <w:t>2</w:t>
      </w:r>
      <w:r w:rsidR="008A3A46">
        <w:t xml:space="preserve">, </w:t>
      </w:r>
      <w:r w:rsidR="00586BBF" w:rsidRPr="00BD3549">
        <w:t>includ</w:t>
      </w:r>
      <w:r w:rsidR="008A3A46">
        <w:t>ing the following:</w:t>
      </w:r>
    </w:p>
    <w:p w14:paraId="57C14212" w14:textId="77777777" w:rsidR="008A3A46" w:rsidRDefault="008A3A46" w:rsidP="00FF0EE8">
      <w:pPr>
        <w:spacing w:line="240" w:lineRule="auto"/>
      </w:pPr>
    </w:p>
    <w:p w14:paraId="2C10954A" w14:textId="24E481B4" w:rsidR="008A3A46" w:rsidRDefault="00586BBF" w:rsidP="00FF0EE8">
      <w:pPr>
        <w:pStyle w:val="ListParagraph"/>
        <w:numPr>
          <w:ilvl w:val="0"/>
          <w:numId w:val="33"/>
        </w:numPr>
        <w:spacing w:after="240" w:line="240" w:lineRule="auto"/>
        <w:ind w:hanging="720"/>
        <w:contextualSpacing w:val="0"/>
      </w:pPr>
      <w:r w:rsidRPr="00BD3549">
        <w:t>the</w:t>
      </w:r>
      <w:r w:rsidR="00F75A58" w:rsidRPr="00BD3549">
        <w:t xml:space="preserve"> industry</w:t>
      </w:r>
      <w:r w:rsidRPr="00BD3549">
        <w:t>’s</w:t>
      </w:r>
      <w:r w:rsidR="00F75A58" w:rsidRPr="00BD3549">
        <w:t xml:space="preserve"> familiar</w:t>
      </w:r>
      <w:r w:rsidRPr="00BD3549">
        <w:t>ity</w:t>
      </w:r>
      <w:r w:rsidR="00F75A58" w:rsidRPr="00BD3549">
        <w:t xml:space="preserve"> with the well</w:t>
      </w:r>
      <w:r w:rsidR="008A3A46">
        <w:noBreakHyphen/>
      </w:r>
      <w:r w:rsidR="00F75A58" w:rsidRPr="00BD3549">
        <w:t xml:space="preserve">established process of approving </w:t>
      </w:r>
      <w:r w:rsidR="00AE121B">
        <w:t>Code Cases</w:t>
      </w:r>
      <w:r w:rsidR="00F75A58" w:rsidRPr="00BD3549">
        <w:t xml:space="preserve"> through NRC </w:t>
      </w:r>
      <w:r w:rsidR="008A3A46">
        <w:t>RG</w:t>
      </w:r>
      <w:r w:rsidRPr="00BD3549">
        <w:t>s</w:t>
      </w:r>
      <w:r w:rsidR="00F12D0E">
        <w:t>;</w:t>
      </w:r>
    </w:p>
    <w:p w14:paraId="133C0F2D" w14:textId="6D509601" w:rsidR="008A3A46" w:rsidRDefault="00586BBF" w:rsidP="00FF0EE8">
      <w:pPr>
        <w:pStyle w:val="ListParagraph"/>
        <w:numPr>
          <w:ilvl w:val="0"/>
          <w:numId w:val="33"/>
        </w:numPr>
        <w:spacing w:after="240" w:line="240" w:lineRule="auto"/>
        <w:ind w:hanging="720"/>
        <w:contextualSpacing w:val="0"/>
      </w:pPr>
      <w:r w:rsidRPr="00BD3549">
        <w:t xml:space="preserve">the public perception </w:t>
      </w:r>
      <w:r w:rsidR="00F75A58" w:rsidRPr="00BD3549">
        <w:t xml:space="preserve">that the </w:t>
      </w:r>
      <w:r w:rsidR="000A3709" w:rsidRPr="00BD3549">
        <w:t xml:space="preserve">Code </w:t>
      </w:r>
      <w:r w:rsidR="001C19EA">
        <w:t>Case</w:t>
      </w:r>
      <w:r w:rsidR="00F75A58" w:rsidRPr="00BD3549">
        <w:t xml:space="preserve"> approval process is consistent across the industry</w:t>
      </w:r>
      <w:r w:rsidR="00F12D0E">
        <w:t>;</w:t>
      </w:r>
    </w:p>
    <w:p w14:paraId="021EFC48" w14:textId="4797865F" w:rsidR="00EF0E35" w:rsidRDefault="00586BBF" w:rsidP="00FF0EE8">
      <w:pPr>
        <w:pStyle w:val="ListParagraph"/>
        <w:numPr>
          <w:ilvl w:val="0"/>
          <w:numId w:val="33"/>
        </w:numPr>
        <w:spacing w:line="240" w:lineRule="auto"/>
        <w:ind w:hanging="720"/>
      </w:pPr>
      <w:r w:rsidRPr="00BD3549">
        <w:t xml:space="preserve">the public perception </w:t>
      </w:r>
      <w:r w:rsidR="00F75A58" w:rsidRPr="00BD3549">
        <w:t xml:space="preserve">that the NRC will continue to support the use of the most </w:t>
      </w:r>
      <w:r w:rsidRPr="00BD3549">
        <w:t>updated and</w:t>
      </w:r>
      <w:r w:rsidR="00F75A58" w:rsidRPr="00BD3549">
        <w:t xml:space="preserve"> technically sound techniques developed by ASME while </w:t>
      </w:r>
      <w:r w:rsidRPr="00BD3549">
        <w:t xml:space="preserve">continuing to provide </w:t>
      </w:r>
      <w:r w:rsidR="00F75A58" w:rsidRPr="00BD3549">
        <w:t>adequate protecti</w:t>
      </w:r>
      <w:r w:rsidRPr="00BD3549">
        <w:t>on to</w:t>
      </w:r>
      <w:r w:rsidR="00F75A58" w:rsidRPr="00BD3549">
        <w:t xml:space="preserve"> the public</w:t>
      </w:r>
      <w:r w:rsidR="00F12D0E">
        <w:t>.</w:t>
      </w:r>
    </w:p>
    <w:p w14:paraId="79C0FBD8" w14:textId="77777777" w:rsidR="00393865" w:rsidRDefault="00393865" w:rsidP="00FF0EE8">
      <w:pPr>
        <w:spacing w:line="240" w:lineRule="auto"/>
      </w:pPr>
    </w:p>
    <w:p w14:paraId="7B8A7552" w14:textId="6189949F" w:rsidR="00393865" w:rsidRPr="00BD3549" w:rsidRDefault="00393865" w:rsidP="00FF0EE8">
      <w:pPr>
        <w:spacing w:line="240" w:lineRule="auto"/>
      </w:pPr>
      <w:r>
        <w:t xml:space="preserve">The NRC staff concludes </w:t>
      </w:r>
      <w:r w:rsidR="008A3A46">
        <w:t xml:space="preserve">that </w:t>
      </w:r>
      <w:r>
        <w:t>alternative</w:t>
      </w:r>
      <w:r w:rsidR="008A3A46">
        <w:t> </w:t>
      </w:r>
      <w:r>
        <w:t>2 is justified when integrating the cost</w:t>
      </w:r>
      <w:r w:rsidR="008A3A46">
        <w:noBreakHyphen/>
      </w:r>
      <w:r w:rsidR="006265CB">
        <w:t xml:space="preserve">beneficial </w:t>
      </w:r>
      <w:r w:rsidR="004C05F6">
        <w:t>results and the qualitative</w:t>
      </w:r>
      <w:r>
        <w:t xml:space="preserve"> considerations in the decision.</w:t>
      </w:r>
    </w:p>
    <w:p w14:paraId="09C3B245" w14:textId="77777777" w:rsidR="00F75A58" w:rsidRPr="00BD3549" w:rsidRDefault="00F75A58" w:rsidP="00FF0EE8">
      <w:pPr>
        <w:pStyle w:val="Heading1"/>
        <w:spacing w:line="240" w:lineRule="auto"/>
        <w:ind w:left="360"/>
      </w:pPr>
      <w:bookmarkStart w:id="345" w:name="_Toc462224986"/>
      <w:bookmarkStart w:id="346" w:name="_Toc468875945"/>
      <w:r w:rsidRPr="00BD3549">
        <w:t>Implementation Schedule</w:t>
      </w:r>
      <w:bookmarkEnd w:id="345"/>
      <w:bookmarkEnd w:id="346"/>
    </w:p>
    <w:p w14:paraId="339AAEB3" w14:textId="77777777" w:rsidR="00F75A58" w:rsidRPr="00BD3549" w:rsidRDefault="00F75A58" w:rsidP="00FF0EE8">
      <w:pPr>
        <w:keepNext/>
        <w:spacing w:line="240" w:lineRule="auto"/>
      </w:pPr>
    </w:p>
    <w:p w14:paraId="502CD441" w14:textId="3E26CC6E" w:rsidR="005F7153" w:rsidRPr="00BD3549" w:rsidRDefault="00D12448" w:rsidP="00FF0EE8">
      <w:pPr>
        <w:spacing w:line="240" w:lineRule="auto"/>
      </w:pPr>
      <w:r w:rsidRPr="00BD3549">
        <w:t>The</w:t>
      </w:r>
      <w:r w:rsidR="00F75A58" w:rsidRPr="00BD3549">
        <w:t xml:space="preserve"> final rule will become effective 30</w:t>
      </w:r>
      <w:r w:rsidR="00AD53A1">
        <w:t> </w:t>
      </w:r>
      <w:r w:rsidR="00F75A58" w:rsidRPr="00BD3549">
        <w:t xml:space="preserve">days after </w:t>
      </w:r>
      <w:r w:rsidR="00586BBF" w:rsidRPr="00BD3549">
        <w:t>its publication</w:t>
      </w:r>
      <w:r w:rsidR="00F75A58" w:rsidRPr="00BD3549">
        <w:t xml:space="preserve"> in the </w:t>
      </w:r>
      <w:r w:rsidR="00F75A58" w:rsidRPr="00BD3549">
        <w:rPr>
          <w:i/>
        </w:rPr>
        <w:t>Federal Register</w:t>
      </w:r>
      <w:r w:rsidR="00F75A58" w:rsidRPr="00BD3549">
        <w:t>.</w:t>
      </w:r>
    </w:p>
    <w:p w14:paraId="62D7A989" w14:textId="77777777" w:rsidR="00586BBF" w:rsidRPr="00BD3549" w:rsidRDefault="00586BBF" w:rsidP="00FF0EE8">
      <w:pPr>
        <w:pStyle w:val="Heading1"/>
        <w:spacing w:line="240" w:lineRule="auto"/>
        <w:ind w:left="360"/>
      </w:pPr>
      <w:bookmarkStart w:id="347" w:name="_Toc462224987"/>
      <w:bookmarkStart w:id="348" w:name="_Toc468875946"/>
      <w:r w:rsidRPr="00BD3549">
        <w:t>Regulatory Guides</w:t>
      </w:r>
      <w:bookmarkEnd w:id="347"/>
      <w:bookmarkEnd w:id="348"/>
    </w:p>
    <w:p w14:paraId="068FEA81" w14:textId="77777777" w:rsidR="00586BBF" w:rsidRPr="00BD3549" w:rsidRDefault="00586BBF" w:rsidP="00FF0EE8">
      <w:pPr>
        <w:keepNext/>
        <w:spacing w:line="240" w:lineRule="auto"/>
      </w:pPr>
    </w:p>
    <w:p w14:paraId="5A240265" w14:textId="324CD827" w:rsidR="00586BBF" w:rsidRPr="00BD3549" w:rsidRDefault="00586BBF" w:rsidP="00FF0EE8">
      <w:pPr>
        <w:spacing w:line="240" w:lineRule="auto"/>
      </w:pPr>
      <w:r w:rsidRPr="00BD3549">
        <w:t xml:space="preserve">The NRC has </w:t>
      </w:r>
      <w:r w:rsidR="008A3A46">
        <w:t>revised</w:t>
      </w:r>
      <w:r w:rsidRPr="00BD3549">
        <w:t xml:space="preserve"> </w:t>
      </w:r>
      <w:r w:rsidR="008A3A46">
        <w:t>RG </w:t>
      </w:r>
      <w:r w:rsidRPr="00BD3549">
        <w:t>1.84 (Revision 3</w:t>
      </w:r>
      <w:r w:rsidR="009B79D0">
        <w:t>7</w:t>
      </w:r>
      <w:r w:rsidRPr="00BD3549">
        <w:t>)</w:t>
      </w:r>
      <w:r w:rsidR="008A3A46">
        <w:t>, RG </w:t>
      </w:r>
      <w:r w:rsidRPr="00BD3549">
        <w:t>1.147 (Revision</w:t>
      </w:r>
      <w:r w:rsidR="008A3A46">
        <w:t> </w:t>
      </w:r>
      <w:r w:rsidRPr="00BD3549">
        <w:t>1</w:t>
      </w:r>
      <w:r w:rsidR="009B79D0">
        <w:t>8</w:t>
      </w:r>
      <w:r w:rsidRPr="00BD3549">
        <w:t>), and RG</w:t>
      </w:r>
      <w:r w:rsidR="008A3A46">
        <w:t> </w:t>
      </w:r>
      <w:r w:rsidRPr="00BD3549">
        <w:t xml:space="preserve">1.192 </w:t>
      </w:r>
      <w:r w:rsidR="00231F2B">
        <w:t>(</w:t>
      </w:r>
      <w:r w:rsidRPr="00BD3549">
        <w:t>Revision</w:t>
      </w:r>
      <w:r w:rsidR="008A3A46">
        <w:t> </w:t>
      </w:r>
      <w:r w:rsidR="009B79D0">
        <w:t>2</w:t>
      </w:r>
      <w:r w:rsidR="00231F2B">
        <w:t>)</w:t>
      </w:r>
      <w:r w:rsidR="00393865">
        <w:t xml:space="preserve">.  The revisions to these </w:t>
      </w:r>
      <w:r w:rsidR="008A3A46">
        <w:t>RG</w:t>
      </w:r>
      <w:r w:rsidRPr="00BD3549">
        <w:t xml:space="preserve">s identify those </w:t>
      </w:r>
      <w:r w:rsidR="000A52D5">
        <w:t xml:space="preserve">ASME </w:t>
      </w:r>
      <w:r w:rsidR="00AE121B">
        <w:t xml:space="preserve">Code </w:t>
      </w:r>
      <w:r w:rsidR="002430B8">
        <w:t>Cases</w:t>
      </w:r>
      <w:r w:rsidR="002430B8" w:rsidRPr="00BD3549">
        <w:t xml:space="preserve"> that</w:t>
      </w:r>
      <w:r w:rsidRPr="00BD3549">
        <w:t xml:space="preserve"> </w:t>
      </w:r>
      <w:r w:rsidR="008A3A46">
        <w:t>the NRC has</w:t>
      </w:r>
      <w:r w:rsidRPr="00BD3549">
        <w:t xml:space="preserve"> determined to be acceptable alternatives to applicable parts of</w:t>
      </w:r>
      <w:r w:rsidR="008A3A46">
        <w:t xml:space="preserve"> ASME</w:t>
      </w:r>
      <w:r w:rsidRPr="00BD3549">
        <w:t xml:space="preserve"> </w:t>
      </w:r>
      <w:r w:rsidR="000A52D5">
        <w:t xml:space="preserve">BPV Code </w:t>
      </w:r>
      <w:r w:rsidRPr="00BD3549">
        <w:t>Section</w:t>
      </w:r>
      <w:r w:rsidR="000A52D5">
        <w:t>s</w:t>
      </w:r>
      <w:r w:rsidR="008A3A46">
        <w:t> </w:t>
      </w:r>
      <w:r w:rsidRPr="00BD3549">
        <w:t>III</w:t>
      </w:r>
      <w:r w:rsidR="000A52D5">
        <w:t xml:space="preserve"> and</w:t>
      </w:r>
      <w:r w:rsidR="008A3A46">
        <w:t> </w:t>
      </w:r>
      <w:r w:rsidRPr="00BD3549">
        <w:t xml:space="preserve">XI and the </w:t>
      </w:r>
      <w:r w:rsidR="000A52D5">
        <w:t xml:space="preserve">ASME </w:t>
      </w:r>
      <w:r w:rsidRPr="00BD3549">
        <w:t xml:space="preserve">OM Code.  </w:t>
      </w:r>
      <w:r w:rsidR="008A3A46">
        <w:t xml:space="preserve">This regulatory analysis identifies the </w:t>
      </w:r>
      <w:r w:rsidR="00AE121B">
        <w:t>Code Cases</w:t>
      </w:r>
      <w:r w:rsidR="00F366EA">
        <w:t xml:space="preserve"> </w:t>
      </w:r>
      <w:r w:rsidR="008A3A46">
        <w:t xml:space="preserve">that the NRC </w:t>
      </w:r>
      <w:r w:rsidR="00F366EA">
        <w:t xml:space="preserve">determined to be acceptable alternatives and that were not included in </w:t>
      </w:r>
      <w:r w:rsidR="004E377C" w:rsidRPr="00BD3549">
        <w:t>previous versions of these guides</w:t>
      </w:r>
      <w:r w:rsidRPr="00BD3549">
        <w:t>.</w:t>
      </w:r>
    </w:p>
    <w:p w14:paraId="327CCAFD" w14:textId="77777777" w:rsidR="004E377C" w:rsidRPr="00BD3549" w:rsidRDefault="004E377C" w:rsidP="00FF0EE8">
      <w:pPr>
        <w:spacing w:line="240" w:lineRule="auto"/>
      </w:pPr>
    </w:p>
    <w:p w14:paraId="78840DC5" w14:textId="44AD2B41" w:rsidR="00991973" w:rsidRDefault="00AE121B" w:rsidP="00FF0EE8">
      <w:pPr>
        <w:spacing w:line="240" w:lineRule="auto"/>
      </w:pPr>
      <w:r>
        <w:t>Code Cases</w:t>
      </w:r>
      <w:r w:rsidR="004E377C" w:rsidRPr="00BD3549">
        <w:t xml:space="preserve"> provide alternatives to existing requirements </w:t>
      </w:r>
      <w:r w:rsidR="002E679C">
        <w:t>in the ASME BPV and OM Code</w:t>
      </w:r>
      <w:r w:rsidR="004E377C" w:rsidRPr="00BD3549">
        <w:t xml:space="preserve">.  </w:t>
      </w:r>
      <w:r w:rsidR="00EA0397">
        <w:t xml:space="preserve">Licensees implement </w:t>
      </w:r>
      <w:r>
        <w:t>Code Cases</w:t>
      </w:r>
      <w:r w:rsidR="004E377C" w:rsidRPr="00BD3549">
        <w:t xml:space="preserve"> voluntarily.  Thus, the </w:t>
      </w:r>
      <w:r w:rsidR="009511B0">
        <w:t>RG</w:t>
      </w:r>
      <w:r w:rsidR="004E377C" w:rsidRPr="00BD3549">
        <w:t>s</w:t>
      </w:r>
      <w:r w:rsidR="00393865">
        <w:t>, if incorporated by reference into 10</w:t>
      </w:r>
      <w:r w:rsidR="009511B0">
        <w:t> </w:t>
      </w:r>
      <w:r w:rsidR="00393865">
        <w:t>CFR</w:t>
      </w:r>
      <w:r w:rsidR="009511B0">
        <w:t> </w:t>
      </w:r>
      <w:r w:rsidR="00393865">
        <w:t>50.55a,</w:t>
      </w:r>
      <w:r w:rsidR="004E377C" w:rsidRPr="00BD3549">
        <w:t xml:space="preserve"> do not impose new or amended requirements</w:t>
      </w:r>
      <w:r w:rsidR="00393865">
        <w:t xml:space="preserve"> on existing licensees and regulated entities</w:t>
      </w:r>
      <w:r w:rsidR="004E377C" w:rsidRPr="00BD3549">
        <w:t xml:space="preserve">. </w:t>
      </w:r>
      <w:r w:rsidR="00231F2B">
        <w:t xml:space="preserve"> </w:t>
      </w:r>
      <w:r w:rsidR="004E377C" w:rsidRPr="00BD3549">
        <w:t xml:space="preserve">Generally, the </w:t>
      </w:r>
      <w:r w:rsidR="002430B8" w:rsidRPr="00BD3549">
        <w:t xml:space="preserve">use of the alternative provisions of the </w:t>
      </w:r>
      <w:r w:rsidR="002430B8">
        <w:t>Code Cases</w:t>
      </w:r>
      <w:r w:rsidR="002430B8" w:rsidRPr="00BD3549">
        <w:t xml:space="preserve"> does</w:t>
      </w:r>
      <w:r w:rsidR="004E377C" w:rsidRPr="00BD3549">
        <w:t xml:space="preserve"> not result in associated installation or continuing costs.  Finally, </w:t>
      </w:r>
      <w:r w:rsidR="009511B0">
        <w:t>because</w:t>
      </w:r>
      <w:r w:rsidR="009511B0" w:rsidRPr="00BD3549">
        <w:t xml:space="preserve"> </w:t>
      </w:r>
      <w:r w:rsidR="004E377C" w:rsidRPr="00BD3549">
        <w:t xml:space="preserve">many </w:t>
      </w:r>
      <w:r>
        <w:t>Code Cases</w:t>
      </w:r>
      <w:r w:rsidR="004E377C" w:rsidRPr="00BD3549">
        <w:t xml:space="preserve"> provide more effective examinations and tests or were developed </w:t>
      </w:r>
      <w:r w:rsidR="002430B8" w:rsidRPr="00BD3549">
        <w:t>for</w:t>
      </w:r>
      <w:r w:rsidR="004E377C" w:rsidRPr="00BD3549">
        <w:t xml:space="preserve"> reducing occupational exposure, implementation of </w:t>
      </w:r>
      <w:r>
        <w:t>Code Cases</w:t>
      </w:r>
      <w:r w:rsidR="004E377C" w:rsidRPr="00BD3549">
        <w:t xml:space="preserve"> overall results in reduced costs and occupational exposure.</w:t>
      </w:r>
      <w:bookmarkStart w:id="349" w:name="_Toc408578930"/>
      <w:bookmarkStart w:id="350" w:name="_Toc408578933"/>
      <w:bookmarkStart w:id="351" w:name="_Toc408578976"/>
      <w:bookmarkStart w:id="352" w:name="_Toc408578978"/>
      <w:bookmarkStart w:id="353" w:name="_Toc408579009"/>
      <w:bookmarkStart w:id="354" w:name="_Toc408579040"/>
      <w:bookmarkStart w:id="355" w:name="_Toc408579043"/>
      <w:bookmarkStart w:id="356" w:name="_Toc408579077"/>
      <w:bookmarkStart w:id="357" w:name="_Toc408579144"/>
      <w:bookmarkEnd w:id="349"/>
      <w:bookmarkEnd w:id="350"/>
      <w:bookmarkEnd w:id="351"/>
      <w:bookmarkEnd w:id="352"/>
      <w:bookmarkEnd w:id="353"/>
      <w:bookmarkEnd w:id="354"/>
      <w:bookmarkEnd w:id="355"/>
      <w:bookmarkEnd w:id="356"/>
      <w:bookmarkEnd w:id="357"/>
    </w:p>
    <w:p w14:paraId="17B093C4" w14:textId="77777777" w:rsidR="00991973" w:rsidRPr="00BD3549" w:rsidRDefault="00991973" w:rsidP="00FF0EE8">
      <w:pPr>
        <w:pStyle w:val="Heading1"/>
        <w:spacing w:line="240" w:lineRule="auto"/>
        <w:ind w:left="360"/>
      </w:pPr>
      <w:bookmarkStart w:id="358" w:name="_Toc462224988"/>
      <w:bookmarkStart w:id="359" w:name="_Toc468875947"/>
      <w:r w:rsidRPr="00BD3549">
        <w:t>R</w:t>
      </w:r>
      <w:r w:rsidR="009F0F71">
        <w:t>eferences</w:t>
      </w:r>
      <w:bookmarkEnd w:id="358"/>
      <w:bookmarkEnd w:id="359"/>
    </w:p>
    <w:p w14:paraId="6C217747" w14:textId="77777777" w:rsidR="00485BE5" w:rsidRDefault="00485BE5" w:rsidP="00FF0EE8">
      <w:pPr>
        <w:keepNext/>
        <w:spacing w:line="240" w:lineRule="auto"/>
      </w:pPr>
    </w:p>
    <w:p w14:paraId="5AE9DE05" w14:textId="52BB5A62" w:rsidR="00991973" w:rsidRPr="00BD3549" w:rsidRDefault="00485BE5" w:rsidP="00FF0EE8">
      <w:pPr>
        <w:pStyle w:val="ListParagraph"/>
        <w:numPr>
          <w:ilvl w:val="0"/>
          <w:numId w:val="18"/>
        </w:numPr>
        <w:spacing w:line="240" w:lineRule="auto"/>
        <w:ind w:left="540" w:hanging="540"/>
      </w:pPr>
      <w:r w:rsidRPr="00DE3937">
        <w:rPr>
          <w:i/>
        </w:rPr>
        <w:t>Code of Federal Regulations</w:t>
      </w:r>
      <w:r w:rsidRPr="00827F4D">
        <w:t xml:space="preserve">, </w:t>
      </w:r>
      <w:r>
        <w:t xml:space="preserve">Title 10, </w:t>
      </w:r>
      <w:r w:rsidRPr="00170EFF">
        <w:rPr>
          <w:i/>
        </w:rPr>
        <w:t>Energy</w:t>
      </w:r>
      <w:r w:rsidRPr="00827F4D">
        <w:t xml:space="preserve">, </w:t>
      </w:r>
      <w:r>
        <w:t>Part 50, “Domestic Licensing of Production and Utilization Facilities</w:t>
      </w:r>
      <w:r w:rsidR="0016106A">
        <w:t>.</w:t>
      </w:r>
      <w:r>
        <w:t>”</w:t>
      </w:r>
    </w:p>
    <w:p w14:paraId="58F75023" w14:textId="77777777" w:rsidR="00485BE5" w:rsidRDefault="00485BE5" w:rsidP="00FF0EE8">
      <w:pPr>
        <w:spacing w:line="240" w:lineRule="auto"/>
        <w:ind w:left="540" w:hanging="540"/>
      </w:pPr>
    </w:p>
    <w:p w14:paraId="22CA4541" w14:textId="726B5E6F" w:rsidR="00485BE5" w:rsidRDefault="0016106A" w:rsidP="00FF0EE8">
      <w:pPr>
        <w:pStyle w:val="ListParagraph"/>
        <w:numPr>
          <w:ilvl w:val="0"/>
          <w:numId w:val="18"/>
        </w:numPr>
        <w:spacing w:line="240" w:lineRule="auto"/>
        <w:ind w:left="540" w:hanging="540"/>
      </w:pPr>
      <w:r w:rsidRPr="00BD3549">
        <w:t>National Technology Transfer and Advancement Act of 1995</w:t>
      </w:r>
      <w:r>
        <w:t xml:space="preserve">, </w:t>
      </w:r>
      <w:r w:rsidR="00485BE5">
        <w:t>15</w:t>
      </w:r>
      <w:r w:rsidR="006345EE">
        <w:t> </w:t>
      </w:r>
      <w:r w:rsidR="00485BE5">
        <w:t>U</w:t>
      </w:r>
      <w:r w:rsidR="006345EE">
        <w:t>.</w:t>
      </w:r>
      <w:r w:rsidR="00485BE5">
        <w:t>S</w:t>
      </w:r>
      <w:r w:rsidR="006345EE">
        <w:t>.</w:t>
      </w:r>
      <w:r w:rsidR="00485BE5">
        <w:t>C</w:t>
      </w:r>
      <w:r w:rsidR="006345EE">
        <w:t>. </w:t>
      </w:r>
      <w:r>
        <w:t>Sec.</w:t>
      </w:r>
      <w:r w:rsidR="006345EE">
        <w:t> </w:t>
      </w:r>
      <w:r w:rsidR="00485BE5">
        <w:t>3701.</w:t>
      </w:r>
    </w:p>
    <w:p w14:paraId="44CF8FBA" w14:textId="77777777" w:rsidR="00A92985" w:rsidRDefault="00A92985" w:rsidP="00FF0EE8">
      <w:pPr>
        <w:spacing w:line="240" w:lineRule="auto"/>
        <w:ind w:left="540" w:hanging="540"/>
      </w:pPr>
    </w:p>
    <w:p w14:paraId="69C9A67D" w14:textId="6EC6BF94" w:rsidR="00780D75" w:rsidRDefault="00780D75" w:rsidP="00FF0EE8">
      <w:pPr>
        <w:pStyle w:val="ListParagraph"/>
        <w:numPr>
          <w:ilvl w:val="0"/>
          <w:numId w:val="18"/>
        </w:numPr>
        <w:spacing w:line="240" w:lineRule="auto"/>
        <w:ind w:left="540" w:hanging="540"/>
      </w:pPr>
      <w:bookmarkStart w:id="360" w:name="_Ref418690787"/>
      <w:r w:rsidRPr="00B815CF">
        <w:t xml:space="preserve">U.S. Department of Labor, Bureau of Labor Statistics, </w:t>
      </w:r>
      <w:r w:rsidRPr="00B815CF">
        <w:rPr>
          <w:i/>
        </w:rPr>
        <w:t>CPI Detailed Report, December</w:t>
      </w:r>
      <w:r>
        <w:rPr>
          <w:i/>
        </w:rPr>
        <w:t> </w:t>
      </w:r>
      <w:r w:rsidRPr="00B815CF">
        <w:rPr>
          <w:i/>
        </w:rPr>
        <w:t>2014</w:t>
      </w:r>
      <w:r>
        <w:t>,</w:t>
      </w:r>
      <w:r w:rsidRPr="00B815CF">
        <w:t xml:space="preserve"> “Table 24.  Historical Consumer Price Index for All Urban Consumers (CPI-U):</w:t>
      </w:r>
      <w:r w:rsidR="00244FAF">
        <w:t xml:space="preserve"> </w:t>
      </w:r>
      <w:r w:rsidRPr="00B815CF">
        <w:t xml:space="preserve"> U.S. City Average, All-Items,” December</w:t>
      </w:r>
      <w:r w:rsidR="006345EE">
        <w:t> </w:t>
      </w:r>
      <w:r w:rsidRPr="00B815CF">
        <w:t xml:space="preserve">2014.  </w:t>
      </w:r>
      <w:r w:rsidR="006345EE">
        <w:t xml:space="preserve">Available at </w:t>
      </w:r>
      <w:hyperlink r:id="rId26" w:history="1">
        <w:r w:rsidRPr="00B815CF">
          <w:rPr>
            <w:rStyle w:val="Hyperlink"/>
          </w:rPr>
          <w:t>http://www.bls.gov/cpi/tables.htm</w:t>
        </w:r>
      </w:hyperlink>
      <w:r w:rsidR="006345EE">
        <w:rPr>
          <w:rStyle w:val="Hyperlink"/>
          <w:color w:val="auto"/>
          <w:u w:val="none"/>
        </w:rPr>
        <w:t>;</w:t>
      </w:r>
      <w:r w:rsidRPr="00C3787C">
        <w:rPr>
          <w:rStyle w:val="Hyperlink"/>
          <w:color w:val="auto"/>
          <w:u w:val="none"/>
        </w:rPr>
        <w:t xml:space="preserve"> last accessed on</w:t>
      </w:r>
      <w:r w:rsidR="006345EE" w:rsidRPr="00D7741C">
        <w:rPr>
          <w:rStyle w:val="Hyperlink"/>
          <w:color w:val="auto"/>
          <w:u w:val="none"/>
        </w:rPr>
        <w:t xml:space="preserve"> </w:t>
      </w:r>
      <w:r>
        <w:t>April</w:t>
      </w:r>
      <w:r w:rsidR="006345EE">
        <w:t> </w:t>
      </w:r>
      <w:r>
        <w:t>16,</w:t>
      </w:r>
      <w:r w:rsidR="006345EE">
        <w:t> </w:t>
      </w:r>
      <w:r>
        <w:t>2015.</w:t>
      </w:r>
      <w:bookmarkEnd w:id="360"/>
    </w:p>
    <w:p w14:paraId="7804F408" w14:textId="77777777" w:rsidR="00780D75" w:rsidRDefault="00780D75" w:rsidP="00FF0EE8">
      <w:pPr>
        <w:spacing w:line="240" w:lineRule="auto"/>
        <w:ind w:left="540" w:hanging="540"/>
      </w:pPr>
    </w:p>
    <w:p w14:paraId="7112C2F3" w14:textId="4F731E69" w:rsidR="00CD1F11" w:rsidRPr="00CD1F11" w:rsidRDefault="00CD1F11" w:rsidP="00FF0EE8">
      <w:pPr>
        <w:pStyle w:val="ListParagraph"/>
        <w:numPr>
          <w:ilvl w:val="0"/>
          <w:numId w:val="18"/>
        </w:numPr>
        <w:spacing w:line="240" w:lineRule="auto"/>
        <w:ind w:left="540" w:hanging="540"/>
      </w:pPr>
      <w:r w:rsidRPr="00CD1F11">
        <w:t xml:space="preserve">Congressional Budget Office, </w:t>
      </w:r>
      <w:r w:rsidRPr="00CD1F11">
        <w:rPr>
          <w:i/>
        </w:rPr>
        <w:t xml:space="preserve">The Budget and Economic Outlook: </w:t>
      </w:r>
      <w:r w:rsidR="006345EE">
        <w:rPr>
          <w:i/>
        </w:rPr>
        <w:t xml:space="preserve"> </w:t>
      </w:r>
      <w:r w:rsidRPr="00CD1F11">
        <w:rPr>
          <w:i/>
        </w:rPr>
        <w:t>2015 to 2025</w:t>
      </w:r>
      <w:r w:rsidR="006345EE">
        <w:t>,</w:t>
      </w:r>
      <w:r w:rsidRPr="004F5401">
        <w:t xml:space="preserve"> </w:t>
      </w:r>
      <w:r w:rsidRPr="00170EFF">
        <w:t>“Table</w:t>
      </w:r>
      <w:r w:rsidR="006345EE" w:rsidRPr="00170EFF">
        <w:t> </w:t>
      </w:r>
      <w:r w:rsidRPr="00170EFF">
        <w:t>2</w:t>
      </w:r>
      <w:r w:rsidR="006345EE" w:rsidRPr="00170EFF">
        <w:noBreakHyphen/>
      </w:r>
      <w:r w:rsidRPr="00170EFF">
        <w:t>1.  CBO’s Economic Projections for Calendar Years 2015 to 2025,”</w:t>
      </w:r>
      <w:r w:rsidRPr="00CD1F11">
        <w:rPr>
          <w:i/>
        </w:rPr>
        <w:t xml:space="preserve"> </w:t>
      </w:r>
      <w:r w:rsidRPr="00CD1F11">
        <w:t>January</w:t>
      </w:r>
      <w:r w:rsidR="006345EE">
        <w:t> </w:t>
      </w:r>
      <w:r w:rsidRPr="00CD1F11">
        <w:t xml:space="preserve">2015. </w:t>
      </w:r>
      <w:r w:rsidR="006345EE">
        <w:t xml:space="preserve"> Available at </w:t>
      </w:r>
      <w:hyperlink r:id="rId27" w:history="1">
        <w:r w:rsidR="006345EE" w:rsidRPr="006345EE">
          <w:rPr>
            <w:rStyle w:val="Hyperlink"/>
          </w:rPr>
          <w:t>http://www.cbo.gov/sites/default/files/cbofiles/ attachments/49892-Outlook2015.pdf</w:t>
        </w:r>
      </w:hyperlink>
      <w:r w:rsidR="006345EE">
        <w:rPr>
          <w:rStyle w:val="Hyperlink"/>
          <w:color w:val="auto"/>
          <w:u w:val="none"/>
        </w:rPr>
        <w:t>;</w:t>
      </w:r>
      <w:r w:rsidRPr="00CD1F11">
        <w:rPr>
          <w:rStyle w:val="Hyperlink"/>
          <w:color w:val="auto"/>
          <w:u w:val="none"/>
        </w:rPr>
        <w:t xml:space="preserve"> last accessed on </w:t>
      </w:r>
      <w:r>
        <w:rPr>
          <w:rStyle w:val="Hyperlink"/>
          <w:color w:val="auto"/>
          <w:u w:val="none"/>
        </w:rPr>
        <w:t>December</w:t>
      </w:r>
      <w:r w:rsidR="006345EE">
        <w:rPr>
          <w:rStyle w:val="Hyperlink"/>
          <w:color w:val="auto"/>
          <w:u w:val="none"/>
        </w:rPr>
        <w:t> </w:t>
      </w:r>
      <w:r>
        <w:rPr>
          <w:rStyle w:val="Hyperlink"/>
          <w:color w:val="auto"/>
          <w:u w:val="none"/>
        </w:rPr>
        <w:t>1,</w:t>
      </w:r>
      <w:r w:rsidR="006345EE">
        <w:rPr>
          <w:rStyle w:val="Hyperlink"/>
          <w:color w:val="auto"/>
          <w:u w:val="none"/>
        </w:rPr>
        <w:t> </w:t>
      </w:r>
      <w:r>
        <w:rPr>
          <w:rStyle w:val="Hyperlink"/>
          <w:color w:val="auto"/>
          <w:u w:val="none"/>
        </w:rPr>
        <w:t>2015.</w:t>
      </w:r>
    </w:p>
    <w:p w14:paraId="77CDE1C7" w14:textId="77777777" w:rsidR="00CD1F11" w:rsidRPr="00CD1F11" w:rsidRDefault="00CD1F11" w:rsidP="00FF0EE8">
      <w:pPr>
        <w:pStyle w:val="ListParagraph"/>
        <w:spacing w:line="240" w:lineRule="auto"/>
      </w:pPr>
    </w:p>
    <w:p w14:paraId="305B9916" w14:textId="2112FB64" w:rsidR="00A92985" w:rsidRDefault="00A92985" w:rsidP="00FF0EE8">
      <w:pPr>
        <w:pStyle w:val="ListParagraph"/>
        <w:numPr>
          <w:ilvl w:val="0"/>
          <w:numId w:val="18"/>
        </w:numPr>
        <w:spacing w:line="240" w:lineRule="auto"/>
        <w:ind w:left="540" w:hanging="540"/>
      </w:pPr>
      <w:r w:rsidRPr="00A93FDB">
        <w:t xml:space="preserve">U.S. </w:t>
      </w:r>
      <w:r>
        <w:t>Department of Labor</w:t>
      </w:r>
      <w:r w:rsidRPr="00A93FDB">
        <w:t xml:space="preserve">, </w:t>
      </w:r>
      <w:r>
        <w:t>Bureau of Labor Statistics</w:t>
      </w:r>
      <w:r w:rsidRPr="00A93FDB">
        <w:t>, “</w:t>
      </w:r>
      <w:r>
        <w:t>NAICS Code:  North American Industry Classification System Code, Utilities:  NAICS 22,” January</w:t>
      </w:r>
      <w:r w:rsidR="009B3382">
        <w:t> </w:t>
      </w:r>
      <w:r>
        <w:t>20,</w:t>
      </w:r>
      <w:r w:rsidR="009B3382">
        <w:t> </w:t>
      </w:r>
      <w:r>
        <w:t>2015</w:t>
      </w:r>
      <w:r w:rsidRPr="00A93FDB">
        <w:t>.</w:t>
      </w:r>
      <w:r>
        <w:t xml:space="preserve">  </w:t>
      </w:r>
      <w:r w:rsidR="009B3382">
        <w:t xml:space="preserve">Available </w:t>
      </w:r>
      <w:r>
        <w:t xml:space="preserve">at </w:t>
      </w:r>
      <w:hyperlink r:id="rId28" w:history="1">
        <w:r w:rsidR="009B3382" w:rsidRPr="009B3800">
          <w:rPr>
            <w:rStyle w:val="Hyperlink"/>
          </w:rPr>
          <w:t>http://www.bls.gov/iag/tgs/iag22.htm</w:t>
        </w:r>
      </w:hyperlink>
      <w:r w:rsidR="009B3382">
        <w:t>; last accessed on November 20, 2014</w:t>
      </w:r>
      <w:r>
        <w:t>.</w:t>
      </w:r>
      <w:r w:rsidRPr="00A5168D">
        <w:t xml:space="preserve"> </w:t>
      </w:r>
    </w:p>
    <w:p w14:paraId="450CBC54" w14:textId="77777777" w:rsidR="00A92985" w:rsidRPr="00F15F1C" w:rsidRDefault="00A92985" w:rsidP="00FF0EE8">
      <w:pPr>
        <w:spacing w:line="240" w:lineRule="auto"/>
        <w:ind w:left="540" w:hanging="540"/>
      </w:pPr>
    </w:p>
    <w:p w14:paraId="14A1CC78" w14:textId="15B026CB" w:rsidR="00A92985" w:rsidRPr="00695A25" w:rsidRDefault="00A92985" w:rsidP="00FF0EE8">
      <w:pPr>
        <w:pStyle w:val="ListParagraph"/>
        <w:numPr>
          <w:ilvl w:val="0"/>
          <w:numId w:val="18"/>
        </w:numPr>
        <w:spacing w:line="240" w:lineRule="auto"/>
        <w:ind w:left="540" w:hanging="540"/>
      </w:pPr>
      <w:r w:rsidRPr="00A93FDB">
        <w:t xml:space="preserve">U.S. </w:t>
      </w:r>
      <w:r>
        <w:t>Department of Labor</w:t>
      </w:r>
      <w:r w:rsidRPr="00A93FDB">
        <w:t xml:space="preserve">, </w:t>
      </w:r>
      <w:r>
        <w:t>Bureau of Labor Statistics</w:t>
      </w:r>
      <w:r w:rsidRPr="00A93FDB">
        <w:t>, “</w:t>
      </w:r>
      <w:r>
        <w:t>SOC Code:  Standard Occupational Classification Code,” January</w:t>
      </w:r>
      <w:r w:rsidR="009B3382">
        <w:t> </w:t>
      </w:r>
      <w:r>
        <w:t>20,</w:t>
      </w:r>
      <w:r w:rsidR="009B3382">
        <w:t> </w:t>
      </w:r>
      <w:r>
        <w:t>2015</w:t>
      </w:r>
      <w:r w:rsidRPr="00A93FDB">
        <w:t>.</w:t>
      </w:r>
      <w:r>
        <w:t xml:space="preserve">  </w:t>
      </w:r>
      <w:r w:rsidR="009B3382">
        <w:t xml:space="preserve">Available </w:t>
      </w:r>
      <w:r>
        <w:t>at</w:t>
      </w:r>
      <w:r w:rsidR="009B3382">
        <w:t xml:space="preserve"> </w:t>
      </w:r>
      <w:hyperlink r:id="rId29" w:history="1">
        <w:r w:rsidR="009B3382" w:rsidRPr="009B3382">
          <w:rPr>
            <w:rStyle w:val="Hyperlink"/>
          </w:rPr>
          <w:t>http://www.bls.gov/soc/home.htm</w:t>
        </w:r>
      </w:hyperlink>
      <w:r w:rsidR="009B3382">
        <w:t>; last accessed on January 6, 2015</w:t>
      </w:r>
      <w:r>
        <w:t>.</w:t>
      </w:r>
      <w:r w:rsidRPr="00DE3937">
        <w:rPr>
          <w:rFonts w:eastAsia="Times New Roman"/>
          <w:color w:val="000000"/>
          <w:sz w:val="16"/>
          <w:szCs w:val="16"/>
        </w:rPr>
        <w:t xml:space="preserve"> </w:t>
      </w:r>
    </w:p>
    <w:p w14:paraId="1E2DC4EE" w14:textId="77777777" w:rsidR="00A92985" w:rsidRDefault="00A92985" w:rsidP="00FF0EE8">
      <w:pPr>
        <w:spacing w:line="240" w:lineRule="auto"/>
        <w:ind w:left="540" w:hanging="540"/>
      </w:pPr>
    </w:p>
    <w:p w14:paraId="5CE88DD0" w14:textId="09F90CB6" w:rsidR="00A92985" w:rsidRDefault="00A92985" w:rsidP="00FF0EE8">
      <w:pPr>
        <w:pStyle w:val="ListParagraph"/>
        <w:numPr>
          <w:ilvl w:val="0"/>
          <w:numId w:val="18"/>
        </w:numPr>
        <w:spacing w:line="240" w:lineRule="auto"/>
        <w:ind w:left="540" w:hanging="540"/>
      </w:pPr>
      <w:r w:rsidRPr="00A93FDB">
        <w:t xml:space="preserve">U.S. </w:t>
      </w:r>
      <w:r>
        <w:t>Department of Labor</w:t>
      </w:r>
      <w:r w:rsidRPr="00A93FDB">
        <w:t xml:space="preserve">, </w:t>
      </w:r>
      <w:r>
        <w:t>Bureau of Labor Statistics</w:t>
      </w:r>
      <w:r w:rsidRPr="00A93FDB">
        <w:t>, “</w:t>
      </w:r>
      <w:r>
        <w:t>NAICS Code:  North American Industry Classification System Code,” January</w:t>
      </w:r>
      <w:r w:rsidR="009B3382">
        <w:t> </w:t>
      </w:r>
      <w:r>
        <w:t>20,</w:t>
      </w:r>
      <w:r w:rsidR="009B3382">
        <w:t> </w:t>
      </w:r>
      <w:r>
        <w:t>2015</w:t>
      </w:r>
      <w:r w:rsidRPr="00A93FDB">
        <w:t>.</w:t>
      </w:r>
      <w:r>
        <w:t xml:space="preserve">  </w:t>
      </w:r>
      <w:r w:rsidR="009B3382">
        <w:t>Available</w:t>
      </w:r>
      <w:r>
        <w:t xml:space="preserve"> at </w:t>
      </w:r>
      <w:hyperlink r:id="rId30" w:history="1">
        <w:r w:rsidR="009B3382" w:rsidRPr="009B3382">
          <w:rPr>
            <w:rStyle w:val="Hyperlink"/>
          </w:rPr>
          <w:t>http://www.bls.gov/bls/naics.htm</w:t>
        </w:r>
      </w:hyperlink>
      <w:r w:rsidR="009B3382">
        <w:t>; last accessed on January 6, 2015</w:t>
      </w:r>
      <w:r>
        <w:t>.</w:t>
      </w:r>
      <w:r w:rsidRPr="00827F4D">
        <w:t xml:space="preserve"> </w:t>
      </w:r>
    </w:p>
    <w:p w14:paraId="60955CF8" w14:textId="77777777" w:rsidR="00A92985" w:rsidRDefault="00A92985" w:rsidP="00FF0EE8">
      <w:pPr>
        <w:spacing w:line="240" w:lineRule="auto"/>
        <w:ind w:left="540" w:hanging="540"/>
      </w:pPr>
    </w:p>
    <w:p w14:paraId="5D1C9253" w14:textId="4A0E4890" w:rsidR="0054632C" w:rsidRPr="00B7487C" w:rsidRDefault="0054632C" w:rsidP="00FF0EE8">
      <w:pPr>
        <w:pStyle w:val="ListParagraph"/>
        <w:numPr>
          <w:ilvl w:val="0"/>
          <w:numId w:val="18"/>
        </w:numPr>
        <w:spacing w:line="240" w:lineRule="auto"/>
        <w:ind w:left="540" w:hanging="540"/>
      </w:pPr>
      <w:bookmarkStart w:id="361" w:name="_Ref430011025"/>
      <w:r w:rsidRPr="00B7487C">
        <w:t>U.S. Nuclear Regulatory Commission</w:t>
      </w:r>
      <w:r w:rsidR="009B3382">
        <w:t xml:space="preserve">, </w:t>
      </w:r>
      <w:r w:rsidR="009B3382" w:rsidRPr="00B7487C">
        <w:t>NUREG/CR</w:t>
      </w:r>
      <w:r w:rsidR="009B3382" w:rsidRPr="00B7487C">
        <w:noBreakHyphen/>
        <w:t>4627</w:t>
      </w:r>
      <w:r w:rsidR="009B3382">
        <w:t>,</w:t>
      </w:r>
      <w:r w:rsidRPr="00B7487C">
        <w:t xml:space="preserve"> </w:t>
      </w:r>
      <w:r w:rsidR="009B3382">
        <w:t>“</w:t>
      </w:r>
      <w:r w:rsidR="00B7487C" w:rsidRPr="00170EFF">
        <w:t>Generic Cost Estimates</w:t>
      </w:r>
      <w:r w:rsidR="008254FA">
        <w:t>:  Abstracts from Generic Studies for Use in Preparing Regulatory Impact Analyses</w:t>
      </w:r>
      <w:r w:rsidRPr="009B3382">
        <w:t>,</w:t>
      </w:r>
      <w:r w:rsidR="009B3382">
        <w:t>”</w:t>
      </w:r>
      <w:r w:rsidRPr="00B7487C">
        <w:t xml:space="preserve"> </w:t>
      </w:r>
      <w:r w:rsidR="00B7487C" w:rsidRPr="00B7487C">
        <w:t>February 1992</w:t>
      </w:r>
      <w:r w:rsidR="001C7914">
        <w:t xml:space="preserve"> </w:t>
      </w:r>
      <w:r w:rsidRPr="00B7487C">
        <w:t xml:space="preserve">(ADAMS Accession </w:t>
      </w:r>
      <w:r w:rsidR="00530AA1" w:rsidRPr="00B7487C">
        <w:t>No.</w:t>
      </w:r>
      <w:r w:rsidR="001C7914">
        <w:t> </w:t>
      </w:r>
      <w:r w:rsidR="00B7487C" w:rsidRPr="00B7487C">
        <w:rPr>
          <w:color w:val="000000"/>
        </w:rPr>
        <w:t>ML13137A259</w:t>
      </w:r>
      <w:r w:rsidRPr="00B7487C">
        <w:t>).</w:t>
      </w:r>
      <w:bookmarkEnd w:id="361"/>
    </w:p>
    <w:p w14:paraId="2C265A23" w14:textId="77777777" w:rsidR="0054632C" w:rsidRDefault="0054632C" w:rsidP="00FF0EE8">
      <w:pPr>
        <w:spacing w:line="240" w:lineRule="auto"/>
        <w:ind w:left="540" w:hanging="540"/>
      </w:pPr>
    </w:p>
    <w:p w14:paraId="565CBE57" w14:textId="0E6294DD" w:rsidR="00031749" w:rsidRDefault="00031749" w:rsidP="00FF0EE8">
      <w:pPr>
        <w:pStyle w:val="ListParagraph"/>
        <w:numPr>
          <w:ilvl w:val="0"/>
          <w:numId w:val="18"/>
        </w:numPr>
        <w:spacing w:line="240" w:lineRule="auto"/>
        <w:ind w:left="540" w:hanging="540"/>
      </w:pPr>
      <w:r>
        <w:t>U.S. Nuclear Regulatory Commission</w:t>
      </w:r>
      <w:r w:rsidR="001C7914">
        <w:t>,</w:t>
      </w:r>
      <w:r>
        <w:t xml:space="preserve"> “Commission Policy Statement on Deferred Plants</w:t>
      </w:r>
      <w:r w:rsidR="001C7914">
        <w:t>,</w:t>
      </w:r>
      <w:r>
        <w:t xml:space="preserve">” </w:t>
      </w:r>
      <w:r w:rsidRPr="00DE3937">
        <w:rPr>
          <w:i/>
        </w:rPr>
        <w:t xml:space="preserve">Federal Register, </w:t>
      </w:r>
      <w:r w:rsidR="00981C94">
        <w:t>Volume</w:t>
      </w:r>
      <w:r w:rsidR="004F582B">
        <w:t> </w:t>
      </w:r>
      <w:r w:rsidR="001C7914">
        <w:t>52, page 38077 (52 FR 38077), October 14, 1987</w:t>
      </w:r>
      <w:r>
        <w:t>.</w:t>
      </w:r>
    </w:p>
    <w:p w14:paraId="3EFEF057" w14:textId="77777777" w:rsidR="00031749" w:rsidRDefault="00031749" w:rsidP="00FF0EE8">
      <w:pPr>
        <w:spacing w:line="240" w:lineRule="auto"/>
        <w:ind w:left="540" w:hanging="540"/>
      </w:pPr>
    </w:p>
    <w:p w14:paraId="55570030" w14:textId="05607F99" w:rsidR="0054632C" w:rsidRPr="00E439A1" w:rsidRDefault="0054632C" w:rsidP="00FF0EE8">
      <w:pPr>
        <w:pStyle w:val="ListParagraph"/>
        <w:numPr>
          <w:ilvl w:val="0"/>
          <w:numId w:val="18"/>
        </w:numPr>
        <w:spacing w:line="240" w:lineRule="auto"/>
        <w:ind w:left="540" w:hanging="540"/>
      </w:pPr>
      <w:bookmarkStart w:id="362" w:name="_Ref430010344"/>
      <w:r w:rsidRPr="00E439A1">
        <w:t>U.S. Nuclear Regulatory Commission</w:t>
      </w:r>
      <w:r w:rsidR="001C7914">
        <w:t xml:space="preserve">, </w:t>
      </w:r>
      <w:r w:rsidR="001C7914" w:rsidRPr="00E439A1">
        <w:t>NUREG/BR-</w:t>
      </w:r>
      <w:r w:rsidR="001C7914">
        <w:t>01</w:t>
      </w:r>
      <w:r w:rsidR="001C7914" w:rsidRPr="00E439A1">
        <w:t>84</w:t>
      </w:r>
      <w:r w:rsidR="001C7914">
        <w:t>,</w:t>
      </w:r>
      <w:r w:rsidRPr="00E439A1">
        <w:t xml:space="preserve"> </w:t>
      </w:r>
      <w:r w:rsidR="001C7914">
        <w:t>“</w:t>
      </w:r>
      <w:r w:rsidRPr="00170EFF">
        <w:t>Regulatory Analysis Technical Evaluation Handbook</w:t>
      </w:r>
      <w:r w:rsidRPr="00D557C2">
        <w:t>,</w:t>
      </w:r>
      <w:r w:rsidR="001C7914">
        <w:t>”</w:t>
      </w:r>
      <w:r w:rsidRPr="00E439A1">
        <w:t xml:space="preserve"> January</w:t>
      </w:r>
      <w:r w:rsidR="001C7914">
        <w:t> </w:t>
      </w:r>
      <w:r w:rsidRPr="00E439A1">
        <w:t xml:space="preserve">1997 </w:t>
      </w:r>
      <w:r>
        <w:t xml:space="preserve">(ADAMS Accession </w:t>
      </w:r>
      <w:r w:rsidR="00530AA1">
        <w:t>No. </w:t>
      </w:r>
      <w:r w:rsidRPr="00A5168D">
        <w:t>ML050190193).</w:t>
      </w:r>
      <w:bookmarkEnd w:id="362"/>
    </w:p>
    <w:p w14:paraId="05AF0F54" w14:textId="77777777" w:rsidR="0054632C" w:rsidRDefault="0054632C" w:rsidP="00FF0EE8">
      <w:pPr>
        <w:spacing w:line="240" w:lineRule="auto"/>
        <w:ind w:left="540" w:hanging="540"/>
      </w:pPr>
    </w:p>
    <w:p w14:paraId="27EBAD7C" w14:textId="57D5008D" w:rsidR="0092736A" w:rsidRDefault="0092736A" w:rsidP="00FF0EE8">
      <w:pPr>
        <w:pStyle w:val="ListParagraph"/>
        <w:numPr>
          <w:ilvl w:val="0"/>
          <w:numId w:val="18"/>
        </w:numPr>
        <w:spacing w:line="240" w:lineRule="auto"/>
        <w:ind w:left="540" w:hanging="540"/>
      </w:pPr>
      <w:bookmarkStart w:id="363" w:name="_Ref429985097"/>
      <w:r w:rsidRPr="00170EFF">
        <w:t>U.S. Nuclear Regulatory Commission</w:t>
      </w:r>
      <w:r w:rsidR="001C7914">
        <w:t xml:space="preserve">, </w:t>
      </w:r>
      <w:r w:rsidR="001C7914" w:rsidRPr="001C7914">
        <w:t>NUREG/B</w:t>
      </w:r>
      <w:r w:rsidR="001C7914" w:rsidRPr="00DD7E7A">
        <w:t>R</w:t>
      </w:r>
      <w:r w:rsidR="001C7914">
        <w:noBreakHyphen/>
        <w:t>0058, “</w:t>
      </w:r>
      <w:r w:rsidRPr="00D557C2">
        <w:t>Regulatory Analysis Guidelines of the U.S.</w:t>
      </w:r>
      <w:r w:rsidR="00FA4313">
        <w:t> </w:t>
      </w:r>
      <w:r w:rsidRPr="00D557C2">
        <w:t>Nuclear Regulatory Commission</w:t>
      </w:r>
      <w:r w:rsidRPr="001C7914">
        <w:t>,</w:t>
      </w:r>
      <w:r w:rsidR="001C7914">
        <w:t>”</w:t>
      </w:r>
      <w:r w:rsidRPr="001C7914">
        <w:t xml:space="preserve"> </w:t>
      </w:r>
      <w:r w:rsidRPr="00DD7E7A">
        <w:t>Revision</w:t>
      </w:r>
      <w:r w:rsidR="001C7914">
        <w:t> </w:t>
      </w:r>
      <w:r w:rsidRPr="00DD7E7A">
        <w:t>4, September</w:t>
      </w:r>
      <w:r w:rsidR="001C7914">
        <w:t> </w:t>
      </w:r>
      <w:r w:rsidRPr="00DD7E7A">
        <w:t xml:space="preserve">2004 (ADAMS Accession </w:t>
      </w:r>
      <w:r w:rsidR="00530AA1">
        <w:t>No.</w:t>
      </w:r>
      <w:r w:rsidR="001C7914">
        <w:t> </w:t>
      </w:r>
      <w:r w:rsidRPr="00DD7E7A">
        <w:t>ML042820192)</w:t>
      </w:r>
      <w:r w:rsidR="00031749">
        <w:t>.</w:t>
      </w:r>
      <w:bookmarkEnd w:id="363"/>
    </w:p>
    <w:p w14:paraId="176B28B8" w14:textId="77777777" w:rsidR="0092736A" w:rsidRDefault="0092736A" w:rsidP="00FF0EE8">
      <w:pPr>
        <w:spacing w:line="240" w:lineRule="auto"/>
        <w:ind w:left="540" w:hanging="540"/>
      </w:pPr>
    </w:p>
    <w:p w14:paraId="0505D6F1" w14:textId="03AE3312" w:rsidR="0092736A" w:rsidRDefault="0092736A" w:rsidP="00FF0EE8">
      <w:pPr>
        <w:pStyle w:val="ListParagraph"/>
        <w:numPr>
          <w:ilvl w:val="0"/>
          <w:numId w:val="18"/>
        </w:numPr>
        <w:spacing w:line="240" w:lineRule="auto"/>
        <w:ind w:left="540" w:hanging="540"/>
      </w:pPr>
      <w:bookmarkStart w:id="364" w:name="_Ref430010490"/>
      <w:r w:rsidRPr="00E439A1">
        <w:t>U.S. Nuclear Regulatory Commission</w:t>
      </w:r>
      <w:r w:rsidR="00FA4313">
        <w:t xml:space="preserve">, </w:t>
      </w:r>
      <w:r w:rsidR="00FA4313" w:rsidRPr="00020C86">
        <w:t>NUREG/BR</w:t>
      </w:r>
      <w:r w:rsidR="00FA4313">
        <w:noBreakHyphen/>
      </w:r>
      <w:r w:rsidR="00FA4313" w:rsidRPr="00020C86">
        <w:t>0053</w:t>
      </w:r>
      <w:r w:rsidR="00FA4313">
        <w:t>,</w:t>
      </w:r>
      <w:r w:rsidRPr="00E439A1">
        <w:t xml:space="preserve"> </w:t>
      </w:r>
      <w:r w:rsidR="00FA4313">
        <w:t>“</w:t>
      </w:r>
      <w:r w:rsidRPr="00170EFF">
        <w:t>U.S.</w:t>
      </w:r>
      <w:r w:rsidR="00FA4313">
        <w:t> </w:t>
      </w:r>
      <w:r w:rsidRPr="00170EFF">
        <w:t>NRC Regulations Handbook</w:t>
      </w:r>
      <w:r w:rsidRPr="00FA4313">
        <w:t>,</w:t>
      </w:r>
      <w:r w:rsidR="00FA4313">
        <w:t>”</w:t>
      </w:r>
      <w:r w:rsidRPr="00020C86">
        <w:t xml:space="preserve"> Revision</w:t>
      </w:r>
      <w:r w:rsidR="00FA4313">
        <w:t> </w:t>
      </w:r>
      <w:r w:rsidRPr="00020C86">
        <w:t xml:space="preserve">6, </w:t>
      </w:r>
      <w:r>
        <w:t>September</w:t>
      </w:r>
      <w:r w:rsidR="00FA4313">
        <w:t> </w:t>
      </w:r>
      <w:r w:rsidRPr="00020C86">
        <w:t>2005</w:t>
      </w:r>
      <w:r w:rsidR="00EC100B">
        <w:t xml:space="preserve"> </w:t>
      </w:r>
      <w:r w:rsidRPr="00020C86">
        <w:t xml:space="preserve">(ADAMS Accession </w:t>
      </w:r>
      <w:r w:rsidR="00530AA1">
        <w:t>No. </w:t>
      </w:r>
      <w:r w:rsidRPr="00020C86">
        <w:t>ML052720461)</w:t>
      </w:r>
      <w:r w:rsidRPr="00DD7E7A">
        <w:t>.</w:t>
      </w:r>
      <w:bookmarkEnd w:id="364"/>
    </w:p>
    <w:p w14:paraId="4C138297" w14:textId="77777777" w:rsidR="0092736A" w:rsidRDefault="0092736A" w:rsidP="00FF0EE8">
      <w:pPr>
        <w:spacing w:line="240" w:lineRule="auto"/>
        <w:ind w:left="540" w:hanging="540"/>
      </w:pPr>
    </w:p>
    <w:p w14:paraId="2385A6AF" w14:textId="27D2497A" w:rsidR="00031749" w:rsidRDefault="00031749" w:rsidP="00FF0EE8">
      <w:pPr>
        <w:pStyle w:val="ListParagraph"/>
        <w:numPr>
          <w:ilvl w:val="0"/>
          <w:numId w:val="18"/>
        </w:numPr>
        <w:spacing w:line="240" w:lineRule="auto"/>
        <w:ind w:left="540" w:hanging="540"/>
      </w:pPr>
      <w:bookmarkStart w:id="365" w:name="_Ref436891898"/>
      <w:r w:rsidRPr="00E439A1">
        <w:t>U.S. Nuclear Regulatory Commission</w:t>
      </w:r>
      <w:r w:rsidR="00FA4313">
        <w:t xml:space="preserve">, </w:t>
      </w:r>
      <w:r w:rsidR="00FA4313" w:rsidRPr="00B30EAC">
        <w:t>NUREG-1350</w:t>
      </w:r>
      <w:r w:rsidR="00FA4313">
        <w:t>, “</w:t>
      </w:r>
      <w:r w:rsidR="00CD1F11" w:rsidRPr="00B30EAC">
        <w:t>201</w:t>
      </w:r>
      <w:r w:rsidR="00CD1F11">
        <w:t>5</w:t>
      </w:r>
      <w:r w:rsidR="00FA4313">
        <w:t>–</w:t>
      </w:r>
      <w:r w:rsidR="00CD1F11" w:rsidRPr="00B30EAC">
        <w:t>201</w:t>
      </w:r>
      <w:r w:rsidR="00CD1F11">
        <w:t>6</w:t>
      </w:r>
      <w:r w:rsidR="00CD1F11" w:rsidRPr="00B30EAC">
        <w:t xml:space="preserve"> Information Digest</w:t>
      </w:r>
      <w:r w:rsidR="00FA4313">
        <w:t xml:space="preserve">,” </w:t>
      </w:r>
      <w:r w:rsidR="00CD1F11" w:rsidRPr="00B30EAC">
        <w:t>Appendix H</w:t>
      </w:r>
      <w:r w:rsidR="00244FAF">
        <w:t>, “</w:t>
      </w:r>
      <w:r w:rsidR="00CD1F11" w:rsidRPr="00B30EAC">
        <w:t>U.S. Commercial Nuclear Power Reactor Operating Licenses</w:t>
      </w:r>
      <w:r w:rsidR="00FA4313">
        <w:t>—</w:t>
      </w:r>
      <w:r w:rsidR="00CD1F11" w:rsidRPr="00B30EAC">
        <w:t xml:space="preserve">Expiration by Year, 2013–2049,” </w:t>
      </w:r>
      <w:r w:rsidR="00244FAF">
        <w:t xml:space="preserve">Volume 27, </w:t>
      </w:r>
      <w:r w:rsidR="00CD1F11">
        <w:t>June</w:t>
      </w:r>
      <w:r w:rsidR="00FA4313">
        <w:t> </w:t>
      </w:r>
      <w:r w:rsidR="00CD1F11" w:rsidRPr="00B30EAC">
        <w:t>201</w:t>
      </w:r>
      <w:r w:rsidR="00CD1F11">
        <w:t>5</w:t>
      </w:r>
      <w:r w:rsidR="00CD1F11" w:rsidRPr="00B30EAC">
        <w:t xml:space="preserve">.  Available at </w:t>
      </w:r>
      <w:hyperlink r:id="rId31" w:history="1">
        <w:r w:rsidR="00CD1F11" w:rsidRPr="00B30EAC">
          <w:rPr>
            <w:rStyle w:val="Hyperlink"/>
          </w:rPr>
          <w:t>http://www.nrc.gov/reading-rm/doc-collections/nuregs/staff/sr1350/</w:t>
        </w:r>
      </w:hyperlink>
      <w:r w:rsidR="00FA4313">
        <w:t>;</w:t>
      </w:r>
      <w:r w:rsidR="00CD1F11" w:rsidRPr="00B30EAC">
        <w:t xml:space="preserve"> last accessed on </w:t>
      </w:r>
      <w:r w:rsidR="00CD1F11">
        <w:t>November</w:t>
      </w:r>
      <w:r w:rsidR="00FA4313">
        <w:t> </w:t>
      </w:r>
      <w:r w:rsidR="00CD1F11">
        <w:t>19</w:t>
      </w:r>
      <w:r w:rsidR="00CD1F11" w:rsidRPr="00B30EAC">
        <w:t>,</w:t>
      </w:r>
      <w:r w:rsidR="00FA4313">
        <w:t> </w:t>
      </w:r>
      <w:r w:rsidR="00CD1F11" w:rsidRPr="00B30EAC">
        <w:t>2015</w:t>
      </w:r>
      <w:r>
        <w:t>.</w:t>
      </w:r>
      <w:bookmarkEnd w:id="365"/>
    </w:p>
    <w:p w14:paraId="59585A85" w14:textId="77777777" w:rsidR="00031749" w:rsidRDefault="00031749" w:rsidP="00FF0EE8">
      <w:pPr>
        <w:spacing w:line="240" w:lineRule="auto"/>
        <w:ind w:left="540" w:hanging="540"/>
      </w:pPr>
    </w:p>
    <w:p w14:paraId="2D957D14" w14:textId="25322467" w:rsidR="00B20FDB" w:rsidRDefault="00B20FDB" w:rsidP="00FF0EE8">
      <w:pPr>
        <w:pStyle w:val="ListParagraph"/>
        <w:numPr>
          <w:ilvl w:val="0"/>
          <w:numId w:val="18"/>
        </w:numPr>
        <w:spacing w:line="240" w:lineRule="auto"/>
        <w:ind w:left="540" w:hanging="540"/>
      </w:pPr>
      <w:r w:rsidRPr="00E439A1">
        <w:t>U.S. Nuclear Regulatory Commission</w:t>
      </w:r>
      <w:r w:rsidR="004F582B">
        <w:t xml:space="preserve">, </w:t>
      </w:r>
      <w:r w:rsidR="004F582B" w:rsidRPr="00DD7E7A">
        <w:t>NUREG/BR</w:t>
      </w:r>
      <w:r w:rsidR="004F582B">
        <w:noBreakHyphen/>
        <w:t>1350,</w:t>
      </w:r>
      <w:r w:rsidRPr="00E439A1">
        <w:t xml:space="preserve"> </w:t>
      </w:r>
      <w:r w:rsidR="004F582B">
        <w:t>“</w:t>
      </w:r>
      <w:r w:rsidRPr="00170EFF">
        <w:t>Reassessment of NRC’s Dollar per Person</w:t>
      </w:r>
      <w:r w:rsidR="004F582B">
        <w:noBreakHyphen/>
      </w:r>
      <w:r w:rsidRPr="00170EFF">
        <w:t>Rem Conversion Factor Policy</w:t>
      </w:r>
      <w:r w:rsidRPr="004F582B">
        <w:t>,</w:t>
      </w:r>
      <w:r w:rsidR="004F582B">
        <w:t>”</w:t>
      </w:r>
      <w:r w:rsidRPr="004F582B">
        <w:t xml:space="preserve"> </w:t>
      </w:r>
      <w:r>
        <w:t>Rev</w:t>
      </w:r>
      <w:r w:rsidR="004F582B">
        <w:t>ision </w:t>
      </w:r>
      <w:r>
        <w:t>1 (draft)</w:t>
      </w:r>
      <w:r w:rsidR="004F582B">
        <w:t>, August 2015</w:t>
      </w:r>
      <w:r>
        <w:t xml:space="preserve"> (ADAMS Accession No.</w:t>
      </w:r>
      <w:r w:rsidR="004F582B">
        <w:t> </w:t>
      </w:r>
      <w:r>
        <w:t>ML15237A211</w:t>
      </w:r>
      <w:r w:rsidRPr="00DD7E7A">
        <w:t>)</w:t>
      </w:r>
      <w:r>
        <w:t>.</w:t>
      </w:r>
    </w:p>
    <w:p w14:paraId="5AEC3D28" w14:textId="77777777" w:rsidR="00B20FDB" w:rsidRDefault="00B20FDB" w:rsidP="00FF0EE8">
      <w:pPr>
        <w:spacing w:line="240" w:lineRule="auto"/>
        <w:ind w:left="540" w:hanging="540"/>
      </w:pPr>
    </w:p>
    <w:p w14:paraId="33F32004" w14:textId="3576634B" w:rsidR="00446A45" w:rsidRPr="00BD3549" w:rsidRDefault="00446A45" w:rsidP="00FF0EE8">
      <w:pPr>
        <w:pStyle w:val="ListParagraph"/>
        <w:numPr>
          <w:ilvl w:val="0"/>
          <w:numId w:val="18"/>
        </w:numPr>
        <w:spacing w:line="240" w:lineRule="auto"/>
        <w:ind w:left="540" w:hanging="540"/>
      </w:pPr>
      <w:r>
        <w:t>U.S. Nuclear Regulatory Commission</w:t>
      </w:r>
      <w:r w:rsidR="004F582B">
        <w:t>,</w:t>
      </w:r>
      <w:r>
        <w:t xml:space="preserve"> Regulatory Guide</w:t>
      </w:r>
      <w:r w:rsidR="0016106A">
        <w:t> </w:t>
      </w:r>
      <w:r>
        <w:t>1.84,</w:t>
      </w:r>
      <w:r w:rsidRPr="00BD3549">
        <w:t xml:space="preserve"> “Design, Fabrication, and Materials Code Case Acceptability, ASME Section III,” </w:t>
      </w:r>
      <w:r>
        <w:t>Revision 36</w:t>
      </w:r>
      <w:r w:rsidR="00244FAF">
        <w:t xml:space="preserve">, August 2014 </w:t>
      </w:r>
      <w:r w:rsidRPr="00BD3549">
        <w:t xml:space="preserve">(ADAMS Accession </w:t>
      </w:r>
      <w:r w:rsidR="00530AA1">
        <w:t>No. </w:t>
      </w:r>
      <w:r>
        <w:t>ML13339A515</w:t>
      </w:r>
      <w:r w:rsidRPr="00BD3549">
        <w:t>)</w:t>
      </w:r>
      <w:r>
        <w:t>.</w:t>
      </w:r>
    </w:p>
    <w:p w14:paraId="1120164B" w14:textId="77777777" w:rsidR="00446A45" w:rsidRPr="00BD3549" w:rsidRDefault="00446A45" w:rsidP="00FF0EE8">
      <w:pPr>
        <w:pStyle w:val="ListParagraph"/>
        <w:spacing w:line="240" w:lineRule="auto"/>
        <w:ind w:left="540" w:hanging="540"/>
      </w:pPr>
    </w:p>
    <w:p w14:paraId="1703F0BF" w14:textId="3D1FAD77" w:rsidR="00446A45" w:rsidRPr="00BD3549" w:rsidRDefault="00446A45" w:rsidP="00FF0EE8">
      <w:pPr>
        <w:pStyle w:val="ListParagraph"/>
        <w:numPr>
          <w:ilvl w:val="0"/>
          <w:numId w:val="18"/>
        </w:numPr>
        <w:spacing w:line="240" w:lineRule="auto"/>
        <w:ind w:left="540" w:hanging="540"/>
      </w:pPr>
      <w:r>
        <w:t>U.S. Nuclear Regulatory Commission</w:t>
      </w:r>
      <w:r w:rsidR="004F582B">
        <w:t>,</w:t>
      </w:r>
      <w:r>
        <w:t xml:space="preserve"> Regulatory Guide</w:t>
      </w:r>
      <w:r w:rsidR="004F582B">
        <w:t> </w:t>
      </w:r>
      <w:r>
        <w:t>1.147</w:t>
      </w:r>
      <w:r w:rsidRPr="00BD3549">
        <w:t xml:space="preserve">, “Inservice Inspection Code Case Acceptability, ASME Section XI, Division 1,” </w:t>
      </w:r>
      <w:r>
        <w:t>Revision 17</w:t>
      </w:r>
      <w:r w:rsidR="00071DA2">
        <w:t>, August 2014</w:t>
      </w:r>
      <w:r w:rsidR="00C3787C">
        <w:t xml:space="preserve"> </w:t>
      </w:r>
      <w:r w:rsidRPr="00BD3549">
        <w:t xml:space="preserve">(ADAMS Accession </w:t>
      </w:r>
      <w:r w:rsidR="00530AA1">
        <w:t>No.</w:t>
      </w:r>
      <w:r w:rsidR="004F582B">
        <w:t> </w:t>
      </w:r>
      <w:r>
        <w:t>ML13339A689</w:t>
      </w:r>
      <w:r w:rsidRPr="00BD3549">
        <w:t>)</w:t>
      </w:r>
      <w:r>
        <w:t>.</w:t>
      </w:r>
    </w:p>
    <w:p w14:paraId="0D379D64" w14:textId="77777777" w:rsidR="00446A45" w:rsidRPr="00BD3549" w:rsidRDefault="00446A45" w:rsidP="00FF0EE8">
      <w:pPr>
        <w:spacing w:line="240" w:lineRule="auto"/>
        <w:ind w:left="540" w:hanging="540"/>
      </w:pPr>
    </w:p>
    <w:p w14:paraId="299DBC2D" w14:textId="22A822F0" w:rsidR="00446A45" w:rsidRDefault="00446A45" w:rsidP="00FF0EE8">
      <w:pPr>
        <w:pStyle w:val="ListParagraph"/>
        <w:numPr>
          <w:ilvl w:val="0"/>
          <w:numId w:val="18"/>
        </w:numPr>
        <w:spacing w:line="240" w:lineRule="auto"/>
        <w:ind w:left="540" w:hanging="540"/>
      </w:pPr>
      <w:r>
        <w:t>U.S. Nuclear Regulatory Commission; Regulatory Guide</w:t>
      </w:r>
      <w:r w:rsidR="004F582B">
        <w:t> </w:t>
      </w:r>
      <w:r w:rsidR="00C3787C">
        <w:t>1</w:t>
      </w:r>
      <w:r>
        <w:t>.192</w:t>
      </w:r>
      <w:r w:rsidRPr="00BD3549">
        <w:t xml:space="preserve">, “Operation and Maintenance Code Acceptability, ASME OM Code,” </w:t>
      </w:r>
      <w:r>
        <w:t>Revision 1</w:t>
      </w:r>
      <w:r w:rsidR="004F582B">
        <w:t>, August 2014</w:t>
      </w:r>
      <w:r>
        <w:t xml:space="preserve"> </w:t>
      </w:r>
      <w:r w:rsidRPr="00BD3549">
        <w:t xml:space="preserve">(ADAMS Accession </w:t>
      </w:r>
      <w:r w:rsidR="00530AA1">
        <w:t>No. </w:t>
      </w:r>
      <w:r>
        <w:t>ML13340A034</w:t>
      </w:r>
      <w:r w:rsidRPr="00BD3549">
        <w:t>)</w:t>
      </w:r>
      <w:r>
        <w:t>.</w:t>
      </w:r>
    </w:p>
    <w:p w14:paraId="2348E2B1" w14:textId="77777777" w:rsidR="00446A45" w:rsidRDefault="00446A45" w:rsidP="00FF0EE8">
      <w:pPr>
        <w:spacing w:line="240" w:lineRule="auto"/>
        <w:ind w:left="540" w:hanging="540"/>
      </w:pPr>
    </w:p>
    <w:p w14:paraId="3E2D59B2" w14:textId="5BC21A62" w:rsidR="00446A45" w:rsidRPr="00BD3549" w:rsidRDefault="00446A45" w:rsidP="00FF0EE8">
      <w:pPr>
        <w:pStyle w:val="ListParagraph"/>
        <w:numPr>
          <w:ilvl w:val="0"/>
          <w:numId w:val="18"/>
        </w:numPr>
        <w:spacing w:line="240" w:lineRule="auto"/>
        <w:ind w:left="540" w:hanging="540"/>
      </w:pPr>
      <w:r>
        <w:t>U.S. Nuclear Regulatory Commission</w:t>
      </w:r>
      <w:r w:rsidR="004F582B">
        <w:t xml:space="preserve">, </w:t>
      </w:r>
      <w:r>
        <w:t>Draft Regulatory Guide</w:t>
      </w:r>
      <w:r w:rsidR="005C4F9D">
        <w:t>,</w:t>
      </w:r>
      <w:r w:rsidR="004F582B">
        <w:t xml:space="preserve"> DG</w:t>
      </w:r>
      <w:r w:rsidR="004F582B">
        <w:noBreakHyphen/>
      </w:r>
      <w:r>
        <w:t>1295,</w:t>
      </w:r>
      <w:r w:rsidRPr="00BD3549">
        <w:t xml:space="preserve"> “Design, Fabrication, and Materials Code Case Acceptability, ASME Section III</w:t>
      </w:r>
      <w:r w:rsidR="0016106A">
        <w:t>,</w:t>
      </w:r>
      <w:r w:rsidRPr="00BD3549">
        <w:t>”</w:t>
      </w:r>
      <w:r w:rsidR="0016106A">
        <w:t xml:space="preserve"> proposed Revision 37, March 2016</w:t>
      </w:r>
      <w:r w:rsidRPr="00BD3549">
        <w:t xml:space="preserve"> (ADAMS Accession </w:t>
      </w:r>
      <w:r w:rsidR="00530AA1">
        <w:t>No. </w:t>
      </w:r>
      <w:r>
        <w:t>ML15027A00</w:t>
      </w:r>
      <w:r w:rsidR="0016106A">
        <w:t>3</w:t>
      </w:r>
      <w:r w:rsidRPr="00BD3549">
        <w:t>)</w:t>
      </w:r>
      <w:r>
        <w:t>.</w:t>
      </w:r>
    </w:p>
    <w:p w14:paraId="6CD6E0BF" w14:textId="77777777" w:rsidR="00446A45" w:rsidRPr="00BD3549" w:rsidRDefault="00446A45" w:rsidP="00FF0EE8">
      <w:pPr>
        <w:pStyle w:val="ListParagraph"/>
        <w:spacing w:line="240" w:lineRule="auto"/>
        <w:ind w:left="540" w:hanging="540"/>
      </w:pPr>
    </w:p>
    <w:p w14:paraId="0A78EC7C" w14:textId="407AFB37" w:rsidR="00446A45" w:rsidRPr="00BD3549" w:rsidRDefault="00446A45" w:rsidP="00FF0EE8">
      <w:pPr>
        <w:pStyle w:val="ListParagraph"/>
        <w:numPr>
          <w:ilvl w:val="0"/>
          <w:numId w:val="18"/>
        </w:numPr>
        <w:spacing w:line="240" w:lineRule="auto"/>
        <w:ind w:left="540" w:hanging="540"/>
      </w:pPr>
      <w:r>
        <w:t>U.S. Nuclear Regulatory Commission</w:t>
      </w:r>
      <w:r w:rsidR="00A44F59">
        <w:t>,</w:t>
      </w:r>
      <w:r>
        <w:t xml:space="preserve"> Draft Regulatory Guide</w:t>
      </w:r>
      <w:r w:rsidR="005C4F9D">
        <w:t>,</w:t>
      </w:r>
      <w:r w:rsidR="00A44F59">
        <w:t xml:space="preserve"> DG</w:t>
      </w:r>
      <w:r w:rsidR="00A44F59">
        <w:noBreakHyphen/>
      </w:r>
      <w:r w:rsidR="00C3787C">
        <w:t>1296</w:t>
      </w:r>
      <w:r w:rsidRPr="00BD3549">
        <w:t>, “Inservice Inspection Code Case Acceptability, ASME Section XI, Division 1,”</w:t>
      </w:r>
      <w:r w:rsidR="00A44F59">
        <w:t xml:space="preserve"> </w:t>
      </w:r>
      <w:r w:rsidR="0016106A">
        <w:t xml:space="preserve">proposed </w:t>
      </w:r>
      <w:r w:rsidR="00A44F59">
        <w:t xml:space="preserve">Revision 18, March 2016 </w:t>
      </w:r>
      <w:r w:rsidRPr="00BD3549">
        <w:t xml:space="preserve">(ADAMS Accession </w:t>
      </w:r>
      <w:r w:rsidR="00530AA1">
        <w:t>No. </w:t>
      </w:r>
      <w:r>
        <w:t>ML15027A202</w:t>
      </w:r>
      <w:r w:rsidRPr="00BD3549">
        <w:t>)</w:t>
      </w:r>
      <w:r>
        <w:t>.</w:t>
      </w:r>
    </w:p>
    <w:p w14:paraId="5C151681" w14:textId="77777777" w:rsidR="00446A45" w:rsidRPr="00BD3549" w:rsidRDefault="00446A45" w:rsidP="00FF0EE8">
      <w:pPr>
        <w:spacing w:line="240" w:lineRule="auto"/>
        <w:ind w:left="540" w:hanging="540"/>
      </w:pPr>
    </w:p>
    <w:p w14:paraId="300D3B51" w14:textId="4904501C" w:rsidR="00446A45" w:rsidRPr="00BD3549" w:rsidRDefault="00446A45" w:rsidP="00FF0EE8">
      <w:pPr>
        <w:pStyle w:val="ListParagraph"/>
        <w:numPr>
          <w:ilvl w:val="0"/>
          <w:numId w:val="18"/>
        </w:numPr>
        <w:spacing w:line="240" w:lineRule="auto"/>
        <w:ind w:left="540" w:hanging="540"/>
      </w:pPr>
      <w:r>
        <w:t>U.S. Nuclear Regulatory Commission</w:t>
      </w:r>
      <w:r w:rsidR="00A44F59">
        <w:t>,</w:t>
      </w:r>
      <w:r>
        <w:t xml:space="preserve"> Draft Regulatory Guide</w:t>
      </w:r>
      <w:r w:rsidR="005C4F9D">
        <w:t>,</w:t>
      </w:r>
      <w:r>
        <w:t xml:space="preserve"> </w:t>
      </w:r>
      <w:r w:rsidR="00A44F59">
        <w:t>DG</w:t>
      </w:r>
      <w:r w:rsidR="00A44F59">
        <w:noBreakHyphen/>
      </w:r>
      <w:r>
        <w:t>1297</w:t>
      </w:r>
      <w:r w:rsidRPr="00BD3549">
        <w:t xml:space="preserve">, “Operation and Maintenance Code </w:t>
      </w:r>
      <w:r w:rsidR="00A44F59">
        <w:t xml:space="preserve">Case </w:t>
      </w:r>
      <w:r w:rsidRPr="00BD3549">
        <w:t>Acceptability, ASME OM Code,”</w:t>
      </w:r>
      <w:r w:rsidR="00A44F59">
        <w:t xml:space="preserve"> </w:t>
      </w:r>
      <w:r w:rsidR="0016106A">
        <w:t xml:space="preserve">proposed </w:t>
      </w:r>
      <w:r w:rsidR="00A44F59">
        <w:t xml:space="preserve">Revision 2, March 2016 </w:t>
      </w:r>
      <w:r w:rsidRPr="00BD3549">
        <w:t xml:space="preserve">(ADAMS Accession </w:t>
      </w:r>
      <w:r w:rsidR="00530AA1">
        <w:t>No.</w:t>
      </w:r>
      <w:r w:rsidR="00A44F59">
        <w:t> </w:t>
      </w:r>
      <w:r>
        <w:t>ML15027A330</w:t>
      </w:r>
      <w:r w:rsidRPr="00BD3549">
        <w:t>)</w:t>
      </w:r>
      <w:r>
        <w:t>.</w:t>
      </w:r>
    </w:p>
    <w:p w14:paraId="06A94DD9" w14:textId="77777777" w:rsidR="009F0F71" w:rsidRDefault="009F0F71" w:rsidP="00FF0EE8">
      <w:pPr>
        <w:spacing w:line="240" w:lineRule="auto"/>
        <w:ind w:left="540" w:hanging="540"/>
      </w:pPr>
    </w:p>
    <w:p w14:paraId="281C32E2" w14:textId="04A22E8B" w:rsidR="00031749" w:rsidRDefault="00031749" w:rsidP="000E324D">
      <w:pPr>
        <w:pStyle w:val="ListParagraph"/>
        <w:numPr>
          <w:ilvl w:val="0"/>
          <w:numId w:val="18"/>
        </w:numPr>
        <w:spacing w:line="240" w:lineRule="auto"/>
        <w:ind w:left="540" w:hanging="540"/>
      </w:pPr>
      <w:r>
        <w:t>Office of the Federal Register</w:t>
      </w:r>
      <w:r w:rsidR="00A44F59">
        <w:t>,</w:t>
      </w:r>
      <w:r>
        <w:t xml:space="preserve"> “</w:t>
      </w:r>
      <w:r w:rsidR="009E57CB">
        <w:t xml:space="preserve">IBR </w:t>
      </w:r>
      <w:r>
        <w:t>Handbook</w:t>
      </w:r>
      <w:r w:rsidR="003E277A">
        <w:t>.</w:t>
      </w:r>
      <w:r>
        <w:t>”  April 201</w:t>
      </w:r>
      <w:r w:rsidR="009E57CB">
        <w:t>6</w:t>
      </w:r>
      <w:r>
        <w:t xml:space="preserve">.  </w:t>
      </w:r>
      <w:r w:rsidR="00A44F59">
        <w:t xml:space="preserve">Available </w:t>
      </w:r>
      <w:r>
        <w:t xml:space="preserve">at </w:t>
      </w:r>
      <w:r w:rsidR="009E57CB" w:rsidRPr="000E324D">
        <w:rPr>
          <w:rStyle w:val="Hyperlink"/>
        </w:rPr>
        <w:t>https://www.archives.gov/files/federal-register/write/handbook/ibr.pdf</w:t>
      </w:r>
      <w:r>
        <w:t>.</w:t>
      </w:r>
    </w:p>
    <w:p w14:paraId="5CD8D2A7" w14:textId="77777777" w:rsidR="00031749" w:rsidRDefault="00031749" w:rsidP="00FF0EE8">
      <w:pPr>
        <w:spacing w:line="240" w:lineRule="auto"/>
        <w:ind w:left="540" w:hanging="540"/>
      </w:pPr>
    </w:p>
    <w:p w14:paraId="0516469C" w14:textId="76F59948" w:rsidR="001C2348" w:rsidRDefault="00485BE5" w:rsidP="00FF0EE8">
      <w:pPr>
        <w:pStyle w:val="ListParagraph"/>
        <w:numPr>
          <w:ilvl w:val="0"/>
          <w:numId w:val="18"/>
        </w:numPr>
        <w:spacing w:line="240" w:lineRule="auto"/>
        <w:ind w:left="540" w:hanging="540"/>
      </w:pPr>
      <w:bookmarkStart w:id="366" w:name="_Ref436891321"/>
      <w:r>
        <w:t>Office of Management and Budget</w:t>
      </w:r>
      <w:r w:rsidR="001E46E6">
        <w:t>,</w:t>
      </w:r>
      <w:r w:rsidR="001E46E6" w:rsidRPr="001E46E6">
        <w:t xml:space="preserve"> </w:t>
      </w:r>
      <w:r w:rsidR="001E46E6">
        <w:t>Circular No. A-4,</w:t>
      </w:r>
      <w:r>
        <w:t xml:space="preserve"> “Regulatory Analysis,” September</w:t>
      </w:r>
      <w:r w:rsidR="00A44F59">
        <w:t> </w:t>
      </w:r>
      <w:r>
        <w:t>17,</w:t>
      </w:r>
      <w:r w:rsidR="00A44F59">
        <w:t> </w:t>
      </w:r>
      <w:r>
        <w:t xml:space="preserve">2003.  </w:t>
      </w:r>
      <w:r w:rsidR="00A44F59">
        <w:t xml:space="preserve">Available </w:t>
      </w:r>
      <w:r>
        <w:t xml:space="preserve">at </w:t>
      </w:r>
      <w:hyperlink r:id="rId32" w:history="1">
        <w:r w:rsidR="00CC53FE" w:rsidRPr="00E33130">
          <w:rPr>
            <w:rStyle w:val="Hyperlink"/>
          </w:rPr>
          <w:t>http://www.whitehouse.gov/omb/</w:t>
        </w:r>
        <w:r w:rsidR="00CC53FE" w:rsidRPr="00E33130" w:rsidDel="00CC53FE">
          <w:rPr>
            <w:rStyle w:val="Hyperlink"/>
          </w:rPr>
          <w:t xml:space="preserve"> </w:t>
        </w:r>
        <w:r w:rsidR="00CC53FE" w:rsidRPr="00E33130">
          <w:rPr>
            <w:rStyle w:val="Hyperlink"/>
          </w:rPr>
          <w:t>circulars_a004_a-4/</w:t>
        </w:r>
      </w:hyperlink>
      <w:r>
        <w:t>.</w:t>
      </w:r>
      <w:bookmarkEnd w:id="366"/>
    </w:p>
    <w:p w14:paraId="429F7E67" w14:textId="77777777" w:rsidR="009E397B" w:rsidRDefault="009E397B" w:rsidP="00FF0EE8">
      <w:pPr>
        <w:pStyle w:val="ListParagraph"/>
        <w:spacing w:line="240" w:lineRule="auto"/>
      </w:pPr>
    </w:p>
    <w:p w14:paraId="7BC103F1" w14:textId="361D6A75" w:rsidR="009E397B" w:rsidRDefault="009E397B" w:rsidP="00FF0EE8">
      <w:pPr>
        <w:pStyle w:val="ListParagraph"/>
        <w:numPr>
          <w:ilvl w:val="0"/>
          <w:numId w:val="18"/>
        </w:numPr>
        <w:spacing w:line="240" w:lineRule="auto"/>
        <w:ind w:left="540" w:hanging="540"/>
      </w:pPr>
      <w:bookmarkStart w:id="367" w:name="_Ref429983294"/>
      <w:r>
        <w:t>Office of Management and Budget</w:t>
      </w:r>
      <w:r w:rsidR="00EC100B">
        <w:t>, Appendix C</w:t>
      </w:r>
      <w:r w:rsidR="00886D11">
        <w:t>,</w:t>
      </w:r>
      <w:r>
        <w:t xml:space="preserve"> “Discount Rates for </w:t>
      </w:r>
      <w:r w:rsidR="00EC100B">
        <w:t xml:space="preserve">Cost-Effectiveness, Lease Purchase, and Related Analyses,” revised November 2015, to </w:t>
      </w:r>
      <w:r>
        <w:t>OMB Circular No. A</w:t>
      </w:r>
      <w:r>
        <w:noBreakHyphen/>
        <w:t xml:space="preserve">94, </w:t>
      </w:r>
      <w:r w:rsidR="00EC100B">
        <w:t>“Guidelines and Discount Rates for Benefit-Cost Analysis of Federal Programs</w:t>
      </w:r>
      <w:r w:rsidR="00886D11">
        <w:t>,</w:t>
      </w:r>
      <w:r w:rsidR="00EC100B">
        <w:t>”</w:t>
      </w:r>
      <w:r>
        <w:t xml:space="preserve"> </w:t>
      </w:r>
      <w:r w:rsidR="00EC100B">
        <w:t>October 29, 1992</w:t>
      </w:r>
      <w:r>
        <w:t xml:space="preserve">.  </w:t>
      </w:r>
      <w:r w:rsidR="00EC100B">
        <w:t>Appendix C a</w:t>
      </w:r>
      <w:r w:rsidR="00886D11">
        <w:t xml:space="preserve">vailable </w:t>
      </w:r>
      <w:r>
        <w:t xml:space="preserve">at </w:t>
      </w:r>
      <w:r w:rsidR="00EC100B" w:rsidRPr="00EC100B">
        <w:t>https://www.whitehouse.gov/omb/circulars_a094/a94_appx-c</w:t>
      </w:r>
      <w:r>
        <w:t>.</w:t>
      </w:r>
      <w:bookmarkEnd w:id="367"/>
    </w:p>
    <w:p w14:paraId="36C11C2D" w14:textId="77777777" w:rsidR="0041427E" w:rsidRDefault="0041427E" w:rsidP="00FF0EE8">
      <w:pPr>
        <w:pStyle w:val="ListParagraph"/>
        <w:spacing w:line="240" w:lineRule="auto"/>
      </w:pPr>
    </w:p>
    <w:p w14:paraId="2962CC48" w14:textId="6560DB1B" w:rsidR="00E47937" w:rsidRDefault="0041427E" w:rsidP="00FF0EE8">
      <w:pPr>
        <w:pStyle w:val="ListParagraph"/>
        <w:numPr>
          <w:ilvl w:val="0"/>
          <w:numId w:val="18"/>
        </w:numPr>
        <w:spacing w:line="240" w:lineRule="auto"/>
        <w:ind w:left="540" w:hanging="540"/>
      </w:pPr>
      <w:bookmarkStart w:id="368" w:name="_Ref433805754"/>
      <w:r>
        <w:t>U.S. Nuclear Regulatory Commission (NRC)</w:t>
      </w:r>
      <w:r w:rsidR="00886D11">
        <w:t>,</w:t>
      </w:r>
      <w:r>
        <w:t xml:space="preserve"> NUREG-1530, “Reassessment of NRC’s Dollar per Person-Rem Conversion Factor Policy,” </w:t>
      </w:r>
      <w:r w:rsidR="00A26699">
        <w:t>December </w:t>
      </w:r>
      <w:r>
        <w:t>1995</w:t>
      </w:r>
      <w:r w:rsidR="0016106A">
        <w:t xml:space="preserve"> (ADAMS Accession No. ML063470485)</w:t>
      </w:r>
      <w:r>
        <w:t>.</w:t>
      </w:r>
      <w:bookmarkEnd w:id="368"/>
    </w:p>
    <w:p w14:paraId="4E43A924" w14:textId="77777777" w:rsidR="00CD1F11" w:rsidRDefault="00CD1F11" w:rsidP="00FF0EE8">
      <w:pPr>
        <w:pStyle w:val="ListParagraph"/>
        <w:spacing w:line="240" w:lineRule="auto"/>
      </w:pPr>
    </w:p>
    <w:p w14:paraId="14BCB2C2" w14:textId="5CE04876" w:rsidR="00CD1F11" w:rsidRDefault="00CD1F11" w:rsidP="00FF0EE8">
      <w:pPr>
        <w:pStyle w:val="ListParagraph"/>
        <w:numPr>
          <w:ilvl w:val="0"/>
          <w:numId w:val="18"/>
        </w:numPr>
        <w:spacing w:line="240" w:lineRule="auto"/>
        <w:ind w:left="540" w:hanging="540"/>
      </w:pPr>
      <w:bookmarkStart w:id="369" w:name="_Ref436892150"/>
      <w:r>
        <w:t>U.S. Nuclear Regulatory Commission (NRC)</w:t>
      </w:r>
      <w:r w:rsidR="00886D11">
        <w:t>,</w:t>
      </w:r>
      <w:r>
        <w:t xml:space="preserve"> NUREG-1530, “Reassessment of NRC’s Dollar per Person-Rem Conversion Factor Policy,” </w:t>
      </w:r>
      <w:r w:rsidR="00886D11">
        <w:t>Revision 1, August 2015 (draf</w:t>
      </w:r>
      <w:r w:rsidR="00A26699">
        <w:t>t released for public comment)</w:t>
      </w:r>
      <w:r w:rsidR="00886D11">
        <w:t xml:space="preserve"> </w:t>
      </w:r>
      <w:r>
        <w:t>(ADAMS Accession No. ML15237A211)</w:t>
      </w:r>
      <w:bookmarkEnd w:id="369"/>
      <w:r w:rsidR="00A26699">
        <w:t>.</w:t>
      </w:r>
    </w:p>
    <w:p w14:paraId="26226670" w14:textId="77777777" w:rsidR="00CD1F11" w:rsidRDefault="00CD1F11" w:rsidP="00FF0EE8">
      <w:pPr>
        <w:pStyle w:val="ListParagraph"/>
        <w:spacing w:line="240" w:lineRule="auto"/>
      </w:pPr>
    </w:p>
    <w:p w14:paraId="10C0A5BD" w14:textId="4C0FB339" w:rsidR="00CD1F11" w:rsidRDefault="00CD1F11" w:rsidP="00FF0EE8">
      <w:pPr>
        <w:pStyle w:val="ListParagraph"/>
        <w:numPr>
          <w:ilvl w:val="0"/>
          <w:numId w:val="18"/>
        </w:numPr>
        <w:spacing w:line="240" w:lineRule="auto"/>
        <w:ind w:left="540" w:hanging="540"/>
      </w:pPr>
      <w:bookmarkStart w:id="370" w:name="_Ref436892645"/>
      <w:r>
        <w:t>International Atomic Energy Agency</w:t>
      </w:r>
      <w:r w:rsidR="00433421">
        <w:t>,</w:t>
      </w:r>
      <w:r>
        <w:t xml:space="preserve"> </w:t>
      </w:r>
      <w:r w:rsidR="00433421">
        <w:t>“</w:t>
      </w:r>
      <w:r w:rsidRPr="00CD1F11">
        <w:t xml:space="preserve">Power Reactor Information System: </w:t>
      </w:r>
      <w:r w:rsidR="00173B56">
        <w:t xml:space="preserve"> </w:t>
      </w:r>
      <w:r w:rsidRPr="00CD1F11">
        <w:t xml:space="preserve">Country Statistics: </w:t>
      </w:r>
      <w:r w:rsidR="00F33513">
        <w:t xml:space="preserve"> </w:t>
      </w:r>
      <w:r w:rsidRPr="00CD1F11">
        <w:t>U</w:t>
      </w:r>
      <w:r w:rsidR="00173B56">
        <w:t>.</w:t>
      </w:r>
      <w:r w:rsidRPr="00CD1F11">
        <w:t>S</w:t>
      </w:r>
      <w:r w:rsidR="00173B56">
        <w:t>.</w:t>
      </w:r>
      <w:r w:rsidRPr="00CD1F11">
        <w:t>A</w:t>
      </w:r>
      <w:r w:rsidR="00433421">
        <w:t>,” Vienna, Austria</w:t>
      </w:r>
      <w:r w:rsidR="00173B56">
        <w:t>.  Available</w:t>
      </w:r>
      <w:r>
        <w:t xml:space="preserve"> at </w:t>
      </w:r>
      <w:hyperlink r:id="rId33" w:history="1">
        <w:r w:rsidR="0016106A" w:rsidRPr="0016106A">
          <w:rPr>
            <w:rStyle w:val="Hyperlink"/>
          </w:rPr>
          <w:t>https://www.iaea.org/PRIS/CountryStatistics/</w:t>
        </w:r>
        <w:r w:rsidR="0016106A" w:rsidRPr="0016106A" w:rsidDel="0016106A">
          <w:rPr>
            <w:rStyle w:val="Hyperlink"/>
          </w:rPr>
          <w:t xml:space="preserve"> </w:t>
        </w:r>
        <w:r w:rsidR="0016106A" w:rsidRPr="0016106A">
          <w:rPr>
            <w:rStyle w:val="Hyperlink"/>
          </w:rPr>
          <w:t>CountryDetails.aspx?current=US</w:t>
        </w:r>
      </w:hyperlink>
      <w:r w:rsidR="00173B56">
        <w:t>; l</w:t>
      </w:r>
      <w:r>
        <w:t>ast update</w:t>
      </w:r>
      <w:r w:rsidR="0016106A">
        <w:t>d</w:t>
      </w:r>
      <w:r>
        <w:t xml:space="preserve"> on December</w:t>
      </w:r>
      <w:r w:rsidR="00173B56">
        <w:t> </w:t>
      </w:r>
      <w:r>
        <w:t>2,</w:t>
      </w:r>
      <w:r w:rsidR="00173B56">
        <w:t> </w:t>
      </w:r>
      <w:r>
        <w:t>2015.</w:t>
      </w:r>
      <w:bookmarkEnd w:id="370"/>
    </w:p>
    <w:p w14:paraId="49A30F56" w14:textId="77777777" w:rsidR="00B249F8" w:rsidRDefault="00B249F8" w:rsidP="00FF0EE8">
      <w:pPr>
        <w:pStyle w:val="ListParagraph"/>
        <w:spacing w:line="240" w:lineRule="auto"/>
      </w:pPr>
    </w:p>
    <w:p w14:paraId="0F90419E" w14:textId="387692AB" w:rsidR="00B249F8" w:rsidRDefault="00B249F8" w:rsidP="00FF0EE8">
      <w:pPr>
        <w:pStyle w:val="ListParagraph"/>
        <w:numPr>
          <w:ilvl w:val="0"/>
          <w:numId w:val="18"/>
        </w:numPr>
        <w:spacing w:line="240" w:lineRule="auto"/>
        <w:ind w:left="540" w:hanging="540"/>
      </w:pPr>
      <w:bookmarkStart w:id="371" w:name="_Ref436893530"/>
      <w:r>
        <w:t xml:space="preserve">U.S. </w:t>
      </w:r>
      <w:r w:rsidR="00D84B31">
        <w:t>Government</w:t>
      </w:r>
      <w:r>
        <w:t xml:space="preserve"> Accountability Office, GAO-15-98, “Nuclear Regulatory Commission</w:t>
      </w:r>
      <w:r w:rsidR="00FD4253">
        <w:t xml:space="preserve">:  NRC </w:t>
      </w:r>
      <w:r>
        <w:t>Needs to Improve Its Cost Estimates by Incorporating More Best Practices,” December</w:t>
      </w:r>
      <w:r w:rsidR="00433421">
        <w:t> 12, </w:t>
      </w:r>
      <w:r>
        <w:t>2014</w:t>
      </w:r>
      <w:r w:rsidR="00433421">
        <w:t xml:space="preserve">. </w:t>
      </w:r>
      <w:r w:rsidR="004828EC">
        <w:t xml:space="preserve"> </w:t>
      </w:r>
      <w:r w:rsidR="00433421">
        <w:t xml:space="preserve">Available </w:t>
      </w:r>
      <w:r w:rsidR="004828EC">
        <w:t xml:space="preserve">at </w:t>
      </w:r>
      <w:hyperlink r:id="rId34" w:history="1">
        <w:r w:rsidR="004828EC" w:rsidRPr="00A61B46">
          <w:rPr>
            <w:rStyle w:val="Hyperlink"/>
          </w:rPr>
          <w:t>http://www.gao.gov/products/GAO-15-98</w:t>
        </w:r>
      </w:hyperlink>
      <w:r w:rsidR="004828EC">
        <w:t>.</w:t>
      </w:r>
      <w:bookmarkEnd w:id="371"/>
    </w:p>
    <w:p w14:paraId="2C32090A" w14:textId="77777777" w:rsidR="00A61981" w:rsidRDefault="00A61981" w:rsidP="00FF0EE8">
      <w:pPr>
        <w:pStyle w:val="ListParagraph"/>
        <w:spacing w:line="240" w:lineRule="auto"/>
      </w:pPr>
    </w:p>
    <w:p w14:paraId="169198C8" w14:textId="1300020C" w:rsidR="00A61981" w:rsidRDefault="00A61981" w:rsidP="00FF0EE8">
      <w:pPr>
        <w:pStyle w:val="ListParagraph"/>
        <w:numPr>
          <w:ilvl w:val="0"/>
          <w:numId w:val="18"/>
        </w:numPr>
        <w:spacing w:line="240" w:lineRule="auto"/>
        <w:ind w:left="540" w:hanging="540"/>
      </w:pPr>
      <w:bookmarkStart w:id="372" w:name="_Ref436914381"/>
      <w:r>
        <w:t xml:space="preserve">U.S. </w:t>
      </w:r>
      <w:r w:rsidR="00D84B31">
        <w:t>Government</w:t>
      </w:r>
      <w:r>
        <w:t xml:space="preserve"> Accountability Office, GAO-09-3SP, “GAO Cost Estimating and Assessment Guide:  Best Practices for Developing and Managing Capital Program Costs,” March</w:t>
      </w:r>
      <w:r w:rsidR="00433421">
        <w:t> </w:t>
      </w:r>
      <w:r>
        <w:t>2009</w:t>
      </w:r>
      <w:r w:rsidR="00433421">
        <w:t xml:space="preserve">. </w:t>
      </w:r>
      <w:r>
        <w:t xml:space="preserve"> </w:t>
      </w:r>
      <w:r w:rsidR="00433421">
        <w:t xml:space="preserve">Available </w:t>
      </w:r>
      <w:r>
        <w:t xml:space="preserve">at </w:t>
      </w:r>
      <w:hyperlink r:id="rId35" w:history="1">
        <w:r w:rsidRPr="00A61B46">
          <w:rPr>
            <w:rStyle w:val="Hyperlink"/>
          </w:rPr>
          <w:t>http://www.gao.gov/new.items/d093sp.pdf</w:t>
        </w:r>
      </w:hyperlink>
      <w:r>
        <w:t>.</w:t>
      </w:r>
      <w:bookmarkEnd w:id="372"/>
    </w:p>
    <w:p w14:paraId="6A9EE375" w14:textId="77777777" w:rsidR="001C2348" w:rsidRDefault="001C2348" w:rsidP="00FF0EE8">
      <w:pPr>
        <w:spacing w:line="240" w:lineRule="auto"/>
        <w:ind w:left="720" w:hanging="720"/>
      </w:pPr>
    </w:p>
    <w:p w14:paraId="6C88DF2F" w14:textId="77777777" w:rsidR="001C2348" w:rsidRDefault="001C2348" w:rsidP="00FF0EE8">
      <w:pPr>
        <w:spacing w:line="240" w:lineRule="auto"/>
        <w:sectPr w:rsidR="001C2348" w:rsidSect="004F5401">
          <w:pgSz w:w="12240" w:h="15840"/>
          <w:pgMar w:top="1440" w:right="1440" w:bottom="1440" w:left="1440" w:header="720" w:footer="720" w:gutter="0"/>
          <w:pgNumType w:start="1"/>
          <w:cols w:space="720"/>
          <w:docGrid w:linePitch="360"/>
        </w:sectPr>
      </w:pPr>
    </w:p>
    <w:p w14:paraId="59E70C8D" w14:textId="333B06B4" w:rsidR="009511B0" w:rsidRDefault="00105ABE" w:rsidP="00895559">
      <w:pPr>
        <w:pStyle w:val="Heading1"/>
        <w:numPr>
          <w:ilvl w:val="0"/>
          <w:numId w:val="0"/>
        </w:numPr>
        <w:spacing w:before="0" w:line="240" w:lineRule="auto"/>
        <w:jc w:val="center"/>
        <w:rPr>
          <w:sz w:val="32"/>
          <w:szCs w:val="32"/>
        </w:rPr>
      </w:pPr>
      <w:bookmarkStart w:id="373" w:name="_Toc468875948"/>
      <w:bookmarkStart w:id="374" w:name="_Toc462224989"/>
      <w:r w:rsidRPr="00827F4D">
        <w:rPr>
          <w:sz w:val="32"/>
          <w:szCs w:val="32"/>
        </w:rPr>
        <w:t xml:space="preserve">Appendix </w:t>
      </w:r>
      <w:r w:rsidR="00393865">
        <w:rPr>
          <w:sz w:val="32"/>
          <w:szCs w:val="32"/>
        </w:rPr>
        <w:t>A</w:t>
      </w:r>
      <w:bookmarkEnd w:id="373"/>
    </w:p>
    <w:p w14:paraId="0FD96E71" w14:textId="77777777" w:rsidR="00105ABE" w:rsidRPr="00DF0A8C" w:rsidRDefault="00105ABE" w:rsidP="00FF0EE8">
      <w:pPr>
        <w:spacing w:line="240" w:lineRule="auto"/>
        <w:jc w:val="center"/>
        <w:rPr>
          <w:sz w:val="32"/>
          <w:szCs w:val="32"/>
        </w:rPr>
      </w:pPr>
      <w:r w:rsidRPr="00170EFF">
        <w:rPr>
          <w:b/>
          <w:sz w:val="32"/>
        </w:rPr>
        <w:t>Industry Labor Rates</w:t>
      </w:r>
      <w:bookmarkEnd w:id="374"/>
    </w:p>
    <w:p w14:paraId="236EAA23" w14:textId="6F57AB8E" w:rsidR="00105ABE" w:rsidRPr="00170EFF" w:rsidRDefault="00105ABE" w:rsidP="00FF0EE8">
      <w:pPr>
        <w:autoSpaceDE/>
        <w:autoSpaceDN/>
        <w:adjustRightInd/>
        <w:spacing w:line="240" w:lineRule="auto"/>
        <w:jc w:val="center"/>
        <w:rPr>
          <w:color w:val="000000"/>
        </w:rPr>
      </w:pPr>
      <w:r w:rsidRPr="00170EFF">
        <w:rPr>
          <w:b/>
          <w:color w:val="000000"/>
        </w:rPr>
        <w:t>Utilities (Sector 22</w:t>
      </w:r>
      <w:r w:rsidRPr="00D557C2">
        <w:rPr>
          <w:rFonts w:eastAsia="Times New Roman"/>
          <w:b/>
          <w:bCs/>
          <w:color w:val="000000"/>
        </w:rPr>
        <w:t>)</w:t>
      </w:r>
      <w:r w:rsidR="009511B0" w:rsidRPr="00D557C2">
        <w:rPr>
          <w:rFonts w:eastAsia="Times New Roman"/>
          <w:b/>
          <w:bCs/>
          <w:color w:val="000000"/>
        </w:rPr>
        <w:t>—</w:t>
      </w:r>
      <w:r w:rsidRPr="00170EFF">
        <w:rPr>
          <w:b/>
          <w:color w:val="000000"/>
        </w:rPr>
        <w:t xml:space="preserve">Industry: </w:t>
      </w:r>
      <w:r w:rsidR="009511B0" w:rsidRPr="00D557C2">
        <w:rPr>
          <w:rFonts w:eastAsia="Times New Roman"/>
          <w:b/>
          <w:bCs/>
          <w:color w:val="000000"/>
        </w:rPr>
        <w:t xml:space="preserve"> </w:t>
      </w:r>
      <w:r w:rsidRPr="00170EFF">
        <w:rPr>
          <w:b/>
          <w:color w:val="000000"/>
        </w:rPr>
        <w:t>Electric Power Generation, Transmission</w:t>
      </w:r>
      <w:r w:rsidR="009511B0" w:rsidRPr="00D557C2">
        <w:rPr>
          <w:rFonts w:eastAsia="Times New Roman"/>
          <w:b/>
          <w:bCs/>
          <w:color w:val="000000"/>
        </w:rPr>
        <w:t>,</w:t>
      </w:r>
      <w:r w:rsidRPr="00170EFF">
        <w:rPr>
          <w:b/>
          <w:color w:val="000000"/>
        </w:rPr>
        <w:t xml:space="preserve"> and Distribution (NAICS </w:t>
      </w:r>
      <w:r w:rsidR="006A1DF2">
        <w:rPr>
          <w:rFonts w:eastAsia="Times New Roman"/>
          <w:b/>
          <w:bCs/>
          <w:color w:val="000000"/>
        </w:rPr>
        <w:t>C</w:t>
      </w:r>
      <w:r w:rsidRPr="00D557C2">
        <w:rPr>
          <w:rFonts w:eastAsia="Times New Roman"/>
          <w:b/>
          <w:bCs/>
          <w:color w:val="000000"/>
        </w:rPr>
        <w:t>ode</w:t>
      </w:r>
      <w:r w:rsidRPr="00170EFF">
        <w:rPr>
          <w:b/>
          <w:color w:val="000000"/>
        </w:rPr>
        <w:t xml:space="preserve"> 221100</w:t>
      </w:r>
      <w:r w:rsidR="00F33513">
        <w:rPr>
          <w:rFonts w:eastAsia="Times New Roman"/>
          <w:bCs/>
          <w:color w:val="000000"/>
          <w:vertAlign w:val="superscript"/>
        </w:rPr>
        <w:t>a</w:t>
      </w:r>
      <w:r w:rsidRPr="00D557C2">
        <w:rPr>
          <w:rFonts w:eastAsia="Times New Roman"/>
          <w:b/>
          <w:bCs/>
          <w:color w:val="000000"/>
        </w:rPr>
        <w:t>)</w:t>
      </w:r>
    </w:p>
    <w:tbl>
      <w:tblPr>
        <w:tblW w:w="10165" w:type="dxa"/>
        <w:jc w:val="center"/>
        <w:tblLayout w:type="fixed"/>
        <w:tblLook w:val="04A0" w:firstRow="1" w:lastRow="0" w:firstColumn="1" w:lastColumn="0" w:noHBand="0" w:noVBand="1"/>
      </w:tblPr>
      <w:tblGrid>
        <w:gridCol w:w="1165"/>
        <w:gridCol w:w="1980"/>
        <w:gridCol w:w="1440"/>
        <w:gridCol w:w="1620"/>
        <w:gridCol w:w="1530"/>
        <w:gridCol w:w="2430"/>
      </w:tblGrid>
      <w:tr w:rsidR="00602B86" w:rsidRPr="00D72F26" w14:paraId="6A5B5156" w14:textId="77777777" w:rsidTr="00D557C2">
        <w:trPr>
          <w:trHeight w:val="528"/>
          <w:tblHeade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hideMark/>
          </w:tcPr>
          <w:p w14:paraId="6781C652" w14:textId="77777777" w:rsidR="00105ABE" w:rsidRPr="00170EFF" w:rsidRDefault="00105ABE" w:rsidP="00FF0EE8">
            <w:pPr>
              <w:autoSpaceDE/>
              <w:autoSpaceDN/>
              <w:adjustRightInd/>
              <w:spacing w:line="240" w:lineRule="auto"/>
              <w:jc w:val="center"/>
              <w:rPr>
                <w:b/>
                <w:color w:val="000000"/>
                <w:sz w:val="20"/>
              </w:rPr>
            </w:pPr>
            <w:r w:rsidRPr="00170EFF">
              <w:rPr>
                <w:b/>
                <w:color w:val="000000"/>
                <w:sz w:val="20"/>
              </w:rPr>
              <w:t>Position Title</w:t>
            </w:r>
          </w:p>
        </w:tc>
        <w:tc>
          <w:tcPr>
            <w:tcW w:w="1980" w:type="dxa"/>
            <w:tcBorders>
              <w:top w:val="single" w:sz="4" w:space="0" w:color="000000"/>
              <w:left w:val="nil"/>
              <w:bottom w:val="single" w:sz="4" w:space="0" w:color="000000"/>
              <w:right w:val="single" w:sz="4" w:space="0" w:color="000000"/>
            </w:tcBorders>
            <w:shd w:val="clear" w:color="auto" w:fill="auto"/>
            <w:hideMark/>
          </w:tcPr>
          <w:p w14:paraId="78A22E2C" w14:textId="4382D011" w:rsidR="00105ABE" w:rsidRPr="00170EFF" w:rsidRDefault="00CA47A1" w:rsidP="00FF0EE8">
            <w:pPr>
              <w:autoSpaceDE/>
              <w:autoSpaceDN/>
              <w:adjustRightInd/>
              <w:spacing w:line="240" w:lineRule="auto"/>
              <w:jc w:val="center"/>
              <w:rPr>
                <w:b/>
                <w:color w:val="000000"/>
                <w:sz w:val="20"/>
              </w:rPr>
            </w:pPr>
            <w:r w:rsidRPr="00170EFF">
              <w:rPr>
                <w:b/>
                <w:color w:val="000000"/>
                <w:sz w:val="20"/>
              </w:rPr>
              <w:t>Occupation</w:t>
            </w:r>
            <w:r w:rsidRPr="00170EFF">
              <w:rPr>
                <w:b/>
                <w:color w:val="000000"/>
                <w:sz w:val="20"/>
              </w:rPr>
              <w:br/>
            </w:r>
            <w:r w:rsidR="00105ABE" w:rsidRPr="00170EFF">
              <w:rPr>
                <w:b/>
                <w:color w:val="000000"/>
                <w:sz w:val="20"/>
              </w:rPr>
              <w:t xml:space="preserve">(SOC </w:t>
            </w:r>
            <w:r w:rsidR="00400B59" w:rsidRPr="00D557C2">
              <w:rPr>
                <w:rFonts w:eastAsia="Times New Roman"/>
                <w:b/>
                <w:bCs/>
                <w:color w:val="000000"/>
                <w:sz w:val="20"/>
                <w:szCs w:val="20"/>
              </w:rPr>
              <w:t>C</w:t>
            </w:r>
            <w:r w:rsidR="00105ABE" w:rsidRPr="00D557C2">
              <w:rPr>
                <w:rFonts w:eastAsia="Times New Roman"/>
                <w:b/>
                <w:bCs/>
                <w:color w:val="000000"/>
                <w:sz w:val="20"/>
                <w:szCs w:val="20"/>
              </w:rPr>
              <w:t>ode)</w:t>
            </w:r>
            <w:r w:rsidR="00F33513">
              <w:rPr>
                <w:color w:val="000000"/>
                <w:sz w:val="20"/>
                <w:vertAlign w:val="superscript"/>
              </w:rPr>
              <w:t>b</w:t>
            </w:r>
          </w:p>
        </w:tc>
        <w:tc>
          <w:tcPr>
            <w:tcW w:w="1440" w:type="dxa"/>
            <w:tcBorders>
              <w:top w:val="single" w:sz="4" w:space="0" w:color="000000"/>
              <w:left w:val="nil"/>
              <w:bottom w:val="single" w:sz="4" w:space="0" w:color="000000"/>
              <w:right w:val="single" w:sz="4" w:space="0" w:color="000000"/>
            </w:tcBorders>
            <w:shd w:val="clear" w:color="auto" w:fill="auto"/>
            <w:hideMark/>
          </w:tcPr>
          <w:p w14:paraId="00D24DE4" w14:textId="06FC4CFB" w:rsidR="00105ABE" w:rsidRPr="00170EFF" w:rsidRDefault="00105ABE" w:rsidP="00FF0EE8">
            <w:pPr>
              <w:autoSpaceDE/>
              <w:autoSpaceDN/>
              <w:adjustRightInd/>
              <w:spacing w:line="240" w:lineRule="auto"/>
              <w:jc w:val="center"/>
              <w:rPr>
                <w:b/>
                <w:color w:val="000000"/>
                <w:sz w:val="20"/>
              </w:rPr>
            </w:pPr>
            <w:r w:rsidRPr="00170EFF">
              <w:rPr>
                <w:b/>
                <w:color w:val="000000"/>
                <w:sz w:val="20"/>
              </w:rPr>
              <w:t xml:space="preserve">Hourly </w:t>
            </w:r>
            <w:r w:rsidR="00400B59" w:rsidRPr="00D557C2">
              <w:rPr>
                <w:rFonts w:eastAsia="Times New Roman"/>
                <w:b/>
                <w:bCs/>
                <w:color w:val="000000"/>
                <w:sz w:val="20"/>
                <w:szCs w:val="20"/>
              </w:rPr>
              <w:t>M</w:t>
            </w:r>
            <w:r w:rsidRPr="00D557C2">
              <w:rPr>
                <w:rFonts w:eastAsia="Times New Roman"/>
                <w:b/>
                <w:bCs/>
                <w:color w:val="000000"/>
                <w:sz w:val="20"/>
                <w:szCs w:val="20"/>
              </w:rPr>
              <w:t xml:space="preserve">ean </w:t>
            </w:r>
            <w:r w:rsidR="00400B59" w:rsidRPr="00D557C2">
              <w:rPr>
                <w:rFonts w:eastAsia="Times New Roman"/>
                <w:b/>
                <w:bCs/>
                <w:color w:val="000000"/>
                <w:sz w:val="20"/>
                <w:szCs w:val="20"/>
              </w:rPr>
              <w:t>W</w:t>
            </w:r>
            <w:r w:rsidRPr="00D557C2">
              <w:rPr>
                <w:rFonts w:eastAsia="Times New Roman"/>
                <w:b/>
                <w:bCs/>
                <w:color w:val="000000"/>
                <w:sz w:val="20"/>
                <w:szCs w:val="20"/>
              </w:rPr>
              <w:t>age</w:t>
            </w:r>
          </w:p>
          <w:p w14:paraId="1F02D9B4" w14:textId="1821EA6A" w:rsidR="00105ABE" w:rsidRPr="00170EFF" w:rsidRDefault="00105ABE" w:rsidP="00FF0EE8">
            <w:pPr>
              <w:autoSpaceDE/>
              <w:autoSpaceDN/>
              <w:adjustRightInd/>
              <w:spacing w:line="240" w:lineRule="auto"/>
              <w:jc w:val="center"/>
              <w:rPr>
                <w:b/>
                <w:color w:val="000000"/>
                <w:sz w:val="20"/>
              </w:rPr>
            </w:pPr>
            <w:r w:rsidRPr="00170EFF">
              <w:rPr>
                <w:b/>
                <w:color w:val="000000"/>
                <w:sz w:val="20"/>
              </w:rPr>
              <w:t>(201</w:t>
            </w:r>
            <w:r w:rsidR="00EA7D65" w:rsidRPr="00170EFF">
              <w:rPr>
                <w:b/>
                <w:color w:val="000000"/>
                <w:sz w:val="20"/>
              </w:rPr>
              <w:t>5</w:t>
            </w:r>
            <w:r w:rsidRPr="00170EFF">
              <w:rPr>
                <w:b/>
                <w:color w:val="000000"/>
                <w:sz w:val="20"/>
              </w:rPr>
              <w:t xml:space="preserve"> </w:t>
            </w:r>
            <w:r w:rsidR="00D17FBF" w:rsidRPr="00D557C2">
              <w:rPr>
                <w:rFonts w:eastAsia="Times New Roman"/>
                <w:b/>
                <w:bCs/>
                <w:color w:val="000000"/>
                <w:sz w:val="20"/>
                <w:szCs w:val="20"/>
              </w:rPr>
              <w:t>D</w:t>
            </w:r>
            <w:r w:rsidRPr="00D557C2">
              <w:rPr>
                <w:rFonts w:eastAsia="Times New Roman"/>
                <w:b/>
                <w:bCs/>
                <w:color w:val="000000"/>
                <w:sz w:val="20"/>
                <w:szCs w:val="20"/>
              </w:rPr>
              <w:t>ollars</w:t>
            </w:r>
            <w:r w:rsidRPr="00170EFF">
              <w:rPr>
                <w:b/>
                <w:color w:val="000000"/>
                <w:sz w:val="20"/>
              </w:rPr>
              <w:t>)</w:t>
            </w:r>
          </w:p>
        </w:tc>
        <w:tc>
          <w:tcPr>
            <w:tcW w:w="1620" w:type="dxa"/>
            <w:tcBorders>
              <w:top w:val="single" w:sz="4" w:space="0" w:color="000000"/>
              <w:left w:val="nil"/>
              <w:bottom w:val="single" w:sz="4" w:space="0" w:color="000000"/>
              <w:right w:val="single" w:sz="4" w:space="0" w:color="000000"/>
            </w:tcBorders>
            <w:shd w:val="clear" w:color="auto" w:fill="auto"/>
            <w:hideMark/>
          </w:tcPr>
          <w:p w14:paraId="4B6698DF" w14:textId="4C7B66DF" w:rsidR="00105ABE" w:rsidRPr="00170EFF" w:rsidRDefault="00105ABE" w:rsidP="00FF0EE8">
            <w:pPr>
              <w:autoSpaceDE/>
              <w:autoSpaceDN/>
              <w:adjustRightInd/>
              <w:spacing w:line="240" w:lineRule="auto"/>
              <w:jc w:val="center"/>
              <w:rPr>
                <w:b/>
                <w:color w:val="000000"/>
                <w:sz w:val="20"/>
              </w:rPr>
            </w:pPr>
            <w:r w:rsidRPr="00170EFF">
              <w:rPr>
                <w:b/>
                <w:color w:val="000000"/>
                <w:sz w:val="20"/>
              </w:rPr>
              <w:t xml:space="preserve">Hourly </w:t>
            </w:r>
            <w:r w:rsidR="00EA7D65" w:rsidRPr="00170EFF">
              <w:rPr>
                <w:b/>
                <w:color w:val="000000"/>
                <w:sz w:val="20"/>
              </w:rPr>
              <w:t>25</w:t>
            </w:r>
            <w:r w:rsidR="00EA7D65" w:rsidRPr="00170EFF">
              <w:rPr>
                <w:b/>
                <w:color w:val="000000"/>
                <w:sz w:val="20"/>
                <w:vertAlign w:val="superscript"/>
              </w:rPr>
              <w:t>th</w:t>
            </w:r>
            <w:r w:rsidR="00EA7D65" w:rsidRPr="00170EFF">
              <w:rPr>
                <w:b/>
                <w:color w:val="000000"/>
                <w:sz w:val="20"/>
              </w:rPr>
              <w:t xml:space="preserve"> </w:t>
            </w:r>
            <w:r w:rsidR="00D17FBF" w:rsidRPr="00D557C2">
              <w:rPr>
                <w:rFonts w:eastAsia="Times New Roman"/>
                <w:b/>
                <w:bCs/>
                <w:color w:val="000000"/>
                <w:sz w:val="20"/>
                <w:szCs w:val="20"/>
              </w:rPr>
              <w:t>P</w:t>
            </w:r>
            <w:r w:rsidRPr="00D557C2">
              <w:rPr>
                <w:rFonts w:eastAsia="Times New Roman"/>
                <w:b/>
                <w:bCs/>
                <w:color w:val="000000"/>
                <w:sz w:val="20"/>
                <w:szCs w:val="20"/>
              </w:rPr>
              <w:t xml:space="preserve">ercentile </w:t>
            </w:r>
            <w:r w:rsidR="00D17FBF" w:rsidRPr="00D557C2">
              <w:rPr>
                <w:rFonts w:eastAsia="Times New Roman"/>
                <w:b/>
                <w:bCs/>
                <w:color w:val="000000"/>
                <w:sz w:val="20"/>
                <w:szCs w:val="20"/>
              </w:rPr>
              <w:t>W</w:t>
            </w:r>
            <w:r w:rsidRPr="00D557C2">
              <w:rPr>
                <w:rFonts w:eastAsia="Times New Roman"/>
                <w:b/>
                <w:bCs/>
                <w:color w:val="000000"/>
                <w:sz w:val="20"/>
                <w:szCs w:val="20"/>
              </w:rPr>
              <w:t>age</w:t>
            </w:r>
            <w:r w:rsidRPr="00170EFF">
              <w:rPr>
                <w:b/>
                <w:color w:val="000000"/>
                <w:sz w:val="20"/>
              </w:rPr>
              <w:t xml:space="preserve"> (201</w:t>
            </w:r>
            <w:r w:rsidR="00EA7D65" w:rsidRPr="00170EFF">
              <w:rPr>
                <w:b/>
                <w:color w:val="000000"/>
                <w:sz w:val="20"/>
              </w:rPr>
              <w:t>5</w:t>
            </w:r>
            <w:r w:rsidRPr="00170EFF">
              <w:rPr>
                <w:b/>
                <w:color w:val="000000"/>
                <w:sz w:val="20"/>
              </w:rPr>
              <w:t xml:space="preserve"> </w:t>
            </w:r>
            <w:r w:rsidR="00D17FBF" w:rsidRPr="00D557C2">
              <w:rPr>
                <w:rFonts w:eastAsia="Times New Roman"/>
                <w:b/>
                <w:bCs/>
                <w:color w:val="000000"/>
                <w:sz w:val="20"/>
                <w:szCs w:val="20"/>
              </w:rPr>
              <w:t>D</w:t>
            </w:r>
            <w:r w:rsidRPr="00D557C2">
              <w:rPr>
                <w:rFonts w:eastAsia="Times New Roman"/>
                <w:b/>
                <w:bCs/>
                <w:color w:val="000000"/>
                <w:sz w:val="20"/>
                <w:szCs w:val="20"/>
              </w:rPr>
              <w:t>ollars</w:t>
            </w:r>
            <w:r w:rsidRPr="00170EFF">
              <w:rPr>
                <w:b/>
                <w:color w:val="000000"/>
                <w:sz w:val="20"/>
              </w:rPr>
              <w:t>)</w:t>
            </w:r>
          </w:p>
        </w:tc>
        <w:tc>
          <w:tcPr>
            <w:tcW w:w="1530" w:type="dxa"/>
            <w:tcBorders>
              <w:top w:val="single" w:sz="4" w:space="0" w:color="000000"/>
              <w:left w:val="nil"/>
              <w:bottom w:val="single" w:sz="4" w:space="0" w:color="000000"/>
              <w:right w:val="single" w:sz="4" w:space="0" w:color="000000"/>
            </w:tcBorders>
            <w:shd w:val="clear" w:color="auto" w:fill="auto"/>
            <w:hideMark/>
          </w:tcPr>
          <w:p w14:paraId="3A03771F" w14:textId="4D21E62D" w:rsidR="00105ABE" w:rsidRPr="00170EFF" w:rsidRDefault="00105ABE" w:rsidP="00FF0EE8">
            <w:pPr>
              <w:autoSpaceDE/>
              <w:autoSpaceDN/>
              <w:adjustRightInd/>
              <w:spacing w:line="240" w:lineRule="auto"/>
              <w:jc w:val="center"/>
              <w:rPr>
                <w:b/>
                <w:color w:val="000000"/>
                <w:sz w:val="20"/>
              </w:rPr>
            </w:pPr>
            <w:r w:rsidRPr="00170EFF">
              <w:rPr>
                <w:b/>
                <w:color w:val="000000"/>
                <w:sz w:val="20"/>
              </w:rPr>
              <w:t xml:space="preserve">Hourly </w:t>
            </w:r>
            <w:r w:rsidR="00EA7D65" w:rsidRPr="00170EFF">
              <w:rPr>
                <w:b/>
                <w:color w:val="000000"/>
                <w:sz w:val="20"/>
              </w:rPr>
              <w:t>75</w:t>
            </w:r>
            <w:r w:rsidR="00EA7D65" w:rsidRPr="00170EFF">
              <w:rPr>
                <w:b/>
                <w:color w:val="000000"/>
                <w:sz w:val="20"/>
                <w:vertAlign w:val="superscript"/>
              </w:rPr>
              <w:t xml:space="preserve">th </w:t>
            </w:r>
            <w:r w:rsidR="00D17FBF" w:rsidRPr="00D557C2">
              <w:rPr>
                <w:rFonts w:eastAsia="Times New Roman"/>
                <w:b/>
                <w:bCs/>
                <w:color w:val="000000"/>
                <w:sz w:val="20"/>
                <w:szCs w:val="20"/>
              </w:rPr>
              <w:t>P</w:t>
            </w:r>
            <w:r w:rsidRPr="00D557C2">
              <w:rPr>
                <w:rFonts w:eastAsia="Times New Roman"/>
                <w:b/>
                <w:bCs/>
                <w:color w:val="000000"/>
                <w:sz w:val="20"/>
                <w:szCs w:val="20"/>
              </w:rPr>
              <w:t xml:space="preserve">ercentile </w:t>
            </w:r>
            <w:r w:rsidR="00D17FBF" w:rsidRPr="00D557C2">
              <w:rPr>
                <w:rFonts w:eastAsia="Times New Roman"/>
                <w:b/>
                <w:bCs/>
                <w:color w:val="000000"/>
                <w:sz w:val="20"/>
                <w:szCs w:val="20"/>
              </w:rPr>
              <w:t>W</w:t>
            </w:r>
            <w:r w:rsidRPr="00D557C2">
              <w:rPr>
                <w:rFonts w:eastAsia="Times New Roman"/>
                <w:b/>
                <w:bCs/>
                <w:color w:val="000000"/>
                <w:sz w:val="20"/>
                <w:szCs w:val="20"/>
              </w:rPr>
              <w:t>age</w:t>
            </w:r>
            <w:r w:rsidRPr="00170EFF">
              <w:rPr>
                <w:b/>
                <w:color w:val="000000"/>
                <w:sz w:val="20"/>
              </w:rPr>
              <w:t xml:space="preserve"> (201</w:t>
            </w:r>
            <w:r w:rsidR="00EA7D65" w:rsidRPr="00170EFF">
              <w:rPr>
                <w:b/>
                <w:color w:val="000000"/>
                <w:sz w:val="20"/>
              </w:rPr>
              <w:t>5</w:t>
            </w:r>
            <w:r w:rsidRPr="00170EFF">
              <w:rPr>
                <w:b/>
                <w:color w:val="000000"/>
                <w:sz w:val="20"/>
              </w:rPr>
              <w:t xml:space="preserve"> </w:t>
            </w:r>
            <w:r w:rsidR="00D17FBF" w:rsidRPr="00D557C2">
              <w:rPr>
                <w:rFonts w:eastAsia="Times New Roman"/>
                <w:b/>
                <w:bCs/>
                <w:color w:val="000000"/>
                <w:sz w:val="20"/>
                <w:szCs w:val="20"/>
              </w:rPr>
              <w:t>D</w:t>
            </w:r>
            <w:r w:rsidRPr="00D557C2">
              <w:rPr>
                <w:rFonts w:eastAsia="Times New Roman"/>
                <w:b/>
                <w:bCs/>
                <w:color w:val="000000"/>
                <w:sz w:val="20"/>
                <w:szCs w:val="20"/>
              </w:rPr>
              <w:t>ollars</w:t>
            </w:r>
            <w:r w:rsidRPr="00170EFF">
              <w:rPr>
                <w:b/>
                <w:color w:val="000000"/>
                <w:sz w:val="20"/>
              </w:rPr>
              <w:t>)</w:t>
            </w:r>
          </w:p>
        </w:tc>
        <w:tc>
          <w:tcPr>
            <w:tcW w:w="2430" w:type="dxa"/>
            <w:tcBorders>
              <w:top w:val="single" w:sz="4" w:space="0" w:color="000000"/>
              <w:left w:val="nil"/>
              <w:bottom w:val="single" w:sz="4" w:space="0" w:color="000000"/>
              <w:right w:val="single" w:sz="4" w:space="0" w:color="000000"/>
            </w:tcBorders>
          </w:tcPr>
          <w:p w14:paraId="31FDA2CD" w14:textId="7AE5814E" w:rsidR="00105ABE" w:rsidRPr="00170EFF" w:rsidRDefault="00105ABE" w:rsidP="00FF0EE8">
            <w:pPr>
              <w:autoSpaceDE/>
              <w:autoSpaceDN/>
              <w:adjustRightInd/>
              <w:spacing w:line="240" w:lineRule="auto"/>
              <w:jc w:val="center"/>
              <w:rPr>
                <w:b/>
                <w:color w:val="000000"/>
                <w:sz w:val="20"/>
              </w:rPr>
            </w:pPr>
            <w:r w:rsidRPr="00170EFF">
              <w:rPr>
                <w:b/>
                <w:color w:val="000000"/>
                <w:sz w:val="20"/>
              </w:rPr>
              <w:t>Source</w:t>
            </w:r>
            <w:r w:rsidR="00F33513">
              <w:rPr>
                <w:rFonts w:eastAsia="Times New Roman"/>
                <w:bCs/>
                <w:color w:val="000000"/>
                <w:sz w:val="20"/>
                <w:szCs w:val="20"/>
                <w:vertAlign w:val="superscript"/>
              </w:rPr>
              <w:t>c</w:t>
            </w:r>
          </w:p>
        </w:tc>
      </w:tr>
      <w:tr w:rsidR="00602B86" w:rsidRPr="00D72F26" w14:paraId="33D193A7" w14:textId="77777777" w:rsidTr="00D557C2">
        <w:trPr>
          <w:trHeight w:val="276"/>
          <w:jc w:val="center"/>
        </w:trPr>
        <w:tc>
          <w:tcPr>
            <w:tcW w:w="1165"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4C4C394B"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Executive</w:t>
            </w:r>
          </w:p>
        </w:tc>
        <w:tc>
          <w:tcPr>
            <w:tcW w:w="1980" w:type="dxa"/>
            <w:tcBorders>
              <w:top w:val="single" w:sz="4" w:space="0" w:color="000000"/>
              <w:left w:val="nil"/>
              <w:bottom w:val="single" w:sz="4" w:space="0" w:color="auto"/>
              <w:right w:val="single" w:sz="4" w:space="0" w:color="auto"/>
            </w:tcBorders>
            <w:shd w:val="clear" w:color="auto" w:fill="auto"/>
            <w:vAlign w:val="center"/>
            <w:hideMark/>
          </w:tcPr>
          <w:p w14:paraId="233EBF0D" w14:textId="77777777" w:rsidR="001D462B" w:rsidRPr="00170EFF" w:rsidRDefault="001D462B" w:rsidP="00FF0EE8">
            <w:pPr>
              <w:autoSpaceDE/>
              <w:autoSpaceDN/>
              <w:adjustRightInd/>
              <w:spacing w:line="240" w:lineRule="auto"/>
              <w:rPr>
                <w:color w:val="000000"/>
                <w:sz w:val="20"/>
              </w:rPr>
            </w:pPr>
            <w:r w:rsidRPr="00170EFF">
              <w:rPr>
                <w:color w:val="000000"/>
                <w:sz w:val="20"/>
              </w:rPr>
              <w:t>Top Executives (111000)</w:t>
            </w:r>
          </w:p>
        </w:tc>
        <w:tc>
          <w:tcPr>
            <w:tcW w:w="1440" w:type="dxa"/>
            <w:tcBorders>
              <w:top w:val="single" w:sz="4" w:space="0" w:color="000000"/>
              <w:left w:val="nil"/>
              <w:bottom w:val="single" w:sz="4" w:space="0" w:color="auto"/>
              <w:right w:val="single" w:sz="4" w:space="0" w:color="auto"/>
            </w:tcBorders>
            <w:shd w:val="clear" w:color="auto" w:fill="auto"/>
            <w:vAlign w:val="center"/>
            <w:hideMark/>
          </w:tcPr>
          <w:p w14:paraId="3934102B"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EA7D65" w:rsidRPr="00170EFF">
              <w:rPr>
                <w:color w:val="000000"/>
                <w:sz w:val="20"/>
              </w:rPr>
              <w:t>74.04</w:t>
            </w:r>
            <w:r w:rsidRPr="00170EFF">
              <w:rPr>
                <w:color w:val="000000"/>
                <w:sz w:val="20"/>
              </w:rPr>
              <w:t xml:space="preserve"> </w:t>
            </w:r>
          </w:p>
        </w:tc>
        <w:tc>
          <w:tcPr>
            <w:tcW w:w="1620" w:type="dxa"/>
            <w:tcBorders>
              <w:top w:val="single" w:sz="4" w:space="0" w:color="000000"/>
              <w:left w:val="nil"/>
              <w:bottom w:val="single" w:sz="4" w:space="0" w:color="auto"/>
              <w:right w:val="single" w:sz="4" w:space="0" w:color="auto"/>
            </w:tcBorders>
            <w:shd w:val="clear" w:color="auto" w:fill="auto"/>
            <w:vAlign w:val="center"/>
            <w:hideMark/>
          </w:tcPr>
          <w:p w14:paraId="1D5D0F2D"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EA7D65" w:rsidRPr="00170EFF">
              <w:rPr>
                <w:color w:val="000000"/>
                <w:sz w:val="20"/>
              </w:rPr>
              <w:t>50.42</w:t>
            </w:r>
            <w:r w:rsidRPr="00170EFF">
              <w:rPr>
                <w:color w:val="000000"/>
                <w:sz w:val="20"/>
              </w:rPr>
              <w:t xml:space="preserve"> </w:t>
            </w:r>
          </w:p>
        </w:tc>
        <w:tc>
          <w:tcPr>
            <w:tcW w:w="1530" w:type="dxa"/>
            <w:tcBorders>
              <w:top w:val="single" w:sz="4" w:space="0" w:color="000000"/>
              <w:left w:val="nil"/>
              <w:bottom w:val="single" w:sz="4" w:space="0" w:color="auto"/>
              <w:right w:val="single" w:sz="4" w:space="0" w:color="auto"/>
            </w:tcBorders>
            <w:shd w:val="clear" w:color="auto" w:fill="auto"/>
            <w:vAlign w:val="center"/>
            <w:hideMark/>
          </w:tcPr>
          <w:p w14:paraId="161BE4C0" w14:textId="77777777" w:rsidR="001D462B" w:rsidRPr="00170EFF" w:rsidRDefault="001D462B" w:rsidP="00FF0EE8">
            <w:pPr>
              <w:autoSpaceDE/>
              <w:autoSpaceDN/>
              <w:adjustRightInd/>
              <w:spacing w:line="240" w:lineRule="auto"/>
              <w:jc w:val="center"/>
              <w:rPr>
                <w:color w:val="000000"/>
                <w:sz w:val="20"/>
                <w:vertAlign w:val="superscript"/>
              </w:rPr>
            </w:pPr>
            <w:r w:rsidRPr="00170EFF">
              <w:rPr>
                <w:color w:val="000000"/>
                <w:sz w:val="20"/>
              </w:rPr>
              <w:t>$</w:t>
            </w:r>
            <w:r w:rsidR="00EA7D65" w:rsidRPr="00170EFF">
              <w:rPr>
                <w:color w:val="000000"/>
                <w:sz w:val="20"/>
              </w:rPr>
              <w:t>88.85</w:t>
            </w:r>
          </w:p>
        </w:tc>
        <w:tc>
          <w:tcPr>
            <w:tcW w:w="2430" w:type="dxa"/>
            <w:tcBorders>
              <w:top w:val="single" w:sz="4" w:space="0" w:color="000000"/>
              <w:left w:val="nil"/>
              <w:bottom w:val="single" w:sz="4" w:space="0" w:color="auto"/>
              <w:right w:val="single" w:sz="4" w:space="0" w:color="auto"/>
            </w:tcBorders>
            <w:vAlign w:val="center"/>
          </w:tcPr>
          <w:p w14:paraId="47236474" w14:textId="77777777" w:rsidR="001D462B" w:rsidRPr="00170EFF" w:rsidRDefault="00F32688" w:rsidP="00FF0EE8">
            <w:pPr>
              <w:autoSpaceDE/>
              <w:autoSpaceDN/>
              <w:adjustRightInd/>
              <w:spacing w:line="240" w:lineRule="auto"/>
              <w:jc w:val="center"/>
              <w:rPr>
                <w:color w:val="000000"/>
                <w:sz w:val="20"/>
              </w:rPr>
            </w:pPr>
            <w:hyperlink r:id="rId36" w:history="1">
              <w:r w:rsidR="001D462B" w:rsidRPr="00170EFF">
                <w:rPr>
                  <w:rStyle w:val="Hyperlink"/>
                  <w:sz w:val="20"/>
                </w:rPr>
                <w:t>http://www.bls.gov/oes/current/oes111011.htm</w:t>
              </w:r>
            </w:hyperlink>
            <w:r w:rsidR="001D462B" w:rsidRPr="00170EFF">
              <w:rPr>
                <w:color w:val="000000"/>
                <w:sz w:val="20"/>
              </w:rPr>
              <w:t xml:space="preserve"> </w:t>
            </w:r>
          </w:p>
        </w:tc>
      </w:tr>
      <w:tr w:rsidR="00602B86" w:rsidRPr="00D72F26" w14:paraId="540F8B3A" w14:textId="77777777" w:rsidTr="00D557C2">
        <w:trPr>
          <w:trHeight w:val="276"/>
          <w:jc w:val="center"/>
        </w:trPr>
        <w:tc>
          <w:tcPr>
            <w:tcW w:w="1165" w:type="dxa"/>
            <w:vMerge/>
            <w:tcBorders>
              <w:top w:val="nil"/>
              <w:left w:val="single" w:sz="4" w:space="0" w:color="auto"/>
              <w:bottom w:val="single" w:sz="4" w:space="0" w:color="000000"/>
              <w:right w:val="single" w:sz="4" w:space="0" w:color="auto"/>
            </w:tcBorders>
            <w:vAlign w:val="center"/>
            <w:hideMark/>
          </w:tcPr>
          <w:p w14:paraId="0A1A3B86"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vAlign w:val="center"/>
            <w:hideMark/>
          </w:tcPr>
          <w:p w14:paraId="2B6A2C98" w14:textId="77777777" w:rsidR="001D462B" w:rsidRPr="00170EFF" w:rsidRDefault="001D462B" w:rsidP="00FF0EE8">
            <w:pPr>
              <w:autoSpaceDE/>
              <w:autoSpaceDN/>
              <w:adjustRightInd/>
              <w:spacing w:line="240" w:lineRule="auto"/>
              <w:rPr>
                <w:color w:val="000000"/>
                <w:sz w:val="20"/>
              </w:rPr>
            </w:pPr>
            <w:r w:rsidRPr="00170EFF">
              <w:rPr>
                <w:color w:val="000000"/>
                <w:sz w:val="20"/>
              </w:rPr>
              <w:t>Chief Executives (111011)</w:t>
            </w:r>
          </w:p>
        </w:tc>
        <w:tc>
          <w:tcPr>
            <w:tcW w:w="1440" w:type="dxa"/>
            <w:tcBorders>
              <w:top w:val="nil"/>
              <w:left w:val="nil"/>
              <w:bottom w:val="single" w:sz="4" w:space="0" w:color="auto"/>
              <w:right w:val="single" w:sz="4" w:space="0" w:color="auto"/>
            </w:tcBorders>
            <w:shd w:val="clear" w:color="auto" w:fill="auto"/>
            <w:vAlign w:val="center"/>
            <w:hideMark/>
          </w:tcPr>
          <w:p w14:paraId="233D7D71"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EA7D65" w:rsidRPr="00170EFF">
              <w:rPr>
                <w:color w:val="000000"/>
                <w:sz w:val="20"/>
              </w:rPr>
              <w:t>99.35</w:t>
            </w:r>
            <w:r w:rsidRPr="00170EFF">
              <w:rPr>
                <w:color w:val="000000"/>
                <w:sz w:val="20"/>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090210B3"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EA7D65" w:rsidRPr="00170EFF">
              <w:rPr>
                <w:color w:val="000000"/>
                <w:sz w:val="20"/>
              </w:rPr>
              <w:t>69.44</w:t>
            </w:r>
            <w:r w:rsidRPr="00170EFF">
              <w:rPr>
                <w:color w:val="000000"/>
                <w:sz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2F4762CB" w14:textId="7B154F8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EA7D65" w:rsidRPr="00170EFF">
              <w:rPr>
                <w:color w:val="000000"/>
                <w:sz w:val="20"/>
              </w:rPr>
              <w:t>119.22</w:t>
            </w:r>
            <w:r w:rsidR="00F33513">
              <w:rPr>
                <w:color w:val="000000"/>
                <w:sz w:val="20"/>
                <w:vertAlign w:val="superscript"/>
              </w:rPr>
              <w:t>d</w:t>
            </w:r>
          </w:p>
        </w:tc>
        <w:tc>
          <w:tcPr>
            <w:tcW w:w="2430" w:type="dxa"/>
            <w:tcBorders>
              <w:top w:val="nil"/>
              <w:left w:val="nil"/>
              <w:bottom w:val="single" w:sz="4" w:space="0" w:color="auto"/>
              <w:right w:val="single" w:sz="4" w:space="0" w:color="auto"/>
            </w:tcBorders>
            <w:vAlign w:val="center"/>
          </w:tcPr>
          <w:p w14:paraId="60A5CF53" w14:textId="77777777" w:rsidR="001D462B" w:rsidRPr="00170EFF" w:rsidRDefault="00F32688" w:rsidP="00FF0EE8">
            <w:pPr>
              <w:autoSpaceDE/>
              <w:autoSpaceDN/>
              <w:adjustRightInd/>
              <w:spacing w:line="240" w:lineRule="auto"/>
              <w:jc w:val="center"/>
              <w:rPr>
                <w:color w:val="000000"/>
                <w:sz w:val="20"/>
              </w:rPr>
            </w:pPr>
            <w:hyperlink r:id="rId37" w:anchor="11-0000" w:history="1">
              <w:r w:rsidR="001D462B" w:rsidRPr="00170EFF">
                <w:rPr>
                  <w:rStyle w:val="Hyperlink"/>
                  <w:sz w:val="20"/>
                </w:rPr>
                <w:t>http://www.bls.gov/oes/current/oes_nat.htm#11-0000</w:t>
              </w:r>
            </w:hyperlink>
            <w:r w:rsidR="001D462B" w:rsidRPr="00170EFF">
              <w:rPr>
                <w:color w:val="000000"/>
                <w:sz w:val="20"/>
              </w:rPr>
              <w:t xml:space="preserve"> </w:t>
            </w:r>
          </w:p>
        </w:tc>
      </w:tr>
      <w:tr w:rsidR="00602B86" w:rsidRPr="00657FBE" w14:paraId="4C97D2C8" w14:textId="77777777" w:rsidTr="00D557C2">
        <w:trPr>
          <w:trHeight w:val="276"/>
          <w:jc w:val="center"/>
        </w:trPr>
        <w:tc>
          <w:tcPr>
            <w:tcW w:w="1165" w:type="dxa"/>
            <w:vMerge/>
            <w:tcBorders>
              <w:top w:val="nil"/>
              <w:left w:val="single" w:sz="4" w:space="0" w:color="auto"/>
              <w:bottom w:val="single" w:sz="4" w:space="0" w:color="000000"/>
              <w:right w:val="single" w:sz="4" w:space="0" w:color="auto"/>
            </w:tcBorders>
            <w:vAlign w:val="center"/>
            <w:hideMark/>
          </w:tcPr>
          <w:p w14:paraId="735D155F"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noWrap/>
            <w:vAlign w:val="center"/>
            <w:hideMark/>
          </w:tcPr>
          <w:p w14:paraId="5509CD87" w14:textId="77777777" w:rsidR="001D462B" w:rsidRPr="00170EFF" w:rsidRDefault="001D462B" w:rsidP="00FF0EE8">
            <w:pPr>
              <w:autoSpaceDE/>
              <w:autoSpaceDN/>
              <w:adjustRightInd/>
              <w:spacing w:line="240" w:lineRule="auto"/>
              <w:jc w:val="right"/>
              <w:rPr>
                <w:b/>
                <w:i/>
                <w:color w:val="000000"/>
                <w:sz w:val="20"/>
              </w:rPr>
            </w:pPr>
            <w:r w:rsidRPr="00170EFF">
              <w:rPr>
                <w:b/>
                <w:i/>
                <w:color w:val="000000"/>
                <w:sz w:val="20"/>
              </w:rPr>
              <w:t>Average</w:t>
            </w:r>
          </w:p>
        </w:tc>
        <w:tc>
          <w:tcPr>
            <w:tcW w:w="1440" w:type="dxa"/>
            <w:tcBorders>
              <w:top w:val="nil"/>
              <w:left w:val="nil"/>
              <w:bottom w:val="single" w:sz="4" w:space="0" w:color="auto"/>
              <w:right w:val="single" w:sz="4" w:space="0" w:color="auto"/>
            </w:tcBorders>
            <w:shd w:val="clear" w:color="auto" w:fill="auto"/>
            <w:noWrap/>
            <w:vAlign w:val="center"/>
            <w:hideMark/>
          </w:tcPr>
          <w:p w14:paraId="741EA329"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w:t>
            </w:r>
            <w:r w:rsidR="00EA7D65" w:rsidRPr="00170EFF">
              <w:rPr>
                <w:b/>
                <w:i/>
                <w:color w:val="000000"/>
                <w:sz w:val="20"/>
              </w:rPr>
              <w:t>86.70</w:t>
            </w:r>
            <w:r w:rsidRPr="00170EFF">
              <w:rPr>
                <w:b/>
                <w:i/>
                <w:color w:val="000000"/>
                <w:sz w:val="20"/>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14:paraId="5666440B"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w:t>
            </w:r>
            <w:r w:rsidR="00EA7D65" w:rsidRPr="00170EFF">
              <w:rPr>
                <w:b/>
                <w:i/>
                <w:color w:val="000000"/>
                <w:sz w:val="20"/>
              </w:rPr>
              <w:t>59.93</w:t>
            </w:r>
            <w:r w:rsidRPr="00170EFF">
              <w:rPr>
                <w:b/>
                <w:i/>
                <w:color w:val="000000"/>
                <w:sz w:val="20"/>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14:paraId="2C4D466B"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w:t>
            </w:r>
            <w:r w:rsidR="00EA7D65" w:rsidRPr="00170EFF">
              <w:rPr>
                <w:b/>
                <w:i/>
                <w:color w:val="000000"/>
                <w:sz w:val="20"/>
              </w:rPr>
              <w:t>104.03</w:t>
            </w:r>
          </w:p>
        </w:tc>
        <w:tc>
          <w:tcPr>
            <w:tcW w:w="2430" w:type="dxa"/>
            <w:tcBorders>
              <w:top w:val="nil"/>
              <w:left w:val="nil"/>
              <w:bottom w:val="single" w:sz="4" w:space="0" w:color="auto"/>
              <w:right w:val="single" w:sz="4" w:space="0" w:color="auto"/>
            </w:tcBorders>
            <w:vAlign w:val="center"/>
          </w:tcPr>
          <w:p w14:paraId="2B934A58" w14:textId="77777777" w:rsidR="001D462B" w:rsidRPr="00170EFF" w:rsidRDefault="001D462B" w:rsidP="00FF0EE8">
            <w:pPr>
              <w:autoSpaceDE/>
              <w:autoSpaceDN/>
              <w:adjustRightInd/>
              <w:spacing w:line="240" w:lineRule="auto"/>
              <w:jc w:val="center"/>
              <w:rPr>
                <w:b/>
                <w:i/>
                <w:color w:val="000000"/>
                <w:sz w:val="20"/>
              </w:rPr>
            </w:pPr>
          </w:p>
        </w:tc>
      </w:tr>
      <w:tr w:rsidR="00602B86" w:rsidRPr="00D72F26" w14:paraId="2ADB8150" w14:textId="77777777" w:rsidTr="00D557C2">
        <w:trPr>
          <w:trHeight w:val="528"/>
          <w:jc w:val="center"/>
        </w:trPr>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7E2110"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Managers</w:t>
            </w:r>
          </w:p>
        </w:tc>
        <w:tc>
          <w:tcPr>
            <w:tcW w:w="1980" w:type="dxa"/>
            <w:tcBorders>
              <w:top w:val="nil"/>
              <w:left w:val="nil"/>
              <w:bottom w:val="single" w:sz="4" w:space="0" w:color="auto"/>
              <w:right w:val="single" w:sz="4" w:space="0" w:color="auto"/>
            </w:tcBorders>
            <w:shd w:val="clear" w:color="auto" w:fill="auto"/>
            <w:vAlign w:val="center"/>
            <w:hideMark/>
          </w:tcPr>
          <w:p w14:paraId="3CC75DEC" w14:textId="77777777" w:rsidR="001D462B" w:rsidRPr="00170EFF" w:rsidRDefault="001D462B" w:rsidP="00FF0EE8">
            <w:pPr>
              <w:autoSpaceDE/>
              <w:autoSpaceDN/>
              <w:adjustRightInd/>
              <w:spacing w:line="240" w:lineRule="auto"/>
              <w:rPr>
                <w:color w:val="000000"/>
                <w:sz w:val="20"/>
              </w:rPr>
            </w:pPr>
            <w:r w:rsidRPr="00170EFF">
              <w:rPr>
                <w:color w:val="000000"/>
                <w:sz w:val="20"/>
              </w:rPr>
              <w:t>First-Line Supervisors of Production and Operating Workers (511011)</w:t>
            </w:r>
          </w:p>
        </w:tc>
        <w:tc>
          <w:tcPr>
            <w:tcW w:w="1440" w:type="dxa"/>
            <w:tcBorders>
              <w:top w:val="nil"/>
              <w:left w:val="nil"/>
              <w:bottom w:val="single" w:sz="4" w:space="0" w:color="auto"/>
              <w:right w:val="single" w:sz="4" w:space="0" w:color="auto"/>
            </w:tcBorders>
            <w:shd w:val="clear" w:color="auto" w:fill="auto"/>
            <w:vAlign w:val="center"/>
            <w:hideMark/>
          </w:tcPr>
          <w:p w14:paraId="476AEAFE"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$4</w:t>
            </w:r>
            <w:r w:rsidR="00EA7D65" w:rsidRPr="00170EFF">
              <w:rPr>
                <w:color w:val="000000"/>
                <w:sz w:val="20"/>
              </w:rPr>
              <w:t>6</w:t>
            </w:r>
            <w:r w:rsidRPr="00170EFF">
              <w:rPr>
                <w:color w:val="000000"/>
                <w:sz w:val="20"/>
              </w:rPr>
              <w:t xml:space="preserve">.40 </w:t>
            </w:r>
          </w:p>
        </w:tc>
        <w:tc>
          <w:tcPr>
            <w:tcW w:w="1620" w:type="dxa"/>
            <w:tcBorders>
              <w:top w:val="nil"/>
              <w:left w:val="nil"/>
              <w:bottom w:val="single" w:sz="4" w:space="0" w:color="auto"/>
              <w:right w:val="single" w:sz="4" w:space="0" w:color="auto"/>
            </w:tcBorders>
            <w:shd w:val="clear" w:color="auto" w:fill="auto"/>
            <w:vAlign w:val="center"/>
            <w:hideMark/>
          </w:tcPr>
          <w:p w14:paraId="6BC5FE51"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$3</w:t>
            </w:r>
            <w:r w:rsidR="00EA7D65" w:rsidRPr="00170EFF">
              <w:rPr>
                <w:color w:val="000000"/>
                <w:sz w:val="20"/>
              </w:rPr>
              <w:t>4.76</w:t>
            </w:r>
            <w:r w:rsidRPr="00170EFF">
              <w:rPr>
                <w:color w:val="000000"/>
                <w:sz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25BA66C8"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$58.</w:t>
            </w:r>
            <w:r w:rsidR="00EA7D65" w:rsidRPr="00170EFF">
              <w:rPr>
                <w:color w:val="000000"/>
                <w:sz w:val="20"/>
              </w:rPr>
              <w:t>02</w:t>
            </w:r>
            <w:r w:rsidRPr="00170EFF">
              <w:rPr>
                <w:color w:val="000000"/>
                <w:sz w:val="20"/>
              </w:rPr>
              <w:t xml:space="preserve"> </w:t>
            </w:r>
          </w:p>
        </w:tc>
        <w:tc>
          <w:tcPr>
            <w:tcW w:w="2430" w:type="dxa"/>
            <w:tcBorders>
              <w:top w:val="nil"/>
              <w:left w:val="nil"/>
              <w:bottom w:val="single" w:sz="4" w:space="0" w:color="auto"/>
              <w:right w:val="single" w:sz="4" w:space="0" w:color="auto"/>
            </w:tcBorders>
            <w:vAlign w:val="center"/>
          </w:tcPr>
          <w:p w14:paraId="7B05DC25" w14:textId="77777777" w:rsidR="001D462B" w:rsidRPr="00170EFF" w:rsidRDefault="00F32688" w:rsidP="00FF0EE8">
            <w:pPr>
              <w:autoSpaceDE/>
              <w:autoSpaceDN/>
              <w:adjustRightInd/>
              <w:spacing w:line="240" w:lineRule="auto"/>
              <w:jc w:val="center"/>
              <w:rPr>
                <w:color w:val="000000"/>
                <w:sz w:val="20"/>
              </w:rPr>
            </w:pPr>
            <w:hyperlink r:id="rId38" w:history="1">
              <w:r w:rsidR="001D462B" w:rsidRPr="00170EFF">
                <w:rPr>
                  <w:rStyle w:val="Hyperlink"/>
                  <w:sz w:val="20"/>
                </w:rPr>
                <w:t>http://www.bls.gov/oes/current/oes511011.htm</w:t>
              </w:r>
            </w:hyperlink>
            <w:r w:rsidR="001D462B" w:rsidRPr="00170EFF">
              <w:rPr>
                <w:color w:val="000000"/>
                <w:sz w:val="20"/>
              </w:rPr>
              <w:t xml:space="preserve"> </w:t>
            </w:r>
          </w:p>
        </w:tc>
      </w:tr>
      <w:tr w:rsidR="00602B86" w:rsidRPr="00D72F26" w14:paraId="2A43177D" w14:textId="77777777" w:rsidTr="00D557C2">
        <w:trPr>
          <w:trHeight w:val="528"/>
          <w:jc w:val="center"/>
        </w:trPr>
        <w:tc>
          <w:tcPr>
            <w:tcW w:w="1165" w:type="dxa"/>
            <w:vMerge/>
            <w:tcBorders>
              <w:top w:val="nil"/>
              <w:left w:val="single" w:sz="4" w:space="0" w:color="auto"/>
              <w:bottom w:val="single" w:sz="4" w:space="0" w:color="000000"/>
              <w:right w:val="single" w:sz="4" w:space="0" w:color="auto"/>
            </w:tcBorders>
            <w:vAlign w:val="center"/>
            <w:hideMark/>
          </w:tcPr>
          <w:p w14:paraId="41FC95EE"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vAlign w:val="center"/>
            <w:hideMark/>
          </w:tcPr>
          <w:p w14:paraId="1210AA53" w14:textId="77777777" w:rsidR="001D462B" w:rsidRPr="00170EFF" w:rsidRDefault="001D462B" w:rsidP="00FF0EE8">
            <w:pPr>
              <w:autoSpaceDE/>
              <w:autoSpaceDN/>
              <w:adjustRightInd/>
              <w:spacing w:line="240" w:lineRule="auto"/>
              <w:rPr>
                <w:color w:val="000000"/>
                <w:sz w:val="20"/>
              </w:rPr>
            </w:pPr>
            <w:r w:rsidRPr="00170EFF">
              <w:rPr>
                <w:color w:val="000000"/>
                <w:sz w:val="20"/>
              </w:rPr>
              <w:t>First-Line Supervisors of Mechanics Installers and Repairers (491011)</w:t>
            </w:r>
          </w:p>
        </w:tc>
        <w:tc>
          <w:tcPr>
            <w:tcW w:w="1440" w:type="dxa"/>
            <w:tcBorders>
              <w:top w:val="nil"/>
              <w:left w:val="nil"/>
              <w:bottom w:val="single" w:sz="4" w:space="0" w:color="auto"/>
              <w:right w:val="single" w:sz="4" w:space="0" w:color="auto"/>
            </w:tcBorders>
            <w:shd w:val="clear" w:color="auto" w:fill="auto"/>
            <w:vAlign w:val="center"/>
            <w:hideMark/>
          </w:tcPr>
          <w:p w14:paraId="2462E3FB"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45.74</w:t>
            </w:r>
            <w:r w:rsidRPr="00170EFF">
              <w:rPr>
                <w:color w:val="000000"/>
                <w:sz w:val="20"/>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00D0E602"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$3</w:t>
            </w:r>
            <w:r w:rsidR="00D52613" w:rsidRPr="00170EFF">
              <w:rPr>
                <w:color w:val="000000"/>
                <w:sz w:val="20"/>
              </w:rPr>
              <w:t>6.65</w:t>
            </w:r>
          </w:p>
        </w:tc>
        <w:tc>
          <w:tcPr>
            <w:tcW w:w="1530" w:type="dxa"/>
            <w:tcBorders>
              <w:top w:val="nil"/>
              <w:left w:val="nil"/>
              <w:bottom w:val="single" w:sz="4" w:space="0" w:color="auto"/>
              <w:right w:val="single" w:sz="4" w:space="0" w:color="auto"/>
            </w:tcBorders>
            <w:shd w:val="clear" w:color="auto" w:fill="auto"/>
            <w:vAlign w:val="center"/>
            <w:hideMark/>
          </w:tcPr>
          <w:p w14:paraId="69149BB0"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$5</w:t>
            </w:r>
            <w:r w:rsidR="00D52613" w:rsidRPr="00170EFF">
              <w:rPr>
                <w:color w:val="000000"/>
                <w:sz w:val="20"/>
              </w:rPr>
              <w:t>6.43</w:t>
            </w:r>
          </w:p>
        </w:tc>
        <w:tc>
          <w:tcPr>
            <w:tcW w:w="2430" w:type="dxa"/>
            <w:tcBorders>
              <w:top w:val="nil"/>
              <w:left w:val="nil"/>
              <w:bottom w:val="single" w:sz="4" w:space="0" w:color="auto"/>
              <w:right w:val="single" w:sz="4" w:space="0" w:color="auto"/>
            </w:tcBorders>
            <w:vAlign w:val="center"/>
          </w:tcPr>
          <w:p w14:paraId="56A59B49" w14:textId="77777777" w:rsidR="001D462B" w:rsidRPr="00170EFF" w:rsidRDefault="00F32688" w:rsidP="00FF0EE8">
            <w:pPr>
              <w:autoSpaceDE/>
              <w:autoSpaceDN/>
              <w:adjustRightInd/>
              <w:spacing w:line="240" w:lineRule="auto"/>
              <w:jc w:val="center"/>
              <w:rPr>
                <w:color w:val="000000"/>
                <w:sz w:val="20"/>
              </w:rPr>
            </w:pPr>
            <w:hyperlink r:id="rId39" w:history="1">
              <w:r w:rsidR="001D462B" w:rsidRPr="00170EFF">
                <w:rPr>
                  <w:rStyle w:val="Hyperlink"/>
                  <w:sz w:val="20"/>
                </w:rPr>
                <w:t>http://www.bls.gov/oes/current/oes491011.htm</w:t>
              </w:r>
            </w:hyperlink>
            <w:r w:rsidR="001D462B" w:rsidRPr="00170EFF">
              <w:rPr>
                <w:color w:val="000000"/>
                <w:sz w:val="20"/>
              </w:rPr>
              <w:t xml:space="preserve"> </w:t>
            </w:r>
          </w:p>
        </w:tc>
      </w:tr>
      <w:tr w:rsidR="00602B86" w:rsidRPr="00D72F26" w14:paraId="721B55E8" w14:textId="77777777" w:rsidTr="00D557C2">
        <w:trPr>
          <w:trHeight w:val="276"/>
          <w:jc w:val="center"/>
        </w:trPr>
        <w:tc>
          <w:tcPr>
            <w:tcW w:w="1165" w:type="dxa"/>
            <w:vMerge/>
            <w:tcBorders>
              <w:top w:val="nil"/>
              <w:left w:val="single" w:sz="4" w:space="0" w:color="auto"/>
              <w:bottom w:val="single" w:sz="4" w:space="0" w:color="000000"/>
              <w:right w:val="single" w:sz="4" w:space="0" w:color="auto"/>
            </w:tcBorders>
            <w:vAlign w:val="center"/>
            <w:hideMark/>
          </w:tcPr>
          <w:p w14:paraId="6AE8D353"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vAlign w:val="center"/>
            <w:hideMark/>
          </w:tcPr>
          <w:p w14:paraId="01000AD9" w14:textId="77777777" w:rsidR="001D462B" w:rsidRPr="00170EFF" w:rsidRDefault="001D462B" w:rsidP="00FF0EE8">
            <w:pPr>
              <w:autoSpaceDE/>
              <w:autoSpaceDN/>
              <w:adjustRightInd/>
              <w:spacing w:line="240" w:lineRule="auto"/>
              <w:rPr>
                <w:color w:val="000000"/>
                <w:sz w:val="20"/>
              </w:rPr>
            </w:pPr>
            <w:r w:rsidRPr="00170EFF">
              <w:rPr>
                <w:color w:val="000000"/>
                <w:sz w:val="20"/>
              </w:rPr>
              <w:t>Industrial Production Managers</w:t>
            </w:r>
            <w:r w:rsidR="00981C94">
              <w:rPr>
                <w:rFonts w:eastAsia="Times New Roman"/>
                <w:color w:val="000000"/>
                <w:sz w:val="20"/>
                <w:szCs w:val="20"/>
              </w:rPr>
              <w:t xml:space="preserve"> </w:t>
            </w:r>
            <w:r w:rsidRPr="00170EFF">
              <w:rPr>
                <w:color w:val="000000"/>
                <w:sz w:val="20"/>
              </w:rPr>
              <w:t>(113051)</w:t>
            </w:r>
          </w:p>
        </w:tc>
        <w:tc>
          <w:tcPr>
            <w:tcW w:w="1440" w:type="dxa"/>
            <w:tcBorders>
              <w:top w:val="nil"/>
              <w:left w:val="nil"/>
              <w:bottom w:val="single" w:sz="4" w:space="0" w:color="auto"/>
              <w:right w:val="single" w:sz="4" w:space="0" w:color="auto"/>
            </w:tcBorders>
            <w:shd w:val="clear" w:color="auto" w:fill="auto"/>
            <w:vAlign w:val="center"/>
            <w:hideMark/>
          </w:tcPr>
          <w:p w14:paraId="79ACC553"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61.78</w:t>
            </w:r>
          </w:p>
        </w:tc>
        <w:tc>
          <w:tcPr>
            <w:tcW w:w="1620" w:type="dxa"/>
            <w:tcBorders>
              <w:top w:val="nil"/>
              <w:left w:val="nil"/>
              <w:bottom w:val="single" w:sz="4" w:space="0" w:color="auto"/>
              <w:right w:val="single" w:sz="4" w:space="0" w:color="auto"/>
            </w:tcBorders>
            <w:shd w:val="clear" w:color="auto" w:fill="auto"/>
            <w:vAlign w:val="center"/>
            <w:hideMark/>
          </w:tcPr>
          <w:p w14:paraId="741AFE95"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$4</w:t>
            </w:r>
            <w:r w:rsidR="00D52613" w:rsidRPr="00170EFF">
              <w:rPr>
                <w:color w:val="000000"/>
                <w:sz w:val="20"/>
              </w:rPr>
              <w:t>7.31</w:t>
            </w:r>
          </w:p>
        </w:tc>
        <w:tc>
          <w:tcPr>
            <w:tcW w:w="1530" w:type="dxa"/>
            <w:tcBorders>
              <w:top w:val="nil"/>
              <w:left w:val="nil"/>
              <w:bottom w:val="single" w:sz="4" w:space="0" w:color="auto"/>
              <w:right w:val="single" w:sz="4" w:space="0" w:color="auto"/>
            </w:tcBorders>
            <w:shd w:val="clear" w:color="auto" w:fill="auto"/>
            <w:vAlign w:val="center"/>
            <w:hideMark/>
          </w:tcPr>
          <w:p w14:paraId="4AA5820E"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71.73</w:t>
            </w:r>
            <w:r w:rsidRPr="00170EFF">
              <w:rPr>
                <w:color w:val="000000"/>
                <w:sz w:val="20"/>
              </w:rPr>
              <w:t xml:space="preserve"> </w:t>
            </w:r>
          </w:p>
        </w:tc>
        <w:tc>
          <w:tcPr>
            <w:tcW w:w="2430" w:type="dxa"/>
            <w:tcBorders>
              <w:top w:val="nil"/>
              <w:left w:val="nil"/>
              <w:bottom w:val="single" w:sz="4" w:space="0" w:color="auto"/>
              <w:right w:val="single" w:sz="4" w:space="0" w:color="auto"/>
            </w:tcBorders>
            <w:vAlign w:val="center"/>
          </w:tcPr>
          <w:p w14:paraId="4A7B2A87" w14:textId="77777777" w:rsidR="001D462B" w:rsidRPr="00170EFF" w:rsidRDefault="00F32688" w:rsidP="00FF0EE8">
            <w:pPr>
              <w:autoSpaceDE/>
              <w:autoSpaceDN/>
              <w:adjustRightInd/>
              <w:spacing w:line="240" w:lineRule="auto"/>
              <w:jc w:val="center"/>
              <w:rPr>
                <w:color w:val="000000"/>
                <w:sz w:val="20"/>
              </w:rPr>
            </w:pPr>
            <w:hyperlink r:id="rId40" w:history="1">
              <w:r w:rsidR="001D462B" w:rsidRPr="00170EFF">
                <w:rPr>
                  <w:rStyle w:val="Hyperlink"/>
                  <w:sz w:val="20"/>
                </w:rPr>
                <w:t>http://www.bls.gov/oes/current/oes113051.htm</w:t>
              </w:r>
            </w:hyperlink>
            <w:r w:rsidR="001D462B" w:rsidRPr="00170EFF">
              <w:rPr>
                <w:color w:val="000000"/>
                <w:sz w:val="20"/>
              </w:rPr>
              <w:t xml:space="preserve"> </w:t>
            </w:r>
          </w:p>
        </w:tc>
      </w:tr>
      <w:tr w:rsidR="00602B86" w:rsidRPr="00D72F26" w14:paraId="2FDEF0BE" w14:textId="77777777" w:rsidTr="00D557C2">
        <w:trPr>
          <w:trHeight w:val="276"/>
          <w:jc w:val="center"/>
        </w:trPr>
        <w:tc>
          <w:tcPr>
            <w:tcW w:w="1165" w:type="dxa"/>
            <w:vMerge/>
            <w:tcBorders>
              <w:top w:val="nil"/>
              <w:left w:val="single" w:sz="4" w:space="0" w:color="auto"/>
              <w:bottom w:val="single" w:sz="4" w:space="0" w:color="000000"/>
              <w:right w:val="single" w:sz="4" w:space="0" w:color="auto"/>
            </w:tcBorders>
            <w:vAlign w:val="center"/>
            <w:hideMark/>
          </w:tcPr>
          <w:p w14:paraId="1DBB8F75"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vAlign w:val="center"/>
            <w:hideMark/>
          </w:tcPr>
          <w:p w14:paraId="3F7B3DD1" w14:textId="77777777" w:rsidR="001D462B" w:rsidRPr="00170EFF" w:rsidRDefault="001D462B" w:rsidP="00FF0EE8">
            <w:pPr>
              <w:autoSpaceDE/>
              <w:autoSpaceDN/>
              <w:adjustRightInd/>
              <w:spacing w:line="240" w:lineRule="auto"/>
              <w:rPr>
                <w:color w:val="000000"/>
                <w:sz w:val="20"/>
              </w:rPr>
            </w:pPr>
            <w:r w:rsidRPr="00170EFF">
              <w:rPr>
                <w:color w:val="000000"/>
                <w:sz w:val="20"/>
              </w:rPr>
              <w:t>General and Operations Managers (111021)</w:t>
            </w:r>
          </w:p>
        </w:tc>
        <w:tc>
          <w:tcPr>
            <w:tcW w:w="1440" w:type="dxa"/>
            <w:tcBorders>
              <w:top w:val="nil"/>
              <w:left w:val="nil"/>
              <w:bottom w:val="single" w:sz="4" w:space="0" w:color="auto"/>
              <w:right w:val="single" w:sz="4" w:space="0" w:color="auto"/>
            </w:tcBorders>
            <w:shd w:val="clear" w:color="auto" w:fill="auto"/>
            <w:vAlign w:val="center"/>
            <w:hideMark/>
          </w:tcPr>
          <w:p w14:paraId="75FF4B3F"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71.28</w:t>
            </w:r>
          </w:p>
        </w:tc>
        <w:tc>
          <w:tcPr>
            <w:tcW w:w="1620" w:type="dxa"/>
            <w:tcBorders>
              <w:top w:val="nil"/>
              <w:left w:val="nil"/>
              <w:bottom w:val="single" w:sz="4" w:space="0" w:color="auto"/>
              <w:right w:val="single" w:sz="4" w:space="0" w:color="auto"/>
            </w:tcBorders>
            <w:shd w:val="clear" w:color="auto" w:fill="auto"/>
            <w:vAlign w:val="center"/>
            <w:hideMark/>
          </w:tcPr>
          <w:p w14:paraId="5DF6A54C"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50.13</w:t>
            </w:r>
            <w:r w:rsidRPr="00170EFF">
              <w:rPr>
                <w:color w:val="000000"/>
                <w:sz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5A3046B9"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84.07</w:t>
            </w:r>
          </w:p>
        </w:tc>
        <w:tc>
          <w:tcPr>
            <w:tcW w:w="2430" w:type="dxa"/>
            <w:tcBorders>
              <w:top w:val="nil"/>
              <w:left w:val="nil"/>
              <w:bottom w:val="single" w:sz="4" w:space="0" w:color="auto"/>
              <w:right w:val="single" w:sz="4" w:space="0" w:color="auto"/>
            </w:tcBorders>
            <w:vAlign w:val="center"/>
          </w:tcPr>
          <w:p w14:paraId="0916198D" w14:textId="77777777" w:rsidR="001D462B" w:rsidRPr="00170EFF" w:rsidRDefault="00F32688" w:rsidP="00FF0EE8">
            <w:pPr>
              <w:autoSpaceDE/>
              <w:autoSpaceDN/>
              <w:adjustRightInd/>
              <w:spacing w:line="240" w:lineRule="auto"/>
              <w:jc w:val="center"/>
              <w:rPr>
                <w:color w:val="000000"/>
                <w:sz w:val="20"/>
              </w:rPr>
            </w:pPr>
            <w:hyperlink r:id="rId41" w:history="1">
              <w:r w:rsidR="001D462B" w:rsidRPr="00170EFF">
                <w:rPr>
                  <w:rStyle w:val="Hyperlink"/>
                  <w:sz w:val="20"/>
                </w:rPr>
                <w:t>http://www.bls.gov/oes/current/oes111021.htm</w:t>
              </w:r>
            </w:hyperlink>
            <w:r w:rsidR="001D462B" w:rsidRPr="00170EFF">
              <w:rPr>
                <w:color w:val="000000"/>
                <w:sz w:val="20"/>
              </w:rPr>
              <w:t xml:space="preserve"> </w:t>
            </w:r>
          </w:p>
        </w:tc>
      </w:tr>
      <w:tr w:rsidR="00602B86" w:rsidRPr="00657FBE" w14:paraId="259914DD" w14:textId="77777777" w:rsidTr="00D557C2">
        <w:trPr>
          <w:trHeight w:val="276"/>
          <w:jc w:val="center"/>
        </w:trPr>
        <w:tc>
          <w:tcPr>
            <w:tcW w:w="1165" w:type="dxa"/>
            <w:vMerge/>
            <w:tcBorders>
              <w:top w:val="nil"/>
              <w:left w:val="single" w:sz="4" w:space="0" w:color="auto"/>
              <w:bottom w:val="single" w:sz="4" w:space="0" w:color="000000"/>
              <w:right w:val="single" w:sz="4" w:space="0" w:color="auto"/>
            </w:tcBorders>
            <w:vAlign w:val="center"/>
            <w:hideMark/>
          </w:tcPr>
          <w:p w14:paraId="16C67D8C"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noWrap/>
            <w:vAlign w:val="center"/>
            <w:hideMark/>
          </w:tcPr>
          <w:p w14:paraId="57CB1323" w14:textId="77777777" w:rsidR="001D462B" w:rsidRPr="00170EFF" w:rsidRDefault="001D462B" w:rsidP="00FF0EE8">
            <w:pPr>
              <w:autoSpaceDE/>
              <w:autoSpaceDN/>
              <w:adjustRightInd/>
              <w:spacing w:line="240" w:lineRule="auto"/>
              <w:jc w:val="right"/>
              <w:rPr>
                <w:b/>
                <w:i/>
                <w:color w:val="000000"/>
                <w:sz w:val="20"/>
              </w:rPr>
            </w:pPr>
            <w:r w:rsidRPr="00170EFF">
              <w:rPr>
                <w:b/>
                <w:i/>
                <w:color w:val="000000"/>
                <w:sz w:val="20"/>
              </w:rPr>
              <w:t>Average</w:t>
            </w:r>
          </w:p>
        </w:tc>
        <w:tc>
          <w:tcPr>
            <w:tcW w:w="1440" w:type="dxa"/>
            <w:tcBorders>
              <w:top w:val="nil"/>
              <w:left w:val="nil"/>
              <w:bottom w:val="single" w:sz="4" w:space="0" w:color="auto"/>
              <w:right w:val="single" w:sz="4" w:space="0" w:color="auto"/>
            </w:tcBorders>
            <w:shd w:val="clear" w:color="auto" w:fill="auto"/>
            <w:noWrap/>
            <w:vAlign w:val="center"/>
            <w:hideMark/>
          </w:tcPr>
          <w:p w14:paraId="24AA1729"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$5</w:t>
            </w:r>
            <w:r w:rsidR="00D52613" w:rsidRPr="00170EFF">
              <w:rPr>
                <w:b/>
                <w:i/>
                <w:color w:val="000000"/>
                <w:sz w:val="20"/>
              </w:rPr>
              <w:t>6.30</w:t>
            </w:r>
            <w:r w:rsidRPr="00170EFF">
              <w:rPr>
                <w:b/>
                <w:i/>
                <w:color w:val="000000"/>
                <w:sz w:val="20"/>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14:paraId="2C473386"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w:t>
            </w:r>
            <w:r w:rsidR="00D52613" w:rsidRPr="00170EFF">
              <w:rPr>
                <w:b/>
                <w:i/>
                <w:color w:val="000000"/>
                <w:sz w:val="20"/>
              </w:rPr>
              <w:t>42.21</w:t>
            </w:r>
          </w:p>
        </w:tc>
        <w:tc>
          <w:tcPr>
            <w:tcW w:w="1530" w:type="dxa"/>
            <w:tcBorders>
              <w:top w:val="nil"/>
              <w:left w:val="nil"/>
              <w:bottom w:val="single" w:sz="4" w:space="0" w:color="auto"/>
              <w:right w:val="single" w:sz="4" w:space="0" w:color="auto"/>
            </w:tcBorders>
            <w:shd w:val="clear" w:color="auto" w:fill="auto"/>
            <w:noWrap/>
            <w:vAlign w:val="center"/>
            <w:hideMark/>
          </w:tcPr>
          <w:p w14:paraId="429054ED"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w:t>
            </w:r>
            <w:r w:rsidR="00D52613" w:rsidRPr="00170EFF">
              <w:rPr>
                <w:b/>
                <w:i/>
                <w:color w:val="000000"/>
                <w:sz w:val="20"/>
              </w:rPr>
              <w:t>67.56</w:t>
            </w:r>
          </w:p>
        </w:tc>
        <w:tc>
          <w:tcPr>
            <w:tcW w:w="2430" w:type="dxa"/>
            <w:tcBorders>
              <w:top w:val="nil"/>
              <w:left w:val="nil"/>
              <w:bottom w:val="single" w:sz="4" w:space="0" w:color="auto"/>
              <w:right w:val="single" w:sz="4" w:space="0" w:color="auto"/>
            </w:tcBorders>
            <w:vAlign w:val="center"/>
          </w:tcPr>
          <w:p w14:paraId="3616D93F" w14:textId="77777777" w:rsidR="001D462B" w:rsidRPr="00170EFF" w:rsidRDefault="001D462B" w:rsidP="00FF0EE8">
            <w:pPr>
              <w:autoSpaceDE/>
              <w:autoSpaceDN/>
              <w:adjustRightInd/>
              <w:spacing w:line="240" w:lineRule="auto"/>
              <w:jc w:val="center"/>
              <w:rPr>
                <w:b/>
                <w:i/>
                <w:color w:val="000000"/>
                <w:sz w:val="20"/>
              </w:rPr>
            </w:pPr>
          </w:p>
        </w:tc>
      </w:tr>
      <w:tr w:rsidR="00602B86" w:rsidRPr="00D72F26" w14:paraId="536C1BAF" w14:textId="77777777" w:rsidTr="00D557C2">
        <w:trPr>
          <w:trHeight w:val="276"/>
          <w:jc w:val="center"/>
        </w:trPr>
        <w:tc>
          <w:tcPr>
            <w:tcW w:w="1165" w:type="dxa"/>
            <w:vMerge w:val="restart"/>
            <w:tcBorders>
              <w:top w:val="nil"/>
              <w:left w:val="single" w:sz="4" w:space="0" w:color="auto"/>
              <w:bottom w:val="single" w:sz="4" w:space="0" w:color="000000"/>
              <w:right w:val="single" w:sz="4" w:space="0" w:color="auto"/>
            </w:tcBorders>
            <w:shd w:val="clear" w:color="auto" w:fill="auto"/>
            <w:vAlign w:val="center"/>
            <w:hideMark/>
          </w:tcPr>
          <w:p w14:paraId="7CC226FE"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Technical Staff</w:t>
            </w:r>
          </w:p>
        </w:tc>
        <w:tc>
          <w:tcPr>
            <w:tcW w:w="1980" w:type="dxa"/>
            <w:tcBorders>
              <w:top w:val="nil"/>
              <w:left w:val="nil"/>
              <w:bottom w:val="single" w:sz="4" w:space="0" w:color="auto"/>
              <w:right w:val="single" w:sz="4" w:space="0" w:color="auto"/>
            </w:tcBorders>
            <w:shd w:val="clear" w:color="auto" w:fill="auto"/>
            <w:vAlign w:val="center"/>
            <w:hideMark/>
          </w:tcPr>
          <w:p w14:paraId="3F5ECDC4" w14:textId="77777777" w:rsidR="001D462B" w:rsidRPr="00170EFF" w:rsidRDefault="001D462B" w:rsidP="00FF0EE8">
            <w:pPr>
              <w:autoSpaceDE/>
              <w:autoSpaceDN/>
              <w:adjustRightInd/>
              <w:spacing w:line="240" w:lineRule="auto"/>
              <w:rPr>
                <w:color w:val="000000"/>
                <w:sz w:val="20"/>
              </w:rPr>
            </w:pPr>
            <w:r w:rsidRPr="00170EFF">
              <w:rPr>
                <w:color w:val="000000"/>
                <w:sz w:val="20"/>
              </w:rPr>
              <w:t>Nuclear Engineers</w:t>
            </w:r>
            <w:r w:rsidR="00B3754A">
              <w:rPr>
                <w:rFonts w:eastAsia="Times New Roman"/>
                <w:color w:val="000000"/>
                <w:sz w:val="20"/>
                <w:szCs w:val="20"/>
              </w:rPr>
              <w:t xml:space="preserve"> </w:t>
            </w:r>
            <w:r w:rsidRPr="00170EFF">
              <w:rPr>
                <w:color w:val="000000"/>
                <w:sz w:val="20"/>
              </w:rPr>
              <w:t>(172161)</w:t>
            </w:r>
          </w:p>
        </w:tc>
        <w:tc>
          <w:tcPr>
            <w:tcW w:w="1440" w:type="dxa"/>
            <w:tcBorders>
              <w:top w:val="nil"/>
              <w:left w:val="nil"/>
              <w:bottom w:val="single" w:sz="4" w:space="0" w:color="auto"/>
              <w:right w:val="single" w:sz="4" w:space="0" w:color="auto"/>
            </w:tcBorders>
            <w:shd w:val="clear" w:color="auto" w:fill="auto"/>
            <w:vAlign w:val="center"/>
            <w:hideMark/>
          </w:tcPr>
          <w:p w14:paraId="3308BCD5"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$4</w:t>
            </w:r>
            <w:r w:rsidR="00D52613" w:rsidRPr="00170EFF">
              <w:rPr>
                <w:color w:val="000000"/>
                <w:sz w:val="20"/>
              </w:rPr>
              <w:t>9.54</w:t>
            </w:r>
          </w:p>
        </w:tc>
        <w:tc>
          <w:tcPr>
            <w:tcW w:w="1620" w:type="dxa"/>
            <w:tcBorders>
              <w:top w:val="nil"/>
              <w:left w:val="nil"/>
              <w:bottom w:val="single" w:sz="4" w:space="0" w:color="auto"/>
              <w:right w:val="single" w:sz="4" w:space="0" w:color="auto"/>
            </w:tcBorders>
            <w:shd w:val="clear" w:color="auto" w:fill="auto"/>
            <w:vAlign w:val="center"/>
            <w:hideMark/>
          </w:tcPr>
          <w:p w14:paraId="71410F0B"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$4</w:t>
            </w:r>
            <w:r w:rsidR="00D52613" w:rsidRPr="00170EFF">
              <w:rPr>
                <w:color w:val="000000"/>
                <w:sz w:val="20"/>
              </w:rPr>
              <w:t>1.02</w:t>
            </w:r>
            <w:r w:rsidRPr="00170EFF">
              <w:rPr>
                <w:color w:val="000000"/>
                <w:sz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67EB06C4"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57.99</w:t>
            </w:r>
            <w:r w:rsidRPr="00170EFF">
              <w:rPr>
                <w:color w:val="000000"/>
                <w:sz w:val="20"/>
              </w:rPr>
              <w:t xml:space="preserve"> </w:t>
            </w:r>
          </w:p>
        </w:tc>
        <w:tc>
          <w:tcPr>
            <w:tcW w:w="2430" w:type="dxa"/>
            <w:tcBorders>
              <w:top w:val="nil"/>
              <w:left w:val="nil"/>
              <w:bottom w:val="single" w:sz="4" w:space="0" w:color="auto"/>
              <w:right w:val="single" w:sz="4" w:space="0" w:color="auto"/>
            </w:tcBorders>
            <w:vAlign w:val="center"/>
          </w:tcPr>
          <w:p w14:paraId="3E6F6B17" w14:textId="77777777" w:rsidR="001D462B" w:rsidRPr="00170EFF" w:rsidRDefault="00F32688" w:rsidP="00FF0EE8">
            <w:pPr>
              <w:autoSpaceDE/>
              <w:autoSpaceDN/>
              <w:adjustRightInd/>
              <w:spacing w:line="240" w:lineRule="auto"/>
              <w:jc w:val="center"/>
              <w:rPr>
                <w:color w:val="000000"/>
                <w:sz w:val="20"/>
              </w:rPr>
            </w:pPr>
            <w:hyperlink r:id="rId42" w:history="1">
              <w:r w:rsidR="001D462B" w:rsidRPr="00170EFF">
                <w:rPr>
                  <w:rStyle w:val="Hyperlink"/>
                  <w:sz w:val="20"/>
                </w:rPr>
                <w:t>http://www.bls.gov/oes/current/oes172161.htm</w:t>
              </w:r>
            </w:hyperlink>
            <w:r w:rsidR="001D462B" w:rsidRPr="00170EFF">
              <w:rPr>
                <w:color w:val="000000"/>
                <w:sz w:val="20"/>
              </w:rPr>
              <w:t xml:space="preserve"> </w:t>
            </w:r>
          </w:p>
        </w:tc>
      </w:tr>
      <w:tr w:rsidR="00602B86" w:rsidRPr="00D72F26" w14:paraId="09B9022B" w14:textId="77777777" w:rsidTr="00D557C2">
        <w:trPr>
          <w:trHeight w:val="276"/>
          <w:jc w:val="center"/>
        </w:trPr>
        <w:tc>
          <w:tcPr>
            <w:tcW w:w="1165" w:type="dxa"/>
            <w:vMerge/>
            <w:tcBorders>
              <w:top w:val="nil"/>
              <w:left w:val="single" w:sz="4" w:space="0" w:color="auto"/>
              <w:bottom w:val="single" w:sz="4" w:space="0" w:color="000000"/>
              <w:right w:val="single" w:sz="4" w:space="0" w:color="auto"/>
            </w:tcBorders>
            <w:vAlign w:val="center"/>
            <w:hideMark/>
          </w:tcPr>
          <w:p w14:paraId="756EE99A"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vAlign w:val="center"/>
            <w:hideMark/>
          </w:tcPr>
          <w:p w14:paraId="3B04C1C4" w14:textId="77777777" w:rsidR="001D462B" w:rsidRPr="00170EFF" w:rsidRDefault="001D462B" w:rsidP="00FF0EE8">
            <w:pPr>
              <w:autoSpaceDE/>
              <w:autoSpaceDN/>
              <w:adjustRightInd/>
              <w:spacing w:line="240" w:lineRule="auto"/>
              <w:rPr>
                <w:color w:val="000000"/>
                <w:sz w:val="20"/>
              </w:rPr>
            </w:pPr>
            <w:r w:rsidRPr="00170EFF">
              <w:rPr>
                <w:color w:val="000000"/>
                <w:sz w:val="20"/>
              </w:rPr>
              <w:t>Nuclear Technicians</w:t>
            </w:r>
            <w:r w:rsidR="00B3754A">
              <w:rPr>
                <w:rFonts w:eastAsia="Times New Roman"/>
                <w:color w:val="000000"/>
                <w:sz w:val="20"/>
                <w:szCs w:val="20"/>
              </w:rPr>
              <w:t xml:space="preserve"> </w:t>
            </w:r>
            <w:r w:rsidRPr="00170EFF">
              <w:rPr>
                <w:color w:val="000000"/>
                <w:sz w:val="20"/>
              </w:rPr>
              <w:t>(194051)</w:t>
            </w:r>
          </w:p>
        </w:tc>
        <w:tc>
          <w:tcPr>
            <w:tcW w:w="1440" w:type="dxa"/>
            <w:tcBorders>
              <w:top w:val="nil"/>
              <w:left w:val="nil"/>
              <w:bottom w:val="single" w:sz="4" w:space="0" w:color="auto"/>
              <w:right w:val="single" w:sz="4" w:space="0" w:color="auto"/>
            </w:tcBorders>
            <w:shd w:val="clear" w:color="auto" w:fill="auto"/>
            <w:vAlign w:val="center"/>
            <w:hideMark/>
          </w:tcPr>
          <w:p w14:paraId="408A49C1"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$3</w:t>
            </w:r>
            <w:r w:rsidR="00D52613" w:rsidRPr="00170EFF">
              <w:rPr>
                <w:color w:val="000000"/>
                <w:sz w:val="20"/>
              </w:rPr>
              <w:t>9.84</w:t>
            </w:r>
          </w:p>
        </w:tc>
        <w:tc>
          <w:tcPr>
            <w:tcW w:w="1620" w:type="dxa"/>
            <w:tcBorders>
              <w:top w:val="nil"/>
              <w:left w:val="nil"/>
              <w:bottom w:val="single" w:sz="4" w:space="0" w:color="auto"/>
              <w:right w:val="single" w:sz="4" w:space="0" w:color="auto"/>
            </w:tcBorders>
            <w:shd w:val="clear" w:color="auto" w:fill="auto"/>
            <w:vAlign w:val="center"/>
            <w:hideMark/>
          </w:tcPr>
          <w:p w14:paraId="143C4AE1"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$3</w:t>
            </w:r>
            <w:r w:rsidR="00D52613" w:rsidRPr="00170EFF">
              <w:rPr>
                <w:color w:val="000000"/>
                <w:sz w:val="20"/>
              </w:rPr>
              <w:t>3.12</w:t>
            </w:r>
            <w:r w:rsidRPr="00170EFF">
              <w:rPr>
                <w:color w:val="000000"/>
                <w:sz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68116471"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$4</w:t>
            </w:r>
            <w:r w:rsidR="00D52613" w:rsidRPr="00170EFF">
              <w:rPr>
                <w:color w:val="000000"/>
                <w:sz w:val="20"/>
              </w:rPr>
              <w:t>5.99</w:t>
            </w:r>
            <w:r w:rsidRPr="00170EFF">
              <w:rPr>
                <w:color w:val="000000"/>
                <w:sz w:val="20"/>
              </w:rPr>
              <w:t xml:space="preserve"> </w:t>
            </w:r>
          </w:p>
        </w:tc>
        <w:tc>
          <w:tcPr>
            <w:tcW w:w="2430" w:type="dxa"/>
            <w:tcBorders>
              <w:top w:val="nil"/>
              <w:left w:val="nil"/>
              <w:bottom w:val="single" w:sz="4" w:space="0" w:color="auto"/>
              <w:right w:val="single" w:sz="4" w:space="0" w:color="auto"/>
            </w:tcBorders>
            <w:vAlign w:val="center"/>
          </w:tcPr>
          <w:p w14:paraId="7E47208F" w14:textId="77777777" w:rsidR="001D462B" w:rsidRPr="00170EFF" w:rsidRDefault="00F32688" w:rsidP="00FF0EE8">
            <w:pPr>
              <w:autoSpaceDE/>
              <w:autoSpaceDN/>
              <w:adjustRightInd/>
              <w:spacing w:line="240" w:lineRule="auto"/>
              <w:jc w:val="center"/>
              <w:rPr>
                <w:color w:val="000000"/>
                <w:sz w:val="20"/>
              </w:rPr>
            </w:pPr>
            <w:hyperlink r:id="rId43" w:history="1">
              <w:r w:rsidR="001D462B" w:rsidRPr="00170EFF">
                <w:rPr>
                  <w:rStyle w:val="Hyperlink"/>
                  <w:sz w:val="20"/>
                </w:rPr>
                <w:t>http://www.bls.gov/oes/current/oes194051.htm</w:t>
              </w:r>
            </w:hyperlink>
            <w:r w:rsidR="001D462B" w:rsidRPr="00170EFF">
              <w:rPr>
                <w:color w:val="000000"/>
                <w:sz w:val="20"/>
              </w:rPr>
              <w:t xml:space="preserve"> </w:t>
            </w:r>
          </w:p>
        </w:tc>
      </w:tr>
      <w:tr w:rsidR="00602B86" w:rsidRPr="00D72F26" w14:paraId="16D7C629" w14:textId="77777777" w:rsidTr="00D557C2">
        <w:trPr>
          <w:trHeight w:val="276"/>
          <w:jc w:val="center"/>
        </w:trPr>
        <w:tc>
          <w:tcPr>
            <w:tcW w:w="1165" w:type="dxa"/>
            <w:vMerge/>
            <w:tcBorders>
              <w:top w:val="nil"/>
              <w:left w:val="single" w:sz="4" w:space="0" w:color="auto"/>
              <w:bottom w:val="single" w:sz="4" w:space="0" w:color="000000"/>
              <w:right w:val="single" w:sz="4" w:space="0" w:color="auto"/>
            </w:tcBorders>
            <w:vAlign w:val="center"/>
            <w:hideMark/>
          </w:tcPr>
          <w:p w14:paraId="1994D49C"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vAlign w:val="center"/>
            <w:hideMark/>
          </w:tcPr>
          <w:p w14:paraId="7DAD25DB" w14:textId="77777777" w:rsidR="001D462B" w:rsidRPr="00170EFF" w:rsidRDefault="001D462B" w:rsidP="00FF0EE8">
            <w:pPr>
              <w:autoSpaceDE/>
              <w:autoSpaceDN/>
              <w:adjustRightInd/>
              <w:spacing w:line="240" w:lineRule="auto"/>
              <w:rPr>
                <w:color w:val="000000"/>
                <w:sz w:val="20"/>
              </w:rPr>
            </w:pPr>
            <w:r w:rsidRPr="00170EFF">
              <w:rPr>
                <w:color w:val="000000"/>
                <w:sz w:val="20"/>
              </w:rPr>
              <w:t>Nuclear Power Reactor Operators (518011)</w:t>
            </w:r>
          </w:p>
        </w:tc>
        <w:tc>
          <w:tcPr>
            <w:tcW w:w="1440" w:type="dxa"/>
            <w:tcBorders>
              <w:top w:val="nil"/>
              <w:left w:val="nil"/>
              <w:bottom w:val="single" w:sz="4" w:space="0" w:color="auto"/>
              <w:right w:val="single" w:sz="4" w:space="0" w:color="auto"/>
            </w:tcBorders>
            <w:shd w:val="clear" w:color="auto" w:fill="auto"/>
            <w:vAlign w:val="center"/>
            <w:hideMark/>
          </w:tcPr>
          <w:p w14:paraId="769243CF"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43.26</w:t>
            </w:r>
          </w:p>
        </w:tc>
        <w:tc>
          <w:tcPr>
            <w:tcW w:w="1620" w:type="dxa"/>
            <w:tcBorders>
              <w:top w:val="nil"/>
              <w:left w:val="nil"/>
              <w:bottom w:val="single" w:sz="4" w:space="0" w:color="auto"/>
              <w:right w:val="single" w:sz="4" w:space="0" w:color="auto"/>
            </w:tcBorders>
            <w:shd w:val="clear" w:color="auto" w:fill="auto"/>
            <w:vAlign w:val="center"/>
            <w:hideMark/>
          </w:tcPr>
          <w:p w14:paraId="644042C6"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$3</w:t>
            </w:r>
            <w:r w:rsidR="00D52613" w:rsidRPr="00170EFF">
              <w:rPr>
                <w:color w:val="000000"/>
                <w:sz w:val="20"/>
              </w:rPr>
              <w:t>7.57</w:t>
            </w:r>
          </w:p>
        </w:tc>
        <w:tc>
          <w:tcPr>
            <w:tcW w:w="1530" w:type="dxa"/>
            <w:tcBorders>
              <w:top w:val="nil"/>
              <w:left w:val="nil"/>
              <w:bottom w:val="single" w:sz="4" w:space="0" w:color="auto"/>
              <w:right w:val="single" w:sz="4" w:space="0" w:color="auto"/>
            </w:tcBorders>
            <w:shd w:val="clear" w:color="auto" w:fill="auto"/>
            <w:vAlign w:val="center"/>
            <w:hideMark/>
          </w:tcPr>
          <w:p w14:paraId="104E9966"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48.83</w:t>
            </w:r>
          </w:p>
        </w:tc>
        <w:tc>
          <w:tcPr>
            <w:tcW w:w="2430" w:type="dxa"/>
            <w:tcBorders>
              <w:top w:val="nil"/>
              <w:left w:val="nil"/>
              <w:bottom w:val="single" w:sz="4" w:space="0" w:color="auto"/>
              <w:right w:val="single" w:sz="4" w:space="0" w:color="auto"/>
            </w:tcBorders>
            <w:vAlign w:val="center"/>
          </w:tcPr>
          <w:p w14:paraId="325F8E03" w14:textId="77777777" w:rsidR="001D462B" w:rsidRPr="00170EFF" w:rsidRDefault="00F32688" w:rsidP="00FF0EE8">
            <w:pPr>
              <w:autoSpaceDE/>
              <w:autoSpaceDN/>
              <w:adjustRightInd/>
              <w:spacing w:line="240" w:lineRule="auto"/>
              <w:jc w:val="center"/>
              <w:rPr>
                <w:color w:val="000000"/>
                <w:sz w:val="20"/>
              </w:rPr>
            </w:pPr>
            <w:hyperlink r:id="rId44" w:history="1">
              <w:r w:rsidR="001D462B" w:rsidRPr="00170EFF">
                <w:rPr>
                  <w:rStyle w:val="Hyperlink"/>
                  <w:sz w:val="20"/>
                </w:rPr>
                <w:t>http://www.bls.gov/oes/current/oes518011.htm</w:t>
              </w:r>
            </w:hyperlink>
            <w:r w:rsidR="001D462B" w:rsidRPr="00170EFF">
              <w:rPr>
                <w:color w:val="000000"/>
                <w:sz w:val="20"/>
              </w:rPr>
              <w:t xml:space="preserve"> </w:t>
            </w:r>
          </w:p>
        </w:tc>
      </w:tr>
      <w:tr w:rsidR="00602B86" w:rsidRPr="00D72F26" w14:paraId="5CCAB1D3" w14:textId="77777777" w:rsidTr="00D557C2">
        <w:trPr>
          <w:trHeight w:val="528"/>
          <w:jc w:val="center"/>
        </w:trPr>
        <w:tc>
          <w:tcPr>
            <w:tcW w:w="1165" w:type="dxa"/>
            <w:vMerge/>
            <w:tcBorders>
              <w:top w:val="nil"/>
              <w:left w:val="single" w:sz="4" w:space="0" w:color="auto"/>
              <w:bottom w:val="single" w:sz="4" w:space="0" w:color="000000"/>
              <w:right w:val="single" w:sz="4" w:space="0" w:color="auto"/>
            </w:tcBorders>
            <w:vAlign w:val="center"/>
            <w:hideMark/>
          </w:tcPr>
          <w:p w14:paraId="6ED9C7CB"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vAlign w:val="center"/>
            <w:hideMark/>
          </w:tcPr>
          <w:p w14:paraId="33D299BA" w14:textId="77777777" w:rsidR="001D462B" w:rsidRPr="00170EFF" w:rsidRDefault="001D462B" w:rsidP="00FF0EE8">
            <w:pPr>
              <w:autoSpaceDE/>
              <w:autoSpaceDN/>
              <w:adjustRightInd/>
              <w:spacing w:line="240" w:lineRule="auto"/>
              <w:rPr>
                <w:color w:val="000000"/>
                <w:sz w:val="20"/>
              </w:rPr>
            </w:pPr>
            <w:r w:rsidRPr="00170EFF">
              <w:rPr>
                <w:color w:val="000000"/>
                <w:sz w:val="20"/>
              </w:rPr>
              <w:t>Industrial Machinery Mechanics (499041)</w:t>
            </w:r>
          </w:p>
        </w:tc>
        <w:tc>
          <w:tcPr>
            <w:tcW w:w="1440" w:type="dxa"/>
            <w:tcBorders>
              <w:top w:val="nil"/>
              <w:left w:val="nil"/>
              <w:bottom w:val="single" w:sz="4" w:space="0" w:color="auto"/>
              <w:right w:val="single" w:sz="4" w:space="0" w:color="auto"/>
            </w:tcBorders>
            <w:shd w:val="clear" w:color="auto" w:fill="auto"/>
            <w:vAlign w:val="center"/>
            <w:hideMark/>
          </w:tcPr>
          <w:p w14:paraId="31604C76"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$3</w:t>
            </w:r>
            <w:r w:rsidR="00D52613" w:rsidRPr="00170EFF">
              <w:rPr>
                <w:color w:val="000000"/>
                <w:sz w:val="20"/>
              </w:rPr>
              <w:t>3.28</w:t>
            </w:r>
            <w:r w:rsidRPr="00170EFF">
              <w:rPr>
                <w:color w:val="000000"/>
                <w:sz w:val="20"/>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5662272E"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$2</w:t>
            </w:r>
            <w:r w:rsidR="00D52613" w:rsidRPr="00170EFF">
              <w:rPr>
                <w:color w:val="000000"/>
                <w:sz w:val="20"/>
              </w:rPr>
              <w:t>6.29</w:t>
            </w:r>
            <w:r w:rsidRPr="00170EFF">
              <w:rPr>
                <w:color w:val="000000"/>
                <w:sz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0E85E129"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$4</w:t>
            </w:r>
            <w:r w:rsidR="00D52613" w:rsidRPr="00170EFF">
              <w:rPr>
                <w:color w:val="000000"/>
                <w:sz w:val="20"/>
              </w:rPr>
              <w:t>0.64</w:t>
            </w:r>
            <w:r w:rsidRPr="00170EFF">
              <w:rPr>
                <w:color w:val="000000"/>
                <w:sz w:val="20"/>
              </w:rPr>
              <w:t xml:space="preserve"> </w:t>
            </w:r>
          </w:p>
        </w:tc>
        <w:tc>
          <w:tcPr>
            <w:tcW w:w="2430" w:type="dxa"/>
            <w:tcBorders>
              <w:top w:val="nil"/>
              <w:left w:val="nil"/>
              <w:bottom w:val="single" w:sz="4" w:space="0" w:color="auto"/>
              <w:right w:val="single" w:sz="4" w:space="0" w:color="auto"/>
            </w:tcBorders>
            <w:vAlign w:val="center"/>
          </w:tcPr>
          <w:p w14:paraId="411BA661" w14:textId="77777777" w:rsidR="001D462B" w:rsidRPr="00170EFF" w:rsidRDefault="00F32688" w:rsidP="00FF0EE8">
            <w:pPr>
              <w:autoSpaceDE/>
              <w:autoSpaceDN/>
              <w:adjustRightInd/>
              <w:spacing w:line="240" w:lineRule="auto"/>
              <w:jc w:val="center"/>
              <w:rPr>
                <w:color w:val="000000"/>
                <w:sz w:val="20"/>
              </w:rPr>
            </w:pPr>
            <w:hyperlink r:id="rId45" w:history="1">
              <w:r w:rsidR="001D462B" w:rsidRPr="00170EFF">
                <w:rPr>
                  <w:rStyle w:val="Hyperlink"/>
                  <w:sz w:val="20"/>
                </w:rPr>
                <w:t>http://www.bls.gov/oes/current/oes499041.htm</w:t>
              </w:r>
            </w:hyperlink>
            <w:r w:rsidR="001D462B" w:rsidRPr="00170EFF">
              <w:rPr>
                <w:color w:val="000000"/>
                <w:sz w:val="20"/>
              </w:rPr>
              <w:t xml:space="preserve"> </w:t>
            </w:r>
          </w:p>
        </w:tc>
      </w:tr>
      <w:tr w:rsidR="00602B86" w:rsidRPr="00657FBE" w14:paraId="2FD2A147" w14:textId="77777777" w:rsidTr="00D557C2">
        <w:trPr>
          <w:trHeight w:val="276"/>
          <w:jc w:val="center"/>
        </w:trPr>
        <w:tc>
          <w:tcPr>
            <w:tcW w:w="1165" w:type="dxa"/>
            <w:vMerge/>
            <w:tcBorders>
              <w:top w:val="nil"/>
              <w:left w:val="single" w:sz="4" w:space="0" w:color="auto"/>
              <w:bottom w:val="single" w:sz="4" w:space="0" w:color="000000"/>
              <w:right w:val="single" w:sz="4" w:space="0" w:color="auto"/>
            </w:tcBorders>
            <w:vAlign w:val="center"/>
            <w:hideMark/>
          </w:tcPr>
          <w:p w14:paraId="6714DCA4"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noWrap/>
            <w:vAlign w:val="center"/>
            <w:hideMark/>
          </w:tcPr>
          <w:p w14:paraId="26617C7C" w14:textId="77777777" w:rsidR="001D462B" w:rsidRPr="00170EFF" w:rsidRDefault="001D462B" w:rsidP="00FF0EE8">
            <w:pPr>
              <w:autoSpaceDE/>
              <w:autoSpaceDN/>
              <w:adjustRightInd/>
              <w:spacing w:line="240" w:lineRule="auto"/>
              <w:jc w:val="right"/>
              <w:rPr>
                <w:b/>
                <w:i/>
                <w:color w:val="000000"/>
                <w:sz w:val="20"/>
              </w:rPr>
            </w:pPr>
            <w:r w:rsidRPr="00170EFF">
              <w:rPr>
                <w:b/>
                <w:i/>
                <w:color w:val="000000"/>
                <w:sz w:val="20"/>
              </w:rPr>
              <w:t>Average</w:t>
            </w:r>
          </w:p>
        </w:tc>
        <w:tc>
          <w:tcPr>
            <w:tcW w:w="1440" w:type="dxa"/>
            <w:tcBorders>
              <w:top w:val="nil"/>
              <w:left w:val="nil"/>
              <w:bottom w:val="single" w:sz="4" w:space="0" w:color="auto"/>
              <w:right w:val="single" w:sz="4" w:space="0" w:color="auto"/>
            </w:tcBorders>
            <w:shd w:val="clear" w:color="auto" w:fill="auto"/>
            <w:noWrap/>
            <w:vAlign w:val="center"/>
            <w:hideMark/>
          </w:tcPr>
          <w:p w14:paraId="04F17306"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w:t>
            </w:r>
            <w:r w:rsidR="00D52613" w:rsidRPr="00170EFF">
              <w:rPr>
                <w:b/>
                <w:i/>
                <w:color w:val="000000"/>
                <w:sz w:val="20"/>
              </w:rPr>
              <w:t>41.48</w:t>
            </w:r>
          </w:p>
        </w:tc>
        <w:tc>
          <w:tcPr>
            <w:tcW w:w="1620" w:type="dxa"/>
            <w:tcBorders>
              <w:top w:val="nil"/>
              <w:left w:val="nil"/>
              <w:bottom w:val="single" w:sz="4" w:space="0" w:color="auto"/>
              <w:right w:val="single" w:sz="4" w:space="0" w:color="auto"/>
            </w:tcBorders>
            <w:shd w:val="clear" w:color="auto" w:fill="auto"/>
            <w:noWrap/>
            <w:vAlign w:val="center"/>
            <w:hideMark/>
          </w:tcPr>
          <w:p w14:paraId="3DD655B7"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$3</w:t>
            </w:r>
            <w:r w:rsidR="00D52613" w:rsidRPr="00170EFF">
              <w:rPr>
                <w:b/>
                <w:i/>
                <w:color w:val="000000"/>
                <w:sz w:val="20"/>
              </w:rPr>
              <w:t>4.50</w:t>
            </w:r>
            <w:r w:rsidRPr="00170EFF">
              <w:rPr>
                <w:b/>
                <w:i/>
                <w:color w:val="000000"/>
                <w:sz w:val="20"/>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14:paraId="62A33195"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w:t>
            </w:r>
            <w:r w:rsidR="00D52613" w:rsidRPr="00170EFF">
              <w:rPr>
                <w:b/>
                <w:i/>
                <w:color w:val="000000"/>
                <w:sz w:val="20"/>
              </w:rPr>
              <w:t>48.36</w:t>
            </w:r>
          </w:p>
        </w:tc>
        <w:tc>
          <w:tcPr>
            <w:tcW w:w="2430" w:type="dxa"/>
            <w:tcBorders>
              <w:top w:val="nil"/>
              <w:left w:val="nil"/>
              <w:bottom w:val="single" w:sz="4" w:space="0" w:color="auto"/>
              <w:right w:val="single" w:sz="4" w:space="0" w:color="auto"/>
            </w:tcBorders>
            <w:vAlign w:val="center"/>
          </w:tcPr>
          <w:p w14:paraId="29B214BF" w14:textId="77777777" w:rsidR="001D462B" w:rsidRPr="00170EFF" w:rsidRDefault="001D462B" w:rsidP="00FF0EE8">
            <w:pPr>
              <w:autoSpaceDE/>
              <w:autoSpaceDN/>
              <w:adjustRightInd/>
              <w:spacing w:line="240" w:lineRule="auto"/>
              <w:jc w:val="center"/>
              <w:rPr>
                <w:b/>
                <w:i/>
                <w:color w:val="000000"/>
                <w:sz w:val="20"/>
              </w:rPr>
            </w:pPr>
          </w:p>
        </w:tc>
      </w:tr>
      <w:tr w:rsidR="00602B86" w:rsidRPr="00D72F26" w14:paraId="57C7B04F" w14:textId="77777777" w:rsidTr="00D557C2">
        <w:trPr>
          <w:trHeight w:val="528"/>
          <w:jc w:val="center"/>
        </w:trPr>
        <w:tc>
          <w:tcPr>
            <w:tcW w:w="1165" w:type="dxa"/>
            <w:vMerge w:val="restart"/>
            <w:tcBorders>
              <w:top w:val="nil"/>
              <w:left w:val="single" w:sz="4" w:space="0" w:color="auto"/>
              <w:bottom w:val="single" w:sz="4" w:space="0" w:color="000000"/>
              <w:right w:val="single" w:sz="4" w:space="0" w:color="auto"/>
            </w:tcBorders>
            <w:shd w:val="clear" w:color="auto" w:fill="auto"/>
            <w:vAlign w:val="center"/>
            <w:hideMark/>
          </w:tcPr>
          <w:p w14:paraId="3E81FBFB"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Admin</w:t>
            </w:r>
            <w:r w:rsidR="00B3754A">
              <w:rPr>
                <w:rFonts w:eastAsia="Times New Roman"/>
                <w:color w:val="000000"/>
                <w:sz w:val="20"/>
                <w:szCs w:val="20"/>
              </w:rPr>
              <w:t>.</w:t>
            </w:r>
            <w:r w:rsidRPr="00170EFF">
              <w:rPr>
                <w:color w:val="000000"/>
                <w:sz w:val="20"/>
              </w:rPr>
              <w:t xml:space="preserve"> Staff</w:t>
            </w:r>
          </w:p>
        </w:tc>
        <w:tc>
          <w:tcPr>
            <w:tcW w:w="1980" w:type="dxa"/>
            <w:tcBorders>
              <w:top w:val="nil"/>
              <w:left w:val="nil"/>
              <w:bottom w:val="single" w:sz="4" w:space="0" w:color="auto"/>
              <w:right w:val="single" w:sz="4" w:space="0" w:color="auto"/>
            </w:tcBorders>
            <w:shd w:val="clear" w:color="auto" w:fill="auto"/>
            <w:vAlign w:val="center"/>
            <w:hideMark/>
          </w:tcPr>
          <w:p w14:paraId="1BACA833" w14:textId="77777777" w:rsidR="001D462B" w:rsidRPr="00170EFF" w:rsidRDefault="001D462B" w:rsidP="00FF0EE8">
            <w:pPr>
              <w:autoSpaceDE/>
              <w:autoSpaceDN/>
              <w:adjustRightInd/>
              <w:spacing w:line="240" w:lineRule="auto"/>
              <w:rPr>
                <w:color w:val="000000"/>
                <w:sz w:val="20"/>
              </w:rPr>
            </w:pPr>
            <w:r w:rsidRPr="00170EFF">
              <w:rPr>
                <w:color w:val="000000"/>
                <w:sz w:val="20"/>
              </w:rPr>
              <w:t>Office and Administrative Support Occupations (430000)</w:t>
            </w:r>
          </w:p>
        </w:tc>
        <w:tc>
          <w:tcPr>
            <w:tcW w:w="1440" w:type="dxa"/>
            <w:tcBorders>
              <w:top w:val="nil"/>
              <w:left w:val="nil"/>
              <w:bottom w:val="single" w:sz="4" w:space="0" w:color="auto"/>
              <w:right w:val="single" w:sz="4" w:space="0" w:color="auto"/>
            </w:tcBorders>
            <w:shd w:val="clear" w:color="auto" w:fill="auto"/>
            <w:vAlign w:val="center"/>
            <w:hideMark/>
          </w:tcPr>
          <w:p w14:paraId="49BD621A"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$2</w:t>
            </w:r>
            <w:r w:rsidR="00D52613" w:rsidRPr="00170EFF">
              <w:rPr>
                <w:color w:val="000000"/>
                <w:sz w:val="20"/>
              </w:rPr>
              <w:t>7.57</w:t>
            </w:r>
          </w:p>
        </w:tc>
        <w:tc>
          <w:tcPr>
            <w:tcW w:w="1620" w:type="dxa"/>
            <w:tcBorders>
              <w:top w:val="nil"/>
              <w:left w:val="nil"/>
              <w:bottom w:val="single" w:sz="4" w:space="0" w:color="auto"/>
              <w:right w:val="single" w:sz="4" w:space="0" w:color="auto"/>
            </w:tcBorders>
            <w:shd w:val="clear" w:color="auto" w:fill="auto"/>
            <w:vAlign w:val="center"/>
            <w:hideMark/>
          </w:tcPr>
          <w:p w14:paraId="0169546B"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$1</w:t>
            </w:r>
            <w:r w:rsidR="00D52613" w:rsidRPr="00170EFF">
              <w:rPr>
                <w:color w:val="000000"/>
                <w:sz w:val="20"/>
              </w:rPr>
              <w:t>9.35</w:t>
            </w:r>
            <w:r w:rsidRPr="00170EFF">
              <w:rPr>
                <w:color w:val="000000"/>
                <w:sz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40D83F99"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$35.</w:t>
            </w:r>
            <w:r w:rsidR="00D52613" w:rsidRPr="00170EFF">
              <w:rPr>
                <w:color w:val="000000"/>
                <w:sz w:val="20"/>
              </w:rPr>
              <w:t>28</w:t>
            </w:r>
            <w:r w:rsidRPr="00170EFF">
              <w:rPr>
                <w:color w:val="000000"/>
                <w:sz w:val="20"/>
              </w:rPr>
              <w:t xml:space="preserve"> </w:t>
            </w:r>
          </w:p>
        </w:tc>
        <w:tc>
          <w:tcPr>
            <w:tcW w:w="2430" w:type="dxa"/>
            <w:tcBorders>
              <w:top w:val="nil"/>
              <w:left w:val="nil"/>
              <w:bottom w:val="single" w:sz="4" w:space="0" w:color="auto"/>
              <w:right w:val="single" w:sz="4" w:space="0" w:color="auto"/>
            </w:tcBorders>
            <w:vAlign w:val="center"/>
          </w:tcPr>
          <w:p w14:paraId="430CA94C" w14:textId="77777777" w:rsidR="001D462B" w:rsidRPr="00170EFF" w:rsidRDefault="00F32688" w:rsidP="00FF0EE8">
            <w:pPr>
              <w:autoSpaceDE/>
              <w:autoSpaceDN/>
              <w:adjustRightInd/>
              <w:spacing w:line="240" w:lineRule="auto"/>
              <w:jc w:val="center"/>
              <w:rPr>
                <w:color w:val="000000"/>
                <w:sz w:val="20"/>
              </w:rPr>
            </w:pPr>
            <w:hyperlink r:id="rId46" w:anchor="43-0000" w:history="1">
              <w:r w:rsidR="001D462B" w:rsidRPr="00170EFF">
                <w:rPr>
                  <w:rStyle w:val="Hyperlink"/>
                  <w:sz w:val="20"/>
                </w:rPr>
                <w:t>http://www.bls.gov/oes/current/naics4_221100.htm#43-0000</w:t>
              </w:r>
            </w:hyperlink>
            <w:r w:rsidR="001D462B" w:rsidRPr="00170EFF">
              <w:rPr>
                <w:color w:val="000000"/>
                <w:sz w:val="20"/>
              </w:rPr>
              <w:t xml:space="preserve"> </w:t>
            </w:r>
          </w:p>
        </w:tc>
      </w:tr>
      <w:tr w:rsidR="00602B86" w:rsidRPr="00D72F26" w14:paraId="0B45F49E" w14:textId="77777777" w:rsidTr="00D557C2">
        <w:trPr>
          <w:trHeight w:val="528"/>
          <w:jc w:val="center"/>
        </w:trPr>
        <w:tc>
          <w:tcPr>
            <w:tcW w:w="1165" w:type="dxa"/>
            <w:vMerge/>
            <w:tcBorders>
              <w:top w:val="nil"/>
              <w:left w:val="single" w:sz="4" w:space="0" w:color="auto"/>
              <w:bottom w:val="single" w:sz="4" w:space="0" w:color="000000"/>
              <w:right w:val="single" w:sz="4" w:space="0" w:color="auto"/>
            </w:tcBorders>
            <w:vAlign w:val="center"/>
            <w:hideMark/>
          </w:tcPr>
          <w:p w14:paraId="22C3AF87"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vAlign w:val="center"/>
            <w:hideMark/>
          </w:tcPr>
          <w:p w14:paraId="483185F0" w14:textId="77777777" w:rsidR="001D462B" w:rsidRPr="00170EFF" w:rsidRDefault="001D462B" w:rsidP="00FF0EE8">
            <w:pPr>
              <w:autoSpaceDE/>
              <w:autoSpaceDN/>
              <w:adjustRightInd/>
              <w:spacing w:line="240" w:lineRule="auto"/>
              <w:rPr>
                <w:color w:val="000000"/>
                <w:sz w:val="20"/>
              </w:rPr>
            </w:pPr>
            <w:r w:rsidRPr="00170EFF">
              <w:rPr>
                <w:color w:val="000000"/>
                <w:sz w:val="20"/>
              </w:rPr>
              <w:t>First-Line Supervisors of Office and Administrative Support Workers (431011)</w:t>
            </w:r>
          </w:p>
        </w:tc>
        <w:tc>
          <w:tcPr>
            <w:tcW w:w="1440" w:type="dxa"/>
            <w:tcBorders>
              <w:top w:val="nil"/>
              <w:left w:val="nil"/>
              <w:bottom w:val="single" w:sz="4" w:space="0" w:color="auto"/>
              <w:right w:val="single" w:sz="4" w:space="0" w:color="auto"/>
            </w:tcBorders>
            <w:shd w:val="clear" w:color="auto" w:fill="auto"/>
            <w:vAlign w:val="center"/>
            <w:hideMark/>
          </w:tcPr>
          <w:p w14:paraId="2EEC355C"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42.21</w:t>
            </w:r>
          </w:p>
        </w:tc>
        <w:tc>
          <w:tcPr>
            <w:tcW w:w="1620" w:type="dxa"/>
            <w:tcBorders>
              <w:top w:val="nil"/>
              <w:left w:val="nil"/>
              <w:bottom w:val="single" w:sz="4" w:space="0" w:color="auto"/>
              <w:right w:val="single" w:sz="4" w:space="0" w:color="auto"/>
            </w:tcBorders>
            <w:shd w:val="clear" w:color="auto" w:fill="auto"/>
            <w:vAlign w:val="center"/>
            <w:hideMark/>
          </w:tcPr>
          <w:p w14:paraId="36C7D6DA"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31.18</w:t>
            </w:r>
            <w:r w:rsidRPr="00170EFF">
              <w:rPr>
                <w:color w:val="000000"/>
                <w:sz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2B8A272A"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$5</w:t>
            </w:r>
            <w:r w:rsidR="00D52613" w:rsidRPr="00170EFF">
              <w:rPr>
                <w:color w:val="000000"/>
                <w:sz w:val="20"/>
              </w:rPr>
              <w:t>3.10</w:t>
            </w:r>
            <w:r w:rsidRPr="00170EFF">
              <w:rPr>
                <w:color w:val="000000"/>
                <w:sz w:val="20"/>
              </w:rPr>
              <w:t xml:space="preserve"> </w:t>
            </w:r>
          </w:p>
        </w:tc>
        <w:tc>
          <w:tcPr>
            <w:tcW w:w="2430" w:type="dxa"/>
            <w:tcBorders>
              <w:top w:val="nil"/>
              <w:left w:val="nil"/>
              <w:bottom w:val="single" w:sz="4" w:space="0" w:color="auto"/>
              <w:right w:val="single" w:sz="4" w:space="0" w:color="auto"/>
            </w:tcBorders>
            <w:vAlign w:val="center"/>
          </w:tcPr>
          <w:p w14:paraId="6E0D320C" w14:textId="77777777" w:rsidR="001D462B" w:rsidRPr="00170EFF" w:rsidRDefault="00F32688" w:rsidP="00FF0EE8">
            <w:pPr>
              <w:autoSpaceDE/>
              <w:autoSpaceDN/>
              <w:adjustRightInd/>
              <w:spacing w:line="240" w:lineRule="auto"/>
              <w:jc w:val="center"/>
              <w:rPr>
                <w:color w:val="000000"/>
                <w:sz w:val="20"/>
              </w:rPr>
            </w:pPr>
            <w:hyperlink r:id="rId47" w:history="1">
              <w:r w:rsidR="001D462B" w:rsidRPr="00170EFF">
                <w:rPr>
                  <w:rStyle w:val="Hyperlink"/>
                  <w:sz w:val="20"/>
                </w:rPr>
                <w:t>http://www.bls.gov/oes/current/oes431011.htm</w:t>
              </w:r>
            </w:hyperlink>
            <w:r w:rsidR="001D462B" w:rsidRPr="00170EFF">
              <w:rPr>
                <w:color w:val="000000"/>
                <w:sz w:val="20"/>
              </w:rPr>
              <w:t xml:space="preserve"> </w:t>
            </w:r>
          </w:p>
        </w:tc>
      </w:tr>
      <w:tr w:rsidR="00602B86" w:rsidRPr="00D72F26" w14:paraId="1143E73F" w14:textId="77777777" w:rsidTr="00D557C2">
        <w:trPr>
          <w:trHeight w:val="276"/>
          <w:jc w:val="center"/>
        </w:trPr>
        <w:tc>
          <w:tcPr>
            <w:tcW w:w="1165" w:type="dxa"/>
            <w:vMerge/>
            <w:tcBorders>
              <w:top w:val="nil"/>
              <w:left w:val="single" w:sz="4" w:space="0" w:color="auto"/>
              <w:bottom w:val="single" w:sz="4" w:space="0" w:color="000000"/>
              <w:right w:val="single" w:sz="4" w:space="0" w:color="auto"/>
            </w:tcBorders>
            <w:vAlign w:val="center"/>
            <w:hideMark/>
          </w:tcPr>
          <w:p w14:paraId="15C6076D"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vAlign w:val="center"/>
            <w:hideMark/>
          </w:tcPr>
          <w:p w14:paraId="691792A6" w14:textId="77777777" w:rsidR="001D462B" w:rsidRPr="00170EFF" w:rsidRDefault="001D462B" w:rsidP="00FF0EE8">
            <w:pPr>
              <w:autoSpaceDE/>
              <w:autoSpaceDN/>
              <w:adjustRightInd/>
              <w:spacing w:line="240" w:lineRule="auto"/>
              <w:rPr>
                <w:color w:val="000000"/>
                <w:sz w:val="20"/>
              </w:rPr>
            </w:pPr>
            <w:r w:rsidRPr="00170EFF">
              <w:rPr>
                <w:color w:val="000000"/>
                <w:sz w:val="20"/>
              </w:rPr>
              <w:t>Office Clerks</w:t>
            </w:r>
            <w:r w:rsidR="00D17FBF" w:rsidRPr="00D557C2">
              <w:rPr>
                <w:rFonts w:eastAsia="Times New Roman"/>
                <w:color w:val="000000"/>
                <w:sz w:val="20"/>
                <w:szCs w:val="20"/>
              </w:rPr>
              <w:t>,</w:t>
            </w:r>
            <w:r w:rsidRPr="00170EFF">
              <w:rPr>
                <w:color w:val="000000"/>
                <w:sz w:val="20"/>
              </w:rPr>
              <w:t xml:space="preserve"> General (439061)</w:t>
            </w:r>
          </w:p>
        </w:tc>
        <w:tc>
          <w:tcPr>
            <w:tcW w:w="1440" w:type="dxa"/>
            <w:tcBorders>
              <w:top w:val="nil"/>
              <w:left w:val="nil"/>
              <w:bottom w:val="single" w:sz="4" w:space="0" w:color="auto"/>
              <w:right w:val="single" w:sz="4" w:space="0" w:color="auto"/>
            </w:tcBorders>
            <w:shd w:val="clear" w:color="auto" w:fill="auto"/>
            <w:vAlign w:val="center"/>
            <w:hideMark/>
          </w:tcPr>
          <w:p w14:paraId="4861D108"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22.81</w:t>
            </w:r>
            <w:r w:rsidRPr="00170EFF">
              <w:rPr>
                <w:color w:val="000000"/>
                <w:sz w:val="20"/>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6B9CFADE"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$1</w:t>
            </w:r>
            <w:r w:rsidR="00D52613" w:rsidRPr="00170EFF">
              <w:rPr>
                <w:color w:val="000000"/>
                <w:sz w:val="20"/>
              </w:rPr>
              <w:t>6.12</w:t>
            </w:r>
            <w:r w:rsidRPr="00170EFF">
              <w:rPr>
                <w:color w:val="000000"/>
                <w:sz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0051041F"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$2</w:t>
            </w:r>
            <w:r w:rsidR="00D52613" w:rsidRPr="00170EFF">
              <w:rPr>
                <w:color w:val="000000"/>
                <w:sz w:val="20"/>
              </w:rPr>
              <w:t>8.50</w:t>
            </w:r>
            <w:r w:rsidRPr="00170EFF">
              <w:rPr>
                <w:color w:val="000000"/>
                <w:sz w:val="20"/>
              </w:rPr>
              <w:t xml:space="preserve"> </w:t>
            </w:r>
          </w:p>
        </w:tc>
        <w:tc>
          <w:tcPr>
            <w:tcW w:w="2430" w:type="dxa"/>
            <w:tcBorders>
              <w:top w:val="nil"/>
              <w:left w:val="nil"/>
              <w:bottom w:val="single" w:sz="4" w:space="0" w:color="auto"/>
              <w:right w:val="single" w:sz="4" w:space="0" w:color="auto"/>
            </w:tcBorders>
            <w:vAlign w:val="center"/>
          </w:tcPr>
          <w:p w14:paraId="3F17DB46" w14:textId="77777777" w:rsidR="001D462B" w:rsidRPr="00170EFF" w:rsidRDefault="00F32688" w:rsidP="00FF0EE8">
            <w:pPr>
              <w:autoSpaceDE/>
              <w:autoSpaceDN/>
              <w:adjustRightInd/>
              <w:spacing w:line="240" w:lineRule="auto"/>
              <w:jc w:val="center"/>
              <w:rPr>
                <w:color w:val="000000"/>
                <w:sz w:val="20"/>
              </w:rPr>
            </w:pPr>
            <w:hyperlink r:id="rId48" w:history="1">
              <w:r w:rsidR="001D462B" w:rsidRPr="00170EFF">
                <w:rPr>
                  <w:rStyle w:val="Hyperlink"/>
                  <w:sz w:val="20"/>
                </w:rPr>
                <w:t>http://www.bls.gov/oes/current/oes439061.htm</w:t>
              </w:r>
            </w:hyperlink>
            <w:r w:rsidR="001D462B" w:rsidRPr="00170EFF">
              <w:rPr>
                <w:color w:val="000000"/>
                <w:sz w:val="20"/>
              </w:rPr>
              <w:t xml:space="preserve"> </w:t>
            </w:r>
          </w:p>
        </w:tc>
      </w:tr>
      <w:tr w:rsidR="00602B86" w:rsidRPr="00657FBE" w14:paraId="14AEF077" w14:textId="77777777" w:rsidTr="00D557C2">
        <w:trPr>
          <w:trHeight w:val="276"/>
          <w:jc w:val="center"/>
        </w:trPr>
        <w:tc>
          <w:tcPr>
            <w:tcW w:w="1165" w:type="dxa"/>
            <w:vMerge/>
            <w:tcBorders>
              <w:top w:val="nil"/>
              <w:left w:val="single" w:sz="4" w:space="0" w:color="auto"/>
              <w:bottom w:val="single" w:sz="4" w:space="0" w:color="000000"/>
              <w:right w:val="single" w:sz="4" w:space="0" w:color="auto"/>
            </w:tcBorders>
            <w:vAlign w:val="center"/>
            <w:hideMark/>
          </w:tcPr>
          <w:p w14:paraId="750B2371"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noWrap/>
            <w:vAlign w:val="center"/>
            <w:hideMark/>
          </w:tcPr>
          <w:p w14:paraId="475B91CC" w14:textId="77777777" w:rsidR="001D462B" w:rsidRPr="00170EFF" w:rsidRDefault="001D462B" w:rsidP="00FF0EE8">
            <w:pPr>
              <w:autoSpaceDE/>
              <w:autoSpaceDN/>
              <w:adjustRightInd/>
              <w:spacing w:line="240" w:lineRule="auto"/>
              <w:jc w:val="right"/>
              <w:rPr>
                <w:b/>
                <w:i/>
                <w:color w:val="000000"/>
                <w:sz w:val="20"/>
              </w:rPr>
            </w:pPr>
            <w:r w:rsidRPr="00170EFF">
              <w:rPr>
                <w:b/>
                <w:i/>
                <w:color w:val="000000"/>
                <w:sz w:val="20"/>
              </w:rPr>
              <w:t>Average</w:t>
            </w:r>
          </w:p>
        </w:tc>
        <w:tc>
          <w:tcPr>
            <w:tcW w:w="1440" w:type="dxa"/>
            <w:tcBorders>
              <w:top w:val="nil"/>
              <w:left w:val="nil"/>
              <w:bottom w:val="single" w:sz="4" w:space="0" w:color="auto"/>
              <w:right w:val="single" w:sz="4" w:space="0" w:color="auto"/>
            </w:tcBorders>
            <w:shd w:val="clear" w:color="auto" w:fill="auto"/>
            <w:noWrap/>
            <w:vAlign w:val="center"/>
            <w:hideMark/>
          </w:tcPr>
          <w:p w14:paraId="1EF520BE"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w:t>
            </w:r>
            <w:r w:rsidR="00D52613" w:rsidRPr="00170EFF">
              <w:rPr>
                <w:b/>
                <w:i/>
                <w:color w:val="000000"/>
                <w:sz w:val="20"/>
              </w:rPr>
              <w:t>30.86</w:t>
            </w:r>
            <w:r w:rsidRPr="00170EFF">
              <w:rPr>
                <w:b/>
                <w:i/>
                <w:color w:val="000000"/>
                <w:sz w:val="20"/>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14:paraId="3CF5E680"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w:t>
            </w:r>
            <w:r w:rsidR="00D52613" w:rsidRPr="00170EFF">
              <w:rPr>
                <w:b/>
                <w:i/>
                <w:color w:val="000000"/>
                <w:sz w:val="20"/>
              </w:rPr>
              <w:t>22.22</w:t>
            </w:r>
          </w:p>
        </w:tc>
        <w:tc>
          <w:tcPr>
            <w:tcW w:w="1530" w:type="dxa"/>
            <w:tcBorders>
              <w:top w:val="nil"/>
              <w:left w:val="nil"/>
              <w:bottom w:val="single" w:sz="4" w:space="0" w:color="auto"/>
              <w:right w:val="single" w:sz="4" w:space="0" w:color="auto"/>
            </w:tcBorders>
            <w:shd w:val="clear" w:color="auto" w:fill="auto"/>
            <w:noWrap/>
            <w:vAlign w:val="center"/>
            <w:hideMark/>
          </w:tcPr>
          <w:p w14:paraId="40988F4C"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$38.</w:t>
            </w:r>
            <w:r w:rsidR="00D52613" w:rsidRPr="00170EFF">
              <w:rPr>
                <w:b/>
                <w:i/>
                <w:color w:val="000000"/>
                <w:sz w:val="20"/>
              </w:rPr>
              <w:t>96</w:t>
            </w:r>
            <w:r w:rsidRPr="00170EFF">
              <w:rPr>
                <w:b/>
                <w:i/>
                <w:color w:val="000000"/>
                <w:sz w:val="20"/>
              </w:rPr>
              <w:t xml:space="preserve"> </w:t>
            </w:r>
          </w:p>
        </w:tc>
        <w:tc>
          <w:tcPr>
            <w:tcW w:w="2430" w:type="dxa"/>
            <w:tcBorders>
              <w:top w:val="nil"/>
              <w:left w:val="nil"/>
              <w:bottom w:val="single" w:sz="4" w:space="0" w:color="auto"/>
              <w:right w:val="single" w:sz="4" w:space="0" w:color="auto"/>
            </w:tcBorders>
            <w:vAlign w:val="center"/>
          </w:tcPr>
          <w:p w14:paraId="37BE256F" w14:textId="77777777" w:rsidR="001D462B" w:rsidRPr="00170EFF" w:rsidRDefault="001D462B" w:rsidP="00FF0EE8">
            <w:pPr>
              <w:autoSpaceDE/>
              <w:autoSpaceDN/>
              <w:adjustRightInd/>
              <w:spacing w:line="240" w:lineRule="auto"/>
              <w:jc w:val="center"/>
              <w:rPr>
                <w:b/>
                <w:i/>
                <w:color w:val="000000"/>
                <w:sz w:val="20"/>
              </w:rPr>
            </w:pPr>
          </w:p>
        </w:tc>
      </w:tr>
      <w:tr w:rsidR="00602B86" w:rsidRPr="00D72F26" w14:paraId="3D2B5078" w14:textId="77777777" w:rsidTr="00D557C2">
        <w:trPr>
          <w:trHeight w:val="276"/>
          <w:jc w:val="center"/>
        </w:trPr>
        <w:tc>
          <w:tcPr>
            <w:tcW w:w="1165" w:type="dxa"/>
            <w:vMerge w:val="restart"/>
            <w:tcBorders>
              <w:top w:val="nil"/>
              <w:left w:val="single" w:sz="4" w:space="0" w:color="auto"/>
              <w:right w:val="single" w:sz="4" w:space="0" w:color="auto"/>
            </w:tcBorders>
            <w:shd w:val="clear" w:color="auto" w:fill="auto"/>
            <w:noWrap/>
            <w:vAlign w:val="center"/>
            <w:hideMark/>
          </w:tcPr>
          <w:p w14:paraId="164BB03E"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Licensing Staff </w:t>
            </w:r>
          </w:p>
        </w:tc>
        <w:tc>
          <w:tcPr>
            <w:tcW w:w="1980" w:type="dxa"/>
            <w:tcBorders>
              <w:top w:val="nil"/>
              <w:left w:val="nil"/>
              <w:bottom w:val="single" w:sz="4" w:space="0" w:color="auto"/>
              <w:right w:val="single" w:sz="4" w:space="0" w:color="auto"/>
            </w:tcBorders>
            <w:shd w:val="clear" w:color="auto" w:fill="auto"/>
            <w:vAlign w:val="center"/>
            <w:hideMark/>
          </w:tcPr>
          <w:p w14:paraId="70B4F809" w14:textId="77777777" w:rsidR="001D462B" w:rsidRPr="00170EFF" w:rsidRDefault="001D462B" w:rsidP="00FF0EE8">
            <w:pPr>
              <w:autoSpaceDE/>
              <w:autoSpaceDN/>
              <w:adjustRightInd/>
              <w:spacing w:line="240" w:lineRule="auto"/>
              <w:rPr>
                <w:color w:val="000000"/>
                <w:sz w:val="20"/>
              </w:rPr>
            </w:pPr>
            <w:r w:rsidRPr="00170EFF">
              <w:rPr>
                <w:color w:val="000000"/>
                <w:sz w:val="20"/>
              </w:rPr>
              <w:t>Paralegals and Legal Assistants (232011)</w:t>
            </w:r>
          </w:p>
        </w:tc>
        <w:tc>
          <w:tcPr>
            <w:tcW w:w="1440" w:type="dxa"/>
            <w:tcBorders>
              <w:top w:val="nil"/>
              <w:left w:val="nil"/>
              <w:bottom w:val="single" w:sz="4" w:space="0" w:color="auto"/>
              <w:right w:val="single" w:sz="4" w:space="0" w:color="auto"/>
            </w:tcBorders>
            <w:shd w:val="clear" w:color="auto" w:fill="auto"/>
            <w:vAlign w:val="center"/>
            <w:hideMark/>
          </w:tcPr>
          <w:p w14:paraId="699C7657"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30.9</w:t>
            </w:r>
            <w:r w:rsidRPr="00170EFF">
              <w:rPr>
                <w:color w:val="000000"/>
                <w:sz w:val="20"/>
              </w:rPr>
              <w:t xml:space="preserve">5 </w:t>
            </w:r>
          </w:p>
        </w:tc>
        <w:tc>
          <w:tcPr>
            <w:tcW w:w="1620" w:type="dxa"/>
            <w:tcBorders>
              <w:top w:val="nil"/>
              <w:left w:val="nil"/>
              <w:bottom w:val="single" w:sz="4" w:space="0" w:color="auto"/>
              <w:right w:val="single" w:sz="4" w:space="0" w:color="auto"/>
            </w:tcBorders>
            <w:shd w:val="clear" w:color="auto" w:fill="auto"/>
            <w:vAlign w:val="center"/>
            <w:hideMark/>
          </w:tcPr>
          <w:p w14:paraId="3274D839"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$2</w:t>
            </w:r>
            <w:r w:rsidR="00D52613" w:rsidRPr="00170EFF">
              <w:rPr>
                <w:color w:val="000000"/>
                <w:sz w:val="20"/>
              </w:rPr>
              <w:t>6.55</w:t>
            </w:r>
            <w:r w:rsidRPr="00170EFF">
              <w:rPr>
                <w:color w:val="000000"/>
                <w:sz w:val="20"/>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4797DCC5"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35.61</w:t>
            </w:r>
            <w:r w:rsidRPr="00170EFF">
              <w:rPr>
                <w:color w:val="000000"/>
                <w:sz w:val="20"/>
              </w:rPr>
              <w:t xml:space="preserve"> </w:t>
            </w:r>
          </w:p>
        </w:tc>
        <w:tc>
          <w:tcPr>
            <w:tcW w:w="2430" w:type="dxa"/>
            <w:tcBorders>
              <w:top w:val="nil"/>
              <w:left w:val="nil"/>
              <w:bottom w:val="single" w:sz="4" w:space="0" w:color="auto"/>
              <w:right w:val="single" w:sz="4" w:space="0" w:color="auto"/>
            </w:tcBorders>
            <w:vAlign w:val="center"/>
          </w:tcPr>
          <w:p w14:paraId="27FD5825" w14:textId="77777777" w:rsidR="001D462B" w:rsidRPr="00170EFF" w:rsidRDefault="00F32688" w:rsidP="00FF0EE8">
            <w:pPr>
              <w:autoSpaceDE/>
              <w:autoSpaceDN/>
              <w:adjustRightInd/>
              <w:spacing w:line="240" w:lineRule="auto"/>
              <w:jc w:val="center"/>
              <w:rPr>
                <w:color w:val="000000"/>
                <w:sz w:val="20"/>
              </w:rPr>
            </w:pPr>
            <w:hyperlink r:id="rId49" w:history="1">
              <w:r w:rsidR="001D462B" w:rsidRPr="00170EFF">
                <w:rPr>
                  <w:rStyle w:val="Hyperlink"/>
                  <w:sz w:val="20"/>
                </w:rPr>
                <w:t>http://www.bls.gov/oes/current/oes232011.htm</w:t>
              </w:r>
            </w:hyperlink>
            <w:r w:rsidR="001D462B" w:rsidRPr="00170EFF">
              <w:rPr>
                <w:color w:val="000000"/>
                <w:sz w:val="20"/>
              </w:rPr>
              <w:t xml:space="preserve"> </w:t>
            </w:r>
          </w:p>
        </w:tc>
      </w:tr>
      <w:tr w:rsidR="00602B86" w:rsidRPr="00D72F26" w14:paraId="48CF8A76" w14:textId="77777777" w:rsidTr="00D557C2">
        <w:trPr>
          <w:trHeight w:val="332"/>
          <w:jc w:val="center"/>
        </w:trPr>
        <w:tc>
          <w:tcPr>
            <w:tcW w:w="1165" w:type="dxa"/>
            <w:vMerge/>
            <w:tcBorders>
              <w:left w:val="single" w:sz="4" w:space="0" w:color="auto"/>
              <w:right w:val="single" w:sz="4" w:space="0" w:color="auto"/>
            </w:tcBorders>
            <w:vAlign w:val="center"/>
            <w:hideMark/>
          </w:tcPr>
          <w:p w14:paraId="41BADAF1" w14:textId="77777777" w:rsidR="001D462B" w:rsidRPr="00170EFF" w:rsidRDefault="001D462B" w:rsidP="00FF0EE8">
            <w:pPr>
              <w:spacing w:line="240" w:lineRule="auto"/>
              <w:rPr>
                <w:color w:val="000000"/>
                <w:sz w:val="20"/>
              </w:rPr>
            </w:pPr>
          </w:p>
        </w:tc>
        <w:tc>
          <w:tcPr>
            <w:tcW w:w="1980" w:type="dxa"/>
            <w:tcBorders>
              <w:top w:val="nil"/>
              <w:left w:val="nil"/>
              <w:bottom w:val="single" w:sz="4" w:space="0" w:color="auto"/>
              <w:right w:val="single" w:sz="4" w:space="0" w:color="auto"/>
            </w:tcBorders>
            <w:shd w:val="clear" w:color="auto" w:fill="auto"/>
            <w:vAlign w:val="center"/>
            <w:hideMark/>
          </w:tcPr>
          <w:p w14:paraId="386E371A" w14:textId="77777777" w:rsidR="001D462B" w:rsidRPr="00170EFF" w:rsidRDefault="001D462B" w:rsidP="00FF0EE8">
            <w:pPr>
              <w:autoSpaceDE/>
              <w:autoSpaceDN/>
              <w:adjustRightInd/>
              <w:spacing w:line="240" w:lineRule="auto"/>
              <w:rPr>
                <w:color w:val="000000"/>
                <w:sz w:val="20"/>
              </w:rPr>
            </w:pPr>
            <w:r w:rsidRPr="00170EFF">
              <w:rPr>
                <w:color w:val="000000"/>
                <w:sz w:val="20"/>
              </w:rPr>
              <w:t>Lawyers (231011)</w:t>
            </w:r>
          </w:p>
        </w:tc>
        <w:tc>
          <w:tcPr>
            <w:tcW w:w="1440" w:type="dxa"/>
            <w:tcBorders>
              <w:top w:val="nil"/>
              <w:left w:val="nil"/>
              <w:bottom w:val="single" w:sz="4" w:space="0" w:color="auto"/>
              <w:right w:val="single" w:sz="4" w:space="0" w:color="auto"/>
            </w:tcBorders>
            <w:shd w:val="clear" w:color="auto" w:fill="auto"/>
            <w:vAlign w:val="center"/>
            <w:hideMark/>
          </w:tcPr>
          <w:p w14:paraId="7744BB55"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$73.</w:t>
            </w:r>
            <w:r w:rsidR="00D52613" w:rsidRPr="00170EFF">
              <w:rPr>
                <w:color w:val="000000"/>
                <w:sz w:val="20"/>
              </w:rPr>
              <w:t>3</w:t>
            </w:r>
            <w:r w:rsidRPr="00170EFF">
              <w:rPr>
                <w:color w:val="000000"/>
                <w:sz w:val="20"/>
              </w:rPr>
              <w:t xml:space="preserve">3 </w:t>
            </w:r>
          </w:p>
        </w:tc>
        <w:tc>
          <w:tcPr>
            <w:tcW w:w="1620" w:type="dxa"/>
            <w:tcBorders>
              <w:top w:val="nil"/>
              <w:left w:val="nil"/>
              <w:bottom w:val="single" w:sz="4" w:space="0" w:color="auto"/>
              <w:right w:val="single" w:sz="4" w:space="0" w:color="auto"/>
            </w:tcBorders>
            <w:shd w:val="clear" w:color="auto" w:fill="auto"/>
            <w:vAlign w:val="center"/>
            <w:hideMark/>
          </w:tcPr>
          <w:p w14:paraId="22D39262"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$4</w:t>
            </w:r>
            <w:r w:rsidR="00D52613" w:rsidRPr="00170EFF">
              <w:rPr>
                <w:color w:val="000000"/>
                <w:sz w:val="20"/>
              </w:rPr>
              <w:t>8.82</w:t>
            </w:r>
          </w:p>
        </w:tc>
        <w:tc>
          <w:tcPr>
            <w:tcW w:w="1530" w:type="dxa"/>
            <w:tcBorders>
              <w:top w:val="nil"/>
              <w:left w:val="nil"/>
              <w:bottom w:val="single" w:sz="4" w:space="0" w:color="auto"/>
              <w:right w:val="single" w:sz="4" w:space="0" w:color="auto"/>
            </w:tcBorders>
            <w:shd w:val="clear" w:color="auto" w:fill="auto"/>
            <w:vAlign w:val="center"/>
            <w:hideMark/>
          </w:tcPr>
          <w:p w14:paraId="29A37FA9"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w:t>
            </w:r>
            <w:r w:rsidR="00D52613" w:rsidRPr="00170EFF">
              <w:rPr>
                <w:color w:val="000000"/>
                <w:sz w:val="20"/>
              </w:rPr>
              <w:t>88.00</w:t>
            </w:r>
          </w:p>
        </w:tc>
        <w:tc>
          <w:tcPr>
            <w:tcW w:w="2430" w:type="dxa"/>
            <w:tcBorders>
              <w:top w:val="nil"/>
              <w:left w:val="nil"/>
              <w:bottom w:val="single" w:sz="4" w:space="0" w:color="auto"/>
              <w:right w:val="single" w:sz="4" w:space="0" w:color="auto"/>
            </w:tcBorders>
            <w:vAlign w:val="center"/>
          </w:tcPr>
          <w:p w14:paraId="006549DE" w14:textId="77777777" w:rsidR="001D462B" w:rsidRPr="00170EFF" w:rsidRDefault="00F32688" w:rsidP="00FF0EE8">
            <w:pPr>
              <w:autoSpaceDE/>
              <w:autoSpaceDN/>
              <w:adjustRightInd/>
              <w:spacing w:line="240" w:lineRule="auto"/>
              <w:jc w:val="center"/>
              <w:rPr>
                <w:color w:val="000000"/>
                <w:sz w:val="20"/>
              </w:rPr>
            </w:pPr>
            <w:hyperlink r:id="rId50" w:history="1">
              <w:r w:rsidR="001D462B" w:rsidRPr="00170EFF">
                <w:rPr>
                  <w:rStyle w:val="Hyperlink"/>
                  <w:sz w:val="20"/>
                </w:rPr>
                <w:t>http://www.bls.gov/oes/current/oes231011.htm</w:t>
              </w:r>
            </w:hyperlink>
            <w:r w:rsidR="001D462B" w:rsidRPr="00170EFF">
              <w:rPr>
                <w:color w:val="000000"/>
                <w:sz w:val="20"/>
              </w:rPr>
              <w:t xml:space="preserve"> </w:t>
            </w:r>
          </w:p>
        </w:tc>
      </w:tr>
      <w:tr w:rsidR="00602B86" w:rsidRPr="00657FBE" w14:paraId="082ABB62" w14:textId="77777777" w:rsidTr="00D557C2">
        <w:trPr>
          <w:trHeight w:val="276"/>
          <w:jc w:val="center"/>
        </w:trPr>
        <w:tc>
          <w:tcPr>
            <w:tcW w:w="1165" w:type="dxa"/>
            <w:vMerge/>
            <w:tcBorders>
              <w:left w:val="single" w:sz="4" w:space="0" w:color="auto"/>
              <w:bottom w:val="single" w:sz="4" w:space="0" w:color="000000"/>
              <w:right w:val="single" w:sz="4" w:space="0" w:color="auto"/>
            </w:tcBorders>
            <w:shd w:val="clear" w:color="auto" w:fill="auto"/>
            <w:noWrap/>
            <w:vAlign w:val="center"/>
            <w:hideMark/>
          </w:tcPr>
          <w:p w14:paraId="5CFFAF47"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000000"/>
              <w:right w:val="single" w:sz="4" w:space="0" w:color="auto"/>
            </w:tcBorders>
            <w:shd w:val="clear" w:color="auto" w:fill="auto"/>
            <w:noWrap/>
            <w:vAlign w:val="center"/>
            <w:hideMark/>
          </w:tcPr>
          <w:p w14:paraId="57F419EC" w14:textId="77777777" w:rsidR="001D462B" w:rsidRPr="00170EFF" w:rsidRDefault="001D462B" w:rsidP="00FF0EE8">
            <w:pPr>
              <w:autoSpaceDE/>
              <w:autoSpaceDN/>
              <w:adjustRightInd/>
              <w:spacing w:line="240" w:lineRule="auto"/>
              <w:jc w:val="right"/>
              <w:rPr>
                <w:b/>
                <w:i/>
                <w:color w:val="000000"/>
                <w:sz w:val="20"/>
              </w:rPr>
            </w:pPr>
            <w:r w:rsidRPr="00170EFF">
              <w:rPr>
                <w:b/>
                <w:i/>
                <w:color w:val="000000"/>
                <w:sz w:val="20"/>
              </w:rPr>
              <w:t>Average</w:t>
            </w:r>
          </w:p>
        </w:tc>
        <w:tc>
          <w:tcPr>
            <w:tcW w:w="1440" w:type="dxa"/>
            <w:tcBorders>
              <w:top w:val="nil"/>
              <w:left w:val="nil"/>
              <w:bottom w:val="single" w:sz="4" w:space="0" w:color="000000"/>
              <w:right w:val="single" w:sz="4" w:space="0" w:color="auto"/>
            </w:tcBorders>
            <w:shd w:val="clear" w:color="auto" w:fill="auto"/>
            <w:noWrap/>
            <w:vAlign w:val="center"/>
            <w:hideMark/>
          </w:tcPr>
          <w:p w14:paraId="4A93587D"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$5</w:t>
            </w:r>
            <w:r w:rsidR="00D27ABC" w:rsidRPr="00170EFF">
              <w:rPr>
                <w:b/>
                <w:i/>
                <w:color w:val="000000"/>
                <w:sz w:val="20"/>
              </w:rPr>
              <w:t>2.1</w:t>
            </w:r>
            <w:r w:rsidRPr="00170EFF">
              <w:rPr>
                <w:b/>
                <w:i/>
                <w:color w:val="000000"/>
                <w:sz w:val="20"/>
              </w:rPr>
              <w:t xml:space="preserve">4 </w:t>
            </w:r>
          </w:p>
        </w:tc>
        <w:tc>
          <w:tcPr>
            <w:tcW w:w="1620" w:type="dxa"/>
            <w:tcBorders>
              <w:top w:val="nil"/>
              <w:left w:val="nil"/>
              <w:bottom w:val="single" w:sz="4" w:space="0" w:color="000000"/>
              <w:right w:val="single" w:sz="4" w:space="0" w:color="auto"/>
            </w:tcBorders>
            <w:shd w:val="clear" w:color="auto" w:fill="auto"/>
            <w:noWrap/>
            <w:vAlign w:val="center"/>
            <w:hideMark/>
          </w:tcPr>
          <w:p w14:paraId="11B68084"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$3</w:t>
            </w:r>
            <w:r w:rsidR="00D27ABC" w:rsidRPr="00170EFF">
              <w:rPr>
                <w:b/>
                <w:i/>
                <w:color w:val="000000"/>
                <w:sz w:val="20"/>
              </w:rPr>
              <w:t>7.69</w:t>
            </w:r>
          </w:p>
        </w:tc>
        <w:tc>
          <w:tcPr>
            <w:tcW w:w="1530" w:type="dxa"/>
            <w:tcBorders>
              <w:top w:val="nil"/>
              <w:left w:val="nil"/>
              <w:bottom w:val="single" w:sz="4" w:space="0" w:color="000000"/>
              <w:right w:val="single" w:sz="4" w:space="0" w:color="auto"/>
            </w:tcBorders>
            <w:shd w:val="clear" w:color="auto" w:fill="auto"/>
            <w:noWrap/>
            <w:vAlign w:val="center"/>
            <w:hideMark/>
          </w:tcPr>
          <w:p w14:paraId="216CF7E9" w14:textId="77777777" w:rsidR="001D462B" w:rsidRPr="00170EFF" w:rsidRDefault="001D462B" w:rsidP="00FF0EE8">
            <w:pPr>
              <w:autoSpaceDE/>
              <w:autoSpaceDN/>
              <w:adjustRightInd/>
              <w:spacing w:line="240" w:lineRule="auto"/>
              <w:jc w:val="center"/>
              <w:rPr>
                <w:b/>
                <w:i/>
                <w:color w:val="000000"/>
                <w:sz w:val="20"/>
              </w:rPr>
            </w:pPr>
            <w:r w:rsidRPr="00170EFF">
              <w:rPr>
                <w:b/>
                <w:i/>
                <w:color w:val="000000"/>
                <w:sz w:val="20"/>
              </w:rPr>
              <w:t>$</w:t>
            </w:r>
            <w:r w:rsidR="00D27ABC" w:rsidRPr="00170EFF">
              <w:rPr>
                <w:b/>
                <w:i/>
                <w:color w:val="000000"/>
                <w:sz w:val="20"/>
              </w:rPr>
              <w:t>61.80</w:t>
            </w:r>
          </w:p>
        </w:tc>
        <w:tc>
          <w:tcPr>
            <w:tcW w:w="2430" w:type="dxa"/>
            <w:tcBorders>
              <w:top w:val="nil"/>
              <w:left w:val="nil"/>
              <w:bottom w:val="single" w:sz="4" w:space="0" w:color="000000"/>
              <w:right w:val="single" w:sz="4" w:space="0" w:color="auto"/>
            </w:tcBorders>
            <w:vAlign w:val="center"/>
          </w:tcPr>
          <w:p w14:paraId="6C6F62B5" w14:textId="77777777" w:rsidR="001D462B" w:rsidRPr="00170EFF" w:rsidRDefault="001D462B" w:rsidP="00FF0EE8">
            <w:pPr>
              <w:autoSpaceDE/>
              <w:autoSpaceDN/>
              <w:adjustRightInd/>
              <w:spacing w:line="240" w:lineRule="auto"/>
              <w:jc w:val="center"/>
              <w:rPr>
                <w:b/>
                <w:i/>
                <w:color w:val="000000"/>
                <w:sz w:val="20"/>
              </w:rPr>
            </w:pPr>
          </w:p>
        </w:tc>
      </w:tr>
      <w:tr w:rsidR="00602B86" w:rsidRPr="00657FBE" w14:paraId="5CBCA89F" w14:textId="77777777" w:rsidTr="00D557C2">
        <w:trPr>
          <w:trHeight w:val="276"/>
          <w:jc w:val="center"/>
        </w:trPr>
        <w:tc>
          <w:tcPr>
            <w:tcW w:w="1165" w:type="dxa"/>
            <w:tcBorders>
              <w:left w:val="single" w:sz="4" w:space="0" w:color="auto"/>
              <w:bottom w:val="single" w:sz="4" w:space="0" w:color="000000"/>
              <w:right w:val="single" w:sz="4" w:space="0" w:color="auto"/>
            </w:tcBorders>
            <w:shd w:val="clear" w:color="auto" w:fill="auto"/>
            <w:noWrap/>
            <w:vAlign w:val="center"/>
          </w:tcPr>
          <w:p w14:paraId="6A635B5E" w14:textId="77777777" w:rsidR="00D27ABC" w:rsidRPr="00170EFF" w:rsidRDefault="00D27ABC" w:rsidP="00FF0EE8">
            <w:pPr>
              <w:autoSpaceDE/>
              <w:autoSpaceDN/>
              <w:adjustRightInd/>
              <w:spacing w:line="240" w:lineRule="auto"/>
              <w:jc w:val="center"/>
              <w:rPr>
                <w:color w:val="000000"/>
                <w:sz w:val="20"/>
              </w:rPr>
            </w:pPr>
            <w:r w:rsidRPr="00170EFF">
              <w:rPr>
                <w:color w:val="000000"/>
                <w:sz w:val="20"/>
              </w:rPr>
              <w:t>Physicist</w:t>
            </w:r>
          </w:p>
        </w:tc>
        <w:tc>
          <w:tcPr>
            <w:tcW w:w="1980" w:type="dxa"/>
            <w:tcBorders>
              <w:top w:val="nil"/>
              <w:left w:val="nil"/>
              <w:bottom w:val="single" w:sz="4" w:space="0" w:color="000000"/>
              <w:right w:val="single" w:sz="4" w:space="0" w:color="auto"/>
            </w:tcBorders>
            <w:shd w:val="clear" w:color="auto" w:fill="auto"/>
            <w:noWrap/>
            <w:vAlign w:val="center"/>
          </w:tcPr>
          <w:p w14:paraId="00B50AE8" w14:textId="77777777" w:rsidR="00D27ABC" w:rsidRPr="00170EFF" w:rsidRDefault="00D27ABC" w:rsidP="00FF0EE8">
            <w:pPr>
              <w:autoSpaceDE/>
              <w:autoSpaceDN/>
              <w:adjustRightInd/>
              <w:spacing w:line="240" w:lineRule="auto"/>
              <w:rPr>
                <w:color w:val="000000"/>
                <w:sz w:val="20"/>
              </w:rPr>
            </w:pPr>
            <w:r w:rsidRPr="00170EFF">
              <w:rPr>
                <w:color w:val="000000"/>
                <w:sz w:val="20"/>
              </w:rPr>
              <w:t>Physicists (192012)</w:t>
            </w:r>
          </w:p>
        </w:tc>
        <w:tc>
          <w:tcPr>
            <w:tcW w:w="1440" w:type="dxa"/>
            <w:tcBorders>
              <w:top w:val="nil"/>
              <w:left w:val="nil"/>
              <w:bottom w:val="single" w:sz="4" w:space="0" w:color="000000"/>
              <w:right w:val="single" w:sz="4" w:space="0" w:color="auto"/>
            </w:tcBorders>
            <w:shd w:val="clear" w:color="auto" w:fill="auto"/>
            <w:noWrap/>
            <w:vAlign w:val="center"/>
          </w:tcPr>
          <w:p w14:paraId="3C700D05" w14:textId="77777777" w:rsidR="00D27ABC" w:rsidRPr="00170EFF" w:rsidRDefault="00D27ABC" w:rsidP="00FF0EE8">
            <w:pPr>
              <w:autoSpaceDE/>
              <w:autoSpaceDN/>
              <w:adjustRightInd/>
              <w:spacing w:line="240" w:lineRule="auto"/>
              <w:jc w:val="center"/>
              <w:rPr>
                <w:color w:val="000000"/>
                <w:sz w:val="20"/>
              </w:rPr>
            </w:pPr>
            <w:r w:rsidRPr="00170EFF">
              <w:rPr>
                <w:color w:val="000000"/>
                <w:sz w:val="20"/>
              </w:rPr>
              <w:t>$39.40</w:t>
            </w:r>
          </w:p>
        </w:tc>
        <w:tc>
          <w:tcPr>
            <w:tcW w:w="1620" w:type="dxa"/>
            <w:tcBorders>
              <w:top w:val="nil"/>
              <w:left w:val="nil"/>
              <w:bottom w:val="single" w:sz="4" w:space="0" w:color="000000"/>
              <w:right w:val="single" w:sz="4" w:space="0" w:color="auto"/>
            </w:tcBorders>
            <w:shd w:val="clear" w:color="auto" w:fill="auto"/>
            <w:noWrap/>
            <w:vAlign w:val="center"/>
          </w:tcPr>
          <w:p w14:paraId="31B04F23" w14:textId="77777777" w:rsidR="00D27ABC" w:rsidRPr="00170EFF" w:rsidRDefault="00D27ABC" w:rsidP="00FF0EE8">
            <w:pPr>
              <w:autoSpaceDE/>
              <w:autoSpaceDN/>
              <w:adjustRightInd/>
              <w:spacing w:line="240" w:lineRule="auto"/>
              <w:jc w:val="center"/>
              <w:rPr>
                <w:color w:val="000000"/>
                <w:sz w:val="20"/>
              </w:rPr>
            </w:pPr>
            <w:r w:rsidRPr="00170EFF">
              <w:rPr>
                <w:color w:val="000000"/>
                <w:sz w:val="20"/>
              </w:rPr>
              <w:t>$29.16</w:t>
            </w:r>
          </w:p>
        </w:tc>
        <w:tc>
          <w:tcPr>
            <w:tcW w:w="1530" w:type="dxa"/>
            <w:tcBorders>
              <w:top w:val="nil"/>
              <w:left w:val="nil"/>
              <w:bottom w:val="single" w:sz="4" w:space="0" w:color="000000"/>
              <w:right w:val="single" w:sz="4" w:space="0" w:color="auto"/>
            </w:tcBorders>
            <w:shd w:val="clear" w:color="auto" w:fill="auto"/>
            <w:noWrap/>
            <w:vAlign w:val="center"/>
          </w:tcPr>
          <w:p w14:paraId="53D8BA3F" w14:textId="77777777" w:rsidR="00D27ABC" w:rsidRPr="00170EFF" w:rsidRDefault="00D27ABC" w:rsidP="00FF0EE8">
            <w:pPr>
              <w:autoSpaceDE/>
              <w:autoSpaceDN/>
              <w:adjustRightInd/>
              <w:spacing w:line="240" w:lineRule="auto"/>
              <w:jc w:val="center"/>
              <w:rPr>
                <w:color w:val="000000"/>
                <w:sz w:val="20"/>
              </w:rPr>
            </w:pPr>
            <w:r w:rsidRPr="00170EFF">
              <w:rPr>
                <w:color w:val="000000"/>
                <w:sz w:val="20"/>
              </w:rPr>
              <w:t>$46.77</w:t>
            </w:r>
          </w:p>
        </w:tc>
        <w:tc>
          <w:tcPr>
            <w:tcW w:w="2430" w:type="dxa"/>
            <w:tcBorders>
              <w:top w:val="nil"/>
              <w:left w:val="nil"/>
              <w:bottom w:val="single" w:sz="4" w:space="0" w:color="000000"/>
              <w:right w:val="single" w:sz="4" w:space="0" w:color="auto"/>
            </w:tcBorders>
            <w:vAlign w:val="center"/>
          </w:tcPr>
          <w:p w14:paraId="3C6DD622" w14:textId="77777777" w:rsidR="00D27ABC" w:rsidRPr="00170EFF" w:rsidRDefault="00F32688" w:rsidP="00FF0EE8">
            <w:pPr>
              <w:autoSpaceDE/>
              <w:autoSpaceDN/>
              <w:adjustRightInd/>
              <w:spacing w:line="240" w:lineRule="auto"/>
              <w:jc w:val="center"/>
              <w:rPr>
                <w:b/>
                <w:i/>
                <w:color w:val="000000"/>
                <w:sz w:val="20"/>
              </w:rPr>
            </w:pPr>
            <w:hyperlink r:id="rId51" w:history="1">
              <w:r w:rsidR="00D27ABC" w:rsidRPr="00170EFF">
                <w:rPr>
                  <w:rStyle w:val="Hyperlink"/>
                  <w:sz w:val="20"/>
                </w:rPr>
                <w:t>http://www.bls.gov/oes/current/oes192012.htm</w:t>
              </w:r>
            </w:hyperlink>
          </w:p>
        </w:tc>
      </w:tr>
      <w:tr w:rsidR="00602B86" w:rsidRPr="00657FBE" w14:paraId="041A8732" w14:textId="77777777" w:rsidTr="00D557C2">
        <w:trPr>
          <w:trHeight w:val="276"/>
          <w:jc w:val="center"/>
        </w:trPr>
        <w:tc>
          <w:tcPr>
            <w:tcW w:w="1165" w:type="dxa"/>
            <w:vMerge w:val="restart"/>
            <w:tcBorders>
              <w:left w:val="single" w:sz="4" w:space="0" w:color="auto"/>
              <w:right w:val="single" w:sz="4" w:space="0" w:color="auto"/>
            </w:tcBorders>
            <w:shd w:val="clear" w:color="auto" w:fill="auto"/>
            <w:noWrap/>
            <w:vAlign w:val="center"/>
          </w:tcPr>
          <w:p w14:paraId="4C9DC689" w14:textId="77777777" w:rsidR="001D462B" w:rsidRPr="00170EFF" w:rsidRDefault="001D462B" w:rsidP="00FF0EE8">
            <w:pPr>
              <w:autoSpaceDE/>
              <w:autoSpaceDN/>
              <w:adjustRightInd/>
              <w:spacing w:line="240" w:lineRule="auto"/>
              <w:jc w:val="center"/>
              <w:rPr>
                <w:color w:val="000000"/>
                <w:sz w:val="20"/>
              </w:rPr>
            </w:pPr>
            <w:r w:rsidRPr="00170EFF">
              <w:rPr>
                <w:color w:val="000000"/>
                <w:sz w:val="20"/>
              </w:rPr>
              <w:t>Total</w:t>
            </w:r>
          </w:p>
        </w:tc>
        <w:tc>
          <w:tcPr>
            <w:tcW w:w="1980" w:type="dxa"/>
            <w:tcBorders>
              <w:top w:val="nil"/>
              <w:left w:val="nil"/>
              <w:bottom w:val="single" w:sz="4" w:space="0" w:color="000000"/>
              <w:right w:val="single" w:sz="4" w:space="0" w:color="auto"/>
            </w:tcBorders>
            <w:shd w:val="clear" w:color="auto" w:fill="auto"/>
            <w:noWrap/>
            <w:vAlign w:val="center"/>
          </w:tcPr>
          <w:p w14:paraId="5BD64963" w14:textId="77777777" w:rsidR="001D462B" w:rsidRPr="00170EFF" w:rsidRDefault="001D462B" w:rsidP="00FF0EE8">
            <w:pPr>
              <w:autoSpaceDE/>
              <w:autoSpaceDN/>
              <w:adjustRightInd/>
              <w:spacing w:line="240" w:lineRule="auto"/>
              <w:jc w:val="right"/>
              <w:rPr>
                <w:b/>
                <w:i/>
                <w:color w:val="000000"/>
                <w:sz w:val="20"/>
              </w:rPr>
            </w:pPr>
            <w:r w:rsidRPr="00170EFF">
              <w:rPr>
                <w:b/>
                <w:i/>
                <w:color w:val="000000"/>
                <w:sz w:val="20"/>
              </w:rPr>
              <w:t>Average</w:t>
            </w:r>
          </w:p>
        </w:tc>
        <w:tc>
          <w:tcPr>
            <w:tcW w:w="1440" w:type="dxa"/>
            <w:tcBorders>
              <w:top w:val="nil"/>
              <w:left w:val="nil"/>
              <w:bottom w:val="single" w:sz="4" w:space="0" w:color="000000"/>
              <w:right w:val="single" w:sz="4" w:space="0" w:color="auto"/>
            </w:tcBorders>
            <w:shd w:val="clear" w:color="auto" w:fill="auto"/>
            <w:noWrap/>
            <w:vAlign w:val="center"/>
          </w:tcPr>
          <w:p w14:paraId="46CA5014" w14:textId="77777777" w:rsidR="001D462B" w:rsidRPr="00170EFF" w:rsidRDefault="001D462B" w:rsidP="00FF0EE8">
            <w:pPr>
              <w:spacing w:line="240" w:lineRule="auto"/>
              <w:jc w:val="center"/>
              <w:rPr>
                <w:b/>
                <w:i/>
                <w:color w:val="000000"/>
                <w:sz w:val="20"/>
              </w:rPr>
            </w:pPr>
            <w:r w:rsidRPr="00170EFF">
              <w:rPr>
                <w:b/>
                <w:i/>
                <w:color w:val="000000"/>
                <w:sz w:val="20"/>
              </w:rPr>
              <w:t>$</w:t>
            </w:r>
            <w:r w:rsidR="00D27ABC" w:rsidRPr="00170EFF">
              <w:rPr>
                <w:b/>
                <w:i/>
                <w:color w:val="000000"/>
                <w:sz w:val="20"/>
              </w:rPr>
              <w:t>51.15</w:t>
            </w:r>
          </w:p>
        </w:tc>
        <w:tc>
          <w:tcPr>
            <w:tcW w:w="1620" w:type="dxa"/>
            <w:tcBorders>
              <w:top w:val="nil"/>
              <w:left w:val="nil"/>
              <w:bottom w:val="single" w:sz="4" w:space="0" w:color="000000"/>
              <w:right w:val="single" w:sz="4" w:space="0" w:color="auto"/>
            </w:tcBorders>
            <w:shd w:val="clear" w:color="auto" w:fill="auto"/>
            <w:noWrap/>
            <w:vAlign w:val="center"/>
          </w:tcPr>
          <w:p w14:paraId="5A6EE56F" w14:textId="77777777" w:rsidR="001D462B" w:rsidRPr="00170EFF" w:rsidRDefault="001D462B" w:rsidP="00FF0EE8">
            <w:pPr>
              <w:spacing w:line="240" w:lineRule="auto"/>
              <w:jc w:val="center"/>
              <w:rPr>
                <w:b/>
                <w:i/>
                <w:color w:val="000000"/>
                <w:sz w:val="20"/>
              </w:rPr>
            </w:pPr>
            <w:r w:rsidRPr="00170EFF">
              <w:rPr>
                <w:b/>
                <w:i/>
                <w:color w:val="000000"/>
                <w:sz w:val="20"/>
              </w:rPr>
              <w:t>$3</w:t>
            </w:r>
            <w:r w:rsidR="00D27ABC" w:rsidRPr="00170EFF">
              <w:rPr>
                <w:b/>
                <w:i/>
                <w:color w:val="000000"/>
                <w:sz w:val="20"/>
              </w:rPr>
              <w:t>7.62</w:t>
            </w:r>
            <w:r w:rsidRPr="00170EFF">
              <w:rPr>
                <w:b/>
                <w:i/>
                <w:color w:val="000000"/>
                <w:sz w:val="20"/>
              </w:rPr>
              <w:t xml:space="preserve"> </w:t>
            </w:r>
          </w:p>
        </w:tc>
        <w:tc>
          <w:tcPr>
            <w:tcW w:w="1530" w:type="dxa"/>
            <w:tcBorders>
              <w:top w:val="nil"/>
              <w:left w:val="nil"/>
              <w:bottom w:val="single" w:sz="4" w:space="0" w:color="000000"/>
              <w:right w:val="single" w:sz="4" w:space="0" w:color="auto"/>
            </w:tcBorders>
            <w:shd w:val="clear" w:color="auto" w:fill="auto"/>
            <w:noWrap/>
            <w:vAlign w:val="center"/>
          </w:tcPr>
          <w:p w14:paraId="6B64A8D1" w14:textId="77777777" w:rsidR="001D462B" w:rsidRPr="00170EFF" w:rsidRDefault="001D462B" w:rsidP="00FF0EE8">
            <w:pPr>
              <w:spacing w:line="240" w:lineRule="auto"/>
              <w:jc w:val="center"/>
              <w:rPr>
                <w:b/>
                <w:i/>
                <w:color w:val="000000"/>
                <w:sz w:val="20"/>
              </w:rPr>
            </w:pPr>
            <w:r w:rsidRPr="00170EFF">
              <w:rPr>
                <w:b/>
                <w:i/>
                <w:color w:val="000000"/>
                <w:sz w:val="20"/>
              </w:rPr>
              <w:t>$</w:t>
            </w:r>
            <w:r w:rsidR="00D27ABC" w:rsidRPr="00170EFF">
              <w:rPr>
                <w:b/>
                <w:i/>
                <w:color w:val="000000"/>
                <w:sz w:val="20"/>
              </w:rPr>
              <w:t>61.25</w:t>
            </w:r>
            <w:r w:rsidRPr="00170EFF">
              <w:rPr>
                <w:b/>
                <w:i/>
                <w:color w:val="000000"/>
                <w:sz w:val="20"/>
              </w:rPr>
              <w:t xml:space="preserve"> </w:t>
            </w:r>
          </w:p>
        </w:tc>
        <w:tc>
          <w:tcPr>
            <w:tcW w:w="2430" w:type="dxa"/>
            <w:tcBorders>
              <w:top w:val="nil"/>
              <w:left w:val="nil"/>
              <w:bottom w:val="single" w:sz="4" w:space="0" w:color="000000"/>
              <w:right w:val="single" w:sz="4" w:space="0" w:color="auto"/>
            </w:tcBorders>
            <w:vAlign w:val="center"/>
          </w:tcPr>
          <w:p w14:paraId="0FAD3D6F" w14:textId="77777777" w:rsidR="001D462B" w:rsidRPr="00170EFF" w:rsidRDefault="001D462B" w:rsidP="00FF0EE8">
            <w:pPr>
              <w:autoSpaceDE/>
              <w:autoSpaceDN/>
              <w:adjustRightInd/>
              <w:spacing w:line="240" w:lineRule="auto"/>
              <w:jc w:val="center"/>
              <w:rPr>
                <w:b/>
                <w:i/>
                <w:color w:val="000000"/>
                <w:sz w:val="20"/>
              </w:rPr>
            </w:pPr>
          </w:p>
        </w:tc>
      </w:tr>
      <w:tr w:rsidR="00602B86" w:rsidRPr="00657FBE" w14:paraId="6F998A1C" w14:textId="77777777" w:rsidTr="00D557C2">
        <w:trPr>
          <w:trHeight w:val="276"/>
          <w:jc w:val="center"/>
        </w:trPr>
        <w:tc>
          <w:tcPr>
            <w:tcW w:w="1165" w:type="dxa"/>
            <w:vMerge/>
            <w:tcBorders>
              <w:left w:val="single" w:sz="4" w:space="0" w:color="auto"/>
              <w:right w:val="single" w:sz="4" w:space="0" w:color="auto"/>
            </w:tcBorders>
            <w:shd w:val="clear" w:color="auto" w:fill="auto"/>
            <w:noWrap/>
            <w:vAlign w:val="center"/>
          </w:tcPr>
          <w:p w14:paraId="08C141AA"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000000"/>
              <w:right w:val="single" w:sz="4" w:space="0" w:color="auto"/>
            </w:tcBorders>
            <w:shd w:val="clear" w:color="auto" w:fill="auto"/>
            <w:noWrap/>
            <w:vAlign w:val="center"/>
          </w:tcPr>
          <w:p w14:paraId="7900C895" w14:textId="77777777" w:rsidR="001D462B" w:rsidRPr="00170EFF" w:rsidRDefault="00D27ABC" w:rsidP="00FF0EE8">
            <w:pPr>
              <w:autoSpaceDE/>
              <w:autoSpaceDN/>
              <w:adjustRightInd/>
              <w:spacing w:line="240" w:lineRule="auto"/>
              <w:jc w:val="right"/>
              <w:rPr>
                <w:b/>
                <w:i/>
                <w:color w:val="000000"/>
                <w:sz w:val="20"/>
              </w:rPr>
            </w:pPr>
            <w:r w:rsidRPr="00170EFF">
              <w:rPr>
                <w:b/>
                <w:i/>
                <w:color w:val="000000"/>
                <w:sz w:val="20"/>
              </w:rPr>
              <w:t>Burdened Labor Rate</w:t>
            </w:r>
          </w:p>
        </w:tc>
        <w:tc>
          <w:tcPr>
            <w:tcW w:w="1440" w:type="dxa"/>
            <w:tcBorders>
              <w:top w:val="nil"/>
              <w:left w:val="nil"/>
              <w:bottom w:val="single" w:sz="4" w:space="0" w:color="000000"/>
              <w:right w:val="single" w:sz="4" w:space="0" w:color="auto"/>
            </w:tcBorders>
            <w:shd w:val="clear" w:color="auto" w:fill="auto"/>
            <w:noWrap/>
            <w:vAlign w:val="center"/>
          </w:tcPr>
          <w:p w14:paraId="2E1BF451" w14:textId="77777777" w:rsidR="001D462B" w:rsidRPr="00170EFF" w:rsidRDefault="001D462B" w:rsidP="00FF0EE8">
            <w:pPr>
              <w:spacing w:line="240" w:lineRule="auto"/>
              <w:jc w:val="center"/>
              <w:rPr>
                <w:b/>
                <w:i/>
                <w:color w:val="000000"/>
                <w:sz w:val="20"/>
              </w:rPr>
            </w:pPr>
            <w:r w:rsidRPr="00170EFF">
              <w:rPr>
                <w:b/>
                <w:i/>
                <w:color w:val="000000"/>
                <w:sz w:val="20"/>
              </w:rPr>
              <w:t>$1</w:t>
            </w:r>
            <w:r w:rsidR="00D27ABC" w:rsidRPr="00170EFF">
              <w:rPr>
                <w:b/>
                <w:i/>
                <w:color w:val="000000"/>
                <w:sz w:val="20"/>
              </w:rPr>
              <w:t>22.75</w:t>
            </w:r>
            <w:r w:rsidRPr="00170EFF">
              <w:rPr>
                <w:b/>
                <w:i/>
                <w:color w:val="000000"/>
                <w:sz w:val="20"/>
              </w:rPr>
              <w:t xml:space="preserve"> </w:t>
            </w:r>
          </w:p>
        </w:tc>
        <w:tc>
          <w:tcPr>
            <w:tcW w:w="1620" w:type="dxa"/>
            <w:tcBorders>
              <w:top w:val="nil"/>
              <w:left w:val="nil"/>
              <w:bottom w:val="single" w:sz="4" w:space="0" w:color="000000"/>
              <w:right w:val="single" w:sz="4" w:space="0" w:color="auto"/>
            </w:tcBorders>
            <w:shd w:val="clear" w:color="auto" w:fill="auto"/>
            <w:noWrap/>
            <w:vAlign w:val="center"/>
          </w:tcPr>
          <w:p w14:paraId="01788865" w14:textId="77777777" w:rsidR="001D462B" w:rsidRPr="00170EFF" w:rsidRDefault="001D462B" w:rsidP="00FF0EE8">
            <w:pPr>
              <w:spacing w:line="240" w:lineRule="auto"/>
              <w:jc w:val="center"/>
              <w:rPr>
                <w:b/>
                <w:i/>
                <w:color w:val="000000"/>
                <w:sz w:val="20"/>
              </w:rPr>
            </w:pPr>
            <w:r w:rsidRPr="00170EFF">
              <w:rPr>
                <w:b/>
                <w:i/>
                <w:color w:val="000000"/>
                <w:sz w:val="20"/>
              </w:rPr>
              <w:t>$</w:t>
            </w:r>
            <w:r w:rsidR="00D27ABC" w:rsidRPr="00170EFF">
              <w:rPr>
                <w:b/>
                <w:i/>
                <w:color w:val="000000"/>
                <w:sz w:val="20"/>
              </w:rPr>
              <w:t>90.28</w:t>
            </w:r>
            <w:r w:rsidRPr="00170EFF">
              <w:rPr>
                <w:b/>
                <w:i/>
                <w:color w:val="000000"/>
                <w:sz w:val="20"/>
              </w:rPr>
              <w:t xml:space="preserve"> </w:t>
            </w:r>
          </w:p>
        </w:tc>
        <w:tc>
          <w:tcPr>
            <w:tcW w:w="1530" w:type="dxa"/>
            <w:tcBorders>
              <w:top w:val="nil"/>
              <w:left w:val="nil"/>
              <w:bottom w:val="single" w:sz="4" w:space="0" w:color="000000"/>
              <w:right w:val="single" w:sz="4" w:space="0" w:color="auto"/>
            </w:tcBorders>
            <w:shd w:val="clear" w:color="auto" w:fill="auto"/>
            <w:noWrap/>
            <w:vAlign w:val="center"/>
          </w:tcPr>
          <w:p w14:paraId="08152A51" w14:textId="77777777" w:rsidR="001D462B" w:rsidRPr="00170EFF" w:rsidRDefault="001D462B" w:rsidP="00FF0EE8">
            <w:pPr>
              <w:spacing w:line="240" w:lineRule="auto"/>
              <w:jc w:val="center"/>
              <w:rPr>
                <w:b/>
                <w:i/>
                <w:color w:val="000000"/>
                <w:sz w:val="20"/>
              </w:rPr>
            </w:pPr>
            <w:r w:rsidRPr="00170EFF">
              <w:rPr>
                <w:b/>
                <w:i/>
                <w:color w:val="000000"/>
                <w:sz w:val="20"/>
              </w:rPr>
              <w:t>$1</w:t>
            </w:r>
            <w:r w:rsidR="00D27ABC" w:rsidRPr="00170EFF">
              <w:rPr>
                <w:b/>
                <w:i/>
                <w:color w:val="000000"/>
                <w:sz w:val="20"/>
              </w:rPr>
              <w:t>47.00</w:t>
            </w:r>
          </w:p>
        </w:tc>
        <w:tc>
          <w:tcPr>
            <w:tcW w:w="2430" w:type="dxa"/>
            <w:tcBorders>
              <w:top w:val="nil"/>
              <w:left w:val="nil"/>
              <w:bottom w:val="single" w:sz="4" w:space="0" w:color="000000"/>
              <w:right w:val="single" w:sz="4" w:space="0" w:color="auto"/>
            </w:tcBorders>
            <w:vAlign w:val="center"/>
          </w:tcPr>
          <w:p w14:paraId="2F050B91" w14:textId="77777777" w:rsidR="001D462B" w:rsidRPr="00170EFF" w:rsidRDefault="001D462B" w:rsidP="00FF0EE8">
            <w:pPr>
              <w:autoSpaceDE/>
              <w:autoSpaceDN/>
              <w:adjustRightInd/>
              <w:spacing w:line="240" w:lineRule="auto"/>
              <w:jc w:val="center"/>
              <w:rPr>
                <w:b/>
                <w:i/>
                <w:color w:val="000000"/>
                <w:sz w:val="20"/>
              </w:rPr>
            </w:pPr>
          </w:p>
        </w:tc>
      </w:tr>
      <w:tr w:rsidR="00602B86" w:rsidRPr="00657FBE" w14:paraId="36664964" w14:textId="77777777" w:rsidTr="00D557C2">
        <w:trPr>
          <w:trHeight w:val="276"/>
          <w:jc w:val="center"/>
        </w:trPr>
        <w:tc>
          <w:tcPr>
            <w:tcW w:w="1165" w:type="dxa"/>
            <w:vMerge/>
            <w:tcBorders>
              <w:left w:val="single" w:sz="4" w:space="0" w:color="auto"/>
              <w:bottom w:val="single" w:sz="4" w:space="0" w:color="000000"/>
              <w:right w:val="single" w:sz="4" w:space="0" w:color="auto"/>
            </w:tcBorders>
            <w:shd w:val="clear" w:color="auto" w:fill="auto"/>
            <w:noWrap/>
            <w:vAlign w:val="center"/>
          </w:tcPr>
          <w:p w14:paraId="705440DA" w14:textId="77777777" w:rsidR="001D462B" w:rsidRPr="00170EFF" w:rsidRDefault="001D462B" w:rsidP="00FF0EE8">
            <w:pPr>
              <w:autoSpaceDE/>
              <w:autoSpaceDN/>
              <w:adjustRightInd/>
              <w:spacing w:line="240" w:lineRule="auto"/>
              <w:rPr>
                <w:color w:val="000000"/>
                <w:sz w:val="20"/>
              </w:rPr>
            </w:pPr>
          </w:p>
        </w:tc>
        <w:tc>
          <w:tcPr>
            <w:tcW w:w="1980" w:type="dxa"/>
            <w:tcBorders>
              <w:top w:val="nil"/>
              <w:left w:val="nil"/>
              <w:bottom w:val="single" w:sz="4" w:space="0" w:color="000000"/>
              <w:right w:val="single" w:sz="4" w:space="0" w:color="auto"/>
            </w:tcBorders>
            <w:shd w:val="clear" w:color="auto" w:fill="auto"/>
            <w:noWrap/>
            <w:vAlign w:val="center"/>
          </w:tcPr>
          <w:p w14:paraId="6B48EA59" w14:textId="77777777" w:rsidR="001D462B" w:rsidRPr="00170EFF" w:rsidRDefault="00D27ABC" w:rsidP="00FF0EE8">
            <w:pPr>
              <w:autoSpaceDE/>
              <w:autoSpaceDN/>
              <w:adjustRightInd/>
              <w:spacing w:line="240" w:lineRule="auto"/>
              <w:jc w:val="right"/>
              <w:rPr>
                <w:b/>
                <w:i/>
                <w:color w:val="000000"/>
                <w:sz w:val="20"/>
              </w:rPr>
            </w:pPr>
            <w:r w:rsidRPr="00170EFF">
              <w:rPr>
                <w:b/>
                <w:i/>
                <w:color w:val="000000"/>
                <w:sz w:val="20"/>
              </w:rPr>
              <w:t xml:space="preserve">Burdened Labor Rate </w:t>
            </w:r>
            <w:r w:rsidR="001D462B" w:rsidRPr="00170EFF">
              <w:rPr>
                <w:b/>
                <w:i/>
                <w:color w:val="000000"/>
                <w:sz w:val="20"/>
              </w:rPr>
              <w:t>in 201</w:t>
            </w:r>
            <w:r w:rsidR="00C852EB" w:rsidRPr="00170EFF">
              <w:rPr>
                <w:b/>
                <w:i/>
                <w:color w:val="000000"/>
                <w:sz w:val="20"/>
              </w:rPr>
              <w:t>7</w:t>
            </w:r>
            <w:r w:rsidR="001D462B" w:rsidRPr="00170EFF">
              <w:rPr>
                <w:b/>
                <w:i/>
                <w:color w:val="000000"/>
                <w:sz w:val="20"/>
              </w:rPr>
              <w:t xml:space="preserve"> Dollars</w:t>
            </w:r>
          </w:p>
        </w:tc>
        <w:tc>
          <w:tcPr>
            <w:tcW w:w="1440" w:type="dxa"/>
            <w:tcBorders>
              <w:top w:val="nil"/>
              <w:left w:val="nil"/>
              <w:bottom w:val="single" w:sz="4" w:space="0" w:color="000000"/>
              <w:right w:val="single" w:sz="4" w:space="0" w:color="auto"/>
            </w:tcBorders>
            <w:shd w:val="clear" w:color="auto" w:fill="auto"/>
            <w:noWrap/>
            <w:vAlign w:val="center"/>
          </w:tcPr>
          <w:p w14:paraId="67533B9C" w14:textId="77777777" w:rsidR="001D462B" w:rsidRPr="00170EFF" w:rsidRDefault="001D462B" w:rsidP="00FF0EE8">
            <w:pPr>
              <w:spacing w:line="240" w:lineRule="auto"/>
              <w:jc w:val="center"/>
              <w:rPr>
                <w:b/>
                <w:i/>
                <w:color w:val="000000"/>
                <w:sz w:val="20"/>
              </w:rPr>
            </w:pPr>
            <w:r w:rsidRPr="00170EFF">
              <w:rPr>
                <w:b/>
                <w:i/>
                <w:color w:val="000000"/>
                <w:sz w:val="20"/>
              </w:rPr>
              <w:t>$12</w:t>
            </w:r>
            <w:r w:rsidR="00D27ABC" w:rsidRPr="00170EFF">
              <w:rPr>
                <w:b/>
                <w:i/>
                <w:color w:val="000000"/>
                <w:sz w:val="20"/>
              </w:rPr>
              <w:t>7.08</w:t>
            </w:r>
          </w:p>
        </w:tc>
        <w:tc>
          <w:tcPr>
            <w:tcW w:w="1620" w:type="dxa"/>
            <w:tcBorders>
              <w:top w:val="nil"/>
              <w:left w:val="nil"/>
              <w:bottom w:val="single" w:sz="4" w:space="0" w:color="000000"/>
              <w:right w:val="single" w:sz="4" w:space="0" w:color="auto"/>
            </w:tcBorders>
            <w:shd w:val="clear" w:color="auto" w:fill="auto"/>
            <w:noWrap/>
            <w:vAlign w:val="center"/>
          </w:tcPr>
          <w:p w14:paraId="7F22C36F" w14:textId="77777777" w:rsidR="001D462B" w:rsidRPr="00170EFF" w:rsidRDefault="001D462B" w:rsidP="00FF0EE8">
            <w:pPr>
              <w:spacing w:line="240" w:lineRule="auto"/>
              <w:jc w:val="center"/>
              <w:rPr>
                <w:b/>
                <w:i/>
                <w:color w:val="000000"/>
                <w:sz w:val="20"/>
              </w:rPr>
            </w:pPr>
            <w:r w:rsidRPr="00170EFF">
              <w:rPr>
                <w:b/>
                <w:i/>
                <w:color w:val="000000"/>
                <w:sz w:val="20"/>
              </w:rPr>
              <w:t>$</w:t>
            </w:r>
            <w:r w:rsidR="00D27ABC" w:rsidRPr="00170EFF">
              <w:rPr>
                <w:b/>
                <w:i/>
                <w:color w:val="000000"/>
                <w:sz w:val="20"/>
              </w:rPr>
              <w:t>93.47</w:t>
            </w:r>
          </w:p>
        </w:tc>
        <w:tc>
          <w:tcPr>
            <w:tcW w:w="1530" w:type="dxa"/>
            <w:tcBorders>
              <w:top w:val="nil"/>
              <w:left w:val="nil"/>
              <w:bottom w:val="single" w:sz="4" w:space="0" w:color="000000"/>
              <w:right w:val="single" w:sz="4" w:space="0" w:color="auto"/>
            </w:tcBorders>
            <w:shd w:val="clear" w:color="auto" w:fill="auto"/>
            <w:noWrap/>
            <w:vAlign w:val="center"/>
          </w:tcPr>
          <w:p w14:paraId="73B06B83" w14:textId="77777777" w:rsidR="001D462B" w:rsidRPr="00170EFF" w:rsidRDefault="001D462B" w:rsidP="00FF0EE8">
            <w:pPr>
              <w:spacing w:line="240" w:lineRule="auto"/>
              <w:jc w:val="center"/>
              <w:rPr>
                <w:b/>
                <w:i/>
                <w:color w:val="000000"/>
                <w:sz w:val="20"/>
              </w:rPr>
            </w:pPr>
            <w:r w:rsidRPr="00170EFF">
              <w:rPr>
                <w:b/>
                <w:i/>
                <w:color w:val="000000"/>
                <w:sz w:val="20"/>
              </w:rPr>
              <w:t>$1</w:t>
            </w:r>
            <w:r w:rsidR="00D27ABC" w:rsidRPr="00170EFF">
              <w:rPr>
                <w:b/>
                <w:i/>
                <w:color w:val="000000"/>
                <w:sz w:val="20"/>
              </w:rPr>
              <w:t>52.18</w:t>
            </w:r>
          </w:p>
        </w:tc>
        <w:tc>
          <w:tcPr>
            <w:tcW w:w="2430" w:type="dxa"/>
            <w:tcBorders>
              <w:top w:val="nil"/>
              <w:left w:val="nil"/>
              <w:bottom w:val="single" w:sz="4" w:space="0" w:color="000000"/>
              <w:right w:val="single" w:sz="4" w:space="0" w:color="auto"/>
            </w:tcBorders>
            <w:vAlign w:val="center"/>
          </w:tcPr>
          <w:p w14:paraId="521979E6" w14:textId="77777777" w:rsidR="001D462B" w:rsidRPr="00170EFF" w:rsidRDefault="001D462B" w:rsidP="00FF0EE8">
            <w:pPr>
              <w:autoSpaceDE/>
              <w:autoSpaceDN/>
              <w:adjustRightInd/>
              <w:spacing w:line="240" w:lineRule="auto"/>
              <w:jc w:val="center"/>
              <w:rPr>
                <w:b/>
                <w:i/>
                <w:color w:val="000000"/>
                <w:sz w:val="20"/>
              </w:rPr>
            </w:pPr>
          </w:p>
        </w:tc>
      </w:tr>
      <w:tr w:rsidR="00105ABE" w:rsidRPr="00657FBE" w14:paraId="726329DB" w14:textId="77777777" w:rsidTr="00170EFF">
        <w:trPr>
          <w:trHeight w:val="260"/>
          <w:jc w:val="center"/>
        </w:trPr>
        <w:tc>
          <w:tcPr>
            <w:tcW w:w="10165" w:type="dxa"/>
            <w:gridSpan w:val="6"/>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306810EA" w14:textId="2FC1DC9B" w:rsidR="003756F7" w:rsidRPr="004F5401" w:rsidRDefault="00F33513" w:rsidP="004F5401">
            <w:pPr>
              <w:spacing w:after="60" w:line="240" w:lineRule="auto"/>
              <w:ind w:left="158"/>
              <w:rPr>
                <w:rFonts w:eastAsia="Times New Roman"/>
                <w:color w:val="000000"/>
                <w:sz w:val="18"/>
                <w:szCs w:val="18"/>
              </w:rPr>
            </w:pPr>
            <w:r w:rsidRPr="004F5401">
              <w:rPr>
                <w:rFonts w:eastAsia="Times New Roman"/>
                <w:color w:val="000000"/>
                <w:sz w:val="18"/>
                <w:szCs w:val="18"/>
                <w:vertAlign w:val="superscript"/>
              </w:rPr>
              <w:t>a</w:t>
            </w:r>
            <w:r>
              <w:rPr>
                <w:rFonts w:eastAsia="Times New Roman"/>
                <w:color w:val="000000"/>
                <w:sz w:val="18"/>
                <w:szCs w:val="18"/>
              </w:rPr>
              <w:t xml:space="preserve">  </w:t>
            </w:r>
            <w:r w:rsidR="003756F7" w:rsidRPr="004F5401">
              <w:rPr>
                <w:rFonts w:eastAsia="Times New Roman"/>
                <w:color w:val="000000"/>
                <w:sz w:val="18"/>
                <w:szCs w:val="18"/>
              </w:rPr>
              <w:t xml:space="preserve">The NAICS code is the “North American Industry Classification System” code (see </w:t>
            </w:r>
            <w:hyperlink r:id="rId52" w:history="1">
              <w:r w:rsidR="003756F7" w:rsidRPr="00F33513">
                <w:rPr>
                  <w:rStyle w:val="Hyperlink"/>
                  <w:rFonts w:eastAsia="Times New Roman"/>
                  <w:sz w:val="18"/>
                  <w:szCs w:val="18"/>
                </w:rPr>
                <w:t>http://www.bls.gov/bls/naics.htm</w:t>
              </w:r>
            </w:hyperlink>
            <w:r w:rsidR="003756F7" w:rsidRPr="00F33513">
              <w:rPr>
                <w:rStyle w:val="Hyperlink"/>
                <w:rFonts w:eastAsia="Times New Roman"/>
                <w:sz w:val="18"/>
                <w:szCs w:val="18"/>
                <w:u w:val="none"/>
              </w:rPr>
              <w:t>).</w:t>
            </w:r>
            <w:r w:rsidR="003756F7" w:rsidRPr="004F5401">
              <w:rPr>
                <w:rFonts w:eastAsia="Times New Roman"/>
                <w:color w:val="000000"/>
                <w:sz w:val="18"/>
                <w:szCs w:val="18"/>
              </w:rPr>
              <w:t xml:space="preserve"> </w:t>
            </w:r>
          </w:p>
          <w:p w14:paraId="235DC0C5" w14:textId="3B38F12A" w:rsidR="00105ABE" w:rsidRPr="004F5401" w:rsidRDefault="00F33513" w:rsidP="004F5401">
            <w:pPr>
              <w:spacing w:after="60" w:line="240" w:lineRule="auto"/>
              <w:ind w:left="158"/>
              <w:rPr>
                <w:rFonts w:eastAsia="Times New Roman"/>
                <w:color w:val="000000"/>
                <w:sz w:val="18"/>
                <w:szCs w:val="18"/>
              </w:rPr>
            </w:pPr>
            <w:r w:rsidRPr="004F5401">
              <w:rPr>
                <w:rFonts w:eastAsia="Times New Roman"/>
                <w:color w:val="000000"/>
                <w:sz w:val="18"/>
                <w:szCs w:val="18"/>
                <w:vertAlign w:val="superscript"/>
              </w:rPr>
              <w:t>b</w:t>
            </w:r>
            <w:r>
              <w:rPr>
                <w:rFonts w:eastAsia="Times New Roman"/>
                <w:color w:val="000000"/>
                <w:sz w:val="18"/>
                <w:szCs w:val="18"/>
              </w:rPr>
              <w:t xml:space="preserve">  </w:t>
            </w:r>
            <w:r w:rsidR="00D43AEA" w:rsidRPr="004F5401">
              <w:rPr>
                <w:rFonts w:eastAsia="Times New Roman"/>
                <w:color w:val="000000"/>
                <w:sz w:val="18"/>
                <w:szCs w:val="18"/>
              </w:rPr>
              <w:t xml:space="preserve">The </w:t>
            </w:r>
            <w:r w:rsidR="00105ABE" w:rsidRPr="004F5401">
              <w:rPr>
                <w:rFonts w:eastAsia="Times New Roman"/>
                <w:color w:val="000000"/>
                <w:sz w:val="18"/>
                <w:szCs w:val="18"/>
              </w:rPr>
              <w:t>SOC code</w:t>
            </w:r>
            <w:r w:rsidR="00D17FBF" w:rsidRPr="004F5401">
              <w:rPr>
                <w:rFonts w:eastAsia="Times New Roman"/>
                <w:color w:val="000000"/>
                <w:sz w:val="18"/>
                <w:szCs w:val="18"/>
              </w:rPr>
              <w:t xml:space="preserve"> is the “</w:t>
            </w:r>
            <w:r w:rsidR="00105ABE" w:rsidRPr="004F5401">
              <w:rPr>
                <w:rFonts w:eastAsia="Times New Roman"/>
                <w:color w:val="000000"/>
                <w:sz w:val="18"/>
                <w:szCs w:val="18"/>
              </w:rPr>
              <w:t>Standard Occupational Classification</w:t>
            </w:r>
            <w:r w:rsidR="00D17FBF" w:rsidRPr="004F5401">
              <w:rPr>
                <w:rFonts w:eastAsia="Times New Roman"/>
                <w:color w:val="000000"/>
                <w:sz w:val="18"/>
                <w:szCs w:val="18"/>
              </w:rPr>
              <w:t>”</w:t>
            </w:r>
            <w:r w:rsidR="00105ABE" w:rsidRPr="004F5401">
              <w:rPr>
                <w:rFonts w:eastAsia="Times New Roman"/>
                <w:color w:val="000000"/>
                <w:sz w:val="18"/>
                <w:szCs w:val="18"/>
              </w:rPr>
              <w:t xml:space="preserve"> code</w:t>
            </w:r>
            <w:r w:rsidR="007B6245" w:rsidRPr="004F5401">
              <w:rPr>
                <w:rFonts w:eastAsia="Times New Roman"/>
                <w:color w:val="000000"/>
                <w:sz w:val="18"/>
                <w:szCs w:val="18"/>
              </w:rPr>
              <w:t xml:space="preserve"> (s</w:t>
            </w:r>
            <w:r w:rsidR="00105ABE" w:rsidRPr="004F5401">
              <w:rPr>
                <w:rFonts w:eastAsia="Times New Roman"/>
                <w:color w:val="000000"/>
                <w:sz w:val="18"/>
                <w:szCs w:val="18"/>
              </w:rPr>
              <w:t xml:space="preserve">ee </w:t>
            </w:r>
            <w:hyperlink r:id="rId53" w:history="1">
              <w:r w:rsidR="00105ABE" w:rsidRPr="00F33513">
                <w:rPr>
                  <w:rStyle w:val="Hyperlink"/>
                  <w:rFonts w:eastAsia="Times New Roman"/>
                  <w:sz w:val="18"/>
                  <w:szCs w:val="18"/>
                </w:rPr>
                <w:t>http://www.bls.gov/soc/home.htm</w:t>
              </w:r>
            </w:hyperlink>
            <w:r w:rsidR="007B6245" w:rsidRPr="00F33513">
              <w:rPr>
                <w:rStyle w:val="Hyperlink"/>
                <w:rFonts w:eastAsia="Times New Roman"/>
                <w:sz w:val="18"/>
                <w:szCs w:val="18"/>
                <w:u w:val="none"/>
              </w:rPr>
              <w:t>)</w:t>
            </w:r>
            <w:r w:rsidR="00D17FBF" w:rsidRPr="004F5401">
              <w:rPr>
                <w:rFonts w:eastAsia="Times New Roman"/>
                <w:color w:val="000000"/>
                <w:sz w:val="18"/>
                <w:szCs w:val="18"/>
              </w:rPr>
              <w:t>.</w:t>
            </w:r>
          </w:p>
          <w:p w14:paraId="5EB8FE49" w14:textId="12889D58" w:rsidR="003756F7" w:rsidRPr="004F5401" w:rsidRDefault="00F33513" w:rsidP="004F5401">
            <w:pPr>
              <w:spacing w:after="60" w:line="240" w:lineRule="auto"/>
              <w:ind w:left="158"/>
              <w:rPr>
                <w:rFonts w:eastAsia="Times New Roman"/>
                <w:color w:val="000000"/>
                <w:sz w:val="18"/>
                <w:szCs w:val="18"/>
              </w:rPr>
            </w:pPr>
            <w:r w:rsidRPr="004F5401">
              <w:rPr>
                <w:rFonts w:eastAsia="Times New Roman"/>
                <w:color w:val="000000"/>
                <w:sz w:val="18"/>
                <w:szCs w:val="18"/>
                <w:vertAlign w:val="superscript"/>
              </w:rPr>
              <w:t>c</w:t>
            </w:r>
            <w:r>
              <w:rPr>
                <w:rFonts w:eastAsia="Times New Roman"/>
                <w:color w:val="000000"/>
                <w:sz w:val="18"/>
                <w:szCs w:val="18"/>
              </w:rPr>
              <w:t xml:space="preserve">  </w:t>
            </w:r>
            <w:r w:rsidR="001D462B" w:rsidRPr="004F5401">
              <w:rPr>
                <w:rFonts w:eastAsia="Times New Roman"/>
                <w:color w:val="000000"/>
                <w:sz w:val="18"/>
                <w:szCs w:val="18"/>
              </w:rPr>
              <w:t xml:space="preserve">The BLS data </w:t>
            </w:r>
            <w:r w:rsidR="006A1DF2" w:rsidRPr="004F5401">
              <w:rPr>
                <w:rFonts w:eastAsia="Times New Roman"/>
                <w:color w:val="000000"/>
                <w:sz w:val="18"/>
                <w:szCs w:val="18"/>
              </w:rPr>
              <w:t xml:space="preserve">were </w:t>
            </w:r>
            <w:r w:rsidR="001D462B" w:rsidRPr="004F5401">
              <w:rPr>
                <w:rFonts w:eastAsia="Times New Roman"/>
                <w:color w:val="000000"/>
                <w:sz w:val="18"/>
                <w:szCs w:val="18"/>
              </w:rPr>
              <w:t xml:space="preserve">extracted using a custom query function accessible at </w:t>
            </w:r>
            <w:hyperlink r:id="rId54" w:history="1">
              <w:r w:rsidR="001D462B" w:rsidRPr="00F33513">
                <w:rPr>
                  <w:rStyle w:val="Hyperlink"/>
                  <w:rFonts w:eastAsia="Times New Roman"/>
                  <w:sz w:val="18"/>
                  <w:szCs w:val="18"/>
                </w:rPr>
                <w:t>http://www.bls.gov/oes/current/oes111011.htm</w:t>
              </w:r>
            </w:hyperlink>
            <w:r w:rsidR="001D462B" w:rsidRPr="004F5401">
              <w:rPr>
                <w:rFonts w:eastAsia="Times New Roman"/>
                <w:color w:val="000000"/>
                <w:sz w:val="18"/>
                <w:szCs w:val="18"/>
              </w:rPr>
              <w:t>.  The query selected used multiple occupations for one industry.  The industry sector selected was Sector 22</w:t>
            </w:r>
            <w:r w:rsidR="00D43AEA" w:rsidRPr="004F5401">
              <w:rPr>
                <w:rFonts w:eastAsia="Times New Roman"/>
                <w:color w:val="000000"/>
                <w:sz w:val="18"/>
                <w:szCs w:val="18"/>
              </w:rPr>
              <w:t>—</w:t>
            </w:r>
            <w:r w:rsidR="001D462B" w:rsidRPr="004F5401">
              <w:rPr>
                <w:rFonts w:eastAsia="Times New Roman"/>
                <w:color w:val="000000"/>
                <w:sz w:val="18"/>
                <w:szCs w:val="18"/>
              </w:rPr>
              <w:t>Utilities</w:t>
            </w:r>
            <w:r w:rsidR="00D43AEA" w:rsidRPr="004F5401">
              <w:rPr>
                <w:rFonts w:eastAsia="Times New Roman"/>
                <w:color w:val="000000"/>
                <w:sz w:val="18"/>
                <w:szCs w:val="18"/>
              </w:rPr>
              <w:t>,</w:t>
            </w:r>
            <w:r w:rsidR="001D462B" w:rsidRPr="004F5401">
              <w:rPr>
                <w:rFonts w:eastAsia="Times New Roman"/>
                <w:color w:val="000000"/>
                <w:sz w:val="18"/>
                <w:szCs w:val="18"/>
              </w:rPr>
              <w:t xml:space="preserve"> and the industry selected was Industry 221100</w:t>
            </w:r>
            <w:r w:rsidR="00D43AEA" w:rsidRPr="004F5401">
              <w:rPr>
                <w:rFonts w:eastAsia="Times New Roman"/>
                <w:color w:val="000000"/>
                <w:sz w:val="18"/>
                <w:szCs w:val="18"/>
              </w:rPr>
              <w:t>—</w:t>
            </w:r>
            <w:r w:rsidR="001D462B" w:rsidRPr="004F5401">
              <w:rPr>
                <w:rFonts w:eastAsia="Times New Roman"/>
                <w:color w:val="000000"/>
                <w:sz w:val="18"/>
                <w:szCs w:val="18"/>
              </w:rPr>
              <w:t xml:space="preserve">Electric Power Generation, Transmission, and Distribution.  The table lists the occupation SOC codes.  The </w:t>
            </w:r>
            <w:r w:rsidR="003756F7" w:rsidRPr="004F5401">
              <w:rPr>
                <w:rFonts w:eastAsia="Times New Roman"/>
                <w:color w:val="000000"/>
                <w:sz w:val="18"/>
                <w:szCs w:val="18"/>
              </w:rPr>
              <w:t>U.S. Nuclear Regulatory Commission (</w:t>
            </w:r>
            <w:r w:rsidR="001D462B" w:rsidRPr="004F5401">
              <w:rPr>
                <w:rFonts w:eastAsia="Times New Roman"/>
                <w:color w:val="000000"/>
                <w:sz w:val="18"/>
                <w:szCs w:val="18"/>
              </w:rPr>
              <w:t>NRC</w:t>
            </w:r>
            <w:r w:rsidR="003756F7" w:rsidRPr="004F5401">
              <w:rPr>
                <w:rFonts w:eastAsia="Times New Roman"/>
                <w:color w:val="000000"/>
                <w:sz w:val="18"/>
                <w:szCs w:val="18"/>
              </w:rPr>
              <w:t>)</w:t>
            </w:r>
            <w:r w:rsidR="001D462B" w:rsidRPr="004F5401">
              <w:rPr>
                <w:rFonts w:eastAsia="Times New Roman"/>
                <w:color w:val="000000"/>
                <w:sz w:val="18"/>
                <w:szCs w:val="18"/>
              </w:rPr>
              <w:t xml:space="preserve"> staff extracted the data </w:t>
            </w:r>
            <w:r w:rsidR="00D27ABC" w:rsidRPr="004F5401">
              <w:rPr>
                <w:rFonts w:eastAsia="Times New Roman"/>
                <w:color w:val="000000"/>
                <w:sz w:val="18"/>
                <w:szCs w:val="18"/>
              </w:rPr>
              <w:t>in May</w:t>
            </w:r>
            <w:r w:rsidR="00D43AEA" w:rsidRPr="004F5401">
              <w:rPr>
                <w:rFonts w:eastAsia="Times New Roman"/>
                <w:color w:val="000000"/>
                <w:sz w:val="18"/>
                <w:szCs w:val="18"/>
              </w:rPr>
              <w:t> </w:t>
            </w:r>
            <w:r w:rsidR="001D462B" w:rsidRPr="004F5401">
              <w:rPr>
                <w:rFonts w:eastAsia="Times New Roman"/>
                <w:color w:val="000000"/>
                <w:sz w:val="18"/>
                <w:szCs w:val="18"/>
              </w:rPr>
              <w:t>201</w:t>
            </w:r>
            <w:r w:rsidR="00D27ABC" w:rsidRPr="004F5401">
              <w:rPr>
                <w:rFonts w:eastAsia="Times New Roman"/>
                <w:color w:val="000000"/>
                <w:sz w:val="18"/>
                <w:szCs w:val="18"/>
              </w:rPr>
              <w:t>6</w:t>
            </w:r>
            <w:r w:rsidR="001D462B" w:rsidRPr="004F5401">
              <w:rPr>
                <w:rFonts w:eastAsia="Times New Roman"/>
                <w:color w:val="000000"/>
                <w:sz w:val="18"/>
                <w:szCs w:val="18"/>
              </w:rPr>
              <w:t>.</w:t>
            </w:r>
            <w:r w:rsidR="003756F7" w:rsidRPr="004F5401">
              <w:rPr>
                <w:rFonts w:eastAsia="Times New Roman"/>
                <w:color w:val="000000"/>
                <w:sz w:val="18"/>
                <w:szCs w:val="18"/>
              </w:rPr>
              <w:t xml:space="preserve"> </w:t>
            </w:r>
          </w:p>
          <w:p w14:paraId="7A00239D" w14:textId="1E08FE94" w:rsidR="00105ABE" w:rsidRPr="004F5401" w:rsidRDefault="00F33513" w:rsidP="004F5401">
            <w:pPr>
              <w:spacing w:after="60" w:line="240" w:lineRule="auto"/>
              <w:ind w:left="158"/>
              <w:rPr>
                <w:rFonts w:eastAsia="Times New Roman"/>
                <w:color w:val="000000"/>
                <w:sz w:val="18"/>
                <w:szCs w:val="18"/>
              </w:rPr>
            </w:pPr>
            <w:r w:rsidRPr="004F5401">
              <w:rPr>
                <w:rFonts w:eastAsia="Times New Roman"/>
                <w:color w:val="000000"/>
                <w:sz w:val="18"/>
                <w:szCs w:val="18"/>
                <w:vertAlign w:val="superscript"/>
              </w:rPr>
              <w:t>d</w:t>
            </w:r>
            <w:r>
              <w:rPr>
                <w:rFonts w:eastAsia="Times New Roman"/>
                <w:color w:val="000000"/>
                <w:sz w:val="18"/>
                <w:szCs w:val="18"/>
              </w:rPr>
              <w:t xml:space="preserve">  </w:t>
            </w:r>
            <w:r w:rsidR="003756F7" w:rsidRPr="004F5401">
              <w:rPr>
                <w:rFonts w:eastAsia="Times New Roman"/>
                <w:color w:val="000000"/>
                <w:sz w:val="18"/>
                <w:szCs w:val="18"/>
              </w:rPr>
              <w:t>The U.S. Department of Labor, Bureau of Labor Statistics (BLS), wage is equal to or greater than $90.00 per hour or $187,199 per year without specifying a value.  For this analysis, the NRC staff estimated that the 90</w:t>
            </w:r>
            <w:r w:rsidR="003756F7" w:rsidRPr="004F5401">
              <w:rPr>
                <w:rFonts w:eastAsia="Times New Roman"/>
                <w:color w:val="000000"/>
                <w:sz w:val="18"/>
                <w:szCs w:val="18"/>
                <w:vertAlign w:val="superscript"/>
              </w:rPr>
              <w:t>th</w:t>
            </w:r>
            <w:r w:rsidR="003756F7" w:rsidRPr="004F5401">
              <w:rPr>
                <w:rFonts w:eastAsia="Times New Roman"/>
                <w:color w:val="000000"/>
                <w:sz w:val="18"/>
                <w:szCs w:val="18"/>
              </w:rPr>
              <w:t xml:space="preserve"> percentile is approximately 30 percent greater than the mean</w:t>
            </w:r>
          </w:p>
        </w:tc>
      </w:tr>
    </w:tbl>
    <w:p w14:paraId="61499F15" w14:textId="77777777" w:rsidR="004C4BD7" w:rsidRDefault="004C4BD7" w:rsidP="00FF0EE8">
      <w:pPr>
        <w:spacing w:line="240" w:lineRule="auto"/>
        <w:jc w:val="center"/>
        <w:rPr>
          <w:b/>
          <w:sz w:val="18"/>
          <w:szCs w:val="18"/>
        </w:rPr>
        <w:sectPr w:rsidR="004C4BD7" w:rsidSect="003027E9">
          <w:footerReference w:type="default" r:id="rId55"/>
          <w:pgSz w:w="12240" w:h="15840"/>
          <w:pgMar w:top="1440" w:right="1440" w:bottom="1440" w:left="1440" w:header="720" w:footer="720" w:gutter="0"/>
          <w:cols w:space="720"/>
          <w:docGrid w:linePitch="360"/>
        </w:sectPr>
      </w:pPr>
    </w:p>
    <w:p w14:paraId="6068D174" w14:textId="2805B3ED" w:rsidR="00D43AEA" w:rsidRDefault="004C4BD7" w:rsidP="00895559">
      <w:pPr>
        <w:pStyle w:val="Heading1"/>
        <w:numPr>
          <w:ilvl w:val="0"/>
          <w:numId w:val="0"/>
        </w:numPr>
        <w:spacing w:line="240" w:lineRule="auto"/>
        <w:jc w:val="center"/>
        <w:rPr>
          <w:sz w:val="32"/>
          <w:szCs w:val="32"/>
        </w:rPr>
      </w:pPr>
      <w:bookmarkStart w:id="375" w:name="_Toc468875949"/>
      <w:bookmarkStart w:id="376" w:name="_Toc462224990"/>
      <w:r w:rsidRPr="005524A0">
        <w:rPr>
          <w:sz w:val="32"/>
          <w:szCs w:val="32"/>
        </w:rPr>
        <w:t xml:space="preserve">Appendix </w:t>
      </w:r>
      <w:r w:rsidR="005524A0" w:rsidRPr="005524A0">
        <w:rPr>
          <w:sz w:val="32"/>
          <w:szCs w:val="32"/>
        </w:rPr>
        <w:t>B</w:t>
      </w:r>
      <w:bookmarkEnd w:id="375"/>
    </w:p>
    <w:p w14:paraId="30382D67" w14:textId="77777777" w:rsidR="004C4BD7" w:rsidRPr="00DF0A8C" w:rsidRDefault="005524A0" w:rsidP="00FF0EE8">
      <w:pPr>
        <w:spacing w:line="240" w:lineRule="auto"/>
        <w:jc w:val="center"/>
        <w:rPr>
          <w:sz w:val="32"/>
          <w:szCs w:val="32"/>
        </w:rPr>
      </w:pPr>
      <w:r w:rsidRPr="00E878D3">
        <w:rPr>
          <w:b/>
          <w:sz w:val="32"/>
        </w:rPr>
        <w:t>Uncertainty Analysis Variables</w:t>
      </w:r>
      <w:bookmarkEnd w:id="376"/>
    </w:p>
    <w:p w14:paraId="76328F39" w14:textId="77777777" w:rsidR="004C4BD7" w:rsidRPr="005524A0" w:rsidRDefault="004C4BD7" w:rsidP="00FF0EE8">
      <w:pPr>
        <w:autoSpaceDE/>
        <w:autoSpaceDN/>
        <w:adjustRightInd/>
        <w:spacing w:line="240" w:lineRule="auto"/>
        <w:jc w:val="center"/>
        <w:rPr>
          <w:rFonts w:eastAsia="Times New Roman"/>
          <w:bCs/>
          <w:color w:val="000000"/>
          <w:sz w:val="20"/>
          <w:szCs w:val="20"/>
        </w:rPr>
      </w:pPr>
    </w:p>
    <w:tbl>
      <w:tblPr>
        <w:tblW w:w="9365" w:type="dxa"/>
        <w:tblInd w:w="103" w:type="dxa"/>
        <w:tblLayout w:type="fixed"/>
        <w:tblLook w:val="04A0" w:firstRow="1" w:lastRow="0" w:firstColumn="1" w:lastColumn="0" w:noHBand="0" w:noVBand="1"/>
      </w:tblPr>
      <w:tblGrid>
        <w:gridCol w:w="3172"/>
        <w:gridCol w:w="1581"/>
        <w:gridCol w:w="1153"/>
        <w:gridCol w:w="1153"/>
        <w:gridCol w:w="1153"/>
        <w:gridCol w:w="1153"/>
      </w:tblGrid>
      <w:tr w:rsidR="00602B86" w:rsidRPr="00C0263B" w14:paraId="6C34E8C1" w14:textId="77777777" w:rsidTr="004F5401">
        <w:trPr>
          <w:trHeight w:val="645"/>
          <w:tblHeader/>
        </w:trPr>
        <w:tc>
          <w:tcPr>
            <w:tcW w:w="3172" w:type="dxa"/>
            <w:tcBorders>
              <w:top w:val="single" w:sz="4" w:space="0" w:color="auto"/>
              <w:left w:val="single" w:sz="4" w:space="0" w:color="auto"/>
              <w:bottom w:val="single" w:sz="4" w:space="0" w:color="auto"/>
              <w:right w:val="nil"/>
            </w:tcBorders>
            <w:shd w:val="clear" w:color="auto" w:fill="auto"/>
            <w:noWrap/>
            <w:vAlign w:val="center"/>
            <w:hideMark/>
          </w:tcPr>
          <w:p w14:paraId="0CAD7080" w14:textId="77777777" w:rsidR="005524A0" w:rsidRPr="00E878D3" w:rsidRDefault="005524A0" w:rsidP="00FF0EE8">
            <w:pPr>
              <w:autoSpaceDE/>
              <w:autoSpaceDN/>
              <w:adjustRightInd/>
              <w:spacing w:line="240" w:lineRule="auto"/>
              <w:jc w:val="center"/>
              <w:rPr>
                <w:b/>
              </w:rPr>
            </w:pPr>
            <w:r w:rsidRPr="00E878D3">
              <w:rPr>
                <w:b/>
              </w:rPr>
              <w:t>Uncertainty Variable Description</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19C76" w14:textId="77777777" w:rsidR="005524A0" w:rsidRPr="00E878D3" w:rsidRDefault="005524A0" w:rsidP="00FF0EE8">
            <w:pPr>
              <w:autoSpaceDE/>
              <w:autoSpaceDN/>
              <w:adjustRightInd/>
              <w:spacing w:line="240" w:lineRule="auto"/>
              <w:jc w:val="center"/>
              <w:rPr>
                <w:color w:val="000000"/>
              </w:rPr>
            </w:pPr>
            <w:r w:rsidRPr="00E878D3">
              <w:rPr>
                <w:b/>
                <w:color w:val="000000"/>
              </w:rPr>
              <w:t>Distribution</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429C6363" w14:textId="77777777" w:rsidR="005524A0" w:rsidRPr="00E878D3" w:rsidRDefault="005524A0" w:rsidP="00FF0EE8">
            <w:pPr>
              <w:autoSpaceDE/>
              <w:autoSpaceDN/>
              <w:adjustRightInd/>
              <w:spacing w:line="240" w:lineRule="auto"/>
              <w:jc w:val="center"/>
              <w:rPr>
                <w:color w:val="000000"/>
              </w:rPr>
            </w:pPr>
            <w:r w:rsidRPr="00E878D3">
              <w:rPr>
                <w:b/>
                <w:color w:val="000000"/>
              </w:rPr>
              <w:t>Low Estimate</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049DA502" w14:textId="77777777" w:rsidR="005524A0" w:rsidRPr="00E878D3" w:rsidRDefault="005524A0" w:rsidP="00FF0EE8">
            <w:pPr>
              <w:autoSpaceDE/>
              <w:autoSpaceDN/>
              <w:adjustRightInd/>
              <w:spacing w:line="240" w:lineRule="auto"/>
              <w:jc w:val="center"/>
              <w:rPr>
                <w:color w:val="000000"/>
              </w:rPr>
            </w:pPr>
            <w:r w:rsidRPr="00E878D3">
              <w:rPr>
                <w:b/>
                <w:color w:val="000000"/>
              </w:rPr>
              <w:t>Best Estimate</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2ED0019D" w14:textId="77777777" w:rsidR="005524A0" w:rsidRPr="00E878D3" w:rsidRDefault="005524A0" w:rsidP="00FF0EE8">
            <w:pPr>
              <w:autoSpaceDE/>
              <w:autoSpaceDN/>
              <w:adjustRightInd/>
              <w:spacing w:line="240" w:lineRule="auto"/>
              <w:jc w:val="center"/>
              <w:rPr>
                <w:color w:val="000000"/>
              </w:rPr>
            </w:pPr>
            <w:r w:rsidRPr="00E878D3">
              <w:rPr>
                <w:b/>
                <w:color w:val="000000"/>
              </w:rPr>
              <w:t>High Estimate</w:t>
            </w:r>
          </w:p>
        </w:tc>
        <w:tc>
          <w:tcPr>
            <w:tcW w:w="1153" w:type="dxa"/>
            <w:tcBorders>
              <w:top w:val="single" w:sz="4" w:space="0" w:color="auto"/>
              <w:left w:val="nil"/>
              <w:bottom w:val="single" w:sz="4" w:space="0" w:color="auto"/>
              <w:right w:val="single" w:sz="4" w:space="0" w:color="auto"/>
            </w:tcBorders>
            <w:vAlign w:val="center"/>
          </w:tcPr>
          <w:p w14:paraId="7CDAAD3D" w14:textId="77777777" w:rsidR="005524A0" w:rsidRPr="00E878D3" w:rsidRDefault="005524A0" w:rsidP="00FF0EE8">
            <w:pPr>
              <w:autoSpaceDE/>
              <w:autoSpaceDN/>
              <w:adjustRightInd/>
              <w:spacing w:line="240" w:lineRule="auto"/>
              <w:jc w:val="center"/>
              <w:rPr>
                <w:b/>
                <w:color w:val="000000"/>
              </w:rPr>
            </w:pPr>
            <w:r w:rsidRPr="00E878D3">
              <w:rPr>
                <w:b/>
                <w:color w:val="000000"/>
              </w:rPr>
              <w:t>Mean Value</w:t>
            </w:r>
          </w:p>
        </w:tc>
      </w:tr>
      <w:tr w:rsidR="005524A0" w:rsidRPr="00C0263B" w14:paraId="4E3C6409" w14:textId="77777777" w:rsidTr="004F5401">
        <w:trPr>
          <w:trHeight w:val="323"/>
        </w:trPr>
        <w:tc>
          <w:tcPr>
            <w:tcW w:w="9365"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14:paraId="44D22E06" w14:textId="77777777" w:rsidR="005524A0" w:rsidRPr="00E878D3" w:rsidRDefault="005524A0" w:rsidP="00FF0EE8">
            <w:pPr>
              <w:autoSpaceDE/>
              <w:autoSpaceDN/>
              <w:adjustRightInd/>
              <w:spacing w:line="240" w:lineRule="auto"/>
              <w:rPr>
                <w:color w:val="000000"/>
              </w:rPr>
            </w:pPr>
            <w:r w:rsidRPr="00E878D3">
              <w:rPr>
                <w:b/>
              </w:rPr>
              <w:t>General</w:t>
            </w:r>
          </w:p>
        </w:tc>
      </w:tr>
      <w:tr w:rsidR="0045372D" w:rsidRPr="00C0263B" w14:paraId="64C020A3" w14:textId="77777777" w:rsidTr="004F5401">
        <w:trPr>
          <w:trHeight w:val="323"/>
        </w:trPr>
        <w:tc>
          <w:tcPr>
            <w:tcW w:w="317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DD68E86" w14:textId="77777777" w:rsidR="0045372D" w:rsidRPr="00E878D3" w:rsidRDefault="0045372D" w:rsidP="00FF0EE8">
            <w:pPr>
              <w:spacing w:line="240" w:lineRule="auto"/>
              <w:rPr>
                <w:color w:val="000000"/>
              </w:rPr>
            </w:pPr>
            <w:r w:rsidRPr="00E878D3">
              <w:rPr>
                <w:color w:val="000000"/>
              </w:rPr>
              <w:t>Number of reactor sites</w:t>
            </w:r>
          </w:p>
        </w:tc>
        <w:tc>
          <w:tcPr>
            <w:tcW w:w="1581" w:type="dxa"/>
            <w:tcBorders>
              <w:top w:val="single" w:sz="4" w:space="0" w:color="auto"/>
              <w:left w:val="single" w:sz="4" w:space="0" w:color="auto"/>
              <w:bottom w:val="single" w:sz="4" w:space="0" w:color="auto"/>
              <w:right w:val="single" w:sz="4" w:space="0" w:color="auto"/>
            </w:tcBorders>
            <w:shd w:val="clear" w:color="000000" w:fill="auto"/>
            <w:vAlign w:val="center"/>
          </w:tcPr>
          <w:p w14:paraId="2B26A20B" w14:textId="7C645306" w:rsidR="0045372D" w:rsidRPr="00E878D3" w:rsidRDefault="0045372D" w:rsidP="00FF0EE8">
            <w:pPr>
              <w:spacing w:line="240" w:lineRule="auto"/>
              <w:jc w:val="center"/>
              <w:rPr>
                <w:color w:val="000000"/>
              </w:rPr>
            </w:pPr>
            <w:r w:rsidRPr="00D557C2">
              <w:rPr>
                <w:color w:val="000000"/>
              </w:rPr>
              <w:t>P</w:t>
            </w:r>
            <w:r>
              <w:rPr>
                <w:color w:val="000000"/>
              </w:rPr>
              <w:t>ERT</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0423411D" w14:textId="3B4DD814" w:rsidR="0045372D" w:rsidRPr="00E878D3" w:rsidRDefault="0045372D" w:rsidP="00FF0EE8">
            <w:pPr>
              <w:spacing w:line="240" w:lineRule="auto"/>
              <w:jc w:val="center"/>
              <w:rPr>
                <w:color w:val="000000"/>
              </w:rPr>
            </w:pPr>
            <w:r w:rsidRPr="00944B14">
              <w:t>55</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5785A317" w14:textId="7A490E5B" w:rsidR="0045372D" w:rsidRPr="00E878D3" w:rsidRDefault="0045372D" w:rsidP="00FF0EE8">
            <w:pPr>
              <w:spacing w:line="240" w:lineRule="auto"/>
              <w:jc w:val="center"/>
              <w:rPr>
                <w:color w:val="000000"/>
              </w:rPr>
            </w:pPr>
            <w:r w:rsidRPr="00944B14">
              <w:t>56</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3CCE93FB" w14:textId="4DDE831E" w:rsidR="0045372D" w:rsidRPr="00E878D3" w:rsidRDefault="0045372D" w:rsidP="00FF0EE8">
            <w:pPr>
              <w:spacing w:line="240" w:lineRule="auto"/>
              <w:jc w:val="center"/>
              <w:rPr>
                <w:color w:val="000000"/>
              </w:rPr>
            </w:pPr>
            <w:r w:rsidRPr="00944B14">
              <w:t>56</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5C0FC9DE" w14:textId="2E3671B3" w:rsidR="0045372D" w:rsidRPr="00E878D3" w:rsidRDefault="0045372D" w:rsidP="00FF0EE8">
            <w:pPr>
              <w:spacing w:line="240" w:lineRule="auto"/>
              <w:jc w:val="center"/>
              <w:rPr>
                <w:color w:val="000000"/>
              </w:rPr>
            </w:pPr>
            <w:r w:rsidRPr="00944B14">
              <w:t>56</w:t>
            </w:r>
          </w:p>
        </w:tc>
      </w:tr>
      <w:tr w:rsidR="0045372D" w:rsidRPr="00C0263B" w14:paraId="07D2FE96" w14:textId="77777777" w:rsidTr="004F5401">
        <w:trPr>
          <w:trHeight w:val="323"/>
        </w:trPr>
        <w:tc>
          <w:tcPr>
            <w:tcW w:w="317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9B108FF" w14:textId="77777777" w:rsidR="0045372D" w:rsidRPr="00E878D3" w:rsidRDefault="0045372D" w:rsidP="00FF0EE8">
            <w:pPr>
              <w:spacing w:line="240" w:lineRule="auto"/>
              <w:rPr>
                <w:color w:val="000000"/>
              </w:rPr>
            </w:pPr>
            <w:r w:rsidRPr="00E878D3">
              <w:rPr>
                <w:color w:val="000000"/>
              </w:rPr>
              <w:t>Number of reactor units</w:t>
            </w:r>
          </w:p>
        </w:tc>
        <w:tc>
          <w:tcPr>
            <w:tcW w:w="1581" w:type="dxa"/>
            <w:tcBorders>
              <w:top w:val="single" w:sz="4" w:space="0" w:color="auto"/>
              <w:left w:val="single" w:sz="4" w:space="0" w:color="auto"/>
              <w:bottom w:val="single" w:sz="4" w:space="0" w:color="auto"/>
              <w:right w:val="single" w:sz="4" w:space="0" w:color="auto"/>
            </w:tcBorders>
            <w:shd w:val="clear" w:color="000000" w:fill="auto"/>
            <w:vAlign w:val="center"/>
          </w:tcPr>
          <w:p w14:paraId="57B2FB2C" w14:textId="7153C47F" w:rsidR="0045372D" w:rsidRPr="00E878D3" w:rsidRDefault="0045372D" w:rsidP="00FF0EE8">
            <w:pPr>
              <w:spacing w:line="240" w:lineRule="auto"/>
              <w:jc w:val="center"/>
              <w:rPr>
                <w:color w:val="000000"/>
              </w:rPr>
            </w:pPr>
            <w:r w:rsidRPr="00D557C2">
              <w:rPr>
                <w:color w:val="000000"/>
              </w:rPr>
              <w:t>P</w:t>
            </w:r>
            <w:r>
              <w:rPr>
                <w:color w:val="000000"/>
              </w:rPr>
              <w:t>ERT</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085AAD57" w14:textId="23BE9D2B" w:rsidR="0045372D" w:rsidRPr="00E878D3" w:rsidRDefault="0045372D" w:rsidP="00FF0EE8">
            <w:pPr>
              <w:spacing w:line="240" w:lineRule="auto"/>
              <w:jc w:val="center"/>
              <w:rPr>
                <w:color w:val="000000"/>
              </w:rPr>
            </w:pPr>
            <w:r w:rsidRPr="00944B14">
              <w:t>95</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19B89ABB" w14:textId="3AC110F4" w:rsidR="0045372D" w:rsidRPr="00E878D3" w:rsidRDefault="0045372D" w:rsidP="00FF0EE8">
            <w:pPr>
              <w:spacing w:line="240" w:lineRule="auto"/>
              <w:jc w:val="center"/>
              <w:rPr>
                <w:color w:val="000000"/>
              </w:rPr>
            </w:pPr>
            <w:r w:rsidRPr="00944B14">
              <w:t>97</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5A14AD48" w14:textId="6DEEFE70" w:rsidR="0045372D" w:rsidRPr="00E878D3" w:rsidRDefault="0045372D" w:rsidP="00FF0EE8">
            <w:pPr>
              <w:spacing w:line="240" w:lineRule="auto"/>
              <w:jc w:val="center"/>
              <w:rPr>
                <w:color w:val="000000"/>
              </w:rPr>
            </w:pPr>
            <w:r w:rsidRPr="00944B14">
              <w:t>97</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66488995" w14:textId="21ABB74E" w:rsidR="0045372D" w:rsidRPr="00E878D3" w:rsidRDefault="0045372D" w:rsidP="00FF0EE8">
            <w:pPr>
              <w:spacing w:line="240" w:lineRule="auto"/>
              <w:jc w:val="center"/>
              <w:rPr>
                <w:color w:val="000000"/>
              </w:rPr>
            </w:pPr>
            <w:r w:rsidRPr="00944B14">
              <w:t>97</w:t>
            </w:r>
          </w:p>
        </w:tc>
      </w:tr>
      <w:tr w:rsidR="0045372D" w:rsidRPr="00C0263B" w14:paraId="3DB66DE9" w14:textId="77777777" w:rsidTr="004F5401">
        <w:trPr>
          <w:trHeight w:val="323"/>
        </w:trPr>
        <w:tc>
          <w:tcPr>
            <w:tcW w:w="317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47D71B8" w14:textId="77777777" w:rsidR="0045372D" w:rsidRPr="00E878D3" w:rsidRDefault="0045372D" w:rsidP="00FF0EE8">
            <w:pPr>
              <w:spacing w:line="240" w:lineRule="auto"/>
              <w:rPr>
                <w:color w:val="000000"/>
              </w:rPr>
            </w:pPr>
            <w:r w:rsidRPr="00E878D3">
              <w:rPr>
                <w:color w:val="000000"/>
              </w:rPr>
              <w:t>Number of BWR sites</w:t>
            </w:r>
          </w:p>
        </w:tc>
        <w:tc>
          <w:tcPr>
            <w:tcW w:w="1581" w:type="dxa"/>
            <w:tcBorders>
              <w:top w:val="single" w:sz="4" w:space="0" w:color="auto"/>
              <w:left w:val="single" w:sz="4" w:space="0" w:color="auto"/>
              <w:bottom w:val="single" w:sz="4" w:space="0" w:color="auto"/>
              <w:right w:val="single" w:sz="4" w:space="0" w:color="auto"/>
            </w:tcBorders>
            <w:shd w:val="clear" w:color="000000" w:fill="auto"/>
            <w:vAlign w:val="center"/>
          </w:tcPr>
          <w:p w14:paraId="1B8086A6" w14:textId="41E4CFB4" w:rsidR="0045372D" w:rsidRPr="00E878D3" w:rsidRDefault="0045372D" w:rsidP="00FF0EE8">
            <w:pPr>
              <w:spacing w:line="240" w:lineRule="auto"/>
              <w:jc w:val="center"/>
              <w:rPr>
                <w:color w:val="000000"/>
              </w:rPr>
            </w:pPr>
            <w:r w:rsidRPr="00D557C2">
              <w:rPr>
                <w:color w:val="000000"/>
              </w:rPr>
              <w:t>P</w:t>
            </w:r>
            <w:r>
              <w:rPr>
                <w:color w:val="000000"/>
              </w:rPr>
              <w:t>ERT</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2CBA49E0" w14:textId="548D165B" w:rsidR="0045372D" w:rsidRPr="00E878D3" w:rsidRDefault="0045372D" w:rsidP="00FF0EE8">
            <w:pPr>
              <w:spacing w:line="240" w:lineRule="auto"/>
              <w:jc w:val="center"/>
              <w:rPr>
                <w:color w:val="000000"/>
              </w:rPr>
            </w:pPr>
            <w:r w:rsidRPr="00944B14">
              <w:t>17</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01B0D95D" w14:textId="5C53CC05" w:rsidR="0045372D" w:rsidRPr="00E878D3" w:rsidRDefault="0045372D" w:rsidP="00FF0EE8">
            <w:pPr>
              <w:spacing w:line="240" w:lineRule="auto"/>
              <w:jc w:val="center"/>
              <w:rPr>
                <w:color w:val="000000"/>
              </w:rPr>
            </w:pPr>
            <w:r w:rsidRPr="00944B14">
              <w:t>18</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788F8718" w14:textId="07AEAC1B" w:rsidR="0045372D" w:rsidRPr="00E878D3" w:rsidRDefault="0045372D" w:rsidP="00FF0EE8">
            <w:pPr>
              <w:spacing w:line="240" w:lineRule="auto"/>
              <w:jc w:val="center"/>
              <w:rPr>
                <w:color w:val="000000"/>
              </w:rPr>
            </w:pPr>
            <w:r w:rsidRPr="00944B14">
              <w:t>18</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353E9A69" w14:textId="3E6308C9" w:rsidR="0045372D" w:rsidRPr="00E878D3" w:rsidRDefault="0045372D" w:rsidP="00FF0EE8">
            <w:pPr>
              <w:spacing w:line="240" w:lineRule="auto"/>
              <w:jc w:val="center"/>
              <w:rPr>
                <w:color w:val="000000"/>
              </w:rPr>
            </w:pPr>
            <w:r w:rsidRPr="00944B14">
              <w:t>18</w:t>
            </w:r>
          </w:p>
        </w:tc>
      </w:tr>
      <w:tr w:rsidR="0045372D" w:rsidRPr="00C0263B" w14:paraId="0E9107D7" w14:textId="77777777" w:rsidTr="004F5401">
        <w:trPr>
          <w:trHeight w:val="323"/>
        </w:trPr>
        <w:tc>
          <w:tcPr>
            <w:tcW w:w="317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AA34D3A" w14:textId="77777777" w:rsidR="0045372D" w:rsidRPr="00E878D3" w:rsidRDefault="0045372D" w:rsidP="00FF0EE8">
            <w:pPr>
              <w:spacing w:line="240" w:lineRule="auto"/>
              <w:rPr>
                <w:color w:val="000000"/>
              </w:rPr>
            </w:pPr>
            <w:r w:rsidRPr="00E878D3">
              <w:rPr>
                <w:color w:val="000000"/>
              </w:rPr>
              <w:t>Number of BWR units</w:t>
            </w:r>
          </w:p>
        </w:tc>
        <w:tc>
          <w:tcPr>
            <w:tcW w:w="1581" w:type="dxa"/>
            <w:tcBorders>
              <w:top w:val="single" w:sz="4" w:space="0" w:color="auto"/>
              <w:left w:val="single" w:sz="4" w:space="0" w:color="auto"/>
              <w:bottom w:val="single" w:sz="4" w:space="0" w:color="auto"/>
              <w:right w:val="single" w:sz="4" w:space="0" w:color="auto"/>
            </w:tcBorders>
            <w:shd w:val="clear" w:color="000000" w:fill="auto"/>
            <w:vAlign w:val="center"/>
          </w:tcPr>
          <w:p w14:paraId="05D66BC9" w14:textId="0200FA2C" w:rsidR="0045372D" w:rsidRPr="00E878D3" w:rsidRDefault="0045372D" w:rsidP="00FF0EE8">
            <w:pPr>
              <w:spacing w:line="240" w:lineRule="auto"/>
              <w:jc w:val="center"/>
              <w:rPr>
                <w:color w:val="000000"/>
              </w:rPr>
            </w:pPr>
            <w:r w:rsidRPr="00D557C2">
              <w:rPr>
                <w:color w:val="000000"/>
              </w:rPr>
              <w:t>P</w:t>
            </w:r>
            <w:r>
              <w:rPr>
                <w:color w:val="000000"/>
              </w:rPr>
              <w:t>ERT</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0DF1BCF6" w14:textId="6B4BC934" w:rsidR="0045372D" w:rsidRPr="00E878D3" w:rsidRDefault="0045372D" w:rsidP="00FF0EE8">
            <w:pPr>
              <w:spacing w:line="240" w:lineRule="auto"/>
              <w:jc w:val="center"/>
              <w:rPr>
                <w:color w:val="000000"/>
              </w:rPr>
            </w:pPr>
            <w:r w:rsidRPr="00944B14">
              <w:t>27</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0DEAF306" w14:textId="2EBD5074" w:rsidR="0045372D" w:rsidRPr="00E878D3" w:rsidRDefault="0045372D" w:rsidP="00FF0EE8">
            <w:pPr>
              <w:spacing w:line="240" w:lineRule="auto"/>
              <w:jc w:val="center"/>
              <w:rPr>
                <w:color w:val="000000"/>
              </w:rPr>
            </w:pPr>
            <w:r w:rsidRPr="00944B14">
              <w:t>28</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0979F5DD" w14:textId="155F337E" w:rsidR="0045372D" w:rsidRPr="00E878D3" w:rsidRDefault="0045372D" w:rsidP="00FF0EE8">
            <w:pPr>
              <w:spacing w:line="240" w:lineRule="auto"/>
              <w:jc w:val="center"/>
              <w:rPr>
                <w:color w:val="000000"/>
              </w:rPr>
            </w:pPr>
            <w:r w:rsidRPr="00944B14">
              <w:t>28</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26D9DA1B" w14:textId="4480A47F" w:rsidR="0045372D" w:rsidRPr="00E878D3" w:rsidRDefault="0045372D" w:rsidP="00FF0EE8">
            <w:pPr>
              <w:spacing w:line="240" w:lineRule="auto"/>
              <w:jc w:val="center"/>
              <w:rPr>
                <w:color w:val="000000"/>
              </w:rPr>
            </w:pPr>
            <w:r w:rsidRPr="00944B14">
              <w:t>28</w:t>
            </w:r>
          </w:p>
        </w:tc>
      </w:tr>
      <w:tr w:rsidR="0045372D" w:rsidRPr="00C0263B" w14:paraId="6A797FFC" w14:textId="77777777" w:rsidTr="004F5401">
        <w:trPr>
          <w:trHeight w:val="323"/>
        </w:trPr>
        <w:tc>
          <w:tcPr>
            <w:tcW w:w="317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CE68843" w14:textId="77777777" w:rsidR="0045372D" w:rsidRPr="00E878D3" w:rsidRDefault="0045372D" w:rsidP="00FF0EE8">
            <w:pPr>
              <w:spacing w:line="240" w:lineRule="auto"/>
              <w:rPr>
                <w:color w:val="000000"/>
              </w:rPr>
            </w:pPr>
            <w:r w:rsidRPr="00E878D3">
              <w:rPr>
                <w:color w:val="000000"/>
              </w:rPr>
              <w:t>Number of PWR sites</w:t>
            </w:r>
          </w:p>
        </w:tc>
        <w:tc>
          <w:tcPr>
            <w:tcW w:w="1581" w:type="dxa"/>
            <w:tcBorders>
              <w:top w:val="single" w:sz="4" w:space="0" w:color="auto"/>
              <w:left w:val="single" w:sz="4" w:space="0" w:color="auto"/>
              <w:bottom w:val="single" w:sz="4" w:space="0" w:color="auto"/>
              <w:right w:val="single" w:sz="4" w:space="0" w:color="auto"/>
            </w:tcBorders>
            <w:shd w:val="clear" w:color="000000" w:fill="auto"/>
            <w:vAlign w:val="center"/>
          </w:tcPr>
          <w:p w14:paraId="63066547" w14:textId="54636003" w:rsidR="0045372D" w:rsidRPr="00E878D3" w:rsidRDefault="0045372D" w:rsidP="00FF0EE8">
            <w:pPr>
              <w:spacing w:line="240" w:lineRule="auto"/>
              <w:jc w:val="center"/>
              <w:rPr>
                <w:color w:val="000000"/>
              </w:rPr>
            </w:pPr>
            <w:r w:rsidRPr="00D557C2">
              <w:rPr>
                <w:color w:val="000000"/>
              </w:rPr>
              <w:t>P</w:t>
            </w:r>
            <w:r>
              <w:rPr>
                <w:color w:val="000000"/>
              </w:rPr>
              <w:t>ERT</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07684736" w14:textId="513EA0FD" w:rsidR="0045372D" w:rsidRPr="00E878D3" w:rsidRDefault="0045372D" w:rsidP="00FF0EE8">
            <w:pPr>
              <w:spacing w:line="240" w:lineRule="auto"/>
              <w:jc w:val="center"/>
              <w:rPr>
                <w:color w:val="000000"/>
              </w:rPr>
            </w:pPr>
            <w:r w:rsidRPr="00944B14">
              <w:t>37</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4680A41B" w14:textId="6AFAB861" w:rsidR="0045372D" w:rsidRPr="00E878D3" w:rsidRDefault="0045372D" w:rsidP="00FF0EE8">
            <w:pPr>
              <w:spacing w:line="240" w:lineRule="auto"/>
              <w:jc w:val="center"/>
              <w:rPr>
                <w:color w:val="000000"/>
              </w:rPr>
            </w:pPr>
            <w:r w:rsidRPr="00944B14">
              <w:t>38</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50247035" w14:textId="66E58EBC" w:rsidR="0045372D" w:rsidRPr="00E878D3" w:rsidRDefault="0045372D" w:rsidP="00FF0EE8">
            <w:pPr>
              <w:spacing w:line="240" w:lineRule="auto"/>
              <w:jc w:val="center"/>
              <w:rPr>
                <w:color w:val="000000"/>
              </w:rPr>
            </w:pPr>
            <w:r w:rsidRPr="00944B14">
              <w:t>38</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20F17746" w14:textId="49F7ADF5" w:rsidR="0045372D" w:rsidRPr="00E878D3" w:rsidRDefault="0045372D" w:rsidP="00FF0EE8">
            <w:pPr>
              <w:spacing w:line="240" w:lineRule="auto"/>
              <w:jc w:val="center"/>
              <w:rPr>
                <w:color w:val="000000"/>
              </w:rPr>
            </w:pPr>
            <w:r w:rsidRPr="00944B14">
              <w:t>38</w:t>
            </w:r>
          </w:p>
        </w:tc>
      </w:tr>
      <w:tr w:rsidR="0045372D" w:rsidRPr="00C0263B" w14:paraId="3E9BA6D4" w14:textId="77777777" w:rsidTr="004F5401">
        <w:trPr>
          <w:trHeight w:val="323"/>
        </w:trPr>
        <w:tc>
          <w:tcPr>
            <w:tcW w:w="317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22FD24B" w14:textId="77777777" w:rsidR="0045372D" w:rsidRPr="00E878D3" w:rsidRDefault="0045372D" w:rsidP="00FF0EE8">
            <w:pPr>
              <w:spacing w:line="240" w:lineRule="auto"/>
              <w:rPr>
                <w:color w:val="000000"/>
              </w:rPr>
            </w:pPr>
            <w:r w:rsidRPr="00E878D3">
              <w:rPr>
                <w:color w:val="000000"/>
              </w:rPr>
              <w:t>Number of PWR units</w:t>
            </w:r>
          </w:p>
        </w:tc>
        <w:tc>
          <w:tcPr>
            <w:tcW w:w="1581" w:type="dxa"/>
            <w:tcBorders>
              <w:top w:val="single" w:sz="4" w:space="0" w:color="auto"/>
              <w:left w:val="single" w:sz="4" w:space="0" w:color="auto"/>
              <w:bottom w:val="single" w:sz="4" w:space="0" w:color="auto"/>
              <w:right w:val="single" w:sz="4" w:space="0" w:color="auto"/>
            </w:tcBorders>
            <w:shd w:val="clear" w:color="000000" w:fill="auto"/>
            <w:vAlign w:val="center"/>
          </w:tcPr>
          <w:p w14:paraId="0FA368BB" w14:textId="03674536" w:rsidR="0045372D" w:rsidRPr="00E878D3" w:rsidRDefault="0045372D" w:rsidP="00FF0EE8">
            <w:pPr>
              <w:spacing w:line="240" w:lineRule="auto"/>
              <w:jc w:val="center"/>
              <w:rPr>
                <w:color w:val="000000"/>
              </w:rPr>
            </w:pPr>
            <w:r w:rsidRPr="00D557C2">
              <w:rPr>
                <w:color w:val="000000"/>
              </w:rPr>
              <w:t>P</w:t>
            </w:r>
            <w:r>
              <w:rPr>
                <w:color w:val="000000"/>
              </w:rPr>
              <w:t>ERT</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0AF58D7A" w14:textId="5B2E1913" w:rsidR="0045372D" w:rsidRPr="00E878D3" w:rsidRDefault="0045372D" w:rsidP="00FF0EE8">
            <w:pPr>
              <w:spacing w:line="240" w:lineRule="auto"/>
              <w:jc w:val="center"/>
              <w:rPr>
                <w:color w:val="000000"/>
              </w:rPr>
            </w:pPr>
            <w:r w:rsidRPr="00944B14">
              <w:t>67</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09413600" w14:textId="0ED508D3" w:rsidR="0045372D" w:rsidRPr="00E878D3" w:rsidRDefault="0045372D" w:rsidP="00FF0EE8">
            <w:pPr>
              <w:spacing w:line="240" w:lineRule="auto"/>
              <w:jc w:val="center"/>
              <w:rPr>
                <w:color w:val="000000"/>
              </w:rPr>
            </w:pPr>
            <w:r w:rsidRPr="00944B14">
              <w:t>69</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25C145B7" w14:textId="70DC48AB" w:rsidR="0045372D" w:rsidRPr="00E878D3" w:rsidRDefault="0045372D" w:rsidP="00FF0EE8">
            <w:pPr>
              <w:spacing w:line="240" w:lineRule="auto"/>
              <w:jc w:val="center"/>
              <w:rPr>
                <w:color w:val="000000"/>
              </w:rPr>
            </w:pPr>
            <w:r w:rsidRPr="00944B14">
              <w:t>69</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029C3B4D" w14:textId="28B91897" w:rsidR="0045372D" w:rsidRPr="00E878D3" w:rsidRDefault="0045372D" w:rsidP="00FF0EE8">
            <w:pPr>
              <w:spacing w:line="240" w:lineRule="auto"/>
              <w:jc w:val="center"/>
              <w:rPr>
                <w:color w:val="000000"/>
              </w:rPr>
            </w:pPr>
            <w:r w:rsidRPr="00944B14">
              <w:t>69</w:t>
            </w:r>
          </w:p>
        </w:tc>
      </w:tr>
      <w:tr w:rsidR="0045372D" w:rsidRPr="00C0263B" w14:paraId="07183A42" w14:textId="77777777" w:rsidTr="004F5401">
        <w:trPr>
          <w:trHeight w:val="323"/>
        </w:trPr>
        <w:tc>
          <w:tcPr>
            <w:tcW w:w="317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45BF326" w14:textId="77777777" w:rsidR="0045372D" w:rsidRPr="00E878D3" w:rsidRDefault="0045372D" w:rsidP="00FF0EE8">
            <w:pPr>
              <w:spacing w:line="240" w:lineRule="auto"/>
              <w:rPr>
                <w:color w:val="000000"/>
              </w:rPr>
            </w:pPr>
            <w:r w:rsidRPr="00E878D3">
              <w:rPr>
                <w:color w:val="000000"/>
              </w:rPr>
              <w:t>Number of new reactor units</w:t>
            </w:r>
          </w:p>
        </w:tc>
        <w:tc>
          <w:tcPr>
            <w:tcW w:w="1581" w:type="dxa"/>
            <w:tcBorders>
              <w:top w:val="single" w:sz="4" w:space="0" w:color="auto"/>
              <w:left w:val="single" w:sz="4" w:space="0" w:color="auto"/>
              <w:bottom w:val="single" w:sz="4" w:space="0" w:color="auto"/>
              <w:right w:val="single" w:sz="4" w:space="0" w:color="auto"/>
            </w:tcBorders>
            <w:shd w:val="clear" w:color="000000" w:fill="auto"/>
            <w:vAlign w:val="center"/>
          </w:tcPr>
          <w:p w14:paraId="068BEB60" w14:textId="77777777" w:rsidR="0045372D" w:rsidRPr="00E878D3" w:rsidRDefault="0045372D" w:rsidP="00FF0EE8">
            <w:pPr>
              <w:spacing w:line="240" w:lineRule="auto"/>
              <w:jc w:val="center"/>
              <w:rPr>
                <w:color w:val="000000"/>
              </w:rPr>
            </w:pP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40D16B03" w14:textId="5FF11F23" w:rsidR="0045372D" w:rsidRPr="00E878D3" w:rsidRDefault="0045372D" w:rsidP="00FF0EE8">
            <w:pPr>
              <w:spacing w:line="240" w:lineRule="auto"/>
              <w:jc w:val="center"/>
              <w:rPr>
                <w:color w:val="000000"/>
              </w:rPr>
            </w:pPr>
            <w:r w:rsidRPr="00944B14">
              <w:t>5</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3D032137" w14:textId="40446A17" w:rsidR="0045372D" w:rsidRPr="00E878D3" w:rsidRDefault="0045372D" w:rsidP="00FF0EE8">
            <w:pPr>
              <w:spacing w:line="240" w:lineRule="auto"/>
              <w:jc w:val="center"/>
              <w:rPr>
                <w:color w:val="000000"/>
              </w:rPr>
            </w:pPr>
            <w:r w:rsidRPr="00944B14">
              <w:t>5</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3C1E0DA0" w14:textId="1BA6CF2C" w:rsidR="0045372D" w:rsidRPr="00E878D3" w:rsidRDefault="0045372D" w:rsidP="00FF0EE8">
            <w:pPr>
              <w:spacing w:line="240" w:lineRule="auto"/>
              <w:jc w:val="center"/>
              <w:rPr>
                <w:color w:val="000000"/>
              </w:rPr>
            </w:pPr>
            <w:r w:rsidRPr="00944B14">
              <w:t>5</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67FD9A60" w14:textId="1CE8BCB6" w:rsidR="0045372D" w:rsidRPr="00E878D3" w:rsidRDefault="0045372D" w:rsidP="00FF0EE8">
            <w:pPr>
              <w:spacing w:line="240" w:lineRule="auto"/>
              <w:jc w:val="center"/>
              <w:rPr>
                <w:color w:val="000000"/>
              </w:rPr>
            </w:pPr>
            <w:r w:rsidRPr="00944B14">
              <w:t>5</w:t>
            </w:r>
          </w:p>
        </w:tc>
      </w:tr>
      <w:tr w:rsidR="005524A0" w:rsidRPr="00C0263B" w14:paraId="063308B9" w14:textId="77777777" w:rsidTr="004F5401">
        <w:trPr>
          <w:trHeight w:val="323"/>
        </w:trPr>
        <w:tc>
          <w:tcPr>
            <w:tcW w:w="9365"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477FA03C" w14:textId="62100307" w:rsidR="005524A0" w:rsidRPr="00E878D3" w:rsidRDefault="005524A0" w:rsidP="00FF0EE8">
            <w:pPr>
              <w:autoSpaceDE/>
              <w:autoSpaceDN/>
              <w:adjustRightInd/>
              <w:spacing w:line="240" w:lineRule="auto"/>
              <w:rPr>
                <w:color w:val="000000"/>
              </w:rPr>
            </w:pPr>
            <w:r w:rsidRPr="00E878D3">
              <w:rPr>
                <w:b/>
              </w:rPr>
              <w:t>Industry (one</w:t>
            </w:r>
            <w:r w:rsidR="0093359B" w:rsidRPr="00D557C2">
              <w:rPr>
                <w:rFonts w:eastAsia="Times New Roman"/>
                <w:b/>
                <w:bCs/>
              </w:rPr>
              <w:t xml:space="preserve"> </w:t>
            </w:r>
            <w:r w:rsidRPr="00E878D3">
              <w:rPr>
                <w:b/>
              </w:rPr>
              <w:t>time, per site)</w:t>
            </w:r>
          </w:p>
        </w:tc>
      </w:tr>
      <w:tr w:rsidR="005524A0" w:rsidRPr="00C0263B" w14:paraId="2EC51E52" w14:textId="77777777" w:rsidTr="004F5401">
        <w:trPr>
          <w:trHeight w:val="495"/>
        </w:trPr>
        <w:tc>
          <w:tcPr>
            <w:tcW w:w="3172" w:type="dxa"/>
            <w:tcBorders>
              <w:top w:val="nil"/>
              <w:left w:val="single" w:sz="4" w:space="0" w:color="auto"/>
              <w:bottom w:val="single" w:sz="4" w:space="0" w:color="auto"/>
              <w:right w:val="single" w:sz="4" w:space="0" w:color="auto"/>
            </w:tcBorders>
            <w:shd w:val="clear" w:color="auto" w:fill="auto"/>
            <w:noWrap/>
            <w:vAlign w:val="center"/>
            <w:hideMark/>
          </w:tcPr>
          <w:p w14:paraId="6EE25C66" w14:textId="77777777" w:rsidR="005524A0" w:rsidRPr="00E878D3" w:rsidRDefault="005524A0" w:rsidP="00FF0EE8">
            <w:pPr>
              <w:autoSpaceDE/>
              <w:autoSpaceDN/>
              <w:adjustRightInd/>
              <w:spacing w:line="240" w:lineRule="auto"/>
              <w:rPr>
                <w:color w:val="000000"/>
              </w:rPr>
            </w:pPr>
            <w:r w:rsidRPr="00E878D3">
              <w:rPr>
                <w:color w:val="000000"/>
              </w:rPr>
              <w:t xml:space="preserve">Revise plant procedures </w:t>
            </w:r>
          </w:p>
          <w:p w14:paraId="7CFFA1EC" w14:textId="77777777" w:rsidR="005524A0" w:rsidRPr="00E878D3" w:rsidRDefault="005524A0" w:rsidP="00FF0EE8">
            <w:pPr>
              <w:autoSpaceDE/>
              <w:autoSpaceDN/>
              <w:adjustRightInd/>
              <w:spacing w:line="240" w:lineRule="auto"/>
            </w:pPr>
            <w:r w:rsidRPr="00E878D3">
              <w:rPr>
                <w:color w:val="000000"/>
              </w:rPr>
              <w:t>(No. of procedures)</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14:paraId="75F3D816" w14:textId="1B50FD89"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P</w:t>
            </w:r>
            <w:r w:rsidR="00A8705A">
              <w:rPr>
                <w:rFonts w:eastAsia="Times New Roman"/>
                <w:color w:val="000000"/>
              </w:rPr>
              <w:t>ERT</w:t>
            </w:r>
          </w:p>
        </w:tc>
        <w:tc>
          <w:tcPr>
            <w:tcW w:w="1153" w:type="dxa"/>
            <w:tcBorders>
              <w:top w:val="nil"/>
              <w:left w:val="nil"/>
              <w:bottom w:val="single" w:sz="4" w:space="0" w:color="auto"/>
              <w:right w:val="single" w:sz="4" w:space="0" w:color="auto"/>
            </w:tcBorders>
            <w:shd w:val="clear" w:color="auto" w:fill="auto"/>
            <w:noWrap/>
            <w:vAlign w:val="center"/>
            <w:hideMark/>
          </w:tcPr>
          <w:p w14:paraId="26B5BFDA" w14:textId="77777777" w:rsidR="005524A0" w:rsidRPr="00E878D3" w:rsidRDefault="005524A0" w:rsidP="00FF0EE8">
            <w:pPr>
              <w:autoSpaceDE/>
              <w:autoSpaceDN/>
              <w:adjustRightInd/>
              <w:spacing w:line="240" w:lineRule="auto"/>
              <w:jc w:val="center"/>
              <w:rPr>
                <w:color w:val="000000"/>
              </w:rPr>
            </w:pPr>
            <w:r w:rsidRPr="00E878D3">
              <w:rPr>
                <w:color w:val="000000"/>
              </w:rPr>
              <w:t>40</w:t>
            </w:r>
          </w:p>
        </w:tc>
        <w:tc>
          <w:tcPr>
            <w:tcW w:w="1153" w:type="dxa"/>
            <w:tcBorders>
              <w:top w:val="nil"/>
              <w:left w:val="nil"/>
              <w:bottom w:val="single" w:sz="4" w:space="0" w:color="auto"/>
              <w:right w:val="single" w:sz="4" w:space="0" w:color="auto"/>
            </w:tcBorders>
            <w:shd w:val="clear" w:color="auto" w:fill="auto"/>
            <w:noWrap/>
            <w:vAlign w:val="center"/>
            <w:hideMark/>
          </w:tcPr>
          <w:p w14:paraId="258DCB6A" w14:textId="77777777" w:rsidR="005524A0" w:rsidRPr="00E878D3" w:rsidRDefault="005524A0" w:rsidP="00FF0EE8">
            <w:pPr>
              <w:autoSpaceDE/>
              <w:autoSpaceDN/>
              <w:adjustRightInd/>
              <w:spacing w:line="240" w:lineRule="auto"/>
              <w:jc w:val="center"/>
              <w:rPr>
                <w:color w:val="000000"/>
              </w:rPr>
            </w:pPr>
            <w:r w:rsidRPr="00E878D3">
              <w:rPr>
                <w:color w:val="000000"/>
              </w:rPr>
              <w:t>50</w:t>
            </w:r>
          </w:p>
        </w:tc>
        <w:tc>
          <w:tcPr>
            <w:tcW w:w="1153" w:type="dxa"/>
            <w:tcBorders>
              <w:top w:val="nil"/>
              <w:left w:val="nil"/>
              <w:bottom w:val="single" w:sz="4" w:space="0" w:color="auto"/>
              <w:right w:val="single" w:sz="4" w:space="0" w:color="auto"/>
            </w:tcBorders>
            <w:shd w:val="clear" w:color="auto" w:fill="auto"/>
            <w:noWrap/>
            <w:vAlign w:val="center"/>
            <w:hideMark/>
          </w:tcPr>
          <w:p w14:paraId="4BC16458" w14:textId="77777777" w:rsidR="005524A0" w:rsidRPr="00E878D3" w:rsidRDefault="005524A0" w:rsidP="00FF0EE8">
            <w:pPr>
              <w:autoSpaceDE/>
              <w:autoSpaceDN/>
              <w:adjustRightInd/>
              <w:spacing w:line="240" w:lineRule="auto"/>
              <w:jc w:val="center"/>
              <w:rPr>
                <w:color w:val="000000"/>
              </w:rPr>
            </w:pPr>
            <w:r w:rsidRPr="00E878D3">
              <w:rPr>
                <w:color w:val="000000"/>
              </w:rPr>
              <w:t>60</w:t>
            </w:r>
          </w:p>
        </w:tc>
        <w:tc>
          <w:tcPr>
            <w:tcW w:w="1153" w:type="dxa"/>
            <w:tcBorders>
              <w:top w:val="nil"/>
              <w:left w:val="nil"/>
              <w:bottom w:val="single" w:sz="4" w:space="0" w:color="auto"/>
              <w:right w:val="single" w:sz="4" w:space="0" w:color="auto"/>
            </w:tcBorders>
            <w:vAlign w:val="center"/>
          </w:tcPr>
          <w:p w14:paraId="55335EB5" w14:textId="77777777" w:rsidR="005524A0" w:rsidRPr="00E878D3" w:rsidRDefault="005524A0" w:rsidP="00FF0EE8">
            <w:pPr>
              <w:spacing w:line="240" w:lineRule="auto"/>
              <w:jc w:val="center"/>
              <w:rPr>
                <w:color w:val="000000"/>
              </w:rPr>
            </w:pPr>
            <w:bookmarkStart w:id="377" w:name="RANGE!F14"/>
            <w:r w:rsidRPr="00E878D3">
              <w:rPr>
                <w:color w:val="000000"/>
              </w:rPr>
              <w:t>50.0</w:t>
            </w:r>
            <w:bookmarkEnd w:id="377"/>
          </w:p>
        </w:tc>
      </w:tr>
      <w:tr w:rsidR="005524A0" w:rsidRPr="00C0263B" w14:paraId="2CD1312F" w14:textId="77777777" w:rsidTr="004F5401">
        <w:trPr>
          <w:trHeight w:val="300"/>
        </w:trPr>
        <w:tc>
          <w:tcPr>
            <w:tcW w:w="3172" w:type="dxa"/>
            <w:tcBorders>
              <w:top w:val="nil"/>
              <w:left w:val="single" w:sz="4" w:space="0" w:color="auto"/>
              <w:bottom w:val="single" w:sz="4" w:space="0" w:color="auto"/>
              <w:right w:val="single" w:sz="4" w:space="0" w:color="auto"/>
            </w:tcBorders>
            <w:shd w:val="clear" w:color="auto" w:fill="auto"/>
            <w:vAlign w:val="center"/>
            <w:hideMark/>
          </w:tcPr>
          <w:p w14:paraId="5B28FE16" w14:textId="77777777" w:rsidR="005524A0" w:rsidRPr="00E878D3" w:rsidRDefault="005524A0" w:rsidP="00FF0EE8">
            <w:pPr>
              <w:autoSpaceDE/>
              <w:autoSpaceDN/>
              <w:adjustRightInd/>
              <w:spacing w:line="240" w:lineRule="auto"/>
              <w:rPr>
                <w:color w:val="000000"/>
              </w:rPr>
            </w:pPr>
            <w:r w:rsidRPr="00E878D3">
              <w:rPr>
                <w:color w:val="000000"/>
              </w:rPr>
              <w:t>Hours per procedure</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14:paraId="4EA88B13" w14:textId="4CD3068B"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P</w:t>
            </w:r>
            <w:r w:rsidR="00A8705A">
              <w:rPr>
                <w:rFonts w:eastAsia="Times New Roman"/>
                <w:color w:val="000000"/>
              </w:rPr>
              <w:t>ERT</w:t>
            </w:r>
          </w:p>
        </w:tc>
        <w:tc>
          <w:tcPr>
            <w:tcW w:w="1153" w:type="dxa"/>
            <w:tcBorders>
              <w:top w:val="nil"/>
              <w:left w:val="nil"/>
              <w:bottom w:val="single" w:sz="4" w:space="0" w:color="auto"/>
              <w:right w:val="single" w:sz="4" w:space="0" w:color="auto"/>
            </w:tcBorders>
            <w:shd w:val="clear" w:color="auto" w:fill="auto"/>
            <w:noWrap/>
            <w:vAlign w:val="center"/>
            <w:hideMark/>
          </w:tcPr>
          <w:p w14:paraId="32EC461F" w14:textId="77777777" w:rsidR="005524A0" w:rsidRPr="00E878D3" w:rsidRDefault="005524A0" w:rsidP="00FF0EE8">
            <w:pPr>
              <w:autoSpaceDE/>
              <w:autoSpaceDN/>
              <w:adjustRightInd/>
              <w:spacing w:line="240" w:lineRule="auto"/>
              <w:jc w:val="center"/>
              <w:rPr>
                <w:color w:val="000000"/>
              </w:rPr>
            </w:pPr>
            <w:r w:rsidRPr="00E878D3">
              <w:rPr>
                <w:color w:val="000000"/>
              </w:rPr>
              <w:t>4</w:t>
            </w:r>
          </w:p>
        </w:tc>
        <w:tc>
          <w:tcPr>
            <w:tcW w:w="1153" w:type="dxa"/>
            <w:tcBorders>
              <w:top w:val="nil"/>
              <w:left w:val="nil"/>
              <w:bottom w:val="single" w:sz="4" w:space="0" w:color="auto"/>
              <w:right w:val="single" w:sz="4" w:space="0" w:color="auto"/>
            </w:tcBorders>
            <w:shd w:val="clear" w:color="auto" w:fill="auto"/>
            <w:noWrap/>
            <w:vAlign w:val="center"/>
            <w:hideMark/>
          </w:tcPr>
          <w:p w14:paraId="2D4AF485" w14:textId="77777777" w:rsidR="005524A0" w:rsidRPr="00E878D3" w:rsidRDefault="005524A0" w:rsidP="00FF0EE8">
            <w:pPr>
              <w:autoSpaceDE/>
              <w:autoSpaceDN/>
              <w:adjustRightInd/>
              <w:spacing w:line="240" w:lineRule="auto"/>
              <w:jc w:val="center"/>
              <w:rPr>
                <w:color w:val="000000"/>
              </w:rPr>
            </w:pPr>
            <w:r w:rsidRPr="00E878D3">
              <w:rPr>
                <w:color w:val="000000"/>
              </w:rPr>
              <w:t>5</w:t>
            </w:r>
          </w:p>
        </w:tc>
        <w:tc>
          <w:tcPr>
            <w:tcW w:w="1153" w:type="dxa"/>
            <w:tcBorders>
              <w:top w:val="nil"/>
              <w:left w:val="nil"/>
              <w:bottom w:val="single" w:sz="4" w:space="0" w:color="auto"/>
              <w:right w:val="single" w:sz="4" w:space="0" w:color="auto"/>
            </w:tcBorders>
            <w:shd w:val="clear" w:color="auto" w:fill="auto"/>
            <w:noWrap/>
            <w:vAlign w:val="center"/>
            <w:hideMark/>
          </w:tcPr>
          <w:p w14:paraId="2F936351" w14:textId="77777777" w:rsidR="005524A0" w:rsidRPr="00E878D3" w:rsidRDefault="005524A0" w:rsidP="00FF0EE8">
            <w:pPr>
              <w:autoSpaceDE/>
              <w:autoSpaceDN/>
              <w:adjustRightInd/>
              <w:spacing w:line="240" w:lineRule="auto"/>
              <w:jc w:val="center"/>
              <w:rPr>
                <w:color w:val="000000"/>
              </w:rPr>
            </w:pPr>
            <w:r w:rsidRPr="00E878D3">
              <w:rPr>
                <w:color w:val="000000"/>
              </w:rPr>
              <w:t>6</w:t>
            </w:r>
          </w:p>
        </w:tc>
        <w:tc>
          <w:tcPr>
            <w:tcW w:w="1153" w:type="dxa"/>
            <w:tcBorders>
              <w:top w:val="nil"/>
              <w:left w:val="nil"/>
              <w:bottom w:val="single" w:sz="4" w:space="0" w:color="auto"/>
              <w:right w:val="single" w:sz="4" w:space="0" w:color="auto"/>
            </w:tcBorders>
            <w:vAlign w:val="center"/>
          </w:tcPr>
          <w:p w14:paraId="4455DB77" w14:textId="77777777" w:rsidR="005524A0" w:rsidRPr="00E878D3" w:rsidRDefault="005524A0" w:rsidP="00FF0EE8">
            <w:pPr>
              <w:spacing w:line="240" w:lineRule="auto"/>
              <w:jc w:val="center"/>
              <w:rPr>
                <w:color w:val="000000"/>
              </w:rPr>
            </w:pPr>
            <w:bookmarkStart w:id="378" w:name="RANGE!F15"/>
            <w:r w:rsidRPr="00E878D3">
              <w:rPr>
                <w:color w:val="000000"/>
              </w:rPr>
              <w:t>5.0</w:t>
            </w:r>
            <w:bookmarkEnd w:id="378"/>
          </w:p>
        </w:tc>
      </w:tr>
      <w:tr w:rsidR="005524A0" w:rsidRPr="00C0263B" w14:paraId="13106DD1" w14:textId="77777777" w:rsidTr="004F5401">
        <w:trPr>
          <w:trHeight w:val="300"/>
        </w:trPr>
        <w:tc>
          <w:tcPr>
            <w:tcW w:w="9365"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7058A074" w14:textId="724682E2" w:rsidR="005524A0" w:rsidRPr="00E878D3" w:rsidRDefault="005524A0" w:rsidP="00FF0EE8">
            <w:pPr>
              <w:autoSpaceDE/>
              <w:autoSpaceDN/>
              <w:adjustRightInd/>
              <w:spacing w:line="240" w:lineRule="auto"/>
              <w:rPr>
                <w:b/>
              </w:rPr>
            </w:pPr>
            <w:r w:rsidRPr="00E878D3">
              <w:rPr>
                <w:b/>
              </w:rPr>
              <w:t>Industry (annually recurring, per site, Code Cases N</w:t>
            </w:r>
            <w:r w:rsidR="0093359B" w:rsidRPr="00D557C2">
              <w:rPr>
                <w:rFonts w:eastAsia="Times New Roman"/>
                <w:b/>
                <w:bCs/>
              </w:rPr>
              <w:noBreakHyphen/>
            </w:r>
            <w:r w:rsidRPr="00E878D3">
              <w:rPr>
                <w:b/>
              </w:rPr>
              <w:t>666</w:t>
            </w:r>
            <w:r w:rsidR="0093359B" w:rsidRPr="00D557C2">
              <w:rPr>
                <w:rFonts w:eastAsia="Times New Roman"/>
                <w:b/>
                <w:bCs/>
              </w:rPr>
              <w:noBreakHyphen/>
            </w:r>
            <w:r w:rsidRPr="00E878D3">
              <w:rPr>
                <w:b/>
              </w:rPr>
              <w:t>1 and N</w:t>
            </w:r>
            <w:r w:rsidR="0093359B" w:rsidRPr="00D557C2">
              <w:rPr>
                <w:rFonts w:eastAsia="Times New Roman"/>
                <w:b/>
                <w:bCs/>
              </w:rPr>
              <w:noBreakHyphen/>
            </w:r>
            <w:r w:rsidRPr="00E878D3">
              <w:rPr>
                <w:b/>
              </w:rPr>
              <w:t>789)</w:t>
            </w:r>
          </w:p>
        </w:tc>
      </w:tr>
      <w:tr w:rsidR="005524A0" w:rsidRPr="00C0263B" w14:paraId="6E23C1CA" w14:textId="77777777" w:rsidTr="004F5401">
        <w:trPr>
          <w:trHeight w:val="315"/>
        </w:trPr>
        <w:tc>
          <w:tcPr>
            <w:tcW w:w="3172" w:type="dxa"/>
            <w:tcBorders>
              <w:top w:val="nil"/>
              <w:left w:val="single" w:sz="4" w:space="0" w:color="auto"/>
              <w:bottom w:val="single" w:sz="4" w:space="0" w:color="auto"/>
              <w:right w:val="nil"/>
            </w:tcBorders>
            <w:shd w:val="clear" w:color="auto" w:fill="auto"/>
            <w:noWrap/>
            <w:vAlign w:val="center"/>
            <w:hideMark/>
          </w:tcPr>
          <w:p w14:paraId="78519F26" w14:textId="53FF1C3A" w:rsidR="005524A0" w:rsidRPr="00E878D3" w:rsidRDefault="005524A0" w:rsidP="00745626">
            <w:pPr>
              <w:autoSpaceDE/>
              <w:autoSpaceDN/>
              <w:adjustRightInd/>
              <w:spacing w:line="240" w:lineRule="auto"/>
            </w:pPr>
            <w:r w:rsidRPr="00E878D3">
              <w:rPr>
                <w:color w:val="000000"/>
              </w:rPr>
              <w:t xml:space="preserve">Average number of annual Code Case alternative </w:t>
            </w:r>
            <w:r w:rsidRPr="00D557C2">
              <w:rPr>
                <w:rFonts w:eastAsia="Times New Roman"/>
                <w:color w:val="000000"/>
              </w:rPr>
              <w:t>request</w:t>
            </w:r>
            <w:r w:rsidR="0093359B" w:rsidRPr="00D557C2">
              <w:rPr>
                <w:rFonts w:eastAsia="Times New Roman"/>
                <w:color w:val="000000"/>
              </w:rPr>
              <w:t>s</w:t>
            </w:r>
            <w:r w:rsidRPr="00E878D3">
              <w:rPr>
                <w:color w:val="000000"/>
              </w:rPr>
              <w:t xml:space="preserve"> submitted</w:t>
            </w:r>
            <w:r w:rsidR="00745626" w:rsidRPr="00745626">
              <w:rPr>
                <w:color w:val="000000"/>
                <w:vertAlign w:val="superscript"/>
              </w:rPr>
              <w:t>a</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14:paraId="6E5365CB" w14:textId="5E27FF20"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P</w:t>
            </w:r>
            <w:r w:rsidR="00A8705A">
              <w:rPr>
                <w:rFonts w:eastAsia="Times New Roman"/>
                <w:color w:val="000000"/>
              </w:rPr>
              <w:t>ERT</w:t>
            </w:r>
          </w:p>
        </w:tc>
        <w:tc>
          <w:tcPr>
            <w:tcW w:w="1153" w:type="dxa"/>
            <w:tcBorders>
              <w:top w:val="nil"/>
              <w:left w:val="nil"/>
              <w:bottom w:val="single" w:sz="4" w:space="0" w:color="auto"/>
              <w:right w:val="single" w:sz="4" w:space="0" w:color="auto"/>
            </w:tcBorders>
            <w:shd w:val="clear" w:color="auto" w:fill="auto"/>
            <w:noWrap/>
            <w:vAlign w:val="center"/>
            <w:hideMark/>
          </w:tcPr>
          <w:p w14:paraId="107519A8" w14:textId="77777777" w:rsidR="005524A0" w:rsidRPr="00E878D3" w:rsidRDefault="005524A0" w:rsidP="00FF0EE8">
            <w:pPr>
              <w:spacing w:line="240" w:lineRule="auto"/>
              <w:jc w:val="center"/>
              <w:rPr>
                <w:color w:val="000000"/>
              </w:rPr>
            </w:pPr>
            <w:r w:rsidRPr="00E878D3">
              <w:rPr>
                <w:color w:val="000000"/>
              </w:rPr>
              <w:t>26</w:t>
            </w:r>
          </w:p>
        </w:tc>
        <w:tc>
          <w:tcPr>
            <w:tcW w:w="1153" w:type="dxa"/>
            <w:tcBorders>
              <w:top w:val="nil"/>
              <w:left w:val="nil"/>
              <w:bottom w:val="single" w:sz="4" w:space="0" w:color="auto"/>
              <w:right w:val="single" w:sz="4" w:space="0" w:color="auto"/>
            </w:tcBorders>
            <w:shd w:val="clear" w:color="auto" w:fill="auto"/>
            <w:noWrap/>
            <w:vAlign w:val="center"/>
            <w:hideMark/>
          </w:tcPr>
          <w:p w14:paraId="7765EDB6" w14:textId="77777777" w:rsidR="005524A0" w:rsidRPr="00E878D3" w:rsidRDefault="005524A0" w:rsidP="00FF0EE8">
            <w:pPr>
              <w:spacing w:line="240" w:lineRule="auto"/>
              <w:jc w:val="center"/>
              <w:rPr>
                <w:color w:val="000000"/>
              </w:rPr>
            </w:pPr>
            <w:r w:rsidRPr="00E878D3">
              <w:rPr>
                <w:color w:val="000000"/>
              </w:rPr>
              <w:t>30</w:t>
            </w:r>
          </w:p>
        </w:tc>
        <w:tc>
          <w:tcPr>
            <w:tcW w:w="1153" w:type="dxa"/>
            <w:tcBorders>
              <w:top w:val="nil"/>
              <w:left w:val="nil"/>
              <w:bottom w:val="single" w:sz="4" w:space="0" w:color="auto"/>
              <w:right w:val="single" w:sz="4" w:space="0" w:color="auto"/>
            </w:tcBorders>
            <w:shd w:val="clear" w:color="auto" w:fill="auto"/>
            <w:noWrap/>
            <w:vAlign w:val="center"/>
            <w:hideMark/>
          </w:tcPr>
          <w:p w14:paraId="1C5D5B5A" w14:textId="77777777" w:rsidR="005524A0" w:rsidRPr="00E878D3" w:rsidRDefault="005524A0" w:rsidP="00FF0EE8">
            <w:pPr>
              <w:spacing w:line="240" w:lineRule="auto"/>
              <w:jc w:val="center"/>
              <w:rPr>
                <w:color w:val="000000"/>
              </w:rPr>
            </w:pPr>
            <w:r w:rsidRPr="00E878D3">
              <w:rPr>
                <w:color w:val="000000"/>
              </w:rPr>
              <w:t>38</w:t>
            </w:r>
          </w:p>
        </w:tc>
        <w:tc>
          <w:tcPr>
            <w:tcW w:w="1153" w:type="dxa"/>
            <w:tcBorders>
              <w:top w:val="nil"/>
              <w:left w:val="nil"/>
              <w:bottom w:val="single" w:sz="4" w:space="0" w:color="auto"/>
              <w:right w:val="single" w:sz="4" w:space="0" w:color="auto"/>
            </w:tcBorders>
            <w:vAlign w:val="center"/>
          </w:tcPr>
          <w:p w14:paraId="44864577" w14:textId="77777777" w:rsidR="005524A0" w:rsidRPr="00E878D3" w:rsidRDefault="005524A0" w:rsidP="00FF0EE8">
            <w:pPr>
              <w:spacing w:line="240" w:lineRule="auto"/>
              <w:jc w:val="center"/>
              <w:rPr>
                <w:color w:val="000000"/>
              </w:rPr>
            </w:pPr>
            <w:r w:rsidRPr="00E878D3">
              <w:rPr>
                <w:color w:val="000000"/>
              </w:rPr>
              <w:t>30.7</w:t>
            </w:r>
          </w:p>
        </w:tc>
      </w:tr>
      <w:tr w:rsidR="005524A0" w:rsidRPr="00C0263B" w14:paraId="63942063" w14:textId="77777777" w:rsidTr="004F5401">
        <w:trPr>
          <w:trHeight w:val="300"/>
        </w:trPr>
        <w:tc>
          <w:tcPr>
            <w:tcW w:w="3172" w:type="dxa"/>
            <w:tcBorders>
              <w:top w:val="nil"/>
              <w:left w:val="single" w:sz="4" w:space="0" w:color="auto"/>
              <w:bottom w:val="single" w:sz="4" w:space="0" w:color="auto"/>
              <w:right w:val="single" w:sz="4" w:space="0" w:color="auto"/>
            </w:tcBorders>
            <w:shd w:val="clear" w:color="auto" w:fill="auto"/>
            <w:vAlign w:val="center"/>
            <w:hideMark/>
          </w:tcPr>
          <w:p w14:paraId="6CCE613C" w14:textId="77777777" w:rsidR="005524A0" w:rsidRPr="00E878D3" w:rsidRDefault="005524A0" w:rsidP="00FF0EE8">
            <w:pPr>
              <w:autoSpaceDE/>
              <w:autoSpaceDN/>
              <w:adjustRightInd/>
              <w:spacing w:line="240" w:lineRule="auto"/>
              <w:rPr>
                <w:color w:val="000000"/>
              </w:rPr>
            </w:pPr>
            <w:r w:rsidRPr="00E878D3">
              <w:rPr>
                <w:color w:val="000000"/>
              </w:rPr>
              <w:t>Average number of hours to prepare and submit an alternative request</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14:paraId="44752891" w14:textId="3F735CFF"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P</w:t>
            </w:r>
            <w:r w:rsidR="00A8705A">
              <w:rPr>
                <w:rFonts w:eastAsia="Times New Roman"/>
                <w:color w:val="000000"/>
              </w:rPr>
              <w:t>ERT</w:t>
            </w:r>
          </w:p>
        </w:tc>
        <w:tc>
          <w:tcPr>
            <w:tcW w:w="1153" w:type="dxa"/>
            <w:tcBorders>
              <w:top w:val="nil"/>
              <w:left w:val="nil"/>
              <w:bottom w:val="single" w:sz="4" w:space="0" w:color="auto"/>
              <w:right w:val="single" w:sz="4" w:space="0" w:color="auto"/>
            </w:tcBorders>
            <w:shd w:val="clear" w:color="auto" w:fill="auto"/>
            <w:noWrap/>
            <w:vAlign w:val="center"/>
            <w:hideMark/>
          </w:tcPr>
          <w:p w14:paraId="5DA2208F" w14:textId="77777777" w:rsidR="005524A0" w:rsidRPr="00E878D3" w:rsidRDefault="005524A0" w:rsidP="00FF0EE8">
            <w:pPr>
              <w:autoSpaceDE/>
              <w:autoSpaceDN/>
              <w:adjustRightInd/>
              <w:spacing w:line="240" w:lineRule="auto"/>
              <w:jc w:val="center"/>
              <w:rPr>
                <w:color w:val="000000"/>
              </w:rPr>
            </w:pPr>
            <w:r w:rsidRPr="00E878D3">
              <w:rPr>
                <w:color w:val="000000"/>
              </w:rPr>
              <w:t>304</w:t>
            </w:r>
          </w:p>
        </w:tc>
        <w:tc>
          <w:tcPr>
            <w:tcW w:w="1153" w:type="dxa"/>
            <w:tcBorders>
              <w:top w:val="nil"/>
              <w:left w:val="nil"/>
              <w:bottom w:val="single" w:sz="4" w:space="0" w:color="auto"/>
              <w:right w:val="single" w:sz="4" w:space="0" w:color="auto"/>
            </w:tcBorders>
            <w:shd w:val="clear" w:color="auto" w:fill="auto"/>
            <w:noWrap/>
            <w:vAlign w:val="center"/>
            <w:hideMark/>
          </w:tcPr>
          <w:p w14:paraId="2FC7FEA5" w14:textId="77777777" w:rsidR="005524A0" w:rsidRPr="00E878D3" w:rsidRDefault="005524A0" w:rsidP="00FF0EE8">
            <w:pPr>
              <w:autoSpaceDE/>
              <w:autoSpaceDN/>
              <w:adjustRightInd/>
              <w:spacing w:line="240" w:lineRule="auto"/>
              <w:jc w:val="center"/>
              <w:rPr>
                <w:color w:val="000000"/>
              </w:rPr>
            </w:pPr>
            <w:r w:rsidRPr="00E878D3">
              <w:rPr>
                <w:color w:val="000000"/>
              </w:rPr>
              <w:t>380</w:t>
            </w:r>
          </w:p>
        </w:tc>
        <w:tc>
          <w:tcPr>
            <w:tcW w:w="1153" w:type="dxa"/>
            <w:tcBorders>
              <w:top w:val="nil"/>
              <w:left w:val="nil"/>
              <w:bottom w:val="single" w:sz="4" w:space="0" w:color="auto"/>
              <w:right w:val="single" w:sz="4" w:space="0" w:color="auto"/>
            </w:tcBorders>
            <w:shd w:val="clear" w:color="auto" w:fill="auto"/>
            <w:noWrap/>
            <w:vAlign w:val="center"/>
            <w:hideMark/>
          </w:tcPr>
          <w:p w14:paraId="2680BA9D" w14:textId="77777777" w:rsidR="005524A0" w:rsidRPr="00E878D3" w:rsidRDefault="005524A0" w:rsidP="00FF0EE8">
            <w:pPr>
              <w:autoSpaceDE/>
              <w:autoSpaceDN/>
              <w:adjustRightInd/>
              <w:spacing w:line="240" w:lineRule="auto"/>
              <w:jc w:val="center"/>
              <w:rPr>
                <w:color w:val="000000"/>
              </w:rPr>
            </w:pPr>
            <w:r w:rsidRPr="00E878D3">
              <w:rPr>
                <w:color w:val="000000"/>
              </w:rPr>
              <w:t>456</w:t>
            </w:r>
          </w:p>
        </w:tc>
        <w:tc>
          <w:tcPr>
            <w:tcW w:w="1153" w:type="dxa"/>
            <w:tcBorders>
              <w:top w:val="nil"/>
              <w:left w:val="nil"/>
              <w:bottom w:val="single" w:sz="4" w:space="0" w:color="auto"/>
              <w:right w:val="single" w:sz="4" w:space="0" w:color="auto"/>
            </w:tcBorders>
            <w:vAlign w:val="center"/>
          </w:tcPr>
          <w:p w14:paraId="3383D521" w14:textId="77777777" w:rsidR="005524A0" w:rsidRPr="00E878D3" w:rsidRDefault="005524A0" w:rsidP="00FF0EE8">
            <w:pPr>
              <w:autoSpaceDE/>
              <w:autoSpaceDN/>
              <w:adjustRightInd/>
              <w:spacing w:line="240" w:lineRule="auto"/>
              <w:jc w:val="center"/>
              <w:rPr>
                <w:color w:val="000000"/>
              </w:rPr>
            </w:pPr>
            <w:bookmarkStart w:id="379" w:name="RANGE!F18"/>
            <w:r w:rsidRPr="00E878D3">
              <w:rPr>
                <w:color w:val="000000"/>
              </w:rPr>
              <w:t>380.0</w:t>
            </w:r>
            <w:bookmarkEnd w:id="379"/>
          </w:p>
        </w:tc>
      </w:tr>
      <w:tr w:rsidR="005524A0" w:rsidRPr="00C0263B" w14:paraId="775BC5F7" w14:textId="77777777" w:rsidTr="004F5401">
        <w:trPr>
          <w:trHeight w:val="300"/>
        </w:trPr>
        <w:tc>
          <w:tcPr>
            <w:tcW w:w="3172" w:type="dxa"/>
            <w:tcBorders>
              <w:top w:val="nil"/>
              <w:left w:val="single" w:sz="4" w:space="0" w:color="auto"/>
              <w:bottom w:val="single" w:sz="4" w:space="0" w:color="auto"/>
              <w:right w:val="single" w:sz="4" w:space="0" w:color="auto"/>
            </w:tcBorders>
            <w:shd w:val="clear" w:color="auto" w:fill="auto"/>
            <w:vAlign w:val="center"/>
          </w:tcPr>
          <w:p w14:paraId="44AB6828" w14:textId="03B9B476" w:rsidR="005524A0" w:rsidRPr="00E878D3" w:rsidRDefault="005524A0" w:rsidP="00FF0EE8">
            <w:pPr>
              <w:autoSpaceDE/>
              <w:autoSpaceDN/>
              <w:adjustRightInd/>
              <w:spacing w:line="240" w:lineRule="auto"/>
              <w:rPr>
                <w:color w:val="000000"/>
              </w:rPr>
            </w:pPr>
            <w:r w:rsidRPr="00E878D3">
              <w:rPr>
                <w:color w:val="000000"/>
              </w:rPr>
              <w:t>Number of incremental hours to perform a Code Case N</w:t>
            </w:r>
            <w:r w:rsidR="00A402CA" w:rsidRPr="00D557C2">
              <w:rPr>
                <w:color w:val="000000"/>
              </w:rPr>
              <w:noBreakHyphen/>
            </w:r>
            <w:r w:rsidRPr="00E878D3">
              <w:rPr>
                <w:color w:val="000000"/>
              </w:rPr>
              <w:t>666</w:t>
            </w:r>
            <w:r w:rsidR="00A402CA" w:rsidRPr="00D557C2">
              <w:rPr>
                <w:color w:val="000000"/>
              </w:rPr>
              <w:noBreakHyphen/>
            </w:r>
            <w:r w:rsidRPr="00E878D3">
              <w:rPr>
                <w:color w:val="000000"/>
              </w:rPr>
              <w:t>1 test</w:t>
            </w:r>
          </w:p>
        </w:tc>
        <w:tc>
          <w:tcPr>
            <w:tcW w:w="1581" w:type="dxa"/>
            <w:tcBorders>
              <w:top w:val="nil"/>
              <w:left w:val="single" w:sz="4" w:space="0" w:color="auto"/>
              <w:bottom w:val="single" w:sz="4" w:space="0" w:color="auto"/>
              <w:right w:val="single" w:sz="4" w:space="0" w:color="auto"/>
            </w:tcBorders>
            <w:shd w:val="clear" w:color="auto" w:fill="auto"/>
            <w:noWrap/>
            <w:vAlign w:val="center"/>
          </w:tcPr>
          <w:p w14:paraId="7EC79979" w14:textId="064CD5C8" w:rsidR="005524A0" w:rsidRPr="00E878D3" w:rsidRDefault="005524A0" w:rsidP="00FF0EE8">
            <w:pPr>
              <w:autoSpaceDE/>
              <w:autoSpaceDN/>
              <w:adjustRightInd/>
              <w:spacing w:line="240" w:lineRule="auto"/>
              <w:jc w:val="center"/>
              <w:rPr>
                <w:color w:val="000000"/>
              </w:rPr>
            </w:pPr>
            <w:r w:rsidRPr="00D557C2">
              <w:rPr>
                <w:color w:val="000000"/>
              </w:rPr>
              <w:t>P</w:t>
            </w:r>
            <w:r w:rsidR="00A8705A">
              <w:rPr>
                <w:color w:val="000000"/>
              </w:rPr>
              <w:t>ERT</w:t>
            </w:r>
          </w:p>
        </w:tc>
        <w:tc>
          <w:tcPr>
            <w:tcW w:w="1153" w:type="dxa"/>
            <w:tcBorders>
              <w:top w:val="nil"/>
              <w:left w:val="nil"/>
              <w:bottom w:val="single" w:sz="4" w:space="0" w:color="auto"/>
              <w:right w:val="single" w:sz="4" w:space="0" w:color="auto"/>
            </w:tcBorders>
            <w:shd w:val="clear" w:color="auto" w:fill="auto"/>
            <w:noWrap/>
            <w:vAlign w:val="center"/>
          </w:tcPr>
          <w:p w14:paraId="4A57BA15" w14:textId="77777777" w:rsidR="005524A0" w:rsidRPr="00E878D3" w:rsidRDefault="001C7704" w:rsidP="00FF0EE8">
            <w:pPr>
              <w:autoSpaceDE/>
              <w:autoSpaceDN/>
              <w:adjustRightInd/>
              <w:spacing w:line="240" w:lineRule="auto"/>
              <w:jc w:val="center"/>
              <w:rPr>
                <w:color w:val="000000"/>
              </w:rPr>
            </w:pPr>
            <w:r w:rsidRPr="00E878D3">
              <w:rPr>
                <w:color w:val="000000"/>
              </w:rPr>
              <w:t>1</w:t>
            </w:r>
          </w:p>
        </w:tc>
        <w:tc>
          <w:tcPr>
            <w:tcW w:w="1153" w:type="dxa"/>
            <w:tcBorders>
              <w:top w:val="nil"/>
              <w:left w:val="nil"/>
              <w:bottom w:val="single" w:sz="4" w:space="0" w:color="auto"/>
              <w:right w:val="single" w:sz="4" w:space="0" w:color="auto"/>
            </w:tcBorders>
            <w:shd w:val="clear" w:color="auto" w:fill="auto"/>
            <w:noWrap/>
            <w:vAlign w:val="center"/>
          </w:tcPr>
          <w:p w14:paraId="228A8CAD" w14:textId="77777777" w:rsidR="005524A0" w:rsidRPr="00E878D3" w:rsidRDefault="001C7704" w:rsidP="00FF0EE8">
            <w:pPr>
              <w:autoSpaceDE/>
              <w:autoSpaceDN/>
              <w:adjustRightInd/>
              <w:spacing w:line="240" w:lineRule="auto"/>
              <w:jc w:val="center"/>
              <w:rPr>
                <w:color w:val="000000"/>
              </w:rPr>
            </w:pPr>
            <w:r w:rsidRPr="00E878D3">
              <w:rPr>
                <w:color w:val="000000"/>
              </w:rPr>
              <w:t>2</w:t>
            </w:r>
          </w:p>
        </w:tc>
        <w:tc>
          <w:tcPr>
            <w:tcW w:w="1153" w:type="dxa"/>
            <w:tcBorders>
              <w:top w:val="nil"/>
              <w:left w:val="nil"/>
              <w:bottom w:val="single" w:sz="4" w:space="0" w:color="auto"/>
              <w:right w:val="single" w:sz="4" w:space="0" w:color="auto"/>
            </w:tcBorders>
            <w:shd w:val="clear" w:color="auto" w:fill="auto"/>
            <w:noWrap/>
            <w:vAlign w:val="center"/>
          </w:tcPr>
          <w:p w14:paraId="3843828B" w14:textId="77777777" w:rsidR="005524A0" w:rsidRPr="00E878D3" w:rsidRDefault="001C7704" w:rsidP="00FF0EE8">
            <w:pPr>
              <w:autoSpaceDE/>
              <w:autoSpaceDN/>
              <w:adjustRightInd/>
              <w:spacing w:line="240" w:lineRule="auto"/>
              <w:jc w:val="center"/>
              <w:rPr>
                <w:color w:val="000000"/>
              </w:rPr>
            </w:pPr>
            <w:r w:rsidRPr="00E878D3">
              <w:rPr>
                <w:color w:val="000000"/>
              </w:rPr>
              <w:t>4</w:t>
            </w:r>
          </w:p>
        </w:tc>
        <w:tc>
          <w:tcPr>
            <w:tcW w:w="1153" w:type="dxa"/>
            <w:tcBorders>
              <w:top w:val="nil"/>
              <w:left w:val="nil"/>
              <w:bottom w:val="single" w:sz="4" w:space="0" w:color="auto"/>
              <w:right w:val="single" w:sz="4" w:space="0" w:color="auto"/>
            </w:tcBorders>
            <w:vAlign w:val="center"/>
          </w:tcPr>
          <w:p w14:paraId="10F3E318" w14:textId="77777777" w:rsidR="005524A0" w:rsidRPr="00E878D3" w:rsidRDefault="001C7704" w:rsidP="00FF0EE8">
            <w:pPr>
              <w:spacing w:line="240" w:lineRule="auto"/>
              <w:jc w:val="center"/>
              <w:rPr>
                <w:color w:val="000000"/>
              </w:rPr>
            </w:pPr>
            <w:r w:rsidRPr="00E878D3">
              <w:rPr>
                <w:color w:val="000000"/>
              </w:rPr>
              <w:t>2.2</w:t>
            </w:r>
          </w:p>
        </w:tc>
      </w:tr>
      <w:tr w:rsidR="0045372D" w:rsidRPr="00C0263B" w14:paraId="325DDF92" w14:textId="77777777" w:rsidTr="004F5401">
        <w:trPr>
          <w:trHeight w:val="300"/>
        </w:trPr>
        <w:tc>
          <w:tcPr>
            <w:tcW w:w="3172" w:type="dxa"/>
            <w:tcBorders>
              <w:top w:val="nil"/>
              <w:left w:val="single" w:sz="4" w:space="0" w:color="auto"/>
              <w:bottom w:val="single" w:sz="4" w:space="0" w:color="auto"/>
              <w:right w:val="single" w:sz="4" w:space="0" w:color="auto"/>
            </w:tcBorders>
            <w:shd w:val="clear" w:color="auto" w:fill="auto"/>
            <w:vAlign w:val="center"/>
          </w:tcPr>
          <w:p w14:paraId="16C6820E" w14:textId="4CB21500" w:rsidR="0045372D" w:rsidRPr="00E878D3" w:rsidRDefault="0045372D" w:rsidP="00FF0EE8">
            <w:pPr>
              <w:autoSpaceDE/>
              <w:autoSpaceDN/>
              <w:adjustRightInd/>
              <w:spacing w:line="240" w:lineRule="auto"/>
              <w:rPr>
                <w:color w:val="000000"/>
              </w:rPr>
            </w:pPr>
            <w:r w:rsidRPr="00E878D3">
              <w:rPr>
                <w:color w:val="000000"/>
              </w:rPr>
              <w:t>Number of incremental hours to perform a Code Case N</w:t>
            </w:r>
            <w:r w:rsidRPr="00D557C2">
              <w:rPr>
                <w:color w:val="000000"/>
              </w:rPr>
              <w:noBreakHyphen/>
            </w:r>
            <w:r w:rsidRPr="00E878D3">
              <w:rPr>
                <w:color w:val="000000"/>
              </w:rPr>
              <w:t>789 test</w:t>
            </w:r>
          </w:p>
        </w:tc>
        <w:tc>
          <w:tcPr>
            <w:tcW w:w="1581" w:type="dxa"/>
            <w:tcBorders>
              <w:top w:val="nil"/>
              <w:left w:val="single" w:sz="4" w:space="0" w:color="auto"/>
              <w:bottom w:val="single" w:sz="4" w:space="0" w:color="auto"/>
              <w:right w:val="single" w:sz="4" w:space="0" w:color="auto"/>
            </w:tcBorders>
            <w:shd w:val="clear" w:color="auto" w:fill="auto"/>
            <w:noWrap/>
            <w:vAlign w:val="center"/>
          </w:tcPr>
          <w:p w14:paraId="58780729" w14:textId="66DC7571" w:rsidR="0045372D" w:rsidRPr="00E878D3" w:rsidRDefault="0045372D" w:rsidP="00FF0EE8">
            <w:pPr>
              <w:autoSpaceDE/>
              <w:autoSpaceDN/>
              <w:adjustRightInd/>
              <w:spacing w:line="240" w:lineRule="auto"/>
              <w:jc w:val="center"/>
              <w:rPr>
                <w:color w:val="000000"/>
              </w:rPr>
            </w:pPr>
            <w:r w:rsidRPr="00D557C2">
              <w:rPr>
                <w:color w:val="000000"/>
              </w:rPr>
              <w:t>P</w:t>
            </w:r>
            <w:r>
              <w:rPr>
                <w:color w:val="000000"/>
              </w:rPr>
              <w:t>ERT</w:t>
            </w:r>
          </w:p>
        </w:tc>
        <w:tc>
          <w:tcPr>
            <w:tcW w:w="1153" w:type="dxa"/>
            <w:tcBorders>
              <w:top w:val="nil"/>
              <w:left w:val="nil"/>
              <w:bottom w:val="single" w:sz="4" w:space="0" w:color="auto"/>
              <w:right w:val="single" w:sz="4" w:space="0" w:color="auto"/>
            </w:tcBorders>
            <w:shd w:val="clear" w:color="auto" w:fill="auto"/>
            <w:noWrap/>
            <w:vAlign w:val="center"/>
          </w:tcPr>
          <w:p w14:paraId="0FB792F4" w14:textId="48EB8C7D" w:rsidR="0045372D" w:rsidRPr="00E878D3" w:rsidRDefault="0045372D" w:rsidP="00FF0EE8">
            <w:pPr>
              <w:autoSpaceDE/>
              <w:autoSpaceDN/>
              <w:adjustRightInd/>
              <w:spacing w:line="240" w:lineRule="auto"/>
              <w:jc w:val="center"/>
              <w:rPr>
                <w:color w:val="000000"/>
              </w:rPr>
            </w:pPr>
            <w:r w:rsidRPr="005C7AB7">
              <w:t>1</w:t>
            </w:r>
          </w:p>
        </w:tc>
        <w:tc>
          <w:tcPr>
            <w:tcW w:w="1153" w:type="dxa"/>
            <w:tcBorders>
              <w:top w:val="nil"/>
              <w:left w:val="nil"/>
              <w:bottom w:val="single" w:sz="4" w:space="0" w:color="auto"/>
              <w:right w:val="single" w:sz="4" w:space="0" w:color="auto"/>
            </w:tcBorders>
            <w:shd w:val="clear" w:color="auto" w:fill="auto"/>
            <w:noWrap/>
            <w:vAlign w:val="center"/>
          </w:tcPr>
          <w:p w14:paraId="108D5311" w14:textId="426D453D" w:rsidR="0045372D" w:rsidRPr="00E878D3" w:rsidRDefault="0045372D" w:rsidP="00FF0EE8">
            <w:pPr>
              <w:autoSpaceDE/>
              <w:autoSpaceDN/>
              <w:adjustRightInd/>
              <w:spacing w:line="240" w:lineRule="auto"/>
              <w:jc w:val="center"/>
              <w:rPr>
                <w:color w:val="000000"/>
              </w:rPr>
            </w:pPr>
            <w:r w:rsidRPr="005C7AB7">
              <w:t>1.5</w:t>
            </w:r>
          </w:p>
        </w:tc>
        <w:tc>
          <w:tcPr>
            <w:tcW w:w="1153" w:type="dxa"/>
            <w:tcBorders>
              <w:top w:val="nil"/>
              <w:left w:val="nil"/>
              <w:bottom w:val="single" w:sz="4" w:space="0" w:color="auto"/>
              <w:right w:val="single" w:sz="4" w:space="0" w:color="auto"/>
            </w:tcBorders>
            <w:shd w:val="clear" w:color="auto" w:fill="auto"/>
            <w:noWrap/>
            <w:vAlign w:val="center"/>
          </w:tcPr>
          <w:p w14:paraId="18B85E0A" w14:textId="053ADC03" w:rsidR="0045372D" w:rsidRPr="00E878D3" w:rsidRDefault="0045372D" w:rsidP="00FF0EE8">
            <w:pPr>
              <w:autoSpaceDE/>
              <w:autoSpaceDN/>
              <w:adjustRightInd/>
              <w:spacing w:line="240" w:lineRule="auto"/>
              <w:jc w:val="center"/>
              <w:rPr>
                <w:color w:val="000000"/>
              </w:rPr>
            </w:pPr>
            <w:r w:rsidRPr="005C7AB7">
              <w:t>10</w:t>
            </w:r>
          </w:p>
        </w:tc>
        <w:tc>
          <w:tcPr>
            <w:tcW w:w="1153" w:type="dxa"/>
            <w:tcBorders>
              <w:top w:val="nil"/>
              <w:left w:val="nil"/>
              <w:bottom w:val="single" w:sz="4" w:space="0" w:color="auto"/>
              <w:right w:val="single" w:sz="4" w:space="0" w:color="auto"/>
            </w:tcBorders>
            <w:vAlign w:val="center"/>
          </w:tcPr>
          <w:p w14:paraId="73FC5536" w14:textId="14FF640F" w:rsidR="0045372D" w:rsidRPr="00E878D3" w:rsidRDefault="0045372D" w:rsidP="00FF0EE8">
            <w:pPr>
              <w:spacing w:line="240" w:lineRule="auto"/>
              <w:jc w:val="center"/>
              <w:rPr>
                <w:color w:val="000000"/>
              </w:rPr>
            </w:pPr>
            <w:r w:rsidRPr="005C7AB7">
              <w:t>2.8</w:t>
            </w:r>
          </w:p>
        </w:tc>
      </w:tr>
      <w:tr w:rsidR="005524A0" w:rsidRPr="00C0263B" w14:paraId="56524E58" w14:textId="77777777" w:rsidTr="004F5401">
        <w:trPr>
          <w:trHeight w:val="300"/>
        </w:trPr>
        <w:tc>
          <w:tcPr>
            <w:tcW w:w="9365"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5656ADB1" w14:textId="06764C6E" w:rsidR="005524A0" w:rsidRPr="00E878D3" w:rsidRDefault="005524A0" w:rsidP="00FF0EE8">
            <w:pPr>
              <w:autoSpaceDE/>
              <w:autoSpaceDN/>
              <w:adjustRightInd/>
              <w:spacing w:line="240" w:lineRule="auto"/>
              <w:rPr>
                <w:color w:val="000000"/>
              </w:rPr>
            </w:pPr>
            <w:r w:rsidRPr="00E878D3">
              <w:rPr>
                <w:b/>
              </w:rPr>
              <w:t>Industry (annually recurring, per site, Code Case N</w:t>
            </w:r>
            <w:r w:rsidR="00A402CA" w:rsidRPr="00D557C2">
              <w:rPr>
                <w:rFonts w:eastAsia="Times New Roman"/>
                <w:b/>
                <w:bCs/>
              </w:rPr>
              <w:noBreakHyphen/>
            </w:r>
            <w:r w:rsidRPr="00E878D3">
              <w:rPr>
                <w:b/>
              </w:rPr>
              <w:t>795)</w:t>
            </w:r>
          </w:p>
        </w:tc>
      </w:tr>
      <w:tr w:rsidR="0045372D" w:rsidRPr="00C0263B" w14:paraId="1EA52299" w14:textId="77777777" w:rsidTr="004F5401">
        <w:trPr>
          <w:trHeight w:val="300"/>
        </w:trPr>
        <w:tc>
          <w:tcPr>
            <w:tcW w:w="3172" w:type="dxa"/>
            <w:tcBorders>
              <w:top w:val="nil"/>
              <w:left w:val="single" w:sz="4" w:space="0" w:color="auto"/>
              <w:bottom w:val="single" w:sz="4" w:space="0" w:color="auto"/>
              <w:right w:val="single" w:sz="4" w:space="0" w:color="auto"/>
            </w:tcBorders>
            <w:shd w:val="clear" w:color="auto" w:fill="auto"/>
            <w:vAlign w:val="center"/>
          </w:tcPr>
          <w:p w14:paraId="2E946727" w14:textId="7B98EB65" w:rsidR="0045372D" w:rsidRPr="00E878D3" w:rsidRDefault="0045372D" w:rsidP="00FF0EE8">
            <w:pPr>
              <w:autoSpaceDE/>
              <w:autoSpaceDN/>
              <w:adjustRightInd/>
              <w:spacing w:line="240" w:lineRule="auto"/>
            </w:pPr>
            <w:r w:rsidRPr="00E878D3">
              <w:rPr>
                <w:color w:val="000000"/>
              </w:rPr>
              <w:t xml:space="preserve">Average number of annual Code Case alternative </w:t>
            </w:r>
            <w:r w:rsidRPr="00D557C2">
              <w:rPr>
                <w:rFonts w:eastAsia="Times New Roman"/>
                <w:color w:val="000000"/>
              </w:rPr>
              <w:t>requests</w:t>
            </w:r>
            <w:r w:rsidRPr="00E878D3">
              <w:rPr>
                <w:color w:val="000000"/>
              </w:rPr>
              <w:t xml:space="preserve"> submitted</w:t>
            </w:r>
            <w:r w:rsidR="00F33513">
              <w:rPr>
                <w:color w:val="000000"/>
                <w:vertAlign w:val="superscript"/>
              </w:rPr>
              <w:t>a</w:t>
            </w:r>
          </w:p>
        </w:tc>
        <w:tc>
          <w:tcPr>
            <w:tcW w:w="1581" w:type="dxa"/>
            <w:tcBorders>
              <w:top w:val="nil"/>
              <w:left w:val="single" w:sz="4" w:space="0" w:color="auto"/>
              <w:bottom w:val="single" w:sz="4" w:space="0" w:color="auto"/>
              <w:right w:val="single" w:sz="4" w:space="0" w:color="auto"/>
            </w:tcBorders>
            <w:shd w:val="clear" w:color="auto" w:fill="auto"/>
            <w:noWrap/>
            <w:vAlign w:val="center"/>
          </w:tcPr>
          <w:p w14:paraId="0E460D33" w14:textId="6608A0DC" w:rsidR="0045372D" w:rsidRPr="00E878D3" w:rsidRDefault="0045372D" w:rsidP="00FF0EE8">
            <w:pPr>
              <w:autoSpaceDE/>
              <w:autoSpaceDN/>
              <w:adjustRightInd/>
              <w:spacing w:line="240" w:lineRule="auto"/>
              <w:jc w:val="center"/>
              <w:rPr>
                <w:color w:val="000000"/>
              </w:rPr>
            </w:pPr>
            <w:r w:rsidRPr="00D557C2">
              <w:rPr>
                <w:rFonts w:eastAsia="Times New Roman"/>
                <w:color w:val="000000"/>
              </w:rPr>
              <w:t>P</w:t>
            </w:r>
            <w:r>
              <w:rPr>
                <w:rFonts w:eastAsia="Times New Roman"/>
                <w:color w:val="000000"/>
              </w:rPr>
              <w:t>ERT</w:t>
            </w:r>
          </w:p>
        </w:tc>
        <w:tc>
          <w:tcPr>
            <w:tcW w:w="1153" w:type="dxa"/>
            <w:tcBorders>
              <w:top w:val="nil"/>
              <w:left w:val="nil"/>
              <w:bottom w:val="single" w:sz="4" w:space="0" w:color="auto"/>
              <w:right w:val="single" w:sz="4" w:space="0" w:color="auto"/>
            </w:tcBorders>
            <w:shd w:val="clear" w:color="auto" w:fill="auto"/>
            <w:noWrap/>
            <w:vAlign w:val="center"/>
          </w:tcPr>
          <w:p w14:paraId="307522B0" w14:textId="0D978989" w:rsidR="0045372D" w:rsidRPr="00E878D3" w:rsidRDefault="0045372D" w:rsidP="00FF0EE8">
            <w:pPr>
              <w:spacing w:line="240" w:lineRule="auto"/>
              <w:jc w:val="center"/>
              <w:rPr>
                <w:color w:val="000000"/>
              </w:rPr>
            </w:pPr>
            <w:r w:rsidRPr="006D014F">
              <w:t>8.5</w:t>
            </w:r>
          </w:p>
        </w:tc>
        <w:tc>
          <w:tcPr>
            <w:tcW w:w="1153" w:type="dxa"/>
            <w:tcBorders>
              <w:top w:val="nil"/>
              <w:left w:val="nil"/>
              <w:bottom w:val="single" w:sz="4" w:space="0" w:color="auto"/>
              <w:right w:val="single" w:sz="4" w:space="0" w:color="auto"/>
            </w:tcBorders>
            <w:shd w:val="clear" w:color="auto" w:fill="auto"/>
            <w:noWrap/>
            <w:vAlign w:val="center"/>
          </w:tcPr>
          <w:p w14:paraId="18C08684" w14:textId="29A27032" w:rsidR="0045372D" w:rsidRPr="00E878D3" w:rsidRDefault="0045372D" w:rsidP="00FF0EE8">
            <w:pPr>
              <w:spacing w:line="240" w:lineRule="auto"/>
              <w:jc w:val="center"/>
              <w:rPr>
                <w:color w:val="000000"/>
              </w:rPr>
            </w:pPr>
            <w:r w:rsidRPr="006D014F">
              <w:t>9</w:t>
            </w:r>
          </w:p>
        </w:tc>
        <w:tc>
          <w:tcPr>
            <w:tcW w:w="1153" w:type="dxa"/>
            <w:tcBorders>
              <w:top w:val="nil"/>
              <w:left w:val="nil"/>
              <w:bottom w:val="single" w:sz="4" w:space="0" w:color="auto"/>
              <w:right w:val="single" w:sz="4" w:space="0" w:color="auto"/>
            </w:tcBorders>
            <w:shd w:val="clear" w:color="auto" w:fill="auto"/>
            <w:noWrap/>
            <w:vAlign w:val="center"/>
          </w:tcPr>
          <w:p w14:paraId="2CF541DB" w14:textId="2233F1A0" w:rsidR="0045372D" w:rsidRPr="00E878D3" w:rsidRDefault="0045372D" w:rsidP="00FF0EE8">
            <w:pPr>
              <w:spacing w:line="240" w:lineRule="auto"/>
              <w:jc w:val="center"/>
              <w:rPr>
                <w:color w:val="000000"/>
              </w:rPr>
            </w:pPr>
            <w:r w:rsidRPr="006D014F">
              <w:t>9</w:t>
            </w:r>
          </w:p>
        </w:tc>
        <w:tc>
          <w:tcPr>
            <w:tcW w:w="1153" w:type="dxa"/>
            <w:tcBorders>
              <w:top w:val="nil"/>
              <w:left w:val="nil"/>
              <w:bottom w:val="single" w:sz="4" w:space="0" w:color="auto"/>
              <w:right w:val="single" w:sz="4" w:space="0" w:color="auto"/>
            </w:tcBorders>
            <w:vAlign w:val="center"/>
          </w:tcPr>
          <w:p w14:paraId="57EC4879" w14:textId="6F49900A" w:rsidR="0045372D" w:rsidRPr="00E878D3" w:rsidRDefault="0045372D" w:rsidP="00FF0EE8">
            <w:pPr>
              <w:autoSpaceDE/>
              <w:autoSpaceDN/>
              <w:adjustRightInd/>
              <w:spacing w:line="240" w:lineRule="auto"/>
              <w:jc w:val="center"/>
              <w:rPr>
                <w:color w:val="000000"/>
              </w:rPr>
            </w:pPr>
            <w:r w:rsidRPr="006D014F">
              <w:t>8.9</w:t>
            </w:r>
          </w:p>
        </w:tc>
      </w:tr>
      <w:tr w:rsidR="005524A0" w:rsidRPr="00C0263B" w14:paraId="348D425F" w14:textId="77777777" w:rsidTr="004F5401">
        <w:trPr>
          <w:trHeight w:val="300"/>
        </w:trPr>
        <w:tc>
          <w:tcPr>
            <w:tcW w:w="3172" w:type="dxa"/>
            <w:tcBorders>
              <w:top w:val="nil"/>
              <w:left w:val="single" w:sz="4" w:space="0" w:color="auto"/>
              <w:bottom w:val="single" w:sz="4" w:space="0" w:color="auto"/>
              <w:right w:val="single" w:sz="4" w:space="0" w:color="auto"/>
            </w:tcBorders>
            <w:shd w:val="clear" w:color="auto" w:fill="auto"/>
            <w:vAlign w:val="center"/>
          </w:tcPr>
          <w:p w14:paraId="402D1CDA" w14:textId="77777777" w:rsidR="005524A0" w:rsidRPr="00E878D3" w:rsidRDefault="005524A0" w:rsidP="00FF0EE8">
            <w:pPr>
              <w:autoSpaceDE/>
              <w:autoSpaceDN/>
              <w:adjustRightInd/>
              <w:spacing w:line="240" w:lineRule="auto"/>
              <w:rPr>
                <w:color w:val="000000"/>
              </w:rPr>
            </w:pPr>
            <w:r w:rsidRPr="00E878D3">
              <w:rPr>
                <w:color w:val="000000"/>
              </w:rPr>
              <w:t>Hours to submit an alternative request</w:t>
            </w:r>
          </w:p>
        </w:tc>
        <w:tc>
          <w:tcPr>
            <w:tcW w:w="1581" w:type="dxa"/>
            <w:tcBorders>
              <w:top w:val="nil"/>
              <w:left w:val="single" w:sz="4" w:space="0" w:color="auto"/>
              <w:bottom w:val="single" w:sz="4" w:space="0" w:color="auto"/>
              <w:right w:val="single" w:sz="4" w:space="0" w:color="auto"/>
            </w:tcBorders>
            <w:shd w:val="clear" w:color="auto" w:fill="auto"/>
            <w:noWrap/>
            <w:vAlign w:val="center"/>
          </w:tcPr>
          <w:p w14:paraId="1DB8A5CC" w14:textId="740FFA26"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P</w:t>
            </w:r>
            <w:r w:rsidR="005F3219">
              <w:rPr>
                <w:rFonts w:eastAsia="Times New Roman"/>
                <w:color w:val="000000"/>
              </w:rPr>
              <w:t>ERT</w:t>
            </w:r>
          </w:p>
        </w:tc>
        <w:tc>
          <w:tcPr>
            <w:tcW w:w="1153" w:type="dxa"/>
            <w:tcBorders>
              <w:top w:val="nil"/>
              <w:left w:val="nil"/>
              <w:bottom w:val="single" w:sz="4" w:space="0" w:color="auto"/>
              <w:right w:val="single" w:sz="4" w:space="0" w:color="auto"/>
            </w:tcBorders>
            <w:shd w:val="clear" w:color="auto" w:fill="auto"/>
            <w:noWrap/>
            <w:vAlign w:val="center"/>
          </w:tcPr>
          <w:p w14:paraId="4FBD4B57" w14:textId="77777777" w:rsidR="005524A0" w:rsidRPr="00E878D3" w:rsidRDefault="005524A0" w:rsidP="00FF0EE8">
            <w:pPr>
              <w:autoSpaceDE/>
              <w:autoSpaceDN/>
              <w:adjustRightInd/>
              <w:spacing w:line="240" w:lineRule="auto"/>
              <w:jc w:val="center"/>
              <w:rPr>
                <w:color w:val="000000"/>
              </w:rPr>
            </w:pPr>
            <w:r w:rsidRPr="00E878D3">
              <w:rPr>
                <w:color w:val="000000"/>
              </w:rPr>
              <w:t>96</w:t>
            </w:r>
          </w:p>
        </w:tc>
        <w:tc>
          <w:tcPr>
            <w:tcW w:w="1153" w:type="dxa"/>
            <w:tcBorders>
              <w:top w:val="nil"/>
              <w:left w:val="nil"/>
              <w:bottom w:val="single" w:sz="4" w:space="0" w:color="auto"/>
              <w:right w:val="single" w:sz="4" w:space="0" w:color="auto"/>
            </w:tcBorders>
            <w:shd w:val="clear" w:color="auto" w:fill="auto"/>
            <w:noWrap/>
            <w:vAlign w:val="center"/>
          </w:tcPr>
          <w:p w14:paraId="2C002658" w14:textId="77777777" w:rsidR="005524A0" w:rsidRPr="00E878D3" w:rsidRDefault="005524A0" w:rsidP="00FF0EE8">
            <w:pPr>
              <w:autoSpaceDE/>
              <w:autoSpaceDN/>
              <w:adjustRightInd/>
              <w:spacing w:line="240" w:lineRule="auto"/>
              <w:jc w:val="center"/>
              <w:rPr>
                <w:color w:val="000000"/>
              </w:rPr>
            </w:pPr>
            <w:r w:rsidRPr="00E878D3">
              <w:rPr>
                <w:color w:val="000000"/>
              </w:rPr>
              <w:t>120</w:t>
            </w:r>
          </w:p>
        </w:tc>
        <w:tc>
          <w:tcPr>
            <w:tcW w:w="1153" w:type="dxa"/>
            <w:tcBorders>
              <w:top w:val="nil"/>
              <w:left w:val="nil"/>
              <w:bottom w:val="single" w:sz="4" w:space="0" w:color="auto"/>
              <w:right w:val="single" w:sz="4" w:space="0" w:color="auto"/>
            </w:tcBorders>
            <w:shd w:val="clear" w:color="auto" w:fill="auto"/>
            <w:noWrap/>
            <w:vAlign w:val="center"/>
          </w:tcPr>
          <w:p w14:paraId="1CCBBA5D" w14:textId="77777777" w:rsidR="005524A0" w:rsidRPr="00E878D3" w:rsidRDefault="005524A0" w:rsidP="00FF0EE8">
            <w:pPr>
              <w:autoSpaceDE/>
              <w:autoSpaceDN/>
              <w:adjustRightInd/>
              <w:spacing w:line="240" w:lineRule="auto"/>
              <w:jc w:val="center"/>
              <w:rPr>
                <w:color w:val="000000"/>
              </w:rPr>
            </w:pPr>
            <w:r w:rsidRPr="00E878D3">
              <w:rPr>
                <w:color w:val="000000"/>
              </w:rPr>
              <w:t>144</w:t>
            </w:r>
          </w:p>
        </w:tc>
        <w:tc>
          <w:tcPr>
            <w:tcW w:w="1153" w:type="dxa"/>
            <w:tcBorders>
              <w:top w:val="nil"/>
              <w:left w:val="nil"/>
              <w:bottom w:val="single" w:sz="4" w:space="0" w:color="auto"/>
              <w:right w:val="single" w:sz="4" w:space="0" w:color="auto"/>
            </w:tcBorders>
            <w:vAlign w:val="center"/>
          </w:tcPr>
          <w:p w14:paraId="4EB944B2" w14:textId="77777777" w:rsidR="005524A0" w:rsidRPr="00E878D3" w:rsidRDefault="005524A0" w:rsidP="00FF0EE8">
            <w:pPr>
              <w:autoSpaceDE/>
              <w:autoSpaceDN/>
              <w:adjustRightInd/>
              <w:spacing w:line="240" w:lineRule="auto"/>
              <w:jc w:val="center"/>
              <w:rPr>
                <w:color w:val="000000"/>
              </w:rPr>
            </w:pPr>
            <w:r w:rsidRPr="00E878D3">
              <w:rPr>
                <w:color w:val="000000"/>
              </w:rPr>
              <w:t>120.0</w:t>
            </w:r>
          </w:p>
        </w:tc>
      </w:tr>
      <w:tr w:rsidR="005524A0" w:rsidRPr="00C0263B" w14:paraId="7181B610" w14:textId="77777777" w:rsidTr="004F5401">
        <w:trPr>
          <w:trHeight w:val="300"/>
        </w:trPr>
        <w:tc>
          <w:tcPr>
            <w:tcW w:w="3172" w:type="dxa"/>
            <w:tcBorders>
              <w:top w:val="nil"/>
              <w:left w:val="single" w:sz="4" w:space="0" w:color="auto"/>
              <w:bottom w:val="single" w:sz="4" w:space="0" w:color="auto"/>
              <w:right w:val="single" w:sz="4" w:space="0" w:color="auto"/>
            </w:tcBorders>
            <w:shd w:val="clear" w:color="auto" w:fill="auto"/>
            <w:vAlign w:val="center"/>
          </w:tcPr>
          <w:p w14:paraId="2A380AF5" w14:textId="2A21A9E3" w:rsidR="005524A0" w:rsidRPr="00E878D3" w:rsidRDefault="005524A0" w:rsidP="00FF0EE8">
            <w:pPr>
              <w:autoSpaceDE/>
              <w:autoSpaceDN/>
              <w:adjustRightInd/>
              <w:spacing w:line="240" w:lineRule="auto"/>
              <w:rPr>
                <w:color w:val="000000"/>
              </w:rPr>
            </w:pPr>
            <w:r w:rsidRPr="00D557C2">
              <w:rPr>
                <w:color w:val="000000"/>
              </w:rPr>
              <w:t>N</w:t>
            </w:r>
            <w:r w:rsidR="00CA0C9F" w:rsidRPr="00D557C2">
              <w:rPr>
                <w:color w:val="000000"/>
              </w:rPr>
              <w:t>umber</w:t>
            </w:r>
            <w:r w:rsidRPr="00E878D3">
              <w:rPr>
                <w:color w:val="000000"/>
              </w:rPr>
              <w:t xml:space="preserve"> of incremental hours to perform Code Case N</w:t>
            </w:r>
            <w:r w:rsidR="00CA0C9F" w:rsidRPr="00D557C2">
              <w:rPr>
                <w:color w:val="000000"/>
              </w:rPr>
              <w:noBreakHyphen/>
            </w:r>
            <w:r w:rsidRPr="00E878D3">
              <w:rPr>
                <w:color w:val="000000"/>
              </w:rPr>
              <w:t>795 test</w:t>
            </w:r>
          </w:p>
        </w:tc>
        <w:tc>
          <w:tcPr>
            <w:tcW w:w="1581" w:type="dxa"/>
            <w:tcBorders>
              <w:top w:val="nil"/>
              <w:left w:val="single" w:sz="4" w:space="0" w:color="auto"/>
              <w:bottom w:val="single" w:sz="4" w:space="0" w:color="auto"/>
              <w:right w:val="single" w:sz="4" w:space="0" w:color="auto"/>
            </w:tcBorders>
            <w:shd w:val="clear" w:color="auto" w:fill="auto"/>
            <w:noWrap/>
            <w:vAlign w:val="center"/>
          </w:tcPr>
          <w:p w14:paraId="430927AE" w14:textId="687F22DC" w:rsidR="005524A0" w:rsidRPr="00E878D3" w:rsidRDefault="005524A0" w:rsidP="00FF0EE8">
            <w:pPr>
              <w:autoSpaceDE/>
              <w:autoSpaceDN/>
              <w:adjustRightInd/>
              <w:spacing w:line="240" w:lineRule="auto"/>
              <w:jc w:val="center"/>
              <w:rPr>
                <w:color w:val="000000"/>
              </w:rPr>
            </w:pPr>
            <w:r w:rsidRPr="00D557C2">
              <w:rPr>
                <w:color w:val="000000"/>
              </w:rPr>
              <w:t>P</w:t>
            </w:r>
            <w:r w:rsidR="005F3219">
              <w:rPr>
                <w:color w:val="000000"/>
              </w:rPr>
              <w:t>ERT</w:t>
            </w:r>
          </w:p>
        </w:tc>
        <w:tc>
          <w:tcPr>
            <w:tcW w:w="1153" w:type="dxa"/>
            <w:tcBorders>
              <w:top w:val="nil"/>
              <w:left w:val="nil"/>
              <w:bottom w:val="single" w:sz="4" w:space="0" w:color="auto"/>
              <w:right w:val="single" w:sz="4" w:space="0" w:color="auto"/>
            </w:tcBorders>
            <w:shd w:val="clear" w:color="auto" w:fill="auto"/>
            <w:noWrap/>
            <w:vAlign w:val="center"/>
          </w:tcPr>
          <w:p w14:paraId="51440D69" w14:textId="77777777" w:rsidR="005524A0" w:rsidRPr="00E878D3" w:rsidRDefault="005524A0" w:rsidP="00FF0EE8">
            <w:pPr>
              <w:autoSpaceDE/>
              <w:autoSpaceDN/>
              <w:adjustRightInd/>
              <w:spacing w:line="240" w:lineRule="auto"/>
              <w:jc w:val="center"/>
              <w:rPr>
                <w:color w:val="000000"/>
              </w:rPr>
            </w:pPr>
            <w:r w:rsidRPr="00E878D3">
              <w:rPr>
                <w:color w:val="000000"/>
              </w:rPr>
              <w:t>0.5</w:t>
            </w:r>
          </w:p>
        </w:tc>
        <w:tc>
          <w:tcPr>
            <w:tcW w:w="1153" w:type="dxa"/>
            <w:tcBorders>
              <w:top w:val="nil"/>
              <w:left w:val="nil"/>
              <w:bottom w:val="single" w:sz="4" w:space="0" w:color="auto"/>
              <w:right w:val="single" w:sz="4" w:space="0" w:color="auto"/>
            </w:tcBorders>
            <w:shd w:val="clear" w:color="auto" w:fill="auto"/>
            <w:noWrap/>
            <w:vAlign w:val="center"/>
          </w:tcPr>
          <w:p w14:paraId="3AC34EC2" w14:textId="77777777" w:rsidR="005524A0" w:rsidRPr="00E878D3" w:rsidRDefault="005524A0" w:rsidP="00FF0EE8">
            <w:pPr>
              <w:autoSpaceDE/>
              <w:autoSpaceDN/>
              <w:adjustRightInd/>
              <w:spacing w:line="240" w:lineRule="auto"/>
              <w:jc w:val="center"/>
              <w:rPr>
                <w:color w:val="000000"/>
              </w:rPr>
            </w:pPr>
            <w:r w:rsidRPr="00E878D3">
              <w:rPr>
                <w:color w:val="000000"/>
              </w:rPr>
              <w:t>0.75</w:t>
            </w:r>
          </w:p>
        </w:tc>
        <w:tc>
          <w:tcPr>
            <w:tcW w:w="1153" w:type="dxa"/>
            <w:tcBorders>
              <w:top w:val="nil"/>
              <w:left w:val="nil"/>
              <w:bottom w:val="single" w:sz="4" w:space="0" w:color="auto"/>
              <w:right w:val="single" w:sz="4" w:space="0" w:color="auto"/>
            </w:tcBorders>
            <w:shd w:val="clear" w:color="auto" w:fill="auto"/>
            <w:noWrap/>
            <w:vAlign w:val="center"/>
          </w:tcPr>
          <w:p w14:paraId="71B14B9B" w14:textId="77777777" w:rsidR="005524A0" w:rsidRPr="00E878D3" w:rsidRDefault="005524A0" w:rsidP="00FF0EE8">
            <w:pPr>
              <w:autoSpaceDE/>
              <w:autoSpaceDN/>
              <w:adjustRightInd/>
              <w:spacing w:line="240" w:lineRule="auto"/>
              <w:jc w:val="center"/>
              <w:rPr>
                <w:color w:val="000000"/>
              </w:rPr>
            </w:pPr>
            <w:r w:rsidRPr="00E878D3">
              <w:rPr>
                <w:color w:val="000000"/>
              </w:rPr>
              <w:t>1.0</w:t>
            </w:r>
          </w:p>
        </w:tc>
        <w:tc>
          <w:tcPr>
            <w:tcW w:w="1153" w:type="dxa"/>
            <w:tcBorders>
              <w:top w:val="nil"/>
              <w:left w:val="nil"/>
              <w:bottom w:val="single" w:sz="4" w:space="0" w:color="auto"/>
              <w:right w:val="single" w:sz="4" w:space="0" w:color="auto"/>
            </w:tcBorders>
            <w:vAlign w:val="center"/>
          </w:tcPr>
          <w:p w14:paraId="39AE5F10" w14:textId="77777777" w:rsidR="005524A0" w:rsidRPr="00E878D3" w:rsidRDefault="005524A0" w:rsidP="00FF0EE8">
            <w:pPr>
              <w:autoSpaceDE/>
              <w:autoSpaceDN/>
              <w:adjustRightInd/>
              <w:spacing w:line="240" w:lineRule="auto"/>
              <w:jc w:val="center"/>
              <w:rPr>
                <w:color w:val="000000"/>
              </w:rPr>
            </w:pPr>
            <w:r w:rsidRPr="00E878D3">
              <w:rPr>
                <w:color w:val="000000"/>
              </w:rPr>
              <w:t>0.75</w:t>
            </w:r>
          </w:p>
        </w:tc>
      </w:tr>
      <w:tr w:rsidR="005524A0" w:rsidRPr="00C0263B" w14:paraId="60CF2F83" w14:textId="77777777" w:rsidTr="004F5401">
        <w:trPr>
          <w:trHeight w:val="300"/>
        </w:trPr>
        <w:tc>
          <w:tcPr>
            <w:tcW w:w="9365"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18326812" w14:textId="70693101" w:rsidR="005524A0" w:rsidRPr="00E878D3" w:rsidRDefault="005524A0" w:rsidP="00FF0EE8">
            <w:pPr>
              <w:keepNext/>
              <w:autoSpaceDE/>
              <w:autoSpaceDN/>
              <w:adjustRightInd/>
              <w:spacing w:line="240" w:lineRule="auto"/>
              <w:rPr>
                <w:b/>
              </w:rPr>
            </w:pPr>
            <w:r w:rsidRPr="00E878D3">
              <w:rPr>
                <w:b/>
              </w:rPr>
              <w:t>Industry (annually recurring, per site, Code Case N</w:t>
            </w:r>
            <w:r w:rsidR="00CA0C9F" w:rsidRPr="00D557C2">
              <w:rPr>
                <w:rFonts w:eastAsia="Times New Roman"/>
                <w:b/>
                <w:bCs/>
              </w:rPr>
              <w:noBreakHyphen/>
            </w:r>
            <w:r w:rsidRPr="00E878D3">
              <w:rPr>
                <w:b/>
              </w:rPr>
              <w:t>799)</w:t>
            </w:r>
          </w:p>
        </w:tc>
      </w:tr>
      <w:tr w:rsidR="005524A0" w:rsidRPr="00C0263B" w14:paraId="2BA21C17" w14:textId="77777777" w:rsidTr="004F5401">
        <w:trPr>
          <w:trHeight w:val="305"/>
        </w:trPr>
        <w:tc>
          <w:tcPr>
            <w:tcW w:w="3172" w:type="dxa"/>
            <w:tcBorders>
              <w:top w:val="single" w:sz="4" w:space="0" w:color="auto"/>
              <w:left w:val="single" w:sz="4" w:space="0" w:color="auto"/>
              <w:bottom w:val="single" w:sz="4" w:space="0" w:color="auto"/>
              <w:right w:val="single" w:sz="4" w:space="0" w:color="auto"/>
            </w:tcBorders>
            <w:shd w:val="clear" w:color="auto" w:fill="auto"/>
            <w:vAlign w:val="center"/>
          </w:tcPr>
          <w:p w14:paraId="075E9E8B" w14:textId="2348B906" w:rsidR="00446FDF" w:rsidRPr="00E878D3" w:rsidRDefault="005524A0" w:rsidP="00FF0EE8">
            <w:pPr>
              <w:keepNext/>
              <w:autoSpaceDE/>
              <w:autoSpaceDN/>
              <w:adjustRightInd/>
              <w:spacing w:line="240" w:lineRule="auto"/>
            </w:pPr>
            <w:r w:rsidRPr="00E878D3">
              <w:rPr>
                <w:color w:val="000000"/>
              </w:rPr>
              <w:t xml:space="preserve">Average number of annual Code Case alternative </w:t>
            </w:r>
            <w:r w:rsidRPr="00D557C2">
              <w:rPr>
                <w:rFonts w:eastAsia="Times New Roman"/>
                <w:color w:val="000000"/>
              </w:rPr>
              <w:t>request</w:t>
            </w:r>
            <w:r w:rsidR="00CA0C9F" w:rsidRPr="00D557C2">
              <w:rPr>
                <w:rFonts w:eastAsia="Times New Roman"/>
                <w:color w:val="000000"/>
              </w:rPr>
              <w:t>s</w:t>
            </w:r>
            <w:r w:rsidRPr="00E878D3">
              <w:rPr>
                <w:color w:val="000000"/>
              </w:rPr>
              <w:t xml:space="preserve"> submitted</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53F4E7D4"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56E85BB" w14:textId="77777777" w:rsidR="005524A0" w:rsidRPr="00E878D3" w:rsidRDefault="005524A0" w:rsidP="00FF0EE8">
            <w:pPr>
              <w:spacing w:line="240" w:lineRule="auto"/>
              <w:jc w:val="center"/>
              <w:rPr>
                <w:color w:val="000000"/>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C0D4F58" w14:textId="77777777" w:rsidR="005524A0" w:rsidRPr="00E878D3" w:rsidRDefault="005524A0" w:rsidP="00FF0EE8">
            <w:pPr>
              <w:spacing w:line="240" w:lineRule="auto"/>
              <w:jc w:val="center"/>
              <w:rPr>
                <w:color w:val="000000"/>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15A9B8EA" w14:textId="77777777" w:rsidR="005524A0" w:rsidRPr="00E878D3" w:rsidRDefault="005524A0" w:rsidP="00FF0EE8">
            <w:pPr>
              <w:spacing w:line="240" w:lineRule="auto"/>
              <w:jc w:val="center"/>
              <w:rPr>
                <w:color w:val="000000"/>
              </w:rPr>
            </w:pPr>
          </w:p>
        </w:tc>
        <w:tc>
          <w:tcPr>
            <w:tcW w:w="1153" w:type="dxa"/>
            <w:tcBorders>
              <w:top w:val="single" w:sz="4" w:space="0" w:color="auto"/>
              <w:left w:val="single" w:sz="4" w:space="0" w:color="auto"/>
              <w:bottom w:val="single" w:sz="4" w:space="0" w:color="auto"/>
              <w:right w:val="single" w:sz="4" w:space="0" w:color="auto"/>
            </w:tcBorders>
            <w:vAlign w:val="center"/>
          </w:tcPr>
          <w:p w14:paraId="2B27A999" w14:textId="77777777" w:rsidR="005524A0" w:rsidRPr="00E878D3" w:rsidRDefault="001C7704" w:rsidP="00FF0EE8">
            <w:pPr>
              <w:spacing w:line="240" w:lineRule="auto"/>
              <w:jc w:val="center"/>
              <w:rPr>
                <w:color w:val="000000"/>
              </w:rPr>
            </w:pPr>
            <w:r w:rsidRPr="00E878D3">
              <w:rPr>
                <w:color w:val="000000"/>
              </w:rPr>
              <w:t>5</w:t>
            </w:r>
            <w:r w:rsidR="005524A0" w:rsidRPr="00E878D3">
              <w:rPr>
                <w:color w:val="000000"/>
              </w:rPr>
              <w:t>.0</w:t>
            </w:r>
          </w:p>
        </w:tc>
      </w:tr>
      <w:tr w:rsidR="005524A0" w:rsidRPr="00C0263B" w14:paraId="1099E508" w14:textId="77777777" w:rsidTr="00114987">
        <w:trPr>
          <w:trHeight w:val="305"/>
        </w:trPr>
        <w:tc>
          <w:tcPr>
            <w:tcW w:w="3172" w:type="dxa"/>
            <w:tcBorders>
              <w:top w:val="single" w:sz="4" w:space="0" w:color="auto"/>
              <w:left w:val="single" w:sz="4" w:space="0" w:color="auto"/>
              <w:bottom w:val="single" w:sz="4" w:space="0" w:color="auto"/>
              <w:right w:val="single" w:sz="4" w:space="0" w:color="auto"/>
            </w:tcBorders>
            <w:shd w:val="clear" w:color="auto" w:fill="auto"/>
            <w:vAlign w:val="center"/>
          </w:tcPr>
          <w:p w14:paraId="051C591A" w14:textId="20D8D2E5" w:rsidR="005524A0" w:rsidRPr="00E878D3" w:rsidRDefault="005524A0" w:rsidP="00FF0EE8">
            <w:pPr>
              <w:autoSpaceDE/>
              <w:autoSpaceDN/>
              <w:adjustRightInd/>
              <w:spacing w:line="240" w:lineRule="auto"/>
              <w:rPr>
                <w:color w:val="000000"/>
              </w:rPr>
            </w:pPr>
            <w:r w:rsidRPr="00E878D3">
              <w:rPr>
                <w:color w:val="000000"/>
              </w:rPr>
              <w:t>Hours to submit an alternative request</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2B92FD82" w14:textId="5A74D453"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P</w:t>
            </w:r>
            <w:r w:rsidR="005F3219">
              <w:rPr>
                <w:rFonts w:eastAsia="Times New Roman"/>
                <w:color w:val="000000"/>
              </w:rPr>
              <w:t>ERT</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1142D82" w14:textId="77777777" w:rsidR="005524A0" w:rsidRPr="00E878D3" w:rsidRDefault="005524A0" w:rsidP="00FF0EE8">
            <w:pPr>
              <w:autoSpaceDE/>
              <w:autoSpaceDN/>
              <w:adjustRightInd/>
              <w:spacing w:line="240" w:lineRule="auto"/>
              <w:jc w:val="center"/>
              <w:rPr>
                <w:color w:val="000000"/>
              </w:rPr>
            </w:pPr>
            <w:r w:rsidRPr="00E878D3">
              <w:rPr>
                <w:color w:val="000000"/>
              </w:rPr>
              <w:t>304</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E22A06E" w14:textId="77777777" w:rsidR="005524A0" w:rsidRPr="00E878D3" w:rsidRDefault="005524A0" w:rsidP="00FF0EE8">
            <w:pPr>
              <w:autoSpaceDE/>
              <w:autoSpaceDN/>
              <w:adjustRightInd/>
              <w:spacing w:line="240" w:lineRule="auto"/>
              <w:jc w:val="center"/>
              <w:rPr>
                <w:color w:val="000000"/>
              </w:rPr>
            </w:pPr>
            <w:r w:rsidRPr="00E878D3">
              <w:rPr>
                <w:color w:val="000000"/>
              </w:rPr>
              <w:t>380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1716B62" w14:textId="77777777" w:rsidR="005524A0" w:rsidRPr="00E878D3" w:rsidRDefault="005524A0" w:rsidP="00FF0EE8">
            <w:pPr>
              <w:autoSpaceDE/>
              <w:autoSpaceDN/>
              <w:adjustRightInd/>
              <w:spacing w:line="240" w:lineRule="auto"/>
              <w:jc w:val="center"/>
              <w:rPr>
                <w:color w:val="000000"/>
              </w:rPr>
            </w:pPr>
            <w:r w:rsidRPr="00E878D3">
              <w:rPr>
                <w:color w:val="000000"/>
              </w:rPr>
              <w:t>456</w:t>
            </w:r>
          </w:p>
        </w:tc>
        <w:tc>
          <w:tcPr>
            <w:tcW w:w="1153" w:type="dxa"/>
            <w:tcBorders>
              <w:top w:val="single" w:sz="4" w:space="0" w:color="auto"/>
              <w:left w:val="single" w:sz="4" w:space="0" w:color="auto"/>
              <w:bottom w:val="single" w:sz="4" w:space="0" w:color="auto"/>
              <w:right w:val="single" w:sz="4" w:space="0" w:color="auto"/>
            </w:tcBorders>
            <w:vAlign w:val="center"/>
          </w:tcPr>
          <w:p w14:paraId="07317D20" w14:textId="77777777" w:rsidR="005524A0" w:rsidRPr="00E878D3" w:rsidRDefault="005524A0" w:rsidP="00FF0EE8">
            <w:pPr>
              <w:autoSpaceDE/>
              <w:autoSpaceDN/>
              <w:adjustRightInd/>
              <w:spacing w:line="240" w:lineRule="auto"/>
              <w:jc w:val="center"/>
              <w:rPr>
                <w:color w:val="000000"/>
              </w:rPr>
            </w:pPr>
            <w:r w:rsidRPr="00E878D3">
              <w:rPr>
                <w:color w:val="000000"/>
              </w:rPr>
              <w:t>380</w:t>
            </w:r>
          </w:p>
        </w:tc>
      </w:tr>
      <w:tr w:rsidR="005524A0" w:rsidRPr="00CC7742" w14:paraId="251E8821" w14:textId="77777777" w:rsidTr="00114987">
        <w:trPr>
          <w:trHeight w:val="413"/>
        </w:trPr>
        <w:tc>
          <w:tcPr>
            <w:tcW w:w="3172" w:type="dxa"/>
            <w:tcBorders>
              <w:top w:val="single" w:sz="4" w:space="0" w:color="auto"/>
              <w:left w:val="single" w:sz="4" w:space="0" w:color="auto"/>
              <w:bottom w:val="single" w:sz="4" w:space="0" w:color="auto"/>
              <w:right w:val="single" w:sz="4" w:space="0" w:color="auto"/>
            </w:tcBorders>
            <w:shd w:val="clear" w:color="auto" w:fill="auto"/>
            <w:vAlign w:val="center"/>
          </w:tcPr>
          <w:p w14:paraId="7AF4246B" w14:textId="4F025C9A" w:rsidR="005524A0" w:rsidRPr="00E878D3" w:rsidRDefault="005524A0" w:rsidP="00FF0EE8">
            <w:pPr>
              <w:autoSpaceDE/>
              <w:autoSpaceDN/>
              <w:adjustRightInd/>
              <w:spacing w:line="240" w:lineRule="auto"/>
              <w:rPr>
                <w:color w:val="000000"/>
              </w:rPr>
            </w:pPr>
            <w:r w:rsidRPr="00E878D3">
              <w:rPr>
                <w:color w:val="000000"/>
              </w:rPr>
              <w:t>Number of incremental hours to perform a Code Case N</w:t>
            </w:r>
            <w:r w:rsidR="00CA0C9F" w:rsidRPr="00D557C2">
              <w:rPr>
                <w:color w:val="000000"/>
              </w:rPr>
              <w:noBreakHyphen/>
            </w:r>
            <w:r w:rsidRPr="00E878D3">
              <w:rPr>
                <w:color w:val="000000"/>
              </w:rPr>
              <w:t>799 test</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032605C6" w14:textId="28A761BA" w:rsidR="005524A0" w:rsidRPr="00E878D3" w:rsidRDefault="005524A0" w:rsidP="00FF0EE8">
            <w:pPr>
              <w:autoSpaceDE/>
              <w:autoSpaceDN/>
              <w:adjustRightInd/>
              <w:spacing w:line="240" w:lineRule="auto"/>
              <w:jc w:val="center"/>
              <w:rPr>
                <w:color w:val="000000"/>
              </w:rPr>
            </w:pPr>
            <w:r w:rsidRPr="00D557C2">
              <w:rPr>
                <w:color w:val="000000"/>
              </w:rPr>
              <w:t>P</w:t>
            </w:r>
            <w:r w:rsidR="005F3219">
              <w:rPr>
                <w:color w:val="000000"/>
              </w:rPr>
              <w:t>ERT</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4B83BCB" w14:textId="77777777" w:rsidR="005524A0" w:rsidRPr="00E878D3" w:rsidRDefault="005524A0" w:rsidP="00FF0EE8">
            <w:pPr>
              <w:spacing w:line="240" w:lineRule="auto"/>
              <w:jc w:val="center"/>
              <w:rPr>
                <w:color w:val="000000"/>
              </w:rPr>
            </w:pPr>
            <w:r w:rsidRPr="00E878D3">
              <w:rPr>
                <w:color w:val="000000"/>
              </w:rPr>
              <w:t>5</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ADAC3CD" w14:textId="77777777" w:rsidR="005524A0" w:rsidRPr="00E878D3" w:rsidRDefault="005524A0" w:rsidP="00FF0EE8">
            <w:pPr>
              <w:spacing w:line="240" w:lineRule="auto"/>
              <w:jc w:val="center"/>
              <w:rPr>
                <w:color w:val="000000"/>
              </w:rPr>
            </w:pPr>
            <w:r w:rsidRPr="00E878D3">
              <w:rPr>
                <w:color w:val="000000"/>
              </w:rPr>
              <w:t>10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5964CEB" w14:textId="77777777" w:rsidR="005524A0" w:rsidRPr="00E878D3" w:rsidRDefault="005524A0" w:rsidP="00FF0EE8">
            <w:pPr>
              <w:spacing w:line="240" w:lineRule="auto"/>
              <w:jc w:val="center"/>
              <w:rPr>
                <w:color w:val="000000"/>
              </w:rPr>
            </w:pPr>
            <w:r w:rsidRPr="00E878D3">
              <w:rPr>
                <w:color w:val="000000"/>
              </w:rPr>
              <w:t>25</w:t>
            </w:r>
          </w:p>
        </w:tc>
        <w:tc>
          <w:tcPr>
            <w:tcW w:w="1153" w:type="dxa"/>
            <w:tcBorders>
              <w:top w:val="single" w:sz="4" w:space="0" w:color="auto"/>
              <w:left w:val="single" w:sz="4" w:space="0" w:color="auto"/>
              <w:bottom w:val="single" w:sz="4" w:space="0" w:color="auto"/>
              <w:right w:val="single" w:sz="4" w:space="0" w:color="auto"/>
            </w:tcBorders>
            <w:vAlign w:val="center"/>
          </w:tcPr>
          <w:p w14:paraId="721184BF" w14:textId="77777777" w:rsidR="005524A0" w:rsidRPr="00E878D3" w:rsidRDefault="005524A0" w:rsidP="00FF0EE8">
            <w:pPr>
              <w:autoSpaceDE/>
              <w:autoSpaceDN/>
              <w:adjustRightInd/>
              <w:spacing w:line="240" w:lineRule="auto"/>
              <w:jc w:val="center"/>
              <w:rPr>
                <w:color w:val="000000"/>
              </w:rPr>
            </w:pPr>
            <w:r w:rsidRPr="00E878D3">
              <w:rPr>
                <w:color w:val="000000"/>
              </w:rPr>
              <w:t>11.7</w:t>
            </w:r>
          </w:p>
        </w:tc>
      </w:tr>
      <w:tr w:rsidR="005524A0" w:rsidRPr="00C0263B" w14:paraId="36665FE7" w14:textId="77777777" w:rsidTr="00114987">
        <w:trPr>
          <w:trHeight w:val="300"/>
        </w:trPr>
        <w:tc>
          <w:tcPr>
            <w:tcW w:w="9365"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F590D77" w14:textId="385CF7FC" w:rsidR="005524A0" w:rsidRPr="00E878D3" w:rsidRDefault="005524A0" w:rsidP="00FF0EE8">
            <w:pPr>
              <w:autoSpaceDE/>
              <w:autoSpaceDN/>
              <w:adjustRightInd/>
              <w:spacing w:line="240" w:lineRule="auto"/>
              <w:rPr>
                <w:color w:val="000000"/>
              </w:rPr>
            </w:pPr>
            <w:r w:rsidRPr="00E878D3">
              <w:rPr>
                <w:b/>
              </w:rPr>
              <w:t>NRC (one</w:t>
            </w:r>
            <w:r w:rsidR="00CA0C9F" w:rsidRPr="00D557C2">
              <w:rPr>
                <w:rFonts w:eastAsia="Times New Roman"/>
                <w:b/>
                <w:bCs/>
              </w:rPr>
              <w:t xml:space="preserve"> </w:t>
            </w:r>
            <w:r w:rsidRPr="00E878D3">
              <w:rPr>
                <w:b/>
              </w:rPr>
              <w:t>time)</w:t>
            </w:r>
          </w:p>
        </w:tc>
      </w:tr>
      <w:tr w:rsidR="005524A0" w:rsidRPr="00C0263B" w14:paraId="5FC7A443" w14:textId="77777777" w:rsidTr="00114987">
        <w:trPr>
          <w:trHeight w:val="300"/>
        </w:trPr>
        <w:tc>
          <w:tcPr>
            <w:tcW w:w="3172" w:type="dxa"/>
            <w:tcBorders>
              <w:top w:val="nil"/>
              <w:left w:val="single" w:sz="4" w:space="0" w:color="auto"/>
              <w:bottom w:val="single" w:sz="4" w:space="0" w:color="auto"/>
              <w:right w:val="nil"/>
            </w:tcBorders>
            <w:shd w:val="clear" w:color="auto" w:fill="auto"/>
            <w:vAlign w:val="center"/>
            <w:hideMark/>
          </w:tcPr>
          <w:p w14:paraId="1079FA50" w14:textId="77777777" w:rsidR="005524A0" w:rsidRPr="00E878D3" w:rsidRDefault="005524A0" w:rsidP="00FF0EE8">
            <w:pPr>
              <w:autoSpaceDE/>
              <w:autoSpaceDN/>
              <w:adjustRightInd/>
              <w:spacing w:line="240" w:lineRule="auto"/>
              <w:rPr>
                <w:color w:val="000000"/>
              </w:rPr>
            </w:pPr>
            <w:r w:rsidRPr="00E878D3">
              <w:rPr>
                <w:color w:val="000000"/>
              </w:rPr>
              <w:t>Issue final rule and supporting regulatory guides (hours)</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14:paraId="328476ED" w14:textId="61A24919"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P</w:t>
            </w:r>
            <w:r w:rsidR="005F3219">
              <w:rPr>
                <w:rFonts w:eastAsia="Times New Roman"/>
                <w:color w:val="000000"/>
              </w:rPr>
              <w:t>ERT</w:t>
            </w:r>
          </w:p>
        </w:tc>
        <w:tc>
          <w:tcPr>
            <w:tcW w:w="1153" w:type="dxa"/>
            <w:tcBorders>
              <w:top w:val="nil"/>
              <w:left w:val="nil"/>
              <w:bottom w:val="single" w:sz="4" w:space="0" w:color="auto"/>
              <w:right w:val="single" w:sz="4" w:space="0" w:color="auto"/>
            </w:tcBorders>
            <w:shd w:val="clear" w:color="auto" w:fill="auto"/>
            <w:noWrap/>
            <w:vAlign w:val="center"/>
            <w:hideMark/>
          </w:tcPr>
          <w:p w14:paraId="1ED32DDA" w14:textId="5A4DA7E8"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1</w:t>
            </w:r>
            <w:r w:rsidR="00CA0C9F" w:rsidRPr="00D557C2">
              <w:rPr>
                <w:rFonts w:eastAsia="Times New Roman"/>
                <w:color w:val="000000"/>
              </w:rPr>
              <w:t>,</w:t>
            </w:r>
            <w:r w:rsidRPr="00D557C2">
              <w:rPr>
                <w:rFonts w:eastAsia="Times New Roman"/>
                <w:color w:val="000000"/>
              </w:rPr>
              <w:t>888</w:t>
            </w:r>
          </w:p>
        </w:tc>
        <w:tc>
          <w:tcPr>
            <w:tcW w:w="1153" w:type="dxa"/>
            <w:tcBorders>
              <w:top w:val="nil"/>
              <w:left w:val="nil"/>
              <w:bottom w:val="single" w:sz="4" w:space="0" w:color="auto"/>
              <w:right w:val="single" w:sz="4" w:space="0" w:color="auto"/>
            </w:tcBorders>
            <w:shd w:val="clear" w:color="auto" w:fill="auto"/>
            <w:noWrap/>
            <w:vAlign w:val="center"/>
            <w:hideMark/>
          </w:tcPr>
          <w:p w14:paraId="2692D02D" w14:textId="6522AD3F"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2</w:t>
            </w:r>
            <w:r w:rsidR="00CA0C9F" w:rsidRPr="00D557C2">
              <w:rPr>
                <w:rFonts w:eastAsia="Times New Roman"/>
                <w:color w:val="000000"/>
              </w:rPr>
              <w:t>,</w:t>
            </w:r>
            <w:r w:rsidRPr="00D557C2">
              <w:rPr>
                <w:rFonts w:eastAsia="Times New Roman"/>
                <w:color w:val="000000"/>
              </w:rPr>
              <w:t>360</w:t>
            </w:r>
          </w:p>
        </w:tc>
        <w:tc>
          <w:tcPr>
            <w:tcW w:w="1153" w:type="dxa"/>
            <w:tcBorders>
              <w:top w:val="nil"/>
              <w:left w:val="nil"/>
              <w:bottom w:val="single" w:sz="4" w:space="0" w:color="auto"/>
              <w:right w:val="single" w:sz="4" w:space="0" w:color="auto"/>
            </w:tcBorders>
            <w:shd w:val="clear" w:color="auto" w:fill="auto"/>
            <w:noWrap/>
            <w:vAlign w:val="center"/>
            <w:hideMark/>
          </w:tcPr>
          <w:p w14:paraId="694908DD" w14:textId="5766DA46"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2</w:t>
            </w:r>
            <w:r w:rsidR="00CA0C9F" w:rsidRPr="00D557C2">
              <w:rPr>
                <w:rFonts w:eastAsia="Times New Roman"/>
                <w:color w:val="000000"/>
              </w:rPr>
              <w:t>,</w:t>
            </w:r>
            <w:r w:rsidRPr="00D557C2">
              <w:rPr>
                <w:rFonts w:eastAsia="Times New Roman"/>
                <w:color w:val="000000"/>
              </w:rPr>
              <w:t>832</w:t>
            </w:r>
          </w:p>
        </w:tc>
        <w:tc>
          <w:tcPr>
            <w:tcW w:w="1153" w:type="dxa"/>
            <w:tcBorders>
              <w:top w:val="nil"/>
              <w:left w:val="nil"/>
              <w:bottom w:val="single" w:sz="4" w:space="0" w:color="auto"/>
              <w:right w:val="single" w:sz="4" w:space="0" w:color="auto"/>
            </w:tcBorders>
            <w:vAlign w:val="center"/>
          </w:tcPr>
          <w:p w14:paraId="31E6012B" w14:textId="206DD3E0" w:rsidR="005524A0" w:rsidRPr="00E878D3" w:rsidRDefault="005524A0" w:rsidP="00FF0EE8">
            <w:pPr>
              <w:spacing w:line="240" w:lineRule="auto"/>
              <w:jc w:val="center"/>
              <w:rPr>
                <w:color w:val="000000"/>
              </w:rPr>
            </w:pPr>
            <w:r w:rsidRPr="00D557C2">
              <w:rPr>
                <w:color w:val="000000"/>
              </w:rPr>
              <w:t>2</w:t>
            </w:r>
            <w:r w:rsidR="00CA0C9F" w:rsidRPr="00D557C2">
              <w:rPr>
                <w:color w:val="000000"/>
              </w:rPr>
              <w:t>,</w:t>
            </w:r>
            <w:r w:rsidRPr="00D557C2">
              <w:rPr>
                <w:color w:val="000000"/>
              </w:rPr>
              <w:t>360</w:t>
            </w:r>
          </w:p>
        </w:tc>
      </w:tr>
      <w:tr w:rsidR="005524A0" w:rsidRPr="00C0263B" w14:paraId="4F99C5A5" w14:textId="77777777" w:rsidTr="00114987">
        <w:trPr>
          <w:trHeight w:val="300"/>
        </w:trPr>
        <w:tc>
          <w:tcPr>
            <w:tcW w:w="9365"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8F58FC9" w14:textId="77777777" w:rsidR="005524A0" w:rsidRPr="00E878D3" w:rsidRDefault="005524A0" w:rsidP="00FF0EE8">
            <w:pPr>
              <w:autoSpaceDE/>
              <w:autoSpaceDN/>
              <w:adjustRightInd/>
              <w:spacing w:line="240" w:lineRule="auto"/>
              <w:rPr>
                <w:color w:val="000000"/>
              </w:rPr>
            </w:pPr>
            <w:r w:rsidRPr="00E878D3">
              <w:rPr>
                <w:b/>
              </w:rPr>
              <w:t>NRC (recurring)</w:t>
            </w:r>
          </w:p>
        </w:tc>
      </w:tr>
      <w:tr w:rsidR="005524A0" w:rsidRPr="00C0263B" w14:paraId="021EEBAD" w14:textId="77777777" w:rsidTr="00114987">
        <w:trPr>
          <w:trHeight w:val="300"/>
        </w:trPr>
        <w:tc>
          <w:tcPr>
            <w:tcW w:w="3172" w:type="dxa"/>
            <w:tcBorders>
              <w:top w:val="nil"/>
              <w:left w:val="single" w:sz="4" w:space="0" w:color="auto"/>
              <w:bottom w:val="single" w:sz="4" w:space="0" w:color="auto"/>
              <w:right w:val="nil"/>
            </w:tcBorders>
            <w:shd w:val="clear" w:color="auto" w:fill="auto"/>
            <w:vAlign w:val="center"/>
            <w:hideMark/>
          </w:tcPr>
          <w:p w14:paraId="59402A8C" w14:textId="77777777" w:rsidR="005524A0" w:rsidRPr="00E878D3" w:rsidRDefault="005524A0" w:rsidP="00FF0EE8">
            <w:pPr>
              <w:autoSpaceDE/>
              <w:autoSpaceDN/>
              <w:adjustRightInd/>
              <w:spacing w:line="240" w:lineRule="auto"/>
              <w:rPr>
                <w:color w:val="000000"/>
              </w:rPr>
            </w:pPr>
            <w:r w:rsidRPr="00E878D3">
              <w:rPr>
                <w:color w:val="000000"/>
              </w:rPr>
              <w:t>Hours to disposition an alternative request</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14:paraId="0DAD3460" w14:textId="3065FF2F"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P</w:t>
            </w:r>
            <w:r w:rsidR="005F3219">
              <w:rPr>
                <w:rFonts w:eastAsia="Times New Roman"/>
                <w:color w:val="000000"/>
              </w:rPr>
              <w:t>ERT</w:t>
            </w:r>
          </w:p>
        </w:tc>
        <w:tc>
          <w:tcPr>
            <w:tcW w:w="1153" w:type="dxa"/>
            <w:tcBorders>
              <w:top w:val="nil"/>
              <w:left w:val="nil"/>
              <w:bottom w:val="single" w:sz="4" w:space="0" w:color="auto"/>
              <w:right w:val="single" w:sz="4" w:space="0" w:color="auto"/>
            </w:tcBorders>
            <w:shd w:val="clear" w:color="auto" w:fill="auto"/>
            <w:noWrap/>
            <w:vAlign w:val="center"/>
            <w:hideMark/>
          </w:tcPr>
          <w:p w14:paraId="48BEEF7C" w14:textId="77777777" w:rsidR="005524A0" w:rsidRPr="00E878D3" w:rsidRDefault="005524A0" w:rsidP="00FF0EE8">
            <w:pPr>
              <w:autoSpaceDE/>
              <w:autoSpaceDN/>
              <w:adjustRightInd/>
              <w:spacing w:line="240" w:lineRule="auto"/>
              <w:jc w:val="center"/>
              <w:rPr>
                <w:color w:val="000000"/>
              </w:rPr>
            </w:pPr>
            <w:r w:rsidRPr="00E878D3">
              <w:rPr>
                <w:color w:val="000000"/>
              </w:rPr>
              <w:t>96</w:t>
            </w:r>
          </w:p>
        </w:tc>
        <w:tc>
          <w:tcPr>
            <w:tcW w:w="1153" w:type="dxa"/>
            <w:tcBorders>
              <w:top w:val="nil"/>
              <w:left w:val="nil"/>
              <w:bottom w:val="single" w:sz="4" w:space="0" w:color="auto"/>
              <w:right w:val="single" w:sz="4" w:space="0" w:color="auto"/>
            </w:tcBorders>
            <w:shd w:val="clear" w:color="auto" w:fill="auto"/>
            <w:noWrap/>
            <w:vAlign w:val="center"/>
            <w:hideMark/>
          </w:tcPr>
          <w:p w14:paraId="5FF6531E" w14:textId="77777777" w:rsidR="005524A0" w:rsidRPr="00E878D3" w:rsidRDefault="005524A0" w:rsidP="00FF0EE8">
            <w:pPr>
              <w:autoSpaceDE/>
              <w:autoSpaceDN/>
              <w:adjustRightInd/>
              <w:spacing w:line="240" w:lineRule="auto"/>
              <w:jc w:val="center"/>
              <w:rPr>
                <w:color w:val="000000"/>
              </w:rPr>
            </w:pPr>
            <w:r w:rsidRPr="00E878D3">
              <w:rPr>
                <w:color w:val="000000"/>
              </w:rPr>
              <w:t>120</w:t>
            </w:r>
          </w:p>
        </w:tc>
        <w:tc>
          <w:tcPr>
            <w:tcW w:w="1153" w:type="dxa"/>
            <w:tcBorders>
              <w:top w:val="nil"/>
              <w:left w:val="nil"/>
              <w:bottom w:val="single" w:sz="4" w:space="0" w:color="auto"/>
              <w:right w:val="single" w:sz="4" w:space="0" w:color="auto"/>
            </w:tcBorders>
            <w:shd w:val="clear" w:color="auto" w:fill="auto"/>
            <w:noWrap/>
            <w:vAlign w:val="center"/>
            <w:hideMark/>
          </w:tcPr>
          <w:p w14:paraId="07DF9565" w14:textId="77777777" w:rsidR="005524A0" w:rsidRPr="00E878D3" w:rsidRDefault="005524A0" w:rsidP="00FF0EE8">
            <w:pPr>
              <w:autoSpaceDE/>
              <w:autoSpaceDN/>
              <w:adjustRightInd/>
              <w:spacing w:line="240" w:lineRule="auto"/>
              <w:jc w:val="center"/>
              <w:rPr>
                <w:color w:val="000000"/>
              </w:rPr>
            </w:pPr>
            <w:r w:rsidRPr="00E878D3">
              <w:rPr>
                <w:color w:val="000000"/>
              </w:rPr>
              <w:t>144</w:t>
            </w:r>
          </w:p>
        </w:tc>
        <w:tc>
          <w:tcPr>
            <w:tcW w:w="1153" w:type="dxa"/>
            <w:tcBorders>
              <w:top w:val="nil"/>
              <w:left w:val="nil"/>
              <w:bottom w:val="single" w:sz="4" w:space="0" w:color="auto"/>
              <w:right w:val="single" w:sz="4" w:space="0" w:color="auto"/>
            </w:tcBorders>
            <w:vAlign w:val="center"/>
          </w:tcPr>
          <w:p w14:paraId="277301F5" w14:textId="77777777" w:rsidR="005524A0" w:rsidRPr="00E878D3" w:rsidRDefault="005524A0" w:rsidP="00FF0EE8">
            <w:pPr>
              <w:autoSpaceDE/>
              <w:autoSpaceDN/>
              <w:adjustRightInd/>
              <w:spacing w:line="240" w:lineRule="auto"/>
              <w:jc w:val="center"/>
              <w:rPr>
                <w:color w:val="000000"/>
              </w:rPr>
            </w:pPr>
            <w:r w:rsidRPr="00E878D3">
              <w:rPr>
                <w:color w:val="000000"/>
              </w:rPr>
              <w:t>120</w:t>
            </w:r>
          </w:p>
        </w:tc>
      </w:tr>
      <w:tr w:rsidR="005524A0" w:rsidRPr="00C0263B" w14:paraId="0E9EBEE1" w14:textId="77777777" w:rsidTr="00114987">
        <w:trPr>
          <w:trHeight w:val="300"/>
        </w:trPr>
        <w:tc>
          <w:tcPr>
            <w:tcW w:w="3172" w:type="dxa"/>
            <w:tcBorders>
              <w:top w:val="single" w:sz="4" w:space="0" w:color="auto"/>
              <w:left w:val="single" w:sz="4" w:space="0" w:color="auto"/>
              <w:bottom w:val="single" w:sz="4" w:space="0" w:color="auto"/>
            </w:tcBorders>
            <w:shd w:val="clear" w:color="000000" w:fill="D9D9D9" w:themeFill="background1" w:themeFillShade="D9"/>
            <w:vAlign w:val="center"/>
          </w:tcPr>
          <w:p w14:paraId="7743ECE3" w14:textId="77777777" w:rsidR="005524A0" w:rsidRPr="00E878D3" w:rsidRDefault="005524A0" w:rsidP="00FF0EE8">
            <w:pPr>
              <w:autoSpaceDE/>
              <w:autoSpaceDN/>
              <w:adjustRightInd/>
              <w:spacing w:line="240" w:lineRule="auto"/>
              <w:rPr>
                <w:b/>
              </w:rPr>
            </w:pPr>
            <w:r w:rsidRPr="00E878D3">
              <w:rPr>
                <w:b/>
              </w:rPr>
              <w:t>Conversion Factors</w:t>
            </w:r>
          </w:p>
        </w:tc>
        <w:tc>
          <w:tcPr>
            <w:tcW w:w="1581" w:type="dxa"/>
            <w:tcBorders>
              <w:top w:val="single" w:sz="4" w:space="0" w:color="auto"/>
              <w:bottom w:val="single" w:sz="4" w:space="0" w:color="auto"/>
            </w:tcBorders>
            <w:shd w:val="clear" w:color="000000" w:fill="D9D9D9" w:themeFill="background1" w:themeFillShade="D9"/>
            <w:vAlign w:val="center"/>
          </w:tcPr>
          <w:p w14:paraId="03E3C4A5"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bottom w:val="single" w:sz="4" w:space="0" w:color="auto"/>
            </w:tcBorders>
            <w:shd w:val="clear" w:color="000000" w:fill="D9D9D9" w:themeFill="background1" w:themeFillShade="D9"/>
            <w:vAlign w:val="center"/>
          </w:tcPr>
          <w:p w14:paraId="53FBA204"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bottom w:val="single" w:sz="4" w:space="0" w:color="auto"/>
            </w:tcBorders>
            <w:shd w:val="clear" w:color="000000" w:fill="D9D9D9" w:themeFill="background1" w:themeFillShade="D9"/>
            <w:vAlign w:val="center"/>
          </w:tcPr>
          <w:p w14:paraId="77835681"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bottom w:val="single" w:sz="4" w:space="0" w:color="auto"/>
            </w:tcBorders>
            <w:shd w:val="clear" w:color="000000" w:fill="D9D9D9" w:themeFill="background1" w:themeFillShade="D9"/>
            <w:vAlign w:val="center"/>
          </w:tcPr>
          <w:p w14:paraId="049A9804"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bottom w:val="single" w:sz="4" w:space="0" w:color="auto"/>
              <w:right w:val="single" w:sz="4" w:space="0" w:color="auto"/>
            </w:tcBorders>
            <w:shd w:val="clear" w:color="000000" w:fill="D9D9D9" w:themeFill="background1" w:themeFillShade="D9"/>
            <w:vAlign w:val="center"/>
          </w:tcPr>
          <w:p w14:paraId="39C67C63" w14:textId="77777777" w:rsidR="005524A0" w:rsidRPr="00E878D3" w:rsidRDefault="005524A0" w:rsidP="00FF0EE8">
            <w:pPr>
              <w:autoSpaceDE/>
              <w:autoSpaceDN/>
              <w:adjustRightInd/>
              <w:spacing w:line="240" w:lineRule="auto"/>
              <w:jc w:val="center"/>
              <w:rPr>
                <w:color w:val="000000"/>
              </w:rPr>
            </w:pPr>
          </w:p>
        </w:tc>
      </w:tr>
      <w:tr w:rsidR="005524A0" w:rsidRPr="00C0263B" w14:paraId="00AE87E5" w14:textId="77777777" w:rsidTr="00114987">
        <w:trPr>
          <w:trHeight w:val="300"/>
        </w:trPr>
        <w:tc>
          <w:tcPr>
            <w:tcW w:w="3172" w:type="dxa"/>
            <w:tcBorders>
              <w:top w:val="single" w:sz="4" w:space="0" w:color="auto"/>
              <w:left w:val="single" w:sz="4" w:space="0" w:color="auto"/>
              <w:bottom w:val="single" w:sz="4" w:space="0" w:color="auto"/>
              <w:right w:val="single" w:sz="4" w:space="0" w:color="auto"/>
            </w:tcBorders>
            <w:shd w:val="clear" w:color="000000" w:fill="auto"/>
            <w:vAlign w:val="center"/>
          </w:tcPr>
          <w:p w14:paraId="7B0D7A34" w14:textId="719764D4" w:rsidR="005524A0" w:rsidRPr="00E878D3" w:rsidRDefault="001C7704" w:rsidP="00FF0EE8">
            <w:pPr>
              <w:autoSpaceDE/>
              <w:autoSpaceDN/>
              <w:adjustRightInd/>
              <w:spacing w:line="240" w:lineRule="auto"/>
              <w:rPr>
                <w:color w:val="000000"/>
              </w:rPr>
            </w:pPr>
            <w:r w:rsidRPr="00E878D3">
              <w:rPr>
                <w:color w:val="000000"/>
              </w:rPr>
              <w:t xml:space="preserve">Baseline </w:t>
            </w:r>
            <w:r w:rsidR="00CA0C9F" w:rsidRPr="00D557C2">
              <w:rPr>
                <w:rFonts w:eastAsia="Times New Roman"/>
                <w:color w:val="000000"/>
              </w:rPr>
              <w:t>d</w:t>
            </w:r>
            <w:r w:rsidR="005524A0" w:rsidRPr="00D557C2">
              <w:rPr>
                <w:rFonts w:eastAsia="Times New Roman"/>
                <w:color w:val="000000"/>
              </w:rPr>
              <w:t>ollar</w:t>
            </w:r>
            <w:r w:rsidR="005524A0" w:rsidRPr="00E878D3">
              <w:rPr>
                <w:color w:val="000000"/>
              </w:rPr>
              <w:t xml:space="preserve"> per person</w:t>
            </w:r>
            <w:r w:rsidR="00CA0C9F" w:rsidRPr="00D557C2">
              <w:rPr>
                <w:rFonts w:eastAsia="Times New Roman"/>
                <w:color w:val="000000"/>
              </w:rPr>
              <w:noBreakHyphen/>
            </w:r>
            <w:r w:rsidR="005524A0" w:rsidRPr="00E878D3">
              <w:rPr>
                <w:color w:val="000000"/>
              </w:rPr>
              <w:t>rem conversion</w:t>
            </w:r>
            <w:r w:rsidRPr="00E878D3">
              <w:rPr>
                <w:color w:val="000000"/>
              </w:rPr>
              <w:t xml:space="preserve"> factor</w:t>
            </w:r>
          </w:p>
        </w:tc>
        <w:tc>
          <w:tcPr>
            <w:tcW w:w="1581" w:type="dxa"/>
            <w:tcBorders>
              <w:top w:val="single" w:sz="4" w:space="0" w:color="auto"/>
              <w:left w:val="single" w:sz="4" w:space="0" w:color="auto"/>
              <w:bottom w:val="single" w:sz="4" w:space="0" w:color="auto"/>
              <w:right w:val="single" w:sz="4" w:space="0" w:color="auto"/>
            </w:tcBorders>
            <w:shd w:val="clear" w:color="000000" w:fill="auto"/>
            <w:vAlign w:val="center"/>
          </w:tcPr>
          <w:p w14:paraId="4F160D22" w14:textId="5803FB2C"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P</w:t>
            </w:r>
            <w:r w:rsidR="005F3219">
              <w:rPr>
                <w:rFonts w:eastAsia="Times New Roman"/>
                <w:color w:val="000000"/>
              </w:rPr>
              <w:t>ERT</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1C02AF17" w14:textId="77777777" w:rsidR="005524A0" w:rsidRPr="00E878D3" w:rsidRDefault="005524A0" w:rsidP="00FF0EE8">
            <w:pPr>
              <w:autoSpaceDE/>
              <w:autoSpaceDN/>
              <w:adjustRightInd/>
              <w:spacing w:line="240" w:lineRule="auto"/>
              <w:jc w:val="center"/>
              <w:rPr>
                <w:color w:val="000000"/>
              </w:rPr>
            </w:pPr>
            <w:r w:rsidRPr="00E878D3">
              <w:rPr>
                <w:color w:val="000000"/>
              </w:rPr>
              <w:t>$2,000</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2E03C1C0" w14:textId="77777777" w:rsidR="005524A0" w:rsidRPr="00E878D3" w:rsidRDefault="005524A0" w:rsidP="00FF0EE8">
            <w:pPr>
              <w:autoSpaceDE/>
              <w:autoSpaceDN/>
              <w:adjustRightInd/>
              <w:spacing w:line="240" w:lineRule="auto"/>
              <w:jc w:val="center"/>
              <w:rPr>
                <w:color w:val="000000"/>
              </w:rPr>
            </w:pPr>
            <w:r w:rsidRPr="00E878D3">
              <w:rPr>
                <w:color w:val="000000"/>
              </w:rPr>
              <w:t>$</w:t>
            </w:r>
            <w:r w:rsidR="001C7704" w:rsidRPr="00E878D3">
              <w:rPr>
                <w:color w:val="000000"/>
              </w:rPr>
              <w:t>2,000</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612CA5A9" w14:textId="77777777" w:rsidR="005524A0" w:rsidRPr="00E878D3" w:rsidRDefault="005524A0" w:rsidP="00FF0EE8">
            <w:pPr>
              <w:autoSpaceDE/>
              <w:autoSpaceDN/>
              <w:adjustRightInd/>
              <w:spacing w:line="240" w:lineRule="auto"/>
              <w:jc w:val="center"/>
              <w:rPr>
                <w:color w:val="000000"/>
              </w:rPr>
            </w:pPr>
            <w:r w:rsidRPr="00E878D3">
              <w:rPr>
                <w:color w:val="000000"/>
              </w:rPr>
              <w:t>$</w:t>
            </w:r>
            <w:r w:rsidR="001C7704" w:rsidRPr="00E878D3">
              <w:rPr>
                <w:color w:val="000000"/>
              </w:rPr>
              <w:t>2,000</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08DC261B" w14:textId="77777777" w:rsidR="005524A0" w:rsidRPr="00E878D3" w:rsidRDefault="005524A0" w:rsidP="00FF0EE8">
            <w:pPr>
              <w:autoSpaceDE/>
              <w:autoSpaceDN/>
              <w:adjustRightInd/>
              <w:spacing w:line="240" w:lineRule="auto"/>
              <w:jc w:val="center"/>
              <w:rPr>
                <w:color w:val="000000"/>
              </w:rPr>
            </w:pPr>
            <w:bookmarkStart w:id="380" w:name="RANGE!F61"/>
            <w:r w:rsidRPr="00E878D3">
              <w:rPr>
                <w:color w:val="000000"/>
              </w:rPr>
              <w:t>$</w:t>
            </w:r>
            <w:bookmarkEnd w:id="380"/>
            <w:r w:rsidR="001C7704" w:rsidRPr="00E878D3">
              <w:rPr>
                <w:color w:val="000000"/>
              </w:rPr>
              <w:t>2,000</w:t>
            </w:r>
          </w:p>
        </w:tc>
      </w:tr>
      <w:tr w:rsidR="001C7704" w:rsidRPr="00C0263B" w14:paraId="75136062" w14:textId="77777777" w:rsidTr="00114987">
        <w:trPr>
          <w:trHeight w:val="300"/>
        </w:trPr>
        <w:tc>
          <w:tcPr>
            <w:tcW w:w="3172" w:type="dxa"/>
            <w:tcBorders>
              <w:top w:val="single" w:sz="4" w:space="0" w:color="auto"/>
              <w:left w:val="single" w:sz="4" w:space="0" w:color="auto"/>
              <w:bottom w:val="single" w:sz="4" w:space="0" w:color="auto"/>
              <w:right w:val="single" w:sz="4" w:space="0" w:color="auto"/>
            </w:tcBorders>
            <w:shd w:val="clear" w:color="000000" w:fill="auto"/>
            <w:vAlign w:val="center"/>
          </w:tcPr>
          <w:p w14:paraId="42A00481" w14:textId="069196FE" w:rsidR="001C7704" w:rsidRPr="00E878D3" w:rsidRDefault="001C7704" w:rsidP="00FF0EE8">
            <w:pPr>
              <w:autoSpaceDE/>
              <w:autoSpaceDN/>
              <w:adjustRightInd/>
              <w:spacing w:line="240" w:lineRule="auto"/>
              <w:rPr>
                <w:color w:val="000000"/>
              </w:rPr>
            </w:pPr>
            <w:r w:rsidRPr="00E878D3">
              <w:rPr>
                <w:color w:val="000000"/>
              </w:rPr>
              <w:t xml:space="preserve">Proposed </w:t>
            </w:r>
            <w:r w:rsidR="00CA0C9F" w:rsidRPr="00D557C2">
              <w:rPr>
                <w:rFonts w:eastAsia="Times New Roman"/>
                <w:color w:val="000000"/>
              </w:rPr>
              <w:t>d</w:t>
            </w:r>
            <w:r w:rsidRPr="00D557C2">
              <w:rPr>
                <w:rFonts w:eastAsia="Times New Roman"/>
                <w:color w:val="000000"/>
              </w:rPr>
              <w:t>ollar</w:t>
            </w:r>
            <w:r w:rsidRPr="00E878D3">
              <w:rPr>
                <w:color w:val="000000"/>
              </w:rPr>
              <w:t xml:space="preserve"> per person</w:t>
            </w:r>
            <w:r w:rsidR="00CA0C9F" w:rsidRPr="00D557C2">
              <w:rPr>
                <w:rFonts w:eastAsia="Times New Roman"/>
                <w:color w:val="000000"/>
              </w:rPr>
              <w:noBreakHyphen/>
            </w:r>
            <w:r w:rsidRPr="00E878D3">
              <w:rPr>
                <w:color w:val="000000"/>
              </w:rPr>
              <w:t>rem conversion factor</w:t>
            </w:r>
          </w:p>
        </w:tc>
        <w:tc>
          <w:tcPr>
            <w:tcW w:w="1581" w:type="dxa"/>
            <w:tcBorders>
              <w:top w:val="single" w:sz="4" w:space="0" w:color="auto"/>
              <w:left w:val="single" w:sz="4" w:space="0" w:color="auto"/>
              <w:bottom w:val="single" w:sz="4" w:space="0" w:color="auto"/>
              <w:right w:val="single" w:sz="4" w:space="0" w:color="auto"/>
            </w:tcBorders>
            <w:shd w:val="clear" w:color="000000" w:fill="auto"/>
            <w:vAlign w:val="center"/>
          </w:tcPr>
          <w:p w14:paraId="0FD99811" w14:textId="1A5A486C" w:rsidR="001C7704" w:rsidRPr="00E878D3" w:rsidRDefault="001C7704" w:rsidP="00FF0EE8">
            <w:pPr>
              <w:autoSpaceDE/>
              <w:autoSpaceDN/>
              <w:adjustRightInd/>
              <w:spacing w:line="240" w:lineRule="auto"/>
              <w:jc w:val="center"/>
              <w:rPr>
                <w:color w:val="000000"/>
              </w:rPr>
            </w:pPr>
            <w:r w:rsidRPr="00D557C2">
              <w:rPr>
                <w:rFonts w:eastAsia="Times New Roman"/>
                <w:color w:val="000000"/>
              </w:rPr>
              <w:t>P</w:t>
            </w:r>
            <w:r w:rsidR="005F3219">
              <w:rPr>
                <w:rFonts w:eastAsia="Times New Roman"/>
                <w:color w:val="000000"/>
              </w:rPr>
              <w:t>ERT</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29AB82E4" w14:textId="77777777" w:rsidR="001C7704" w:rsidRPr="00E878D3" w:rsidRDefault="001C7704" w:rsidP="00FF0EE8">
            <w:pPr>
              <w:autoSpaceDE/>
              <w:autoSpaceDN/>
              <w:adjustRightInd/>
              <w:spacing w:line="240" w:lineRule="auto"/>
              <w:jc w:val="center"/>
              <w:rPr>
                <w:color w:val="000000"/>
              </w:rPr>
            </w:pPr>
            <w:r w:rsidRPr="00E878D3">
              <w:rPr>
                <w:color w:val="000000"/>
              </w:rPr>
              <w:t>$3,100</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33C93FF1" w14:textId="77777777" w:rsidR="001C7704" w:rsidRPr="00E878D3" w:rsidRDefault="001C7704" w:rsidP="00FF0EE8">
            <w:pPr>
              <w:autoSpaceDE/>
              <w:autoSpaceDN/>
              <w:adjustRightInd/>
              <w:spacing w:line="240" w:lineRule="auto"/>
              <w:jc w:val="center"/>
              <w:rPr>
                <w:color w:val="000000"/>
              </w:rPr>
            </w:pPr>
            <w:r w:rsidRPr="00E878D3">
              <w:rPr>
                <w:color w:val="000000"/>
              </w:rPr>
              <w:t>$5,200</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4AA6D598" w14:textId="77777777" w:rsidR="001C7704" w:rsidRPr="00E878D3" w:rsidRDefault="001C7704" w:rsidP="00FF0EE8">
            <w:pPr>
              <w:autoSpaceDE/>
              <w:autoSpaceDN/>
              <w:adjustRightInd/>
              <w:spacing w:line="240" w:lineRule="auto"/>
              <w:jc w:val="center"/>
              <w:rPr>
                <w:color w:val="000000"/>
              </w:rPr>
            </w:pPr>
            <w:r w:rsidRPr="00E878D3">
              <w:rPr>
                <w:color w:val="000000"/>
              </w:rPr>
              <w:t>$7,700</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7D5D0846" w14:textId="77777777" w:rsidR="001C7704" w:rsidRPr="00E878D3" w:rsidRDefault="001C7704" w:rsidP="00FF0EE8">
            <w:pPr>
              <w:autoSpaceDE/>
              <w:autoSpaceDN/>
              <w:adjustRightInd/>
              <w:spacing w:line="240" w:lineRule="auto"/>
              <w:jc w:val="center"/>
              <w:rPr>
                <w:color w:val="000000"/>
              </w:rPr>
            </w:pPr>
            <w:r w:rsidRPr="00E878D3">
              <w:rPr>
                <w:color w:val="000000"/>
              </w:rPr>
              <w:t>$5,267</w:t>
            </w:r>
          </w:p>
        </w:tc>
      </w:tr>
      <w:tr w:rsidR="005524A0" w:rsidRPr="00C0263B" w14:paraId="71163C36" w14:textId="77777777" w:rsidTr="00114987">
        <w:trPr>
          <w:trHeight w:val="300"/>
        </w:trPr>
        <w:tc>
          <w:tcPr>
            <w:tcW w:w="3172" w:type="dxa"/>
            <w:tcBorders>
              <w:top w:val="single" w:sz="4" w:space="0" w:color="auto"/>
              <w:left w:val="single" w:sz="4" w:space="0" w:color="auto"/>
              <w:bottom w:val="single" w:sz="4" w:space="0" w:color="auto"/>
              <w:right w:val="single" w:sz="4" w:space="0" w:color="auto"/>
            </w:tcBorders>
            <w:shd w:val="clear" w:color="000000" w:fill="auto"/>
            <w:vAlign w:val="center"/>
          </w:tcPr>
          <w:p w14:paraId="036592A8" w14:textId="149908EA" w:rsidR="005524A0" w:rsidRPr="00E878D3" w:rsidRDefault="005524A0" w:rsidP="00FF0EE8">
            <w:pPr>
              <w:autoSpaceDE/>
              <w:autoSpaceDN/>
              <w:adjustRightInd/>
              <w:spacing w:line="240" w:lineRule="auto"/>
              <w:rPr>
                <w:color w:val="000000"/>
              </w:rPr>
            </w:pPr>
            <w:r w:rsidRPr="00E878D3">
              <w:rPr>
                <w:color w:val="000000"/>
              </w:rPr>
              <w:t>Replacement power costs (MWe</w:t>
            </w:r>
            <w:r w:rsidR="005F3219">
              <w:rPr>
                <w:rFonts w:eastAsia="Times New Roman"/>
                <w:color w:val="000000"/>
              </w:rPr>
              <w:t>-</w:t>
            </w:r>
            <w:r w:rsidRPr="00E878D3">
              <w:rPr>
                <w:color w:val="000000"/>
              </w:rPr>
              <w:t>hr)</w:t>
            </w:r>
          </w:p>
        </w:tc>
        <w:tc>
          <w:tcPr>
            <w:tcW w:w="1581" w:type="dxa"/>
            <w:tcBorders>
              <w:top w:val="single" w:sz="4" w:space="0" w:color="auto"/>
              <w:left w:val="single" w:sz="4" w:space="0" w:color="auto"/>
              <w:bottom w:val="single" w:sz="4" w:space="0" w:color="auto"/>
              <w:right w:val="single" w:sz="4" w:space="0" w:color="auto"/>
            </w:tcBorders>
            <w:shd w:val="clear" w:color="000000" w:fill="auto"/>
            <w:vAlign w:val="center"/>
          </w:tcPr>
          <w:p w14:paraId="6AB7DEAB" w14:textId="4DF7BCE4"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P</w:t>
            </w:r>
            <w:r w:rsidR="005F3219">
              <w:rPr>
                <w:rFonts w:eastAsia="Times New Roman"/>
                <w:color w:val="000000"/>
              </w:rPr>
              <w:t>ERT</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2AE62355" w14:textId="77777777" w:rsidR="005524A0" w:rsidRPr="00A8705A" w:rsidRDefault="005524A0" w:rsidP="00FF0EE8">
            <w:pPr>
              <w:autoSpaceDE/>
              <w:autoSpaceDN/>
              <w:adjustRightInd/>
              <w:spacing w:line="240" w:lineRule="auto"/>
              <w:jc w:val="center"/>
              <w:rPr>
                <w:rFonts w:eastAsia="Times New Roman"/>
                <w:color w:val="000000"/>
                <w:sz w:val="20"/>
                <w:szCs w:val="20"/>
              </w:rPr>
            </w:pPr>
            <w:r w:rsidRPr="00E878D3">
              <w:rPr>
                <w:color w:val="000000"/>
              </w:rPr>
              <w:t>$</w:t>
            </w:r>
            <w:r w:rsidR="001C7704" w:rsidRPr="00E878D3">
              <w:rPr>
                <w:color w:val="000000"/>
              </w:rPr>
              <w:t>40,900</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59E64C38" w14:textId="77777777" w:rsidR="005524A0" w:rsidRPr="00A8705A" w:rsidRDefault="005524A0" w:rsidP="00FF0EE8">
            <w:pPr>
              <w:autoSpaceDE/>
              <w:autoSpaceDN/>
              <w:adjustRightInd/>
              <w:spacing w:line="240" w:lineRule="auto"/>
              <w:jc w:val="center"/>
              <w:rPr>
                <w:rFonts w:eastAsia="Times New Roman"/>
                <w:color w:val="000000"/>
                <w:sz w:val="20"/>
                <w:szCs w:val="20"/>
              </w:rPr>
            </w:pPr>
            <w:r w:rsidRPr="00E878D3">
              <w:rPr>
                <w:color w:val="000000"/>
              </w:rPr>
              <w:t>$</w:t>
            </w:r>
            <w:r w:rsidR="001C7704" w:rsidRPr="00E878D3">
              <w:rPr>
                <w:color w:val="000000"/>
              </w:rPr>
              <w:t>44,600</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7306E019" w14:textId="77777777" w:rsidR="005524A0" w:rsidRPr="00A8705A" w:rsidRDefault="005524A0" w:rsidP="00FF0EE8">
            <w:pPr>
              <w:autoSpaceDE/>
              <w:autoSpaceDN/>
              <w:adjustRightInd/>
              <w:spacing w:line="240" w:lineRule="auto"/>
              <w:jc w:val="center"/>
              <w:rPr>
                <w:rFonts w:eastAsia="Times New Roman"/>
                <w:color w:val="000000"/>
                <w:sz w:val="20"/>
                <w:szCs w:val="20"/>
              </w:rPr>
            </w:pPr>
            <w:r w:rsidRPr="00E878D3">
              <w:rPr>
                <w:color w:val="000000"/>
              </w:rPr>
              <w:t>$</w:t>
            </w:r>
            <w:r w:rsidR="001C7704" w:rsidRPr="00E878D3">
              <w:rPr>
                <w:color w:val="000000"/>
              </w:rPr>
              <w:t>52</w:t>
            </w:r>
            <w:r w:rsidRPr="00E878D3">
              <w:rPr>
                <w:color w:val="000000"/>
              </w:rPr>
              <w:t>,200</w:t>
            </w:r>
          </w:p>
        </w:tc>
        <w:tc>
          <w:tcPr>
            <w:tcW w:w="1153" w:type="dxa"/>
            <w:tcBorders>
              <w:top w:val="single" w:sz="4" w:space="0" w:color="auto"/>
              <w:left w:val="single" w:sz="4" w:space="0" w:color="auto"/>
              <w:bottom w:val="single" w:sz="4" w:space="0" w:color="auto"/>
              <w:right w:val="single" w:sz="4" w:space="0" w:color="auto"/>
            </w:tcBorders>
            <w:shd w:val="clear" w:color="000000" w:fill="auto"/>
            <w:vAlign w:val="center"/>
          </w:tcPr>
          <w:p w14:paraId="69D02487" w14:textId="77777777" w:rsidR="005524A0" w:rsidRPr="00A8705A" w:rsidRDefault="005524A0" w:rsidP="00FF0EE8">
            <w:pPr>
              <w:autoSpaceDE/>
              <w:autoSpaceDN/>
              <w:adjustRightInd/>
              <w:spacing w:line="240" w:lineRule="auto"/>
              <w:jc w:val="center"/>
              <w:rPr>
                <w:rFonts w:eastAsia="Times New Roman"/>
                <w:color w:val="000000"/>
                <w:sz w:val="20"/>
                <w:szCs w:val="20"/>
              </w:rPr>
            </w:pPr>
            <w:bookmarkStart w:id="381" w:name="RANGE!F62"/>
            <w:r w:rsidRPr="00E878D3">
              <w:rPr>
                <w:color w:val="000000"/>
              </w:rPr>
              <w:t>$</w:t>
            </w:r>
            <w:bookmarkEnd w:id="381"/>
            <w:r w:rsidR="001C7704" w:rsidRPr="00E878D3">
              <w:rPr>
                <w:color w:val="000000"/>
              </w:rPr>
              <w:t>45,250</w:t>
            </w:r>
          </w:p>
        </w:tc>
      </w:tr>
      <w:tr w:rsidR="005524A0" w:rsidRPr="00C0263B" w14:paraId="23593742" w14:textId="77777777" w:rsidTr="00114987">
        <w:trPr>
          <w:trHeight w:val="300"/>
        </w:trPr>
        <w:tc>
          <w:tcPr>
            <w:tcW w:w="3172" w:type="dxa"/>
            <w:tcBorders>
              <w:top w:val="single" w:sz="4" w:space="0" w:color="auto"/>
              <w:left w:val="single" w:sz="4" w:space="0" w:color="auto"/>
              <w:bottom w:val="single" w:sz="4" w:space="0" w:color="auto"/>
            </w:tcBorders>
            <w:shd w:val="clear" w:color="000000" w:fill="D9D9D9" w:themeFill="background1" w:themeFillShade="D9"/>
            <w:vAlign w:val="center"/>
            <w:hideMark/>
          </w:tcPr>
          <w:p w14:paraId="7D10D667" w14:textId="77777777" w:rsidR="005524A0" w:rsidRPr="00E878D3" w:rsidRDefault="005524A0" w:rsidP="00FF0EE8">
            <w:pPr>
              <w:autoSpaceDE/>
              <w:autoSpaceDN/>
              <w:adjustRightInd/>
              <w:spacing w:line="240" w:lineRule="auto"/>
              <w:jc w:val="center"/>
              <w:rPr>
                <w:color w:val="000000"/>
              </w:rPr>
            </w:pPr>
            <w:r w:rsidRPr="00E878D3">
              <w:rPr>
                <w:b/>
              </w:rPr>
              <w:t>Labor Rates</w:t>
            </w:r>
          </w:p>
        </w:tc>
        <w:tc>
          <w:tcPr>
            <w:tcW w:w="1581" w:type="dxa"/>
            <w:tcBorders>
              <w:top w:val="single" w:sz="4" w:space="0" w:color="auto"/>
              <w:bottom w:val="single" w:sz="4" w:space="0" w:color="auto"/>
            </w:tcBorders>
            <w:shd w:val="clear" w:color="000000" w:fill="D9D9D9" w:themeFill="background1" w:themeFillShade="D9"/>
            <w:vAlign w:val="center"/>
          </w:tcPr>
          <w:p w14:paraId="09FE381D"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bottom w:val="single" w:sz="4" w:space="0" w:color="auto"/>
            </w:tcBorders>
            <w:shd w:val="clear" w:color="000000" w:fill="D9D9D9" w:themeFill="background1" w:themeFillShade="D9"/>
            <w:vAlign w:val="center"/>
          </w:tcPr>
          <w:p w14:paraId="78BB6C66"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bottom w:val="single" w:sz="4" w:space="0" w:color="auto"/>
            </w:tcBorders>
            <w:shd w:val="clear" w:color="000000" w:fill="D9D9D9" w:themeFill="background1" w:themeFillShade="D9"/>
            <w:vAlign w:val="center"/>
          </w:tcPr>
          <w:p w14:paraId="493A8A47"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bottom w:val="single" w:sz="4" w:space="0" w:color="auto"/>
            </w:tcBorders>
            <w:shd w:val="clear" w:color="000000" w:fill="D9D9D9" w:themeFill="background1" w:themeFillShade="D9"/>
            <w:vAlign w:val="center"/>
          </w:tcPr>
          <w:p w14:paraId="65D79E22"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bottom w:val="single" w:sz="4" w:space="0" w:color="auto"/>
              <w:right w:val="single" w:sz="4" w:space="0" w:color="auto"/>
            </w:tcBorders>
            <w:shd w:val="clear" w:color="000000" w:fill="D9D9D9" w:themeFill="background1" w:themeFillShade="D9"/>
            <w:vAlign w:val="center"/>
          </w:tcPr>
          <w:p w14:paraId="1BDA5E1D" w14:textId="77777777" w:rsidR="005524A0" w:rsidRPr="00E878D3" w:rsidRDefault="005524A0" w:rsidP="00FF0EE8">
            <w:pPr>
              <w:autoSpaceDE/>
              <w:autoSpaceDN/>
              <w:adjustRightInd/>
              <w:spacing w:line="240" w:lineRule="auto"/>
              <w:jc w:val="center"/>
              <w:rPr>
                <w:color w:val="000000"/>
              </w:rPr>
            </w:pPr>
          </w:p>
        </w:tc>
      </w:tr>
      <w:tr w:rsidR="005524A0" w:rsidRPr="00C0263B" w14:paraId="3E588791" w14:textId="77777777" w:rsidTr="00114987">
        <w:trPr>
          <w:trHeight w:val="315"/>
        </w:trPr>
        <w:tc>
          <w:tcPr>
            <w:tcW w:w="3172" w:type="dxa"/>
            <w:tcBorders>
              <w:top w:val="nil"/>
              <w:left w:val="single" w:sz="4" w:space="0" w:color="auto"/>
              <w:bottom w:val="single" w:sz="4" w:space="0" w:color="auto"/>
              <w:right w:val="single" w:sz="4" w:space="0" w:color="auto"/>
            </w:tcBorders>
            <w:shd w:val="clear" w:color="auto" w:fill="auto"/>
            <w:noWrap/>
            <w:vAlign w:val="center"/>
            <w:hideMark/>
          </w:tcPr>
          <w:p w14:paraId="30A9A5B6" w14:textId="77777777" w:rsidR="005524A0" w:rsidRPr="00E878D3" w:rsidRDefault="005524A0" w:rsidP="00FF0EE8">
            <w:pPr>
              <w:autoSpaceDE/>
              <w:autoSpaceDN/>
              <w:adjustRightInd/>
              <w:spacing w:line="240" w:lineRule="auto"/>
            </w:pPr>
            <w:r w:rsidRPr="00E878D3">
              <w:rPr>
                <w:color w:val="000000"/>
              </w:rPr>
              <w:t>Industry</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14:paraId="7746FC93" w14:textId="10B44C39" w:rsidR="005524A0" w:rsidRPr="00E878D3" w:rsidRDefault="005524A0" w:rsidP="00FF0EE8">
            <w:pPr>
              <w:autoSpaceDE/>
              <w:autoSpaceDN/>
              <w:adjustRightInd/>
              <w:spacing w:line="240" w:lineRule="auto"/>
              <w:jc w:val="center"/>
              <w:rPr>
                <w:color w:val="000000"/>
              </w:rPr>
            </w:pPr>
            <w:r w:rsidRPr="00D557C2">
              <w:rPr>
                <w:rFonts w:eastAsia="Times New Roman"/>
                <w:color w:val="000000"/>
              </w:rPr>
              <w:t>P</w:t>
            </w:r>
            <w:r w:rsidR="005F3219">
              <w:rPr>
                <w:rFonts w:eastAsia="Times New Roman"/>
                <w:color w:val="000000"/>
              </w:rPr>
              <w:t>ERT</w:t>
            </w:r>
          </w:p>
        </w:tc>
        <w:tc>
          <w:tcPr>
            <w:tcW w:w="1153" w:type="dxa"/>
            <w:tcBorders>
              <w:top w:val="nil"/>
              <w:left w:val="nil"/>
              <w:bottom w:val="single" w:sz="4" w:space="0" w:color="auto"/>
              <w:right w:val="single" w:sz="4" w:space="0" w:color="auto"/>
            </w:tcBorders>
            <w:shd w:val="clear" w:color="auto" w:fill="auto"/>
            <w:noWrap/>
            <w:vAlign w:val="center"/>
            <w:hideMark/>
          </w:tcPr>
          <w:p w14:paraId="79547BD9" w14:textId="77777777" w:rsidR="005524A0" w:rsidRPr="00E878D3" w:rsidRDefault="005524A0" w:rsidP="00FF0EE8">
            <w:pPr>
              <w:autoSpaceDE/>
              <w:autoSpaceDN/>
              <w:adjustRightInd/>
              <w:spacing w:line="240" w:lineRule="auto"/>
              <w:jc w:val="center"/>
              <w:rPr>
                <w:color w:val="000000"/>
              </w:rPr>
            </w:pPr>
            <w:r w:rsidRPr="00E878D3">
              <w:rPr>
                <w:color w:val="000000"/>
              </w:rPr>
              <w:t>$9</w:t>
            </w:r>
            <w:r w:rsidR="001C7704" w:rsidRPr="00E878D3">
              <w:rPr>
                <w:color w:val="000000"/>
              </w:rPr>
              <w:t>3</w:t>
            </w:r>
          </w:p>
        </w:tc>
        <w:tc>
          <w:tcPr>
            <w:tcW w:w="1153" w:type="dxa"/>
            <w:tcBorders>
              <w:top w:val="nil"/>
              <w:left w:val="nil"/>
              <w:bottom w:val="single" w:sz="4" w:space="0" w:color="auto"/>
              <w:right w:val="single" w:sz="4" w:space="0" w:color="auto"/>
            </w:tcBorders>
            <w:shd w:val="clear" w:color="auto" w:fill="auto"/>
            <w:noWrap/>
            <w:vAlign w:val="center"/>
            <w:hideMark/>
          </w:tcPr>
          <w:p w14:paraId="39203C21" w14:textId="77777777" w:rsidR="005524A0" w:rsidRPr="00E878D3" w:rsidRDefault="005524A0" w:rsidP="00FF0EE8">
            <w:pPr>
              <w:autoSpaceDE/>
              <w:autoSpaceDN/>
              <w:adjustRightInd/>
              <w:spacing w:line="240" w:lineRule="auto"/>
              <w:jc w:val="center"/>
              <w:rPr>
                <w:color w:val="000000"/>
              </w:rPr>
            </w:pPr>
            <w:r w:rsidRPr="00E878D3">
              <w:rPr>
                <w:color w:val="000000"/>
              </w:rPr>
              <w:t>$12</w:t>
            </w:r>
            <w:r w:rsidR="001C7704" w:rsidRPr="00E878D3">
              <w:rPr>
                <w:color w:val="000000"/>
              </w:rPr>
              <w:t>7</w:t>
            </w:r>
          </w:p>
        </w:tc>
        <w:tc>
          <w:tcPr>
            <w:tcW w:w="1153" w:type="dxa"/>
            <w:tcBorders>
              <w:top w:val="nil"/>
              <w:left w:val="nil"/>
              <w:bottom w:val="single" w:sz="4" w:space="0" w:color="auto"/>
              <w:right w:val="single" w:sz="4" w:space="0" w:color="auto"/>
            </w:tcBorders>
            <w:shd w:val="clear" w:color="auto" w:fill="auto"/>
            <w:noWrap/>
            <w:vAlign w:val="center"/>
            <w:hideMark/>
          </w:tcPr>
          <w:p w14:paraId="24AF810D" w14:textId="77777777" w:rsidR="005524A0" w:rsidRPr="00E878D3" w:rsidRDefault="005524A0" w:rsidP="00FF0EE8">
            <w:pPr>
              <w:autoSpaceDE/>
              <w:autoSpaceDN/>
              <w:adjustRightInd/>
              <w:spacing w:line="240" w:lineRule="auto"/>
              <w:jc w:val="center"/>
              <w:rPr>
                <w:color w:val="000000"/>
              </w:rPr>
            </w:pPr>
            <w:r w:rsidRPr="00E878D3">
              <w:rPr>
                <w:color w:val="000000"/>
              </w:rPr>
              <w:t>$1</w:t>
            </w:r>
            <w:r w:rsidR="001C7704" w:rsidRPr="00E878D3">
              <w:rPr>
                <w:color w:val="000000"/>
              </w:rPr>
              <w:t>52</w:t>
            </w:r>
          </w:p>
        </w:tc>
        <w:tc>
          <w:tcPr>
            <w:tcW w:w="1153" w:type="dxa"/>
            <w:tcBorders>
              <w:top w:val="nil"/>
              <w:left w:val="nil"/>
              <w:bottom w:val="single" w:sz="4" w:space="0" w:color="auto"/>
              <w:right w:val="single" w:sz="4" w:space="0" w:color="auto"/>
            </w:tcBorders>
            <w:vAlign w:val="center"/>
          </w:tcPr>
          <w:p w14:paraId="7BF69900" w14:textId="77777777" w:rsidR="005524A0" w:rsidRPr="00E878D3" w:rsidRDefault="005524A0" w:rsidP="00FF0EE8">
            <w:pPr>
              <w:autoSpaceDE/>
              <w:autoSpaceDN/>
              <w:adjustRightInd/>
              <w:spacing w:line="240" w:lineRule="auto"/>
              <w:jc w:val="center"/>
              <w:rPr>
                <w:color w:val="000000"/>
              </w:rPr>
            </w:pPr>
            <w:bookmarkStart w:id="382" w:name="RANGE!F29"/>
            <w:r w:rsidRPr="00E878D3">
              <w:rPr>
                <w:color w:val="000000"/>
              </w:rPr>
              <w:t>$12</w:t>
            </w:r>
            <w:r w:rsidR="001C7704" w:rsidRPr="00E878D3">
              <w:rPr>
                <w:color w:val="000000"/>
              </w:rPr>
              <w:t>6</w:t>
            </w:r>
            <w:bookmarkEnd w:id="382"/>
          </w:p>
        </w:tc>
      </w:tr>
      <w:tr w:rsidR="005524A0" w:rsidRPr="00C0263B" w14:paraId="592F46D2" w14:textId="77777777" w:rsidTr="00B84681">
        <w:trPr>
          <w:trHeight w:val="260"/>
        </w:trPr>
        <w:tc>
          <w:tcPr>
            <w:tcW w:w="3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5952C" w14:textId="77777777" w:rsidR="005524A0" w:rsidRPr="00E878D3" w:rsidRDefault="005524A0" w:rsidP="00FF0EE8">
            <w:pPr>
              <w:autoSpaceDE/>
              <w:autoSpaceDN/>
              <w:adjustRightInd/>
              <w:spacing w:line="240" w:lineRule="auto"/>
              <w:rPr>
                <w:color w:val="000000"/>
              </w:rPr>
            </w:pPr>
            <w:r w:rsidRPr="00E878D3">
              <w:rPr>
                <w:color w:val="000000"/>
              </w:rPr>
              <w:t>NRC</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8AE79"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left w:val="nil"/>
              <w:bottom w:val="single" w:sz="4" w:space="0" w:color="auto"/>
              <w:right w:val="single" w:sz="4" w:space="0" w:color="auto"/>
            </w:tcBorders>
            <w:shd w:val="clear" w:color="auto" w:fill="auto"/>
            <w:noWrap/>
            <w:vAlign w:val="center"/>
          </w:tcPr>
          <w:p w14:paraId="425A2A9A"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left w:val="nil"/>
              <w:bottom w:val="single" w:sz="4" w:space="0" w:color="auto"/>
              <w:right w:val="single" w:sz="4" w:space="0" w:color="auto"/>
            </w:tcBorders>
            <w:shd w:val="clear" w:color="auto" w:fill="auto"/>
            <w:noWrap/>
            <w:vAlign w:val="center"/>
          </w:tcPr>
          <w:p w14:paraId="18213D33"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left w:val="nil"/>
              <w:bottom w:val="single" w:sz="4" w:space="0" w:color="auto"/>
              <w:right w:val="single" w:sz="4" w:space="0" w:color="auto"/>
            </w:tcBorders>
            <w:shd w:val="clear" w:color="auto" w:fill="auto"/>
            <w:noWrap/>
            <w:vAlign w:val="center"/>
          </w:tcPr>
          <w:p w14:paraId="4E358C8B" w14:textId="77777777" w:rsidR="005524A0" w:rsidRPr="00E878D3" w:rsidRDefault="005524A0" w:rsidP="00FF0EE8">
            <w:pPr>
              <w:autoSpaceDE/>
              <w:autoSpaceDN/>
              <w:adjustRightInd/>
              <w:spacing w:line="240" w:lineRule="auto"/>
              <w:jc w:val="center"/>
              <w:rPr>
                <w:color w:val="000000"/>
              </w:rPr>
            </w:pPr>
          </w:p>
        </w:tc>
        <w:tc>
          <w:tcPr>
            <w:tcW w:w="1153" w:type="dxa"/>
            <w:tcBorders>
              <w:top w:val="single" w:sz="4" w:space="0" w:color="auto"/>
              <w:left w:val="nil"/>
              <w:bottom w:val="single" w:sz="4" w:space="0" w:color="auto"/>
              <w:right w:val="single" w:sz="4" w:space="0" w:color="auto"/>
            </w:tcBorders>
            <w:vAlign w:val="center"/>
          </w:tcPr>
          <w:p w14:paraId="775D811E" w14:textId="77777777" w:rsidR="005524A0" w:rsidRPr="00E878D3" w:rsidRDefault="005524A0" w:rsidP="00FF0EE8">
            <w:pPr>
              <w:autoSpaceDE/>
              <w:autoSpaceDN/>
              <w:adjustRightInd/>
              <w:spacing w:line="240" w:lineRule="auto"/>
              <w:jc w:val="center"/>
              <w:rPr>
                <w:color w:val="000000"/>
              </w:rPr>
            </w:pPr>
            <w:bookmarkStart w:id="383" w:name="RANGE!F30"/>
            <w:r w:rsidRPr="00E878D3">
              <w:rPr>
                <w:color w:val="000000"/>
              </w:rPr>
              <w:t>$12</w:t>
            </w:r>
            <w:r w:rsidR="001C7704" w:rsidRPr="00E878D3">
              <w:rPr>
                <w:color w:val="000000"/>
              </w:rPr>
              <w:t>8</w:t>
            </w:r>
            <w:bookmarkEnd w:id="383"/>
          </w:p>
        </w:tc>
      </w:tr>
    </w:tbl>
    <w:p w14:paraId="364E7636" w14:textId="348B7D8D" w:rsidR="005524A0" w:rsidRPr="00D557C2" w:rsidRDefault="00F33513" w:rsidP="00FF0EE8">
      <w:pPr>
        <w:autoSpaceDE/>
        <w:autoSpaceDN/>
        <w:adjustRightInd/>
        <w:spacing w:line="240" w:lineRule="auto"/>
        <w:ind w:left="90"/>
        <w:rPr>
          <w:rFonts w:eastAsia="Times New Roman"/>
          <w:bCs/>
          <w:color w:val="000000"/>
          <w:sz w:val="18"/>
          <w:szCs w:val="18"/>
        </w:rPr>
      </w:pPr>
      <w:r w:rsidRPr="004F5401">
        <w:rPr>
          <w:sz w:val="18"/>
          <w:szCs w:val="18"/>
          <w:vertAlign w:val="superscript"/>
        </w:rPr>
        <w:t>a</w:t>
      </w:r>
      <w:r w:rsidRPr="00D557C2">
        <w:rPr>
          <w:sz w:val="18"/>
          <w:szCs w:val="18"/>
        </w:rPr>
        <w:t>  </w:t>
      </w:r>
      <w:r w:rsidR="0093359B" w:rsidRPr="00D557C2">
        <w:rPr>
          <w:sz w:val="18"/>
          <w:szCs w:val="18"/>
        </w:rPr>
        <w:t>This line item is for the whole industry.  The other variables in this subsection of this table are per site.</w:t>
      </w:r>
    </w:p>
    <w:p w14:paraId="7B19C869" w14:textId="77777777" w:rsidR="005524A0" w:rsidRPr="005524A0" w:rsidRDefault="005524A0" w:rsidP="00FF0EE8">
      <w:pPr>
        <w:autoSpaceDE/>
        <w:autoSpaceDN/>
        <w:adjustRightInd/>
        <w:spacing w:line="240" w:lineRule="auto"/>
        <w:rPr>
          <w:rFonts w:eastAsia="Times New Roman"/>
          <w:bCs/>
          <w:color w:val="000000"/>
          <w:sz w:val="20"/>
          <w:szCs w:val="20"/>
        </w:rPr>
      </w:pPr>
    </w:p>
    <w:p w14:paraId="272A5956"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1EB1EF04"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2B2B3DD4"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34EFAB88"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69945F1D"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7C11CC26"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51D1CE3B"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78E19428"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00FDC3DD"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224F962E"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62413295"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7A3E7B98" w14:textId="77777777" w:rsidR="005524A0" w:rsidRPr="005524A0" w:rsidRDefault="005524A0" w:rsidP="00FF0EE8">
      <w:pPr>
        <w:autoSpaceDE/>
        <w:autoSpaceDN/>
        <w:adjustRightInd/>
        <w:spacing w:line="240" w:lineRule="auto"/>
        <w:jc w:val="center"/>
        <w:rPr>
          <w:rFonts w:eastAsia="Times New Roman"/>
          <w:bCs/>
          <w:color w:val="000000"/>
          <w:sz w:val="20"/>
          <w:szCs w:val="20"/>
        </w:rPr>
      </w:pPr>
    </w:p>
    <w:p w14:paraId="4A18694F" w14:textId="77777777" w:rsidR="003027E9" w:rsidRPr="005524A0" w:rsidRDefault="003027E9" w:rsidP="00FF0EE8">
      <w:pPr>
        <w:spacing w:line="240" w:lineRule="auto"/>
      </w:pPr>
    </w:p>
    <w:p w14:paraId="258CD58A" w14:textId="77777777" w:rsidR="005524A0" w:rsidRDefault="005524A0" w:rsidP="00FF0EE8">
      <w:pPr>
        <w:spacing w:line="240" w:lineRule="auto"/>
        <w:sectPr w:rsidR="005524A0" w:rsidSect="00026A12">
          <w:pgSz w:w="12240" w:h="15840"/>
          <w:pgMar w:top="1440" w:right="1440" w:bottom="1440" w:left="1440" w:header="720" w:footer="720" w:gutter="0"/>
          <w:cols w:space="720"/>
          <w:docGrid w:linePitch="360"/>
        </w:sectPr>
      </w:pPr>
    </w:p>
    <w:p w14:paraId="5D6C692E" w14:textId="3A5F458A" w:rsidR="00257BDC" w:rsidRPr="00257BDC" w:rsidRDefault="00257BDC" w:rsidP="00257BDC">
      <w:pPr>
        <w:spacing w:line="240" w:lineRule="auto"/>
        <w:rPr>
          <w:b/>
        </w:rPr>
      </w:pPr>
      <w:r w:rsidRPr="00257BDC">
        <w:rPr>
          <w:b/>
        </w:rPr>
        <w:t>SUBJECT:  Regulatory Analysis for Final Rule:</w:t>
      </w:r>
      <w:r>
        <w:rPr>
          <w:b/>
        </w:rPr>
        <w:t xml:space="preserve">  </w:t>
      </w:r>
      <w:r w:rsidRPr="00257BDC">
        <w:rPr>
          <w:b/>
        </w:rPr>
        <w:t>Approval of American Society of Mechanical Engineers</w:t>
      </w:r>
      <w:r>
        <w:rPr>
          <w:b/>
        </w:rPr>
        <w:t xml:space="preserve"> </w:t>
      </w:r>
      <w:r w:rsidRPr="00257BDC">
        <w:rPr>
          <w:b/>
        </w:rPr>
        <w:t>Code Cases</w:t>
      </w:r>
      <w:r>
        <w:rPr>
          <w:b/>
        </w:rPr>
        <w:t xml:space="preserve"> </w:t>
      </w:r>
      <w:r w:rsidRPr="00257BDC">
        <w:rPr>
          <w:b/>
        </w:rPr>
        <w:t>NRC-2012-0059; RIN 3150-AJ13</w:t>
      </w:r>
      <w:r>
        <w:rPr>
          <w:b/>
        </w:rPr>
        <w:t xml:space="preserve"> DATED:  </w:t>
      </w:r>
    </w:p>
    <w:p w14:paraId="26E8E0CE" w14:textId="52BD5367" w:rsidR="005524A0" w:rsidRDefault="005524A0" w:rsidP="00FF0EE8">
      <w:pPr>
        <w:spacing w:line="240" w:lineRule="auto"/>
      </w:pPr>
    </w:p>
    <w:p w14:paraId="73FB8C28" w14:textId="77777777" w:rsidR="00257BDC" w:rsidRDefault="00257BDC" w:rsidP="00FF0EE8">
      <w:pPr>
        <w:spacing w:line="240" w:lineRule="auto"/>
      </w:pPr>
    </w:p>
    <w:p w14:paraId="143CD03F" w14:textId="77777777" w:rsidR="00257BDC" w:rsidRDefault="00257BDC" w:rsidP="00FF0EE8">
      <w:pPr>
        <w:spacing w:line="240" w:lineRule="auto"/>
      </w:pPr>
    </w:p>
    <w:p w14:paraId="7C0DC225" w14:textId="77777777" w:rsidR="00257BDC" w:rsidRDefault="00257BDC" w:rsidP="00FF0EE8">
      <w:pPr>
        <w:spacing w:line="240" w:lineRule="auto"/>
      </w:pPr>
    </w:p>
    <w:p w14:paraId="36DE0DA9" w14:textId="77777777" w:rsidR="00257BDC" w:rsidRDefault="00257BDC" w:rsidP="00FF0EE8">
      <w:pPr>
        <w:spacing w:line="240" w:lineRule="auto"/>
      </w:pPr>
    </w:p>
    <w:p w14:paraId="7FBEEEEC" w14:textId="77777777" w:rsidR="00257BDC" w:rsidRDefault="00257BDC" w:rsidP="00FF0EE8">
      <w:pPr>
        <w:spacing w:line="240" w:lineRule="auto"/>
      </w:pPr>
    </w:p>
    <w:p w14:paraId="5AE0CE77" w14:textId="77777777" w:rsidR="00257BDC" w:rsidRDefault="00257BDC" w:rsidP="00FF0EE8">
      <w:pPr>
        <w:spacing w:line="240" w:lineRule="auto"/>
      </w:pPr>
    </w:p>
    <w:p w14:paraId="7D5D9972" w14:textId="77777777" w:rsidR="00257BDC" w:rsidRDefault="00257BDC" w:rsidP="00FF0EE8">
      <w:pPr>
        <w:spacing w:line="240" w:lineRule="auto"/>
      </w:pPr>
    </w:p>
    <w:p w14:paraId="0AD4B20A" w14:textId="77777777" w:rsidR="00257BDC" w:rsidRDefault="00257BDC" w:rsidP="00FF0EE8">
      <w:pPr>
        <w:spacing w:line="240" w:lineRule="auto"/>
      </w:pPr>
    </w:p>
    <w:p w14:paraId="1CBED46B" w14:textId="77777777" w:rsidR="00257BDC" w:rsidRDefault="00257BDC" w:rsidP="00FF0EE8">
      <w:pPr>
        <w:spacing w:line="240" w:lineRule="auto"/>
      </w:pPr>
    </w:p>
    <w:p w14:paraId="5FE7DBD8" w14:textId="77777777" w:rsidR="00257BDC" w:rsidRDefault="00257BDC" w:rsidP="00FF0EE8">
      <w:pPr>
        <w:spacing w:line="240" w:lineRule="auto"/>
      </w:pPr>
    </w:p>
    <w:p w14:paraId="5CE9D88A" w14:textId="77777777" w:rsidR="00257BDC" w:rsidRDefault="00257BDC" w:rsidP="00FF0EE8">
      <w:pPr>
        <w:spacing w:line="240" w:lineRule="auto"/>
      </w:pPr>
    </w:p>
    <w:p w14:paraId="122515A1" w14:textId="77777777" w:rsidR="00257BDC" w:rsidRDefault="00257BDC" w:rsidP="00FF0EE8">
      <w:pPr>
        <w:spacing w:line="240" w:lineRule="auto"/>
      </w:pPr>
    </w:p>
    <w:p w14:paraId="33BB7FC1" w14:textId="77777777" w:rsidR="00257BDC" w:rsidRDefault="00257BDC" w:rsidP="00FF0EE8">
      <w:pPr>
        <w:spacing w:line="240" w:lineRule="auto"/>
      </w:pPr>
    </w:p>
    <w:p w14:paraId="3B20E6C8" w14:textId="77777777" w:rsidR="00257BDC" w:rsidRDefault="00257BDC" w:rsidP="00FF0EE8">
      <w:pPr>
        <w:spacing w:line="240" w:lineRule="auto"/>
      </w:pPr>
    </w:p>
    <w:p w14:paraId="78424E0F" w14:textId="77777777" w:rsidR="00257BDC" w:rsidRDefault="00257BDC" w:rsidP="00FF0EE8">
      <w:pPr>
        <w:spacing w:line="240" w:lineRule="auto"/>
      </w:pPr>
    </w:p>
    <w:p w14:paraId="22B999A0" w14:textId="77777777" w:rsidR="00257BDC" w:rsidRDefault="00257BDC" w:rsidP="00FF0EE8">
      <w:pPr>
        <w:spacing w:line="240" w:lineRule="auto"/>
      </w:pPr>
    </w:p>
    <w:p w14:paraId="4547527C" w14:textId="77777777" w:rsidR="00257BDC" w:rsidRDefault="00257BDC" w:rsidP="00FF0EE8">
      <w:pPr>
        <w:spacing w:line="240" w:lineRule="auto"/>
      </w:pPr>
    </w:p>
    <w:p w14:paraId="5C344433" w14:textId="77777777" w:rsidR="00257BDC" w:rsidRDefault="00257BDC" w:rsidP="00FF0EE8">
      <w:pPr>
        <w:spacing w:line="240" w:lineRule="auto"/>
      </w:pPr>
    </w:p>
    <w:p w14:paraId="74F1FD77" w14:textId="77777777" w:rsidR="0030430E" w:rsidRDefault="0030430E" w:rsidP="00FF0EE8">
      <w:pPr>
        <w:spacing w:line="240" w:lineRule="auto"/>
      </w:pPr>
    </w:p>
    <w:p w14:paraId="0295AD47" w14:textId="77777777" w:rsidR="0030430E" w:rsidRDefault="0030430E" w:rsidP="00FF0EE8">
      <w:pPr>
        <w:spacing w:line="240" w:lineRule="auto"/>
      </w:pPr>
    </w:p>
    <w:p w14:paraId="432537C3" w14:textId="77777777" w:rsidR="0030430E" w:rsidRDefault="0030430E" w:rsidP="00FF0EE8">
      <w:pPr>
        <w:spacing w:line="240" w:lineRule="auto"/>
      </w:pPr>
    </w:p>
    <w:p w14:paraId="05D90BD0" w14:textId="77777777" w:rsidR="0030430E" w:rsidRDefault="0030430E" w:rsidP="00FF0EE8">
      <w:pPr>
        <w:spacing w:line="240" w:lineRule="auto"/>
      </w:pPr>
    </w:p>
    <w:p w14:paraId="72A6D81E" w14:textId="77777777" w:rsidR="0030430E" w:rsidRDefault="0030430E" w:rsidP="00FF0EE8">
      <w:pPr>
        <w:spacing w:line="240" w:lineRule="auto"/>
      </w:pPr>
    </w:p>
    <w:p w14:paraId="05BDE186" w14:textId="77777777" w:rsidR="0030430E" w:rsidRDefault="0030430E" w:rsidP="00FF0EE8">
      <w:pPr>
        <w:spacing w:line="240" w:lineRule="auto"/>
      </w:pPr>
    </w:p>
    <w:p w14:paraId="60819770" w14:textId="77777777" w:rsidR="0030430E" w:rsidRPr="005524A0" w:rsidRDefault="0030430E" w:rsidP="00FF0EE8">
      <w:pPr>
        <w:spacing w:line="240" w:lineRule="auto"/>
      </w:pPr>
    </w:p>
    <w:p w14:paraId="6E549B85" w14:textId="4953D134" w:rsidR="0091414F" w:rsidRDefault="00105ABE" w:rsidP="00446FDF">
      <w:pPr>
        <w:tabs>
          <w:tab w:val="right" w:pos="9360"/>
        </w:tabs>
        <w:spacing w:line="240" w:lineRule="auto"/>
        <w:rPr>
          <w:sz w:val="18"/>
          <w:szCs w:val="18"/>
        </w:rPr>
      </w:pPr>
      <w:r w:rsidRPr="004C4BD7">
        <w:rPr>
          <w:b/>
          <w:sz w:val="18"/>
          <w:szCs w:val="18"/>
        </w:rPr>
        <w:t xml:space="preserve">ADAMS Accession No.: PKG: </w:t>
      </w:r>
      <w:r w:rsidR="002560B6">
        <w:rPr>
          <w:sz w:val="18"/>
          <w:szCs w:val="18"/>
        </w:rPr>
        <w:t>ML16285A003</w:t>
      </w:r>
      <w:r w:rsidRPr="004C4BD7">
        <w:rPr>
          <w:b/>
          <w:sz w:val="18"/>
          <w:szCs w:val="18"/>
        </w:rPr>
        <w:t xml:space="preserve">; Regulatory Analysis: </w:t>
      </w:r>
      <w:r w:rsidR="002560B6">
        <w:rPr>
          <w:sz w:val="18"/>
          <w:szCs w:val="18"/>
        </w:rPr>
        <w:t>ML16285A013</w:t>
      </w:r>
      <w:r w:rsidR="00631444">
        <w:rPr>
          <w:sz w:val="18"/>
          <w:szCs w:val="18"/>
        </w:rPr>
        <w:tab/>
      </w:r>
      <w:r w:rsidR="0091414F">
        <w:rPr>
          <w:sz w:val="18"/>
          <w:szCs w:val="18"/>
        </w:rPr>
        <w:t>*via email</w:t>
      </w:r>
    </w:p>
    <w:tbl>
      <w:tblPr>
        <w:tblStyle w:val="TableGrid"/>
        <w:tblpPr w:leftFromText="180" w:rightFromText="180" w:vertAnchor="text" w:horzAnchor="margin" w:tblpY="31"/>
        <w:tblW w:w="9617" w:type="dxa"/>
        <w:tblLook w:val="04A0" w:firstRow="1" w:lastRow="0" w:firstColumn="1" w:lastColumn="0" w:noHBand="0" w:noVBand="1"/>
      </w:tblPr>
      <w:tblGrid>
        <w:gridCol w:w="950"/>
        <w:gridCol w:w="2262"/>
        <w:gridCol w:w="2217"/>
        <w:gridCol w:w="2094"/>
        <w:gridCol w:w="2094"/>
      </w:tblGrid>
      <w:tr w:rsidR="00257BDC" w:rsidRPr="00F44845" w14:paraId="4F0DFEFA" w14:textId="77777777" w:rsidTr="00257BDC">
        <w:tc>
          <w:tcPr>
            <w:tcW w:w="950" w:type="dxa"/>
            <w:tcBorders>
              <w:top w:val="double" w:sz="4" w:space="0" w:color="auto"/>
              <w:left w:val="double" w:sz="4" w:space="0" w:color="auto"/>
            </w:tcBorders>
          </w:tcPr>
          <w:p w14:paraId="43861A33" w14:textId="77777777" w:rsidR="00257BDC" w:rsidRPr="004A5A16" w:rsidRDefault="00257BDC" w:rsidP="00257BDC">
            <w:pPr>
              <w:rPr>
                <w:sz w:val="20"/>
              </w:rPr>
            </w:pPr>
            <w:r w:rsidRPr="004A5A16">
              <w:rPr>
                <w:sz w:val="20"/>
              </w:rPr>
              <w:t>OFFICE</w:t>
            </w:r>
          </w:p>
        </w:tc>
        <w:tc>
          <w:tcPr>
            <w:tcW w:w="2262" w:type="dxa"/>
            <w:tcBorders>
              <w:top w:val="double" w:sz="4" w:space="0" w:color="auto"/>
            </w:tcBorders>
          </w:tcPr>
          <w:p w14:paraId="0AA7DD30" w14:textId="77777777" w:rsidR="00257BDC" w:rsidRPr="004A5A16" w:rsidRDefault="00257BDC" w:rsidP="00257BDC">
            <w:pPr>
              <w:rPr>
                <w:sz w:val="20"/>
              </w:rPr>
            </w:pPr>
            <w:r w:rsidRPr="004A5A16">
              <w:rPr>
                <w:sz w:val="20"/>
              </w:rPr>
              <w:t>NRR/DPR/PRMB/RA</w:t>
            </w:r>
          </w:p>
        </w:tc>
        <w:tc>
          <w:tcPr>
            <w:tcW w:w="2217" w:type="dxa"/>
            <w:tcBorders>
              <w:top w:val="double" w:sz="4" w:space="0" w:color="auto"/>
            </w:tcBorders>
          </w:tcPr>
          <w:p w14:paraId="64DD38ED" w14:textId="77777777" w:rsidR="00257BDC" w:rsidRPr="004A5A16" w:rsidRDefault="00257BDC" w:rsidP="00257BDC">
            <w:pPr>
              <w:rPr>
                <w:sz w:val="20"/>
              </w:rPr>
            </w:pPr>
            <w:r w:rsidRPr="004A5A16">
              <w:rPr>
                <w:sz w:val="20"/>
              </w:rPr>
              <w:t>NRR/DPR/PRMB/RAT</w:t>
            </w:r>
          </w:p>
        </w:tc>
        <w:tc>
          <w:tcPr>
            <w:tcW w:w="2094" w:type="dxa"/>
            <w:tcBorders>
              <w:top w:val="double" w:sz="4" w:space="0" w:color="auto"/>
            </w:tcBorders>
          </w:tcPr>
          <w:p w14:paraId="15DDC8AC" w14:textId="77777777" w:rsidR="00257BDC" w:rsidRPr="004A5A16" w:rsidRDefault="00257BDC" w:rsidP="00257BDC">
            <w:pPr>
              <w:rPr>
                <w:sz w:val="20"/>
              </w:rPr>
            </w:pPr>
            <w:r w:rsidRPr="004A5A16">
              <w:rPr>
                <w:sz w:val="20"/>
              </w:rPr>
              <w:t>NRR/DPR/PRMB/RS</w:t>
            </w:r>
          </w:p>
        </w:tc>
        <w:tc>
          <w:tcPr>
            <w:tcW w:w="2094" w:type="dxa"/>
            <w:tcBorders>
              <w:top w:val="double" w:sz="4" w:space="0" w:color="auto"/>
              <w:right w:val="double" w:sz="4" w:space="0" w:color="auto"/>
            </w:tcBorders>
          </w:tcPr>
          <w:p w14:paraId="78682986" w14:textId="77777777" w:rsidR="00257BDC" w:rsidRPr="004A5A16" w:rsidRDefault="00257BDC" w:rsidP="00257BDC">
            <w:pPr>
              <w:rPr>
                <w:sz w:val="20"/>
              </w:rPr>
            </w:pPr>
            <w:r w:rsidRPr="004A5A16">
              <w:rPr>
                <w:sz w:val="20"/>
              </w:rPr>
              <w:t>NRR/DPR/PRMB/BC</w:t>
            </w:r>
          </w:p>
        </w:tc>
      </w:tr>
      <w:tr w:rsidR="00257BDC" w:rsidRPr="00F44845" w14:paraId="238B5CCD" w14:textId="77777777" w:rsidTr="00257BDC">
        <w:tc>
          <w:tcPr>
            <w:tcW w:w="950" w:type="dxa"/>
            <w:tcBorders>
              <w:left w:val="double" w:sz="4" w:space="0" w:color="auto"/>
            </w:tcBorders>
          </w:tcPr>
          <w:p w14:paraId="66FB9C0D" w14:textId="77777777" w:rsidR="00257BDC" w:rsidRPr="004A5A16" w:rsidRDefault="00257BDC" w:rsidP="00257BDC">
            <w:pPr>
              <w:rPr>
                <w:sz w:val="20"/>
              </w:rPr>
            </w:pPr>
            <w:r w:rsidRPr="004A5A16">
              <w:rPr>
                <w:sz w:val="20"/>
              </w:rPr>
              <w:t>NAME</w:t>
            </w:r>
          </w:p>
        </w:tc>
        <w:tc>
          <w:tcPr>
            <w:tcW w:w="2262" w:type="dxa"/>
          </w:tcPr>
          <w:p w14:paraId="5D9E99C1" w14:textId="77777777" w:rsidR="00257BDC" w:rsidRPr="004A5A16" w:rsidRDefault="00257BDC" w:rsidP="00257BDC">
            <w:pPr>
              <w:rPr>
                <w:sz w:val="20"/>
              </w:rPr>
            </w:pPr>
            <w:r>
              <w:rPr>
                <w:sz w:val="20"/>
              </w:rPr>
              <w:t>CHowells</w:t>
            </w:r>
          </w:p>
        </w:tc>
        <w:tc>
          <w:tcPr>
            <w:tcW w:w="2217" w:type="dxa"/>
          </w:tcPr>
          <w:p w14:paraId="287D64B2" w14:textId="77777777" w:rsidR="00257BDC" w:rsidRPr="004A5A16" w:rsidRDefault="00257BDC" w:rsidP="00257BDC">
            <w:pPr>
              <w:rPr>
                <w:sz w:val="20"/>
              </w:rPr>
            </w:pPr>
            <w:r w:rsidRPr="004A5A16">
              <w:rPr>
                <w:sz w:val="20"/>
              </w:rPr>
              <w:t>FSchofer</w:t>
            </w:r>
          </w:p>
        </w:tc>
        <w:tc>
          <w:tcPr>
            <w:tcW w:w="2094" w:type="dxa"/>
          </w:tcPr>
          <w:p w14:paraId="6D8CC37F" w14:textId="77777777" w:rsidR="00257BDC" w:rsidRPr="004A5A16" w:rsidRDefault="00257BDC" w:rsidP="00257BDC">
            <w:pPr>
              <w:rPr>
                <w:sz w:val="20"/>
              </w:rPr>
            </w:pPr>
            <w:r w:rsidRPr="004A5A16">
              <w:rPr>
                <w:sz w:val="20"/>
              </w:rPr>
              <w:t>GLappert</w:t>
            </w:r>
          </w:p>
        </w:tc>
        <w:tc>
          <w:tcPr>
            <w:tcW w:w="2094" w:type="dxa"/>
            <w:tcBorders>
              <w:right w:val="double" w:sz="4" w:space="0" w:color="auto"/>
            </w:tcBorders>
          </w:tcPr>
          <w:p w14:paraId="4C34E03D" w14:textId="77777777" w:rsidR="00257BDC" w:rsidRPr="004A5A16" w:rsidRDefault="00257BDC" w:rsidP="00257BDC">
            <w:pPr>
              <w:rPr>
                <w:sz w:val="20"/>
              </w:rPr>
            </w:pPr>
            <w:r w:rsidRPr="004A5A16">
              <w:rPr>
                <w:sz w:val="20"/>
              </w:rPr>
              <w:t>MKhanna</w:t>
            </w:r>
          </w:p>
        </w:tc>
      </w:tr>
      <w:tr w:rsidR="00257BDC" w:rsidRPr="00F44845" w14:paraId="058333C7" w14:textId="77777777" w:rsidTr="00257BDC">
        <w:tc>
          <w:tcPr>
            <w:tcW w:w="950" w:type="dxa"/>
            <w:tcBorders>
              <w:left w:val="double" w:sz="4" w:space="0" w:color="auto"/>
              <w:bottom w:val="double" w:sz="4" w:space="0" w:color="auto"/>
            </w:tcBorders>
          </w:tcPr>
          <w:p w14:paraId="3473F9BE" w14:textId="77777777" w:rsidR="00257BDC" w:rsidRPr="004A5A16" w:rsidRDefault="00257BDC" w:rsidP="00257BDC">
            <w:pPr>
              <w:rPr>
                <w:sz w:val="20"/>
              </w:rPr>
            </w:pPr>
            <w:r w:rsidRPr="004A5A16">
              <w:rPr>
                <w:sz w:val="20"/>
              </w:rPr>
              <w:t>DATE</w:t>
            </w:r>
          </w:p>
        </w:tc>
        <w:tc>
          <w:tcPr>
            <w:tcW w:w="2262" w:type="dxa"/>
            <w:tcBorders>
              <w:bottom w:val="double" w:sz="4" w:space="0" w:color="auto"/>
            </w:tcBorders>
          </w:tcPr>
          <w:p w14:paraId="6040BC9F" w14:textId="77777777" w:rsidR="00257BDC" w:rsidRPr="004A5A16" w:rsidRDefault="00257BDC" w:rsidP="00257BDC">
            <w:pPr>
              <w:rPr>
                <w:sz w:val="20"/>
              </w:rPr>
            </w:pPr>
            <w:r>
              <w:rPr>
                <w:sz w:val="20"/>
              </w:rPr>
              <w:t>12/6/2016</w:t>
            </w:r>
          </w:p>
        </w:tc>
        <w:tc>
          <w:tcPr>
            <w:tcW w:w="2217" w:type="dxa"/>
            <w:tcBorders>
              <w:bottom w:val="double" w:sz="4" w:space="0" w:color="auto"/>
            </w:tcBorders>
          </w:tcPr>
          <w:p w14:paraId="2E910E5B" w14:textId="77777777" w:rsidR="00257BDC" w:rsidRPr="004A5A16" w:rsidRDefault="00257BDC" w:rsidP="00257BDC">
            <w:pPr>
              <w:rPr>
                <w:sz w:val="20"/>
              </w:rPr>
            </w:pPr>
            <w:r>
              <w:rPr>
                <w:sz w:val="20"/>
              </w:rPr>
              <w:t>12/15/2016</w:t>
            </w:r>
          </w:p>
        </w:tc>
        <w:tc>
          <w:tcPr>
            <w:tcW w:w="2094" w:type="dxa"/>
            <w:tcBorders>
              <w:bottom w:val="double" w:sz="4" w:space="0" w:color="auto"/>
            </w:tcBorders>
          </w:tcPr>
          <w:p w14:paraId="0DE096CC" w14:textId="77777777" w:rsidR="00257BDC" w:rsidRPr="004A5A16" w:rsidRDefault="00257BDC" w:rsidP="00257BDC">
            <w:pPr>
              <w:rPr>
                <w:sz w:val="20"/>
              </w:rPr>
            </w:pPr>
            <w:r>
              <w:rPr>
                <w:sz w:val="20"/>
              </w:rPr>
              <w:t>12/8/2016</w:t>
            </w:r>
          </w:p>
        </w:tc>
        <w:tc>
          <w:tcPr>
            <w:tcW w:w="2094" w:type="dxa"/>
            <w:tcBorders>
              <w:bottom w:val="double" w:sz="4" w:space="0" w:color="auto"/>
              <w:right w:val="double" w:sz="4" w:space="0" w:color="auto"/>
            </w:tcBorders>
          </w:tcPr>
          <w:p w14:paraId="7C05CC80" w14:textId="77777777" w:rsidR="00257BDC" w:rsidRPr="004A5A16" w:rsidRDefault="00257BDC" w:rsidP="00257BDC">
            <w:pPr>
              <w:rPr>
                <w:sz w:val="20"/>
              </w:rPr>
            </w:pPr>
            <w:r>
              <w:rPr>
                <w:sz w:val="20"/>
              </w:rPr>
              <w:t>12/7/2016</w:t>
            </w:r>
          </w:p>
        </w:tc>
      </w:tr>
      <w:tr w:rsidR="00257BDC" w:rsidRPr="00F44845" w14:paraId="4B742777" w14:textId="77777777" w:rsidTr="00257BDC">
        <w:tc>
          <w:tcPr>
            <w:tcW w:w="950" w:type="dxa"/>
            <w:tcBorders>
              <w:top w:val="double" w:sz="4" w:space="0" w:color="auto"/>
              <w:left w:val="double" w:sz="4" w:space="0" w:color="auto"/>
            </w:tcBorders>
          </w:tcPr>
          <w:p w14:paraId="156614B7" w14:textId="77777777" w:rsidR="00257BDC" w:rsidRPr="004A5A16" w:rsidRDefault="00257BDC" w:rsidP="00257BDC">
            <w:pPr>
              <w:rPr>
                <w:sz w:val="20"/>
              </w:rPr>
            </w:pPr>
            <w:r w:rsidRPr="004A5A16">
              <w:rPr>
                <w:sz w:val="20"/>
              </w:rPr>
              <w:t>OFFICE</w:t>
            </w:r>
          </w:p>
        </w:tc>
        <w:tc>
          <w:tcPr>
            <w:tcW w:w="2262" w:type="dxa"/>
            <w:tcBorders>
              <w:top w:val="double" w:sz="4" w:space="0" w:color="auto"/>
            </w:tcBorders>
          </w:tcPr>
          <w:p w14:paraId="08356589" w14:textId="77777777" w:rsidR="00257BDC" w:rsidRPr="004A5A16" w:rsidRDefault="00257BDC" w:rsidP="00257BDC">
            <w:pPr>
              <w:rPr>
                <w:sz w:val="20"/>
              </w:rPr>
            </w:pPr>
            <w:r w:rsidRPr="004A5A16">
              <w:rPr>
                <w:sz w:val="20"/>
              </w:rPr>
              <w:t>NRR/DPR/D</w:t>
            </w:r>
            <w:r>
              <w:rPr>
                <w:sz w:val="20"/>
              </w:rPr>
              <w:t>*</w:t>
            </w:r>
          </w:p>
        </w:tc>
        <w:tc>
          <w:tcPr>
            <w:tcW w:w="2217" w:type="dxa"/>
            <w:tcBorders>
              <w:top w:val="double" w:sz="4" w:space="0" w:color="auto"/>
            </w:tcBorders>
          </w:tcPr>
          <w:p w14:paraId="0384DCF7" w14:textId="77777777" w:rsidR="00257BDC" w:rsidRPr="004A5A16" w:rsidRDefault="00257BDC" w:rsidP="00257BDC">
            <w:pPr>
              <w:rPr>
                <w:sz w:val="20"/>
              </w:rPr>
            </w:pPr>
            <w:r>
              <w:rPr>
                <w:sz w:val="20"/>
              </w:rPr>
              <w:t>QTE</w:t>
            </w:r>
          </w:p>
        </w:tc>
        <w:tc>
          <w:tcPr>
            <w:tcW w:w="2094" w:type="dxa"/>
            <w:tcBorders>
              <w:top w:val="double" w:sz="4" w:space="0" w:color="auto"/>
            </w:tcBorders>
          </w:tcPr>
          <w:p w14:paraId="1B1D98F2" w14:textId="77777777" w:rsidR="00257BDC" w:rsidRPr="004A5A16" w:rsidRDefault="00257BDC" w:rsidP="00257BDC">
            <w:pPr>
              <w:rPr>
                <w:sz w:val="20"/>
              </w:rPr>
            </w:pPr>
            <w:r>
              <w:rPr>
                <w:sz w:val="20"/>
              </w:rPr>
              <w:t>NRR/DE/D*</w:t>
            </w:r>
          </w:p>
        </w:tc>
        <w:tc>
          <w:tcPr>
            <w:tcW w:w="2094" w:type="dxa"/>
            <w:tcBorders>
              <w:top w:val="double" w:sz="4" w:space="0" w:color="auto"/>
              <w:right w:val="double" w:sz="4" w:space="0" w:color="auto"/>
            </w:tcBorders>
          </w:tcPr>
          <w:p w14:paraId="59812BA4" w14:textId="77777777" w:rsidR="00257BDC" w:rsidRPr="004A5A16" w:rsidRDefault="00257BDC" w:rsidP="00257BDC">
            <w:pPr>
              <w:rPr>
                <w:sz w:val="20"/>
              </w:rPr>
            </w:pPr>
            <w:r w:rsidRPr="004A5A16">
              <w:rPr>
                <w:sz w:val="20"/>
              </w:rPr>
              <w:t>RES/D</w:t>
            </w:r>
            <w:r>
              <w:rPr>
                <w:sz w:val="20"/>
              </w:rPr>
              <w:t>*</w:t>
            </w:r>
          </w:p>
        </w:tc>
      </w:tr>
      <w:tr w:rsidR="00257BDC" w:rsidRPr="00F44845" w14:paraId="0BE5106D" w14:textId="77777777" w:rsidTr="00257BDC">
        <w:tc>
          <w:tcPr>
            <w:tcW w:w="950" w:type="dxa"/>
            <w:tcBorders>
              <w:left w:val="double" w:sz="4" w:space="0" w:color="auto"/>
            </w:tcBorders>
          </w:tcPr>
          <w:p w14:paraId="421AE7DB" w14:textId="77777777" w:rsidR="00257BDC" w:rsidRPr="004A5A16" w:rsidRDefault="00257BDC" w:rsidP="00257BDC">
            <w:pPr>
              <w:rPr>
                <w:sz w:val="20"/>
              </w:rPr>
            </w:pPr>
            <w:r w:rsidRPr="004A5A16">
              <w:rPr>
                <w:sz w:val="20"/>
              </w:rPr>
              <w:t>NAME</w:t>
            </w:r>
          </w:p>
        </w:tc>
        <w:tc>
          <w:tcPr>
            <w:tcW w:w="2262" w:type="dxa"/>
          </w:tcPr>
          <w:p w14:paraId="1D3D9E6B" w14:textId="77777777" w:rsidR="00257BDC" w:rsidRPr="004A5A16" w:rsidRDefault="00257BDC" w:rsidP="00257BDC">
            <w:pPr>
              <w:rPr>
                <w:sz w:val="20"/>
              </w:rPr>
            </w:pPr>
            <w:r w:rsidRPr="004A5A16">
              <w:rPr>
                <w:sz w:val="20"/>
              </w:rPr>
              <w:t>LLund</w:t>
            </w:r>
            <w:r>
              <w:rPr>
                <w:sz w:val="20"/>
              </w:rPr>
              <w:t xml:space="preserve"> (MGavrilas for)</w:t>
            </w:r>
          </w:p>
        </w:tc>
        <w:tc>
          <w:tcPr>
            <w:tcW w:w="2217" w:type="dxa"/>
          </w:tcPr>
          <w:p w14:paraId="5FF32AE3" w14:textId="77777777" w:rsidR="00257BDC" w:rsidRPr="004A5A16" w:rsidRDefault="00257BDC" w:rsidP="00257BDC">
            <w:pPr>
              <w:rPr>
                <w:sz w:val="20"/>
              </w:rPr>
            </w:pPr>
            <w:r>
              <w:rPr>
                <w:sz w:val="20"/>
              </w:rPr>
              <w:t>JDougherty*</w:t>
            </w:r>
          </w:p>
        </w:tc>
        <w:tc>
          <w:tcPr>
            <w:tcW w:w="2094" w:type="dxa"/>
          </w:tcPr>
          <w:p w14:paraId="0EC13344" w14:textId="77777777" w:rsidR="00257BDC" w:rsidRPr="004A5A16" w:rsidRDefault="00257BDC" w:rsidP="00257BDC">
            <w:pPr>
              <w:rPr>
                <w:sz w:val="20"/>
              </w:rPr>
            </w:pPr>
            <w:r>
              <w:rPr>
                <w:sz w:val="20"/>
              </w:rPr>
              <w:t>JLubinski</w:t>
            </w:r>
          </w:p>
        </w:tc>
        <w:tc>
          <w:tcPr>
            <w:tcW w:w="2094" w:type="dxa"/>
            <w:tcBorders>
              <w:right w:val="double" w:sz="4" w:space="0" w:color="auto"/>
            </w:tcBorders>
          </w:tcPr>
          <w:p w14:paraId="24D8614A" w14:textId="77777777" w:rsidR="00257BDC" w:rsidRDefault="00257BDC" w:rsidP="00257BDC">
            <w:pPr>
              <w:rPr>
                <w:sz w:val="20"/>
              </w:rPr>
            </w:pPr>
            <w:r>
              <w:rPr>
                <w:sz w:val="20"/>
              </w:rPr>
              <w:t>MWeber</w:t>
            </w:r>
          </w:p>
          <w:p w14:paraId="1C192675" w14:textId="77777777" w:rsidR="00257BDC" w:rsidRPr="004A5A16" w:rsidRDefault="00257BDC" w:rsidP="00257BDC">
            <w:pPr>
              <w:rPr>
                <w:sz w:val="20"/>
              </w:rPr>
            </w:pPr>
            <w:r>
              <w:rPr>
                <w:sz w:val="20"/>
              </w:rPr>
              <w:t>(EHackett for)</w:t>
            </w:r>
          </w:p>
        </w:tc>
      </w:tr>
      <w:tr w:rsidR="00257BDC" w:rsidRPr="00F44845" w14:paraId="7CF8CF51" w14:textId="77777777" w:rsidTr="00257BDC">
        <w:tc>
          <w:tcPr>
            <w:tcW w:w="950" w:type="dxa"/>
            <w:tcBorders>
              <w:left w:val="double" w:sz="4" w:space="0" w:color="auto"/>
              <w:bottom w:val="double" w:sz="4" w:space="0" w:color="auto"/>
            </w:tcBorders>
          </w:tcPr>
          <w:p w14:paraId="6DB3E8BB" w14:textId="77777777" w:rsidR="00257BDC" w:rsidRPr="004A5A16" w:rsidRDefault="00257BDC" w:rsidP="00257BDC">
            <w:pPr>
              <w:rPr>
                <w:sz w:val="20"/>
              </w:rPr>
            </w:pPr>
            <w:r w:rsidRPr="004A5A16">
              <w:rPr>
                <w:sz w:val="20"/>
              </w:rPr>
              <w:t>DATE</w:t>
            </w:r>
          </w:p>
        </w:tc>
        <w:tc>
          <w:tcPr>
            <w:tcW w:w="2262" w:type="dxa"/>
            <w:tcBorders>
              <w:bottom w:val="double" w:sz="4" w:space="0" w:color="auto"/>
            </w:tcBorders>
          </w:tcPr>
          <w:p w14:paraId="29F4448C" w14:textId="77777777" w:rsidR="00257BDC" w:rsidRPr="004A5A16" w:rsidRDefault="00257BDC" w:rsidP="00257BDC">
            <w:pPr>
              <w:rPr>
                <w:sz w:val="20"/>
              </w:rPr>
            </w:pPr>
            <w:r>
              <w:rPr>
                <w:sz w:val="20"/>
              </w:rPr>
              <w:t>12/23/2017</w:t>
            </w:r>
          </w:p>
        </w:tc>
        <w:tc>
          <w:tcPr>
            <w:tcW w:w="2217" w:type="dxa"/>
            <w:tcBorders>
              <w:bottom w:val="double" w:sz="4" w:space="0" w:color="auto"/>
            </w:tcBorders>
          </w:tcPr>
          <w:p w14:paraId="1AF67705" w14:textId="77777777" w:rsidR="00257BDC" w:rsidRPr="004A5A16" w:rsidRDefault="00257BDC" w:rsidP="00257BDC">
            <w:pPr>
              <w:rPr>
                <w:sz w:val="20"/>
              </w:rPr>
            </w:pPr>
            <w:r>
              <w:rPr>
                <w:sz w:val="20"/>
              </w:rPr>
              <w:t>11/21/2016</w:t>
            </w:r>
          </w:p>
        </w:tc>
        <w:tc>
          <w:tcPr>
            <w:tcW w:w="2094" w:type="dxa"/>
            <w:tcBorders>
              <w:bottom w:val="double" w:sz="4" w:space="0" w:color="auto"/>
            </w:tcBorders>
          </w:tcPr>
          <w:p w14:paraId="7C40AB37" w14:textId="77777777" w:rsidR="00257BDC" w:rsidRPr="004A5A16" w:rsidRDefault="00257BDC" w:rsidP="00257BDC">
            <w:pPr>
              <w:rPr>
                <w:sz w:val="20"/>
              </w:rPr>
            </w:pPr>
            <w:r>
              <w:rPr>
                <w:sz w:val="20"/>
              </w:rPr>
              <w:t>1/19/2017</w:t>
            </w:r>
          </w:p>
        </w:tc>
        <w:tc>
          <w:tcPr>
            <w:tcW w:w="2094" w:type="dxa"/>
            <w:tcBorders>
              <w:bottom w:val="double" w:sz="4" w:space="0" w:color="auto"/>
              <w:right w:val="double" w:sz="4" w:space="0" w:color="auto"/>
            </w:tcBorders>
          </w:tcPr>
          <w:p w14:paraId="57F56A38" w14:textId="77777777" w:rsidR="00257BDC" w:rsidRPr="004A5A16" w:rsidRDefault="00257BDC" w:rsidP="00257BDC">
            <w:pPr>
              <w:rPr>
                <w:sz w:val="20"/>
              </w:rPr>
            </w:pPr>
            <w:r>
              <w:rPr>
                <w:sz w:val="20"/>
              </w:rPr>
              <w:t>1/24/2017</w:t>
            </w:r>
          </w:p>
        </w:tc>
      </w:tr>
      <w:tr w:rsidR="00257BDC" w:rsidRPr="00F44845" w14:paraId="58A15647" w14:textId="77777777" w:rsidTr="00257BDC">
        <w:tc>
          <w:tcPr>
            <w:tcW w:w="950" w:type="dxa"/>
            <w:tcBorders>
              <w:top w:val="double" w:sz="4" w:space="0" w:color="auto"/>
              <w:left w:val="double" w:sz="4" w:space="0" w:color="auto"/>
            </w:tcBorders>
          </w:tcPr>
          <w:p w14:paraId="7036429F" w14:textId="77777777" w:rsidR="00257BDC" w:rsidRPr="004A5A16" w:rsidRDefault="00257BDC" w:rsidP="00257BDC">
            <w:pPr>
              <w:rPr>
                <w:sz w:val="20"/>
              </w:rPr>
            </w:pPr>
            <w:r w:rsidRPr="004A5A16">
              <w:rPr>
                <w:sz w:val="20"/>
              </w:rPr>
              <w:t>OFFICE</w:t>
            </w:r>
          </w:p>
        </w:tc>
        <w:tc>
          <w:tcPr>
            <w:tcW w:w="2262" w:type="dxa"/>
            <w:tcBorders>
              <w:top w:val="double" w:sz="4" w:space="0" w:color="auto"/>
            </w:tcBorders>
          </w:tcPr>
          <w:p w14:paraId="6CA6B2B0" w14:textId="77777777" w:rsidR="00257BDC" w:rsidRDefault="00257BDC" w:rsidP="00257BDC">
            <w:pPr>
              <w:rPr>
                <w:sz w:val="20"/>
              </w:rPr>
            </w:pPr>
            <w:r w:rsidRPr="004A5A16">
              <w:rPr>
                <w:sz w:val="20"/>
              </w:rPr>
              <w:t>NRO/D</w:t>
            </w:r>
            <w:r>
              <w:rPr>
                <w:sz w:val="20"/>
              </w:rPr>
              <w:t>*</w:t>
            </w:r>
          </w:p>
        </w:tc>
        <w:tc>
          <w:tcPr>
            <w:tcW w:w="2217" w:type="dxa"/>
            <w:tcBorders>
              <w:top w:val="double" w:sz="4" w:space="0" w:color="auto"/>
            </w:tcBorders>
          </w:tcPr>
          <w:p w14:paraId="5221FD8D" w14:textId="77777777" w:rsidR="00257BDC" w:rsidRDefault="00257BDC" w:rsidP="00257BDC">
            <w:pPr>
              <w:rPr>
                <w:sz w:val="20"/>
              </w:rPr>
            </w:pPr>
            <w:r>
              <w:rPr>
                <w:sz w:val="20"/>
              </w:rPr>
              <w:t>OCIO</w:t>
            </w:r>
            <w:r w:rsidRPr="004A5A16">
              <w:rPr>
                <w:sz w:val="20"/>
              </w:rPr>
              <w:t>/CSD/FPIB</w:t>
            </w:r>
            <w:r>
              <w:rPr>
                <w:sz w:val="20"/>
              </w:rPr>
              <w:t>*</w:t>
            </w:r>
          </w:p>
        </w:tc>
        <w:tc>
          <w:tcPr>
            <w:tcW w:w="2094" w:type="dxa"/>
            <w:tcBorders>
              <w:top w:val="double" w:sz="4" w:space="0" w:color="auto"/>
            </w:tcBorders>
          </w:tcPr>
          <w:p w14:paraId="7D08EE8C" w14:textId="31B0D718" w:rsidR="00257BDC" w:rsidRPr="004A5A16" w:rsidRDefault="00257BDC" w:rsidP="00257BDC">
            <w:pPr>
              <w:rPr>
                <w:sz w:val="20"/>
              </w:rPr>
            </w:pPr>
            <w:r>
              <w:rPr>
                <w:sz w:val="20"/>
              </w:rPr>
              <w:t>OGC</w:t>
            </w:r>
            <w:r w:rsidR="00F349C4">
              <w:rPr>
                <w:sz w:val="20"/>
              </w:rPr>
              <w:t>*</w:t>
            </w:r>
          </w:p>
        </w:tc>
        <w:tc>
          <w:tcPr>
            <w:tcW w:w="2094" w:type="dxa"/>
            <w:tcBorders>
              <w:top w:val="double" w:sz="4" w:space="0" w:color="auto"/>
              <w:right w:val="double" w:sz="4" w:space="0" w:color="auto"/>
            </w:tcBorders>
          </w:tcPr>
          <w:p w14:paraId="5AB47961" w14:textId="77777777" w:rsidR="00257BDC" w:rsidRPr="004A5A16" w:rsidRDefault="00257BDC" w:rsidP="00257BDC">
            <w:pPr>
              <w:rPr>
                <w:sz w:val="20"/>
              </w:rPr>
            </w:pPr>
            <w:r w:rsidRPr="004A5A16">
              <w:rPr>
                <w:sz w:val="20"/>
              </w:rPr>
              <w:t>NRR/D</w:t>
            </w:r>
          </w:p>
        </w:tc>
      </w:tr>
      <w:tr w:rsidR="00257BDC" w:rsidRPr="00F44845" w14:paraId="1DE25CE5" w14:textId="77777777" w:rsidTr="00257BDC">
        <w:trPr>
          <w:trHeight w:val="242"/>
        </w:trPr>
        <w:tc>
          <w:tcPr>
            <w:tcW w:w="950" w:type="dxa"/>
            <w:tcBorders>
              <w:left w:val="double" w:sz="4" w:space="0" w:color="auto"/>
            </w:tcBorders>
          </w:tcPr>
          <w:p w14:paraId="4077CC0B" w14:textId="77777777" w:rsidR="00257BDC" w:rsidRPr="004A5A16" w:rsidRDefault="00257BDC" w:rsidP="00257BDC">
            <w:pPr>
              <w:rPr>
                <w:sz w:val="20"/>
              </w:rPr>
            </w:pPr>
            <w:r w:rsidRPr="004A5A16">
              <w:rPr>
                <w:sz w:val="20"/>
              </w:rPr>
              <w:t>NAME</w:t>
            </w:r>
          </w:p>
        </w:tc>
        <w:tc>
          <w:tcPr>
            <w:tcW w:w="2262" w:type="dxa"/>
          </w:tcPr>
          <w:p w14:paraId="4EDB8B33" w14:textId="77777777" w:rsidR="00257BDC" w:rsidRDefault="00257BDC" w:rsidP="00257BDC">
            <w:pPr>
              <w:rPr>
                <w:sz w:val="20"/>
              </w:rPr>
            </w:pPr>
            <w:r>
              <w:rPr>
                <w:sz w:val="20"/>
              </w:rPr>
              <w:t>VOrdaz</w:t>
            </w:r>
          </w:p>
          <w:p w14:paraId="57780F20" w14:textId="77777777" w:rsidR="00257BDC" w:rsidRPr="004A5A16" w:rsidRDefault="00257BDC" w:rsidP="00257BDC">
            <w:pPr>
              <w:rPr>
                <w:sz w:val="20"/>
              </w:rPr>
            </w:pPr>
            <w:r>
              <w:rPr>
                <w:sz w:val="20"/>
              </w:rPr>
              <w:t>(RCaldwell for)</w:t>
            </w:r>
          </w:p>
        </w:tc>
        <w:tc>
          <w:tcPr>
            <w:tcW w:w="2217" w:type="dxa"/>
          </w:tcPr>
          <w:p w14:paraId="33E9122C" w14:textId="77777777" w:rsidR="00257BDC" w:rsidRPr="004A5A16" w:rsidRDefault="00257BDC" w:rsidP="00257BDC">
            <w:pPr>
              <w:rPr>
                <w:sz w:val="20"/>
              </w:rPr>
            </w:pPr>
            <w:r>
              <w:rPr>
                <w:sz w:val="20"/>
              </w:rPr>
              <w:t>DCullison</w:t>
            </w:r>
          </w:p>
        </w:tc>
        <w:tc>
          <w:tcPr>
            <w:tcW w:w="2094" w:type="dxa"/>
          </w:tcPr>
          <w:p w14:paraId="0F6AE9C5" w14:textId="77777777" w:rsidR="00257BDC" w:rsidRPr="004A5A16" w:rsidRDefault="00257BDC" w:rsidP="00257BDC">
            <w:pPr>
              <w:rPr>
                <w:sz w:val="20"/>
              </w:rPr>
            </w:pPr>
            <w:r>
              <w:rPr>
                <w:sz w:val="20"/>
              </w:rPr>
              <w:t>SClark</w:t>
            </w:r>
          </w:p>
        </w:tc>
        <w:tc>
          <w:tcPr>
            <w:tcW w:w="2094" w:type="dxa"/>
            <w:tcBorders>
              <w:right w:val="double" w:sz="4" w:space="0" w:color="auto"/>
            </w:tcBorders>
          </w:tcPr>
          <w:p w14:paraId="523E886A" w14:textId="77777777" w:rsidR="00257BDC" w:rsidRDefault="00745626" w:rsidP="00257BDC">
            <w:pPr>
              <w:rPr>
                <w:sz w:val="20"/>
              </w:rPr>
            </w:pPr>
            <w:r>
              <w:rPr>
                <w:sz w:val="20"/>
              </w:rPr>
              <w:t>BHolian</w:t>
            </w:r>
          </w:p>
          <w:p w14:paraId="1396DE7F" w14:textId="1495777D" w:rsidR="00745626" w:rsidRPr="004A5A16" w:rsidRDefault="00745626" w:rsidP="00257BDC">
            <w:pPr>
              <w:rPr>
                <w:sz w:val="20"/>
              </w:rPr>
            </w:pPr>
          </w:p>
        </w:tc>
      </w:tr>
      <w:tr w:rsidR="00257BDC" w:rsidRPr="00F44845" w14:paraId="0EB3D6DA" w14:textId="77777777" w:rsidTr="00257BDC">
        <w:tc>
          <w:tcPr>
            <w:tcW w:w="950" w:type="dxa"/>
            <w:tcBorders>
              <w:left w:val="double" w:sz="4" w:space="0" w:color="auto"/>
              <w:bottom w:val="double" w:sz="4" w:space="0" w:color="auto"/>
            </w:tcBorders>
          </w:tcPr>
          <w:p w14:paraId="10127DDC" w14:textId="440418CF" w:rsidR="00257BDC" w:rsidRPr="004A5A16" w:rsidRDefault="00257BDC" w:rsidP="00257BDC">
            <w:pPr>
              <w:rPr>
                <w:sz w:val="20"/>
              </w:rPr>
            </w:pPr>
            <w:r w:rsidRPr="004A5A16">
              <w:rPr>
                <w:sz w:val="20"/>
              </w:rPr>
              <w:t>DATE</w:t>
            </w:r>
          </w:p>
        </w:tc>
        <w:tc>
          <w:tcPr>
            <w:tcW w:w="2262" w:type="dxa"/>
            <w:tcBorders>
              <w:bottom w:val="double" w:sz="4" w:space="0" w:color="auto"/>
            </w:tcBorders>
          </w:tcPr>
          <w:p w14:paraId="30730B08" w14:textId="77777777" w:rsidR="00257BDC" w:rsidRPr="004A5A16" w:rsidRDefault="00257BDC" w:rsidP="00257BDC">
            <w:pPr>
              <w:rPr>
                <w:sz w:val="20"/>
              </w:rPr>
            </w:pPr>
            <w:r>
              <w:rPr>
                <w:sz w:val="20"/>
              </w:rPr>
              <w:t>1/24/2017</w:t>
            </w:r>
          </w:p>
        </w:tc>
        <w:tc>
          <w:tcPr>
            <w:tcW w:w="2217" w:type="dxa"/>
            <w:tcBorders>
              <w:bottom w:val="double" w:sz="4" w:space="0" w:color="auto"/>
            </w:tcBorders>
          </w:tcPr>
          <w:p w14:paraId="487B0EE4" w14:textId="77777777" w:rsidR="00257BDC" w:rsidRPr="004A5A16" w:rsidRDefault="00257BDC" w:rsidP="00257BDC">
            <w:pPr>
              <w:rPr>
                <w:sz w:val="20"/>
              </w:rPr>
            </w:pPr>
            <w:r>
              <w:rPr>
                <w:sz w:val="20"/>
              </w:rPr>
              <w:t>1/27/2017</w:t>
            </w:r>
          </w:p>
        </w:tc>
        <w:tc>
          <w:tcPr>
            <w:tcW w:w="2094" w:type="dxa"/>
            <w:tcBorders>
              <w:bottom w:val="double" w:sz="4" w:space="0" w:color="auto"/>
            </w:tcBorders>
          </w:tcPr>
          <w:p w14:paraId="33F72AA1" w14:textId="77777777" w:rsidR="00257BDC" w:rsidRPr="004A5A16" w:rsidRDefault="00257BDC" w:rsidP="00257BDC">
            <w:pPr>
              <w:rPr>
                <w:sz w:val="20"/>
              </w:rPr>
            </w:pPr>
            <w:r>
              <w:rPr>
                <w:sz w:val="20"/>
              </w:rPr>
              <w:t>3/15/2017</w:t>
            </w:r>
          </w:p>
        </w:tc>
        <w:tc>
          <w:tcPr>
            <w:tcW w:w="2094" w:type="dxa"/>
            <w:tcBorders>
              <w:bottom w:val="double" w:sz="4" w:space="0" w:color="auto"/>
              <w:right w:val="double" w:sz="4" w:space="0" w:color="auto"/>
            </w:tcBorders>
          </w:tcPr>
          <w:p w14:paraId="2C2B2840" w14:textId="4515A936" w:rsidR="00257BDC" w:rsidRPr="004A5A16" w:rsidRDefault="00257BDC" w:rsidP="00257BDC">
            <w:pPr>
              <w:rPr>
                <w:sz w:val="20"/>
              </w:rPr>
            </w:pPr>
          </w:p>
        </w:tc>
      </w:tr>
    </w:tbl>
    <w:p w14:paraId="0E150D4F" w14:textId="3904E463" w:rsidR="00105ABE" w:rsidRPr="00257BDC" w:rsidRDefault="00257BDC" w:rsidP="00257BDC">
      <w:pPr>
        <w:spacing w:line="240" w:lineRule="auto"/>
        <w:jc w:val="center"/>
        <w:rPr>
          <w:b/>
          <w:sz w:val="16"/>
          <w:szCs w:val="18"/>
        </w:rPr>
      </w:pPr>
      <w:r w:rsidRPr="00257BDC">
        <w:rPr>
          <w:b/>
          <w:sz w:val="16"/>
          <w:szCs w:val="18"/>
        </w:rPr>
        <w:t>OFFICIAL RECORD COPY</w:t>
      </w:r>
    </w:p>
    <w:sectPr w:rsidR="00105ABE" w:rsidRPr="00257BDC" w:rsidSect="004C4BD7">
      <w:footerReference w:type="default" r:id="rId5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88994" w14:textId="77777777" w:rsidR="00FE7AC0" w:rsidRDefault="00FE7AC0" w:rsidP="00BA5BBD">
      <w:r>
        <w:separator/>
      </w:r>
    </w:p>
  </w:endnote>
  <w:endnote w:type="continuationSeparator" w:id="0">
    <w:p w14:paraId="0BEA2E14" w14:textId="77777777" w:rsidR="00FE7AC0" w:rsidRDefault="00FE7AC0" w:rsidP="00BA5BBD">
      <w:r>
        <w:continuationSeparator/>
      </w:r>
    </w:p>
  </w:endnote>
  <w:endnote w:type="continuationNotice" w:id="1">
    <w:p w14:paraId="565384BA" w14:textId="77777777" w:rsidR="00FE7AC0" w:rsidRDefault="00FE7A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1"/>
    <w:family w:val="roman"/>
    <w:notTrueType/>
    <w:pitch w:val="variable"/>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8BFB5" w14:textId="77777777" w:rsidR="00DF416A" w:rsidRDefault="00DF4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849FE" w14:textId="77777777" w:rsidR="00DF416A" w:rsidRPr="00B915BB" w:rsidRDefault="00DF416A" w:rsidP="00284B4B">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7CCDB" w14:textId="77777777" w:rsidR="00DF416A" w:rsidRDefault="00DF41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52047" w14:textId="77777777" w:rsidR="00DF416A" w:rsidRPr="00D064DA" w:rsidRDefault="00DF416A" w:rsidP="00780F91">
    <w:pPr>
      <w:pBdr>
        <w:top w:val="single" w:sz="18" w:space="1" w:color="auto"/>
      </w:pBdr>
      <w:tabs>
        <w:tab w:val="left" w:pos="1653"/>
        <w:tab w:val="right" w:pos="9360"/>
      </w:tabs>
      <w:jc w:val="center"/>
    </w:pPr>
    <w:r w:rsidRPr="00E878D3">
      <w:fldChar w:fldCharType="begin"/>
    </w:r>
    <w:r w:rsidRPr="00D557C2">
      <w:instrText xml:space="preserve"> PAGE   \* MERGEFORMAT </w:instrText>
    </w:r>
    <w:r w:rsidRPr="00E878D3">
      <w:fldChar w:fldCharType="separate"/>
    </w:r>
    <w:r w:rsidR="009E405F">
      <w:rPr>
        <w:noProof/>
      </w:rPr>
      <w:t>iv</w:t>
    </w:r>
    <w:r w:rsidRPr="00E878D3">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2793F" w14:textId="77777777" w:rsidR="00DF416A" w:rsidRPr="00D064DA" w:rsidRDefault="00DF416A" w:rsidP="00780F91">
    <w:pPr>
      <w:pBdr>
        <w:top w:val="single" w:sz="18" w:space="1" w:color="auto"/>
      </w:pBdr>
      <w:tabs>
        <w:tab w:val="left" w:pos="1653"/>
        <w:tab w:val="right" w:pos="9360"/>
      </w:tabs>
      <w:jc w:val="center"/>
    </w:pPr>
    <w:r w:rsidRPr="00E878D3">
      <w:fldChar w:fldCharType="begin"/>
    </w:r>
    <w:r w:rsidRPr="00D557C2">
      <w:instrText xml:space="preserve"> PAGE   \* MERGEFORMAT </w:instrText>
    </w:r>
    <w:r w:rsidRPr="00E878D3">
      <w:fldChar w:fldCharType="separate"/>
    </w:r>
    <w:r w:rsidR="009E405F">
      <w:rPr>
        <w:noProof/>
      </w:rPr>
      <w:t>49</w:t>
    </w:r>
    <w:r w:rsidRPr="00E878D3">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F7B96" w14:textId="2BAD3C73" w:rsidR="00DF416A" w:rsidRPr="00D064DA" w:rsidRDefault="00DF416A" w:rsidP="00780F91">
    <w:pPr>
      <w:pBdr>
        <w:top w:val="single" w:sz="18" w:space="1" w:color="auto"/>
      </w:pBdr>
      <w:tabs>
        <w:tab w:val="left" w:pos="1653"/>
        <w:tab w:val="right" w:pos="9360"/>
      </w:tabs>
      <w:jc w:val="center"/>
    </w:pPr>
    <w:r>
      <w:t>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F33AD" w14:textId="77777777" w:rsidR="00FE7AC0" w:rsidRDefault="00FE7AC0" w:rsidP="00BA5BBD">
      <w:r>
        <w:separator/>
      </w:r>
    </w:p>
  </w:footnote>
  <w:footnote w:type="continuationSeparator" w:id="0">
    <w:p w14:paraId="09CEA5F5" w14:textId="77777777" w:rsidR="00FE7AC0" w:rsidRDefault="00FE7AC0" w:rsidP="00BA5BBD">
      <w:r>
        <w:continuationSeparator/>
      </w:r>
    </w:p>
  </w:footnote>
  <w:footnote w:type="continuationNotice" w:id="1">
    <w:p w14:paraId="30918757" w14:textId="77777777" w:rsidR="00FE7AC0" w:rsidRDefault="00FE7AC0">
      <w:pPr>
        <w:spacing w:line="240" w:lineRule="auto"/>
      </w:pPr>
    </w:p>
  </w:footnote>
  <w:footnote w:id="2">
    <w:p w14:paraId="77F47EAC" w14:textId="049732BA" w:rsidR="00DF416A" w:rsidRPr="00E878D3" w:rsidRDefault="00DF416A" w:rsidP="00E878D3">
      <w:pPr>
        <w:ind w:left="720" w:hanging="720"/>
        <w:rPr>
          <w:sz w:val="18"/>
        </w:rPr>
      </w:pPr>
      <w:r w:rsidRPr="00E878D3">
        <w:rPr>
          <w:rStyle w:val="FootnoteReference"/>
          <w:sz w:val="18"/>
          <w:vertAlign w:val="superscript"/>
        </w:rPr>
        <w:footnoteRef/>
      </w:r>
      <w:r w:rsidRPr="00E878D3">
        <w:rPr>
          <w:rStyle w:val="FootnoteReference"/>
          <w:sz w:val="18"/>
          <w:vertAlign w:val="superscript"/>
        </w:rPr>
        <w:t xml:space="preserve"> </w:t>
      </w:r>
      <w:r w:rsidRPr="00E878D3">
        <w:rPr>
          <w:sz w:val="18"/>
        </w:rPr>
        <w:tab/>
        <w:t>The rates presented in Appendix</w:t>
      </w:r>
      <w:r>
        <w:rPr>
          <w:sz w:val="18"/>
          <w:szCs w:val="18"/>
        </w:rPr>
        <w:t> </w:t>
      </w:r>
      <w:r w:rsidRPr="00E878D3">
        <w:rPr>
          <w:sz w:val="18"/>
        </w:rPr>
        <w:t>C</w:t>
      </w:r>
      <w:r>
        <w:rPr>
          <w:sz w:val="18"/>
          <w:szCs w:val="18"/>
        </w:rPr>
        <w:t>,</w:t>
      </w:r>
      <w:r w:rsidRPr="00EC100B">
        <w:rPr>
          <w:sz w:val="18"/>
          <w:szCs w:val="18"/>
        </w:rPr>
        <w:t xml:space="preserve"> “Discount Rates for Cost-Effectiveness, Lease Purchase, and Related Analyses,” revised November 2015,</w:t>
      </w:r>
      <w:r w:rsidRPr="00E878D3">
        <w:rPr>
          <w:sz w:val="18"/>
        </w:rPr>
        <w:t xml:space="preserve"> to OMB Circular No.</w:t>
      </w:r>
      <w:r>
        <w:rPr>
          <w:sz w:val="18"/>
          <w:szCs w:val="18"/>
        </w:rPr>
        <w:t> </w:t>
      </w:r>
      <w:r w:rsidRPr="00E878D3">
        <w:rPr>
          <w:sz w:val="18"/>
        </w:rPr>
        <w:t>A-94</w:t>
      </w:r>
      <w:r>
        <w:rPr>
          <w:sz w:val="18"/>
          <w:szCs w:val="18"/>
        </w:rPr>
        <w:t xml:space="preserve">, </w:t>
      </w:r>
      <w:r w:rsidRPr="00EC100B">
        <w:rPr>
          <w:sz w:val="18"/>
          <w:szCs w:val="18"/>
        </w:rPr>
        <w:t>“Guidelines and Discount Rates for Benefit</w:t>
      </w:r>
      <w:r>
        <w:rPr>
          <w:sz w:val="18"/>
          <w:szCs w:val="18"/>
        </w:rPr>
        <w:noBreakHyphen/>
      </w:r>
      <w:r w:rsidRPr="00EC100B">
        <w:rPr>
          <w:sz w:val="18"/>
          <w:szCs w:val="18"/>
        </w:rPr>
        <w:t xml:space="preserve">Cost Analysis of Federal Programs,” </w:t>
      </w:r>
      <w:r>
        <w:rPr>
          <w:sz w:val="18"/>
          <w:szCs w:val="18"/>
        </w:rPr>
        <w:t xml:space="preserve">dated </w:t>
      </w:r>
      <w:r w:rsidRPr="00EC100B">
        <w:rPr>
          <w:sz w:val="18"/>
          <w:szCs w:val="18"/>
        </w:rPr>
        <w:t>October 29, 1992</w:t>
      </w:r>
      <w:r w:rsidRPr="00E878D3">
        <w:rPr>
          <w:sz w:val="18"/>
        </w:rPr>
        <w:t xml:space="preserve"> (Ref. </w:t>
      </w:r>
      <w:r w:rsidRPr="00D557C2">
        <w:rPr>
          <w:sz w:val="18"/>
          <w:szCs w:val="18"/>
        </w:rPr>
        <w:fldChar w:fldCharType="begin"/>
      </w:r>
      <w:r w:rsidRPr="00D557C2">
        <w:rPr>
          <w:sz w:val="18"/>
          <w:szCs w:val="18"/>
        </w:rPr>
        <w:instrText xml:space="preserve"> REF _Ref429983294 \r \h </w:instrText>
      </w:r>
      <w:r w:rsidRPr="00573427">
        <w:rPr>
          <w:sz w:val="18"/>
          <w:szCs w:val="18"/>
        </w:rPr>
        <w:instrText xml:space="preserve"> \* MERGEFORMAT </w:instrText>
      </w:r>
      <w:r w:rsidRPr="00D557C2">
        <w:rPr>
          <w:sz w:val="18"/>
          <w:szCs w:val="18"/>
        </w:rPr>
      </w:r>
      <w:r w:rsidRPr="00D557C2">
        <w:rPr>
          <w:sz w:val="18"/>
          <w:szCs w:val="18"/>
        </w:rPr>
        <w:fldChar w:fldCharType="separate"/>
      </w:r>
      <w:r w:rsidR="00FD3AB6">
        <w:rPr>
          <w:sz w:val="18"/>
          <w:szCs w:val="18"/>
        </w:rPr>
        <w:t>23</w:t>
      </w:r>
      <w:r w:rsidRPr="00D557C2">
        <w:rPr>
          <w:sz w:val="18"/>
          <w:szCs w:val="18"/>
        </w:rPr>
        <w:fldChar w:fldCharType="end"/>
      </w:r>
      <w:r w:rsidRPr="00D557C2">
        <w:rPr>
          <w:sz w:val="18"/>
          <w:szCs w:val="18"/>
        </w:rPr>
        <w:t>)</w:t>
      </w:r>
      <w:r>
        <w:rPr>
          <w:sz w:val="18"/>
          <w:szCs w:val="18"/>
        </w:rPr>
        <w:t>,</w:t>
      </w:r>
      <w:r w:rsidRPr="00E878D3">
        <w:rPr>
          <w:sz w:val="18"/>
        </w:rPr>
        <w:t xml:space="preserve"> do not apply to </w:t>
      </w:r>
      <w:r>
        <w:rPr>
          <w:sz w:val="18"/>
          <w:szCs w:val="18"/>
        </w:rPr>
        <w:t xml:space="preserve">the </w:t>
      </w:r>
      <w:r w:rsidRPr="00E878D3">
        <w:rPr>
          <w:sz w:val="18"/>
        </w:rPr>
        <w:t xml:space="preserve">regulatory analysis or benefit-cost analysis of public investment.  These rates are used for </w:t>
      </w:r>
      <w:r>
        <w:rPr>
          <w:sz w:val="18"/>
          <w:szCs w:val="18"/>
        </w:rPr>
        <w:t xml:space="preserve">the </w:t>
      </w:r>
      <w:r w:rsidRPr="00E878D3">
        <w:rPr>
          <w:sz w:val="18"/>
        </w:rPr>
        <w:t>lease</w:t>
      </w:r>
      <w:r>
        <w:rPr>
          <w:sz w:val="18"/>
          <w:szCs w:val="18"/>
        </w:rPr>
        <w:noBreakHyphen/>
      </w:r>
      <w:r w:rsidRPr="00E878D3">
        <w:rPr>
          <w:sz w:val="18"/>
        </w:rPr>
        <w:t>purchase and cost</w:t>
      </w:r>
      <w:r>
        <w:rPr>
          <w:sz w:val="18"/>
          <w:szCs w:val="18"/>
        </w:rPr>
        <w:noBreakHyphen/>
      </w:r>
      <w:r w:rsidRPr="00E878D3">
        <w:rPr>
          <w:sz w:val="18"/>
        </w:rPr>
        <w:t xml:space="preserve">effectiveness analysis, as specified in the </w:t>
      </w:r>
      <w:r>
        <w:rPr>
          <w:sz w:val="18"/>
          <w:szCs w:val="18"/>
        </w:rPr>
        <w:t>c</w:t>
      </w:r>
      <w:r w:rsidRPr="00D557C2">
        <w:rPr>
          <w:sz w:val="18"/>
          <w:szCs w:val="18"/>
        </w:rPr>
        <w:t>ircular</w:t>
      </w:r>
      <w:r w:rsidRPr="00E878D3">
        <w:rPr>
          <w:sz w:val="18"/>
        </w:rPr>
        <w:t>.</w:t>
      </w:r>
    </w:p>
    <w:p w14:paraId="79AC75C1" w14:textId="77777777" w:rsidR="00DF416A" w:rsidRPr="00E878D3" w:rsidRDefault="00DF416A" w:rsidP="00D01688">
      <w:pPr>
        <w:ind w:left="360" w:hanging="360"/>
        <w:rPr>
          <w:sz w:val="18"/>
        </w:rPr>
      </w:pPr>
    </w:p>
  </w:footnote>
  <w:footnote w:id="3">
    <w:p w14:paraId="682E7542" w14:textId="77777777" w:rsidR="00DF416A" w:rsidRPr="00E878D3" w:rsidRDefault="00DF416A" w:rsidP="00E878D3">
      <w:pPr>
        <w:ind w:left="720" w:hanging="720"/>
        <w:rPr>
          <w:rStyle w:val="FootnoteReference"/>
          <w:sz w:val="18"/>
        </w:rPr>
      </w:pPr>
      <w:r w:rsidRPr="00E878D3">
        <w:rPr>
          <w:rStyle w:val="FootnoteReference"/>
          <w:sz w:val="18"/>
          <w:vertAlign w:val="superscript"/>
        </w:rPr>
        <w:footnoteRef/>
      </w:r>
      <w:r w:rsidRPr="00E878D3">
        <w:rPr>
          <w:sz w:val="18"/>
        </w:rPr>
        <w:tab/>
        <w:t>Opportunity cost is the value of the next best alternative to a particular activity or resource.  An analyst does not need to assess opportunity cost in monetary terms.  Opportunity cost can be assessed in terms of anything that is of value.</w:t>
      </w:r>
    </w:p>
  </w:footnote>
  <w:footnote w:id="4">
    <w:p w14:paraId="3696E6C1" w14:textId="373BEC0E" w:rsidR="00DF416A" w:rsidRPr="00660501" w:rsidRDefault="00DF416A" w:rsidP="000E324D">
      <w:pPr>
        <w:ind w:left="720" w:hanging="720"/>
        <w:rPr>
          <w:sz w:val="20"/>
          <w:szCs w:val="20"/>
        </w:rPr>
      </w:pPr>
      <w:r w:rsidRPr="00E878D3">
        <w:rPr>
          <w:rStyle w:val="FootnoteReference"/>
          <w:sz w:val="18"/>
          <w:vertAlign w:val="superscript"/>
        </w:rPr>
        <w:footnoteRef/>
      </w:r>
      <w:r w:rsidRPr="00E878D3">
        <w:rPr>
          <w:sz w:val="18"/>
        </w:rPr>
        <w:tab/>
        <w:t>The NRC labor rates presented here differ from those developed under the NRC’s license fee recovery program (10</w:t>
      </w:r>
      <w:r>
        <w:rPr>
          <w:sz w:val="18"/>
          <w:szCs w:val="18"/>
        </w:rPr>
        <w:t> </w:t>
      </w:r>
      <w:r w:rsidRPr="00D557C2">
        <w:rPr>
          <w:sz w:val="18"/>
          <w:szCs w:val="18"/>
        </w:rPr>
        <w:t>CFR</w:t>
      </w:r>
      <w:r>
        <w:rPr>
          <w:sz w:val="18"/>
          <w:szCs w:val="18"/>
        </w:rPr>
        <w:t> </w:t>
      </w:r>
      <w:r w:rsidRPr="00D557C2">
        <w:rPr>
          <w:sz w:val="18"/>
          <w:szCs w:val="18"/>
        </w:rPr>
        <w:t>Part</w:t>
      </w:r>
      <w:r>
        <w:rPr>
          <w:sz w:val="18"/>
          <w:szCs w:val="18"/>
        </w:rPr>
        <w:t> </w:t>
      </w:r>
      <w:r w:rsidRPr="00D557C2">
        <w:rPr>
          <w:sz w:val="18"/>
          <w:szCs w:val="18"/>
        </w:rPr>
        <w:t>170</w:t>
      </w:r>
      <w:r>
        <w:rPr>
          <w:sz w:val="18"/>
          <w:szCs w:val="18"/>
        </w:rPr>
        <w:t xml:space="preserve">, </w:t>
      </w:r>
      <w:r w:rsidRPr="008360E1">
        <w:rPr>
          <w:sz w:val="18"/>
          <w:szCs w:val="18"/>
        </w:rPr>
        <w:t>“</w:t>
      </w:r>
      <w:r w:rsidRPr="00D557C2">
        <w:rPr>
          <w:sz w:val="18"/>
          <w:szCs w:val="18"/>
        </w:rPr>
        <w:t xml:space="preserve">Fees for Facilities, Materials, Import and Export Licenses, and Other Regulatory Services under the Atomic Energy Act of 1954, </w:t>
      </w:r>
      <w:r>
        <w:rPr>
          <w:sz w:val="18"/>
          <w:szCs w:val="18"/>
        </w:rPr>
        <w:t>a</w:t>
      </w:r>
      <w:r w:rsidRPr="00D557C2">
        <w:rPr>
          <w:sz w:val="18"/>
          <w:szCs w:val="18"/>
        </w:rPr>
        <w:t>s Amended”).</w:t>
      </w:r>
      <w:r w:rsidRPr="00E878D3">
        <w:rPr>
          <w:sz w:val="18"/>
        </w:rPr>
        <w:t xml:space="preserve">  The NRC labor rates for fee recovery purposes are set for cost recovery of the services rendered and as such include nonincremental costs (e.g., overhead, administrative, and logistical support costs).</w:t>
      </w:r>
      <w:r>
        <w:rPr>
          <w:sz w:val="18"/>
        </w:rPr>
        <w:t xml:space="preserve"> This labor rate is current as of the time the regulatory analysis was prepared and may not represent the latest and most recent labor rate.</w:t>
      </w:r>
    </w:p>
  </w:footnote>
  <w:footnote w:id="5">
    <w:p w14:paraId="08BCA226" w14:textId="3B572E6C" w:rsidR="00DF416A" w:rsidRDefault="00DF416A" w:rsidP="00D064DA">
      <w:pPr>
        <w:pStyle w:val="FootnoteText"/>
        <w:ind w:left="720" w:hanging="720"/>
        <w:rPr>
          <w:sz w:val="18"/>
          <w:szCs w:val="18"/>
        </w:rPr>
      </w:pPr>
      <w:r w:rsidRPr="00E878D3">
        <w:rPr>
          <w:rStyle w:val="FootnoteReference"/>
          <w:sz w:val="18"/>
          <w:vertAlign w:val="superscript"/>
        </w:rPr>
        <w:footnoteRef/>
      </w:r>
      <w:r w:rsidRPr="00E878D3">
        <w:rPr>
          <w:sz w:val="18"/>
        </w:rPr>
        <w:tab/>
      </w:r>
      <w:r w:rsidRPr="003E6048">
        <w:rPr>
          <w:rFonts w:cs="Arial"/>
          <w:sz w:val="18"/>
          <w:szCs w:val="18"/>
        </w:rPr>
        <w:t>See</w:t>
      </w:r>
      <w:r w:rsidRPr="003E6048">
        <w:rPr>
          <w:sz w:val="18"/>
          <w:szCs w:val="18"/>
        </w:rPr>
        <w:t xml:space="preserve"> </w:t>
      </w:r>
      <w:r w:rsidRPr="003E6048">
        <w:rPr>
          <w:rFonts w:cs="Arial"/>
          <w:sz w:val="18"/>
          <w:szCs w:val="18"/>
        </w:rPr>
        <w:t>NUREG</w:t>
      </w:r>
      <w:r w:rsidRPr="003E6048">
        <w:rPr>
          <w:rFonts w:cs="Arial"/>
          <w:sz w:val="18"/>
          <w:szCs w:val="18"/>
        </w:rPr>
        <w:noBreakHyphen/>
        <w:t>1350, “</w:t>
      </w:r>
      <w:r w:rsidRPr="003E6048">
        <w:rPr>
          <w:sz w:val="18"/>
          <w:szCs w:val="18"/>
        </w:rPr>
        <w:t>2015</w:t>
      </w:r>
      <w:r w:rsidRPr="003E6048">
        <w:rPr>
          <w:rFonts w:cs="Arial"/>
          <w:sz w:val="18"/>
          <w:szCs w:val="18"/>
        </w:rPr>
        <w:t>–</w:t>
      </w:r>
      <w:r w:rsidRPr="003E6048">
        <w:rPr>
          <w:sz w:val="18"/>
          <w:szCs w:val="18"/>
        </w:rPr>
        <w:t>2016 Information Digest</w:t>
      </w:r>
      <w:r w:rsidRPr="003E6048">
        <w:rPr>
          <w:rFonts w:cs="Arial"/>
          <w:sz w:val="18"/>
          <w:szCs w:val="18"/>
        </w:rPr>
        <w:t xml:space="preserve">,” </w:t>
      </w:r>
      <w:r w:rsidRPr="003E6048">
        <w:rPr>
          <w:sz w:val="18"/>
          <w:szCs w:val="18"/>
        </w:rPr>
        <w:t>Volume</w:t>
      </w:r>
      <w:r w:rsidRPr="003E6048">
        <w:rPr>
          <w:rFonts w:cs="Arial"/>
          <w:sz w:val="18"/>
          <w:szCs w:val="18"/>
        </w:rPr>
        <w:t> </w:t>
      </w:r>
      <w:r w:rsidRPr="003E6048">
        <w:rPr>
          <w:sz w:val="18"/>
          <w:szCs w:val="18"/>
        </w:rPr>
        <w:t>27</w:t>
      </w:r>
      <w:r w:rsidRPr="003E6048">
        <w:rPr>
          <w:rFonts w:cs="Arial"/>
          <w:sz w:val="18"/>
          <w:szCs w:val="18"/>
        </w:rPr>
        <w:t>,</w:t>
      </w:r>
      <w:r w:rsidRPr="003E6048">
        <w:rPr>
          <w:sz w:val="18"/>
          <w:szCs w:val="18"/>
        </w:rPr>
        <w:t xml:space="preserve"> </w:t>
      </w:r>
      <w:r w:rsidRPr="003E6048">
        <w:rPr>
          <w:rFonts w:cs="Arial"/>
          <w:sz w:val="18"/>
          <w:szCs w:val="18"/>
        </w:rPr>
        <w:t>issued</w:t>
      </w:r>
      <w:r w:rsidRPr="003E6048">
        <w:rPr>
          <w:sz w:val="18"/>
          <w:szCs w:val="18"/>
        </w:rPr>
        <w:t xml:space="preserve"> June 2015 (Ref.</w:t>
      </w:r>
      <w:r w:rsidRPr="003E6048">
        <w:rPr>
          <w:rFonts w:cs="Arial"/>
          <w:sz w:val="18"/>
          <w:szCs w:val="18"/>
        </w:rPr>
        <w:t> </w:t>
      </w:r>
      <w:r w:rsidRPr="003E6048">
        <w:rPr>
          <w:sz w:val="18"/>
          <w:szCs w:val="18"/>
        </w:rPr>
        <w:fldChar w:fldCharType="begin"/>
      </w:r>
      <w:r w:rsidRPr="003E6048">
        <w:rPr>
          <w:sz w:val="18"/>
          <w:szCs w:val="18"/>
        </w:rPr>
        <w:instrText xml:space="preserve"> REF _Ref436891898 \r \h </w:instrText>
      </w:r>
      <w:r w:rsidRPr="003E6048">
        <w:rPr>
          <w:rFonts w:cs="Arial"/>
          <w:sz w:val="18"/>
          <w:szCs w:val="18"/>
        </w:rPr>
        <w:instrText xml:space="preserve"> \* MERGEFORMAT </w:instrText>
      </w:r>
      <w:r w:rsidRPr="003E6048">
        <w:rPr>
          <w:sz w:val="18"/>
          <w:szCs w:val="18"/>
        </w:rPr>
      </w:r>
      <w:r w:rsidRPr="003E6048">
        <w:rPr>
          <w:sz w:val="18"/>
          <w:szCs w:val="18"/>
        </w:rPr>
        <w:fldChar w:fldCharType="separate"/>
      </w:r>
      <w:r w:rsidR="00FD3AB6" w:rsidRPr="00FD3AB6">
        <w:rPr>
          <w:rFonts w:cs="Arial"/>
          <w:sz w:val="18"/>
          <w:szCs w:val="18"/>
        </w:rPr>
        <w:t>13</w:t>
      </w:r>
      <w:r w:rsidRPr="003E6048">
        <w:rPr>
          <w:sz w:val="18"/>
          <w:szCs w:val="18"/>
        </w:rPr>
        <w:fldChar w:fldCharType="end"/>
      </w:r>
      <w:r w:rsidRPr="003E6048">
        <w:rPr>
          <w:sz w:val="18"/>
          <w:szCs w:val="18"/>
        </w:rPr>
        <w:t xml:space="preserve">).  The NRC staff assumes that </w:t>
      </w:r>
      <w:r w:rsidRPr="003E6048">
        <w:rPr>
          <w:rFonts w:cs="Arial"/>
          <w:sz w:val="18"/>
          <w:szCs w:val="18"/>
        </w:rPr>
        <w:t xml:space="preserve">the </w:t>
      </w:r>
      <w:r w:rsidRPr="003E6048">
        <w:rPr>
          <w:sz w:val="18"/>
          <w:szCs w:val="18"/>
        </w:rPr>
        <w:t xml:space="preserve">James A. Fitzpatrick </w:t>
      </w:r>
      <w:r w:rsidRPr="003E6048">
        <w:rPr>
          <w:rFonts w:cs="Arial"/>
          <w:sz w:val="18"/>
          <w:szCs w:val="18"/>
        </w:rPr>
        <w:t>Nuclear Power Plant</w:t>
      </w:r>
      <w:r w:rsidRPr="003E6048">
        <w:rPr>
          <w:sz w:val="18"/>
          <w:szCs w:val="18"/>
        </w:rPr>
        <w:t xml:space="preserve"> will close in 2017 and </w:t>
      </w:r>
      <w:r w:rsidRPr="003E6048">
        <w:rPr>
          <w:rFonts w:cs="Arial"/>
          <w:sz w:val="18"/>
          <w:szCs w:val="18"/>
        </w:rPr>
        <w:t xml:space="preserve">that </w:t>
      </w:r>
      <w:r w:rsidRPr="003E6048">
        <w:rPr>
          <w:sz w:val="18"/>
          <w:szCs w:val="18"/>
        </w:rPr>
        <w:t xml:space="preserve">Pilgrim </w:t>
      </w:r>
      <w:r w:rsidRPr="003E6048">
        <w:rPr>
          <w:rFonts w:cs="Arial"/>
          <w:sz w:val="18"/>
          <w:szCs w:val="18"/>
        </w:rPr>
        <w:t>will close</w:t>
      </w:r>
      <w:r w:rsidRPr="003E6048">
        <w:rPr>
          <w:sz w:val="18"/>
          <w:szCs w:val="18"/>
        </w:rPr>
        <w:t xml:space="preserve"> in 2019 based on </w:t>
      </w:r>
      <w:r w:rsidRPr="003E6048">
        <w:rPr>
          <w:rFonts w:cs="Arial"/>
          <w:sz w:val="18"/>
          <w:szCs w:val="18"/>
        </w:rPr>
        <w:t xml:space="preserve">the announcement by </w:t>
      </w:r>
      <w:r w:rsidRPr="003E6048">
        <w:rPr>
          <w:sz w:val="18"/>
          <w:szCs w:val="18"/>
        </w:rPr>
        <w:t>Entergy Nuclear Operations, Inc.</w:t>
      </w:r>
      <w:r w:rsidRPr="003E6048">
        <w:rPr>
          <w:rFonts w:cs="Arial"/>
          <w:sz w:val="18"/>
          <w:szCs w:val="18"/>
        </w:rPr>
        <w:t xml:space="preserve"> (s</w:t>
      </w:r>
      <w:r w:rsidRPr="003E6048">
        <w:rPr>
          <w:sz w:val="18"/>
          <w:szCs w:val="18"/>
        </w:rPr>
        <w:t xml:space="preserve">ee </w:t>
      </w:r>
      <w:hyperlink r:id="rId1" w:history="1">
        <w:r w:rsidRPr="003E6048">
          <w:rPr>
            <w:rStyle w:val="Hyperlink"/>
            <w:rFonts w:cs="Arial"/>
            <w:sz w:val="18"/>
            <w:szCs w:val="18"/>
          </w:rPr>
          <w:t>http://</w:t>
        </w:r>
        <w:r w:rsidRPr="003E6048">
          <w:rPr>
            <w:rStyle w:val="Hyperlink"/>
            <w:sz w:val="18"/>
            <w:szCs w:val="18"/>
          </w:rPr>
          <w:t>www.entergy.com</w:t>
        </w:r>
      </w:hyperlink>
      <w:r w:rsidRPr="003E6048">
        <w:rPr>
          <w:rFonts w:cs="Arial"/>
          <w:sz w:val="18"/>
          <w:szCs w:val="18"/>
        </w:rPr>
        <w:t>)</w:t>
      </w:r>
      <w:r w:rsidRPr="003E6048">
        <w:rPr>
          <w:sz w:val="18"/>
          <w:szCs w:val="18"/>
        </w:rPr>
        <w:t xml:space="preserve">.  The NRC staff assumes Clinton </w:t>
      </w:r>
      <w:r w:rsidRPr="003E6048">
        <w:rPr>
          <w:rFonts w:cs="Arial"/>
          <w:sz w:val="18"/>
          <w:szCs w:val="18"/>
        </w:rPr>
        <w:t>Power Station</w:t>
      </w:r>
      <w:r w:rsidRPr="003E6048">
        <w:rPr>
          <w:sz w:val="18"/>
          <w:szCs w:val="18"/>
        </w:rPr>
        <w:t xml:space="preserve"> will close in 2017</w:t>
      </w:r>
      <w:r w:rsidRPr="003E6048">
        <w:rPr>
          <w:rFonts w:cs="Arial"/>
          <w:sz w:val="18"/>
          <w:szCs w:val="18"/>
        </w:rPr>
        <w:t>;</w:t>
      </w:r>
      <w:r w:rsidRPr="003E6048">
        <w:rPr>
          <w:sz w:val="18"/>
          <w:szCs w:val="18"/>
        </w:rPr>
        <w:t xml:space="preserve"> Quad Cities </w:t>
      </w:r>
      <w:r w:rsidRPr="003E6048">
        <w:rPr>
          <w:rFonts w:cs="Arial"/>
          <w:sz w:val="18"/>
          <w:szCs w:val="18"/>
        </w:rPr>
        <w:t>Nuclear Power Station,</w:t>
      </w:r>
      <w:r w:rsidRPr="003E6048">
        <w:rPr>
          <w:sz w:val="18"/>
          <w:szCs w:val="18"/>
        </w:rPr>
        <w:t xml:space="preserve"> Units 1 and 2</w:t>
      </w:r>
      <w:r w:rsidRPr="003E6048">
        <w:rPr>
          <w:rFonts w:cs="Arial"/>
          <w:sz w:val="18"/>
          <w:szCs w:val="18"/>
        </w:rPr>
        <w:t>,</w:t>
      </w:r>
      <w:r w:rsidRPr="003E6048">
        <w:rPr>
          <w:sz w:val="18"/>
          <w:szCs w:val="18"/>
        </w:rPr>
        <w:t xml:space="preserve"> will close in 2018</w:t>
      </w:r>
      <w:r w:rsidRPr="003E6048">
        <w:rPr>
          <w:rFonts w:cs="Arial"/>
          <w:sz w:val="18"/>
          <w:szCs w:val="18"/>
        </w:rPr>
        <w:t>;</w:t>
      </w:r>
      <w:r w:rsidRPr="003E6048">
        <w:rPr>
          <w:sz w:val="18"/>
          <w:szCs w:val="18"/>
        </w:rPr>
        <w:t xml:space="preserve"> and Oyster Creek will close in 2019 based on Exelon Corporation’s announcements </w:t>
      </w:r>
      <w:r w:rsidRPr="003E6048">
        <w:rPr>
          <w:rFonts w:cs="Arial"/>
          <w:sz w:val="18"/>
          <w:szCs w:val="18"/>
        </w:rPr>
        <w:t>(s</w:t>
      </w:r>
      <w:r w:rsidRPr="003E6048">
        <w:rPr>
          <w:sz w:val="18"/>
          <w:szCs w:val="18"/>
        </w:rPr>
        <w:t xml:space="preserve">ee </w:t>
      </w:r>
      <w:hyperlink r:id="rId2" w:history="1">
        <w:r w:rsidRPr="003E6048">
          <w:rPr>
            <w:rStyle w:val="Hyperlink"/>
            <w:rFonts w:cs="Arial"/>
            <w:sz w:val="18"/>
            <w:szCs w:val="18"/>
          </w:rPr>
          <w:t>http://</w:t>
        </w:r>
        <w:r w:rsidRPr="003E6048">
          <w:rPr>
            <w:rStyle w:val="Hyperlink"/>
            <w:sz w:val="18"/>
            <w:szCs w:val="18"/>
          </w:rPr>
          <w:t>www.exeloncorp.com</w:t>
        </w:r>
      </w:hyperlink>
      <w:r w:rsidRPr="003E6048">
        <w:rPr>
          <w:rFonts w:cs="Arial"/>
          <w:sz w:val="18"/>
          <w:szCs w:val="18"/>
        </w:rPr>
        <w:t>)</w:t>
      </w:r>
      <w:r w:rsidRPr="003E6048">
        <w:rPr>
          <w:sz w:val="18"/>
          <w:szCs w:val="18"/>
        </w:rPr>
        <w:t xml:space="preserve">.  </w:t>
      </w:r>
      <w:r w:rsidRPr="003E6048">
        <w:rPr>
          <w:rFonts w:cs="Arial"/>
          <w:sz w:val="18"/>
          <w:szCs w:val="18"/>
        </w:rPr>
        <w:t xml:space="preserve">On June 16, 2016, </w:t>
      </w:r>
      <w:r w:rsidRPr="003E6048">
        <w:rPr>
          <w:sz w:val="18"/>
          <w:szCs w:val="18"/>
        </w:rPr>
        <w:t>F</w:t>
      </w:r>
      <w:r w:rsidRPr="003E6048">
        <w:rPr>
          <w:rFonts w:cs="Arial"/>
          <w:sz w:val="18"/>
          <w:szCs w:val="18"/>
        </w:rPr>
        <w:t>ort</w:t>
      </w:r>
      <w:r w:rsidRPr="003E6048">
        <w:rPr>
          <w:sz w:val="18"/>
          <w:szCs w:val="18"/>
        </w:rPr>
        <w:t xml:space="preserve"> Calhoun</w:t>
      </w:r>
      <w:r w:rsidRPr="003E6048">
        <w:rPr>
          <w:rFonts w:cs="Arial"/>
          <w:sz w:val="18"/>
          <w:szCs w:val="18"/>
        </w:rPr>
        <w:t xml:space="preserve"> Station</w:t>
      </w:r>
      <w:r w:rsidRPr="003E6048">
        <w:rPr>
          <w:sz w:val="18"/>
          <w:szCs w:val="18"/>
        </w:rPr>
        <w:t>’s board of directors voted to prematurely shut</w:t>
      </w:r>
      <w:r w:rsidRPr="003E6048">
        <w:rPr>
          <w:rFonts w:cs="Arial"/>
          <w:sz w:val="18"/>
          <w:szCs w:val="18"/>
        </w:rPr>
        <w:t xml:space="preserve"> </w:t>
      </w:r>
      <w:r w:rsidRPr="003E6048">
        <w:rPr>
          <w:sz w:val="18"/>
          <w:szCs w:val="18"/>
        </w:rPr>
        <w:t xml:space="preserve">down that plant by </w:t>
      </w:r>
      <w:r w:rsidRPr="003E6048">
        <w:rPr>
          <w:rFonts w:cs="Arial"/>
          <w:sz w:val="18"/>
          <w:szCs w:val="18"/>
        </w:rPr>
        <w:t>December </w:t>
      </w:r>
      <w:r w:rsidRPr="003E6048">
        <w:rPr>
          <w:sz w:val="18"/>
          <w:szCs w:val="18"/>
        </w:rPr>
        <w:t>31</w:t>
      </w:r>
      <w:r w:rsidRPr="003E6048">
        <w:rPr>
          <w:rFonts w:cs="Arial"/>
          <w:sz w:val="18"/>
          <w:szCs w:val="18"/>
        </w:rPr>
        <w:t xml:space="preserve">, </w:t>
      </w:r>
      <w:r w:rsidRPr="003E6048">
        <w:rPr>
          <w:sz w:val="18"/>
          <w:szCs w:val="18"/>
        </w:rPr>
        <w:t>2016.</w:t>
      </w:r>
    </w:p>
    <w:p w14:paraId="3AF870AB" w14:textId="77777777" w:rsidR="00DF416A" w:rsidRPr="003E6048" w:rsidRDefault="00DF416A" w:rsidP="00D064DA">
      <w:pPr>
        <w:pStyle w:val="FootnoteText"/>
        <w:ind w:left="720" w:hanging="720"/>
        <w:rPr>
          <w:sz w:val="18"/>
          <w:szCs w:val="18"/>
        </w:rPr>
      </w:pPr>
    </w:p>
  </w:footnote>
  <w:footnote w:id="6">
    <w:p w14:paraId="3212E998" w14:textId="6C991BAE" w:rsidR="00DF416A" w:rsidRDefault="00DF416A" w:rsidP="003E6048">
      <w:pPr>
        <w:pStyle w:val="FootnoteText"/>
        <w:ind w:left="720" w:hanging="720"/>
        <w:rPr>
          <w:sz w:val="18"/>
        </w:rPr>
      </w:pPr>
      <w:r w:rsidRPr="003E6048">
        <w:rPr>
          <w:rStyle w:val="FootnoteReference"/>
          <w:vertAlign w:val="superscript"/>
        </w:rPr>
        <w:footnoteRef/>
      </w:r>
      <w:r>
        <w:t xml:space="preserve"> </w:t>
      </w:r>
      <w:r>
        <w:tab/>
      </w:r>
      <w:r>
        <w:rPr>
          <w:sz w:val="18"/>
        </w:rPr>
        <w:t xml:space="preserve">This set of sites reflects the NRC’s understanding of licensees’ plans to decommission at the time this regulatory analysis was prepared.  As of the time this regulatory analysis was prepared, the licensees for </w:t>
      </w:r>
      <w:r w:rsidRPr="000614A8">
        <w:rPr>
          <w:sz w:val="18"/>
          <w:szCs w:val="18"/>
        </w:rPr>
        <w:t>Clinton</w:t>
      </w:r>
      <w:r>
        <w:rPr>
          <w:sz w:val="18"/>
          <w:szCs w:val="18"/>
        </w:rPr>
        <w:t>,</w:t>
      </w:r>
      <w:r w:rsidRPr="000614A8">
        <w:rPr>
          <w:sz w:val="18"/>
          <w:szCs w:val="18"/>
        </w:rPr>
        <w:t xml:space="preserve"> </w:t>
      </w:r>
      <w:r>
        <w:rPr>
          <w:sz w:val="18"/>
          <w:szCs w:val="18"/>
        </w:rPr>
        <w:t xml:space="preserve">FitzPatrick, </w:t>
      </w:r>
      <w:r w:rsidRPr="000614A8">
        <w:rPr>
          <w:sz w:val="18"/>
          <w:szCs w:val="18"/>
        </w:rPr>
        <w:t>Fort Calhoun</w:t>
      </w:r>
      <w:r>
        <w:rPr>
          <w:sz w:val="18"/>
          <w:szCs w:val="18"/>
        </w:rPr>
        <w:t>,</w:t>
      </w:r>
      <w:r w:rsidRPr="000614A8">
        <w:rPr>
          <w:sz w:val="18"/>
          <w:szCs w:val="18"/>
        </w:rPr>
        <w:t xml:space="preserve"> Oyster Creek</w:t>
      </w:r>
      <w:r>
        <w:rPr>
          <w:sz w:val="18"/>
          <w:szCs w:val="18"/>
        </w:rPr>
        <w:t>,</w:t>
      </w:r>
      <w:r w:rsidRPr="000614A8">
        <w:rPr>
          <w:sz w:val="18"/>
          <w:szCs w:val="18"/>
        </w:rPr>
        <w:t xml:space="preserve"> Pilgrim</w:t>
      </w:r>
      <w:r>
        <w:rPr>
          <w:sz w:val="18"/>
          <w:szCs w:val="18"/>
        </w:rPr>
        <w:t>,</w:t>
      </w:r>
      <w:r w:rsidRPr="000614A8">
        <w:rPr>
          <w:sz w:val="18"/>
          <w:szCs w:val="18"/>
        </w:rPr>
        <w:t xml:space="preserve"> and Quad Cities </w:t>
      </w:r>
      <w:r>
        <w:rPr>
          <w:sz w:val="18"/>
          <w:szCs w:val="18"/>
        </w:rPr>
        <w:t>had</w:t>
      </w:r>
      <w:r w:rsidRPr="000614A8">
        <w:rPr>
          <w:sz w:val="18"/>
          <w:szCs w:val="18"/>
        </w:rPr>
        <w:t xml:space="preserve"> announced intentions to </w:t>
      </w:r>
      <w:r>
        <w:rPr>
          <w:sz w:val="18"/>
          <w:szCs w:val="18"/>
        </w:rPr>
        <w:t xml:space="preserve">begin </w:t>
      </w:r>
      <w:r w:rsidRPr="000614A8">
        <w:rPr>
          <w:sz w:val="18"/>
          <w:szCs w:val="18"/>
        </w:rPr>
        <w:t>decommission</w:t>
      </w:r>
      <w:r>
        <w:rPr>
          <w:sz w:val="18"/>
          <w:szCs w:val="18"/>
        </w:rPr>
        <w:t>ing</w:t>
      </w:r>
      <w:r w:rsidRPr="000614A8">
        <w:rPr>
          <w:sz w:val="18"/>
          <w:szCs w:val="18"/>
        </w:rPr>
        <w:t xml:space="preserve"> </w:t>
      </w:r>
      <w:r>
        <w:rPr>
          <w:sz w:val="18"/>
        </w:rPr>
        <w:t>2019.  Crystal River, Kewaunee, San Onofre, and Vermont Yankee had already begun decommissioning.  The NRC observes that licensee decisions regarding decommissioning consider multiple factors and may change before the end of this period.  For example, recent licensee announcements relate to potential changes to future plans for Clinton, FitzPatrick, Quad Cities, and Palisades compared to what was assumed in the regulatory analysis.  In addition, Fort Calhoun permanently shut down in October 2016.  The final costs of the rule would be affected by the number of facilities that decommission during the timeframe considered by this analysis, but the overall conclusions regarding cost/benefit remain valid.</w:t>
      </w:r>
    </w:p>
    <w:p w14:paraId="6EDBE1CC" w14:textId="59F70F73" w:rsidR="00DF416A" w:rsidRPr="003E6048" w:rsidRDefault="00DF416A" w:rsidP="00626064">
      <w:pPr>
        <w:pStyle w:val="FootnoteText"/>
        <w:ind w:left="720" w:hanging="720"/>
        <w:rPr>
          <w:sz w:val="18"/>
          <w:szCs w:val="18"/>
        </w:rPr>
      </w:pPr>
    </w:p>
  </w:footnote>
  <w:footnote w:id="7">
    <w:p w14:paraId="47A53072" w14:textId="67307875" w:rsidR="00DF416A" w:rsidRPr="00E878D3" w:rsidRDefault="00DF416A" w:rsidP="00D064DA">
      <w:pPr>
        <w:ind w:left="720" w:hanging="720"/>
        <w:rPr>
          <w:sz w:val="18"/>
        </w:rPr>
      </w:pPr>
      <w:r w:rsidRPr="00E878D3">
        <w:rPr>
          <w:rStyle w:val="FootnoteReference"/>
          <w:sz w:val="18"/>
          <w:vertAlign w:val="superscript"/>
        </w:rPr>
        <w:footnoteRef/>
      </w:r>
      <w:r w:rsidRPr="00E878D3">
        <w:rPr>
          <w:sz w:val="18"/>
        </w:rPr>
        <w:tab/>
      </w:r>
      <w:r>
        <w:rPr>
          <w:sz w:val="18"/>
          <w:szCs w:val="18"/>
        </w:rPr>
        <w:t>The NRC</w:t>
      </w:r>
      <w:r w:rsidRPr="00E878D3">
        <w:rPr>
          <w:sz w:val="18"/>
        </w:rPr>
        <w:t xml:space="preserve"> issued </w:t>
      </w:r>
      <w:r>
        <w:rPr>
          <w:sz w:val="18"/>
          <w:szCs w:val="18"/>
        </w:rPr>
        <w:t>a</w:t>
      </w:r>
      <w:r w:rsidRPr="00D557C2">
        <w:rPr>
          <w:sz w:val="18"/>
          <w:szCs w:val="18"/>
        </w:rPr>
        <w:t xml:space="preserve"> combined license </w:t>
      </w:r>
      <w:r w:rsidRPr="00E878D3">
        <w:rPr>
          <w:sz w:val="18"/>
        </w:rPr>
        <w:t xml:space="preserve">for Enrico Fermi Unit 3 in 2015 and for South Texas Units 3 and 4 in 2016.  </w:t>
      </w:r>
      <w:r w:rsidRPr="00D557C2">
        <w:rPr>
          <w:sz w:val="18"/>
          <w:szCs w:val="18"/>
        </w:rPr>
        <w:t xml:space="preserve">The </w:t>
      </w:r>
      <w:r>
        <w:rPr>
          <w:sz w:val="18"/>
          <w:szCs w:val="18"/>
        </w:rPr>
        <w:t xml:space="preserve">licensees for the </w:t>
      </w:r>
      <w:r w:rsidRPr="00E878D3">
        <w:rPr>
          <w:sz w:val="18"/>
        </w:rPr>
        <w:t xml:space="preserve">Levy County and Lee Station </w:t>
      </w:r>
      <w:r w:rsidRPr="00D557C2">
        <w:rPr>
          <w:sz w:val="18"/>
          <w:szCs w:val="18"/>
        </w:rPr>
        <w:t>units</w:t>
      </w:r>
      <w:r w:rsidRPr="00E878D3">
        <w:rPr>
          <w:sz w:val="18"/>
        </w:rPr>
        <w:t xml:space="preserve"> have submitted their </w:t>
      </w:r>
      <w:r>
        <w:rPr>
          <w:sz w:val="18"/>
          <w:szCs w:val="18"/>
        </w:rPr>
        <w:t>l</w:t>
      </w:r>
      <w:r w:rsidRPr="00D557C2">
        <w:rPr>
          <w:sz w:val="18"/>
          <w:szCs w:val="18"/>
        </w:rPr>
        <w:t xml:space="preserve">icense </w:t>
      </w:r>
      <w:r>
        <w:rPr>
          <w:sz w:val="18"/>
          <w:szCs w:val="18"/>
        </w:rPr>
        <w:t>a</w:t>
      </w:r>
      <w:r w:rsidRPr="00D557C2">
        <w:rPr>
          <w:sz w:val="18"/>
          <w:szCs w:val="18"/>
        </w:rPr>
        <w:t>pplications,</w:t>
      </w:r>
      <w:r w:rsidRPr="00E878D3">
        <w:rPr>
          <w:sz w:val="18"/>
        </w:rPr>
        <w:t xml:space="preserve"> and their schedules are being revised as of April 2016.  The timing and certainty for operation of the Bellefonte Nuclear </w:t>
      </w:r>
      <w:r>
        <w:rPr>
          <w:sz w:val="18"/>
          <w:szCs w:val="18"/>
        </w:rPr>
        <w:t xml:space="preserve">Power </w:t>
      </w:r>
      <w:r w:rsidRPr="00E878D3">
        <w:rPr>
          <w:sz w:val="18"/>
        </w:rPr>
        <w:t>Station, Units 1 and 2</w:t>
      </w:r>
      <w:r>
        <w:rPr>
          <w:sz w:val="18"/>
          <w:szCs w:val="18"/>
        </w:rPr>
        <w:t xml:space="preserve"> (Bellefonte)</w:t>
      </w:r>
      <w:r w:rsidRPr="00D557C2">
        <w:rPr>
          <w:sz w:val="18"/>
          <w:szCs w:val="18"/>
        </w:rPr>
        <w:t>,</w:t>
      </w:r>
      <w:r w:rsidRPr="00E878D3">
        <w:rPr>
          <w:sz w:val="18"/>
        </w:rPr>
        <w:t xml:space="preserve"> as well as other new operating licenses</w:t>
      </w:r>
      <w:r w:rsidRPr="00D557C2">
        <w:rPr>
          <w:sz w:val="18"/>
          <w:szCs w:val="18"/>
        </w:rPr>
        <w:t>,</w:t>
      </w:r>
      <w:r w:rsidRPr="00E878D3">
        <w:rPr>
          <w:sz w:val="18"/>
        </w:rPr>
        <w:t xml:space="preserve"> are too speculative to be included in this regulatory analysis.</w:t>
      </w:r>
    </w:p>
    <w:p w14:paraId="27405870" w14:textId="77777777" w:rsidR="00DF416A" w:rsidRPr="00E878D3" w:rsidRDefault="00DF416A" w:rsidP="00D064DA">
      <w:pPr>
        <w:ind w:left="720" w:hanging="720"/>
        <w:rPr>
          <w:rStyle w:val="FootnoteReference"/>
          <w:sz w:val="18"/>
        </w:rPr>
      </w:pPr>
    </w:p>
  </w:footnote>
  <w:footnote w:id="8">
    <w:p w14:paraId="5129AFDC" w14:textId="32E0FE7A" w:rsidR="00DF416A" w:rsidRPr="005E42E8" w:rsidRDefault="00DF416A" w:rsidP="00D064DA">
      <w:pPr>
        <w:pStyle w:val="FootnoteText"/>
        <w:ind w:left="720" w:hanging="720"/>
        <w:rPr>
          <w:rFonts w:cs="Arial"/>
        </w:rPr>
      </w:pPr>
      <w:r w:rsidRPr="00E878D3">
        <w:rPr>
          <w:rStyle w:val="FootnoteReference"/>
          <w:sz w:val="18"/>
          <w:vertAlign w:val="superscript"/>
        </w:rPr>
        <w:footnoteRef/>
      </w:r>
      <w:r w:rsidRPr="00E878D3">
        <w:rPr>
          <w:sz w:val="18"/>
        </w:rPr>
        <w:tab/>
        <w:t xml:space="preserve">The </w:t>
      </w:r>
      <w:r>
        <w:rPr>
          <w:rFonts w:cs="Arial"/>
          <w:sz w:val="18"/>
          <w:szCs w:val="18"/>
        </w:rPr>
        <w:t xml:space="preserve">analysis does not include </w:t>
      </w:r>
      <w:r w:rsidRPr="00E878D3">
        <w:rPr>
          <w:sz w:val="18"/>
        </w:rPr>
        <w:t>Bellefonte because the site does not have any operating units and new construction is indefinitely delayed.  Bellefonte Units 1 and 2 are under the Commission Policy Statement on Deferred Plants (</w:t>
      </w:r>
      <w:r>
        <w:rPr>
          <w:rFonts w:cs="Arial"/>
          <w:sz w:val="18"/>
          <w:szCs w:val="18"/>
        </w:rPr>
        <w:t xml:space="preserve">Volume 52 of the </w:t>
      </w:r>
      <w:r w:rsidRPr="00D557C2">
        <w:rPr>
          <w:i/>
          <w:sz w:val="18"/>
          <w:szCs w:val="18"/>
        </w:rPr>
        <w:t>Federal Register</w:t>
      </w:r>
      <w:r>
        <w:rPr>
          <w:rFonts w:cs="Arial"/>
          <w:sz w:val="18"/>
          <w:szCs w:val="18"/>
        </w:rPr>
        <w:t>, page 38077 (</w:t>
      </w:r>
      <w:r w:rsidRPr="00E878D3">
        <w:rPr>
          <w:sz w:val="18"/>
        </w:rPr>
        <w:t>52 FR 38077; October</w:t>
      </w:r>
      <w:r>
        <w:rPr>
          <w:rFonts w:cs="Arial"/>
          <w:sz w:val="18"/>
          <w:szCs w:val="18"/>
        </w:rPr>
        <w:t> </w:t>
      </w:r>
      <w:r w:rsidRPr="00E878D3">
        <w:rPr>
          <w:sz w:val="18"/>
        </w:rPr>
        <w:t>14,</w:t>
      </w:r>
      <w:r>
        <w:rPr>
          <w:rFonts w:cs="Arial"/>
          <w:sz w:val="18"/>
          <w:szCs w:val="18"/>
        </w:rPr>
        <w:t> </w:t>
      </w:r>
      <w:r w:rsidRPr="00E878D3">
        <w:rPr>
          <w:sz w:val="18"/>
        </w:rPr>
        <w:t>1987</w:t>
      </w:r>
      <w:r>
        <w:rPr>
          <w:rFonts w:cs="Arial"/>
          <w:sz w:val="18"/>
          <w:szCs w:val="18"/>
        </w:rPr>
        <w:t>) (Ref. 9)</w:t>
      </w:r>
      <w:r w:rsidRPr="00D557C2">
        <w:rPr>
          <w:sz w:val="18"/>
          <w:szCs w:val="18"/>
        </w:rPr>
        <w:t>).</w:t>
      </w:r>
    </w:p>
  </w:footnote>
  <w:footnote w:id="9">
    <w:p w14:paraId="474C5D6B" w14:textId="3341D729" w:rsidR="00DF416A" w:rsidRPr="00E878D3" w:rsidRDefault="00DF416A" w:rsidP="00D064DA">
      <w:pPr>
        <w:pStyle w:val="FootnoteText"/>
        <w:ind w:left="720" w:hanging="720"/>
        <w:rPr>
          <w:sz w:val="18"/>
        </w:rPr>
      </w:pPr>
      <w:r w:rsidRPr="00E878D3">
        <w:rPr>
          <w:rStyle w:val="FootnoteReference"/>
          <w:sz w:val="18"/>
          <w:vertAlign w:val="superscript"/>
        </w:rPr>
        <w:footnoteRef/>
      </w:r>
      <w:r w:rsidRPr="00E878D3">
        <w:rPr>
          <w:sz w:val="18"/>
          <w:vertAlign w:val="superscript"/>
        </w:rPr>
        <w:t xml:space="preserve"> </w:t>
      </w:r>
      <w:r w:rsidRPr="00E878D3">
        <w:rPr>
          <w:sz w:val="18"/>
          <w:vertAlign w:val="superscript"/>
        </w:rPr>
        <w:tab/>
      </w:r>
      <w:r w:rsidRPr="00E878D3">
        <w:rPr>
          <w:sz w:val="18"/>
        </w:rPr>
        <w:t xml:space="preserve">The dollar per person-rem conversion factor values range from the current approved value of $2,000 to the draft proposed value of $5,200 in NUREG-1530, </w:t>
      </w:r>
      <w:r w:rsidRPr="000D7AB7">
        <w:rPr>
          <w:sz w:val="18"/>
          <w:szCs w:val="18"/>
        </w:rPr>
        <w:t>“</w:t>
      </w:r>
      <w:r w:rsidRPr="00D557C2">
        <w:rPr>
          <w:sz w:val="18"/>
          <w:szCs w:val="18"/>
        </w:rPr>
        <w:t>Reassessment of NRC's Dollar Per Person</w:t>
      </w:r>
      <w:r w:rsidRPr="00D557C2">
        <w:rPr>
          <w:sz w:val="18"/>
          <w:szCs w:val="18"/>
        </w:rPr>
        <w:noBreakHyphen/>
        <w:t>Rem Conversion Factor Policy,”</w:t>
      </w:r>
      <w:r w:rsidRPr="000D7AB7">
        <w:rPr>
          <w:sz w:val="18"/>
          <w:szCs w:val="18"/>
        </w:rPr>
        <w:t xml:space="preserve"> </w:t>
      </w:r>
      <w:r w:rsidRPr="00D557C2">
        <w:rPr>
          <w:sz w:val="18"/>
          <w:szCs w:val="18"/>
        </w:rPr>
        <w:t>Rev</w:t>
      </w:r>
      <w:r w:rsidRPr="000D7AB7">
        <w:rPr>
          <w:sz w:val="18"/>
          <w:szCs w:val="18"/>
        </w:rPr>
        <w:t>ision </w:t>
      </w:r>
      <w:r w:rsidRPr="00E878D3">
        <w:rPr>
          <w:sz w:val="18"/>
        </w:rPr>
        <w:t>1 (draft</w:t>
      </w:r>
      <w:r w:rsidRPr="00D557C2">
        <w:rPr>
          <w:sz w:val="18"/>
          <w:szCs w:val="18"/>
        </w:rPr>
        <w:t>)</w:t>
      </w:r>
      <w:r w:rsidRPr="000D7AB7">
        <w:rPr>
          <w:sz w:val="18"/>
          <w:szCs w:val="18"/>
        </w:rPr>
        <w:t>,</w:t>
      </w:r>
      <w:r w:rsidRPr="00D557C2">
        <w:rPr>
          <w:sz w:val="18"/>
          <w:szCs w:val="18"/>
        </w:rPr>
        <w:t xml:space="preserve"> </w:t>
      </w:r>
      <w:r w:rsidRPr="000D7AB7">
        <w:rPr>
          <w:sz w:val="18"/>
          <w:szCs w:val="18"/>
        </w:rPr>
        <w:t>issued August 2015</w:t>
      </w:r>
      <w:r w:rsidRPr="00E878D3">
        <w:rPr>
          <w:sz w:val="18"/>
        </w:rPr>
        <w:t xml:space="preserve"> for public comment (Ref.</w:t>
      </w:r>
      <w:r>
        <w:rPr>
          <w:sz w:val="18"/>
          <w:szCs w:val="18"/>
        </w:rPr>
        <w:t> </w:t>
      </w:r>
      <w:r w:rsidRPr="00D557C2">
        <w:rPr>
          <w:sz w:val="18"/>
          <w:szCs w:val="18"/>
        </w:rPr>
        <w:fldChar w:fldCharType="begin"/>
      </w:r>
      <w:r w:rsidRPr="00D557C2">
        <w:rPr>
          <w:sz w:val="18"/>
          <w:szCs w:val="18"/>
        </w:rPr>
        <w:instrText xml:space="preserve"> REF _Ref436892150 \r \h </w:instrText>
      </w:r>
      <w:r>
        <w:rPr>
          <w:sz w:val="18"/>
          <w:szCs w:val="18"/>
        </w:rPr>
        <w:instrText xml:space="preserve"> \* MERGEFORMAT </w:instrText>
      </w:r>
      <w:r w:rsidRPr="00D557C2">
        <w:rPr>
          <w:sz w:val="18"/>
          <w:szCs w:val="18"/>
        </w:rPr>
      </w:r>
      <w:r w:rsidRPr="00D557C2">
        <w:rPr>
          <w:sz w:val="18"/>
          <w:szCs w:val="18"/>
        </w:rPr>
        <w:fldChar w:fldCharType="separate"/>
      </w:r>
      <w:r w:rsidR="00FD3AB6">
        <w:rPr>
          <w:sz w:val="18"/>
          <w:szCs w:val="18"/>
        </w:rPr>
        <w:t>25</w:t>
      </w:r>
      <w:r w:rsidRPr="00D557C2">
        <w:rPr>
          <w:sz w:val="18"/>
          <w:szCs w:val="18"/>
        </w:rPr>
        <w:fldChar w:fldCharType="end"/>
      </w:r>
      <w:r w:rsidRPr="00E878D3">
        <w:rPr>
          <w:sz w:val="18"/>
        </w:rPr>
        <w:t>).</w:t>
      </w:r>
    </w:p>
  </w:footnote>
  <w:footnote w:id="10">
    <w:p w14:paraId="57A8AB2F" w14:textId="2FF46A82" w:rsidR="00DF416A" w:rsidRPr="00E878D3" w:rsidRDefault="00DF416A" w:rsidP="00D064DA">
      <w:pPr>
        <w:pStyle w:val="FootnoteText"/>
        <w:ind w:left="720" w:hanging="720"/>
        <w:rPr>
          <w:sz w:val="18"/>
        </w:rPr>
      </w:pPr>
      <w:r w:rsidRPr="00E878D3">
        <w:rPr>
          <w:rStyle w:val="FootnoteReference"/>
          <w:sz w:val="18"/>
          <w:vertAlign w:val="superscript"/>
        </w:rPr>
        <w:footnoteRef/>
      </w:r>
      <w:r w:rsidRPr="00E878D3">
        <w:rPr>
          <w:sz w:val="18"/>
        </w:rPr>
        <w:t xml:space="preserve"> </w:t>
      </w:r>
      <w:r w:rsidRPr="00E878D3">
        <w:rPr>
          <w:sz w:val="18"/>
        </w:rPr>
        <w:tab/>
        <w:t xml:space="preserve">The NRC staff calculated the average BWR rated electrical output value from </w:t>
      </w:r>
      <w:r>
        <w:rPr>
          <w:sz w:val="18"/>
          <w:szCs w:val="18"/>
        </w:rPr>
        <w:t>International Atomic Energy Agency</w:t>
      </w:r>
      <w:r w:rsidRPr="00E878D3">
        <w:rPr>
          <w:sz w:val="18"/>
        </w:rPr>
        <w:t xml:space="preserve"> Power Reactor Information System data (Ref. </w:t>
      </w:r>
      <w:r w:rsidRPr="00D557C2">
        <w:rPr>
          <w:sz w:val="18"/>
          <w:szCs w:val="18"/>
        </w:rPr>
        <w:fldChar w:fldCharType="begin"/>
      </w:r>
      <w:r w:rsidRPr="00D557C2">
        <w:rPr>
          <w:sz w:val="18"/>
          <w:szCs w:val="18"/>
        </w:rPr>
        <w:instrText xml:space="preserve"> REF _Ref436892645 \r \h </w:instrText>
      </w:r>
      <w:r>
        <w:rPr>
          <w:sz w:val="18"/>
          <w:szCs w:val="18"/>
        </w:rPr>
        <w:instrText xml:space="preserve"> \* MERGEFORMAT </w:instrText>
      </w:r>
      <w:r w:rsidRPr="00D557C2">
        <w:rPr>
          <w:sz w:val="18"/>
          <w:szCs w:val="18"/>
        </w:rPr>
      </w:r>
      <w:r w:rsidRPr="00D557C2">
        <w:rPr>
          <w:sz w:val="18"/>
          <w:szCs w:val="18"/>
        </w:rPr>
        <w:fldChar w:fldCharType="separate"/>
      </w:r>
      <w:r w:rsidR="00FD3AB6">
        <w:rPr>
          <w:sz w:val="18"/>
          <w:szCs w:val="18"/>
        </w:rPr>
        <w:t>26</w:t>
      </w:r>
      <w:r w:rsidRPr="00D557C2">
        <w:rPr>
          <w:sz w:val="18"/>
          <w:szCs w:val="18"/>
        </w:rPr>
        <w:fldChar w:fldCharType="end"/>
      </w:r>
      <w:r w:rsidRPr="00E878D3">
        <w:rPr>
          <w:sz w:val="18"/>
        </w:rPr>
        <w:t>).</w:t>
      </w:r>
    </w:p>
  </w:footnote>
  <w:footnote w:id="11">
    <w:p w14:paraId="417E9471" w14:textId="77777777" w:rsidR="00DF416A" w:rsidRPr="00E878D3" w:rsidRDefault="00DF416A" w:rsidP="00D064DA">
      <w:pPr>
        <w:pStyle w:val="FootnoteText"/>
        <w:ind w:left="720" w:hanging="720"/>
        <w:rPr>
          <w:sz w:val="18"/>
        </w:rPr>
      </w:pPr>
      <w:r w:rsidRPr="00E878D3">
        <w:rPr>
          <w:rStyle w:val="FootnoteReference"/>
          <w:sz w:val="18"/>
          <w:vertAlign w:val="superscript"/>
        </w:rPr>
        <w:footnoteRef/>
      </w:r>
      <w:r w:rsidRPr="00E878D3">
        <w:rPr>
          <w:sz w:val="18"/>
          <w:vertAlign w:val="superscript"/>
        </w:rPr>
        <w:t xml:space="preserve"> </w:t>
      </w:r>
      <w:r w:rsidRPr="00E878D3">
        <w:rPr>
          <w:sz w:val="18"/>
          <w:vertAlign w:val="superscript"/>
        </w:rPr>
        <w:tab/>
      </w:r>
      <w:r w:rsidRPr="00E878D3">
        <w:rPr>
          <w:sz w:val="18"/>
        </w:rPr>
        <w:t xml:space="preserve">An </w:t>
      </w:r>
      <w:r w:rsidRPr="00E878D3">
        <w:rPr>
          <w:i/>
          <w:sz w:val="18"/>
        </w:rPr>
        <w:t xml:space="preserve">ex ante </w:t>
      </w:r>
      <w:r w:rsidRPr="00E878D3">
        <w:rPr>
          <w:sz w:val="18"/>
        </w:rPr>
        <w:t>cost-benefit analysis is prepared before a policy, program, or alternative is in place and can assist in the decision about whether resources should be allocated to that alternative.</w:t>
      </w:r>
    </w:p>
  </w:footnote>
  <w:footnote w:id="12">
    <w:p w14:paraId="301193EF" w14:textId="081C2795" w:rsidR="00DF416A" w:rsidRPr="00E878D3" w:rsidRDefault="00DF416A" w:rsidP="00D064DA">
      <w:pPr>
        <w:pStyle w:val="FootnoteText"/>
        <w:ind w:left="720" w:hanging="720"/>
        <w:rPr>
          <w:sz w:val="18"/>
        </w:rPr>
      </w:pPr>
      <w:r w:rsidRPr="00E878D3">
        <w:rPr>
          <w:rStyle w:val="FootnoteReference"/>
          <w:rFonts w:eastAsiaTheme="majorEastAsia"/>
          <w:sz w:val="18"/>
          <w:vertAlign w:val="superscript"/>
        </w:rPr>
        <w:footnoteRef/>
      </w:r>
      <w:r w:rsidRPr="00E878D3">
        <w:rPr>
          <w:sz w:val="18"/>
        </w:rPr>
        <w:t xml:space="preserve"> </w:t>
      </w:r>
      <w:r w:rsidRPr="00E878D3">
        <w:rPr>
          <w:sz w:val="18"/>
        </w:rPr>
        <w:tab/>
        <w:t xml:space="preserve">Information about this software is available online at </w:t>
      </w:r>
      <w:hyperlink r:id="rId3" w:history="1">
        <w:r w:rsidRPr="00CC69F3">
          <w:rPr>
            <w:rStyle w:val="Hyperlink"/>
            <w:rFonts w:cs="Arial"/>
            <w:sz w:val="18"/>
            <w:szCs w:val="18"/>
          </w:rPr>
          <w:t>http://</w:t>
        </w:r>
        <w:r w:rsidRPr="00D557C2">
          <w:rPr>
            <w:rStyle w:val="Hyperlink"/>
            <w:rFonts w:cs="Arial"/>
            <w:sz w:val="18"/>
            <w:szCs w:val="18"/>
          </w:rPr>
          <w:t>www.palisade.com</w:t>
        </w:r>
      </w:hyperlink>
      <w:r w:rsidRPr="00E878D3">
        <w:rPr>
          <w:sz w:val="18"/>
        </w:rPr>
        <w:t>.</w:t>
      </w:r>
    </w:p>
    <w:p w14:paraId="2D650C58" w14:textId="77777777" w:rsidR="00DF416A" w:rsidRPr="00E878D3" w:rsidRDefault="00DF416A" w:rsidP="00D064DA">
      <w:pPr>
        <w:pStyle w:val="FootnoteText"/>
        <w:ind w:left="720" w:hanging="720"/>
        <w:rPr>
          <w:sz w:val="18"/>
        </w:rPr>
      </w:pPr>
    </w:p>
  </w:footnote>
  <w:footnote w:id="13">
    <w:p w14:paraId="02888F1E" w14:textId="616383E6" w:rsidR="00DF416A" w:rsidRPr="0034156C" w:rsidRDefault="00DF416A" w:rsidP="000E324D">
      <w:pPr>
        <w:pStyle w:val="tabletext"/>
        <w:spacing w:before="0" w:beforeAutospacing="0" w:after="0" w:afterAutospacing="0"/>
        <w:ind w:left="720" w:hanging="720"/>
      </w:pPr>
      <w:r w:rsidRPr="00E878D3">
        <w:rPr>
          <w:rStyle w:val="FootnoteReference"/>
          <w:rFonts w:ascii="Arial" w:hAnsi="Arial"/>
          <w:sz w:val="18"/>
          <w:vertAlign w:val="superscript"/>
        </w:rPr>
        <w:footnoteRef/>
      </w:r>
      <w:r w:rsidRPr="00E878D3">
        <w:rPr>
          <w:rFonts w:ascii="Arial" w:hAnsi="Arial"/>
          <w:sz w:val="18"/>
          <w:vertAlign w:val="superscript"/>
        </w:rPr>
        <w:t xml:space="preserve"> </w:t>
      </w:r>
      <w:r w:rsidRPr="00E878D3">
        <w:rPr>
          <w:sz w:val="18"/>
        </w:rPr>
        <w:tab/>
      </w:r>
      <w:r w:rsidRPr="00E878D3">
        <w:rPr>
          <w:rFonts w:ascii="Arial" w:hAnsi="Arial"/>
          <w:sz w:val="18"/>
        </w:rPr>
        <w:t xml:space="preserve">A PERT distribution is a special form of the beta distribution with </w:t>
      </w:r>
      <w:r>
        <w:rPr>
          <w:rFonts w:ascii="Arial" w:hAnsi="Arial" w:cs="Arial"/>
          <w:sz w:val="18"/>
          <w:szCs w:val="18"/>
        </w:rPr>
        <w:t>the</w:t>
      </w:r>
      <w:r w:rsidRPr="00E878D3">
        <w:rPr>
          <w:rFonts w:ascii="Arial" w:hAnsi="Arial"/>
          <w:sz w:val="18"/>
        </w:rPr>
        <w:t xml:space="preserve"> minimum and maximum </w:t>
      </w:r>
      <w:r w:rsidRPr="00D557C2">
        <w:rPr>
          <w:rFonts w:ascii="Arial" w:hAnsi="Arial" w:cs="Arial"/>
          <w:sz w:val="18"/>
          <w:szCs w:val="18"/>
        </w:rPr>
        <w:t>value</w:t>
      </w:r>
      <w:r>
        <w:rPr>
          <w:rFonts w:ascii="Arial" w:hAnsi="Arial" w:cs="Arial"/>
          <w:sz w:val="18"/>
          <w:szCs w:val="18"/>
        </w:rPr>
        <w:t>s</w:t>
      </w:r>
      <w:r w:rsidRPr="00E878D3">
        <w:rPr>
          <w:rFonts w:ascii="Arial" w:hAnsi="Arial"/>
          <w:sz w:val="18"/>
        </w:rPr>
        <w:t xml:space="preserve"> specified.  The shape parameter is calculated from the defined </w:t>
      </w:r>
      <w:r w:rsidRPr="00E878D3">
        <w:rPr>
          <w:rFonts w:ascii="Arial" w:hAnsi="Arial"/>
          <w:i/>
          <w:sz w:val="18"/>
        </w:rPr>
        <w:t>most</w:t>
      </w:r>
      <w:r w:rsidRPr="00E878D3">
        <w:rPr>
          <w:rFonts w:ascii="Arial" w:hAnsi="Arial"/>
          <w:sz w:val="18"/>
        </w:rPr>
        <w:t xml:space="preserve"> </w:t>
      </w:r>
      <w:r w:rsidRPr="00E878D3">
        <w:rPr>
          <w:rFonts w:ascii="Arial" w:hAnsi="Arial"/>
          <w:i/>
          <w:sz w:val="18"/>
        </w:rPr>
        <w:t>likely</w:t>
      </w:r>
      <w:r w:rsidRPr="00E878D3">
        <w:rPr>
          <w:rFonts w:ascii="Arial" w:hAnsi="Arial"/>
          <w:sz w:val="18"/>
        </w:rPr>
        <w:t xml:space="preserve"> value.  The PERT distribution is similar to a </w:t>
      </w:r>
      <w:r>
        <w:rPr>
          <w:rFonts w:ascii="Arial" w:hAnsi="Arial" w:cs="Arial"/>
          <w:sz w:val="18"/>
          <w:szCs w:val="18"/>
        </w:rPr>
        <w:t>t</w:t>
      </w:r>
      <w:r w:rsidRPr="00D557C2">
        <w:rPr>
          <w:rFonts w:ascii="Arial" w:hAnsi="Arial" w:cs="Arial"/>
          <w:sz w:val="18"/>
          <w:szCs w:val="18"/>
        </w:rPr>
        <w:t>riangular</w:t>
      </w:r>
      <w:r w:rsidRPr="00E878D3">
        <w:rPr>
          <w:rFonts w:ascii="Arial" w:hAnsi="Arial"/>
          <w:sz w:val="18"/>
        </w:rPr>
        <w:t xml:space="preserve"> distribution in that it has the same set of three parameters.  Technically, it is a special case of a scaled </w:t>
      </w:r>
      <w:r>
        <w:rPr>
          <w:rFonts w:ascii="Arial" w:hAnsi="Arial" w:cs="Arial"/>
          <w:sz w:val="18"/>
          <w:szCs w:val="18"/>
        </w:rPr>
        <w:t>b</w:t>
      </w:r>
      <w:r w:rsidRPr="00D557C2">
        <w:rPr>
          <w:rFonts w:ascii="Arial" w:hAnsi="Arial" w:cs="Arial"/>
          <w:sz w:val="18"/>
          <w:szCs w:val="18"/>
        </w:rPr>
        <w:t>eta</w:t>
      </w:r>
      <w:r w:rsidRPr="00E878D3">
        <w:rPr>
          <w:rFonts w:ascii="Arial" w:hAnsi="Arial"/>
          <w:sz w:val="18"/>
        </w:rPr>
        <w:t xml:space="preserve"> (or </w:t>
      </w:r>
      <w:r>
        <w:rPr>
          <w:rFonts w:ascii="Arial" w:hAnsi="Arial" w:cs="Arial"/>
          <w:sz w:val="18"/>
          <w:szCs w:val="18"/>
        </w:rPr>
        <w:t>b</w:t>
      </w:r>
      <w:r w:rsidRPr="00D557C2">
        <w:rPr>
          <w:rFonts w:ascii="Arial" w:hAnsi="Arial" w:cs="Arial"/>
          <w:sz w:val="18"/>
          <w:szCs w:val="18"/>
        </w:rPr>
        <w:t xml:space="preserve">eta </w:t>
      </w:r>
      <w:r>
        <w:rPr>
          <w:rFonts w:ascii="Arial" w:hAnsi="Arial" w:cs="Arial"/>
          <w:sz w:val="18"/>
          <w:szCs w:val="18"/>
        </w:rPr>
        <w:t>g</w:t>
      </w:r>
      <w:r w:rsidRPr="00D557C2">
        <w:rPr>
          <w:rFonts w:ascii="Arial" w:hAnsi="Arial" w:cs="Arial"/>
          <w:sz w:val="18"/>
          <w:szCs w:val="18"/>
        </w:rPr>
        <w:t>eneral</w:t>
      </w:r>
      <w:r w:rsidRPr="00E878D3">
        <w:rPr>
          <w:rFonts w:ascii="Arial" w:hAnsi="Arial"/>
          <w:sz w:val="18"/>
        </w:rPr>
        <w:t xml:space="preserve">) distribution.  It can generally be considered as superior to the </w:t>
      </w:r>
      <w:r>
        <w:rPr>
          <w:rFonts w:ascii="Arial" w:hAnsi="Arial" w:cs="Arial"/>
          <w:sz w:val="18"/>
          <w:szCs w:val="18"/>
        </w:rPr>
        <w:t>t</w:t>
      </w:r>
      <w:r w:rsidRPr="00D557C2">
        <w:rPr>
          <w:rFonts w:ascii="Arial" w:hAnsi="Arial" w:cs="Arial"/>
          <w:sz w:val="18"/>
          <w:szCs w:val="18"/>
        </w:rPr>
        <w:t>riangular</w:t>
      </w:r>
      <w:r w:rsidRPr="00E878D3">
        <w:rPr>
          <w:rFonts w:ascii="Arial" w:hAnsi="Arial"/>
          <w:sz w:val="18"/>
        </w:rPr>
        <w:t xml:space="preserve"> distribution when the parameters result in a skewed distribution</w:t>
      </w:r>
      <w:r>
        <w:rPr>
          <w:rFonts w:ascii="Arial" w:hAnsi="Arial" w:cs="Arial"/>
          <w:sz w:val="18"/>
          <w:szCs w:val="18"/>
        </w:rPr>
        <w:t xml:space="preserve"> because</w:t>
      </w:r>
      <w:r w:rsidRPr="00E878D3">
        <w:rPr>
          <w:rFonts w:ascii="Arial" w:hAnsi="Arial"/>
          <w:sz w:val="18"/>
        </w:rPr>
        <w:t xml:space="preserve"> the smooth shape of the curve places less emphasis in the direction of skew.  Similar to the triangular distribution, the PERT distribution is bounded on both sides and</w:t>
      </w:r>
      <w:r>
        <w:rPr>
          <w:rFonts w:ascii="Arial" w:hAnsi="Arial" w:cs="Arial"/>
          <w:sz w:val="18"/>
          <w:szCs w:val="18"/>
        </w:rPr>
        <w:t>,</w:t>
      </w:r>
      <w:r w:rsidRPr="00E878D3">
        <w:rPr>
          <w:rFonts w:ascii="Arial" w:hAnsi="Arial"/>
          <w:sz w:val="18"/>
        </w:rPr>
        <w:t xml:space="preserve"> therefore</w:t>
      </w:r>
      <w:r>
        <w:rPr>
          <w:rFonts w:ascii="Arial" w:hAnsi="Arial" w:cs="Arial"/>
          <w:sz w:val="18"/>
          <w:szCs w:val="18"/>
        </w:rPr>
        <w:t>,</w:t>
      </w:r>
      <w:r w:rsidRPr="00E878D3">
        <w:rPr>
          <w:rFonts w:ascii="Arial" w:hAnsi="Arial"/>
          <w:sz w:val="18"/>
        </w:rPr>
        <w:t xml:space="preserve"> may not be adequate for some </w:t>
      </w:r>
      <w:r w:rsidRPr="00D557C2">
        <w:rPr>
          <w:rFonts w:ascii="Arial" w:hAnsi="Arial" w:cs="Arial"/>
          <w:sz w:val="18"/>
          <w:szCs w:val="18"/>
        </w:rPr>
        <w:t>modeling</w:t>
      </w:r>
      <w:r w:rsidRPr="00E878D3">
        <w:rPr>
          <w:rFonts w:ascii="Arial" w:hAnsi="Arial"/>
          <w:sz w:val="18"/>
        </w:rPr>
        <w:t xml:space="preserve"> purposes </w:t>
      </w:r>
      <w:r>
        <w:rPr>
          <w:rFonts w:ascii="Arial" w:hAnsi="Arial" w:cs="Arial"/>
          <w:sz w:val="18"/>
          <w:szCs w:val="18"/>
        </w:rPr>
        <w:t>for which</w:t>
      </w:r>
      <w:r w:rsidRPr="00D557C2">
        <w:rPr>
          <w:rFonts w:ascii="Arial" w:hAnsi="Arial" w:cs="Arial"/>
          <w:sz w:val="18"/>
          <w:szCs w:val="18"/>
        </w:rPr>
        <w:t xml:space="preserve"> captur</w:t>
      </w:r>
      <w:r>
        <w:rPr>
          <w:rFonts w:ascii="Arial" w:hAnsi="Arial" w:cs="Arial"/>
          <w:sz w:val="18"/>
          <w:szCs w:val="18"/>
        </w:rPr>
        <w:t>ing</w:t>
      </w:r>
      <w:r w:rsidRPr="00E878D3">
        <w:rPr>
          <w:rFonts w:ascii="Arial" w:hAnsi="Arial"/>
          <w:sz w:val="18"/>
        </w:rPr>
        <w:t xml:space="preserve"> tail or extreme events</w:t>
      </w:r>
      <w:r>
        <w:rPr>
          <w:rFonts w:ascii="Arial" w:hAnsi="Arial" w:cs="Arial"/>
          <w:sz w:val="18"/>
          <w:szCs w:val="18"/>
        </w:rPr>
        <w:t xml:space="preserve"> is desired</w:t>
      </w:r>
      <w:r w:rsidRPr="00E878D3">
        <w:rPr>
          <w:rFonts w:ascii="Arial" w:hAnsi="Arial"/>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B1DCF" w14:textId="77777777" w:rsidR="00DF416A" w:rsidRDefault="00F32688">
    <w:pPr>
      <w:pStyle w:val="Header"/>
    </w:pPr>
    <w:r>
      <w:rPr>
        <w:noProof/>
      </w:rPr>
      <w:pict w14:anchorId="36080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48044" o:spid="_x0000_s2051" type="#_x0000_t136" style="position:absolute;margin-left:0;margin-top:0;width:471.3pt;height:188.5pt;rotation:315;z-index:-251655168;mso-position-horizontal:center;mso-position-horizontal-relative:margin;mso-position-vertical:center;mso-position-vertical-relative:margin" o:allowincell="f" fillcolor="#bfbfbf [2412]"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7498D" w14:textId="77777777" w:rsidR="00DF416A" w:rsidRDefault="00DF41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FA9A5" w14:textId="77777777" w:rsidR="00DF416A" w:rsidRDefault="00F32688">
    <w:pPr>
      <w:pStyle w:val="Header"/>
      <w:jc w:val="center"/>
    </w:pPr>
    <w:r>
      <w:rPr>
        <w:noProof/>
      </w:rPr>
      <w:pict w14:anchorId="6BFB1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48043"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bfbfbf [2412]" stroked="f">
          <v:textpath style="font-family:&quot;Arial&quot;;font-size:1pt" string="DRAFT"/>
          <w10:wrap anchorx="margin" anchory="margin"/>
        </v:shape>
      </w:pict>
    </w:r>
    <w:r w:rsidR="00DF416A">
      <w:rPr>
        <w:noProof/>
      </w:rPr>
      <mc:AlternateContent>
        <mc:Choice Requires="wps">
          <w:drawing>
            <wp:anchor distT="0" distB="0" distL="114300" distR="114300" simplePos="0" relativeHeight="251659264" behindDoc="1" locked="0" layoutInCell="0" allowOverlap="1" wp14:anchorId="1B1BD528" wp14:editId="15CD16E8">
              <wp:simplePos x="0" y="0"/>
              <wp:positionH relativeFrom="margin">
                <wp:align>center</wp:align>
              </wp:positionH>
              <wp:positionV relativeFrom="margin">
                <wp:align>center</wp:align>
              </wp:positionV>
              <wp:extent cx="5985510" cy="2393950"/>
              <wp:effectExtent l="0" t="1619250" r="0" b="1311275"/>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0F0F54" w14:textId="77777777" w:rsidR="00DF416A" w:rsidRDefault="00DF416A" w:rsidP="00431022">
                          <w:pPr>
                            <w:pStyle w:val="NormalWeb"/>
                            <w:spacing w:before="0" w:beforeAutospacing="0" w:after="0" w:afterAutospacing="0"/>
                            <w:jc w:val="center"/>
                          </w:pPr>
                          <w:r>
                            <w:rPr>
                              <w:rFonts w:ascii="Arial" w:hAnsi="Arial" w:cs="Arial"/>
                              <w:color w:val="A6A6A6" w:themeColor="background1" w:themeShade="A6"/>
                              <w:sz w:val="2"/>
                              <w:szCs w:val="2"/>
                              <w14:textFill>
                                <w14:solidFill>
                                  <w14:schemeClr w14:val="bg1">
                                    <w14:alpha w14:val="50000"/>
                                    <w14:lumMod w14:val="6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hawBAYgCAAD8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14:paraId="3F0F0F54" w14:textId="77777777" w:rsidR="00DF416A" w:rsidRDefault="00DF416A" w:rsidP="00431022">
                    <w:pPr>
                      <w:pStyle w:val="NormalWeb"/>
                      <w:spacing w:before="0" w:beforeAutospacing="0" w:after="0" w:afterAutospacing="0"/>
                      <w:jc w:val="center"/>
                    </w:pPr>
                    <w:r>
                      <w:rPr>
                        <w:rFonts w:ascii="Arial" w:hAnsi="Arial" w:cs="Arial"/>
                        <w:color w:val="A6A6A6" w:themeColor="background1" w:themeShade="A6"/>
                        <w:sz w:val="2"/>
                        <w:szCs w:val="2"/>
                        <w14:textFill>
                          <w14:solidFill>
                            <w14:schemeClr w14:val="bg1">
                              <w14:alpha w14:val="50000"/>
                              <w14:lumMod w14:val="65000"/>
                            </w14:scheme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AE5F" w14:textId="77777777" w:rsidR="00DF416A" w:rsidRPr="00401982" w:rsidRDefault="00DF416A" w:rsidP="00780F91">
    <w:pPr>
      <w:pBdr>
        <w:bottom w:val="single" w:sz="18" w:space="1" w:color="auto"/>
      </w:pBdr>
      <w:tabs>
        <w:tab w:val="right" w:pos="9000"/>
      </w:tabs>
      <w:rPr>
        <w:rFonts w:ascii="Arial Narrow" w:hAnsi="Arial Narrow"/>
      </w:rPr>
    </w:pPr>
    <w:r w:rsidRPr="009A56BC">
      <w:rPr>
        <w:rFonts w:ascii="Arial Narrow" w:hAnsi="Arial Narrow"/>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2534EC"/>
    <w:multiLevelType w:val="hybridMultilevel"/>
    <w:tmpl w:val="449A4EB0"/>
    <w:lvl w:ilvl="0" w:tplc="C988EDEE">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2C3C6ECE">
      <w:start w:val="1"/>
      <w:numFmt w:val="lowerLetter"/>
      <w:lvlText w:val="(%3)"/>
      <w:lvlJc w:val="left"/>
      <w:pPr>
        <w:ind w:left="2052" w:hanging="3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nsid w:val="0036524B"/>
    <w:multiLevelType w:val="hybridMultilevel"/>
    <w:tmpl w:val="95BA96EA"/>
    <w:lvl w:ilvl="0" w:tplc="E36A0B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DC35FC"/>
    <w:multiLevelType w:val="hybridMultilevel"/>
    <w:tmpl w:val="36CA3FF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301B8"/>
    <w:multiLevelType w:val="hybridMultilevel"/>
    <w:tmpl w:val="2BA4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303CDC"/>
    <w:multiLevelType w:val="hybridMultilevel"/>
    <w:tmpl w:val="F6E8AFE6"/>
    <w:lvl w:ilvl="0" w:tplc="E36A0BD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F514DB"/>
    <w:multiLevelType w:val="hybridMultilevel"/>
    <w:tmpl w:val="9780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E4C09"/>
    <w:multiLevelType w:val="hybridMultilevel"/>
    <w:tmpl w:val="122C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D452A"/>
    <w:multiLevelType w:val="hybridMultilevel"/>
    <w:tmpl w:val="546AD7AA"/>
    <w:lvl w:ilvl="0" w:tplc="022E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23794"/>
    <w:multiLevelType w:val="hybridMultilevel"/>
    <w:tmpl w:val="CFBCEE00"/>
    <w:lvl w:ilvl="0" w:tplc="8A903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37785"/>
    <w:multiLevelType w:val="hybridMultilevel"/>
    <w:tmpl w:val="D2B26E3A"/>
    <w:lvl w:ilvl="0" w:tplc="AD2AD4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81117"/>
    <w:multiLevelType w:val="hybridMultilevel"/>
    <w:tmpl w:val="BCC2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F52009"/>
    <w:multiLevelType w:val="hybridMultilevel"/>
    <w:tmpl w:val="5048616C"/>
    <w:lvl w:ilvl="0" w:tplc="E2C07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AB6FB0"/>
    <w:multiLevelType w:val="multilevel"/>
    <w:tmpl w:val="B880BAA8"/>
    <w:lvl w:ilvl="0">
      <w:start w:val="1"/>
      <w:numFmt w:val="decimal"/>
      <w:pStyle w:val="Heading1"/>
      <w:lvlText w:val="%1."/>
      <w:lvlJc w:val="left"/>
      <w:pPr>
        <w:ind w:left="1710" w:hanging="360"/>
      </w:pPr>
    </w:lvl>
    <w:lvl w:ilvl="1">
      <w:start w:val="1"/>
      <w:numFmt w:val="decimal"/>
      <w:pStyle w:val="Heading2"/>
      <w:lvlText w:val="%1.%2."/>
      <w:lvlJc w:val="left"/>
      <w:pPr>
        <w:ind w:left="2502" w:hanging="432"/>
      </w:pPr>
    </w:lvl>
    <w:lvl w:ilvl="2">
      <w:start w:val="1"/>
      <w:numFmt w:val="decimal"/>
      <w:pStyle w:val="Heading3"/>
      <w:lvlText w:val="%1.%2.%3."/>
      <w:lvlJc w:val="left"/>
      <w:pPr>
        <w:ind w:left="9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nsid w:val="32041122"/>
    <w:multiLevelType w:val="hybridMultilevel"/>
    <w:tmpl w:val="E02EF6CE"/>
    <w:lvl w:ilvl="0" w:tplc="04090001">
      <w:start w:val="1"/>
      <w:numFmt w:val="bullet"/>
      <w:lvlText w:val=""/>
      <w:lvlJc w:val="left"/>
      <w:pPr>
        <w:ind w:left="360" w:hanging="360"/>
      </w:pPr>
      <w:rPr>
        <w:rFonts w:ascii="Symbol" w:hAnsi="Symbol" w:hint="default"/>
      </w:rPr>
    </w:lvl>
    <w:lvl w:ilvl="1" w:tplc="D0D03CD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8A51A4"/>
    <w:multiLevelType w:val="hybridMultilevel"/>
    <w:tmpl w:val="3F5C360A"/>
    <w:lvl w:ilvl="0" w:tplc="04090001">
      <w:start w:val="1"/>
      <w:numFmt w:val="bullet"/>
      <w:lvlText w:val=""/>
      <w:lvlJc w:val="left"/>
      <w:pPr>
        <w:tabs>
          <w:tab w:val="num" w:pos="720"/>
        </w:tabs>
        <w:ind w:left="720" w:hanging="360"/>
      </w:pPr>
      <w:rPr>
        <w:rFonts w:ascii="Symbol" w:hAnsi="Symbol" w:hint="default"/>
      </w:rPr>
    </w:lvl>
    <w:lvl w:ilvl="1" w:tplc="111A81B8">
      <w:start w:val="2514"/>
      <w:numFmt w:val="bullet"/>
      <w:lvlText w:val="–"/>
      <w:lvlJc w:val="left"/>
      <w:pPr>
        <w:tabs>
          <w:tab w:val="num" w:pos="1440"/>
        </w:tabs>
        <w:ind w:left="1440" w:hanging="360"/>
      </w:pPr>
      <w:rPr>
        <w:rFonts w:ascii="Times New Roman" w:hAnsi="Times New Roman" w:hint="default"/>
      </w:rPr>
    </w:lvl>
    <w:lvl w:ilvl="2" w:tplc="EDA688DC" w:tentative="1">
      <w:start w:val="1"/>
      <w:numFmt w:val="bullet"/>
      <w:lvlText w:val="•"/>
      <w:lvlJc w:val="left"/>
      <w:pPr>
        <w:tabs>
          <w:tab w:val="num" w:pos="2160"/>
        </w:tabs>
        <w:ind w:left="2160" w:hanging="360"/>
      </w:pPr>
      <w:rPr>
        <w:rFonts w:ascii="Times New Roman" w:hAnsi="Times New Roman" w:hint="default"/>
      </w:rPr>
    </w:lvl>
    <w:lvl w:ilvl="3" w:tplc="E5D80C3C" w:tentative="1">
      <w:start w:val="1"/>
      <w:numFmt w:val="bullet"/>
      <w:lvlText w:val="•"/>
      <w:lvlJc w:val="left"/>
      <w:pPr>
        <w:tabs>
          <w:tab w:val="num" w:pos="2880"/>
        </w:tabs>
        <w:ind w:left="2880" w:hanging="360"/>
      </w:pPr>
      <w:rPr>
        <w:rFonts w:ascii="Times New Roman" w:hAnsi="Times New Roman" w:hint="default"/>
      </w:rPr>
    </w:lvl>
    <w:lvl w:ilvl="4" w:tplc="CBA8966C" w:tentative="1">
      <w:start w:val="1"/>
      <w:numFmt w:val="bullet"/>
      <w:lvlText w:val="•"/>
      <w:lvlJc w:val="left"/>
      <w:pPr>
        <w:tabs>
          <w:tab w:val="num" w:pos="3600"/>
        </w:tabs>
        <w:ind w:left="3600" w:hanging="360"/>
      </w:pPr>
      <w:rPr>
        <w:rFonts w:ascii="Times New Roman" w:hAnsi="Times New Roman" w:hint="default"/>
      </w:rPr>
    </w:lvl>
    <w:lvl w:ilvl="5" w:tplc="2536D6EE" w:tentative="1">
      <w:start w:val="1"/>
      <w:numFmt w:val="bullet"/>
      <w:lvlText w:val="•"/>
      <w:lvlJc w:val="left"/>
      <w:pPr>
        <w:tabs>
          <w:tab w:val="num" w:pos="4320"/>
        </w:tabs>
        <w:ind w:left="4320" w:hanging="360"/>
      </w:pPr>
      <w:rPr>
        <w:rFonts w:ascii="Times New Roman" w:hAnsi="Times New Roman" w:hint="default"/>
      </w:rPr>
    </w:lvl>
    <w:lvl w:ilvl="6" w:tplc="FC968A52" w:tentative="1">
      <w:start w:val="1"/>
      <w:numFmt w:val="bullet"/>
      <w:lvlText w:val="•"/>
      <w:lvlJc w:val="left"/>
      <w:pPr>
        <w:tabs>
          <w:tab w:val="num" w:pos="5040"/>
        </w:tabs>
        <w:ind w:left="5040" w:hanging="360"/>
      </w:pPr>
      <w:rPr>
        <w:rFonts w:ascii="Times New Roman" w:hAnsi="Times New Roman" w:hint="default"/>
      </w:rPr>
    </w:lvl>
    <w:lvl w:ilvl="7" w:tplc="EF7266B6" w:tentative="1">
      <w:start w:val="1"/>
      <w:numFmt w:val="bullet"/>
      <w:lvlText w:val="•"/>
      <w:lvlJc w:val="left"/>
      <w:pPr>
        <w:tabs>
          <w:tab w:val="num" w:pos="5760"/>
        </w:tabs>
        <w:ind w:left="5760" w:hanging="360"/>
      </w:pPr>
      <w:rPr>
        <w:rFonts w:ascii="Times New Roman" w:hAnsi="Times New Roman" w:hint="default"/>
      </w:rPr>
    </w:lvl>
    <w:lvl w:ilvl="8" w:tplc="B3204D6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632564C"/>
    <w:multiLevelType w:val="hybridMultilevel"/>
    <w:tmpl w:val="0D0E3D7A"/>
    <w:lvl w:ilvl="0" w:tplc="022E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2330F"/>
    <w:multiLevelType w:val="hybridMultilevel"/>
    <w:tmpl w:val="DE40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53265A"/>
    <w:multiLevelType w:val="hybridMultilevel"/>
    <w:tmpl w:val="EE9A16DA"/>
    <w:lvl w:ilvl="0" w:tplc="AF34F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4F396F"/>
    <w:multiLevelType w:val="hybridMultilevel"/>
    <w:tmpl w:val="49047452"/>
    <w:lvl w:ilvl="0" w:tplc="04090001">
      <w:start w:val="1"/>
      <w:numFmt w:val="bullet"/>
      <w:lvlText w:val=""/>
      <w:lvlJc w:val="left"/>
      <w:pPr>
        <w:ind w:left="720" w:hanging="360"/>
      </w:pPr>
      <w:rPr>
        <w:rFonts w:ascii="Symbol" w:hAnsi="Symbol" w:hint="default"/>
        <w:color w:val="auto"/>
      </w:rPr>
    </w:lvl>
    <w:lvl w:ilvl="1" w:tplc="5680DE3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99541C"/>
    <w:multiLevelType w:val="hybridMultilevel"/>
    <w:tmpl w:val="F78E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BB2F56"/>
    <w:multiLevelType w:val="hybridMultilevel"/>
    <w:tmpl w:val="801AED50"/>
    <w:lvl w:ilvl="0" w:tplc="E36A0B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D35FBB"/>
    <w:multiLevelType w:val="hybridMultilevel"/>
    <w:tmpl w:val="83582A90"/>
    <w:lvl w:ilvl="0" w:tplc="B2BE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F241D7"/>
    <w:multiLevelType w:val="hybridMultilevel"/>
    <w:tmpl w:val="3E828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E17D8A"/>
    <w:multiLevelType w:val="hybridMultilevel"/>
    <w:tmpl w:val="DAD4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030C22"/>
    <w:multiLevelType w:val="hybridMultilevel"/>
    <w:tmpl w:val="49C0BE5E"/>
    <w:lvl w:ilvl="0" w:tplc="ED22E698">
      <w:start w:val="1"/>
      <w:numFmt w:val="decimal"/>
      <w:lvlText w:val="%1."/>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14098E"/>
    <w:multiLevelType w:val="hybridMultilevel"/>
    <w:tmpl w:val="3EDA9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CC35E9"/>
    <w:multiLevelType w:val="hybridMultilevel"/>
    <w:tmpl w:val="5994D57C"/>
    <w:lvl w:ilvl="0" w:tplc="04090001">
      <w:start w:val="1"/>
      <w:numFmt w:val="bullet"/>
      <w:lvlText w:val=""/>
      <w:lvlJc w:val="left"/>
      <w:pPr>
        <w:tabs>
          <w:tab w:val="num" w:pos="720"/>
        </w:tabs>
        <w:ind w:left="720" w:hanging="360"/>
      </w:pPr>
      <w:rPr>
        <w:rFonts w:ascii="Symbol" w:hAnsi="Symbol" w:hint="default"/>
      </w:rPr>
    </w:lvl>
    <w:lvl w:ilvl="1" w:tplc="111A81B8">
      <w:start w:val="2514"/>
      <w:numFmt w:val="bullet"/>
      <w:lvlText w:val="–"/>
      <w:lvlJc w:val="left"/>
      <w:pPr>
        <w:tabs>
          <w:tab w:val="num" w:pos="1440"/>
        </w:tabs>
        <w:ind w:left="1440" w:hanging="360"/>
      </w:pPr>
      <w:rPr>
        <w:rFonts w:ascii="Times New Roman" w:hAnsi="Times New Roman" w:hint="default"/>
      </w:rPr>
    </w:lvl>
    <w:lvl w:ilvl="2" w:tplc="EDA688DC" w:tentative="1">
      <w:start w:val="1"/>
      <w:numFmt w:val="bullet"/>
      <w:lvlText w:val="•"/>
      <w:lvlJc w:val="left"/>
      <w:pPr>
        <w:tabs>
          <w:tab w:val="num" w:pos="2160"/>
        </w:tabs>
        <w:ind w:left="2160" w:hanging="360"/>
      </w:pPr>
      <w:rPr>
        <w:rFonts w:ascii="Times New Roman" w:hAnsi="Times New Roman" w:hint="default"/>
      </w:rPr>
    </w:lvl>
    <w:lvl w:ilvl="3" w:tplc="E5D80C3C" w:tentative="1">
      <w:start w:val="1"/>
      <w:numFmt w:val="bullet"/>
      <w:lvlText w:val="•"/>
      <w:lvlJc w:val="left"/>
      <w:pPr>
        <w:tabs>
          <w:tab w:val="num" w:pos="2880"/>
        </w:tabs>
        <w:ind w:left="2880" w:hanging="360"/>
      </w:pPr>
      <w:rPr>
        <w:rFonts w:ascii="Times New Roman" w:hAnsi="Times New Roman" w:hint="default"/>
      </w:rPr>
    </w:lvl>
    <w:lvl w:ilvl="4" w:tplc="CBA8966C" w:tentative="1">
      <w:start w:val="1"/>
      <w:numFmt w:val="bullet"/>
      <w:lvlText w:val="•"/>
      <w:lvlJc w:val="left"/>
      <w:pPr>
        <w:tabs>
          <w:tab w:val="num" w:pos="3600"/>
        </w:tabs>
        <w:ind w:left="3600" w:hanging="360"/>
      </w:pPr>
      <w:rPr>
        <w:rFonts w:ascii="Times New Roman" w:hAnsi="Times New Roman" w:hint="default"/>
      </w:rPr>
    </w:lvl>
    <w:lvl w:ilvl="5" w:tplc="2536D6EE" w:tentative="1">
      <w:start w:val="1"/>
      <w:numFmt w:val="bullet"/>
      <w:lvlText w:val="•"/>
      <w:lvlJc w:val="left"/>
      <w:pPr>
        <w:tabs>
          <w:tab w:val="num" w:pos="4320"/>
        </w:tabs>
        <w:ind w:left="4320" w:hanging="360"/>
      </w:pPr>
      <w:rPr>
        <w:rFonts w:ascii="Times New Roman" w:hAnsi="Times New Roman" w:hint="default"/>
      </w:rPr>
    </w:lvl>
    <w:lvl w:ilvl="6" w:tplc="FC968A52" w:tentative="1">
      <w:start w:val="1"/>
      <w:numFmt w:val="bullet"/>
      <w:lvlText w:val="•"/>
      <w:lvlJc w:val="left"/>
      <w:pPr>
        <w:tabs>
          <w:tab w:val="num" w:pos="5040"/>
        </w:tabs>
        <w:ind w:left="5040" w:hanging="360"/>
      </w:pPr>
      <w:rPr>
        <w:rFonts w:ascii="Times New Roman" w:hAnsi="Times New Roman" w:hint="default"/>
      </w:rPr>
    </w:lvl>
    <w:lvl w:ilvl="7" w:tplc="EF7266B6" w:tentative="1">
      <w:start w:val="1"/>
      <w:numFmt w:val="bullet"/>
      <w:lvlText w:val="•"/>
      <w:lvlJc w:val="left"/>
      <w:pPr>
        <w:tabs>
          <w:tab w:val="num" w:pos="5760"/>
        </w:tabs>
        <w:ind w:left="5760" w:hanging="360"/>
      </w:pPr>
      <w:rPr>
        <w:rFonts w:ascii="Times New Roman" w:hAnsi="Times New Roman" w:hint="default"/>
      </w:rPr>
    </w:lvl>
    <w:lvl w:ilvl="8" w:tplc="B3204D6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EB63493"/>
    <w:multiLevelType w:val="hybridMultilevel"/>
    <w:tmpl w:val="C7386B5E"/>
    <w:lvl w:ilvl="0" w:tplc="022E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529BE"/>
    <w:multiLevelType w:val="hybridMultilevel"/>
    <w:tmpl w:val="1E8676CE"/>
    <w:lvl w:ilvl="0" w:tplc="ED22E698">
      <w:start w:val="1"/>
      <w:numFmt w:val="decimal"/>
      <w:lvlText w:val="%1."/>
      <w:lvlJc w:val="left"/>
      <w:pPr>
        <w:ind w:left="720" w:hanging="360"/>
      </w:pPr>
      <w:rPr>
        <w:rFonts w:ascii="Arial" w:hAnsi="Arial" w:cs="Arial" w:hint="default"/>
        <w:color w:val="auto"/>
      </w:rPr>
    </w:lvl>
    <w:lvl w:ilvl="1" w:tplc="5680DE3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814A7C"/>
    <w:multiLevelType w:val="hybridMultilevel"/>
    <w:tmpl w:val="7AB0298C"/>
    <w:lvl w:ilvl="0" w:tplc="022E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262682"/>
    <w:multiLevelType w:val="hybridMultilevel"/>
    <w:tmpl w:val="1BE6CDFE"/>
    <w:lvl w:ilvl="0" w:tplc="022E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CA2DBB"/>
    <w:multiLevelType w:val="hybridMultilevel"/>
    <w:tmpl w:val="2B7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4"/>
  </w:num>
  <w:num w:numId="4">
    <w:abstractNumId w:val="13"/>
  </w:num>
  <w:num w:numId="5">
    <w:abstractNumId w:val="15"/>
  </w:num>
  <w:num w:numId="6">
    <w:abstractNumId w:val="27"/>
  </w:num>
  <w:num w:numId="7">
    <w:abstractNumId w:val="7"/>
  </w:num>
  <w:num w:numId="8">
    <w:abstractNumId w:val="22"/>
  </w:num>
  <w:num w:numId="9">
    <w:abstractNumId w:val="28"/>
  </w:num>
  <w:num w:numId="10">
    <w:abstractNumId w:val="4"/>
  </w:num>
  <w:num w:numId="11">
    <w:abstractNumId w:val="30"/>
  </w:num>
  <w:num w:numId="12">
    <w:abstractNumId w:val="1"/>
  </w:num>
  <w:num w:numId="13">
    <w:abstractNumId w:val="16"/>
  </w:num>
  <w:num w:numId="14">
    <w:abstractNumId w:val="18"/>
  </w:num>
  <w:num w:numId="15">
    <w:abstractNumId w:val="10"/>
  </w:num>
  <w:num w:numId="16">
    <w:abstractNumId w:val="9"/>
  </w:num>
  <w:num w:numId="17">
    <w:abstractNumId w:val="12"/>
  </w:num>
  <w:num w:numId="18">
    <w:abstractNumId w:val="3"/>
  </w:num>
  <w:num w:numId="19">
    <w:abstractNumId w:val="11"/>
  </w:num>
  <w:num w:numId="20">
    <w:abstractNumId w:val="25"/>
  </w:num>
  <w:num w:numId="21">
    <w:abstractNumId w:val="29"/>
  </w:num>
  <w:num w:numId="22">
    <w:abstractNumId w:val="2"/>
  </w:num>
  <w:num w:numId="23">
    <w:abstractNumId w:val="5"/>
  </w:num>
  <w:num w:numId="24">
    <w:abstractNumId w:val="21"/>
  </w:num>
  <w:num w:numId="25">
    <w:abstractNumId w:val="19"/>
  </w:num>
  <w:num w:numId="26">
    <w:abstractNumId w:val="13"/>
  </w:num>
  <w:num w:numId="27">
    <w:abstractNumId w:val="2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2"/>
  </w:num>
  <w:num w:numId="31">
    <w:abstractNumId w:val="20"/>
  </w:num>
  <w:num w:numId="32">
    <w:abstractNumId w:val="6"/>
  </w:num>
  <w:num w:numId="33">
    <w:abstractNumId w:val="17"/>
  </w:num>
  <w:num w:numId="34">
    <w:abstractNumId w:val="8"/>
  </w:num>
  <w:num w:numId="3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1"/>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58"/>
    <w:rsid w:val="00001690"/>
    <w:rsid w:val="00003352"/>
    <w:rsid w:val="00004BAE"/>
    <w:rsid w:val="00005E18"/>
    <w:rsid w:val="00006418"/>
    <w:rsid w:val="0000734B"/>
    <w:rsid w:val="00007702"/>
    <w:rsid w:val="000101F2"/>
    <w:rsid w:val="00011F7C"/>
    <w:rsid w:val="00014A52"/>
    <w:rsid w:val="0001567D"/>
    <w:rsid w:val="00015C02"/>
    <w:rsid w:val="0001662F"/>
    <w:rsid w:val="000166F4"/>
    <w:rsid w:val="00017977"/>
    <w:rsid w:val="00022A2D"/>
    <w:rsid w:val="00023FAA"/>
    <w:rsid w:val="000244DF"/>
    <w:rsid w:val="0002547F"/>
    <w:rsid w:val="00026918"/>
    <w:rsid w:val="00026A12"/>
    <w:rsid w:val="00027866"/>
    <w:rsid w:val="00027F76"/>
    <w:rsid w:val="00031749"/>
    <w:rsid w:val="000317E8"/>
    <w:rsid w:val="00032506"/>
    <w:rsid w:val="000355EA"/>
    <w:rsid w:val="00036F5F"/>
    <w:rsid w:val="00037762"/>
    <w:rsid w:val="00041A9C"/>
    <w:rsid w:val="0004659B"/>
    <w:rsid w:val="00046896"/>
    <w:rsid w:val="00054BF2"/>
    <w:rsid w:val="000551F9"/>
    <w:rsid w:val="0005588F"/>
    <w:rsid w:val="00056B30"/>
    <w:rsid w:val="0005706B"/>
    <w:rsid w:val="000617C0"/>
    <w:rsid w:val="00061ADA"/>
    <w:rsid w:val="00061C6D"/>
    <w:rsid w:val="00064C5C"/>
    <w:rsid w:val="0006670E"/>
    <w:rsid w:val="000705FF"/>
    <w:rsid w:val="00071DA2"/>
    <w:rsid w:val="0007224A"/>
    <w:rsid w:val="00075DF1"/>
    <w:rsid w:val="000761A1"/>
    <w:rsid w:val="0007799C"/>
    <w:rsid w:val="00081822"/>
    <w:rsid w:val="00082FB4"/>
    <w:rsid w:val="000847B5"/>
    <w:rsid w:val="00084BF0"/>
    <w:rsid w:val="00084C7C"/>
    <w:rsid w:val="00084F04"/>
    <w:rsid w:val="0008540D"/>
    <w:rsid w:val="000859AB"/>
    <w:rsid w:val="00087460"/>
    <w:rsid w:val="00092667"/>
    <w:rsid w:val="00095A7A"/>
    <w:rsid w:val="00096078"/>
    <w:rsid w:val="000A3175"/>
    <w:rsid w:val="000A3709"/>
    <w:rsid w:val="000A52D5"/>
    <w:rsid w:val="000A5CEF"/>
    <w:rsid w:val="000A73EA"/>
    <w:rsid w:val="000B056A"/>
    <w:rsid w:val="000B063C"/>
    <w:rsid w:val="000B3D63"/>
    <w:rsid w:val="000B5B2C"/>
    <w:rsid w:val="000B70D6"/>
    <w:rsid w:val="000B78DA"/>
    <w:rsid w:val="000C0640"/>
    <w:rsid w:val="000C0812"/>
    <w:rsid w:val="000C0BC5"/>
    <w:rsid w:val="000C1588"/>
    <w:rsid w:val="000C3B85"/>
    <w:rsid w:val="000C4397"/>
    <w:rsid w:val="000C50B5"/>
    <w:rsid w:val="000C59CA"/>
    <w:rsid w:val="000C5A60"/>
    <w:rsid w:val="000C742C"/>
    <w:rsid w:val="000C7636"/>
    <w:rsid w:val="000D0BCB"/>
    <w:rsid w:val="000D0ED7"/>
    <w:rsid w:val="000D1C6A"/>
    <w:rsid w:val="000D50A2"/>
    <w:rsid w:val="000D7AB7"/>
    <w:rsid w:val="000E2214"/>
    <w:rsid w:val="000E324D"/>
    <w:rsid w:val="000E6B74"/>
    <w:rsid w:val="000F03AF"/>
    <w:rsid w:val="000F0896"/>
    <w:rsid w:val="000F28D6"/>
    <w:rsid w:val="000F3E5E"/>
    <w:rsid w:val="000F5249"/>
    <w:rsid w:val="000F5CD4"/>
    <w:rsid w:val="000F64D1"/>
    <w:rsid w:val="000F6B38"/>
    <w:rsid w:val="000F7035"/>
    <w:rsid w:val="00100435"/>
    <w:rsid w:val="00101301"/>
    <w:rsid w:val="0010163A"/>
    <w:rsid w:val="0010522A"/>
    <w:rsid w:val="001053EF"/>
    <w:rsid w:val="00105ABE"/>
    <w:rsid w:val="00110198"/>
    <w:rsid w:val="001102E3"/>
    <w:rsid w:val="00114987"/>
    <w:rsid w:val="00121E78"/>
    <w:rsid w:val="00123462"/>
    <w:rsid w:val="00123B56"/>
    <w:rsid w:val="0012451A"/>
    <w:rsid w:val="00126047"/>
    <w:rsid w:val="00126AB4"/>
    <w:rsid w:val="0013053A"/>
    <w:rsid w:val="00133069"/>
    <w:rsid w:val="00140A50"/>
    <w:rsid w:val="001422CB"/>
    <w:rsid w:val="0014445F"/>
    <w:rsid w:val="00145EE7"/>
    <w:rsid w:val="00146FE6"/>
    <w:rsid w:val="0014727E"/>
    <w:rsid w:val="001476A4"/>
    <w:rsid w:val="00150BD0"/>
    <w:rsid w:val="00150E0C"/>
    <w:rsid w:val="00151190"/>
    <w:rsid w:val="00152C95"/>
    <w:rsid w:val="00153C84"/>
    <w:rsid w:val="00153EB9"/>
    <w:rsid w:val="001540D7"/>
    <w:rsid w:val="001565D6"/>
    <w:rsid w:val="001573AA"/>
    <w:rsid w:val="00160F35"/>
    <w:rsid w:val="0016106A"/>
    <w:rsid w:val="00163B58"/>
    <w:rsid w:val="00164305"/>
    <w:rsid w:val="0016435D"/>
    <w:rsid w:val="00164CF8"/>
    <w:rsid w:val="001651E9"/>
    <w:rsid w:val="00165F65"/>
    <w:rsid w:val="001660CE"/>
    <w:rsid w:val="00167C41"/>
    <w:rsid w:val="00170EFF"/>
    <w:rsid w:val="00173B56"/>
    <w:rsid w:val="00176E25"/>
    <w:rsid w:val="00177C49"/>
    <w:rsid w:val="00180750"/>
    <w:rsid w:val="00184151"/>
    <w:rsid w:val="00186364"/>
    <w:rsid w:val="001873E2"/>
    <w:rsid w:val="001925A7"/>
    <w:rsid w:val="001951E4"/>
    <w:rsid w:val="00195F08"/>
    <w:rsid w:val="00196E28"/>
    <w:rsid w:val="00197710"/>
    <w:rsid w:val="0019789F"/>
    <w:rsid w:val="001A183E"/>
    <w:rsid w:val="001A1F9C"/>
    <w:rsid w:val="001A2817"/>
    <w:rsid w:val="001A2CD3"/>
    <w:rsid w:val="001A5547"/>
    <w:rsid w:val="001A605C"/>
    <w:rsid w:val="001A7C84"/>
    <w:rsid w:val="001A7E46"/>
    <w:rsid w:val="001B1F0A"/>
    <w:rsid w:val="001B4DCE"/>
    <w:rsid w:val="001B5DD8"/>
    <w:rsid w:val="001B6326"/>
    <w:rsid w:val="001C19EA"/>
    <w:rsid w:val="001C2348"/>
    <w:rsid w:val="001C3FF6"/>
    <w:rsid w:val="001C4A8F"/>
    <w:rsid w:val="001C7704"/>
    <w:rsid w:val="001C7914"/>
    <w:rsid w:val="001D09E8"/>
    <w:rsid w:val="001D0D4A"/>
    <w:rsid w:val="001D12DE"/>
    <w:rsid w:val="001D2EA4"/>
    <w:rsid w:val="001D309D"/>
    <w:rsid w:val="001D4174"/>
    <w:rsid w:val="001D462B"/>
    <w:rsid w:val="001D58A8"/>
    <w:rsid w:val="001D6316"/>
    <w:rsid w:val="001D726F"/>
    <w:rsid w:val="001E0395"/>
    <w:rsid w:val="001E16B0"/>
    <w:rsid w:val="001E3F51"/>
    <w:rsid w:val="001E46E6"/>
    <w:rsid w:val="001E4DF6"/>
    <w:rsid w:val="001E6FF1"/>
    <w:rsid w:val="001F07C8"/>
    <w:rsid w:val="001F0938"/>
    <w:rsid w:val="001F2BCD"/>
    <w:rsid w:val="001F2D18"/>
    <w:rsid w:val="001F3183"/>
    <w:rsid w:val="001F5BF9"/>
    <w:rsid w:val="001F6514"/>
    <w:rsid w:val="001F6D2A"/>
    <w:rsid w:val="001F70C3"/>
    <w:rsid w:val="00201FA1"/>
    <w:rsid w:val="002029A7"/>
    <w:rsid w:val="00203B10"/>
    <w:rsid w:val="00205DF0"/>
    <w:rsid w:val="0020657B"/>
    <w:rsid w:val="0021044C"/>
    <w:rsid w:val="002104E4"/>
    <w:rsid w:val="00212330"/>
    <w:rsid w:val="00214F33"/>
    <w:rsid w:val="00217574"/>
    <w:rsid w:val="00220D9E"/>
    <w:rsid w:val="00222831"/>
    <w:rsid w:val="0022424D"/>
    <w:rsid w:val="00226134"/>
    <w:rsid w:val="00231F2B"/>
    <w:rsid w:val="002368D1"/>
    <w:rsid w:val="002376EF"/>
    <w:rsid w:val="00240618"/>
    <w:rsid w:val="002423B9"/>
    <w:rsid w:val="002429B5"/>
    <w:rsid w:val="002430B8"/>
    <w:rsid w:val="00243605"/>
    <w:rsid w:val="00244FAF"/>
    <w:rsid w:val="00245C32"/>
    <w:rsid w:val="0024617F"/>
    <w:rsid w:val="002462C0"/>
    <w:rsid w:val="00247654"/>
    <w:rsid w:val="0024798A"/>
    <w:rsid w:val="002503AD"/>
    <w:rsid w:val="0025260E"/>
    <w:rsid w:val="00253733"/>
    <w:rsid w:val="00254835"/>
    <w:rsid w:val="00254BC3"/>
    <w:rsid w:val="00255801"/>
    <w:rsid w:val="002560B6"/>
    <w:rsid w:val="002570DF"/>
    <w:rsid w:val="00257BDC"/>
    <w:rsid w:val="00260720"/>
    <w:rsid w:val="00262B95"/>
    <w:rsid w:val="002635C6"/>
    <w:rsid w:val="0026556F"/>
    <w:rsid w:val="00270F6D"/>
    <w:rsid w:val="00274428"/>
    <w:rsid w:val="00277616"/>
    <w:rsid w:val="00281835"/>
    <w:rsid w:val="002828CB"/>
    <w:rsid w:val="0028294D"/>
    <w:rsid w:val="00282E3E"/>
    <w:rsid w:val="00283CE8"/>
    <w:rsid w:val="00284B4B"/>
    <w:rsid w:val="0028786F"/>
    <w:rsid w:val="00287A02"/>
    <w:rsid w:val="00292D77"/>
    <w:rsid w:val="00293075"/>
    <w:rsid w:val="0029475A"/>
    <w:rsid w:val="0029486E"/>
    <w:rsid w:val="00296086"/>
    <w:rsid w:val="002A09B9"/>
    <w:rsid w:val="002A1D68"/>
    <w:rsid w:val="002A61D2"/>
    <w:rsid w:val="002B09A2"/>
    <w:rsid w:val="002B33D8"/>
    <w:rsid w:val="002B3473"/>
    <w:rsid w:val="002B3D14"/>
    <w:rsid w:val="002B43B1"/>
    <w:rsid w:val="002B7436"/>
    <w:rsid w:val="002C26F7"/>
    <w:rsid w:val="002C334C"/>
    <w:rsid w:val="002C3CF2"/>
    <w:rsid w:val="002C68BF"/>
    <w:rsid w:val="002C7BFE"/>
    <w:rsid w:val="002D0B8E"/>
    <w:rsid w:val="002D0C23"/>
    <w:rsid w:val="002D0D42"/>
    <w:rsid w:val="002D313E"/>
    <w:rsid w:val="002D4D45"/>
    <w:rsid w:val="002D51B2"/>
    <w:rsid w:val="002D5895"/>
    <w:rsid w:val="002D59BF"/>
    <w:rsid w:val="002D5C1E"/>
    <w:rsid w:val="002D78DC"/>
    <w:rsid w:val="002E170F"/>
    <w:rsid w:val="002E2F70"/>
    <w:rsid w:val="002E5D41"/>
    <w:rsid w:val="002E679C"/>
    <w:rsid w:val="002E7253"/>
    <w:rsid w:val="002E7C9B"/>
    <w:rsid w:val="002F4646"/>
    <w:rsid w:val="002F57F3"/>
    <w:rsid w:val="002F5CF5"/>
    <w:rsid w:val="002F5E5E"/>
    <w:rsid w:val="0030230D"/>
    <w:rsid w:val="003027E9"/>
    <w:rsid w:val="0030430E"/>
    <w:rsid w:val="00306E4C"/>
    <w:rsid w:val="0030728E"/>
    <w:rsid w:val="003115D6"/>
    <w:rsid w:val="0031296F"/>
    <w:rsid w:val="00312B91"/>
    <w:rsid w:val="00314112"/>
    <w:rsid w:val="00314135"/>
    <w:rsid w:val="00314D36"/>
    <w:rsid w:val="0031640C"/>
    <w:rsid w:val="003168BA"/>
    <w:rsid w:val="00317D4B"/>
    <w:rsid w:val="003259F7"/>
    <w:rsid w:val="00330C80"/>
    <w:rsid w:val="00332978"/>
    <w:rsid w:val="0033471B"/>
    <w:rsid w:val="00337CB2"/>
    <w:rsid w:val="003406FD"/>
    <w:rsid w:val="0034156C"/>
    <w:rsid w:val="00343BE6"/>
    <w:rsid w:val="00344BBC"/>
    <w:rsid w:val="00344D25"/>
    <w:rsid w:val="00347AD4"/>
    <w:rsid w:val="00351207"/>
    <w:rsid w:val="00351D94"/>
    <w:rsid w:val="00352379"/>
    <w:rsid w:val="003525B8"/>
    <w:rsid w:val="00355213"/>
    <w:rsid w:val="00361512"/>
    <w:rsid w:val="003617C0"/>
    <w:rsid w:val="00363360"/>
    <w:rsid w:val="003640F4"/>
    <w:rsid w:val="0036498F"/>
    <w:rsid w:val="003670A3"/>
    <w:rsid w:val="00367996"/>
    <w:rsid w:val="00375057"/>
    <w:rsid w:val="003756F7"/>
    <w:rsid w:val="003773F2"/>
    <w:rsid w:val="00381505"/>
    <w:rsid w:val="0038158F"/>
    <w:rsid w:val="00383495"/>
    <w:rsid w:val="00384FD0"/>
    <w:rsid w:val="00385F68"/>
    <w:rsid w:val="00385FC7"/>
    <w:rsid w:val="0038610D"/>
    <w:rsid w:val="0038662A"/>
    <w:rsid w:val="003917B0"/>
    <w:rsid w:val="00392E34"/>
    <w:rsid w:val="00392E4F"/>
    <w:rsid w:val="00392E51"/>
    <w:rsid w:val="00392EDE"/>
    <w:rsid w:val="00393865"/>
    <w:rsid w:val="003945A3"/>
    <w:rsid w:val="00396E5E"/>
    <w:rsid w:val="003973FE"/>
    <w:rsid w:val="003A015E"/>
    <w:rsid w:val="003A133F"/>
    <w:rsid w:val="003A20B4"/>
    <w:rsid w:val="003A2222"/>
    <w:rsid w:val="003A3002"/>
    <w:rsid w:val="003A6A48"/>
    <w:rsid w:val="003A6D55"/>
    <w:rsid w:val="003A797B"/>
    <w:rsid w:val="003A7F14"/>
    <w:rsid w:val="003B4364"/>
    <w:rsid w:val="003B4FB4"/>
    <w:rsid w:val="003B79FF"/>
    <w:rsid w:val="003B7BD3"/>
    <w:rsid w:val="003C1071"/>
    <w:rsid w:val="003C2F17"/>
    <w:rsid w:val="003C4587"/>
    <w:rsid w:val="003C65C7"/>
    <w:rsid w:val="003D2689"/>
    <w:rsid w:val="003D3C70"/>
    <w:rsid w:val="003D5FDD"/>
    <w:rsid w:val="003D6083"/>
    <w:rsid w:val="003D61D5"/>
    <w:rsid w:val="003E1AAD"/>
    <w:rsid w:val="003E277A"/>
    <w:rsid w:val="003E416F"/>
    <w:rsid w:val="003E41EC"/>
    <w:rsid w:val="003E6048"/>
    <w:rsid w:val="003E6E5F"/>
    <w:rsid w:val="003E713B"/>
    <w:rsid w:val="003E71E3"/>
    <w:rsid w:val="003E7ABB"/>
    <w:rsid w:val="003E7E32"/>
    <w:rsid w:val="003F081B"/>
    <w:rsid w:val="003F5761"/>
    <w:rsid w:val="003F5CB7"/>
    <w:rsid w:val="003F6FC8"/>
    <w:rsid w:val="003F7F41"/>
    <w:rsid w:val="00400530"/>
    <w:rsid w:val="00400894"/>
    <w:rsid w:val="00400B59"/>
    <w:rsid w:val="004033B4"/>
    <w:rsid w:val="00407795"/>
    <w:rsid w:val="004101C5"/>
    <w:rsid w:val="00412424"/>
    <w:rsid w:val="004124DE"/>
    <w:rsid w:val="0041427E"/>
    <w:rsid w:val="004146BA"/>
    <w:rsid w:val="0041512D"/>
    <w:rsid w:val="00416275"/>
    <w:rsid w:val="0041627B"/>
    <w:rsid w:val="004171D7"/>
    <w:rsid w:val="0041780F"/>
    <w:rsid w:val="004212FC"/>
    <w:rsid w:val="00423E56"/>
    <w:rsid w:val="0042475A"/>
    <w:rsid w:val="00427F42"/>
    <w:rsid w:val="00431022"/>
    <w:rsid w:val="0043309D"/>
    <w:rsid w:val="00433421"/>
    <w:rsid w:val="00433C70"/>
    <w:rsid w:val="00434583"/>
    <w:rsid w:val="00435AD2"/>
    <w:rsid w:val="0043602B"/>
    <w:rsid w:val="00440E64"/>
    <w:rsid w:val="004447D9"/>
    <w:rsid w:val="00444CA5"/>
    <w:rsid w:val="00445A94"/>
    <w:rsid w:val="00446A45"/>
    <w:rsid w:val="00446FDF"/>
    <w:rsid w:val="0045010A"/>
    <w:rsid w:val="004508F7"/>
    <w:rsid w:val="00450BDE"/>
    <w:rsid w:val="00451957"/>
    <w:rsid w:val="0045372D"/>
    <w:rsid w:val="00453AF9"/>
    <w:rsid w:val="00453E52"/>
    <w:rsid w:val="0045485C"/>
    <w:rsid w:val="00455C88"/>
    <w:rsid w:val="00457255"/>
    <w:rsid w:val="004601C8"/>
    <w:rsid w:val="0046138F"/>
    <w:rsid w:val="0046194A"/>
    <w:rsid w:val="00461B05"/>
    <w:rsid w:val="00464D4F"/>
    <w:rsid w:val="004665EC"/>
    <w:rsid w:val="004669CD"/>
    <w:rsid w:val="00466E1F"/>
    <w:rsid w:val="004710CD"/>
    <w:rsid w:val="0047241C"/>
    <w:rsid w:val="00473906"/>
    <w:rsid w:val="004755FE"/>
    <w:rsid w:val="00475790"/>
    <w:rsid w:val="00480854"/>
    <w:rsid w:val="0048089E"/>
    <w:rsid w:val="004828EC"/>
    <w:rsid w:val="00483DB4"/>
    <w:rsid w:val="00485BE5"/>
    <w:rsid w:val="00487D7C"/>
    <w:rsid w:val="00490550"/>
    <w:rsid w:val="004939C7"/>
    <w:rsid w:val="00494B56"/>
    <w:rsid w:val="0049737B"/>
    <w:rsid w:val="00497E47"/>
    <w:rsid w:val="004A2367"/>
    <w:rsid w:val="004A6873"/>
    <w:rsid w:val="004A78D5"/>
    <w:rsid w:val="004B05F5"/>
    <w:rsid w:val="004B4BCF"/>
    <w:rsid w:val="004B62E5"/>
    <w:rsid w:val="004C05F6"/>
    <w:rsid w:val="004C1341"/>
    <w:rsid w:val="004C2E9C"/>
    <w:rsid w:val="004C4BD7"/>
    <w:rsid w:val="004C5EFD"/>
    <w:rsid w:val="004D2A93"/>
    <w:rsid w:val="004D6229"/>
    <w:rsid w:val="004E07C5"/>
    <w:rsid w:val="004E183C"/>
    <w:rsid w:val="004E22A9"/>
    <w:rsid w:val="004E377C"/>
    <w:rsid w:val="004E3E0C"/>
    <w:rsid w:val="004E4C5F"/>
    <w:rsid w:val="004E6499"/>
    <w:rsid w:val="004E7620"/>
    <w:rsid w:val="004F09D0"/>
    <w:rsid w:val="004F4699"/>
    <w:rsid w:val="004F4B15"/>
    <w:rsid w:val="004F5401"/>
    <w:rsid w:val="004F582B"/>
    <w:rsid w:val="00500F67"/>
    <w:rsid w:val="00501CD5"/>
    <w:rsid w:val="0050572C"/>
    <w:rsid w:val="00515387"/>
    <w:rsid w:val="0051587E"/>
    <w:rsid w:val="00517498"/>
    <w:rsid w:val="0052082A"/>
    <w:rsid w:val="00521CA7"/>
    <w:rsid w:val="00521EF4"/>
    <w:rsid w:val="005245CA"/>
    <w:rsid w:val="005260D8"/>
    <w:rsid w:val="005260E1"/>
    <w:rsid w:val="00527553"/>
    <w:rsid w:val="00530AA1"/>
    <w:rsid w:val="00537669"/>
    <w:rsid w:val="00537A16"/>
    <w:rsid w:val="005401BA"/>
    <w:rsid w:val="0054085D"/>
    <w:rsid w:val="00540DB7"/>
    <w:rsid w:val="00542221"/>
    <w:rsid w:val="005425A6"/>
    <w:rsid w:val="00543681"/>
    <w:rsid w:val="0054632C"/>
    <w:rsid w:val="00546DE5"/>
    <w:rsid w:val="0055096C"/>
    <w:rsid w:val="00550DA8"/>
    <w:rsid w:val="00551302"/>
    <w:rsid w:val="005524A0"/>
    <w:rsid w:val="00553F08"/>
    <w:rsid w:val="00554BC8"/>
    <w:rsid w:val="00556636"/>
    <w:rsid w:val="0055695A"/>
    <w:rsid w:val="00556F9A"/>
    <w:rsid w:val="00560915"/>
    <w:rsid w:val="00560B27"/>
    <w:rsid w:val="005621FC"/>
    <w:rsid w:val="005637A8"/>
    <w:rsid w:val="005718AE"/>
    <w:rsid w:val="00573427"/>
    <w:rsid w:val="005765A3"/>
    <w:rsid w:val="00576F81"/>
    <w:rsid w:val="00580140"/>
    <w:rsid w:val="00581D32"/>
    <w:rsid w:val="005837D6"/>
    <w:rsid w:val="00584D07"/>
    <w:rsid w:val="00585AAC"/>
    <w:rsid w:val="00586BBF"/>
    <w:rsid w:val="005877EB"/>
    <w:rsid w:val="00587EDB"/>
    <w:rsid w:val="005904CF"/>
    <w:rsid w:val="00590860"/>
    <w:rsid w:val="005908F7"/>
    <w:rsid w:val="0059182F"/>
    <w:rsid w:val="0059278D"/>
    <w:rsid w:val="00592C6C"/>
    <w:rsid w:val="0059365A"/>
    <w:rsid w:val="00595F50"/>
    <w:rsid w:val="00596C20"/>
    <w:rsid w:val="005A07A9"/>
    <w:rsid w:val="005A140A"/>
    <w:rsid w:val="005A2E0F"/>
    <w:rsid w:val="005A63B0"/>
    <w:rsid w:val="005A6583"/>
    <w:rsid w:val="005B146E"/>
    <w:rsid w:val="005B1852"/>
    <w:rsid w:val="005B3FB4"/>
    <w:rsid w:val="005B7006"/>
    <w:rsid w:val="005B7FCD"/>
    <w:rsid w:val="005C0F6D"/>
    <w:rsid w:val="005C4F9D"/>
    <w:rsid w:val="005C56A1"/>
    <w:rsid w:val="005E00C5"/>
    <w:rsid w:val="005E1F5D"/>
    <w:rsid w:val="005E212E"/>
    <w:rsid w:val="005E2CF2"/>
    <w:rsid w:val="005E42E8"/>
    <w:rsid w:val="005E61EB"/>
    <w:rsid w:val="005E701F"/>
    <w:rsid w:val="005E7B6A"/>
    <w:rsid w:val="005F1469"/>
    <w:rsid w:val="005F151B"/>
    <w:rsid w:val="005F1571"/>
    <w:rsid w:val="005F3219"/>
    <w:rsid w:val="005F33AD"/>
    <w:rsid w:val="005F364C"/>
    <w:rsid w:val="005F4B8F"/>
    <w:rsid w:val="005F7153"/>
    <w:rsid w:val="005F744B"/>
    <w:rsid w:val="00600A77"/>
    <w:rsid w:val="00602B86"/>
    <w:rsid w:val="0060638D"/>
    <w:rsid w:val="00606486"/>
    <w:rsid w:val="006064A0"/>
    <w:rsid w:val="006066F3"/>
    <w:rsid w:val="006106EB"/>
    <w:rsid w:val="00610CB7"/>
    <w:rsid w:val="0061133A"/>
    <w:rsid w:val="00611EE9"/>
    <w:rsid w:val="00611F89"/>
    <w:rsid w:val="00625149"/>
    <w:rsid w:val="00626064"/>
    <w:rsid w:val="006265CB"/>
    <w:rsid w:val="0062744C"/>
    <w:rsid w:val="0063092E"/>
    <w:rsid w:val="00631444"/>
    <w:rsid w:val="00631CEE"/>
    <w:rsid w:val="006331E8"/>
    <w:rsid w:val="006342F2"/>
    <w:rsid w:val="006345EE"/>
    <w:rsid w:val="006346B7"/>
    <w:rsid w:val="006358B4"/>
    <w:rsid w:val="00635FE4"/>
    <w:rsid w:val="0064032D"/>
    <w:rsid w:val="00640BE7"/>
    <w:rsid w:val="00645C88"/>
    <w:rsid w:val="00646390"/>
    <w:rsid w:val="00647213"/>
    <w:rsid w:val="00647934"/>
    <w:rsid w:val="00654B84"/>
    <w:rsid w:val="006569E6"/>
    <w:rsid w:val="0065769D"/>
    <w:rsid w:val="00657FBE"/>
    <w:rsid w:val="00660501"/>
    <w:rsid w:val="0066584D"/>
    <w:rsid w:val="0066727D"/>
    <w:rsid w:val="006706C2"/>
    <w:rsid w:val="00671B3C"/>
    <w:rsid w:val="00672D2C"/>
    <w:rsid w:val="00675FCC"/>
    <w:rsid w:val="00676323"/>
    <w:rsid w:val="00676A2D"/>
    <w:rsid w:val="006777A1"/>
    <w:rsid w:val="00681898"/>
    <w:rsid w:val="00682717"/>
    <w:rsid w:val="00682C7F"/>
    <w:rsid w:val="006866B1"/>
    <w:rsid w:val="00687775"/>
    <w:rsid w:val="00687C14"/>
    <w:rsid w:val="006951A3"/>
    <w:rsid w:val="00695E34"/>
    <w:rsid w:val="00696917"/>
    <w:rsid w:val="00696FA9"/>
    <w:rsid w:val="006A18BF"/>
    <w:rsid w:val="006A1DF2"/>
    <w:rsid w:val="006A2BFB"/>
    <w:rsid w:val="006A5B91"/>
    <w:rsid w:val="006A652F"/>
    <w:rsid w:val="006B1975"/>
    <w:rsid w:val="006B2DB4"/>
    <w:rsid w:val="006B3632"/>
    <w:rsid w:val="006B399C"/>
    <w:rsid w:val="006B3DAF"/>
    <w:rsid w:val="006B3E5E"/>
    <w:rsid w:val="006B7441"/>
    <w:rsid w:val="006C12E3"/>
    <w:rsid w:val="006C1561"/>
    <w:rsid w:val="006C190F"/>
    <w:rsid w:val="006C2336"/>
    <w:rsid w:val="006C3FF0"/>
    <w:rsid w:val="006C53D0"/>
    <w:rsid w:val="006C627D"/>
    <w:rsid w:val="006D3728"/>
    <w:rsid w:val="006D426D"/>
    <w:rsid w:val="006D58DB"/>
    <w:rsid w:val="006D750B"/>
    <w:rsid w:val="006D7FA6"/>
    <w:rsid w:val="006E1917"/>
    <w:rsid w:val="006E3507"/>
    <w:rsid w:val="006E5706"/>
    <w:rsid w:val="006E6FBE"/>
    <w:rsid w:val="006F0BA5"/>
    <w:rsid w:val="006F463D"/>
    <w:rsid w:val="00700379"/>
    <w:rsid w:val="007031FE"/>
    <w:rsid w:val="00706D98"/>
    <w:rsid w:val="007078D7"/>
    <w:rsid w:val="00707940"/>
    <w:rsid w:val="0071323B"/>
    <w:rsid w:val="00713338"/>
    <w:rsid w:val="00715967"/>
    <w:rsid w:val="00716589"/>
    <w:rsid w:val="007223F2"/>
    <w:rsid w:val="00724404"/>
    <w:rsid w:val="00724A1F"/>
    <w:rsid w:val="00724FF4"/>
    <w:rsid w:val="00725A73"/>
    <w:rsid w:val="00726A30"/>
    <w:rsid w:val="0072746F"/>
    <w:rsid w:val="00730CE5"/>
    <w:rsid w:val="007318DD"/>
    <w:rsid w:val="00731FF8"/>
    <w:rsid w:val="00735830"/>
    <w:rsid w:val="00737C66"/>
    <w:rsid w:val="00737E83"/>
    <w:rsid w:val="00737EC0"/>
    <w:rsid w:val="00740E37"/>
    <w:rsid w:val="00741B8A"/>
    <w:rsid w:val="007428FD"/>
    <w:rsid w:val="00742D06"/>
    <w:rsid w:val="00745626"/>
    <w:rsid w:val="00745EBE"/>
    <w:rsid w:val="00747426"/>
    <w:rsid w:val="00751EE7"/>
    <w:rsid w:val="00752054"/>
    <w:rsid w:val="007525BB"/>
    <w:rsid w:val="00754C68"/>
    <w:rsid w:val="00757F1A"/>
    <w:rsid w:val="00757F8C"/>
    <w:rsid w:val="007607B0"/>
    <w:rsid w:val="00760CDB"/>
    <w:rsid w:val="00761EF2"/>
    <w:rsid w:val="00763717"/>
    <w:rsid w:val="00766DB6"/>
    <w:rsid w:val="007671BC"/>
    <w:rsid w:val="00771C8F"/>
    <w:rsid w:val="00775AB1"/>
    <w:rsid w:val="007776C4"/>
    <w:rsid w:val="00777AA9"/>
    <w:rsid w:val="007801E0"/>
    <w:rsid w:val="00780D75"/>
    <w:rsid w:val="00780F91"/>
    <w:rsid w:val="007811F7"/>
    <w:rsid w:val="00782423"/>
    <w:rsid w:val="0078520C"/>
    <w:rsid w:val="00787200"/>
    <w:rsid w:val="0079208A"/>
    <w:rsid w:val="00793027"/>
    <w:rsid w:val="007951AF"/>
    <w:rsid w:val="00795C9A"/>
    <w:rsid w:val="007962DF"/>
    <w:rsid w:val="00796DF7"/>
    <w:rsid w:val="007A1205"/>
    <w:rsid w:val="007A2309"/>
    <w:rsid w:val="007A323C"/>
    <w:rsid w:val="007A6535"/>
    <w:rsid w:val="007B010F"/>
    <w:rsid w:val="007B1FB1"/>
    <w:rsid w:val="007B2C29"/>
    <w:rsid w:val="007B3652"/>
    <w:rsid w:val="007B3D07"/>
    <w:rsid w:val="007B6245"/>
    <w:rsid w:val="007B793C"/>
    <w:rsid w:val="007C6EA1"/>
    <w:rsid w:val="007C769C"/>
    <w:rsid w:val="007D1A7A"/>
    <w:rsid w:val="007D4408"/>
    <w:rsid w:val="007D5447"/>
    <w:rsid w:val="007E3004"/>
    <w:rsid w:val="007E3A0B"/>
    <w:rsid w:val="007E54FE"/>
    <w:rsid w:val="007E58CE"/>
    <w:rsid w:val="007E61D7"/>
    <w:rsid w:val="007E7537"/>
    <w:rsid w:val="007F1292"/>
    <w:rsid w:val="007F1A18"/>
    <w:rsid w:val="007F3BDA"/>
    <w:rsid w:val="007F5270"/>
    <w:rsid w:val="007F6FF6"/>
    <w:rsid w:val="008009D7"/>
    <w:rsid w:val="00801147"/>
    <w:rsid w:val="00801D39"/>
    <w:rsid w:val="00803F9D"/>
    <w:rsid w:val="00805484"/>
    <w:rsid w:val="00810314"/>
    <w:rsid w:val="008105E6"/>
    <w:rsid w:val="00811154"/>
    <w:rsid w:val="0081251E"/>
    <w:rsid w:val="008127CE"/>
    <w:rsid w:val="0081310C"/>
    <w:rsid w:val="0081323E"/>
    <w:rsid w:val="00814872"/>
    <w:rsid w:val="00817CAB"/>
    <w:rsid w:val="0082084A"/>
    <w:rsid w:val="00821D89"/>
    <w:rsid w:val="00822C56"/>
    <w:rsid w:val="0082432D"/>
    <w:rsid w:val="008254FA"/>
    <w:rsid w:val="00825B4C"/>
    <w:rsid w:val="00825CE6"/>
    <w:rsid w:val="00825E97"/>
    <w:rsid w:val="00827136"/>
    <w:rsid w:val="00827F4D"/>
    <w:rsid w:val="008305ED"/>
    <w:rsid w:val="00831BF5"/>
    <w:rsid w:val="00833B93"/>
    <w:rsid w:val="00835781"/>
    <w:rsid w:val="008360E1"/>
    <w:rsid w:val="008366F3"/>
    <w:rsid w:val="00842EEB"/>
    <w:rsid w:val="0084576F"/>
    <w:rsid w:val="00846DC6"/>
    <w:rsid w:val="00847E7F"/>
    <w:rsid w:val="00854129"/>
    <w:rsid w:val="0085522C"/>
    <w:rsid w:val="00860BAE"/>
    <w:rsid w:val="008613FE"/>
    <w:rsid w:val="00863CB6"/>
    <w:rsid w:val="008641BF"/>
    <w:rsid w:val="008669FB"/>
    <w:rsid w:val="00873634"/>
    <w:rsid w:val="008740E2"/>
    <w:rsid w:val="00874A0F"/>
    <w:rsid w:val="00877D39"/>
    <w:rsid w:val="00877FEB"/>
    <w:rsid w:val="008809A9"/>
    <w:rsid w:val="008831F5"/>
    <w:rsid w:val="0088499C"/>
    <w:rsid w:val="008852F2"/>
    <w:rsid w:val="00886D11"/>
    <w:rsid w:val="00891309"/>
    <w:rsid w:val="008918B6"/>
    <w:rsid w:val="00892BAC"/>
    <w:rsid w:val="00895559"/>
    <w:rsid w:val="008A0D75"/>
    <w:rsid w:val="008A250D"/>
    <w:rsid w:val="008A3A46"/>
    <w:rsid w:val="008A4446"/>
    <w:rsid w:val="008A5DB1"/>
    <w:rsid w:val="008B0211"/>
    <w:rsid w:val="008B10A6"/>
    <w:rsid w:val="008B114B"/>
    <w:rsid w:val="008B2D8C"/>
    <w:rsid w:val="008B34C7"/>
    <w:rsid w:val="008B365C"/>
    <w:rsid w:val="008B373C"/>
    <w:rsid w:val="008B3F93"/>
    <w:rsid w:val="008B49DB"/>
    <w:rsid w:val="008B6DB2"/>
    <w:rsid w:val="008B770C"/>
    <w:rsid w:val="008B7F2D"/>
    <w:rsid w:val="008C2C78"/>
    <w:rsid w:val="008C3E81"/>
    <w:rsid w:val="008C60B0"/>
    <w:rsid w:val="008C781C"/>
    <w:rsid w:val="008D1546"/>
    <w:rsid w:val="008D5BFC"/>
    <w:rsid w:val="008D65C6"/>
    <w:rsid w:val="008D6A90"/>
    <w:rsid w:val="008E0890"/>
    <w:rsid w:val="008E0CE7"/>
    <w:rsid w:val="008E10B7"/>
    <w:rsid w:val="008E1D2B"/>
    <w:rsid w:val="008E4562"/>
    <w:rsid w:val="008E61F8"/>
    <w:rsid w:val="008E6B81"/>
    <w:rsid w:val="008E7D6A"/>
    <w:rsid w:val="008F2AD7"/>
    <w:rsid w:val="008F4423"/>
    <w:rsid w:val="008F46DE"/>
    <w:rsid w:val="008F5359"/>
    <w:rsid w:val="008F5C84"/>
    <w:rsid w:val="009009C8"/>
    <w:rsid w:val="00904378"/>
    <w:rsid w:val="00907062"/>
    <w:rsid w:val="00907A62"/>
    <w:rsid w:val="00907F86"/>
    <w:rsid w:val="009101D6"/>
    <w:rsid w:val="0091254A"/>
    <w:rsid w:val="00912E71"/>
    <w:rsid w:val="009137C4"/>
    <w:rsid w:val="0091414F"/>
    <w:rsid w:val="009158D5"/>
    <w:rsid w:val="00917968"/>
    <w:rsid w:val="009214BD"/>
    <w:rsid w:val="00925464"/>
    <w:rsid w:val="0092662F"/>
    <w:rsid w:val="0092736A"/>
    <w:rsid w:val="009275F3"/>
    <w:rsid w:val="00931502"/>
    <w:rsid w:val="0093359B"/>
    <w:rsid w:val="00935296"/>
    <w:rsid w:val="009368F6"/>
    <w:rsid w:val="00936A04"/>
    <w:rsid w:val="00937294"/>
    <w:rsid w:val="0094345D"/>
    <w:rsid w:val="00944210"/>
    <w:rsid w:val="00944A17"/>
    <w:rsid w:val="009505A0"/>
    <w:rsid w:val="00950918"/>
    <w:rsid w:val="009511B0"/>
    <w:rsid w:val="00955C07"/>
    <w:rsid w:val="009565FB"/>
    <w:rsid w:val="00956F11"/>
    <w:rsid w:val="009610FF"/>
    <w:rsid w:val="00963BDA"/>
    <w:rsid w:val="00965AFF"/>
    <w:rsid w:val="0096708B"/>
    <w:rsid w:val="00967F85"/>
    <w:rsid w:val="009715D7"/>
    <w:rsid w:val="0097513F"/>
    <w:rsid w:val="009751F8"/>
    <w:rsid w:val="00976B15"/>
    <w:rsid w:val="0098092E"/>
    <w:rsid w:val="0098182B"/>
    <w:rsid w:val="00981C94"/>
    <w:rsid w:val="009824A2"/>
    <w:rsid w:val="00982614"/>
    <w:rsid w:val="00982A99"/>
    <w:rsid w:val="00982DB4"/>
    <w:rsid w:val="00983876"/>
    <w:rsid w:val="0098422F"/>
    <w:rsid w:val="00984FB6"/>
    <w:rsid w:val="00985EDF"/>
    <w:rsid w:val="00986B40"/>
    <w:rsid w:val="0098734C"/>
    <w:rsid w:val="009875BA"/>
    <w:rsid w:val="00991087"/>
    <w:rsid w:val="00991973"/>
    <w:rsid w:val="00996292"/>
    <w:rsid w:val="00996F10"/>
    <w:rsid w:val="009A19CC"/>
    <w:rsid w:val="009A1CB4"/>
    <w:rsid w:val="009A6C84"/>
    <w:rsid w:val="009B2667"/>
    <w:rsid w:val="009B2F68"/>
    <w:rsid w:val="009B3382"/>
    <w:rsid w:val="009B6281"/>
    <w:rsid w:val="009B68D4"/>
    <w:rsid w:val="009B69E8"/>
    <w:rsid w:val="009B79D0"/>
    <w:rsid w:val="009C1D3E"/>
    <w:rsid w:val="009C2F2B"/>
    <w:rsid w:val="009D0447"/>
    <w:rsid w:val="009D05EA"/>
    <w:rsid w:val="009D1B0C"/>
    <w:rsid w:val="009E397B"/>
    <w:rsid w:val="009E3EDE"/>
    <w:rsid w:val="009E405F"/>
    <w:rsid w:val="009E5772"/>
    <w:rsid w:val="009E57CB"/>
    <w:rsid w:val="009E677F"/>
    <w:rsid w:val="009E7865"/>
    <w:rsid w:val="009F0D26"/>
    <w:rsid w:val="009F0F71"/>
    <w:rsid w:val="009F4346"/>
    <w:rsid w:val="009F448B"/>
    <w:rsid w:val="009F59E8"/>
    <w:rsid w:val="009F699F"/>
    <w:rsid w:val="009F6E8F"/>
    <w:rsid w:val="00A03C45"/>
    <w:rsid w:val="00A06F16"/>
    <w:rsid w:val="00A06F1B"/>
    <w:rsid w:val="00A10A69"/>
    <w:rsid w:val="00A114CB"/>
    <w:rsid w:val="00A12937"/>
    <w:rsid w:val="00A136CE"/>
    <w:rsid w:val="00A1412C"/>
    <w:rsid w:val="00A16E62"/>
    <w:rsid w:val="00A17027"/>
    <w:rsid w:val="00A20021"/>
    <w:rsid w:val="00A208A2"/>
    <w:rsid w:val="00A20C7F"/>
    <w:rsid w:val="00A23B4D"/>
    <w:rsid w:val="00A23DEA"/>
    <w:rsid w:val="00A251A9"/>
    <w:rsid w:val="00A2666B"/>
    <w:rsid w:val="00A26699"/>
    <w:rsid w:val="00A271E2"/>
    <w:rsid w:val="00A27EE7"/>
    <w:rsid w:val="00A306B5"/>
    <w:rsid w:val="00A3331E"/>
    <w:rsid w:val="00A3708F"/>
    <w:rsid w:val="00A402CA"/>
    <w:rsid w:val="00A426E8"/>
    <w:rsid w:val="00A44997"/>
    <w:rsid w:val="00A44F59"/>
    <w:rsid w:val="00A514D2"/>
    <w:rsid w:val="00A54F83"/>
    <w:rsid w:val="00A56832"/>
    <w:rsid w:val="00A56A56"/>
    <w:rsid w:val="00A61981"/>
    <w:rsid w:val="00A62923"/>
    <w:rsid w:val="00A66604"/>
    <w:rsid w:val="00A66B26"/>
    <w:rsid w:val="00A70AE9"/>
    <w:rsid w:val="00A71444"/>
    <w:rsid w:val="00A71E1B"/>
    <w:rsid w:val="00A72469"/>
    <w:rsid w:val="00A72ADF"/>
    <w:rsid w:val="00A73328"/>
    <w:rsid w:val="00A77359"/>
    <w:rsid w:val="00A77714"/>
    <w:rsid w:val="00A77CE5"/>
    <w:rsid w:val="00A80366"/>
    <w:rsid w:val="00A864F5"/>
    <w:rsid w:val="00A8705A"/>
    <w:rsid w:val="00A87A9B"/>
    <w:rsid w:val="00A92985"/>
    <w:rsid w:val="00A92B96"/>
    <w:rsid w:val="00A95288"/>
    <w:rsid w:val="00A954D9"/>
    <w:rsid w:val="00A95ABF"/>
    <w:rsid w:val="00A96A4F"/>
    <w:rsid w:val="00AA01EF"/>
    <w:rsid w:val="00AA0907"/>
    <w:rsid w:val="00AA35E5"/>
    <w:rsid w:val="00AA5438"/>
    <w:rsid w:val="00AA724B"/>
    <w:rsid w:val="00AA7891"/>
    <w:rsid w:val="00AA7B04"/>
    <w:rsid w:val="00AB0273"/>
    <w:rsid w:val="00AB41C4"/>
    <w:rsid w:val="00AB6627"/>
    <w:rsid w:val="00AB682E"/>
    <w:rsid w:val="00AB791D"/>
    <w:rsid w:val="00AC521C"/>
    <w:rsid w:val="00AC6B4D"/>
    <w:rsid w:val="00AC7171"/>
    <w:rsid w:val="00AD0139"/>
    <w:rsid w:val="00AD017A"/>
    <w:rsid w:val="00AD20F2"/>
    <w:rsid w:val="00AD21D7"/>
    <w:rsid w:val="00AD500C"/>
    <w:rsid w:val="00AD53A1"/>
    <w:rsid w:val="00AE121B"/>
    <w:rsid w:val="00AE6536"/>
    <w:rsid w:val="00AE7202"/>
    <w:rsid w:val="00AE7B7F"/>
    <w:rsid w:val="00AF1BCA"/>
    <w:rsid w:val="00AF36B5"/>
    <w:rsid w:val="00AF58C9"/>
    <w:rsid w:val="00AF5D92"/>
    <w:rsid w:val="00AF6B89"/>
    <w:rsid w:val="00B04C78"/>
    <w:rsid w:val="00B1346D"/>
    <w:rsid w:val="00B13C20"/>
    <w:rsid w:val="00B13CFB"/>
    <w:rsid w:val="00B13D3E"/>
    <w:rsid w:val="00B14EA4"/>
    <w:rsid w:val="00B20FDB"/>
    <w:rsid w:val="00B21311"/>
    <w:rsid w:val="00B229AC"/>
    <w:rsid w:val="00B232D1"/>
    <w:rsid w:val="00B238B6"/>
    <w:rsid w:val="00B249F8"/>
    <w:rsid w:val="00B25684"/>
    <w:rsid w:val="00B30EAC"/>
    <w:rsid w:val="00B3526B"/>
    <w:rsid w:val="00B35E44"/>
    <w:rsid w:val="00B37348"/>
    <w:rsid w:val="00B3754A"/>
    <w:rsid w:val="00B377AB"/>
    <w:rsid w:val="00B42B51"/>
    <w:rsid w:val="00B4620C"/>
    <w:rsid w:val="00B47171"/>
    <w:rsid w:val="00B47D38"/>
    <w:rsid w:val="00B50F04"/>
    <w:rsid w:val="00B50F8D"/>
    <w:rsid w:val="00B515CC"/>
    <w:rsid w:val="00B54F0A"/>
    <w:rsid w:val="00B602F5"/>
    <w:rsid w:val="00B605B8"/>
    <w:rsid w:val="00B62C0B"/>
    <w:rsid w:val="00B64033"/>
    <w:rsid w:val="00B642DE"/>
    <w:rsid w:val="00B658C3"/>
    <w:rsid w:val="00B704FC"/>
    <w:rsid w:val="00B7166C"/>
    <w:rsid w:val="00B72F3F"/>
    <w:rsid w:val="00B73DFA"/>
    <w:rsid w:val="00B746D8"/>
    <w:rsid w:val="00B7487C"/>
    <w:rsid w:val="00B74DAD"/>
    <w:rsid w:val="00B77154"/>
    <w:rsid w:val="00B8064B"/>
    <w:rsid w:val="00B8231D"/>
    <w:rsid w:val="00B82EF8"/>
    <w:rsid w:val="00B836C3"/>
    <w:rsid w:val="00B84681"/>
    <w:rsid w:val="00B85C9C"/>
    <w:rsid w:val="00B85E76"/>
    <w:rsid w:val="00B863BD"/>
    <w:rsid w:val="00B90916"/>
    <w:rsid w:val="00B91426"/>
    <w:rsid w:val="00B92019"/>
    <w:rsid w:val="00B965A0"/>
    <w:rsid w:val="00B97C4B"/>
    <w:rsid w:val="00BA0364"/>
    <w:rsid w:val="00BA2853"/>
    <w:rsid w:val="00BA5073"/>
    <w:rsid w:val="00BA58D4"/>
    <w:rsid w:val="00BA5A76"/>
    <w:rsid w:val="00BA5BBD"/>
    <w:rsid w:val="00BA60D8"/>
    <w:rsid w:val="00BB3836"/>
    <w:rsid w:val="00BB4884"/>
    <w:rsid w:val="00BB52D6"/>
    <w:rsid w:val="00BB5E5D"/>
    <w:rsid w:val="00BB74D4"/>
    <w:rsid w:val="00BB7623"/>
    <w:rsid w:val="00BB7E3D"/>
    <w:rsid w:val="00BC19FA"/>
    <w:rsid w:val="00BC4603"/>
    <w:rsid w:val="00BC4AF3"/>
    <w:rsid w:val="00BC4CA2"/>
    <w:rsid w:val="00BC6AF0"/>
    <w:rsid w:val="00BC7DD8"/>
    <w:rsid w:val="00BD0C7E"/>
    <w:rsid w:val="00BD3549"/>
    <w:rsid w:val="00BD73E5"/>
    <w:rsid w:val="00BE17A5"/>
    <w:rsid w:val="00BE3CF6"/>
    <w:rsid w:val="00BE533A"/>
    <w:rsid w:val="00BE5435"/>
    <w:rsid w:val="00BE6DCD"/>
    <w:rsid w:val="00BE6DFE"/>
    <w:rsid w:val="00BE7507"/>
    <w:rsid w:val="00BF1A20"/>
    <w:rsid w:val="00BF4D7E"/>
    <w:rsid w:val="00BF57BA"/>
    <w:rsid w:val="00BF7342"/>
    <w:rsid w:val="00C00920"/>
    <w:rsid w:val="00C00E0D"/>
    <w:rsid w:val="00C01E41"/>
    <w:rsid w:val="00C0263B"/>
    <w:rsid w:val="00C06865"/>
    <w:rsid w:val="00C07454"/>
    <w:rsid w:val="00C10134"/>
    <w:rsid w:val="00C129C5"/>
    <w:rsid w:val="00C16E67"/>
    <w:rsid w:val="00C216BC"/>
    <w:rsid w:val="00C225C1"/>
    <w:rsid w:val="00C2459D"/>
    <w:rsid w:val="00C2477A"/>
    <w:rsid w:val="00C25114"/>
    <w:rsid w:val="00C255DB"/>
    <w:rsid w:val="00C25ED6"/>
    <w:rsid w:val="00C27246"/>
    <w:rsid w:val="00C30796"/>
    <w:rsid w:val="00C31A3F"/>
    <w:rsid w:val="00C31D9A"/>
    <w:rsid w:val="00C32384"/>
    <w:rsid w:val="00C3447C"/>
    <w:rsid w:val="00C3787C"/>
    <w:rsid w:val="00C400D2"/>
    <w:rsid w:val="00C408C0"/>
    <w:rsid w:val="00C424F4"/>
    <w:rsid w:val="00C45A71"/>
    <w:rsid w:val="00C47FDA"/>
    <w:rsid w:val="00C514C6"/>
    <w:rsid w:val="00C5279C"/>
    <w:rsid w:val="00C53B6B"/>
    <w:rsid w:val="00C53EFE"/>
    <w:rsid w:val="00C56629"/>
    <w:rsid w:val="00C60C5E"/>
    <w:rsid w:val="00C613D9"/>
    <w:rsid w:val="00C62CCA"/>
    <w:rsid w:val="00C62E5A"/>
    <w:rsid w:val="00C632E6"/>
    <w:rsid w:val="00C64ABB"/>
    <w:rsid w:val="00C653C0"/>
    <w:rsid w:val="00C66123"/>
    <w:rsid w:val="00C66366"/>
    <w:rsid w:val="00C669CE"/>
    <w:rsid w:val="00C70566"/>
    <w:rsid w:val="00C7075F"/>
    <w:rsid w:val="00C711AE"/>
    <w:rsid w:val="00C71748"/>
    <w:rsid w:val="00C734D8"/>
    <w:rsid w:val="00C811B0"/>
    <w:rsid w:val="00C814F6"/>
    <w:rsid w:val="00C815BE"/>
    <w:rsid w:val="00C830D1"/>
    <w:rsid w:val="00C83A0C"/>
    <w:rsid w:val="00C852EB"/>
    <w:rsid w:val="00C85618"/>
    <w:rsid w:val="00C858E7"/>
    <w:rsid w:val="00C86DD5"/>
    <w:rsid w:val="00C90818"/>
    <w:rsid w:val="00C911CA"/>
    <w:rsid w:val="00C9604E"/>
    <w:rsid w:val="00C96719"/>
    <w:rsid w:val="00C9686A"/>
    <w:rsid w:val="00C96B15"/>
    <w:rsid w:val="00C977DE"/>
    <w:rsid w:val="00CA0C9F"/>
    <w:rsid w:val="00CA1CBC"/>
    <w:rsid w:val="00CA26F3"/>
    <w:rsid w:val="00CA2C12"/>
    <w:rsid w:val="00CA4304"/>
    <w:rsid w:val="00CA47A1"/>
    <w:rsid w:val="00CB027C"/>
    <w:rsid w:val="00CB2BE0"/>
    <w:rsid w:val="00CB3E80"/>
    <w:rsid w:val="00CB4B6A"/>
    <w:rsid w:val="00CB5FBE"/>
    <w:rsid w:val="00CC0DCD"/>
    <w:rsid w:val="00CC2CA1"/>
    <w:rsid w:val="00CC4331"/>
    <w:rsid w:val="00CC4BEA"/>
    <w:rsid w:val="00CC53FE"/>
    <w:rsid w:val="00CC69F3"/>
    <w:rsid w:val="00CC70F9"/>
    <w:rsid w:val="00CC7742"/>
    <w:rsid w:val="00CD1EC1"/>
    <w:rsid w:val="00CD1F11"/>
    <w:rsid w:val="00CD387F"/>
    <w:rsid w:val="00CD39DE"/>
    <w:rsid w:val="00CD44E8"/>
    <w:rsid w:val="00CD660A"/>
    <w:rsid w:val="00CD6DB1"/>
    <w:rsid w:val="00CE11EF"/>
    <w:rsid w:val="00CE1C6C"/>
    <w:rsid w:val="00CE1D08"/>
    <w:rsid w:val="00CE3924"/>
    <w:rsid w:val="00CE42EC"/>
    <w:rsid w:val="00CE4688"/>
    <w:rsid w:val="00CE6737"/>
    <w:rsid w:val="00CE7B1F"/>
    <w:rsid w:val="00CF1260"/>
    <w:rsid w:val="00CF12AA"/>
    <w:rsid w:val="00CF131A"/>
    <w:rsid w:val="00CF5AC3"/>
    <w:rsid w:val="00CF7E38"/>
    <w:rsid w:val="00D005FD"/>
    <w:rsid w:val="00D01688"/>
    <w:rsid w:val="00D02938"/>
    <w:rsid w:val="00D03218"/>
    <w:rsid w:val="00D038FE"/>
    <w:rsid w:val="00D053E4"/>
    <w:rsid w:val="00D064DA"/>
    <w:rsid w:val="00D07152"/>
    <w:rsid w:val="00D07194"/>
    <w:rsid w:val="00D11FAE"/>
    <w:rsid w:val="00D12448"/>
    <w:rsid w:val="00D126C0"/>
    <w:rsid w:val="00D15389"/>
    <w:rsid w:val="00D16828"/>
    <w:rsid w:val="00D1710A"/>
    <w:rsid w:val="00D17D4C"/>
    <w:rsid w:val="00D17FBF"/>
    <w:rsid w:val="00D208FA"/>
    <w:rsid w:val="00D22A89"/>
    <w:rsid w:val="00D24BC9"/>
    <w:rsid w:val="00D26359"/>
    <w:rsid w:val="00D26CFE"/>
    <w:rsid w:val="00D27ABC"/>
    <w:rsid w:val="00D36A52"/>
    <w:rsid w:val="00D43AEA"/>
    <w:rsid w:val="00D45634"/>
    <w:rsid w:val="00D45D8A"/>
    <w:rsid w:val="00D47147"/>
    <w:rsid w:val="00D50094"/>
    <w:rsid w:val="00D5145F"/>
    <w:rsid w:val="00D51C5E"/>
    <w:rsid w:val="00D52613"/>
    <w:rsid w:val="00D557C2"/>
    <w:rsid w:val="00D57425"/>
    <w:rsid w:val="00D578B7"/>
    <w:rsid w:val="00D60C85"/>
    <w:rsid w:val="00D64419"/>
    <w:rsid w:val="00D67B90"/>
    <w:rsid w:val="00D71348"/>
    <w:rsid w:val="00D72F26"/>
    <w:rsid w:val="00D73918"/>
    <w:rsid w:val="00D73AC9"/>
    <w:rsid w:val="00D753D1"/>
    <w:rsid w:val="00D7638E"/>
    <w:rsid w:val="00D764F9"/>
    <w:rsid w:val="00D770E4"/>
    <w:rsid w:val="00D7741C"/>
    <w:rsid w:val="00D804DC"/>
    <w:rsid w:val="00D81300"/>
    <w:rsid w:val="00D83A74"/>
    <w:rsid w:val="00D84B31"/>
    <w:rsid w:val="00D84E1E"/>
    <w:rsid w:val="00D85C3C"/>
    <w:rsid w:val="00D96580"/>
    <w:rsid w:val="00DA0252"/>
    <w:rsid w:val="00DA3169"/>
    <w:rsid w:val="00DA4009"/>
    <w:rsid w:val="00DA43EE"/>
    <w:rsid w:val="00DA55EE"/>
    <w:rsid w:val="00DA6A5B"/>
    <w:rsid w:val="00DA7907"/>
    <w:rsid w:val="00DB0E28"/>
    <w:rsid w:val="00DB1810"/>
    <w:rsid w:val="00DB4C13"/>
    <w:rsid w:val="00DC5FA9"/>
    <w:rsid w:val="00DC7202"/>
    <w:rsid w:val="00DC7BB2"/>
    <w:rsid w:val="00DD0D99"/>
    <w:rsid w:val="00DD64D7"/>
    <w:rsid w:val="00DD77CA"/>
    <w:rsid w:val="00DE239B"/>
    <w:rsid w:val="00DE2F85"/>
    <w:rsid w:val="00DE3937"/>
    <w:rsid w:val="00DE497B"/>
    <w:rsid w:val="00DE64C4"/>
    <w:rsid w:val="00DF0A8C"/>
    <w:rsid w:val="00DF1825"/>
    <w:rsid w:val="00DF416A"/>
    <w:rsid w:val="00DF4345"/>
    <w:rsid w:val="00DF5895"/>
    <w:rsid w:val="00DF6112"/>
    <w:rsid w:val="00E00C02"/>
    <w:rsid w:val="00E01E0B"/>
    <w:rsid w:val="00E0322D"/>
    <w:rsid w:val="00E036D5"/>
    <w:rsid w:val="00E03B5A"/>
    <w:rsid w:val="00E03E20"/>
    <w:rsid w:val="00E04E7D"/>
    <w:rsid w:val="00E11EF1"/>
    <w:rsid w:val="00E1261B"/>
    <w:rsid w:val="00E1388B"/>
    <w:rsid w:val="00E13C6C"/>
    <w:rsid w:val="00E14773"/>
    <w:rsid w:val="00E14FFE"/>
    <w:rsid w:val="00E172D8"/>
    <w:rsid w:val="00E17A35"/>
    <w:rsid w:val="00E2209B"/>
    <w:rsid w:val="00E2214A"/>
    <w:rsid w:val="00E22216"/>
    <w:rsid w:val="00E24934"/>
    <w:rsid w:val="00E24A52"/>
    <w:rsid w:val="00E24C43"/>
    <w:rsid w:val="00E3078D"/>
    <w:rsid w:val="00E308D8"/>
    <w:rsid w:val="00E3118A"/>
    <w:rsid w:val="00E311C2"/>
    <w:rsid w:val="00E32116"/>
    <w:rsid w:val="00E32579"/>
    <w:rsid w:val="00E32AD6"/>
    <w:rsid w:val="00E34CD8"/>
    <w:rsid w:val="00E35259"/>
    <w:rsid w:val="00E36B4B"/>
    <w:rsid w:val="00E4049E"/>
    <w:rsid w:val="00E43AC5"/>
    <w:rsid w:val="00E44899"/>
    <w:rsid w:val="00E4563C"/>
    <w:rsid w:val="00E47937"/>
    <w:rsid w:val="00E507FA"/>
    <w:rsid w:val="00E518EE"/>
    <w:rsid w:val="00E525A7"/>
    <w:rsid w:val="00E564F1"/>
    <w:rsid w:val="00E568B7"/>
    <w:rsid w:val="00E56E43"/>
    <w:rsid w:val="00E60A2C"/>
    <w:rsid w:val="00E64825"/>
    <w:rsid w:val="00E65716"/>
    <w:rsid w:val="00E67842"/>
    <w:rsid w:val="00E700EC"/>
    <w:rsid w:val="00E7231A"/>
    <w:rsid w:val="00E750E1"/>
    <w:rsid w:val="00E76100"/>
    <w:rsid w:val="00E7756F"/>
    <w:rsid w:val="00E77EC2"/>
    <w:rsid w:val="00E85B0E"/>
    <w:rsid w:val="00E878D3"/>
    <w:rsid w:val="00E87A92"/>
    <w:rsid w:val="00E903D6"/>
    <w:rsid w:val="00E92666"/>
    <w:rsid w:val="00E92B27"/>
    <w:rsid w:val="00E92F35"/>
    <w:rsid w:val="00E958CC"/>
    <w:rsid w:val="00EA0397"/>
    <w:rsid w:val="00EA1350"/>
    <w:rsid w:val="00EA147D"/>
    <w:rsid w:val="00EA2D2E"/>
    <w:rsid w:val="00EA2DF6"/>
    <w:rsid w:val="00EA3B50"/>
    <w:rsid w:val="00EA4326"/>
    <w:rsid w:val="00EA4413"/>
    <w:rsid w:val="00EA4563"/>
    <w:rsid w:val="00EA53DE"/>
    <w:rsid w:val="00EA698A"/>
    <w:rsid w:val="00EA6A64"/>
    <w:rsid w:val="00EA6ABC"/>
    <w:rsid w:val="00EA705B"/>
    <w:rsid w:val="00EA7D65"/>
    <w:rsid w:val="00EB1754"/>
    <w:rsid w:val="00EB420F"/>
    <w:rsid w:val="00EB675D"/>
    <w:rsid w:val="00EC100B"/>
    <w:rsid w:val="00EC77CD"/>
    <w:rsid w:val="00ED315B"/>
    <w:rsid w:val="00ED7AE7"/>
    <w:rsid w:val="00ED7F1B"/>
    <w:rsid w:val="00EE1229"/>
    <w:rsid w:val="00EE1E25"/>
    <w:rsid w:val="00EE22F1"/>
    <w:rsid w:val="00EE38E3"/>
    <w:rsid w:val="00EE52CA"/>
    <w:rsid w:val="00EF05CC"/>
    <w:rsid w:val="00EF0E35"/>
    <w:rsid w:val="00EF19A3"/>
    <w:rsid w:val="00EF1C14"/>
    <w:rsid w:val="00EF1DFC"/>
    <w:rsid w:val="00EF2371"/>
    <w:rsid w:val="00F00E40"/>
    <w:rsid w:val="00F03A26"/>
    <w:rsid w:val="00F03BBC"/>
    <w:rsid w:val="00F042E6"/>
    <w:rsid w:val="00F04D55"/>
    <w:rsid w:val="00F07A93"/>
    <w:rsid w:val="00F12D0E"/>
    <w:rsid w:val="00F14737"/>
    <w:rsid w:val="00F15DDF"/>
    <w:rsid w:val="00F15F1C"/>
    <w:rsid w:val="00F16F26"/>
    <w:rsid w:val="00F26151"/>
    <w:rsid w:val="00F26F00"/>
    <w:rsid w:val="00F27444"/>
    <w:rsid w:val="00F32688"/>
    <w:rsid w:val="00F33513"/>
    <w:rsid w:val="00F349C4"/>
    <w:rsid w:val="00F35B4F"/>
    <w:rsid w:val="00F366EA"/>
    <w:rsid w:val="00F366EE"/>
    <w:rsid w:val="00F42E5A"/>
    <w:rsid w:val="00F42F94"/>
    <w:rsid w:val="00F4332E"/>
    <w:rsid w:val="00F52528"/>
    <w:rsid w:val="00F531B9"/>
    <w:rsid w:val="00F56066"/>
    <w:rsid w:val="00F563D9"/>
    <w:rsid w:val="00F56ABA"/>
    <w:rsid w:val="00F57137"/>
    <w:rsid w:val="00F578EA"/>
    <w:rsid w:val="00F600EA"/>
    <w:rsid w:val="00F61D36"/>
    <w:rsid w:val="00F63322"/>
    <w:rsid w:val="00F63F6A"/>
    <w:rsid w:val="00F66A48"/>
    <w:rsid w:val="00F66D90"/>
    <w:rsid w:val="00F677C3"/>
    <w:rsid w:val="00F71FEA"/>
    <w:rsid w:val="00F75A58"/>
    <w:rsid w:val="00F834D9"/>
    <w:rsid w:val="00F83905"/>
    <w:rsid w:val="00F86362"/>
    <w:rsid w:val="00F87A16"/>
    <w:rsid w:val="00F90540"/>
    <w:rsid w:val="00F91E64"/>
    <w:rsid w:val="00F92D8C"/>
    <w:rsid w:val="00F94551"/>
    <w:rsid w:val="00F971DF"/>
    <w:rsid w:val="00FA0CEF"/>
    <w:rsid w:val="00FA2C82"/>
    <w:rsid w:val="00FA4313"/>
    <w:rsid w:val="00FA6C56"/>
    <w:rsid w:val="00FA73DC"/>
    <w:rsid w:val="00FB526E"/>
    <w:rsid w:val="00FC0435"/>
    <w:rsid w:val="00FC2937"/>
    <w:rsid w:val="00FC41EA"/>
    <w:rsid w:val="00FD0745"/>
    <w:rsid w:val="00FD1C18"/>
    <w:rsid w:val="00FD3AB6"/>
    <w:rsid w:val="00FD4253"/>
    <w:rsid w:val="00FD47C7"/>
    <w:rsid w:val="00FE551B"/>
    <w:rsid w:val="00FE74BF"/>
    <w:rsid w:val="00FE7AC0"/>
    <w:rsid w:val="00FF0EE8"/>
    <w:rsid w:val="00FF1A64"/>
    <w:rsid w:val="00FF419A"/>
    <w:rsid w:val="00FF51A4"/>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DF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46"/>
    <w:pPr>
      <w:autoSpaceDE w:val="0"/>
      <w:autoSpaceDN w:val="0"/>
      <w:adjustRightInd w:val="0"/>
    </w:pPr>
  </w:style>
  <w:style w:type="paragraph" w:styleId="Heading1">
    <w:name w:val="heading 1"/>
    <w:basedOn w:val="Normal"/>
    <w:next w:val="Normal"/>
    <w:link w:val="Heading1Char"/>
    <w:uiPriority w:val="9"/>
    <w:qFormat/>
    <w:rsid w:val="00602B86"/>
    <w:pPr>
      <w:keepNext/>
      <w:keepLines/>
      <w:numPr>
        <w:numId w:val="4"/>
      </w:numPr>
      <w:spacing w:before="240"/>
      <w:ind w:left="720"/>
      <w:outlineLvl w:val="0"/>
    </w:pPr>
    <w:rPr>
      <w:rFonts w:eastAsiaTheme="majorEastAsia"/>
      <w:b/>
      <w:bCs/>
      <w:color w:val="000000" w:themeColor="text1"/>
      <w:sz w:val="24"/>
      <w:szCs w:val="28"/>
    </w:rPr>
  </w:style>
  <w:style w:type="paragraph" w:styleId="Heading2">
    <w:name w:val="heading 2"/>
    <w:basedOn w:val="Heading1"/>
    <w:next w:val="Normal"/>
    <w:link w:val="Heading2Char"/>
    <w:uiPriority w:val="9"/>
    <w:unhideWhenUsed/>
    <w:qFormat/>
    <w:rsid w:val="00602B86"/>
    <w:pPr>
      <w:numPr>
        <w:ilvl w:val="1"/>
      </w:numPr>
      <w:ind w:left="1152"/>
      <w:outlineLvl w:val="1"/>
    </w:pPr>
  </w:style>
  <w:style w:type="paragraph" w:styleId="Heading3">
    <w:name w:val="heading 3"/>
    <w:basedOn w:val="Heading2"/>
    <w:next w:val="Normal"/>
    <w:link w:val="Heading3Char"/>
    <w:uiPriority w:val="9"/>
    <w:unhideWhenUsed/>
    <w:qFormat/>
    <w:rsid w:val="00427F42"/>
    <w:pPr>
      <w:numPr>
        <w:ilvl w:val="2"/>
      </w:numPr>
      <w:outlineLvl w:val="2"/>
    </w:pPr>
    <w:rPr>
      <w:b w:val="0"/>
      <w:i/>
      <w:sz w:val="22"/>
      <w:szCs w:val="24"/>
    </w:rPr>
  </w:style>
  <w:style w:type="paragraph" w:styleId="Heading4">
    <w:name w:val="heading 4"/>
    <w:basedOn w:val="Normal"/>
    <w:next w:val="Normal"/>
    <w:link w:val="Heading4Char"/>
    <w:uiPriority w:val="9"/>
    <w:unhideWhenUsed/>
    <w:qFormat/>
    <w:rsid w:val="001863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4F4"/>
    <w:pPr>
      <w:ind w:left="720"/>
      <w:contextualSpacing/>
    </w:pPr>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character" w:customStyle="1" w:styleId="Heading1Char">
    <w:name w:val="Heading 1 Char"/>
    <w:basedOn w:val="DefaultParagraphFont"/>
    <w:link w:val="Heading1"/>
    <w:uiPriority w:val="9"/>
    <w:rsid w:val="00E1388B"/>
    <w:rPr>
      <w:rFonts w:eastAsiaTheme="majorEastAsia"/>
      <w:b/>
      <w:bCs/>
      <w:color w:val="000000" w:themeColor="text1"/>
      <w:sz w:val="24"/>
      <w:szCs w:val="28"/>
    </w:rPr>
  </w:style>
  <w:style w:type="character" w:customStyle="1" w:styleId="Heading2Char">
    <w:name w:val="Heading 2 Char"/>
    <w:basedOn w:val="DefaultParagraphFont"/>
    <w:link w:val="Heading2"/>
    <w:uiPriority w:val="9"/>
    <w:rsid w:val="0028294D"/>
    <w:rPr>
      <w:rFonts w:eastAsiaTheme="majorEastAsia"/>
      <w:b/>
      <w:bCs/>
      <w:color w:val="000000" w:themeColor="text1"/>
      <w:sz w:val="24"/>
      <w:szCs w:val="28"/>
    </w:rPr>
  </w:style>
  <w:style w:type="paragraph" w:styleId="FootnoteText">
    <w:name w:val="footnote text"/>
    <w:basedOn w:val="Normal"/>
    <w:link w:val="FootnoteTextChar"/>
    <w:unhideWhenUsed/>
    <w:rsid w:val="00AF5D92"/>
    <w:rPr>
      <w:rFonts w:eastAsia="Times New Roman" w:cs="Times New Roman"/>
      <w:sz w:val="20"/>
      <w:szCs w:val="20"/>
    </w:rPr>
  </w:style>
  <w:style w:type="character" w:customStyle="1" w:styleId="FootnoteTextChar">
    <w:name w:val="Footnote Text Char"/>
    <w:basedOn w:val="DefaultParagraphFont"/>
    <w:link w:val="FootnoteText"/>
    <w:rsid w:val="00AF5D92"/>
    <w:rPr>
      <w:rFonts w:eastAsia="Times New Roman" w:cs="Times New Roman"/>
      <w:sz w:val="20"/>
      <w:szCs w:val="20"/>
    </w:rPr>
  </w:style>
  <w:style w:type="character" w:styleId="FootnoteReference">
    <w:name w:val="footnote reference"/>
    <w:basedOn w:val="DefaultParagraphFont"/>
    <w:uiPriority w:val="99"/>
    <w:unhideWhenUsed/>
    <w:rsid w:val="00AF5D92"/>
  </w:style>
  <w:style w:type="paragraph" w:styleId="Caption">
    <w:name w:val="caption"/>
    <w:basedOn w:val="Normal"/>
    <w:next w:val="Normal"/>
    <w:uiPriority w:val="35"/>
    <w:unhideWhenUsed/>
    <w:qFormat/>
    <w:rsid w:val="00E1388B"/>
    <w:pPr>
      <w:keepNext/>
      <w:spacing w:after="200"/>
    </w:pPr>
    <w:rPr>
      <w:bCs/>
    </w:rPr>
  </w:style>
  <w:style w:type="character" w:customStyle="1" w:styleId="Heading3Char">
    <w:name w:val="Heading 3 Char"/>
    <w:basedOn w:val="DefaultParagraphFont"/>
    <w:link w:val="Heading3"/>
    <w:uiPriority w:val="9"/>
    <w:rsid w:val="00427F42"/>
    <w:rPr>
      <w:rFonts w:eastAsiaTheme="majorEastAsia"/>
      <w:bCs/>
      <w:i/>
      <w:color w:val="000000" w:themeColor="text1"/>
      <w:szCs w:val="24"/>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D3549"/>
    <w:rPr>
      <w:sz w:val="16"/>
      <w:szCs w:val="16"/>
    </w:rPr>
  </w:style>
  <w:style w:type="paragraph" w:styleId="CommentText">
    <w:name w:val="annotation text"/>
    <w:basedOn w:val="Normal"/>
    <w:link w:val="CommentTextChar"/>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4C4BD7"/>
    <w:pPr>
      <w:tabs>
        <w:tab w:val="left" w:pos="540"/>
        <w:tab w:val="right" w:leader="dot" w:pos="8990"/>
      </w:tabs>
    </w:pPr>
    <w:rPr>
      <w:rFonts w:eastAsia="Times New Roman" w:cs="Times New Roman"/>
      <w:sz w:val="20"/>
      <w:szCs w:val="20"/>
    </w:rPr>
  </w:style>
  <w:style w:type="paragraph" w:styleId="TOC2">
    <w:name w:val="toc 2"/>
    <w:basedOn w:val="Normal"/>
    <w:next w:val="Normal"/>
    <w:autoRedefine/>
    <w:uiPriority w:val="39"/>
    <w:rsid w:val="00602B86"/>
    <w:pPr>
      <w:tabs>
        <w:tab w:val="left" w:pos="180"/>
        <w:tab w:val="left" w:pos="1080"/>
        <w:tab w:val="right" w:leader="dot" w:pos="8990"/>
      </w:tabs>
      <w:ind w:left="1080" w:hanging="540"/>
    </w:pPr>
    <w:rPr>
      <w:rFonts w:eastAsia="Times New Roman" w:cs="Times New Roman"/>
      <w:sz w:val="20"/>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FF0EE8"/>
    <w:pPr>
      <w:tabs>
        <w:tab w:val="left" w:pos="720"/>
        <w:tab w:val="left" w:pos="1890"/>
        <w:tab w:val="right" w:leader="dot" w:pos="8990"/>
      </w:tabs>
      <w:spacing w:line="240" w:lineRule="auto"/>
      <w:ind w:left="1080"/>
    </w:pPr>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05FF"/>
    <w:pPr>
      <w:widowControl/>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0705FF"/>
    <w:rPr>
      <w:rFonts w:ascii="Times New Roman" w:eastAsia="Times New Roman" w:hAnsi="Times New Roman" w:cs="Times New Roman"/>
      <w:b/>
      <w:bCs/>
      <w:sz w:val="20"/>
      <w:szCs w:val="20"/>
    </w:rPr>
  </w:style>
  <w:style w:type="paragraph" w:styleId="Revision">
    <w:name w:val="Revision"/>
    <w:hidden/>
    <w:uiPriority w:val="99"/>
    <w:semiHidden/>
    <w:rsid w:val="00FC41EA"/>
    <w:pPr>
      <w:spacing w:line="240" w:lineRule="auto"/>
    </w:pPr>
  </w:style>
  <w:style w:type="paragraph" w:customStyle="1" w:styleId="tabletext">
    <w:name w:val="tabletext"/>
    <w:basedOn w:val="Normal"/>
    <w:rsid w:val="008B6DB2"/>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76EF"/>
    <w:rPr>
      <w:color w:val="800080" w:themeColor="followedHyperlink"/>
      <w:u w:val="single"/>
    </w:rPr>
  </w:style>
  <w:style w:type="paragraph" w:styleId="NoSpacing">
    <w:name w:val="No Spacing"/>
    <w:uiPriority w:val="1"/>
    <w:qFormat/>
    <w:rsid w:val="00B47171"/>
    <w:pPr>
      <w:autoSpaceDE w:val="0"/>
      <w:autoSpaceDN w:val="0"/>
      <w:adjustRightInd w:val="0"/>
      <w:spacing w:line="240" w:lineRule="auto"/>
    </w:pPr>
  </w:style>
  <w:style w:type="character" w:customStyle="1" w:styleId="Heading4Char">
    <w:name w:val="Heading 4 Char"/>
    <w:basedOn w:val="DefaultParagraphFont"/>
    <w:link w:val="Heading4"/>
    <w:uiPriority w:val="9"/>
    <w:rsid w:val="00186364"/>
    <w:rPr>
      <w:rFonts w:asciiTheme="majorHAnsi" w:eastAsiaTheme="majorEastAsia" w:hAnsiTheme="majorHAnsi" w:cstheme="majorBidi"/>
      <w:b/>
      <w:bCs/>
      <w:i/>
      <w:iCs/>
      <w:color w:val="4F81BD" w:themeColor="accent1"/>
    </w:rPr>
  </w:style>
  <w:style w:type="paragraph" w:styleId="TableofFigures">
    <w:name w:val="table of figures"/>
    <w:basedOn w:val="Normal"/>
    <w:next w:val="Normal"/>
    <w:uiPriority w:val="99"/>
    <w:unhideWhenUsed/>
    <w:rsid w:val="00811154"/>
  </w:style>
  <w:style w:type="paragraph" w:styleId="NormalWeb">
    <w:name w:val="Normal (Web)"/>
    <w:basedOn w:val="Normal"/>
    <w:uiPriority w:val="99"/>
    <w:semiHidden/>
    <w:unhideWhenUsed/>
    <w:rsid w:val="00431022"/>
    <w:pPr>
      <w:autoSpaceDE/>
      <w:autoSpaceDN/>
      <w:adjustRightInd/>
      <w:spacing w:before="100" w:beforeAutospacing="1" w:after="100" w:afterAutospacing="1"/>
    </w:pPr>
    <w:rPr>
      <w:rFonts w:ascii="Times New Roman" w:eastAsiaTheme="minorEastAsia" w:hAnsi="Times New Roman" w:cs="Times New Roman"/>
      <w:sz w:val="24"/>
      <w:szCs w:val="24"/>
    </w:rPr>
  </w:style>
  <w:style w:type="character" w:styleId="Strong">
    <w:name w:val="Strong"/>
    <w:basedOn w:val="DefaultParagraphFont"/>
    <w:uiPriority w:val="22"/>
    <w:qFormat/>
    <w:rsid w:val="009043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46"/>
    <w:pPr>
      <w:autoSpaceDE w:val="0"/>
      <w:autoSpaceDN w:val="0"/>
      <w:adjustRightInd w:val="0"/>
    </w:pPr>
  </w:style>
  <w:style w:type="paragraph" w:styleId="Heading1">
    <w:name w:val="heading 1"/>
    <w:basedOn w:val="Normal"/>
    <w:next w:val="Normal"/>
    <w:link w:val="Heading1Char"/>
    <w:uiPriority w:val="9"/>
    <w:qFormat/>
    <w:rsid w:val="00602B86"/>
    <w:pPr>
      <w:keepNext/>
      <w:keepLines/>
      <w:numPr>
        <w:numId w:val="4"/>
      </w:numPr>
      <w:spacing w:before="240"/>
      <w:ind w:left="720"/>
      <w:outlineLvl w:val="0"/>
    </w:pPr>
    <w:rPr>
      <w:rFonts w:eastAsiaTheme="majorEastAsia"/>
      <w:b/>
      <w:bCs/>
      <w:color w:val="000000" w:themeColor="text1"/>
      <w:sz w:val="24"/>
      <w:szCs w:val="28"/>
    </w:rPr>
  </w:style>
  <w:style w:type="paragraph" w:styleId="Heading2">
    <w:name w:val="heading 2"/>
    <w:basedOn w:val="Heading1"/>
    <w:next w:val="Normal"/>
    <w:link w:val="Heading2Char"/>
    <w:uiPriority w:val="9"/>
    <w:unhideWhenUsed/>
    <w:qFormat/>
    <w:rsid w:val="00602B86"/>
    <w:pPr>
      <w:numPr>
        <w:ilvl w:val="1"/>
      </w:numPr>
      <w:ind w:left="1152"/>
      <w:outlineLvl w:val="1"/>
    </w:pPr>
  </w:style>
  <w:style w:type="paragraph" w:styleId="Heading3">
    <w:name w:val="heading 3"/>
    <w:basedOn w:val="Heading2"/>
    <w:next w:val="Normal"/>
    <w:link w:val="Heading3Char"/>
    <w:uiPriority w:val="9"/>
    <w:unhideWhenUsed/>
    <w:qFormat/>
    <w:rsid w:val="00427F42"/>
    <w:pPr>
      <w:numPr>
        <w:ilvl w:val="2"/>
      </w:numPr>
      <w:outlineLvl w:val="2"/>
    </w:pPr>
    <w:rPr>
      <w:b w:val="0"/>
      <w:i/>
      <w:sz w:val="22"/>
      <w:szCs w:val="24"/>
    </w:rPr>
  </w:style>
  <w:style w:type="paragraph" w:styleId="Heading4">
    <w:name w:val="heading 4"/>
    <w:basedOn w:val="Normal"/>
    <w:next w:val="Normal"/>
    <w:link w:val="Heading4Char"/>
    <w:uiPriority w:val="9"/>
    <w:unhideWhenUsed/>
    <w:qFormat/>
    <w:rsid w:val="001863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4F4"/>
    <w:pPr>
      <w:ind w:left="720"/>
      <w:contextualSpacing/>
    </w:pPr>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character" w:customStyle="1" w:styleId="Heading1Char">
    <w:name w:val="Heading 1 Char"/>
    <w:basedOn w:val="DefaultParagraphFont"/>
    <w:link w:val="Heading1"/>
    <w:uiPriority w:val="9"/>
    <w:rsid w:val="00E1388B"/>
    <w:rPr>
      <w:rFonts w:eastAsiaTheme="majorEastAsia"/>
      <w:b/>
      <w:bCs/>
      <w:color w:val="000000" w:themeColor="text1"/>
      <w:sz w:val="24"/>
      <w:szCs w:val="28"/>
    </w:rPr>
  </w:style>
  <w:style w:type="character" w:customStyle="1" w:styleId="Heading2Char">
    <w:name w:val="Heading 2 Char"/>
    <w:basedOn w:val="DefaultParagraphFont"/>
    <w:link w:val="Heading2"/>
    <w:uiPriority w:val="9"/>
    <w:rsid w:val="0028294D"/>
    <w:rPr>
      <w:rFonts w:eastAsiaTheme="majorEastAsia"/>
      <w:b/>
      <w:bCs/>
      <w:color w:val="000000" w:themeColor="text1"/>
      <w:sz w:val="24"/>
      <w:szCs w:val="28"/>
    </w:rPr>
  </w:style>
  <w:style w:type="paragraph" w:styleId="FootnoteText">
    <w:name w:val="footnote text"/>
    <w:basedOn w:val="Normal"/>
    <w:link w:val="FootnoteTextChar"/>
    <w:unhideWhenUsed/>
    <w:rsid w:val="00AF5D92"/>
    <w:rPr>
      <w:rFonts w:eastAsia="Times New Roman" w:cs="Times New Roman"/>
      <w:sz w:val="20"/>
      <w:szCs w:val="20"/>
    </w:rPr>
  </w:style>
  <w:style w:type="character" w:customStyle="1" w:styleId="FootnoteTextChar">
    <w:name w:val="Footnote Text Char"/>
    <w:basedOn w:val="DefaultParagraphFont"/>
    <w:link w:val="FootnoteText"/>
    <w:rsid w:val="00AF5D92"/>
    <w:rPr>
      <w:rFonts w:eastAsia="Times New Roman" w:cs="Times New Roman"/>
      <w:sz w:val="20"/>
      <w:szCs w:val="20"/>
    </w:rPr>
  </w:style>
  <w:style w:type="character" w:styleId="FootnoteReference">
    <w:name w:val="footnote reference"/>
    <w:basedOn w:val="DefaultParagraphFont"/>
    <w:uiPriority w:val="99"/>
    <w:unhideWhenUsed/>
    <w:rsid w:val="00AF5D92"/>
  </w:style>
  <w:style w:type="paragraph" w:styleId="Caption">
    <w:name w:val="caption"/>
    <w:basedOn w:val="Normal"/>
    <w:next w:val="Normal"/>
    <w:uiPriority w:val="35"/>
    <w:unhideWhenUsed/>
    <w:qFormat/>
    <w:rsid w:val="00E1388B"/>
    <w:pPr>
      <w:keepNext/>
      <w:spacing w:after="200"/>
    </w:pPr>
    <w:rPr>
      <w:bCs/>
    </w:rPr>
  </w:style>
  <w:style w:type="character" w:customStyle="1" w:styleId="Heading3Char">
    <w:name w:val="Heading 3 Char"/>
    <w:basedOn w:val="DefaultParagraphFont"/>
    <w:link w:val="Heading3"/>
    <w:uiPriority w:val="9"/>
    <w:rsid w:val="00427F42"/>
    <w:rPr>
      <w:rFonts w:eastAsiaTheme="majorEastAsia"/>
      <w:bCs/>
      <w:i/>
      <w:color w:val="000000" w:themeColor="text1"/>
      <w:szCs w:val="24"/>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D3549"/>
    <w:rPr>
      <w:sz w:val="16"/>
      <w:szCs w:val="16"/>
    </w:rPr>
  </w:style>
  <w:style w:type="paragraph" w:styleId="CommentText">
    <w:name w:val="annotation text"/>
    <w:basedOn w:val="Normal"/>
    <w:link w:val="CommentTextChar"/>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4C4BD7"/>
    <w:pPr>
      <w:tabs>
        <w:tab w:val="left" w:pos="540"/>
        <w:tab w:val="right" w:leader="dot" w:pos="8990"/>
      </w:tabs>
    </w:pPr>
    <w:rPr>
      <w:rFonts w:eastAsia="Times New Roman" w:cs="Times New Roman"/>
      <w:sz w:val="20"/>
      <w:szCs w:val="20"/>
    </w:rPr>
  </w:style>
  <w:style w:type="paragraph" w:styleId="TOC2">
    <w:name w:val="toc 2"/>
    <w:basedOn w:val="Normal"/>
    <w:next w:val="Normal"/>
    <w:autoRedefine/>
    <w:uiPriority w:val="39"/>
    <w:rsid w:val="00602B86"/>
    <w:pPr>
      <w:tabs>
        <w:tab w:val="left" w:pos="180"/>
        <w:tab w:val="left" w:pos="1080"/>
        <w:tab w:val="right" w:leader="dot" w:pos="8990"/>
      </w:tabs>
      <w:ind w:left="1080" w:hanging="540"/>
    </w:pPr>
    <w:rPr>
      <w:rFonts w:eastAsia="Times New Roman" w:cs="Times New Roman"/>
      <w:sz w:val="20"/>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FF0EE8"/>
    <w:pPr>
      <w:tabs>
        <w:tab w:val="left" w:pos="720"/>
        <w:tab w:val="left" w:pos="1890"/>
        <w:tab w:val="right" w:leader="dot" w:pos="8990"/>
      </w:tabs>
      <w:spacing w:line="240" w:lineRule="auto"/>
      <w:ind w:left="1080"/>
    </w:pPr>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05FF"/>
    <w:pPr>
      <w:widowControl/>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0705FF"/>
    <w:rPr>
      <w:rFonts w:ascii="Times New Roman" w:eastAsia="Times New Roman" w:hAnsi="Times New Roman" w:cs="Times New Roman"/>
      <w:b/>
      <w:bCs/>
      <w:sz w:val="20"/>
      <w:szCs w:val="20"/>
    </w:rPr>
  </w:style>
  <w:style w:type="paragraph" w:styleId="Revision">
    <w:name w:val="Revision"/>
    <w:hidden/>
    <w:uiPriority w:val="99"/>
    <w:semiHidden/>
    <w:rsid w:val="00FC41EA"/>
    <w:pPr>
      <w:spacing w:line="240" w:lineRule="auto"/>
    </w:pPr>
  </w:style>
  <w:style w:type="paragraph" w:customStyle="1" w:styleId="tabletext">
    <w:name w:val="tabletext"/>
    <w:basedOn w:val="Normal"/>
    <w:rsid w:val="008B6DB2"/>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76EF"/>
    <w:rPr>
      <w:color w:val="800080" w:themeColor="followedHyperlink"/>
      <w:u w:val="single"/>
    </w:rPr>
  </w:style>
  <w:style w:type="paragraph" w:styleId="NoSpacing">
    <w:name w:val="No Spacing"/>
    <w:uiPriority w:val="1"/>
    <w:qFormat/>
    <w:rsid w:val="00B47171"/>
    <w:pPr>
      <w:autoSpaceDE w:val="0"/>
      <w:autoSpaceDN w:val="0"/>
      <w:adjustRightInd w:val="0"/>
      <w:spacing w:line="240" w:lineRule="auto"/>
    </w:pPr>
  </w:style>
  <w:style w:type="character" w:customStyle="1" w:styleId="Heading4Char">
    <w:name w:val="Heading 4 Char"/>
    <w:basedOn w:val="DefaultParagraphFont"/>
    <w:link w:val="Heading4"/>
    <w:uiPriority w:val="9"/>
    <w:rsid w:val="00186364"/>
    <w:rPr>
      <w:rFonts w:asciiTheme="majorHAnsi" w:eastAsiaTheme="majorEastAsia" w:hAnsiTheme="majorHAnsi" w:cstheme="majorBidi"/>
      <w:b/>
      <w:bCs/>
      <w:i/>
      <w:iCs/>
      <w:color w:val="4F81BD" w:themeColor="accent1"/>
    </w:rPr>
  </w:style>
  <w:style w:type="paragraph" w:styleId="TableofFigures">
    <w:name w:val="table of figures"/>
    <w:basedOn w:val="Normal"/>
    <w:next w:val="Normal"/>
    <w:uiPriority w:val="99"/>
    <w:unhideWhenUsed/>
    <w:rsid w:val="00811154"/>
  </w:style>
  <w:style w:type="paragraph" w:styleId="NormalWeb">
    <w:name w:val="Normal (Web)"/>
    <w:basedOn w:val="Normal"/>
    <w:uiPriority w:val="99"/>
    <w:semiHidden/>
    <w:unhideWhenUsed/>
    <w:rsid w:val="00431022"/>
    <w:pPr>
      <w:autoSpaceDE/>
      <w:autoSpaceDN/>
      <w:adjustRightInd/>
      <w:spacing w:before="100" w:beforeAutospacing="1" w:after="100" w:afterAutospacing="1"/>
    </w:pPr>
    <w:rPr>
      <w:rFonts w:ascii="Times New Roman" w:eastAsiaTheme="minorEastAsia" w:hAnsi="Times New Roman" w:cs="Times New Roman"/>
      <w:sz w:val="24"/>
      <w:szCs w:val="24"/>
    </w:rPr>
  </w:style>
  <w:style w:type="character" w:styleId="Strong">
    <w:name w:val="Strong"/>
    <w:basedOn w:val="DefaultParagraphFont"/>
    <w:uiPriority w:val="22"/>
    <w:qFormat/>
    <w:rsid w:val="00904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1470">
      <w:bodyDiv w:val="1"/>
      <w:marLeft w:val="0"/>
      <w:marRight w:val="0"/>
      <w:marTop w:val="0"/>
      <w:marBottom w:val="0"/>
      <w:divBdr>
        <w:top w:val="none" w:sz="0" w:space="0" w:color="auto"/>
        <w:left w:val="none" w:sz="0" w:space="0" w:color="auto"/>
        <w:bottom w:val="none" w:sz="0" w:space="0" w:color="auto"/>
        <w:right w:val="none" w:sz="0" w:space="0" w:color="auto"/>
      </w:divBdr>
    </w:div>
    <w:div w:id="29499616">
      <w:bodyDiv w:val="1"/>
      <w:marLeft w:val="0"/>
      <w:marRight w:val="0"/>
      <w:marTop w:val="0"/>
      <w:marBottom w:val="0"/>
      <w:divBdr>
        <w:top w:val="none" w:sz="0" w:space="0" w:color="auto"/>
        <w:left w:val="none" w:sz="0" w:space="0" w:color="auto"/>
        <w:bottom w:val="none" w:sz="0" w:space="0" w:color="auto"/>
        <w:right w:val="none" w:sz="0" w:space="0" w:color="auto"/>
      </w:divBdr>
    </w:div>
    <w:div w:id="39474138">
      <w:bodyDiv w:val="1"/>
      <w:marLeft w:val="0"/>
      <w:marRight w:val="0"/>
      <w:marTop w:val="0"/>
      <w:marBottom w:val="0"/>
      <w:divBdr>
        <w:top w:val="none" w:sz="0" w:space="0" w:color="auto"/>
        <w:left w:val="none" w:sz="0" w:space="0" w:color="auto"/>
        <w:bottom w:val="none" w:sz="0" w:space="0" w:color="auto"/>
        <w:right w:val="none" w:sz="0" w:space="0" w:color="auto"/>
      </w:divBdr>
    </w:div>
    <w:div w:id="43024235">
      <w:bodyDiv w:val="1"/>
      <w:marLeft w:val="0"/>
      <w:marRight w:val="0"/>
      <w:marTop w:val="0"/>
      <w:marBottom w:val="0"/>
      <w:divBdr>
        <w:top w:val="none" w:sz="0" w:space="0" w:color="auto"/>
        <w:left w:val="none" w:sz="0" w:space="0" w:color="auto"/>
        <w:bottom w:val="none" w:sz="0" w:space="0" w:color="auto"/>
        <w:right w:val="none" w:sz="0" w:space="0" w:color="auto"/>
      </w:divBdr>
    </w:div>
    <w:div w:id="48698046">
      <w:bodyDiv w:val="1"/>
      <w:marLeft w:val="0"/>
      <w:marRight w:val="0"/>
      <w:marTop w:val="0"/>
      <w:marBottom w:val="0"/>
      <w:divBdr>
        <w:top w:val="none" w:sz="0" w:space="0" w:color="auto"/>
        <w:left w:val="none" w:sz="0" w:space="0" w:color="auto"/>
        <w:bottom w:val="none" w:sz="0" w:space="0" w:color="auto"/>
        <w:right w:val="none" w:sz="0" w:space="0" w:color="auto"/>
      </w:divBdr>
    </w:div>
    <w:div w:id="61801354">
      <w:bodyDiv w:val="1"/>
      <w:marLeft w:val="0"/>
      <w:marRight w:val="0"/>
      <w:marTop w:val="0"/>
      <w:marBottom w:val="0"/>
      <w:divBdr>
        <w:top w:val="none" w:sz="0" w:space="0" w:color="auto"/>
        <w:left w:val="none" w:sz="0" w:space="0" w:color="auto"/>
        <w:bottom w:val="none" w:sz="0" w:space="0" w:color="auto"/>
        <w:right w:val="none" w:sz="0" w:space="0" w:color="auto"/>
      </w:divBdr>
    </w:div>
    <w:div w:id="66851564">
      <w:bodyDiv w:val="1"/>
      <w:marLeft w:val="0"/>
      <w:marRight w:val="0"/>
      <w:marTop w:val="0"/>
      <w:marBottom w:val="0"/>
      <w:divBdr>
        <w:top w:val="none" w:sz="0" w:space="0" w:color="auto"/>
        <w:left w:val="none" w:sz="0" w:space="0" w:color="auto"/>
        <w:bottom w:val="none" w:sz="0" w:space="0" w:color="auto"/>
        <w:right w:val="none" w:sz="0" w:space="0" w:color="auto"/>
      </w:divBdr>
    </w:div>
    <w:div w:id="128020255">
      <w:bodyDiv w:val="1"/>
      <w:marLeft w:val="0"/>
      <w:marRight w:val="0"/>
      <w:marTop w:val="0"/>
      <w:marBottom w:val="0"/>
      <w:divBdr>
        <w:top w:val="none" w:sz="0" w:space="0" w:color="auto"/>
        <w:left w:val="none" w:sz="0" w:space="0" w:color="auto"/>
        <w:bottom w:val="none" w:sz="0" w:space="0" w:color="auto"/>
        <w:right w:val="none" w:sz="0" w:space="0" w:color="auto"/>
      </w:divBdr>
    </w:div>
    <w:div w:id="158426837">
      <w:bodyDiv w:val="1"/>
      <w:marLeft w:val="0"/>
      <w:marRight w:val="0"/>
      <w:marTop w:val="0"/>
      <w:marBottom w:val="0"/>
      <w:divBdr>
        <w:top w:val="none" w:sz="0" w:space="0" w:color="auto"/>
        <w:left w:val="none" w:sz="0" w:space="0" w:color="auto"/>
        <w:bottom w:val="none" w:sz="0" w:space="0" w:color="auto"/>
        <w:right w:val="none" w:sz="0" w:space="0" w:color="auto"/>
      </w:divBdr>
    </w:div>
    <w:div w:id="179197899">
      <w:bodyDiv w:val="1"/>
      <w:marLeft w:val="0"/>
      <w:marRight w:val="0"/>
      <w:marTop w:val="0"/>
      <w:marBottom w:val="0"/>
      <w:divBdr>
        <w:top w:val="none" w:sz="0" w:space="0" w:color="auto"/>
        <w:left w:val="none" w:sz="0" w:space="0" w:color="auto"/>
        <w:bottom w:val="none" w:sz="0" w:space="0" w:color="auto"/>
        <w:right w:val="none" w:sz="0" w:space="0" w:color="auto"/>
      </w:divBdr>
    </w:div>
    <w:div w:id="269627693">
      <w:bodyDiv w:val="1"/>
      <w:marLeft w:val="0"/>
      <w:marRight w:val="0"/>
      <w:marTop w:val="0"/>
      <w:marBottom w:val="0"/>
      <w:divBdr>
        <w:top w:val="none" w:sz="0" w:space="0" w:color="auto"/>
        <w:left w:val="none" w:sz="0" w:space="0" w:color="auto"/>
        <w:bottom w:val="none" w:sz="0" w:space="0" w:color="auto"/>
        <w:right w:val="none" w:sz="0" w:space="0" w:color="auto"/>
      </w:divBdr>
    </w:div>
    <w:div w:id="277763067">
      <w:bodyDiv w:val="1"/>
      <w:marLeft w:val="0"/>
      <w:marRight w:val="0"/>
      <w:marTop w:val="0"/>
      <w:marBottom w:val="0"/>
      <w:divBdr>
        <w:top w:val="none" w:sz="0" w:space="0" w:color="auto"/>
        <w:left w:val="none" w:sz="0" w:space="0" w:color="auto"/>
        <w:bottom w:val="none" w:sz="0" w:space="0" w:color="auto"/>
        <w:right w:val="none" w:sz="0" w:space="0" w:color="auto"/>
      </w:divBdr>
    </w:div>
    <w:div w:id="322588044">
      <w:bodyDiv w:val="1"/>
      <w:marLeft w:val="0"/>
      <w:marRight w:val="0"/>
      <w:marTop w:val="0"/>
      <w:marBottom w:val="0"/>
      <w:divBdr>
        <w:top w:val="none" w:sz="0" w:space="0" w:color="auto"/>
        <w:left w:val="none" w:sz="0" w:space="0" w:color="auto"/>
        <w:bottom w:val="none" w:sz="0" w:space="0" w:color="auto"/>
        <w:right w:val="none" w:sz="0" w:space="0" w:color="auto"/>
      </w:divBdr>
    </w:div>
    <w:div w:id="425006973">
      <w:bodyDiv w:val="1"/>
      <w:marLeft w:val="0"/>
      <w:marRight w:val="0"/>
      <w:marTop w:val="0"/>
      <w:marBottom w:val="0"/>
      <w:divBdr>
        <w:top w:val="none" w:sz="0" w:space="0" w:color="auto"/>
        <w:left w:val="none" w:sz="0" w:space="0" w:color="auto"/>
        <w:bottom w:val="none" w:sz="0" w:space="0" w:color="auto"/>
        <w:right w:val="none" w:sz="0" w:space="0" w:color="auto"/>
      </w:divBdr>
    </w:div>
    <w:div w:id="494688270">
      <w:bodyDiv w:val="1"/>
      <w:marLeft w:val="0"/>
      <w:marRight w:val="0"/>
      <w:marTop w:val="0"/>
      <w:marBottom w:val="0"/>
      <w:divBdr>
        <w:top w:val="none" w:sz="0" w:space="0" w:color="auto"/>
        <w:left w:val="none" w:sz="0" w:space="0" w:color="auto"/>
        <w:bottom w:val="none" w:sz="0" w:space="0" w:color="auto"/>
        <w:right w:val="none" w:sz="0" w:space="0" w:color="auto"/>
      </w:divBdr>
    </w:div>
    <w:div w:id="529491556">
      <w:bodyDiv w:val="1"/>
      <w:marLeft w:val="0"/>
      <w:marRight w:val="0"/>
      <w:marTop w:val="0"/>
      <w:marBottom w:val="0"/>
      <w:divBdr>
        <w:top w:val="none" w:sz="0" w:space="0" w:color="auto"/>
        <w:left w:val="none" w:sz="0" w:space="0" w:color="auto"/>
        <w:bottom w:val="none" w:sz="0" w:space="0" w:color="auto"/>
        <w:right w:val="none" w:sz="0" w:space="0" w:color="auto"/>
      </w:divBdr>
    </w:div>
    <w:div w:id="533616308">
      <w:bodyDiv w:val="1"/>
      <w:marLeft w:val="0"/>
      <w:marRight w:val="0"/>
      <w:marTop w:val="0"/>
      <w:marBottom w:val="0"/>
      <w:divBdr>
        <w:top w:val="none" w:sz="0" w:space="0" w:color="auto"/>
        <w:left w:val="none" w:sz="0" w:space="0" w:color="auto"/>
        <w:bottom w:val="none" w:sz="0" w:space="0" w:color="auto"/>
        <w:right w:val="none" w:sz="0" w:space="0" w:color="auto"/>
      </w:divBdr>
    </w:div>
    <w:div w:id="543059443">
      <w:bodyDiv w:val="1"/>
      <w:marLeft w:val="0"/>
      <w:marRight w:val="0"/>
      <w:marTop w:val="0"/>
      <w:marBottom w:val="0"/>
      <w:divBdr>
        <w:top w:val="none" w:sz="0" w:space="0" w:color="auto"/>
        <w:left w:val="none" w:sz="0" w:space="0" w:color="auto"/>
        <w:bottom w:val="none" w:sz="0" w:space="0" w:color="auto"/>
        <w:right w:val="none" w:sz="0" w:space="0" w:color="auto"/>
      </w:divBdr>
    </w:div>
    <w:div w:id="552930952">
      <w:bodyDiv w:val="1"/>
      <w:marLeft w:val="0"/>
      <w:marRight w:val="0"/>
      <w:marTop w:val="0"/>
      <w:marBottom w:val="0"/>
      <w:divBdr>
        <w:top w:val="none" w:sz="0" w:space="0" w:color="auto"/>
        <w:left w:val="none" w:sz="0" w:space="0" w:color="auto"/>
        <w:bottom w:val="none" w:sz="0" w:space="0" w:color="auto"/>
        <w:right w:val="none" w:sz="0" w:space="0" w:color="auto"/>
      </w:divBdr>
    </w:div>
    <w:div w:id="561211467">
      <w:bodyDiv w:val="1"/>
      <w:marLeft w:val="0"/>
      <w:marRight w:val="0"/>
      <w:marTop w:val="0"/>
      <w:marBottom w:val="0"/>
      <w:divBdr>
        <w:top w:val="none" w:sz="0" w:space="0" w:color="auto"/>
        <w:left w:val="none" w:sz="0" w:space="0" w:color="auto"/>
        <w:bottom w:val="none" w:sz="0" w:space="0" w:color="auto"/>
        <w:right w:val="none" w:sz="0" w:space="0" w:color="auto"/>
      </w:divBdr>
    </w:div>
    <w:div w:id="561909700">
      <w:bodyDiv w:val="1"/>
      <w:marLeft w:val="0"/>
      <w:marRight w:val="0"/>
      <w:marTop w:val="0"/>
      <w:marBottom w:val="0"/>
      <w:divBdr>
        <w:top w:val="none" w:sz="0" w:space="0" w:color="auto"/>
        <w:left w:val="none" w:sz="0" w:space="0" w:color="auto"/>
        <w:bottom w:val="none" w:sz="0" w:space="0" w:color="auto"/>
        <w:right w:val="none" w:sz="0" w:space="0" w:color="auto"/>
      </w:divBdr>
    </w:div>
    <w:div w:id="569659679">
      <w:bodyDiv w:val="1"/>
      <w:marLeft w:val="0"/>
      <w:marRight w:val="0"/>
      <w:marTop w:val="0"/>
      <w:marBottom w:val="0"/>
      <w:divBdr>
        <w:top w:val="none" w:sz="0" w:space="0" w:color="auto"/>
        <w:left w:val="none" w:sz="0" w:space="0" w:color="auto"/>
        <w:bottom w:val="none" w:sz="0" w:space="0" w:color="auto"/>
        <w:right w:val="none" w:sz="0" w:space="0" w:color="auto"/>
      </w:divBdr>
    </w:div>
    <w:div w:id="597956149">
      <w:bodyDiv w:val="1"/>
      <w:marLeft w:val="0"/>
      <w:marRight w:val="0"/>
      <w:marTop w:val="0"/>
      <w:marBottom w:val="0"/>
      <w:divBdr>
        <w:top w:val="none" w:sz="0" w:space="0" w:color="auto"/>
        <w:left w:val="none" w:sz="0" w:space="0" w:color="auto"/>
        <w:bottom w:val="none" w:sz="0" w:space="0" w:color="auto"/>
        <w:right w:val="none" w:sz="0" w:space="0" w:color="auto"/>
      </w:divBdr>
    </w:div>
    <w:div w:id="607733224">
      <w:bodyDiv w:val="1"/>
      <w:marLeft w:val="0"/>
      <w:marRight w:val="0"/>
      <w:marTop w:val="0"/>
      <w:marBottom w:val="0"/>
      <w:divBdr>
        <w:top w:val="none" w:sz="0" w:space="0" w:color="auto"/>
        <w:left w:val="none" w:sz="0" w:space="0" w:color="auto"/>
        <w:bottom w:val="none" w:sz="0" w:space="0" w:color="auto"/>
        <w:right w:val="none" w:sz="0" w:space="0" w:color="auto"/>
      </w:divBdr>
    </w:div>
    <w:div w:id="613833228">
      <w:bodyDiv w:val="1"/>
      <w:marLeft w:val="0"/>
      <w:marRight w:val="0"/>
      <w:marTop w:val="0"/>
      <w:marBottom w:val="0"/>
      <w:divBdr>
        <w:top w:val="none" w:sz="0" w:space="0" w:color="auto"/>
        <w:left w:val="none" w:sz="0" w:space="0" w:color="auto"/>
        <w:bottom w:val="none" w:sz="0" w:space="0" w:color="auto"/>
        <w:right w:val="none" w:sz="0" w:space="0" w:color="auto"/>
      </w:divBdr>
    </w:div>
    <w:div w:id="749081739">
      <w:bodyDiv w:val="1"/>
      <w:marLeft w:val="0"/>
      <w:marRight w:val="0"/>
      <w:marTop w:val="0"/>
      <w:marBottom w:val="0"/>
      <w:divBdr>
        <w:top w:val="none" w:sz="0" w:space="0" w:color="auto"/>
        <w:left w:val="none" w:sz="0" w:space="0" w:color="auto"/>
        <w:bottom w:val="none" w:sz="0" w:space="0" w:color="auto"/>
        <w:right w:val="none" w:sz="0" w:space="0" w:color="auto"/>
      </w:divBdr>
    </w:div>
    <w:div w:id="753668884">
      <w:bodyDiv w:val="1"/>
      <w:marLeft w:val="0"/>
      <w:marRight w:val="0"/>
      <w:marTop w:val="0"/>
      <w:marBottom w:val="0"/>
      <w:divBdr>
        <w:top w:val="none" w:sz="0" w:space="0" w:color="auto"/>
        <w:left w:val="none" w:sz="0" w:space="0" w:color="auto"/>
        <w:bottom w:val="none" w:sz="0" w:space="0" w:color="auto"/>
        <w:right w:val="none" w:sz="0" w:space="0" w:color="auto"/>
      </w:divBdr>
    </w:div>
    <w:div w:id="881985253">
      <w:bodyDiv w:val="1"/>
      <w:marLeft w:val="0"/>
      <w:marRight w:val="0"/>
      <w:marTop w:val="0"/>
      <w:marBottom w:val="0"/>
      <w:divBdr>
        <w:top w:val="none" w:sz="0" w:space="0" w:color="auto"/>
        <w:left w:val="none" w:sz="0" w:space="0" w:color="auto"/>
        <w:bottom w:val="none" w:sz="0" w:space="0" w:color="auto"/>
        <w:right w:val="none" w:sz="0" w:space="0" w:color="auto"/>
      </w:divBdr>
    </w:div>
    <w:div w:id="910846576">
      <w:bodyDiv w:val="1"/>
      <w:marLeft w:val="0"/>
      <w:marRight w:val="0"/>
      <w:marTop w:val="0"/>
      <w:marBottom w:val="0"/>
      <w:divBdr>
        <w:top w:val="none" w:sz="0" w:space="0" w:color="auto"/>
        <w:left w:val="none" w:sz="0" w:space="0" w:color="auto"/>
        <w:bottom w:val="none" w:sz="0" w:space="0" w:color="auto"/>
        <w:right w:val="none" w:sz="0" w:space="0" w:color="auto"/>
      </w:divBdr>
    </w:div>
    <w:div w:id="951471401">
      <w:bodyDiv w:val="1"/>
      <w:marLeft w:val="0"/>
      <w:marRight w:val="0"/>
      <w:marTop w:val="0"/>
      <w:marBottom w:val="0"/>
      <w:divBdr>
        <w:top w:val="none" w:sz="0" w:space="0" w:color="auto"/>
        <w:left w:val="none" w:sz="0" w:space="0" w:color="auto"/>
        <w:bottom w:val="none" w:sz="0" w:space="0" w:color="auto"/>
        <w:right w:val="none" w:sz="0" w:space="0" w:color="auto"/>
      </w:divBdr>
    </w:div>
    <w:div w:id="1027566443">
      <w:bodyDiv w:val="1"/>
      <w:marLeft w:val="0"/>
      <w:marRight w:val="0"/>
      <w:marTop w:val="0"/>
      <w:marBottom w:val="0"/>
      <w:divBdr>
        <w:top w:val="none" w:sz="0" w:space="0" w:color="auto"/>
        <w:left w:val="none" w:sz="0" w:space="0" w:color="auto"/>
        <w:bottom w:val="none" w:sz="0" w:space="0" w:color="auto"/>
        <w:right w:val="none" w:sz="0" w:space="0" w:color="auto"/>
      </w:divBdr>
    </w:div>
    <w:div w:id="1031146289">
      <w:bodyDiv w:val="1"/>
      <w:marLeft w:val="0"/>
      <w:marRight w:val="0"/>
      <w:marTop w:val="0"/>
      <w:marBottom w:val="0"/>
      <w:divBdr>
        <w:top w:val="none" w:sz="0" w:space="0" w:color="auto"/>
        <w:left w:val="none" w:sz="0" w:space="0" w:color="auto"/>
        <w:bottom w:val="none" w:sz="0" w:space="0" w:color="auto"/>
        <w:right w:val="none" w:sz="0" w:space="0" w:color="auto"/>
      </w:divBdr>
    </w:div>
    <w:div w:id="1058935584">
      <w:bodyDiv w:val="1"/>
      <w:marLeft w:val="0"/>
      <w:marRight w:val="0"/>
      <w:marTop w:val="0"/>
      <w:marBottom w:val="0"/>
      <w:divBdr>
        <w:top w:val="none" w:sz="0" w:space="0" w:color="auto"/>
        <w:left w:val="none" w:sz="0" w:space="0" w:color="auto"/>
        <w:bottom w:val="none" w:sz="0" w:space="0" w:color="auto"/>
        <w:right w:val="none" w:sz="0" w:space="0" w:color="auto"/>
      </w:divBdr>
    </w:div>
    <w:div w:id="1065571440">
      <w:bodyDiv w:val="1"/>
      <w:marLeft w:val="0"/>
      <w:marRight w:val="0"/>
      <w:marTop w:val="0"/>
      <w:marBottom w:val="0"/>
      <w:divBdr>
        <w:top w:val="none" w:sz="0" w:space="0" w:color="auto"/>
        <w:left w:val="none" w:sz="0" w:space="0" w:color="auto"/>
        <w:bottom w:val="none" w:sz="0" w:space="0" w:color="auto"/>
        <w:right w:val="none" w:sz="0" w:space="0" w:color="auto"/>
      </w:divBdr>
    </w:div>
    <w:div w:id="1076823492">
      <w:bodyDiv w:val="1"/>
      <w:marLeft w:val="0"/>
      <w:marRight w:val="0"/>
      <w:marTop w:val="0"/>
      <w:marBottom w:val="0"/>
      <w:divBdr>
        <w:top w:val="none" w:sz="0" w:space="0" w:color="auto"/>
        <w:left w:val="none" w:sz="0" w:space="0" w:color="auto"/>
        <w:bottom w:val="none" w:sz="0" w:space="0" w:color="auto"/>
        <w:right w:val="none" w:sz="0" w:space="0" w:color="auto"/>
      </w:divBdr>
    </w:div>
    <w:div w:id="1108230652">
      <w:bodyDiv w:val="1"/>
      <w:marLeft w:val="0"/>
      <w:marRight w:val="0"/>
      <w:marTop w:val="0"/>
      <w:marBottom w:val="0"/>
      <w:divBdr>
        <w:top w:val="none" w:sz="0" w:space="0" w:color="auto"/>
        <w:left w:val="none" w:sz="0" w:space="0" w:color="auto"/>
        <w:bottom w:val="none" w:sz="0" w:space="0" w:color="auto"/>
        <w:right w:val="none" w:sz="0" w:space="0" w:color="auto"/>
      </w:divBdr>
    </w:div>
    <w:div w:id="1116482532">
      <w:bodyDiv w:val="1"/>
      <w:marLeft w:val="0"/>
      <w:marRight w:val="0"/>
      <w:marTop w:val="0"/>
      <w:marBottom w:val="0"/>
      <w:divBdr>
        <w:top w:val="none" w:sz="0" w:space="0" w:color="auto"/>
        <w:left w:val="none" w:sz="0" w:space="0" w:color="auto"/>
        <w:bottom w:val="none" w:sz="0" w:space="0" w:color="auto"/>
        <w:right w:val="none" w:sz="0" w:space="0" w:color="auto"/>
      </w:divBdr>
    </w:div>
    <w:div w:id="1173912493">
      <w:bodyDiv w:val="1"/>
      <w:marLeft w:val="0"/>
      <w:marRight w:val="0"/>
      <w:marTop w:val="0"/>
      <w:marBottom w:val="0"/>
      <w:divBdr>
        <w:top w:val="none" w:sz="0" w:space="0" w:color="auto"/>
        <w:left w:val="none" w:sz="0" w:space="0" w:color="auto"/>
        <w:bottom w:val="none" w:sz="0" w:space="0" w:color="auto"/>
        <w:right w:val="none" w:sz="0" w:space="0" w:color="auto"/>
      </w:divBdr>
    </w:div>
    <w:div w:id="1220630767">
      <w:bodyDiv w:val="1"/>
      <w:marLeft w:val="0"/>
      <w:marRight w:val="0"/>
      <w:marTop w:val="0"/>
      <w:marBottom w:val="0"/>
      <w:divBdr>
        <w:top w:val="none" w:sz="0" w:space="0" w:color="auto"/>
        <w:left w:val="none" w:sz="0" w:space="0" w:color="auto"/>
        <w:bottom w:val="none" w:sz="0" w:space="0" w:color="auto"/>
        <w:right w:val="none" w:sz="0" w:space="0" w:color="auto"/>
      </w:divBdr>
    </w:div>
    <w:div w:id="1267693849">
      <w:bodyDiv w:val="1"/>
      <w:marLeft w:val="0"/>
      <w:marRight w:val="0"/>
      <w:marTop w:val="0"/>
      <w:marBottom w:val="0"/>
      <w:divBdr>
        <w:top w:val="none" w:sz="0" w:space="0" w:color="auto"/>
        <w:left w:val="none" w:sz="0" w:space="0" w:color="auto"/>
        <w:bottom w:val="none" w:sz="0" w:space="0" w:color="auto"/>
        <w:right w:val="none" w:sz="0" w:space="0" w:color="auto"/>
      </w:divBdr>
    </w:div>
    <w:div w:id="1277442847">
      <w:bodyDiv w:val="1"/>
      <w:marLeft w:val="0"/>
      <w:marRight w:val="0"/>
      <w:marTop w:val="0"/>
      <w:marBottom w:val="0"/>
      <w:divBdr>
        <w:top w:val="none" w:sz="0" w:space="0" w:color="auto"/>
        <w:left w:val="none" w:sz="0" w:space="0" w:color="auto"/>
        <w:bottom w:val="none" w:sz="0" w:space="0" w:color="auto"/>
        <w:right w:val="none" w:sz="0" w:space="0" w:color="auto"/>
      </w:divBdr>
    </w:div>
    <w:div w:id="1285648615">
      <w:bodyDiv w:val="1"/>
      <w:marLeft w:val="0"/>
      <w:marRight w:val="0"/>
      <w:marTop w:val="0"/>
      <w:marBottom w:val="0"/>
      <w:divBdr>
        <w:top w:val="none" w:sz="0" w:space="0" w:color="auto"/>
        <w:left w:val="none" w:sz="0" w:space="0" w:color="auto"/>
        <w:bottom w:val="none" w:sz="0" w:space="0" w:color="auto"/>
        <w:right w:val="none" w:sz="0" w:space="0" w:color="auto"/>
      </w:divBdr>
    </w:div>
    <w:div w:id="1286619633">
      <w:bodyDiv w:val="1"/>
      <w:marLeft w:val="0"/>
      <w:marRight w:val="0"/>
      <w:marTop w:val="0"/>
      <w:marBottom w:val="0"/>
      <w:divBdr>
        <w:top w:val="none" w:sz="0" w:space="0" w:color="auto"/>
        <w:left w:val="none" w:sz="0" w:space="0" w:color="auto"/>
        <w:bottom w:val="none" w:sz="0" w:space="0" w:color="auto"/>
        <w:right w:val="none" w:sz="0" w:space="0" w:color="auto"/>
      </w:divBdr>
    </w:div>
    <w:div w:id="1312948347">
      <w:bodyDiv w:val="1"/>
      <w:marLeft w:val="0"/>
      <w:marRight w:val="0"/>
      <w:marTop w:val="0"/>
      <w:marBottom w:val="0"/>
      <w:divBdr>
        <w:top w:val="none" w:sz="0" w:space="0" w:color="auto"/>
        <w:left w:val="none" w:sz="0" w:space="0" w:color="auto"/>
        <w:bottom w:val="none" w:sz="0" w:space="0" w:color="auto"/>
        <w:right w:val="none" w:sz="0" w:space="0" w:color="auto"/>
      </w:divBdr>
    </w:div>
    <w:div w:id="1362324061">
      <w:bodyDiv w:val="1"/>
      <w:marLeft w:val="0"/>
      <w:marRight w:val="0"/>
      <w:marTop w:val="0"/>
      <w:marBottom w:val="0"/>
      <w:divBdr>
        <w:top w:val="none" w:sz="0" w:space="0" w:color="auto"/>
        <w:left w:val="none" w:sz="0" w:space="0" w:color="auto"/>
        <w:bottom w:val="none" w:sz="0" w:space="0" w:color="auto"/>
        <w:right w:val="none" w:sz="0" w:space="0" w:color="auto"/>
      </w:divBdr>
    </w:div>
    <w:div w:id="1367414004">
      <w:bodyDiv w:val="1"/>
      <w:marLeft w:val="0"/>
      <w:marRight w:val="0"/>
      <w:marTop w:val="0"/>
      <w:marBottom w:val="0"/>
      <w:divBdr>
        <w:top w:val="none" w:sz="0" w:space="0" w:color="auto"/>
        <w:left w:val="none" w:sz="0" w:space="0" w:color="auto"/>
        <w:bottom w:val="none" w:sz="0" w:space="0" w:color="auto"/>
        <w:right w:val="none" w:sz="0" w:space="0" w:color="auto"/>
      </w:divBdr>
    </w:div>
    <w:div w:id="1375078769">
      <w:bodyDiv w:val="1"/>
      <w:marLeft w:val="0"/>
      <w:marRight w:val="0"/>
      <w:marTop w:val="0"/>
      <w:marBottom w:val="0"/>
      <w:divBdr>
        <w:top w:val="none" w:sz="0" w:space="0" w:color="auto"/>
        <w:left w:val="none" w:sz="0" w:space="0" w:color="auto"/>
        <w:bottom w:val="none" w:sz="0" w:space="0" w:color="auto"/>
        <w:right w:val="none" w:sz="0" w:space="0" w:color="auto"/>
      </w:divBdr>
    </w:div>
    <w:div w:id="1402480964">
      <w:bodyDiv w:val="1"/>
      <w:marLeft w:val="0"/>
      <w:marRight w:val="0"/>
      <w:marTop w:val="0"/>
      <w:marBottom w:val="0"/>
      <w:divBdr>
        <w:top w:val="none" w:sz="0" w:space="0" w:color="auto"/>
        <w:left w:val="none" w:sz="0" w:space="0" w:color="auto"/>
        <w:bottom w:val="none" w:sz="0" w:space="0" w:color="auto"/>
        <w:right w:val="none" w:sz="0" w:space="0" w:color="auto"/>
      </w:divBdr>
    </w:div>
    <w:div w:id="1416901663">
      <w:bodyDiv w:val="1"/>
      <w:marLeft w:val="0"/>
      <w:marRight w:val="0"/>
      <w:marTop w:val="0"/>
      <w:marBottom w:val="0"/>
      <w:divBdr>
        <w:top w:val="none" w:sz="0" w:space="0" w:color="auto"/>
        <w:left w:val="none" w:sz="0" w:space="0" w:color="auto"/>
        <w:bottom w:val="none" w:sz="0" w:space="0" w:color="auto"/>
        <w:right w:val="none" w:sz="0" w:space="0" w:color="auto"/>
      </w:divBdr>
    </w:div>
    <w:div w:id="1419523944">
      <w:bodyDiv w:val="1"/>
      <w:marLeft w:val="0"/>
      <w:marRight w:val="0"/>
      <w:marTop w:val="0"/>
      <w:marBottom w:val="0"/>
      <w:divBdr>
        <w:top w:val="none" w:sz="0" w:space="0" w:color="auto"/>
        <w:left w:val="none" w:sz="0" w:space="0" w:color="auto"/>
        <w:bottom w:val="none" w:sz="0" w:space="0" w:color="auto"/>
        <w:right w:val="none" w:sz="0" w:space="0" w:color="auto"/>
      </w:divBdr>
    </w:div>
    <w:div w:id="1444224856">
      <w:bodyDiv w:val="1"/>
      <w:marLeft w:val="0"/>
      <w:marRight w:val="0"/>
      <w:marTop w:val="0"/>
      <w:marBottom w:val="0"/>
      <w:divBdr>
        <w:top w:val="none" w:sz="0" w:space="0" w:color="auto"/>
        <w:left w:val="none" w:sz="0" w:space="0" w:color="auto"/>
        <w:bottom w:val="none" w:sz="0" w:space="0" w:color="auto"/>
        <w:right w:val="none" w:sz="0" w:space="0" w:color="auto"/>
      </w:divBdr>
    </w:div>
    <w:div w:id="1457258639">
      <w:bodyDiv w:val="1"/>
      <w:marLeft w:val="0"/>
      <w:marRight w:val="0"/>
      <w:marTop w:val="0"/>
      <w:marBottom w:val="0"/>
      <w:divBdr>
        <w:top w:val="none" w:sz="0" w:space="0" w:color="auto"/>
        <w:left w:val="none" w:sz="0" w:space="0" w:color="auto"/>
        <w:bottom w:val="none" w:sz="0" w:space="0" w:color="auto"/>
        <w:right w:val="none" w:sz="0" w:space="0" w:color="auto"/>
      </w:divBdr>
    </w:div>
    <w:div w:id="1501121442">
      <w:bodyDiv w:val="1"/>
      <w:marLeft w:val="0"/>
      <w:marRight w:val="0"/>
      <w:marTop w:val="0"/>
      <w:marBottom w:val="0"/>
      <w:divBdr>
        <w:top w:val="none" w:sz="0" w:space="0" w:color="auto"/>
        <w:left w:val="none" w:sz="0" w:space="0" w:color="auto"/>
        <w:bottom w:val="none" w:sz="0" w:space="0" w:color="auto"/>
        <w:right w:val="none" w:sz="0" w:space="0" w:color="auto"/>
      </w:divBdr>
    </w:div>
    <w:div w:id="1512186977">
      <w:bodyDiv w:val="1"/>
      <w:marLeft w:val="0"/>
      <w:marRight w:val="0"/>
      <w:marTop w:val="0"/>
      <w:marBottom w:val="0"/>
      <w:divBdr>
        <w:top w:val="none" w:sz="0" w:space="0" w:color="auto"/>
        <w:left w:val="none" w:sz="0" w:space="0" w:color="auto"/>
        <w:bottom w:val="none" w:sz="0" w:space="0" w:color="auto"/>
        <w:right w:val="none" w:sz="0" w:space="0" w:color="auto"/>
      </w:divBdr>
    </w:div>
    <w:div w:id="1514490387">
      <w:bodyDiv w:val="1"/>
      <w:marLeft w:val="0"/>
      <w:marRight w:val="0"/>
      <w:marTop w:val="0"/>
      <w:marBottom w:val="0"/>
      <w:divBdr>
        <w:top w:val="none" w:sz="0" w:space="0" w:color="auto"/>
        <w:left w:val="none" w:sz="0" w:space="0" w:color="auto"/>
        <w:bottom w:val="none" w:sz="0" w:space="0" w:color="auto"/>
        <w:right w:val="none" w:sz="0" w:space="0" w:color="auto"/>
      </w:divBdr>
    </w:div>
    <w:div w:id="1544051203">
      <w:bodyDiv w:val="1"/>
      <w:marLeft w:val="0"/>
      <w:marRight w:val="0"/>
      <w:marTop w:val="0"/>
      <w:marBottom w:val="0"/>
      <w:divBdr>
        <w:top w:val="none" w:sz="0" w:space="0" w:color="auto"/>
        <w:left w:val="none" w:sz="0" w:space="0" w:color="auto"/>
        <w:bottom w:val="none" w:sz="0" w:space="0" w:color="auto"/>
        <w:right w:val="none" w:sz="0" w:space="0" w:color="auto"/>
      </w:divBdr>
    </w:div>
    <w:div w:id="1605459543">
      <w:bodyDiv w:val="1"/>
      <w:marLeft w:val="0"/>
      <w:marRight w:val="0"/>
      <w:marTop w:val="0"/>
      <w:marBottom w:val="0"/>
      <w:divBdr>
        <w:top w:val="none" w:sz="0" w:space="0" w:color="auto"/>
        <w:left w:val="none" w:sz="0" w:space="0" w:color="auto"/>
        <w:bottom w:val="none" w:sz="0" w:space="0" w:color="auto"/>
        <w:right w:val="none" w:sz="0" w:space="0" w:color="auto"/>
      </w:divBdr>
    </w:div>
    <w:div w:id="1632247615">
      <w:bodyDiv w:val="1"/>
      <w:marLeft w:val="0"/>
      <w:marRight w:val="0"/>
      <w:marTop w:val="0"/>
      <w:marBottom w:val="0"/>
      <w:divBdr>
        <w:top w:val="none" w:sz="0" w:space="0" w:color="auto"/>
        <w:left w:val="none" w:sz="0" w:space="0" w:color="auto"/>
        <w:bottom w:val="none" w:sz="0" w:space="0" w:color="auto"/>
        <w:right w:val="none" w:sz="0" w:space="0" w:color="auto"/>
      </w:divBdr>
    </w:div>
    <w:div w:id="1637375289">
      <w:bodyDiv w:val="1"/>
      <w:marLeft w:val="0"/>
      <w:marRight w:val="0"/>
      <w:marTop w:val="0"/>
      <w:marBottom w:val="0"/>
      <w:divBdr>
        <w:top w:val="none" w:sz="0" w:space="0" w:color="auto"/>
        <w:left w:val="none" w:sz="0" w:space="0" w:color="auto"/>
        <w:bottom w:val="none" w:sz="0" w:space="0" w:color="auto"/>
        <w:right w:val="none" w:sz="0" w:space="0" w:color="auto"/>
      </w:divBdr>
    </w:div>
    <w:div w:id="1664502712">
      <w:bodyDiv w:val="1"/>
      <w:marLeft w:val="0"/>
      <w:marRight w:val="0"/>
      <w:marTop w:val="0"/>
      <w:marBottom w:val="0"/>
      <w:divBdr>
        <w:top w:val="none" w:sz="0" w:space="0" w:color="auto"/>
        <w:left w:val="none" w:sz="0" w:space="0" w:color="auto"/>
        <w:bottom w:val="none" w:sz="0" w:space="0" w:color="auto"/>
        <w:right w:val="none" w:sz="0" w:space="0" w:color="auto"/>
      </w:divBdr>
    </w:div>
    <w:div w:id="1683779549">
      <w:bodyDiv w:val="1"/>
      <w:marLeft w:val="0"/>
      <w:marRight w:val="0"/>
      <w:marTop w:val="0"/>
      <w:marBottom w:val="0"/>
      <w:divBdr>
        <w:top w:val="none" w:sz="0" w:space="0" w:color="auto"/>
        <w:left w:val="none" w:sz="0" w:space="0" w:color="auto"/>
        <w:bottom w:val="none" w:sz="0" w:space="0" w:color="auto"/>
        <w:right w:val="none" w:sz="0" w:space="0" w:color="auto"/>
      </w:divBdr>
    </w:div>
    <w:div w:id="1686516913">
      <w:bodyDiv w:val="1"/>
      <w:marLeft w:val="0"/>
      <w:marRight w:val="0"/>
      <w:marTop w:val="0"/>
      <w:marBottom w:val="0"/>
      <w:divBdr>
        <w:top w:val="none" w:sz="0" w:space="0" w:color="auto"/>
        <w:left w:val="none" w:sz="0" w:space="0" w:color="auto"/>
        <w:bottom w:val="none" w:sz="0" w:space="0" w:color="auto"/>
        <w:right w:val="none" w:sz="0" w:space="0" w:color="auto"/>
      </w:divBdr>
    </w:div>
    <w:div w:id="1739402282">
      <w:bodyDiv w:val="1"/>
      <w:marLeft w:val="0"/>
      <w:marRight w:val="0"/>
      <w:marTop w:val="0"/>
      <w:marBottom w:val="0"/>
      <w:divBdr>
        <w:top w:val="none" w:sz="0" w:space="0" w:color="auto"/>
        <w:left w:val="none" w:sz="0" w:space="0" w:color="auto"/>
        <w:bottom w:val="none" w:sz="0" w:space="0" w:color="auto"/>
        <w:right w:val="none" w:sz="0" w:space="0" w:color="auto"/>
      </w:divBdr>
    </w:div>
    <w:div w:id="1764063669">
      <w:bodyDiv w:val="1"/>
      <w:marLeft w:val="0"/>
      <w:marRight w:val="0"/>
      <w:marTop w:val="0"/>
      <w:marBottom w:val="0"/>
      <w:divBdr>
        <w:top w:val="none" w:sz="0" w:space="0" w:color="auto"/>
        <w:left w:val="none" w:sz="0" w:space="0" w:color="auto"/>
        <w:bottom w:val="none" w:sz="0" w:space="0" w:color="auto"/>
        <w:right w:val="none" w:sz="0" w:space="0" w:color="auto"/>
      </w:divBdr>
    </w:div>
    <w:div w:id="1784571247">
      <w:bodyDiv w:val="1"/>
      <w:marLeft w:val="0"/>
      <w:marRight w:val="0"/>
      <w:marTop w:val="0"/>
      <w:marBottom w:val="0"/>
      <w:divBdr>
        <w:top w:val="none" w:sz="0" w:space="0" w:color="auto"/>
        <w:left w:val="none" w:sz="0" w:space="0" w:color="auto"/>
        <w:bottom w:val="none" w:sz="0" w:space="0" w:color="auto"/>
        <w:right w:val="none" w:sz="0" w:space="0" w:color="auto"/>
      </w:divBdr>
    </w:div>
    <w:div w:id="1816334638">
      <w:bodyDiv w:val="1"/>
      <w:marLeft w:val="0"/>
      <w:marRight w:val="0"/>
      <w:marTop w:val="0"/>
      <w:marBottom w:val="0"/>
      <w:divBdr>
        <w:top w:val="none" w:sz="0" w:space="0" w:color="auto"/>
        <w:left w:val="none" w:sz="0" w:space="0" w:color="auto"/>
        <w:bottom w:val="none" w:sz="0" w:space="0" w:color="auto"/>
        <w:right w:val="none" w:sz="0" w:space="0" w:color="auto"/>
      </w:divBdr>
    </w:div>
    <w:div w:id="1818377938">
      <w:bodyDiv w:val="1"/>
      <w:marLeft w:val="0"/>
      <w:marRight w:val="0"/>
      <w:marTop w:val="0"/>
      <w:marBottom w:val="0"/>
      <w:divBdr>
        <w:top w:val="none" w:sz="0" w:space="0" w:color="auto"/>
        <w:left w:val="none" w:sz="0" w:space="0" w:color="auto"/>
        <w:bottom w:val="none" w:sz="0" w:space="0" w:color="auto"/>
        <w:right w:val="none" w:sz="0" w:space="0" w:color="auto"/>
      </w:divBdr>
    </w:div>
    <w:div w:id="1856071257">
      <w:bodyDiv w:val="1"/>
      <w:marLeft w:val="0"/>
      <w:marRight w:val="0"/>
      <w:marTop w:val="0"/>
      <w:marBottom w:val="0"/>
      <w:divBdr>
        <w:top w:val="none" w:sz="0" w:space="0" w:color="auto"/>
        <w:left w:val="none" w:sz="0" w:space="0" w:color="auto"/>
        <w:bottom w:val="none" w:sz="0" w:space="0" w:color="auto"/>
        <w:right w:val="none" w:sz="0" w:space="0" w:color="auto"/>
      </w:divBdr>
    </w:div>
    <w:div w:id="1935549288">
      <w:bodyDiv w:val="1"/>
      <w:marLeft w:val="0"/>
      <w:marRight w:val="0"/>
      <w:marTop w:val="0"/>
      <w:marBottom w:val="0"/>
      <w:divBdr>
        <w:top w:val="none" w:sz="0" w:space="0" w:color="auto"/>
        <w:left w:val="none" w:sz="0" w:space="0" w:color="auto"/>
        <w:bottom w:val="none" w:sz="0" w:space="0" w:color="auto"/>
        <w:right w:val="none" w:sz="0" w:space="0" w:color="auto"/>
      </w:divBdr>
    </w:div>
    <w:div w:id="1937399632">
      <w:bodyDiv w:val="1"/>
      <w:marLeft w:val="0"/>
      <w:marRight w:val="0"/>
      <w:marTop w:val="0"/>
      <w:marBottom w:val="0"/>
      <w:divBdr>
        <w:top w:val="none" w:sz="0" w:space="0" w:color="auto"/>
        <w:left w:val="none" w:sz="0" w:space="0" w:color="auto"/>
        <w:bottom w:val="none" w:sz="0" w:space="0" w:color="auto"/>
        <w:right w:val="none" w:sz="0" w:space="0" w:color="auto"/>
      </w:divBdr>
    </w:div>
    <w:div w:id="1970358034">
      <w:bodyDiv w:val="1"/>
      <w:marLeft w:val="0"/>
      <w:marRight w:val="0"/>
      <w:marTop w:val="0"/>
      <w:marBottom w:val="0"/>
      <w:divBdr>
        <w:top w:val="none" w:sz="0" w:space="0" w:color="auto"/>
        <w:left w:val="none" w:sz="0" w:space="0" w:color="auto"/>
        <w:bottom w:val="none" w:sz="0" w:space="0" w:color="auto"/>
        <w:right w:val="none" w:sz="0" w:space="0" w:color="auto"/>
      </w:divBdr>
    </w:div>
    <w:div w:id="2007131678">
      <w:bodyDiv w:val="1"/>
      <w:marLeft w:val="0"/>
      <w:marRight w:val="0"/>
      <w:marTop w:val="0"/>
      <w:marBottom w:val="0"/>
      <w:divBdr>
        <w:top w:val="none" w:sz="0" w:space="0" w:color="auto"/>
        <w:left w:val="none" w:sz="0" w:space="0" w:color="auto"/>
        <w:bottom w:val="none" w:sz="0" w:space="0" w:color="auto"/>
        <w:right w:val="none" w:sz="0" w:space="0" w:color="auto"/>
      </w:divBdr>
    </w:div>
    <w:div w:id="2095664960">
      <w:bodyDiv w:val="1"/>
      <w:marLeft w:val="0"/>
      <w:marRight w:val="0"/>
      <w:marTop w:val="0"/>
      <w:marBottom w:val="0"/>
      <w:divBdr>
        <w:top w:val="none" w:sz="0" w:space="0" w:color="auto"/>
        <w:left w:val="none" w:sz="0" w:space="0" w:color="auto"/>
        <w:bottom w:val="none" w:sz="0" w:space="0" w:color="auto"/>
        <w:right w:val="none" w:sz="0" w:space="0" w:color="auto"/>
      </w:divBdr>
    </w:div>
    <w:div w:id="20965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bls.gov/cpi/tables.htm" TargetMode="External"/><Relationship Id="rId39" Type="http://schemas.openxmlformats.org/officeDocument/2006/relationships/hyperlink" Target="http://www.bls.gov/oes/current/oes491011.htm" TargetMode="External"/><Relationship Id="rId21" Type="http://schemas.openxmlformats.org/officeDocument/2006/relationships/image" Target="media/image2.emf"/><Relationship Id="rId34" Type="http://schemas.openxmlformats.org/officeDocument/2006/relationships/hyperlink" Target="http://www.gao.gov/products/GAO-15-98" TargetMode="External"/><Relationship Id="rId42" Type="http://schemas.openxmlformats.org/officeDocument/2006/relationships/hyperlink" Target="http://www.bls.gov/oes/current/oes172161.htm" TargetMode="External"/><Relationship Id="rId47" Type="http://schemas.openxmlformats.org/officeDocument/2006/relationships/hyperlink" Target="http://www.bls.gov/oes/current/oes431011.htm" TargetMode="External"/><Relationship Id="rId50" Type="http://schemas.openxmlformats.org/officeDocument/2006/relationships/hyperlink" Target="http://www.bls.gov/oes/current/oes231011.htm" TargetMode="External"/><Relationship Id="rId55"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6.emf"/><Relationship Id="rId33" Type="http://schemas.openxmlformats.org/officeDocument/2006/relationships/hyperlink" Target="https://www.iaea.org/PRIS/CountryStatistics/CountryDetails.aspx?current=US" TargetMode="External"/><Relationship Id="rId38" Type="http://schemas.openxmlformats.org/officeDocument/2006/relationships/hyperlink" Target="http://www.bls.gov/oes/current/oes511011.htm" TargetMode="External"/><Relationship Id="rId46" Type="http://schemas.openxmlformats.org/officeDocument/2006/relationships/hyperlink" Target="http://www.bls.gov/oes/current/naics4_221100.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bls.gov/soc/home.htm" TargetMode="External"/><Relationship Id="rId41" Type="http://schemas.openxmlformats.org/officeDocument/2006/relationships/hyperlink" Target="http://www.bls.gov/oes/current/oes111021.htm" TargetMode="External"/><Relationship Id="rId54" Type="http://schemas.openxmlformats.org/officeDocument/2006/relationships/hyperlink" Target="http://www.bls.gov/oes/current/oes11101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hyperlink" Target="http://www.whitehouse.gov/omb/circulars_a004_a-4/" TargetMode="External"/><Relationship Id="rId37" Type="http://schemas.openxmlformats.org/officeDocument/2006/relationships/hyperlink" Target="http://www.bls.gov/oes/current/oes_nat.htm" TargetMode="External"/><Relationship Id="rId40" Type="http://schemas.openxmlformats.org/officeDocument/2006/relationships/hyperlink" Target="http://www.bls.gov/oes/current/oes113051.htm" TargetMode="External"/><Relationship Id="rId45" Type="http://schemas.openxmlformats.org/officeDocument/2006/relationships/hyperlink" Target="http://www.bls.gov/oes/current/oes499041.htm" TargetMode="External"/><Relationship Id="rId53" Type="http://schemas.openxmlformats.org/officeDocument/2006/relationships/hyperlink" Target="http://www.bls.gov/soc/home.htm"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hyperlink" Target="http://www.bls.gov/iag/tgs/iag22.htm" TargetMode="External"/><Relationship Id="rId36" Type="http://schemas.openxmlformats.org/officeDocument/2006/relationships/hyperlink" Target="http://www.bls.gov/oes/current/oes111011.htm" TargetMode="External"/><Relationship Id="rId49" Type="http://schemas.openxmlformats.org/officeDocument/2006/relationships/hyperlink" Target="http://www.bls.gov/oes/current/oes232011.htm"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www.nrc.gov/reading-rm/doc-collections/nuregs/staff/sr1350/" TargetMode="External"/><Relationship Id="rId44" Type="http://schemas.openxmlformats.org/officeDocument/2006/relationships/hyperlink" Target="http://www.bls.gov/oes/current/oes518011.htm" TargetMode="External"/><Relationship Id="rId52" Type="http://schemas.openxmlformats.org/officeDocument/2006/relationships/hyperlink" Target="http://www.bls.gov/bls/naics.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emf"/><Relationship Id="rId27" Type="http://schemas.openxmlformats.org/officeDocument/2006/relationships/hyperlink" Target="http://www.cbo.gov/sites/default/files/cbofiles/%20attachments/49892-Outlook2015.pdf" TargetMode="External"/><Relationship Id="rId30" Type="http://schemas.openxmlformats.org/officeDocument/2006/relationships/hyperlink" Target="http://www.bls.gov/bls/naics.htm" TargetMode="External"/><Relationship Id="rId35" Type="http://schemas.openxmlformats.org/officeDocument/2006/relationships/hyperlink" Target="http://www.gao.gov/new.items/d093sp.pdf" TargetMode="External"/><Relationship Id="rId43" Type="http://schemas.openxmlformats.org/officeDocument/2006/relationships/hyperlink" Target="http://www.bls.gov/oes/current/oes194051.htm" TargetMode="External"/><Relationship Id="rId48" Type="http://schemas.openxmlformats.org/officeDocument/2006/relationships/hyperlink" Target="http://www.bls.gov/oes/current/oes439061.htm" TargetMode="External"/><Relationship Id="rId56"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hyperlink" Target="http://www.bls.gov/oes/current/oes192012.htm"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palisade.com/" TargetMode="External"/><Relationship Id="rId2" Type="http://schemas.openxmlformats.org/officeDocument/2006/relationships/hyperlink" Target="http://www.exeloncorp.com" TargetMode="External"/><Relationship Id="rId1" Type="http://schemas.openxmlformats.org/officeDocument/2006/relationships/hyperlink" Target="http://www.ent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D153E40AEA494FA79296204C681BB7" ma:contentTypeVersion="0" ma:contentTypeDescription="Create a new document." ma:contentTypeScope="" ma:versionID="491183dba175b2e17dca8821257ed06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9312-502B-49C2-B873-B43E22765803}">
  <ds:schemaRef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E60FA36-A1D7-4A64-98BB-02BC8B4698DD}">
  <ds:schemaRefs>
    <ds:schemaRef ds:uri="http://schemas.microsoft.com/sharepoint/v3/contenttype/forms"/>
  </ds:schemaRefs>
</ds:datastoreItem>
</file>

<file path=customXml/itemProps3.xml><?xml version="1.0" encoding="utf-8"?>
<ds:datastoreItem xmlns:ds="http://schemas.openxmlformats.org/officeDocument/2006/customXml" ds:itemID="{18055229-2211-42F5-8A17-DD792F2A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5F1E2B-EE72-4F20-A1E1-A692F0E7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20841</Words>
  <Characters>118798</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Nuclear Regulatory Commission</Company>
  <LinksUpToDate>false</LinksUpToDate>
  <CharactersWithSpaces>139361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TGS</dc:creator>
  <cp:lastModifiedBy>SYSTEM</cp:lastModifiedBy>
  <cp:revision>2</cp:revision>
  <cp:lastPrinted>2017-07-31T19:25:00Z</cp:lastPrinted>
  <dcterms:created xsi:type="dcterms:W3CDTF">2017-08-03T21:04:00Z</dcterms:created>
  <dcterms:modified xsi:type="dcterms:W3CDTF">2017-08-03T21:04:00Z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0x01010091D153E40AEA494FA79296204C681BB7</vt:lpwstr>
  </property>
</Properties>
</file>