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9D989" w14:textId="77777777" w:rsidR="00A90E28" w:rsidRPr="004447FF" w:rsidRDefault="00AF35D2" w:rsidP="00A90E28">
      <w:pPr>
        <w:jc w:val="center"/>
        <w:rPr>
          <w:rFonts w:asciiTheme="minorHAnsi" w:hAnsiTheme="minorHAnsi"/>
          <w:sz w:val="22"/>
          <w:szCs w:val="22"/>
          <w:highlight w:val="white"/>
        </w:rPr>
      </w:pPr>
      <w:bookmarkStart w:id="0" w:name="_GoBack"/>
      <w:bookmarkEnd w:id="0"/>
      <w:r w:rsidRPr="004447FF">
        <w:rPr>
          <w:rFonts w:asciiTheme="minorHAnsi" w:hAnsiTheme="minorHAnsi"/>
          <w:sz w:val="22"/>
          <w:szCs w:val="22"/>
          <w:highlight w:val="white"/>
        </w:rPr>
        <w:t xml:space="preserve">SUPPORTING STATEMENT </w:t>
      </w:r>
    </w:p>
    <w:p w14:paraId="4F6B55B4" w14:textId="77777777" w:rsidR="008A6559" w:rsidRPr="004447FF" w:rsidRDefault="00AF35D2" w:rsidP="00A90E28">
      <w:pPr>
        <w:jc w:val="center"/>
        <w:rPr>
          <w:rFonts w:asciiTheme="minorHAnsi" w:hAnsiTheme="minorHAnsi"/>
          <w:sz w:val="22"/>
          <w:szCs w:val="22"/>
          <w:highlight w:val="white"/>
        </w:rPr>
      </w:pPr>
      <w:r w:rsidRPr="004447FF">
        <w:rPr>
          <w:rFonts w:asciiTheme="minorHAnsi" w:hAnsiTheme="minorHAnsi"/>
          <w:sz w:val="22"/>
          <w:szCs w:val="22"/>
          <w:highlight w:val="white"/>
        </w:rPr>
        <w:t>UNITED STATES INTERNATIONAL</w:t>
      </w:r>
      <w:r w:rsidR="00A90E28" w:rsidRPr="004447FF">
        <w:rPr>
          <w:rFonts w:asciiTheme="minorHAnsi" w:hAnsiTheme="minorHAnsi"/>
          <w:sz w:val="22"/>
          <w:szCs w:val="22"/>
          <w:highlight w:val="white"/>
        </w:rPr>
        <w:t xml:space="preserve"> TRADE COMMISSION QUESTIONNAIRE</w:t>
      </w:r>
    </w:p>
    <w:p w14:paraId="63C3BAD2" w14:textId="77777777" w:rsidR="00346B7F" w:rsidRPr="004447FF" w:rsidRDefault="00346B7F" w:rsidP="00346B7F">
      <w:pPr>
        <w:jc w:val="center"/>
        <w:rPr>
          <w:rFonts w:asciiTheme="minorHAnsi" w:hAnsiTheme="minorHAnsi"/>
          <w:i/>
          <w:sz w:val="22"/>
          <w:szCs w:val="22"/>
        </w:rPr>
      </w:pPr>
    </w:p>
    <w:p w14:paraId="63BF7FB0" w14:textId="74988957" w:rsidR="000B4A56" w:rsidRPr="005923CA" w:rsidRDefault="000B4A56" w:rsidP="00346B7F">
      <w:pPr>
        <w:jc w:val="center"/>
        <w:rPr>
          <w:rFonts w:asciiTheme="minorHAnsi" w:hAnsiTheme="minorHAnsi"/>
          <w:sz w:val="22"/>
          <w:szCs w:val="22"/>
        </w:rPr>
      </w:pPr>
      <w:r w:rsidRPr="005923CA">
        <w:rPr>
          <w:rFonts w:asciiTheme="minorHAnsi" w:hAnsiTheme="minorHAnsi"/>
          <w:sz w:val="22"/>
          <w:szCs w:val="22"/>
        </w:rPr>
        <w:t>Inv. Nos. 332-562 and 332-563</w:t>
      </w:r>
      <w:r w:rsidR="00132B12">
        <w:rPr>
          <w:rFonts w:asciiTheme="minorHAnsi" w:hAnsiTheme="minorHAnsi"/>
          <w:sz w:val="22"/>
          <w:szCs w:val="22"/>
        </w:rPr>
        <w:br/>
      </w:r>
    </w:p>
    <w:p w14:paraId="66E301B9" w14:textId="77777777" w:rsidR="00346B7F" w:rsidRPr="004447FF" w:rsidRDefault="00346B7F" w:rsidP="00346B7F">
      <w:pPr>
        <w:jc w:val="center"/>
        <w:rPr>
          <w:rFonts w:asciiTheme="minorHAnsi" w:hAnsiTheme="minorHAnsi"/>
          <w:b/>
          <w:i/>
          <w:sz w:val="22"/>
          <w:szCs w:val="22"/>
        </w:rPr>
      </w:pPr>
      <w:r w:rsidRPr="004447FF">
        <w:rPr>
          <w:rFonts w:asciiTheme="minorHAnsi" w:hAnsiTheme="minorHAnsi"/>
          <w:i/>
          <w:sz w:val="22"/>
          <w:szCs w:val="22"/>
        </w:rPr>
        <w:t xml:space="preserve">Global Digital Trade 2: The Business-to-Business Market, Key Foreign Trade Restrictions, and U.S. Competitiveness; </w:t>
      </w:r>
      <w:r w:rsidRPr="004447FF">
        <w:rPr>
          <w:rFonts w:asciiTheme="minorHAnsi" w:hAnsiTheme="minorHAnsi"/>
          <w:sz w:val="22"/>
          <w:szCs w:val="22"/>
        </w:rPr>
        <w:t>and</w:t>
      </w:r>
      <w:r w:rsidRPr="004447FF">
        <w:rPr>
          <w:rFonts w:asciiTheme="minorHAnsi" w:hAnsiTheme="minorHAnsi"/>
          <w:i/>
          <w:sz w:val="22"/>
          <w:szCs w:val="22"/>
        </w:rPr>
        <w:t xml:space="preserve"> Global Digital Trade 3: The Business-to-Consumer Market, Key Foreign Trade Restrictions, and U.S. Competitiveness</w:t>
      </w:r>
    </w:p>
    <w:p w14:paraId="2DC60494" w14:textId="77777777" w:rsidR="00346B7F" w:rsidRPr="004447FF" w:rsidRDefault="00346B7F" w:rsidP="00A90E28">
      <w:pPr>
        <w:jc w:val="center"/>
        <w:rPr>
          <w:rFonts w:asciiTheme="minorHAnsi" w:hAnsiTheme="minorHAnsi"/>
          <w:bCs/>
          <w:sz w:val="22"/>
          <w:szCs w:val="22"/>
          <w:highlight w:val="white"/>
        </w:rPr>
      </w:pPr>
    </w:p>
    <w:p w14:paraId="20AA6A99" w14:textId="110671FF" w:rsidR="00A90E28" w:rsidRPr="004447FF" w:rsidRDefault="00A90E28" w:rsidP="00A90E28">
      <w:pPr>
        <w:jc w:val="center"/>
        <w:rPr>
          <w:rFonts w:asciiTheme="minorHAnsi" w:hAnsiTheme="minorHAnsi"/>
          <w:sz w:val="22"/>
          <w:szCs w:val="22"/>
          <w:highlight w:val="white"/>
        </w:rPr>
      </w:pPr>
      <w:r w:rsidRPr="004447FF">
        <w:rPr>
          <w:rFonts w:asciiTheme="minorHAnsi" w:hAnsiTheme="minorHAnsi"/>
          <w:sz w:val="22"/>
          <w:szCs w:val="22"/>
          <w:highlight w:val="white"/>
        </w:rPr>
        <w:t>Part B</w:t>
      </w:r>
      <w:r w:rsidR="005E0A47">
        <w:rPr>
          <w:rFonts w:asciiTheme="minorHAnsi" w:hAnsiTheme="minorHAnsi"/>
          <w:sz w:val="22"/>
          <w:szCs w:val="22"/>
          <w:highlight w:val="white"/>
        </w:rPr>
        <w:t>-</w:t>
      </w:r>
      <w:r w:rsidRPr="004447FF">
        <w:rPr>
          <w:rFonts w:asciiTheme="minorHAnsi" w:hAnsiTheme="minorHAnsi"/>
          <w:bCs/>
          <w:sz w:val="22"/>
          <w:szCs w:val="22"/>
          <w:highlight w:val="white"/>
        </w:rPr>
        <w:t>Collection of Information Employing Statistical Methods</w:t>
      </w:r>
    </w:p>
    <w:p w14:paraId="44C83856" w14:textId="77777777" w:rsidR="00AF35D2" w:rsidRPr="004447FF" w:rsidRDefault="00AF35D2" w:rsidP="00A90E28">
      <w:pPr>
        <w:rPr>
          <w:rFonts w:asciiTheme="minorHAnsi" w:hAnsiTheme="minorHAnsi"/>
          <w:sz w:val="22"/>
          <w:szCs w:val="22"/>
          <w:highlight w:val="white"/>
        </w:rPr>
      </w:pPr>
    </w:p>
    <w:p w14:paraId="50262364" w14:textId="77777777" w:rsidR="00EA1716" w:rsidRPr="004447FF" w:rsidRDefault="00EA1716" w:rsidP="00A90E28">
      <w:pPr>
        <w:rPr>
          <w:rFonts w:asciiTheme="minorHAnsi" w:hAnsiTheme="minorHAnsi"/>
          <w:sz w:val="22"/>
          <w:szCs w:val="22"/>
          <w:highlight w:val="white"/>
        </w:rPr>
      </w:pPr>
    </w:p>
    <w:p w14:paraId="62289F99" w14:textId="77777777" w:rsidR="00AF35D2" w:rsidRPr="004447FF"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highlight w:val="white"/>
        </w:rPr>
      </w:pPr>
      <w:r w:rsidRPr="004447FF">
        <w:rPr>
          <w:rFonts w:asciiTheme="minorHAnsi" w:hAnsiTheme="minorHAnsi"/>
          <w:b/>
          <w:bCs/>
          <w:sz w:val="22"/>
          <w:szCs w:val="22"/>
          <w:highlight w:val="white"/>
        </w:rPr>
        <w:t>1.</w:t>
      </w:r>
      <w:r w:rsidRPr="004447FF">
        <w:rPr>
          <w:rFonts w:asciiTheme="minorHAnsi" w:hAnsiTheme="minorHAnsi"/>
          <w:b/>
          <w:bCs/>
          <w:sz w:val="22"/>
          <w:szCs w:val="22"/>
          <w:highlight w:val="white"/>
        </w:rPr>
        <w:tab/>
        <w:t>Re</w:t>
      </w:r>
      <w:r w:rsidR="00AB699E" w:rsidRPr="004447FF">
        <w:rPr>
          <w:rFonts w:asciiTheme="minorHAnsi" w:hAnsiTheme="minorHAnsi"/>
          <w:b/>
          <w:bCs/>
          <w:sz w:val="22"/>
          <w:szCs w:val="22"/>
          <w:highlight w:val="white"/>
        </w:rPr>
        <w:t>sponse universe</w:t>
      </w:r>
      <w:r w:rsidR="00E50A84" w:rsidRPr="004447FF">
        <w:rPr>
          <w:rFonts w:asciiTheme="minorHAnsi" w:hAnsiTheme="minorHAnsi"/>
          <w:b/>
          <w:bCs/>
          <w:sz w:val="22"/>
          <w:szCs w:val="22"/>
          <w:highlight w:val="white"/>
        </w:rPr>
        <w:t>, sample sources,</w:t>
      </w:r>
      <w:r w:rsidR="00AB699E" w:rsidRPr="004447FF">
        <w:rPr>
          <w:rFonts w:asciiTheme="minorHAnsi" w:hAnsiTheme="minorHAnsi"/>
          <w:b/>
          <w:bCs/>
          <w:sz w:val="22"/>
          <w:szCs w:val="22"/>
          <w:highlight w:val="white"/>
        </w:rPr>
        <w:t xml:space="preserve"> and sampling strata</w:t>
      </w:r>
    </w:p>
    <w:p w14:paraId="4B7F9C7A" w14:textId="77777777" w:rsidR="00484DD7" w:rsidRPr="004447FF" w:rsidRDefault="00484DD7" w:rsidP="00A90E28">
      <w:pPr>
        <w:rPr>
          <w:rFonts w:asciiTheme="minorHAnsi" w:hAnsiTheme="minorHAnsi"/>
          <w:sz w:val="22"/>
          <w:szCs w:val="22"/>
        </w:rPr>
      </w:pPr>
    </w:p>
    <w:p w14:paraId="79A2E3BC" w14:textId="77777777" w:rsidR="00406244" w:rsidRPr="004447FF" w:rsidRDefault="00406244" w:rsidP="00A90E28">
      <w:pPr>
        <w:rPr>
          <w:rFonts w:asciiTheme="minorHAnsi" w:hAnsiTheme="minorHAnsi"/>
          <w:b/>
          <w:sz w:val="22"/>
          <w:szCs w:val="22"/>
        </w:rPr>
      </w:pPr>
      <w:r w:rsidRPr="004447FF">
        <w:rPr>
          <w:rFonts w:asciiTheme="minorHAnsi" w:hAnsiTheme="minorHAnsi"/>
          <w:b/>
          <w:sz w:val="22"/>
          <w:szCs w:val="22"/>
        </w:rPr>
        <w:t>Survey objectives</w:t>
      </w:r>
    </w:p>
    <w:p w14:paraId="7907A751" w14:textId="77777777" w:rsidR="00346B7F" w:rsidRPr="004447FF" w:rsidRDefault="00346B7F" w:rsidP="00A90E28">
      <w:pPr>
        <w:rPr>
          <w:rFonts w:asciiTheme="minorHAnsi" w:hAnsiTheme="minorHAnsi"/>
          <w:sz w:val="22"/>
          <w:szCs w:val="22"/>
        </w:rPr>
      </w:pPr>
    </w:p>
    <w:p w14:paraId="35AAD0BA" w14:textId="786828E0" w:rsidR="00346B7F" w:rsidRPr="004447FF" w:rsidRDefault="004447FF" w:rsidP="004447FF">
      <w:pPr>
        <w:pStyle w:val="NoSpacing"/>
        <w:rPr>
          <w:rFonts w:asciiTheme="minorHAnsi" w:hAnsiTheme="minorHAnsi"/>
          <w:sz w:val="22"/>
          <w:szCs w:val="22"/>
        </w:rPr>
      </w:pPr>
      <w:r w:rsidRPr="004447FF">
        <w:rPr>
          <w:rFonts w:asciiTheme="minorHAnsi" w:hAnsiTheme="minorHAnsi"/>
          <w:sz w:val="22"/>
          <w:szCs w:val="22"/>
        </w:rPr>
        <w:t>I</w:t>
      </w:r>
      <w:r w:rsidR="00346B7F" w:rsidRPr="004447FF">
        <w:rPr>
          <w:rFonts w:asciiTheme="minorHAnsi" w:hAnsiTheme="minorHAnsi"/>
          <w:sz w:val="22"/>
          <w:szCs w:val="22"/>
        </w:rPr>
        <w:t>n a letter dated</w:t>
      </w:r>
      <w:r w:rsidR="001B07C9" w:rsidRPr="004447FF">
        <w:rPr>
          <w:rFonts w:asciiTheme="minorHAnsi" w:hAnsiTheme="minorHAnsi"/>
          <w:sz w:val="22"/>
          <w:szCs w:val="22"/>
        </w:rPr>
        <w:t xml:space="preserve"> January 13, 2017</w:t>
      </w:r>
      <w:r w:rsidRPr="004447FF">
        <w:rPr>
          <w:rFonts w:asciiTheme="minorHAnsi" w:hAnsiTheme="minorHAnsi"/>
          <w:sz w:val="22"/>
          <w:szCs w:val="22"/>
        </w:rPr>
        <w:t xml:space="preserve">, </w:t>
      </w:r>
      <w:r w:rsidR="00306540">
        <w:rPr>
          <w:rFonts w:asciiTheme="minorHAnsi" w:hAnsiTheme="minorHAnsi"/>
          <w:sz w:val="22"/>
          <w:szCs w:val="22"/>
        </w:rPr>
        <w:t xml:space="preserve">the U.S. Trade Representative (USTR) directed the Commission to produce two reports that analyze the impact of regulatory and policy measures in key foreign markets on </w:t>
      </w:r>
      <w:r w:rsidR="00806472" w:rsidRPr="00806472">
        <w:rPr>
          <w:rFonts w:asciiTheme="minorHAnsi" w:hAnsiTheme="minorHAnsi"/>
          <w:sz w:val="22"/>
          <w:szCs w:val="22"/>
        </w:rPr>
        <w:t>(1) the ability of U.S. firms to develop and/or supply digital products and services abroad, and (2) the competitiveness of U.S. firms engaged in the sale of digital products and services, as well as on international trade and investment flows associated with digital products and services.</w:t>
      </w:r>
      <w:r w:rsidR="00306540">
        <w:rPr>
          <w:rFonts w:asciiTheme="minorHAnsi" w:hAnsiTheme="minorHAnsi"/>
          <w:sz w:val="22"/>
          <w:szCs w:val="22"/>
        </w:rPr>
        <w:t xml:space="preserve"> </w:t>
      </w:r>
      <w:r w:rsidRPr="00ED4468">
        <w:rPr>
          <w:rFonts w:ascii="Calibri" w:hAnsi="Calibri"/>
          <w:sz w:val="22"/>
          <w:szCs w:val="22"/>
        </w:rPr>
        <w:t xml:space="preserve">The </w:t>
      </w:r>
      <w:r w:rsidR="00306540">
        <w:rPr>
          <w:rFonts w:ascii="Calibri" w:hAnsi="Calibri"/>
          <w:sz w:val="22"/>
          <w:szCs w:val="22"/>
        </w:rPr>
        <w:t>USTR</w:t>
      </w:r>
      <w:r w:rsidR="00306540" w:rsidRPr="00ED4468">
        <w:rPr>
          <w:rFonts w:ascii="Calibri" w:hAnsi="Calibri"/>
          <w:sz w:val="22"/>
          <w:szCs w:val="22"/>
        </w:rPr>
        <w:t xml:space="preserve"> </w:t>
      </w:r>
      <w:r w:rsidRPr="00ED4468">
        <w:rPr>
          <w:rFonts w:ascii="Calibri" w:hAnsi="Calibri"/>
          <w:sz w:val="22"/>
          <w:szCs w:val="22"/>
        </w:rPr>
        <w:t>specified that the Commission’s report be based on a review of available data, including a survey of U.S. firms in selected industries particularly involved in digital trade</w:t>
      </w:r>
      <w:r>
        <w:rPr>
          <w:rFonts w:ascii="Calibri" w:hAnsi="Calibri"/>
          <w:sz w:val="22"/>
          <w:szCs w:val="22"/>
        </w:rPr>
        <w:t>.</w:t>
      </w:r>
    </w:p>
    <w:p w14:paraId="7516449C" w14:textId="77777777" w:rsidR="00396F85" w:rsidRPr="004447FF" w:rsidRDefault="00396F85" w:rsidP="00A90E28">
      <w:pPr>
        <w:rPr>
          <w:rFonts w:asciiTheme="minorHAnsi" w:hAnsiTheme="minorHAnsi"/>
          <w:sz w:val="22"/>
          <w:szCs w:val="22"/>
        </w:rPr>
      </w:pPr>
    </w:p>
    <w:p w14:paraId="72531B17" w14:textId="77777777" w:rsidR="007C1A8C" w:rsidRPr="004447FF" w:rsidRDefault="007C1A8C" w:rsidP="00A90E28">
      <w:pPr>
        <w:rPr>
          <w:rFonts w:asciiTheme="minorHAnsi" w:hAnsiTheme="minorHAnsi"/>
          <w:b/>
          <w:sz w:val="22"/>
          <w:szCs w:val="22"/>
        </w:rPr>
      </w:pPr>
      <w:r w:rsidRPr="004447FF">
        <w:rPr>
          <w:rFonts w:asciiTheme="minorHAnsi" w:hAnsiTheme="minorHAnsi"/>
          <w:b/>
          <w:sz w:val="22"/>
          <w:szCs w:val="22"/>
        </w:rPr>
        <w:t>Respondent universe</w:t>
      </w:r>
    </w:p>
    <w:p w14:paraId="79433C76" w14:textId="77777777" w:rsidR="00405E20" w:rsidRDefault="00405E20" w:rsidP="00A90E28">
      <w:pPr>
        <w:rPr>
          <w:rFonts w:asciiTheme="minorHAnsi" w:hAnsiTheme="minorHAnsi"/>
          <w:sz w:val="22"/>
          <w:szCs w:val="22"/>
        </w:rPr>
      </w:pPr>
    </w:p>
    <w:p w14:paraId="2373657E" w14:textId="310A4E85" w:rsidR="004447FF" w:rsidRDefault="004447FF" w:rsidP="00A90E28">
      <w:pPr>
        <w:rPr>
          <w:rFonts w:asciiTheme="minorHAnsi" w:hAnsiTheme="minorHAnsi"/>
          <w:sz w:val="22"/>
          <w:szCs w:val="22"/>
        </w:rPr>
      </w:pPr>
      <w:r>
        <w:rPr>
          <w:rFonts w:asciiTheme="minorHAnsi" w:hAnsiTheme="minorHAnsi"/>
          <w:sz w:val="22"/>
          <w:szCs w:val="22"/>
        </w:rPr>
        <w:t>The respondent universe includes all companies</w:t>
      </w:r>
      <w:r w:rsidR="00D3474E">
        <w:rPr>
          <w:rFonts w:asciiTheme="minorHAnsi" w:hAnsiTheme="minorHAnsi"/>
          <w:sz w:val="22"/>
          <w:szCs w:val="22"/>
        </w:rPr>
        <w:t xml:space="preserve"> in industries that are particularly involved in the development and supply of digitals products and services. </w:t>
      </w:r>
      <w:r>
        <w:rPr>
          <w:rFonts w:asciiTheme="minorHAnsi" w:hAnsiTheme="minorHAnsi"/>
          <w:sz w:val="22"/>
          <w:szCs w:val="22"/>
        </w:rPr>
        <w:t xml:space="preserve">The USITC has identified </w:t>
      </w:r>
      <w:r w:rsidR="00B47473">
        <w:rPr>
          <w:rFonts w:asciiTheme="minorHAnsi" w:hAnsiTheme="minorHAnsi"/>
          <w:sz w:val="22"/>
          <w:szCs w:val="22"/>
        </w:rPr>
        <w:t>52,863</w:t>
      </w:r>
      <w:r w:rsidRPr="00F425C8">
        <w:rPr>
          <w:rFonts w:asciiTheme="minorHAnsi" w:hAnsiTheme="minorHAnsi"/>
          <w:sz w:val="22"/>
          <w:szCs w:val="22"/>
        </w:rPr>
        <w:t xml:space="preserve"> </w:t>
      </w:r>
      <w:r>
        <w:rPr>
          <w:rFonts w:asciiTheme="minorHAnsi" w:hAnsiTheme="minorHAnsi"/>
          <w:sz w:val="22"/>
          <w:szCs w:val="22"/>
        </w:rPr>
        <w:t xml:space="preserve">such firms for its sampling frame, of which </w:t>
      </w:r>
      <w:r w:rsidRPr="00795FC0">
        <w:rPr>
          <w:rFonts w:asciiTheme="minorHAnsi" w:hAnsiTheme="minorHAnsi"/>
          <w:sz w:val="22"/>
          <w:szCs w:val="22"/>
        </w:rPr>
        <w:t>13,000</w:t>
      </w:r>
      <w:r>
        <w:rPr>
          <w:rFonts w:asciiTheme="minorHAnsi" w:hAnsiTheme="minorHAnsi"/>
          <w:sz w:val="22"/>
          <w:szCs w:val="22"/>
        </w:rPr>
        <w:t xml:space="preserve"> will be sampled. The sampling unit is the firm rather than the establishment.</w:t>
      </w:r>
    </w:p>
    <w:p w14:paraId="1D095889" w14:textId="77777777" w:rsidR="004447FF" w:rsidRDefault="004447FF" w:rsidP="00A90E28">
      <w:pPr>
        <w:rPr>
          <w:rFonts w:asciiTheme="minorHAnsi" w:hAnsiTheme="minorHAnsi"/>
          <w:sz w:val="22"/>
          <w:szCs w:val="22"/>
        </w:rPr>
      </w:pPr>
    </w:p>
    <w:p w14:paraId="0A96375F" w14:textId="5C2CB0F0" w:rsidR="004447FF" w:rsidRDefault="004447FF" w:rsidP="00A90E28">
      <w:pPr>
        <w:rPr>
          <w:rFonts w:asciiTheme="minorHAnsi" w:hAnsiTheme="minorHAnsi"/>
          <w:sz w:val="22"/>
          <w:szCs w:val="22"/>
        </w:rPr>
      </w:pPr>
      <w:r>
        <w:rPr>
          <w:rFonts w:asciiTheme="minorHAnsi" w:hAnsiTheme="minorHAnsi"/>
          <w:sz w:val="22"/>
          <w:szCs w:val="22"/>
        </w:rPr>
        <w:t xml:space="preserve">To examine the effect of policy and regulatory measures, it is necessary to include a broad list of firms that are </w:t>
      </w:r>
      <w:r w:rsidR="00696A06">
        <w:rPr>
          <w:rFonts w:asciiTheme="minorHAnsi" w:hAnsiTheme="minorHAnsi"/>
          <w:sz w:val="22"/>
          <w:szCs w:val="22"/>
        </w:rPr>
        <w:t xml:space="preserve">currently doing business in </w:t>
      </w:r>
      <w:r w:rsidR="002334E8">
        <w:rPr>
          <w:rFonts w:asciiTheme="minorHAnsi" w:hAnsiTheme="minorHAnsi"/>
          <w:sz w:val="22"/>
          <w:szCs w:val="22"/>
        </w:rPr>
        <w:t xml:space="preserve">foreign </w:t>
      </w:r>
      <w:r w:rsidR="00696A06">
        <w:rPr>
          <w:rFonts w:asciiTheme="minorHAnsi" w:hAnsiTheme="minorHAnsi"/>
          <w:sz w:val="22"/>
          <w:szCs w:val="22"/>
        </w:rPr>
        <w:t>markets</w:t>
      </w:r>
      <w:r w:rsidR="002334E8">
        <w:rPr>
          <w:rFonts w:asciiTheme="minorHAnsi" w:hAnsiTheme="minorHAnsi"/>
          <w:sz w:val="22"/>
          <w:szCs w:val="22"/>
        </w:rPr>
        <w:t>, as well as those that are not,</w:t>
      </w:r>
      <w:r w:rsidR="00696A06">
        <w:rPr>
          <w:rFonts w:asciiTheme="minorHAnsi" w:hAnsiTheme="minorHAnsi"/>
          <w:sz w:val="22"/>
          <w:szCs w:val="22"/>
        </w:rPr>
        <w:t xml:space="preserve"> but are potentially interested in doing so. As a result, the response universe will include firms with a potential for digital trade and not only firms that are</w:t>
      </w:r>
      <w:r w:rsidR="009953DE">
        <w:rPr>
          <w:rFonts w:asciiTheme="minorHAnsi" w:hAnsiTheme="minorHAnsi"/>
          <w:sz w:val="22"/>
          <w:szCs w:val="22"/>
        </w:rPr>
        <w:t xml:space="preserve"> currently</w:t>
      </w:r>
      <w:r w:rsidR="00696A06">
        <w:rPr>
          <w:rFonts w:asciiTheme="minorHAnsi" w:hAnsiTheme="minorHAnsi"/>
          <w:sz w:val="22"/>
          <w:szCs w:val="22"/>
        </w:rPr>
        <w:t xml:space="preserve"> facing </w:t>
      </w:r>
      <w:r w:rsidR="009953DE">
        <w:rPr>
          <w:rFonts w:asciiTheme="minorHAnsi" w:hAnsiTheme="minorHAnsi"/>
          <w:sz w:val="22"/>
          <w:szCs w:val="22"/>
        </w:rPr>
        <w:t>these measures</w:t>
      </w:r>
      <w:r w:rsidR="00696A06">
        <w:rPr>
          <w:rFonts w:asciiTheme="minorHAnsi" w:hAnsiTheme="minorHAnsi"/>
          <w:sz w:val="22"/>
          <w:szCs w:val="22"/>
        </w:rPr>
        <w:t xml:space="preserve"> in certain markets.</w:t>
      </w:r>
    </w:p>
    <w:p w14:paraId="3FD6E272" w14:textId="77777777" w:rsidR="00696A06" w:rsidRDefault="00696A06" w:rsidP="00A90E28">
      <w:pPr>
        <w:rPr>
          <w:rFonts w:asciiTheme="minorHAnsi" w:hAnsiTheme="minorHAnsi"/>
          <w:sz w:val="22"/>
          <w:szCs w:val="22"/>
        </w:rPr>
      </w:pPr>
    </w:p>
    <w:p w14:paraId="31BA0C54" w14:textId="77777777" w:rsidR="00696A06" w:rsidRDefault="00696A06" w:rsidP="00A90E28">
      <w:pPr>
        <w:rPr>
          <w:rFonts w:asciiTheme="minorHAnsi" w:hAnsiTheme="minorHAnsi"/>
          <w:sz w:val="22"/>
          <w:szCs w:val="22"/>
        </w:rPr>
      </w:pPr>
      <w:r>
        <w:rPr>
          <w:rFonts w:asciiTheme="minorHAnsi" w:hAnsiTheme="minorHAnsi"/>
          <w:sz w:val="22"/>
          <w:szCs w:val="22"/>
        </w:rPr>
        <w:t xml:space="preserve">The potential respondent universe represents the sum of firms, net of duplicative records, identified in </w:t>
      </w:r>
      <w:r w:rsidRPr="00696A06">
        <w:rPr>
          <w:rFonts w:asciiTheme="minorHAnsi" w:hAnsiTheme="minorHAnsi"/>
          <w:sz w:val="22"/>
          <w:szCs w:val="22"/>
        </w:rPr>
        <w:t>the Bureau van Dijk’s Orbis database</w:t>
      </w:r>
      <w:r>
        <w:rPr>
          <w:rFonts w:asciiTheme="minorHAnsi" w:hAnsiTheme="minorHAnsi"/>
          <w:sz w:val="22"/>
          <w:szCs w:val="22"/>
        </w:rPr>
        <w:t xml:space="preserve"> in industries likely to engage in digital trade</w:t>
      </w:r>
      <w:r w:rsidR="00DE7253">
        <w:rPr>
          <w:rFonts w:asciiTheme="minorHAnsi" w:hAnsiTheme="minorHAnsi"/>
          <w:sz w:val="22"/>
          <w:szCs w:val="22"/>
        </w:rPr>
        <w:t>, membership lists from relevant associations, and firms that are registered with the EU-US Privacy Shield</w:t>
      </w:r>
      <w:r>
        <w:rPr>
          <w:rFonts w:asciiTheme="minorHAnsi" w:hAnsiTheme="minorHAnsi"/>
          <w:sz w:val="22"/>
          <w:szCs w:val="22"/>
        </w:rPr>
        <w:t>. These industries include selected sectors based on NAICS as discussed below.</w:t>
      </w:r>
    </w:p>
    <w:p w14:paraId="4977AEFC" w14:textId="77777777" w:rsidR="00696A06" w:rsidRDefault="00696A06" w:rsidP="00A90E28">
      <w:pPr>
        <w:rPr>
          <w:rFonts w:asciiTheme="minorHAnsi" w:hAnsiTheme="minorHAnsi"/>
          <w:sz w:val="22"/>
          <w:szCs w:val="22"/>
        </w:rPr>
      </w:pPr>
    </w:p>
    <w:p w14:paraId="0F80C36E" w14:textId="76753D23" w:rsidR="00696A06" w:rsidRPr="004447FF" w:rsidRDefault="00696A06" w:rsidP="00A90E28">
      <w:pPr>
        <w:rPr>
          <w:rFonts w:asciiTheme="minorHAnsi" w:hAnsiTheme="minorHAnsi"/>
          <w:sz w:val="22"/>
          <w:szCs w:val="22"/>
        </w:rPr>
      </w:pPr>
      <w:r>
        <w:rPr>
          <w:rFonts w:asciiTheme="minorHAnsi" w:hAnsiTheme="minorHAnsi"/>
          <w:sz w:val="22"/>
          <w:szCs w:val="22"/>
        </w:rPr>
        <w:t>Because the focus of this study is on firms</w:t>
      </w:r>
      <w:r w:rsidR="009953DE">
        <w:rPr>
          <w:rFonts w:asciiTheme="minorHAnsi" w:hAnsiTheme="minorHAnsi"/>
          <w:sz w:val="22"/>
          <w:szCs w:val="22"/>
        </w:rPr>
        <w:t xml:space="preserve"> with international presence and these</w:t>
      </w:r>
      <w:r>
        <w:rPr>
          <w:rFonts w:asciiTheme="minorHAnsi" w:hAnsiTheme="minorHAnsi"/>
          <w:sz w:val="22"/>
          <w:szCs w:val="22"/>
        </w:rPr>
        <w:t xml:space="preserve"> tend to be larger than the average firm, the response universe was restricted to firms with 20 or more employees or more than $7.5 million in revenue</w:t>
      </w:r>
      <w:r w:rsidR="009953DE">
        <w:rPr>
          <w:rFonts w:asciiTheme="minorHAnsi" w:hAnsiTheme="minorHAnsi"/>
          <w:sz w:val="22"/>
          <w:szCs w:val="22"/>
        </w:rPr>
        <w:t>, with some exceptions</w:t>
      </w:r>
      <w:r>
        <w:rPr>
          <w:rFonts w:asciiTheme="minorHAnsi" w:hAnsiTheme="minorHAnsi"/>
          <w:sz w:val="22"/>
          <w:szCs w:val="22"/>
        </w:rPr>
        <w:t>.</w:t>
      </w:r>
      <w:r w:rsidR="00953CB1">
        <w:rPr>
          <w:rFonts w:asciiTheme="minorHAnsi" w:hAnsiTheme="minorHAnsi"/>
          <w:sz w:val="22"/>
          <w:szCs w:val="22"/>
        </w:rPr>
        <w:t xml:space="preserve"> </w:t>
      </w:r>
    </w:p>
    <w:p w14:paraId="59D60A2F" w14:textId="77777777" w:rsidR="004447FF" w:rsidRDefault="004447FF" w:rsidP="00A90E28">
      <w:pPr>
        <w:rPr>
          <w:rFonts w:asciiTheme="minorHAnsi" w:hAnsiTheme="minorHAnsi"/>
          <w:sz w:val="22"/>
          <w:szCs w:val="22"/>
        </w:rPr>
      </w:pPr>
    </w:p>
    <w:p w14:paraId="214DADC6" w14:textId="77777777" w:rsidR="008651B4" w:rsidRDefault="008651B4" w:rsidP="00A90E28">
      <w:pPr>
        <w:rPr>
          <w:rFonts w:asciiTheme="minorHAnsi" w:hAnsiTheme="minorHAnsi"/>
          <w:sz w:val="22"/>
          <w:szCs w:val="22"/>
        </w:rPr>
      </w:pPr>
    </w:p>
    <w:p w14:paraId="7DF4B25F" w14:textId="77777777" w:rsidR="00BE4535" w:rsidRDefault="00BE4535" w:rsidP="00A90E28">
      <w:pPr>
        <w:rPr>
          <w:rFonts w:asciiTheme="minorHAnsi" w:hAnsiTheme="minorHAnsi"/>
          <w:sz w:val="22"/>
          <w:szCs w:val="22"/>
        </w:rPr>
      </w:pPr>
    </w:p>
    <w:p w14:paraId="21DFCD6A" w14:textId="77777777" w:rsidR="00C4473C" w:rsidRPr="004447FF" w:rsidRDefault="00C4473C" w:rsidP="00A90E28">
      <w:pPr>
        <w:rPr>
          <w:rFonts w:asciiTheme="minorHAnsi" w:hAnsiTheme="minorHAnsi"/>
          <w:sz w:val="22"/>
          <w:szCs w:val="22"/>
        </w:rPr>
      </w:pPr>
    </w:p>
    <w:p w14:paraId="035181E6" w14:textId="77777777" w:rsidR="00741002" w:rsidRPr="004447FF" w:rsidRDefault="00741002" w:rsidP="00A90E28">
      <w:pPr>
        <w:rPr>
          <w:rFonts w:asciiTheme="minorHAnsi" w:hAnsiTheme="minorHAnsi"/>
          <w:b/>
          <w:sz w:val="22"/>
          <w:szCs w:val="22"/>
        </w:rPr>
      </w:pPr>
      <w:r w:rsidRPr="004447FF">
        <w:rPr>
          <w:rFonts w:asciiTheme="minorHAnsi" w:hAnsiTheme="minorHAnsi"/>
          <w:b/>
          <w:sz w:val="22"/>
          <w:szCs w:val="22"/>
        </w:rPr>
        <w:lastRenderedPageBreak/>
        <w:t>Sample design</w:t>
      </w:r>
    </w:p>
    <w:p w14:paraId="68F0F958" w14:textId="77777777" w:rsidR="00741002" w:rsidRDefault="00741002" w:rsidP="00A90E28">
      <w:pPr>
        <w:rPr>
          <w:rFonts w:asciiTheme="minorHAnsi" w:hAnsiTheme="minorHAnsi"/>
          <w:sz w:val="22"/>
          <w:szCs w:val="22"/>
        </w:rPr>
      </w:pPr>
    </w:p>
    <w:p w14:paraId="7F9A85ED" w14:textId="4F093994" w:rsidR="00696A06" w:rsidRDefault="00696A06" w:rsidP="00A90E28">
      <w:pPr>
        <w:rPr>
          <w:rFonts w:asciiTheme="minorHAnsi" w:hAnsiTheme="minorHAnsi"/>
          <w:sz w:val="22"/>
          <w:szCs w:val="22"/>
        </w:rPr>
      </w:pPr>
      <w:r>
        <w:rPr>
          <w:rFonts w:asciiTheme="minorHAnsi" w:hAnsiTheme="minorHAnsi"/>
          <w:sz w:val="22"/>
          <w:szCs w:val="22"/>
        </w:rPr>
        <w:t xml:space="preserve">Survey respondents will be selected through a stratified random sampling methodology that stratifies firms through a combination of industry and size. </w:t>
      </w:r>
      <w:r w:rsidR="002A4E01">
        <w:rPr>
          <w:rFonts w:asciiTheme="minorHAnsi" w:hAnsiTheme="minorHAnsi"/>
          <w:sz w:val="22"/>
          <w:szCs w:val="22"/>
        </w:rPr>
        <w:t xml:space="preserve">There </w:t>
      </w:r>
      <w:r w:rsidR="00EA1A12">
        <w:rPr>
          <w:rFonts w:asciiTheme="minorHAnsi" w:hAnsiTheme="minorHAnsi"/>
          <w:sz w:val="22"/>
          <w:szCs w:val="22"/>
        </w:rPr>
        <w:t xml:space="preserve">will be </w:t>
      </w:r>
      <w:r w:rsidR="00851E84">
        <w:rPr>
          <w:rFonts w:asciiTheme="minorHAnsi" w:hAnsiTheme="minorHAnsi"/>
          <w:sz w:val="22"/>
          <w:szCs w:val="22"/>
        </w:rPr>
        <w:t>33</w:t>
      </w:r>
      <w:r w:rsidR="00EA1A12">
        <w:rPr>
          <w:rFonts w:asciiTheme="minorHAnsi" w:hAnsiTheme="minorHAnsi"/>
          <w:sz w:val="22"/>
          <w:szCs w:val="22"/>
        </w:rPr>
        <w:t xml:space="preserve"> strata by industry/size. Size cutoffs were determined by the Small Business Association’s size standards by NAICS. Firms with n</w:t>
      </w:r>
      <w:r w:rsidR="00DE7253">
        <w:rPr>
          <w:rFonts w:asciiTheme="minorHAnsi" w:hAnsiTheme="minorHAnsi"/>
          <w:sz w:val="22"/>
          <w:szCs w:val="22"/>
        </w:rPr>
        <w:t>either</w:t>
      </w:r>
      <w:r w:rsidR="00EA1A12">
        <w:rPr>
          <w:rFonts w:asciiTheme="minorHAnsi" w:hAnsiTheme="minorHAnsi"/>
          <w:sz w:val="22"/>
          <w:szCs w:val="22"/>
        </w:rPr>
        <w:t xml:space="preserve"> employment </w:t>
      </w:r>
      <w:r w:rsidR="00DE7253">
        <w:rPr>
          <w:rFonts w:asciiTheme="minorHAnsi" w:hAnsiTheme="minorHAnsi"/>
          <w:sz w:val="22"/>
          <w:szCs w:val="22"/>
        </w:rPr>
        <w:t>n</w:t>
      </w:r>
      <w:r w:rsidR="00EA1A12">
        <w:rPr>
          <w:rFonts w:asciiTheme="minorHAnsi" w:hAnsiTheme="minorHAnsi"/>
          <w:sz w:val="22"/>
          <w:szCs w:val="22"/>
        </w:rPr>
        <w:t>or revenue data have been combined into their own strata by industry.</w:t>
      </w:r>
    </w:p>
    <w:p w14:paraId="6610C796" w14:textId="77777777" w:rsidR="00EA1A12" w:rsidRDefault="00EA1A12" w:rsidP="00A90E28">
      <w:pPr>
        <w:rPr>
          <w:rFonts w:asciiTheme="minorHAnsi" w:hAnsiTheme="minorHAnsi"/>
          <w:sz w:val="22"/>
          <w:szCs w:val="22"/>
        </w:rPr>
      </w:pPr>
    </w:p>
    <w:p w14:paraId="2CC5B450" w14:textId="39EE8BF1" w:rsidR="00EA1A12" w:rsidRDefault="00EA1A12" w:rsidP="00081603">
      <w:pPr>
        <w:rPr>
          <w:rFonts w:asciiTheme="minorHAnsi" w:hAnsiTheme="minorHAnsi"/>
          <w:sz w:val="22"/>
          <w:szCs w:val="22"/>
        </w:rPr>
      </w:pPr>
      <w:r>
        <w:rPr>
          <w:rFonts w:asciiTheme="minorHAnsi" w:hAnsiTheme="minorHAnsi"/>
          <w:sz w:val="22"/>
          <w:szCs w:val="22"/>
        </w:rPr>
        <w:t>Industries comprise the following 1</w:t>
      </w:r>
      <w:r w:rsidR="00DE2AF2">
        <w:rPr>
          <w:rFonts w:asciiTheme="minorHAnsi" w:hAnsiTheme="minorHAnsi"/>
          <w:sz w:val="22"/>
          <w:szCs w:val="22"/>
        </w:rPr>
        <w:t>0</w:t>
      </w:r>
      <w:r>
        <w:rPr>
          <w:rFonts w:asciiTheme="minorHAnsi" w:hAnsiTheme="minorHAnsi"/>
          <w:sz w:val="22"/>
          <w:szCs w:val="22"/>
        </w:rPr>
        <w:t xml:space="preserve"> sectors: (1) </w:t>
      </w:r>
      <w:r w:rsidR="009511AC">
        <w:rPr>
          <w:rFonts w:asciiTheme="minorHAnsi" w:hAnsiTheme="minorHAnsi"/>
          <w:sz w:val="22"/>
          <w:szCs w:val="22"/>
        </w:rPr>
        <w:t>Online commercial</w:t>
      </w:r>
      <w:r w:rsidR="00BA6495">
        <w:rPr>
          <w:rFonts w:asciiTheme="minorHAnsi" w:hAnsiTheme="minorHAnsi"/>
          <w:sz w:val="22"/>
          <w:szCs w:val="22"/>
        </w:rPr>
        <w:t xml:space="preserve"> and</w:t>
      </w:r>
      <w:r w:rsidR="009511AC">
        <w:rPr>
          <w:rFonts w:asciiTheme="minorHAnsi" w:hAnsiTheme="minorHAnsi"/>
          <w:sz w:val="22"/>
          <w:szCs w:val="22"/>
        </w:rPr>
        <w:t xml:space="preserve"> retail</w:t>
      </w:r>
      <w:r w:rsidR="00BA6495">
        <w:rPr>
          <w:rFonts w:asciiTheme="minorHAnsi" w:hAnsiTheme="minorHAnsi"/>
          <w:sz w:val="22"/>
          <w:szCs w:val="22"/>
        </w:rPr>
        <w:t xml:space="preserve"> services</w:t>
      </w:r>
      <w:r w:rsidR="009511AC">
        <w:rPr>
          <w:rFonts w:asciiTheme="minorHAnsi" w:hAnsiTheme="minorHAnsi"/>
          <w:sz w:val="22"/>
          <w:szCs w:val="22"/>
        </w:rPr>
        <w:t>, and payment services</w:t>
      </w:r>
      <w:r>
        <w:rPr>
          <w:rFonts w:asciiTheme="minorHAnsi" w:hAnsiTheme="minorHAnsi"/>
          <w:sz w:val="22"/>
          <w:szCs w:val="22"/>
        </w:rPr>
        <w:t xml:space="preserve">, (2) telecommunications, (3) web, software, and hardware services, </w:t>
      </w:r>
      <w:r w:rsidR="00081603">
        <w:rPr>
          <w:rFonts w:asciiTheme="minorHAnsi" w:hAnsiTheme="minorHAnsi"/>
          <w:sz w:val="22"/>
          <w:szCs w:val="22"/>
        </w:rPr>
        <w:t>(</w:t>
      </w:r>
      <w:r w:rsidR="00A80CCC">
        <w:rPr>
          <w:rFonts w:asciiTheme="minorHAnsi" w:hAnsiTheme="minorHAnsi"/>
          <w:sz w:val="22"/>
          <w:szCs w:val="22"/>
        </w:rPr>
        <w:t>4</w:t>
      </w:r>
      <w:r w:rsidR="00081603">
        <w:rPr>
          <w:rFonts w:asciiTheme="minorHAnsi" w:hAnsiTheme="minorHAnsi"/>
          <w:sz w:val="22"/>
          <w:szCs w:val="22"/>
        </w:rPr>
        <w:t xml:space="preserve">) </w:t>
      </w:r>
      <w:r w:rsidR="00CA50ED">
        <w:rPr>
          <w:rFonts w:asciiTheme="minorHAnsi" w:hAnsiTheme="minorHAnsi"/>
          <w:sz w:val="22"/>
          <w:szCs w:val="22"/>
        </w:rPr>
        <w:t xml:space="preserve">transport and delivery services, </w:t>
      </w:r>
      <w:r w:rsidR="00A80CCC">
        <w:rPr>
          <w:rFonts w:asciiTheme="minorHAnsi" w:hAnsiTheme="minorHAnsi"/>
          <w:sz w:val="22"/>
          <w:szCs w:val="22"/>
        </w:rPr>
        <w:t>(5</w:t>
      </w:r>
      <w:r w:rsidR="00081603">
        <w:rPr>
          <w:rFonts w:asciiTheme="minorHAnsi" w:hAnsiTheme="minorHAnsi"/>
          <w:sz w:val="22"/>
          <w:szCs w:val="22"/>
        </w:rPr>
        <w:t xml:space="preserve">) </w:t>
      </w:r>
      <w:r w:rsidR="00CA50ED">
        <w:rPr>
          <w:rFonts w:asciiTheme="minorHAnsi" w:hAnsiTheme="minorHAnsi"/>
          <w:sz w:val="22"/>
          <w:szCs w:val="22"/>
        </w:rPr>
        <w:t xml:space="preserve">media and publishing, </w:t>
      </w:r>
      <w:r w:rsidR="00A80CCC">
        <w:rPr>
          <w:rFonts w:asciiTheme="minorHAnsi" w:hAnsiTheme="minorHAnsi"/>
          <w:sz w:val="22"/>
          <w:szCs w:val="22"/>
        </w:rPr>
        <w:t>(6</w:t>
      </w:r>
      <w:r w:rsidR="00081603">
        <w:rPr>
          <w:rFonts w:asciiTheme="minorHAnsi" w:hAnsiTheme="minorHAnsi"/>
          <w:sz w:val="22"/>
          <w:szCs w:val="22"/>
        </w:rPr>
        <w:t xml:space="preserve">) </w:t>
      </w:r>
      <w:r w:rsidR="00CA50ED">
        <w:rPr>
          <w:rFonts w:asciiTheme="minorHAnsi" w:hAnsiTheme="minorHAnsi"/>
          <w:sz w:val="22"/>
          <w:szCs w:val="22"/>
        </w:rPr>
        <w:t xml:space="preserve">finance, </w:t>
      </w:r>
      <w:r w:rsidR="00A80CCC">
        <w:rPr>
          <w:rFonts w:asciiTheme="minorHAnsi" w:hAnsiTheme="minorHAnsi"/>
          <w:sz w:val="22"/>
          <w:szCs w:val="22"/>
        </w:rPr>
        <w:t>(7</w:t>
      </w:r>
      <w:r w:rsidR="00081603">
        <w:rPr>
          <w:rFonts w:asciiTheme="minorHAnsi" w:hAnsiTheme="minorHAnsi"/>
          <w:sz w:val="22"/>
          <w:szCs w:val="22"/>
        </w:rPr>
        <w:t xml:space="preserve">) </w:t>
      </w:r>
      <w:r w:rsidR="00CA50ED">
        <w:rPr>
          <w:rFonts w:asciiTheme="minorHAnsi" w:hAnsiTheme="minorHAnsi"/>
          <w:sz w:val="22"/>
          <w:szCs w:val="22"/>
        </w:rPr>
        <w:t>i</w:t>
      </w:r>
      <w:r w:rsidR="00CA50ED" w:rsidRPr="00081603">
        <w:rPr>
          <w:rFonts w:asciiTheme="minorHAnsi" w:hAnsiTheme="minorHAnsi"/>
          <w:sz w:val="22"/>
          <w:szCs w:val="22"/>
        </w:rPr>
        <w:t>nsurance</w:t>
      </w:r>
      <w:r w:rsidR="00CA50ED">
        <w:rPr>
          <w:rFonts w:asciiTheme="minorHAnsi" w:hAnsiTheme="minorHAnsi"/>
          <w:sz w:val="22"/>
          <w:szCs w:val="22"/>
        </w:rPr>
        <w:t xml:space="preserve">, </w:t>
      </w:r>
      <w:r w:rsidR="00A80CCC">
        <w:rPr>
          <w:rFonts w:asciiTheme="minorHAnsi" w:hAnsiTheme="minorHAnsi"/>
          <w:sz w:val="22"/>
          <w:szCs w:val="22"/>
        </w:rPr>
        <w:t>(8</w:t>
      </w:r>
      <w:r w:rsidR="00081603">
        <w:rPr>
          <w:rFonts w:asciiTheme="minorHAnsi" w:hAnsiTheme="minorHAnsi"/>
          <w:sz w:val="22"/>
          <w:szCs w:val="22"/>
        </w:rPr>
        <w:t xml:space="preserve">) </w:t>
      </w:r>
      <w:r w:rsidR="00CA50ED">
        <w:rPr>
          <w:rFonts w:asciiTheme="minorHAnsi" w:hAnsiTheme="minorHAnsi"/>
          <w:sz w:val="22"/>
          <w:szCs w:val="22"/>
        </w:rPr>
        <w:t>t</w:t>
      </w:r>
      <w:r w:rsidR="00CA50ED" w:rsidRPr="00081603">
        <w:rPr>
          <w:rFonts w:asciiTheme="minorHAnsi" w:hAnsiTheme="minorHAnsi"/>
          <w:sz w:val="22"/>
          <w:szCs w:val="22"/>
        </w:rPr>
        <w:t>ravel and hospitality</w:t>
      </w:r>
      <w:r w:rsidR="00CA50ED">
        <w:rPr>
          <w:rFonts w:asciiTheme="minorHAnsi" w:hAnsiTheme="minorHAnsi"/>
          <w:sz w:val="22"/>
          <w:szCs w:val="22"/>
        </w:rPr>
        <w:t>,</w:t>
      </w:r>
      <w:r w:rsidR="00B95944">
        <w:rPr>
          <w:rFonts w:asciiTheme="minorHAnsi" w:hAnsiTheme="minorHAnsi"/>
          <w:sz w:val="22"/>
          <w:szCs w:val="22"/>
        </w:rPr>
        <w:t xml:space="preserve"> </w:t>
      </w:r>
      <w:r w:rsidR="00A80CCC">
        <w:rPr>
          <w:rFonts w:asciiTheme="minorHAnsi" w:hAnsiTheme="minorHAnsi"/>
          <w:sz w:val="22"/>
          <w:szCs w:val="22"/>
        </w:rPr>
        <w:t>(9</w:t>
      </w:r>
      <w:r w:rsidR="00081603">
        <w:rPr>
          <w:rFonts w:asciiTheme="minorHAnsi" w:hAnsiTheme="minorHAnsi"/>
          <w:sz w:val="22"/>
          <w:szCs w:val="22"/>
        </w:rPr>
        <w:t xml:space="preserve">) </w:t>
      </w:r>
      <w:r w:rsidR="00CA50ED">
        <w:rPr>
          <w:rFonts w:asciiTheme="minorHAnsi" w:hAnsiTheme="minorHAnsi"/>
          <w:sz w:val="22"/>
          <w:szCs w:val="22"/>
        </w:rPr>
        <w:t>other selected services,</w:t>
      </w:r>
      <w:r w:rsidR="00B95944">
        <w:rPr>
          <w:rFonts w:asciiTheme="minorHAnsi" w:hAnsiTheme="minorHAnsi"/>
          <w:sz w:val="22"/>
          <w:szCs w:val="22"/>
        </w:rPr>
        <w:t xml:space="preserve"> </w:t>
      </w:r>
      <w:r w:rsidR="00A80CCC">
        <w:rPr>
          <w:rFonts w:asciiTheme="minorHAnsi" w:hAnsiTheme="minorHAnsi"/>
          <w:sz w:val="22"/>
          <w:szCs w:val="22"/>
        </w:rPr>
        <w:t>(10</w:t>
      </w:r>
      <w:r w:rsidR="00081603">
        <w:rPr>
          <w:rFonts w:asciiTheme="minorHAnsi" w:hAnsiTheme="minorHAnsi"/>
          <w:sz w:val="22"/>
          <w:szCs w:val="22"/>
        </w:rPr>
        <w:t>) m</w:t>
      </w:r>
      <w:r w:rsidR="00081603" w:rsidRPr="00081603">
        <w:rPr>
          <w:rFonts w:asciiTheme="minorHAnsi" w:hAnsiTheme="minorHAnsi"/>
          <w:sz w:val="22"/>
          <w:szCs w:val="22"/>
        </w:rPr>
        <w:t>anufacturing</w:t>
      </w:r>
      <w:r w:rsidR="00081603">
        <w:rPr>
          <w:rFonts w:asciiTheme="minorHAnsi" w:hAnsiTheme="minorHAnsi"/>
          <w:sz w:val="22"/>
          <w:szCs w:val="22"/>
        </w:rPr>
        <w:t>.</w:t>
      </w:r>
      <w:r w:rsidR="00900FA7">
        <w:rPr>
          <w:rStyle w:val="FootnoteReference"/>
          <w:rFonts w:asciiTheme="minorHAnsi" w:hAnsiTheme="minorHAnsi"/>
          <w:sz w:val="22"/>
          <w:szCs w:val="22"/>
        </w:rPr>
        <w:footnoteReference w:id="2"/>
      </w:r>
      <w:r w:rsidR="00081603">
        <w:rPr>
          <w:rFonts w:asciiTheme="minorHAnsi" w:hAnsiTheme="minorHAnsi"/>
          <w:sz w:val="22"/>
          <w:szCs w:val="22"/>
        </w:rPr>
        <w:t xml:space="preserve"> </w:t>
      </w:r>
    </w:p>
    <w:p w14:paraId="37A32D57" w14:textId="77777777" w:rsidR="00081603" w:rsidRDefault="00081603" w:rsidP="00081603">
      <w:pPr>
        <w:rPr>
          <w:rFonts w:asciiTheme="minorHAnsi" w:hAnsiTheme="minorHAnsi"/>
          <w:sz w:val="22"/>
          <w:szCs w:val="22"/>
        </w:rPr>
      </w:pPr>
    </w:p>
    <w:p w14:paraId="0A0F3900" w14:textId="3B13F66F" w:rsidR="00081603" w:rsidRPr="00795FC0" w:rsidRDefault="00081603" w:rsidP="00081603">
      <w:pPr>
        <w:rPr>
          <w:rFonts w:asciiTheme="minorHAnsi" w:hAnsiTheme="minorHAnsi"/>
          <w:sz w:val="22"/>
          <w:szCs w:val="22"/>
        </w:rPr>
      </w:pPr>
      <w:r>
        <w:rPr>
          <w:rFonts w:asciiTheme="minorHAnsi" w:hAnsiTheme="minorHAnsi"/>
          <w:sz w:val="22"/>
          <w:szCs w:val="22"/>
        </w:rPr>
        <w:t xml:space="preserve">Table 1 presents the </w:t>
      </w:r>
      <w:r w:rsidRPr="00081603">
        <w:rPr>
          <w:rFonts w:asciiTheme="minorHAnsi" w:hAnsiTheme="minorHAnsi"/>
          <w:sz w:val="22"/>
          <w:szCs w:val="22"/>
        </w:rPr>
        <w:t>sampling frame</w:t>
      </w:r>
      <w:r w:rsidR="00A64A01">
        <w:rPr>
          <w:rFonts w:asciiTheme="minorHAnsi" w:hAnsiTheme="minorHAnsi"/>
          <w:sz w:val="22"/>
          <w:szCs w:val="22"/>
        </w:rPr>
        <w:t>—</w:t>
      </w:r>
      <w:r w:rsidRPr="00081603">
        <w:rPr>
          <w:rFonts w:asciiTheme="minorHAnsi" w:hAnsiTheme="minorHAnsi"/>
          <w:sz w:val="22"/>
          <w:szCs w:val="22"/>
        </w:rPr>
        <w:t xml:space="preserve">the population of firms in </w:t>
      </w:r>
      <w:r>
        <w:rPr>
          <w:rFonts w:asciiTheme="minorHAnsi" w:hAnsiTheme="minorHAnsi"/>
          <w:sz w:val="22"/>
          <w:szCs w:val="22"/>
        </w:rPr>
        <w:t>each stratum.</w:t>
      </w:r>
      <w:r w:rsidRPr="00081603">
        <w:rPr>
          <w:rFonts w:asciiTheme="minorHAnsi" w:hAnsiTheme="minorHAnsi"/>
          <w:sz w:val="22"/>
          <w:szCs w:val="22"/>
        </w:rPr>
        <w:t xml:space="preserve"> Table 2 presents the sample size for each stratum.</w:t>
      </w:r>
      <w:r>
        <w:rPr>
          <w:rFonts w:asciiTheme="minorHAnsi" w:hAnsiTheme="minorHAnsi"/>
          <w:sz w:val="22"/>
          <w:szCs w:val="22"/>
        </w:rPr>
        <w:t xml:space="preserve"> </w:t>
      </w:r>
      <w:r w:rsidR="00030DA1">
        <w:rPr>
          <w:rFonts w:asciiTheme="minorHAnsi" w:hAnsiTheme="minorHAnsi"/>
          <w:sz w:val="22"/>
          <w:szCs w:val="22"/>
        </w:rPr>
        <w:t xml:space="preserve">Thirteen thousand (13,000) </w:t>
      </w:r>
      <w:r w:rsidRPr="00795FC0">
        <w:rPr>
          <w:rFonts w:asciiTheme="minorHAnsi" w:hAnsiTheme="minorHAnsi"/>
          <w:sz w:val="22"/>
          <w:szCs w:val="22"/>
        </w:rPr>
        <w:t xml:space="preserve">firms </w:t>
      </w:r>
      <w:r w:rsidR="00DB257E" w:rsidRPr="00795FC0">
        <w:rPr>
          <w:rFonts w:asciiTheme="minorHAnsi" w:hAnsiTheme="minorHAnsi"/>
          <w:sz w:val="22"/>
          <w:szCs w:val="22"/>
        </w:rPr>
        <w:t>will</w:t>
      </w:r>
      <w:r w:rsidRPr="00795FC0">
        <w:rPr>
          <w:rFonts w:asciiTheme="minorHAnsi" w:hAnsiTheme="minorHAnsi"/>
          <w:sz w:val="22"/>
          <w:szCs w:val="22"/>
        </w:rPr>
        <w:t xml:space="preserve"> be sampled.</w:t>
      </w:r>
    </w:p>
    <w:p w14:paraId="050A790A" w14:textId="77777777" w:rsidR="00081603" w:rsidRPr="00795FC0" w:rsidRDefault="00081603" w:rsidP="00081603">
      <w:pPr>
        <w:rPr>
          <w:rFonts w:asciiTheme="minorHAnsi" w:hAnsiTheme="minorHAnsi"/>
          <w:sz w:val="22"/>
          <w:szCs w:val="22"/>
        </w:rPr>
      </w:pPr>
    </w:p>
    <w:p w14:paraId="7DD22568" w14:textId="45B939DB" w:rsidR="00081603" w:rsidRPr="004447FF" w:rsidRDefault="00081603" w:rsidP="00081603">
      <w:pPr>
        <w:rPr>
          <w:rFonts w:asciiTheme="minorHAnsi" w:hAnsiTheme="minorHAnsi"/>
          <w:sz w:val="22"/>
          <w:szCs w:val="22"/>
        </w:rPr>
      </w:pPr>
      <w:r w:rsidRPr="00795FC0">
        <w:rPr>
          <w:rFonts w:asciiTheme="minorHAnsi" w:hAnsiTheme="minorHAnsi"/>
          <w:sz w:val="22"/>
          <w:szCs w:val="22"/>
        </w:rPr>
        <w:t>Based on results of past surveys</w:t>
      </w:r>
      <w:r w:rsidR="008F1E17" w:rsidRPr="00795FC0">
        <w:rPr>
          <w:rFonts w:asciiTheme="minorHAnsi" w:hAnsiTheme="minorHAnsi"/>
          <w:sz w:val="22"/>
          <w:szCs w:val="22"/>
        </w:rPr>
        <w:t xml:space="preserve"> conducted by the Commission for other </w:t>
      </w:r>
      <w:r w:rsidR="00B43449" w:rsidRPr="00795FC0">
        <w:rPr>
          <w:rFonts w:asciiTheme="minorHAnsi" w:hAnsiTheme="minorHAnsi"/>
          <w:sz w:val="22"/>
          <w:szCs w:val="22"/>
        </w:rPr>
        <w:t>investigations</w:t>
      </w:r>
      <w:r w:rsidRPr="00795FC0">
        <w:rPr>
          <w:rFonts w:asciiTheme="minorHAnsi" w:hAnsiTheme="minorHAnsi"/>
          <w:sz w:val="22"/>
          <w:szCs w:val="22"/>
        </w:rPr>
        <w:t>, we expect the response rate to range from 40–60 percent</w:t>
      </w:r>
      <w:r w:rsidR="00873F7B" w:rsidRPr="00795FC0">
        <w:rPr>
          <w:rFonts w:asciiTheme="minorHAnsi" w:hAnsiTheme="minorHAnsi"/>
          <w:sz w:val="22"/>
          <w:szCs w:val="22"/>
        </w:rPr>
        <w:t>,</w:t>
      </w:r>
      <w:r w:rsidR="00E422B2" w:rsidRPr="00795FC0">
        <w:rPr>
          <w:rStyle w:val="FootnoteReference"/>
          <w:rFonts w:asciiTheme="minorHAnsi" w:hAnsiTheme="minorHAnsi"/>
          <w:sz w:val="22"/>
          <w:szCs w:val="22"/>
        </w:rPr>
        <w:footnoteReference w:id="3"/>
      </w:r>
      <w:r w:rsidRPr="00795FC0">
        <w:rPr>
          <w:rFonts w:asciiTheme="minorHAnsi" w:hAnsiTheme="minorHAnsi"/>
          <w:sz w:val="22"/>
          <w:szCs w:val="22"/>
        </w:rPr>
        <w:t xml:space="preserve"> which would result in 5,200–7,800 surveys received from the sampled companies (assuming 13,000 surveys sent out). Responses in previous and ongoing USITC surveys have not differed significantly by firm size or</w:t>
      </w:r>
      <w:r w:rsidRPr="00081603">
        <w:rPr>
          <w:rFonts w:asciiTheme="minorHAnsi" w:hAnsiTheme="minorHAnsi"/>
          <w:sz w:val="22"/>
          <w:szCs w:val="22"/>
        </w:rPr>
        <w:t xml:space="preserve"> across industries. Thus</w:t>
      </w:r>
      <w:r w:rsidR="006A4494">
        <w:rPr>
          <w:rFonts w:asciiTheme="minorHAnsi" w:hAnsiTheme="minorHAnsi"/>
          <w:sz w:val="22"/>
          <w:szCs w:val="22"/>
        </w:rPr>
        <w:t>,</w:t>
      </w:r>
      <w:r w:rsidRPr="00081603">
        <w:rPr>
          <w:rFonts w:asciiTheme="minorHAnsi" w:hAnsiTheme="minorHAnsi"/>
          <w:sz w:val="22"/>
          <w:szCs w:val="22"/>
        </w:rPr>
        <w:t xml:space="preserve"> a uniform response rate has been assumed for all strata.</w:t>
      </w:r>
    </w:p>
    <w:p w14:paraId="01F21081" w14:textId="6A2A4E6A" w:rsidR="006D570E" w:rsidRDefault="006D570E">
      <w:pPr>
        <w:autoSpaceDE/>
        <w:autoSpaceDN/>
        <w:adjustRightInd/>
        <w:rPr>
          <w:rFonts w:asciiTheme="minorHAnsi" w:hAnsiTheme="minorHAnsi"/>
          <w:b/>
          <w:bCs/>
          <w:highlight w:val="white"/>
        </w:rPr>
      </w:pPr>
      <w:r>
        <w:rPr>
          <w:rFonts w:asciiTheme="minorHAnsi" w:hAnsiTheme="minorHAnsi"/>
          <w:b/>
          <w:bCs/>
          <w:highlight w:val="white"/>
        </w:rPr>
        <w:br w:type="page"/>
      </w:r>
    </w:p>
    <w:p w14:paraId="3E6FD2F2" w14:textId="438BD98A" w:rsidR="00081603" w:rsidRPr="00BC07A6" w:rsidRDefault="00081603" w:rsidP="00081603">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sz w:val="22"/>
          <w:szCs w:val="22"/>
        </w:rPr>
      </w:pPr>
      <w:r w:rsidRPr="00BC07A6">
        <w:rPr>
          <w:rFonts w:asciiTheme="minorHAnsi" w:hAnsiTheme="minorHAnsi"/>
          <w:b/>
          <w:bCs/>
          <w:sz w:val="22"/>
          <w:szCs w:val="22"/>
        </w:rPr>
        <w:t xml:space="preserve">TABLE 1  </w:t>
      </w:r>
      <w:r w:rsidR="00795FC0">
        <w:rPr>
          <w:rFonts w:asciiTheme="minorHAnsi" w:hAnsiTheme="minorHAnsi"/>
          <w:bCs/>
          <w:sz w:val="22"/>
          <w:szCs w:val="22"/>
        </w:rPr>
        <w:t>Sampling frame – Population per stratum</w:t>
      </w:r>
    </w:p>
    <w:p w14:paraId="62FC5C97" w14:textId="77777777" w:rsidR="00081603" w:rsidRDefault="00081603" w:rsidP="00081603">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highlight w:val="white"/>
        </w:rPr>
      </w:pPr>
    </w:p>
    <w:tbl>
      <w:tblPr>
        <w:tblStyle w:val="TableGrid"/>
        <w:tblW w:w="10117" w:type="dxa"/>
        <w:tblLayout w:type="fixed"/>
        <w:tblLook w:val="04A0" w:firstRow="1" w:lastRow="0" w:firstColumn="1" w:lastColumn="0" w:noHBand="0" w:noVBand="1"/>
      </w:tblPr>
      <w:tblGrid>
        <w:gridCol w:w="3798"/>
        <w:gridCol w:w="1263"/>
        <w:gridCol w:w="1264"/>
        <w:gridCol w:w="1264"/>
        <w:gridCol w:w="1264"/>
        <w:gridCol w:w="1264"/>
      </w:tblGrid>
      <w:tr w:rsidR="00FF12F8" w:rsidRPr="00081603" w14:paraId="4D995F5B" w14:textId="77777777" w:rsidTr="00C44677">
        <w:trPr>
          <w:trHeight w:val="300"/>
        </w:trPr>
        <w:tc>
          <w:tcPr>
            <w:tcW w:w="3798" w:type="dxa"/>
            <w:noWrap/>
            <w:hideMark/>
          </w:tcPr>
          <w:p w14:paraId="0678F310" w14:textId="77777777" w:rsidR="00FF12F8" w:rsidRPr="00081603" w:rsidRDefault="00FF12F8" w:rsidP="00081603">
            <w:pPr>
              <w:autoSpaceDE/>
              <w:autoSpaceDN/>
              <w:adjustRightInd/>
              <w:jc w:val="center"/>
              <w:rPr>
                <w:rFonts w:ascii="Calibri" w:eastAsia="Times New Roman" w:hAnsi="Calibri"/>
                <w:b/>
                <w:sz w:val="22"/>
                <w:szCs w:val="22"/>
              </w:rPr>
            </w:pPr>
            <w:r w:rsidRPr="00081603">
              <w:rPr>
                <w:rFonts w:ascii="Calibri" w:eastAsia="Times New Roman" w:hAnsi="Calibri"/>
                <w:b/>
                <w:sz w:val="22"/>
                <w:szCs w:val="22"/>
              </w:rPr>
              <w:t>Industry</w:t>
            </w:r>
          </w:p>
        </w:tc>
        <w:tc>
          <w:tcPr>
            <w:tcW w:w="1263" w:type="dxa"/>
            <w:noWrap/>
            <w:hideMark/>
          </w:tcPr>
          <w:p w14:paraId="691156FF" w14:textId="77777777" w:rsidR="00FF12F8" w:rsidRPr="00081603" w:rsidRDefault="00FF12F8" w:rsidP="00081603">
            <w:pPr>
              <w:autoSpaceDE/>
              <w:autoSpaceDN/>
              <w:adjustRightInd/>
              <w:jc w:val="center"/>
              <w:rPr>
                <w:rFonts w:ascii="Calibri" w:eastAsia="Times New Roman" w:hAnsi="Calibri"/>
                <w:b/>
                <w:sz w:val="22"/>
                <w:szCs w:val="22"/>
              </w:rPr>
            </w:pPr>
            <w:r w:rsidRPr="00081603">
              <w:rPr>
                <w:rFonts w:ascii="Calibri" w:eastAsia="Times New Roman" w:hAnsi="Calibri"/>
                <w:b/>
                <w:sz w:val="22"/>
                <w:szCs w:val="22"/>
              </w:rPr>
              <w:t>Small</w:t>
            </w:r>
          </w:p>
        </w:tc>
        <w:tc>
          <w:tcPr>
            <w:tcW w:w="1264" w:type="dxa"/>
            <w:noWrap/>
            <w:hideMark/>
          </w:tcPr>
          <w:p w14:paraId="59435897" w14:textId="3C105088" w:rsidR="00FF12F8" w:rsidRPr="00081603" w:rsidRDefault="00BB28B0" w:rsidP="00081603">
            <w:pPr>
              <w:autoSpaceDE/>
              <w:autoSpaceDN/>
              <w:adjustRightInd/>
              <w:jc w:val="center"/>
              <w:rPr>
                <w:rFonts w:ascii="Calibri" w:eastAsia="Times New Roman" w:hAnsi="Calibri"/>
                <w:b/>
                <w:sz w:val="22"/>
                <w:szCs w:val="22"/>
              </w:rPr>
            </w:pPr>
            <w:r>
              <w:rPr>
                <w:rFonts w:ascii="Calibri" w:eastAsia="Times New Roman" w:hAnsi="Calibri"/>
                <w:b/>
                <w:sz w:val="22"/>
                <w:szCs w:val="22"/>
              </w:rPr>
              <w:t>Medium/</w:t>
            </w:r>
            <w:r w:rsidR="008651B4">
              <w:rPr>
                <w:rFonts w:ascii="Calibri" w:eastAsia="Times New Roman" w:hAnsi="Calibri"/>
                <w:b/>
                <w:sz w:val="22"/>
                <w:szCs w:val="22"/>
              </w:rPr>
              <w:br/>
            </w:r>
            <w:r w:rsidR="00FF12F8" w:rsidRPr="00081603">
              <w:rPr>
                <w:rFonts w:ascii="Calibri" w:eastAsia="Times New Roman" w:hAnsi="Calibri"/>
                <w:b/>
                <w:sz w:val="22"/>
                <w:szCs w:val="22"/>
              </w:rPr>
              <w:t>Large</w:t>
            </w:r>
          </w:p>
        </w:tc>
        <w:tc>
          <w:tcPr>
            <w:tcW w:w="1264" w:type="dxa"/>
          </w:tcPr>
          <w:p w14:paraId="6441CF5C" w14:textId="0444AC60" w:rsidR="00FF12F8" w:rsidRDefault="00FF12F8" w:rsidP="00B43449">
            <w:pPr>
              <w:autoSpaceDE/>
              <w:autoSpaceDN/>
              <w:adjustRightInd/>
              <w:jc w:val="center"/>
              <w:rPr>
                <w:rFonts w:ascii="Calibri" w:eastAsia="Times New Roman" w:hAnsi="Calibri"/>
                <w:b/>
                <w:sz w:val="22"/>
                <w:szCs w:val="22"/>
              </w:rPr>
            </w:pPr>
            <w:r>
              <w:rPr>
                <w:rFonts w:ascii="Calibri" w:eastAsia="Times New Roman" w:hAnsi="Calibri"/>
                <w:b/>
                <w:sz w:val="22"/>
                <w:szCs w:val="22"/>
              </w:rPr>
              <w:t>Very large</w:t>
            </w:r>
          </w:p>
        </w:tc>
        <w:tc>
          <w:tcPr>
            <w:tcW w:w="1264" w:type="dxa"/>
            <w:noWrap/>
            <w:hideMark/>
          </w:tcPr>
          <w:p w14:paraId="07AA7E89" w14:textId="7666E3E5" w:rsidR="00FF12F8" w:rsidRPr="00081603" w:rsidRDefault="00FF12F8" w:rsidP="00B43449">
            <w:pPr>
              <w:autoSpaceDE/>
              <w:autoSpaceDN/>
              <w:adjustRightInd/>
              <w:jc w:val="center"/>
              <w:rPr>
                <w:rFonts w:ascii="Calibri" w:eastAsia="Times New Roman" w:hAnsi="Calibri"/>
                <w:b/>
                <w:sz w:val="22"/>
                <w:szCs w:val="22"/>
              </w:rPr>
            </w:pPr>
            <w:r>
              <w:rPr>
                <w:rFonts w:ascii="Calibri" w:eastAsia="Times New Roman" w:hAnsi="Calibri"/>
                <w:b/>
                <w:sz w:val="22"/>
                <w:szCs w:val="22"/>
              </w:rPr>
              <w:t>Unknown size</w:t>
            </w:r>
          </w:p>
        </w:tc>
        <w:tc>
          <w:tcPr>
            <w:tcW w:w="1264" w:type="dxa"/>
            <w:noWrap/>
            <w:hideMark/>
          </w:tcPr>
          <w:p w14:paraId="32C513E7" w14:textId="77777777" w:rsidR="00FF12F8" w:rsidRPr="00081603" w:rsidRDefault="00FF12F8" w:rsidP="00081603">
            <w:pPr>
              <w:autoSpaceDE/>
              <w:autoSpaceDN/>
              <w:adjustRightInd/>
              <w:jc w:val="center"/>
              <w:rPr>
                <w:rFonts w:ascii="Calibri" w:eastAsia="Times New Roman" w:hAnsi="Calibri"/>
                <w:b/>
                <w:sz w:val="22"/>
                <w:szCs w:val="22"/>
              </w:rPr>
            </w:pPr>
            <w:r w:rsidRPr="00081603">
              <w:rPr>
                <w:rFonts w:ascii="Calibri" w:eastAsia="Times New Roman" w:hAnsi="Calibri"/>
                <w:b/>
                <w:sz w:val="22"/>
                <w:szCs w:val="22"/>
              </w:rPr>
              <w:t>Total</w:t>
            </w:r>
          </w:p>
        </w:tc>
      </w:tr>
      <w:tr w:rsidR="00FF12F8" w:rsidRPr="00081603" w14:paraId="083DCA4D" w14:textId="77777777" w:rsidTr="00C44677">
        <w:trPr>
          <w:trHeight w:val="300"/>
        </w:trPr>
        <w:tc>
          <w:tcPr>
            <w:tcW w:w="3798" w:type="dxa"/>
            <w:noWrap/>
            <w:hideMark/>
          </w:tcPr>
          <w:p w14:paraId="0FEC091E" w14:textId="000D6197" w:rsidR="00FF12F8" w:rsidRPr="00081603" w:rsidRDefault="00FF12F8" w:rsidP="00BA6495">
            <w:pPr>
              <w:autoSpaceDE/>
              <w:autoSpaceDN/>
              <w:adjustRightInd/>
              <w:rPr>
                <w:rFonts w:ascii="Calibri" w:eastAsia="Times New Roman" w:hAnsi="Calibri"/>
                <w:sz w:val="22"/>
                <w:szCs w:val="22"/>
              </w:rPr>
            </w:pPr>
            <w:r>
              <w:rPr>
                <w:rFonts w:ascii="Calibri" w:eastAsia="Times New Roman" w:hAnsi="Calibri"/>
                <w:sz w:val="22"/>
                <w:szCs w:val="22"/>
              </w:rPr>
              <w:t>Online commercial</w:t>
            </w:r>
            <w:r w:rsidR="00BA6495">
              <w:rPr>
                <w:rFonts w:ascii="Calibri" w:eastAsia="Times New Roman" w:hAnsi="Calibri"/>
                <w:sz w:val="22"/>
                <w:szCs w:val="22"/>
              </w:rPr>
              <w:t xml:space="preserve"> and</w:t>
            </w:r>
            <w:r>
              <w:rPr>
                <w:rFonts w:ascii="Calibri" w:eastAsia="Times New Roman" w:hAnsi="Calibri"/>
                <w:sz w:val="22"/>
                <w:szCs w:val="22"/>
              </w:rPr>
              <w:t xml:space="preserve"> retail</w:t>
            </w:r>
            <w:r w:rsidR="00BA6495">
              <w:rPr>
                <w:rFonts w:ascii="Calibri" w:eastAsia="Times New Roman" w:hAnsi="Calibri"/>
                <w:sz w:val="22"/>
                <w:szCs w:val="22"/>
              </w:rPr>
              <w:t xml:space="preserve"> services</w:t>
            </w:r>
            <w:r>
              <w:rPr>
                <w:rFonts w:ascii="Calibri" w:eastAsia="Times New Roman" w:hAnsi="Calibri"/>
                <w:sz w:val="22"/>
                <w:szCs w:val="22"/>
              </w:rPr>
              <w:t>, and payment services</w:t>
            </w:r>
          </w:p>
        </w:tc>
        <w:tc>
          <w:tcPr>
            <w:tcW w:w="1263" w:type="dxa"/>
            <w:noWrap/>
            <w:vAlign w:val="center"/>
          </w:tcPr>
          <w:p w14:paraId="6D267C51" w14:textId="33C2FE79"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eastAsia="Times New Roman" w:hAnsiTheme="minorHAnsi"/>
                <w:sz w:val="22"/>
                <w:szCs w:val="22"/>
              </w:rPr>
              <w:t>244</w:t>
            </w:r>
          </w:p>
        </w:tc>
        <w:tc>
          <w:tcPr>
            <w:tcW w:w="1264" w:type="dxa"/>
            <w:noWrap/>
            <w:vAlign w:val="center"/>
          </w:tcPr>
          <w:p w14:paraId="787C2702" w14:textId="5AA92A0B"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eastAsia="Times New Roman" w:hAnsiTheme="minorHAnsi"/>
                <w:sz w:val="22"/>
                <w:szCs w:val="22"/>
              </w:rPr>
              <w:t>161</w:t>
            </w:r>
          </w:p>
        </w:tc>
        <w:tc>
          <w:tcPr>
            <w:tcW w:w="1264" w:type="dxa"/>
            <w:vAlign w:val="center"/>
          </w:tcPr>
          <w:p w14:paraId="2A5CED02" w14:textId="5D8E83AE"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eastAsia="Times New Roman" w:hAnsiTheme="minorHAnsi"/>
                <w:sz w:val="22"/>
                <w:szCs w:val="22"/>
              </w:rPr>
              <w:t>44</w:t>
            </w:r>
          </w:p>
        </w:tc>
        <w:tc>
          <w:tcPr>
            <w:tcW w:w="1264" w:type="dxa"/>
            <w:noWrap/>
            <w:vAlign w:val="center"/>
          </w:tcPr>
          <w:p w14:paraId="4DF17408" w14:textId="3F5E9AFA"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eastAsia="Times New Roman" w:hAnsiTheme="minorHAnsi"/>
                <w:sz w:val="22"/>
                <w:szCs w:val="22"/>
              </w:rPr>
              <w:t>197</w:t>
            </w:r>
          </w:p>
        </w:tc>
        <w:tc>
          <w:tcPr>
            <w:tcW w:w="1264" w:type="dxa"/>
            <w:noWrap/>
            <w:vAlign w:val="center"/>
          </w:tcPr>
          <w:p w14:paraId="42FD3DEF" w14:textId="524FEF0C"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646</w:t>
            </w:r>
          </w:p>
        </w:tc>
      </w:tr>
      <w:tr w:rsidR="00FF12F8" w:rsidRPr="00081603" w14:paraId="0C07008B" w14:textId="77777777" w:rsidTr="00C44677">
        <w:trPr>
          <w:trHeight w:val="300"/>
        </w:trPr>
        <w:tc>
          <w:tcPr>
            <w:tcW w:w="3798" w:type="dxa"/>
            <w:noWrap/>
            <w:hideMark/>
          </w:tcPr>
          <w:p w14:paraId="4586A298" w14:textId="77777777" w:rsidR="00FF12F8" w:rsidRPr="00081603" w:rsidRDefault="00FF12F8" w:rsidP="00081603">
            <w:pPr>
              <w:autoSpaceDE/>
              <w:autoSpaceDN/>
              <w:adjustRightInd/>
              <w:rPr>
                <w:rFonts w:ascii="Calibri" w:eastAsia="Times New Roman" w:hAnsi="Calibri"/>
                <w:sz w:val="22"/>
                <w:szCs w:val="22"/>
              </w:rPr>
            </w:pPr>
            <w:r w:rsidRPr="00081603">
              <w:rPr>
                <w:rFonts w:ascii="Calibri" w:eastAsia="Times New Roman" w:hAnsi="Calibri"/>
                <w:sz w:val="22"/>
                <w:szCs w:val="22"/>
              </w:rPr>
              <w:t>Telecommunications</w:t>
            </w:r>
          </w:p>
        </w:tc>
        <w:tc>
          <w:tcPr>
            <w:tcW w:w="1263" w:type="dxa"/>
            <w:noWrap/>
            <w:vAlign w:val="center"/>
          </w:tcPr>
          <w:p w14:paraId="59188B04" w14:textId="68518374"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935</w:t>
            </w:r>
          </w:p>
        </w:tc>
        <w:tc>
          <w:tcPr>
            <w:tcW w:w="1264" w:type="dxa"/>
            <w:noWrap/>
            <w:vAlign w:val="center"/>
          </w:tcPr>
          <w:p w14:paraId="1D9A0494" w14:textId="1A2CE125"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75</w:t>
            </w:r>
          </w:p>
        </w:tc>
        <w:tc>
          <w:tcPr>
            <w:tcW w:w="1264" w:type="dxa"/>
            <w:vAlign w:val="center"/>
          </w:tcPr>
          <w:p w14:paraId="1137C97A" w14:textId="46C6006A"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121</w:t>
            </w:r>
          </w:p>
        </w:tc>
        <w:tc>
          <w:tcPr>
            <w:tcW w:w="1264" w:type="dxa"/>
            <w:noWrap/>
            <w:vAlign w:val="center"/>
          </w:tcPr>
          <w:p w14:paraId="38AE595D" w14:textId="350AB049"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557</w:t>
            </w:r>
          </w:p>
        </w:tc>
        <w:tc>
          <w:tcPr>
            <w:tcW w:w="1264" w:type="dxa"/>
            <w:noWrap/>
            <w:vAlign w:val="center"/>
          </w:tcPr>
          <w:p w14:paraId="13A71616" w14:textId="5F9292F9"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1,688</w:t>
            </w:r>
          </w:p>
        </w:tc>
      </w:tr>
      <w:tr w:rsidR="00FF12F8" w:rsidRPr="00081603" w14:paraId="0C1E0F60" w14:textId="77777777" w:rsidTr="00C44677">
        <w:trPr>
          <w:trHeight w:val="300"/>
        </w:trPr>
        <w:tc>
          <w:tcPr>
            <w:tcW w:w="3798" w:type="dxa"/>
            <w:noWrap/>
            <w:hideMark/>
          </w:tcPr>
          <w:p w14:paraId="03AC90F8" w14:textId="77777777" w:rsidR="00FF12F8" w:rsidRPr="00081603" w:rsidRDefault="00FF12F8" w:rsidP="00081603">
            <w:pPr>
              <w:autoSpaceDE/>
              <w:autoSpaceDN/>
              <w:adjustRightInd/>
              <w:rPr>
                <w:rFonts w:ascii="Calibri" w:eastAsia="Times New Roman" w:hAnsi="Calibri"/>
                <w:sz w:val="22"/>
                <w:szCs w:val="22"/>
              </w:rPr>
            </w:pPr>
            <w:r w:rsidRPr="00081603">
              <w:rPr>
                <w:rFonts w:ascii="Calibri" w:eastAsia="Times New Roman" w:hAnsi="Calibri"/>
                <w:sz w:val="22"/>
                <w:szCs w:val="22"/>
              </w:rPr>
              <w:t>Web, software, and hardware services</w:t>
            </w:r>
          </w:p>
        </w:tc>
        <w:tc>
          <w:tcPr>
            <w:tcW w:w="1263" w:type="dxa"/>
            <w:noWrap/>
            <w:vAlign w:val="center"/>
          </w:tcPr>
          <w:p w14:paraId="0E421D9D" w14:textId="6AF375FB"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5,154</w:t>
            </w:r>
          </w:p>
        </w:tc>
        <w:tc>
          <w:tcPr>
            <w:tcW w:w="1264" w:type="dxa"/>
            <w:noWrap/>
            <w:vAlign w:val="center"/>
          </w:tcPr>
          <w:p w14:paraId="1976C743" w14:textId="1901FD1F"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1,220</w:t>
            </w:r>
          </w:p>
        </w:tc>
        <w:tc>
          <w:tcPr>
            <w:tcW w:w="1264" w:type="dxa"/>
            <w:vAlign w:val="center"/>
          </w:tcPr>
          <w:p w14:paraId="38147879" w14:textId="7C584721"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708</w:t>
            </w:r>
          </w:p>
        </w:tc>
        <w:tc>
          <w:tcPr>
            <w:tcW w:w="1264" w:type="dxa"/>
            <w:noWrap/>
            <w:vAlign w:val="center"/>
          </w:tcPr>
          <w:p w14:paraId="7CC703CB" w14:textId="61ADB805"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5,314</w:t>
            </w:r>
          </w:p>
        </w:tc>
        <w:tc>
          <w:tcPr>
            <w:tcW w:w="1264" w:type="dxa"/>
            <w:noWrap/>
            <w:vAlign w:val="center"/>
          </w:tcPr>
          <w:p w14:paraId="79E97442" w14:textId="151D3EB7"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12,396</w:t>
            </w:r>
          </w:p>
        </w:tc>
      </w:tr>
      <w:tr w:rsidR="00FF12F8" w:rsidRPr="00081603" w14:paraId="7F03B9DA" w14:textId="77777777" w:rsidTr="00C44677">
        <w:trPr>
          <w:trHeight w:val="300"/>
        </w:trPr>
        <w:tc>
          <w:tcPr>
            <w:tcW w:w="3798" w:type="dxa"/>
            <w:noWrap/>
            <w:hideMark/>
          </w:tcPr>
          <w:p w14:paraId="62FB8E98" w14:textId="77777777" w:rsidR="00FF12F8" w:rsidRPr="00081603" w:rsidRDefault="00FF12F8" w:rsidP="00081603">
            <w:pPr>
              <w:autoSpaceDE/>
              <w:autoSpaceDN/>
              <w:adjustRightInd/>
              <w:rPr>
                <w:rFonts w:ascii="Calibri" w:eastAsia="Times New Roman" w:hAnsi="Calibri"/>
                <w:sz w:val="22"/>
                <w:szCs w:val="22"/>
              </w:rPr>
            </w:pPr>
            <w:r w:rsidRPr="00081603">
              <w:rPr>
                <w:rFonts w:ascii="Calibri" w:eastAsia="Times New Roman" w:hAnsi="Calibri"/>
                <w:sz w:val="22"/>
                <w:szCs w:val="22"/>
              </w:rPr>
              <w:t>Transport and delivery services</w:t>
            </w:r>
          </w:p>
        </w:tc>
        <w:tc>
          <w:tcPr>
            <w:tcW w:w="1263" w:type="dxa"/>
            <w:noWrap/>
            <w:vAlign w:val="center"/>
          </w:tcPr>
          <w:p w14:paraId="679A4DFC" w14:textId="4126AB4A"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1,555</w:t>
            </w:r>
          </w:p>
        </w:tc>
        <w:tc>
          <w:tcPr>
            <w:tcW w:w="1264" w:type="dxa"/>
            <w:noWrap/>
            <w:vAlign w:val="center"/>
          </w:tcPr>
          <w:p w14:paraId="25AEA48D" w14:textId="03860157"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1,359</w:t>
            </w:r>
          </w:p>
        </w:tc>
        <w:tc>
          <w:tcPr>
            <w:tcW w:w="1264" w:type="dxa"/>
            <w:vAlign w:val="center"/>
          </w:tcPr>
          <w:p w14:paraId="3C5B7F24" w14:textId="46EE16B6"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943</w:t>
            </w:r>
          </w:p>
        </w:tc>
        <w:tc>
          <w:tcPr>
            <w:tcW w:w="1264" w:type="dxa"/>
            <w:noWrap/>
            <w:vAlign w:val="center"/>
          </w:tcPr>
          <w:p w14:paraId="37EB6D32" w14:textId="36EA0F1F"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3,453</w:t>
            </w:r>
          </w:p>
        </w:tc>
        <w:tc>
          <w:tcPr>
            <w:tcW w:w="1264" w:type="dxa"/>
            <w:noWrap/>
            <w:vAlign w:val="center"/>
          </w:tcPr>
          <w:p w14:paraId="5DC8E4F0" w14:textId="6F357457"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7,310</w:t>
            </w:r>
          </w:p>
        </w:tc>
      </w:tr>
      <w:tr w:rsidR="00FF12F8" w:rsidRPr="00081603" w14:paraId="026F80DF" w14:textId="77777777" w:rsidTr="00C44677">
        <w:trPr>
          <w:trHeight w:val="300"/>
        </w:trPr>
        <w:tc>
          <w:tcPr>
            <w:tcW w:w="3798" w:type="dxa"/>
            <w:noWrap/>
            <w:hideMark/>
          </w:tcPr>
          <w:p w14:paraId="4CFDEB43" w14:textId="77777777" w:rsidR="00FF12F8" w:rsidRPr="00081603" w:rsidRDefault="00FF12F8" w:rsidP="00081603">
            <w:pPr>
              <w:autoSpaceDE/>
              <w:autoSpaceDN/>
              <w:adjustRightInd/>
              <w:rPr>
                <w:rFonts w:ascii="Calibri" w:eastAsia="Times New Roman" w:hAnsi="Calibri"/>
                <w:sz w:val="22"/>
                <w:szCs w:val="22"/>
              </w:rPr>
            </w:pPr>
            <w:r w:rsidRPr="00081603">
              <w:rPr>
                <w:rFonts w:ascii="Calibri" w:eastAsia="Times New Roman" w:hAnsi="Calibri"/>
                <w:sz w:val="22"/>
                <w:szCs w:val="22"/>
              </w:rPr>
              <w:t>Media and Publishing</w:t>
            </w:r>
          </w:p>
        </w:tc>
        <w:tc>
          <w:tcPr>
            <w:tcW w:w="1263" w:type="dxa"/>
            <w:noWrap/>
            <w:vAlign w:val="center"/>
          </w:tcPr>
          <w:p w14:paraId="443747F9" w14:textId="584E8888"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2,099</w:t>
            </w:r>
          </w:p>
        </w:tc>
        <w:tc>
          <w:tcPr>
            <w:tcW w:w="1264" w:type="dxa"/>
            <w:noWrap/>
            <w:vAlign w:val="center"/>
          </w:tcPr>
          <w:p w14:paraId="17D1051C" w14:textId="57D8ABB6"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462</w:t>
            </w:r>
          </w:p>
        </w:tc>
        <w:tc>
          <w:tcPr>
            <w:tcW w:w="1264" w:type="dxa"/>
            <w:vAlign w:val="center"/>
          </w:tcPr>
          <w:p w14:paraId="5975B0D5" w14:textId="2E404AF2"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372</w:t>
            </w:r>
          </w:p>
        </w:tc>
        <w:tc>
          <w:tcPr>
            <w:tcW w:w="1264" w:type="dxa"/>
            <w:noWrap/>
            <w:vAlign w:val="center"/>
          </w:tcPr>
          <w:p w14:paraId="48BDBAFE" w14:textId="7387F9FB"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1,410</w:t>
            </w:r>
          </w:p>
        </w:tc>
        <w:tc>
          <w:tcPr>
            <w:tcW w:w="1264" w:type="dxa"/>
            <w:noWrap/>
            <w:vAlign w:val="center"/>
          </w:tcPr>
          <w:p w14:paraId="31BB887A" w14:textId="70BD2A6F"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4,343</w:t>
            </w:r>
          </w:p>
        </w:tc>
      </w:tr>
      <w:tr w:rsidR="00FF12F8" w:rsidRPr="00081603" w14:paraId="101DA47F" w14:textId="77777777" w:rsidTr="00C44677">
        <w:trPr>
          <w:trHeight w:val="300"/>
        </w:trPr>
        <w:tc>
          <w:tcPr>
            <w:tcW w:w="3798" w:type="dxa"/>
            <w:noWrap/>
            <w:hideMark/>
          </w:tcPr>
          <w:p w14:paraId="0AAFA89B" w14:textId="0D26D103" w:rsidR="00FF12F8" w:rsidRPr="00081603" w:rsidRDefault="00FF12F8" w:rsidP="00081603">
            <w:pPr>
              <w:autoSpaceDE/>
              <w:autoSpaceDN/>
              <w:adjustRightInd/>
              <w:rPr>
                <w:rFonts w:ascii="Calibri" w:eastAsia="Times New Roman" w:hAnsi="Calibri"/>
                <w:sz w:val="22"/>
                <w:szCs w:val="22"/>
              </w:rPr>
            </w:pPr>
            <w:r w:rsidRPr="00081603">
              <w:rPr>
                <w:rFonts w:ascii="Calibri" w:eastAsia="Times New Roman" w:hAnsi="Calibri"/>
                <w:sz w:val="22"/>
                <w:szCs w:val="22"/>
              </w:rPr>
              <w:t>Finance</w:t>
            </w:r>
            <w:r w:rsidR="006D570E" w:rsidRPr="006D570E">
              <w:rPr>
                <w:rFonts w:ascii="Calibri" w:eastAsia="Times New Roman" w:hAnsi="Calibri"/>
                <w:sz w:val="22"/>
                <w:szCs w:val="22"/>
                <w:vertAlign w:val="superscript"/>
              </w:rPr>
              <w:t>a</w:t>
            </w:r>
          </w:p>
        </w:tc>
        <w:tc>
          <w:tcPr>
            <w:tcW w:w="1263" w:type="dxa"/>
            <w:noWrap/>
            <w:vAlign w:val="center"/>
          </w:tcPr>
          <w:p w14:paraId="0FE401A1" w14:textId="5038A062" w:rsidR="00FF12F8" w:rsidRPr="00FF12F8" w:rsidRDefault="00B31286" w:rsidP="00FF12F8">
            <w:pPr>
              <w:autoSpaceDE/>
              <w:autoSpaceDN/>
              <w:adjustRightInd/>
              <w:jc w:val="right"/>
              <w:rPr>
                <w:rFonts w:asciiTheme="minorHAnsi" w:eastAsia="Times New Roman" w:hAnsiTheme="minorHAnsi"/>
                <w:sz w:val="22"/>
                <w:szCs w:val="22"/>
              </w:rPr>
            </w:pPr>
            <w:r>
              <w:rPr>
                <w:rFonts w:asciiTheme="minorHAnsi" w:eastAsia="Times New Roman" w:hAnsiTheme="minorHAnsi"/>
                <w:sz w:val="22"/>
                <w:szCs w:val="22"/>
              </w:rPr>
              <w:t>—</w:t>
            </w:r>
          </w:p>
        </w:tc>
        <w:tc>
          <w:tcPr>
            <w:tcW w:w="1264" w:type="dxa"/>
            <w:noWrap/>
            <w:vAlign w:val="center"/>
          </w:tcPr>
          <w:p w14:paraId="391F3441" w14:textId="2802E1D9"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1,357</w:t>
            </w:r>
          </w:p>
        </w:tc>
        <w:tc>
          <w:tcPr>
            <w:tcW w:w="1264" w:type="dxa"/>
            <w:vAlign w:val="center"/>
          </w:tcPr>
          <w:p w14:paraId="12101E72" w14:textId="119EFD67"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145</w:t>
            </w:r>
          </w:p>
        </w:tc>
        <w:tc>
          <w:tcPr>
            <w:tcW w:w="1264" w:type="dxa"/>
            <w:noWrap/>
            <w:vAlign w:val="center"/>
          </w:tcPr>
          <w:p w14:paraId="7D2463BC" w14:textId="27820780" w:rsidR="00FF12F8" w:rsidRPr="00FF12F8" w:rsidRDefault="00B31286" w:rsidP="00FF12F8">
            <w:pPr>
              <w:autoSpaceDE/>
              <w:autoSpaceDN/>
              <w:adjustRightInd/>
              <w:jc w:val="right"/>
              <w:rPr>
                <w:rFonts w:asciiTheme="minorHAnsi" w:eastAsia="Times New Roman" w:hAnsiTheme="minorHAnsi"/>
                <w:sz w:val="22"/>
                <w:szCs w:val="22"/>
              </w:rPr>
            </w:pPr>
            <w:r>
              <w:rPr>
                <w:rFonts w:asciiTheme="minorHAnsi" w:eastAsia="Times New Roman" w:hAnsiTheme="minorHAnsi"/>
                <w:sz w:val="22"/>
                <w:szCs w:val="22"/>
              </w:rPr>
              <w:t>—</w:t>
            </w:r>
          </w:p>
        </w:tc>
        <w:tc>
          <w:tcPr>
            <w:tcW w:w="1264" w:type="dxa"/>
            <w:noWrap/>
            <w:vAlign w:val="center"/>
          </w:tcPr>
          <w:p w14:paraId="78131BC7" w14:textId="2411E13B" w:rsidR="00FF12F8" w:rsidRPr="00FF12F8" w:rsidRDefault="00FF12F8" w:rsidP="00FF12F8">
            <w:pPr>
              <w:autoSpaceDE/>
              <w:autoSpaceDN/>
              <w:adjustRightInd/>
              <w:jc w:val="right"/>
              <w:rPr>
                <w:rFonts w:asciiTheme="minorHAnsi" w:eastAsia="Times New Roman" w:hAnsiTheme="minorHAnsi"/>
                <w:sz w:val="22"/>
                <w:szCs w:val="22"/>
                <w:highlight w:val="yellow"/>
              </w:rPr>
            </w:pPr>
            <w:r w:rsidRPr="00FF12F8">
              <w:rPr>
                <w:rFonts w:asciiTheme="minorHAnsi" w:hAnsiTheme="minorHAnsi"/>
                <w:sz w:val="22"/>
                <w:szCs w:val="22"/>
              </w:rPr>
              <w:t>1,502</w:t>
            </w:r>
          </w:p>
        </w:tc>
      </w:tr>
      <w:tr w:rsidR="00FF12F8" w:rsidRPr="00081603" w14:paraId="708E46BB" w14:textId="77777777" w:rsidTr="00C44677">
        <w:trPr>
          <w:trHeight w:val="300"/>
        </w:trPr>
        <w:tc>
          <w:tcPr>
            <w:tcW w:w="3798" w:type="dxa"/>
            <w:noWrap/>
            <w:hideMark/>
          </w:tcPr>
          <w:p w14:paraId="5C3C51B6" w14:textId="252D0601" w:rsidR="00FF12F8" w:rsidRPr="00081603" w:rsidRDefault="00FF12F8" w:rsidP="00081603">
            <w:pPr>
              <w:autoSpaceDE/>
              <w:autoSpaceDN/>
              <w:adjustRightInd/>
              <w:rPr>
                <w:rFonts w:ascii="Calibri" w:eastAsia="Times New Roman" w:hAnsi="Calibri"/>
                <w:sz w:val="22"/>
                <w:szCs w:val="22"/>
              </w:rPr>
            </w:pPr>
            <w:r w:rsidRPr="00081603">
              <w:rPr>
                <w:rFonts w:ascii="Calibri" w:eastAsia="Times New Roman" w:hAnsi="Calibri"/>
                <w:sz w:val="22"/>
                <w:szCs w:val="22"/>
              </w:rPr>
              <w:t>Insurance</w:t>
            </w:r>
            <w:r w:rsidR="006D570E" w:rsidRPr="006D570E">
              <w:rPr>
                <w:rFonts w:ascii="Calibri" w:eastAsia="Times New Roman" w:hAnsi="Calibri"/>
                <w:sz w:val="22"/>
                <w:szCs w:val="22"/>
                <w:vertAlign w:val="superscript"/>
              </w:rPr>
              <w:t>a</w:t>
            </w:r>
          </w:p>
        </w:tc>
        <w:tc>
          <w:tcPr>
            <w:tcW w:w="1263" w:type="dxa"/>
            <w:noWrap/>
            <w:vAlign w:val="center"/>
          </w:tcPr>
          <w:p w14:paraId="11178817" w14:textId="14B60F9F" w:rsidR="00FF12F8" w:rsidRPr="00FF12F8" w:rsidRDefault="00B31286" w:rsidP="00FF12F8">
            <w:pPr>
              <w:autoSpaceDE/>
              <w:autoSpaceDN/>
              <w:adjustRightInd/>
              <w:jc w:val="right"/>
              <w:rPr>
                <w:rFonts w:asciiTheme="minorHAnsi" w:eastAsia="Times New Roman" w:hAnsiTheme="minorHAnsi"/>
                <w:sz w:val="22"/>
                <w:szCs w:val="22"/>
              </w:rPr>
            </w:pPr>
            <w:r>
              <w:rPr>
                <w:rFonts w:asciiTheme="minorHAnsi" w:eastAsia="Times New Roman" w:hAnsiTheme="minorHAnsi"/>
                <w:sz w:val="22"/>
                <w:szCs w:val="22"/>
              </w:rPr>
              <w:t>—</w:t>
            </w:r>
          </w:p>
        </w:tc>
        <w:tc>
          <w:tcPr>
            <w:tcW w:w="1264" w:type="dxa"/>
            <w:noWrap/>
            <w:vAlign w:val="center"/>
          </w:tcPr>
          <w:p w14:paraId="4ECC8D15" w14:textId="14A79648"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1,362</w:t>
            </w:r>
          </w:p>
        </w:tc>
        <w:tc>
          <w:tcPr>
            <w:tcW w:w="1264" w:type="dxa"/>
            <w:vAlign w:val="center"/>
          </w:tcPr>
          <w:p w14:paraId="5AD10C38" w14:textId="7C3CF6FC"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45</w:t>
            </w:r>
          </w:p>
        </w:tc>
        <w:tc>
          <w:tcPr>
            <w:tcW w:w="1264" w:type="dxa"/>
            <w:noWrap/>
            <w:vAlign w:val="center"/>
          </w:tcPr>
          <w:p w14:paraId="184D3759" w14:textId="426690F1" w:rsidR="00FF12F8" w:rsidRPr="00FF12F8" w:rsidRDefault="00B31286" w:rsidP="00FF12F8">
            <w:pPr>
              <w:autoSpaceDE/>
              <w:autoSpaceDN/>
              <w:adjustRightInd/>
              <w:jc w:val="right"/>
              <w:rPr>
                <w:rFonts w:asciiTheme="minorHAnsi" w:eastAsia="Times New Roman" w:hAnsiTheme="minorHAnsi"/>
                <w:sz w:val="22"/>
                <w:szCs w:val="22"/>
              </w:rPr>
            </w:pPr>
            <w:r>
              <w:rPr>
                <w:rFonts w:asciiTheme="minorHAnsi" w:eastAsia="Times New Roman" w:hAnsiTheme="minorHAnsi"/>
                <w:sz w:val="22"/>
                <w:szCs w:val="22"/>
              </w:rPr>
              <w:t>—</w:t>
            </w:r>
          </w:p>
        </w:tc>
        <w:tc>
          <w:tcPr>
            <w:tcW w:w="1264" w:type="dxa"/>
            <w:noWrap/>
            <w:vAlign w:val="center"/>
          </w:tcPr>
          <w:p w14:paraId="65510734" w14:textId="5CFA667B" w:rsidR="00FF12F8" w:rsidRPr="00FF12F8" w:rsidRDefault="00FF12F8" w:rsidP="00FF12F8">
            <w:pPr>
              <w:autoSpaceDE/>
              <w:autoSpaceDN/>
              <w:adjustRightInd/>
              <w:jc w:val="right"/>
              <w:rPr>
                <w:rFonts w:asciiTheme="minorHAnsi" w:eastAsia="Times New Roman" w:hAnsiTheme="minorHAnsi"/>
                <w:sz w:val="22"/>
                <w:szCs w:val="22"/>
                <w:highlight w:val="yellow"/>
              </w:rPr>
            </w:pPr>
            <w:r w:rsidRPr="00FF12F8">
              <w:rPr>
                <w:rFonts w:asciiTheme="minorHAnsi" w:hAnsiTheme="minorHAnsi"/>
                <w:sz w:val="22"/>
                <w:szCs w:val="22"/>
              </w:rPr>
              <w:t>1,407</w:t>
            </w:r>
          </w:p>
        </w:tc>
      </w:tr>
      <w:tr w:rsidR="00FF12F8" w:rsidRPr="00081603" w14:paraId="2127E872" w14:textId="77777777" w:rsidTr="00C44677">
        <w:trPr>
          <w:trHeight w:val="300"/>
        </w:trPr>
        <w:tc>
          <w:tcPr>
            <w:tcW w:w="3798" w:type="dxa"/>
            <w:noWrap/>
            <w:hideMark/>
          </w:tcPr>
          <w:p w14:paraId="1D3C62E8" w14:textId="77777777" w:rsidR="00FF12F8" w:rsidRPr="00081603" w:rsidRDefault="00FF12F8" w:rsidP="00081603">
            <w:pPr>
              <w:autoSpaceDE/>
              <w:autoSpaceDN/>
              <w:adjustRightInd/>
              <w:rPr>
                <w:rFonts w:ascii="Calibri" w:eastAsia="Times New Roman" w:hAnsi="Calibri"/>
                <w:sz w:val="22"/>
                <w:szCs w:val="22"/>
              </w:rPr>
            </w:pPr>
            <w:r w:rsidRPr="00081603">
              <w:rPr>
                <w:rFonts w:ascii="Calibri" w:eastAsia="Times New Roman" w:hAnsi="Calibri"/>
                <w:sz w:val="22"/>
                <w:szCs w:val="22"/>
              </w:rPr>
              <w:t>Travel and hospitality</w:t>
            </w:r>
          </w:p>
        </w:tc>
        <w:tc>
          <w:tcPr>
            <w:tcW w:w="1263" w:type="dxa"/>
            <w:noWrap/>
            <w:vAlign w:val="center"/>
          </w:tcPr>
          <w:p w14:paraId="30AB1235" w14:textId="4C353475"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2,069</w:t>
            </w:r>
          </w:p>
        </w:tc>
        <w:tc>
          <w:tcPr>
            <w:tcW w:w="1264" w:type="dxa"/>
            <w:noWrap/>
            <w:vAlign w:val="center"/>
          </w:tcPr>
          <w:p w14:paraId="2DE65060" w14:textId="302A5255"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1,607</w:t>
            </w:r>
          </w:p>
        </w:tc>
        <w:tc>
          <w:tcPr>
            <w:tcW w:w="1264" w:type="dxa"/>
            <w:vAlign w:val="center"/>
          </w:tcPr>
          <w:p w14:paraId="32178213" w14:textId="62A55AF2"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507</w:t>
            </w:r>
          </w:p>
        </w:tc>
        <w:tc>
          <w:tcPr>
            <w:tcW w:w="1264" w:type="dxa"/>
            <w:noWrap/>
            <w:vAlign w:val="center"/>
          </w:tcPr>
          <w:p w14:paraId="77A63389" w14:textId="7C9EEE78"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1,828</w:t>
            </w:r>
          </w:p>
        </w:tc>
        <w:tc>
          <w:tcPr>
            <w:tcW w:w="1264" w:type="dxa"/>
            <w:noWrap/>
            <w:vAlign w:val="center"/>
          </w:tcPr>
          <w:p w14:paraId="3E14059B" w14:textId="0D3A528E"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6,011</w:t>
            </w:r>
          </w:p>
        </w:tc>
      </w:tr>
      <w:tr w:rsidR="00FF12F8" w:rsidRPr="00081603" w14:paraId="4F364FC1" w14:textId="77777777" w:rsidTr="00C44677">
        <w:trPr>
          <w:trHeight w:val="300"/>
        </w:trPr>
        <w:tc>
          <w:tcPr>
            <w:tcW w:w="3798" w:type="dxa"/>
            <w:noWrap/>
            <w:hideMark/>
          </w:tcPr>
          <w:p w14:paraId="130D2ECA" w14:textId="77777777" w:rsidR="00FF12F8" w:rsidRPr="00081603" w:rsidRDefault="00FF12F8" w:rsidP="00081603">
            <w:pPr>
              <w:autoSpaceDE/>
              <w:autoSpaceDN/>
              <w:adjustRightInd/>
              <w:rPr>
                <w:rFonts w:ascii="Calibri" w:eastAsia="Times New Roman" w:hAnsi="Calibri"/>
                <w:sz w:val="22"/>
                <w:szCs w:val="22"/>
              </w:rPr>
            </w:pPr>
            <w:r w:rsidRPr="00081603">
              <w:rPr>
                <w:rFonts w:ascii="Calibri" w:eastAsia="Times New Roman" w:hAnsi="Calibri"/>
                <w:sz w:val="22"/>
                <w:szCs w:val="22"/>
              </w:rPr>
              <w:t>Other selected services</w:t>
            </w:r>
          </w:p>
        </w:tc>
        <w:tc>
          <w:tcPr>
            <w:tcW w:w="1263" w:type="dxa"/>
            <w:noWrap/>
            <w:vAlign w:val="center"/>
          </w:tcPr>
          <w:p w14:paraId="7BC8B8E5" w14:textId="03D34BBA"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3,104</w:t>
            </w:r>
          </w:p>
        </w:tc>
        <w:tc>
          <w:tcPr>
            <w:tcW w:w="1264" w:type="dxa"/>
            <w:noWrap/>
            <w:vAlign w:val="center"/>
          </w:tcPr>
          <w:p w14:paraId="5E6A2E43" w14:textId="5C0CC143"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4,754</w:t>
            </w:r>
          </w:p>
        </w:tc>
        <w:tc>
          <w:tcPr>
            <w:tcW w:w="1264" w:type="dxa"/>
            <w:vAlign w:val="center"/>
          </w:tcPr>
          <w:p w14:paraId="6E9EAA63" w14:textId="705F04FF"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849</w:t>
            </w:r>
          </w:p>
        </w:tc>
        <w:tc>
          <w:tcPr>
            <w:tcW w:w="1264" w:type="dxa"/>
            <w:noWrap/>
            <w:vAlign w:val="center"/>
          </w:tcPr>
          <w:p w14:paraId="2A7DB0F5" w14:textId="084FACCA"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4,037</w:t>
            </w:r>
          </w:p>
        </w:tc>
        <w:tc>
          <w:tcPr>
            <w:tcW w:w="1264" w:type="dxa"/>
            <w:noWrap/>
            <w:vAlign w:val="center"/>
          </w:tcPr>
          <w:p w14:paraId="32FA8112" w14:textId="117DCB35"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hAnsiTheme="minorHAnsi"/>
                <w:sz w:val="22"/>
                <w:szCs w:val="22"/>
              </w:rPr>
              <w:t>12,744</w:t>
            </w:r>
          </w:p>
        </w:tc>
      </w:tr>
      <w:tr w:rsidR="00FF12F8" w:rsidRPr="00081603" w14:paraId="3EBABE19" w14:textId="77777777" w:rsidTr="00C44677">
        <w:trPr>
          <w:trHeight w:val="300"/>
        </w:trPr>
        <w:tc>
          <w:tcPr>
            <w:tcW w:w="3798" w:type="dxa"/>
            <w:noWrap/>
            <w:hideMark/>
          </w:tcPr>
          <w:p w14:paraId="719E6C23" w14:textId="4B4C2AC1" w:rsidR="00FF12F8" w:rsidRPr="00081603" w:rsidRDefault="00FF12F8" w:rsidP="00081603">
            <w:pPr>
              <w:autoSpaceDE/>
              <w:autoSpaceDN/>
              <w:adjustRightInd/>
              <w:rPr>
                <w:rFonts w:ascii="Calibri" w:eastAsia="Times New Roman" w:hAnsi="Calibri"/>
                <w:sz w:val="22"/>
                <w:szCs w:val="22"/>
              </w:rPr>
            </w:pPr>
            <w:r w:rsidRPr="00081603">
              <w:rPr>
                <w:rFonts w:ascii="Calibri" w:eastAsia="Times New Roman" w:hAnsi="Calibri"/>
                <w:sz w:val="22"/>
                <w:szCs w:val="22"/>
              </w:rPr>
              <w:t>Manufacturing</w:t>
            </w:r>
            <w:r w:rsidR="006D570E" w:rsidRPr="006D570E">
              <w:rPr>
                <w:rFonts w:ascii="Calibri" w:eastAsia="Times New Roman" w:hAnsi="Calibri"/>
                <w:sz w:val="22"/>
                <w:szCs w:val="22"/>
                <w:vertAlign w:val="superscript"/>
              </w:rPr>
              <w:t>b</w:t>
            </w:r>
          </w:p>
        </w:tc>
        <w:tc>
          <w:tcPr>
            <w:tcW w:w="5055" w:type="dxa"/>
            <w:gridSpan w:val="4"/>
            <w:noWrap/>
            <w:vAlign w:val="bottom"/>
          </w:tcPr>
          <w:p w14:paraId="49E98590" w14:textId="135DDA33" w:rsidR="00FF12F8" w:rsidRPr="00FF12F8" w:rsidRDefault="00FF12F8" w:rsidP="00FF12F8">
            <w:pPr>
              <w:autoSpaceDE/>
              <w:autoSpaceDN/>
              <w:adjustRightInd/>
              <w:jc w:val="center"/>
              <w:rPr>
                <w:rFonts w:asciiTheme="minorHAnsi" w:eastAsia="Times New Roman" w:hAnsiTheme="minorHAnsi"/>
                <w:sz w:val="22"/>
                <w:szCs w:val="22"/>
              </w:rPr>
            </w:pPr>
            <w:r w:rsidRPr="00FF12F8">
              <w:rPr>
                <w:rFonts w:asciiTheme="minorHAnsi" w:eastAsia="Times New Roman" w:hAnsiTheme="minorHAnsi"/>
                <w:sz w:val="22"/>
                <w:szCs w:val="22"/>
              </w:rPr>
              <w:t>4,816</w:t>
            </w:r>
          </w:p>
        </w:tc>
        <w:tc>
          <w:tcPr>
            <w:tcW w:w="1264" w:type="dxa"/>
            <w:noWrap/>
            <w:vAlign w:val="center"/>
          </w:tcPr>
          <w:p w14:paraId="1EB5C7B2" w14:textId="21E97DE2" w:rsidR="00FF12F8" w:rsidRPr="00FF12F8" w:rsidRDefault="00FF12F8" w:rsidP="00FF12F8">
            <w:pPr>
              <w:autoSpaceDE/>
              <w:autoSpaceDN/>
              <w:adjustRightInd/>
              <w:jc w:val="right"/>
              <w:rPr>
                <w:rFonts w:asciiTheme="minorHAnsi" w:eastAsia="Times New Roman" w:hAnsiTheme="minorHAnsi"/>
                <w:sz w:val="22"/>
                <w:szCs w:val="22"/>
              </w:rPr>
            </w:pPr>
            <w:r w:rsidRPr="00FF12F8">
              <w:rPr>
                <w:rFonts w:asciiTheme="minorHAnsi" w:eastAsia="Times New Roman" w:hAnsiTheme="minorHAnsi"/>
                <w:sz w:val="22"/>
                <w:szCs w:val="22"/>
              </w:rPr>
              <w:t>4,816</w:t>
            </w:r>
          </w:p>
        </w:tc>
      </w:tr>
      <w:tr w:rsidR="00FF12F8" w:rsidRPr="00081603" w14:paraId="2D2EA195" w14:textId="77777777" w:rsidTr="00C44677">
        <w:trPr>
          <w:trHeight w:val="300"/>
        </w:trPr>
        <w:tc>
          <w:tcPr>
            <w:tcW w:w="8853" w:type="dxa"/>
            <w:gridSpan w:val="5"/>
            <w:noWrap/>
          </w:tcPr>
          <w:p w14:paraId="5EC59F28" w14:textId="17590446" w:rsidR="00FF12F8" w:rsidRPr="00FF12F8" w:rsidRDefault="00FF12F8" w:rsidP="00283F84">
            <w:pPr>
              <w:rPr>
                <w:rFonts w:asciiTheme="minorHAnsi" w:hAnsiTheme="minorHAnsi"/>
                <w:sz w:val="22"/>
                <w:szCs w:val="22"/>
                <w:highlight w:val="yellow"/>
              </w:rPr>
            </w:pPr>
            <w:r w:rsidRPr="00FF12F8">
              <w:rPr>
                <w:rFonts w:asciiTheme="minorHAnsi" w:eastAsia="Times New Roman" w:hAnsiTheme="minorHAnsi"/>
                <w:sz w:val="22"/>
                <w:szCs w:val="22"/>
              </w:rPr>
              <w:t>Total</w:t>
            </w:r>
          </w:p>
        </w:tc>
        <w:tc>
          <w:tcPr>
            <w:tcW w:w="1264" w:type="dxa"/>
            <w:noWrap/>
            <w:vAlign w:val="center"/>
          </w:tcPr>
          <w:p w14:paraId="5E7798D2" w14:textId="2A38458B" w:rsidR="00FF12F8" w:rsidRPr="00FF12F8" w:rsidRDefault="00FF12F8" w:rsidP="00FF12F8">
            <w:pPr>
              <w:jc w:val="right"/>
              <w:rPr>
                <w:rFonts w:asciiTheme="minorHAnsi" w:hAnsiTheme="minorHAnsi"/>
                <w:sz w:val="22"/>
                <w:szCs w:val="22"/>
                <w:highlight w:val="yellow"/>
              </w:rPr>
            </w:pPr>
            <w:r w:rsidRPr="00FF12F8">
              <w:rPr>
                <w:rFonts w:asciiTheme="minorHAnsi" w:hAnsiTheme="minorHAnsi"/>
                <w:sz w:val="22"/>
                <w:szCs w:val="22"/>
              </w:rPr>
              <w:t>52,863</w:t>
            </w:r>
          </w:p>
        </w:tc>
      </w:tr>
    </w:tbl>
    <w:p w14:paraId="70F99D2E" w14:textId="12324BD5" w:rsidR="00081603" w:rsidRPr="006D570E" w:rsidRDefault="006D570E" w:rsidP="00081603">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sz w:val="18"/>
          <w:highlight w:val="white"/>
        </w:rPr>
      </w:pPr>
      <w:r w:rsidRPr="006D570E">
        <w:rPr>
          <w:rFonts w:asciiTheme="minorHAnsi" w:hAnsiTheme="minorHAnsi"/>
          <w:bCs/>
          <w:sz w:val="18"/>
          <w:highlight w:val="white"/>
          <w:vertAlign w:val="superscript"/>
        </w:rPr>
        <w:t>a</w:t>
      </w:r>
      <w:r w:rsidRPr="006D570E">
        <w:rPr>
          <w:rFonts w:asciiTheme="minorHAnsi" w:hAnsiTheme="minorHAnsi"/>
          <w:bCs/>
          <w:sz w:val="18"/>
          <w:highlight w:val="white"/>
        </w:rPr>
        <w:t xml:space="preserve"> Within </w:t>
      </w:r>
      <w:r w:rsidRPr="00674038">
        <w:rPr>
          <w:rFonts w:asciiTheme="minorHAnsi" w:hAnsiTheme="minorHAnsi"/>
          <w:bCs/>
          <w:sz w:val="18"/>
          <w:highlight w:val="white"/>
        </w:rPr>
        <w:t xml:space="preserve">the </w:t>
      </w:r>
      <w:r w:rsidR="004D0A6A" w:rsidRPr="00674038">
        <w:rPr>
          <w:rFonts w:asciiTheme="minorHAnsi" w:hAnsiTheme="minorHAnsi"/>
          <w:bCs/>
          <w:sz w:val="18"/>
          <w:highlight w:val="white"/>
        </w:rPr>
        <w:t xml:space="preserve">finance and insurance </w:t>
      </w:r>
      <w:r w:rsidRPr="00674038">
        <w:rPr>
          <w:rFonts w:asciiTheme="minorHAnsi" w:hAnsiTheme="minorHAnsi"/>
          <w:bCs/>
          <w:sz w:val="18"/>
          <w:highlight w:val="white"/>
        </w:rPr>
        <w:t>industries</w:t>
      </w:r>
      <w:r w:rsidRPr="006D570E">
        <w:rPr>
          <w:rFonts w:asciiTheme="minorHAnsi" w:hAnsiTheme="minorHAnsi"/>
          <w:bCs/>
          <w:sz w:val="18"/>
          <w:highlight w:val="white"/>
        </w:rPr>
        <w:t>, small firms and those with an unknown size will not be surveyed as it is unlikely that they will be within the scope of the request.</w:t>
      </w:r>
      <w:r w:rsidRPr="006D570E">
        <w:rPr>
          <w:rFonts w:asciiTheme="minorHAnsi" w:hAnsiTheme="minorHAnsi"/>
          <w:bCs/>
          <w:sz w:val="18"/>
          <w:highlight w:val="white"/>
        </w:rPr>
        <w:br/>
      </w:r>
      <w:r w:rsidRPr="006D570E">
        <w:rPr>
          <w:rFonts w:asciiTheme="minorHAnsi" w:hAnsiTheme="minorHAnsi"/>
          <w:bCs/>
          <w:sz w:val="18"/>
          <w:highlight w:val="white"/>
          <w:vertAlign w:val="superscript"/>
        </w:rPr>
        <w:t>b</w:t>
      </w:r>
      <w:r w:rsidRPr="006D570E">
        <w:rPr>
          <w:rFonts w:asciiTheme="minorHAnsi" w:hAnsiTheme="minorHAnsi"/>
          <w:bCs/>
          <w:sz w:val="18"/>
          <w:highlight w:val="white"/>
        </w:rPr>
        <w:t xml:space="preserve"> Within the manufacturing industry, only firms that have an indication of having foreign affiliates, and those with 10,000 or more employees, are included in the population.</w:t>
      </w:r>
    </w:p>
    <w:p w14:paraId="330FD590" w14:textId="075B6BA8" w:rsidR="00932245" w:rsidRDefault="00932245" w:rsidP="0093224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highlight w:val="white"/>
        </w:rPr>
      </w:pPr>
    </w:p>
    <w:p w14:paraId="0180C5DD" w14:textId="77777777" w:rsidR="00932245" w:rsidRDefault="00932245" w:rsidP="0093224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sz w:val="22"/>
          <w:szCs w:val="22"/>
        </w:rPr>
      </w:pPr>
      <w:r w:rsidRPr="00BC07A6">
        <w:rPr>
          <w:rFonts w:asciiTheme="minorHAnsi" w:hAnsiTheme="minorHAnsi"/>
          <w:b/>
          <w:bCs/>
          <w:sz w:val="22"/>
          <w:szCs w:val="22"/>
        </w:rPr>
        <w:t xml:space="preserve">TABLE 2  </w:t>
      </w:r>
      <w:r w:rsidRPr="00BC07A6">
        <w:rPr>
          <w:rFonts w:asciiTheme="minorHAnsi" w:hAnsiTheme="minorHAnsi"/>
          <w:bCs/>
          <w:sz w:val="22"/>
          <w:szCs w:val="22"/>
        </w:rPr>
        <w:t>Number of firms in the sample by stratum</w:t>
      </w:r>
    </w:p>
    <w:p w14:paraId="44336CE0" w14:textId="77777777" w:rsidR="00932245" w:rsidRDefault="00932245" w:rsidP="0093224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sz w:val="22"/>
          <w:szCs w:val="22"/>
        </w:rPr>
      </w:pPr>
    </w:p>
    <w:tbl>
      <w:tblPr>
        <w:tblStyle w:val="TableGrid"/>
        <w:tblW w:w="10117" w:type="dxa"/>
        <w:tblLayout w:type="fixed"/>
        <w:tblLook w:val="04A0" w:firstRow="1" w:lastRow="0" w:firstColumn="1" w:lastColumn="0" w:noHBand="0" w:noVBand="1"/>
      </w:tblPr>
      <w:tblGrid>
        <w:gridCol w:w="3798"/>
        <w:gridCol w:w="1263"/>
        <w:gridCol w:w="1264"/>
        <w:gridCol w:w="1264"/>
        <w:gridCol w:w="1264"/>
        <w:gridCol w:w="1264"/>
      </w:tblGrid>
      <w:tr w:rsidR="00FF12F8" w:rsidRPr="00081603" w14:paraId="26772999" w14:textId="77777777" w:rsidTr="00C44677">
        <w:trPr>
          <w:trHeight w:val="300"/>
        </w:trPr>
        <w:tc>
          <w:tcPr>
            <w:tcW w:w="3798" w:type="dxa"/>
            <w:noWrap/>
            <w:hideMark/>
          </w:tcPr>
          <w:p w14:paraId="03E4B30F" w14:textId="77777777" w:rsidR="00FF12F8" w:rsidRPr="00081603" w:rsidRDefault="00FF12F8" w:rsidP="00FC5F21">
            <w:pPr>
              <w:autoSpaceDE/>
              <w:autoSpaceDN/>
              <w:adjustRightInd/>
              <w:jc w:val="center"/>
              <w:rPr>
                <w:rFonts w:ascii="Calibri" w:eastAsia="Times New Roman" w:hAnsi="Calibri"/>
                <w:b/>
                <w:sz w:val="22"/>
                <w:szCs w:val="22"/>
              </w:rPr>
            </w:pPr>
            <w:r w:rsidRPr="00081603">
              <w:rPr>
                <w:rFonts w:ascii="Calibri" w:eastAsia="Times New Roman" w:hAnsi="Calibri"/>
                <w:b/>
                <w:sz w:val="22"/>
                <w:szCs w:val="22"/>
              </w:rPr>
              <w:t>Industry</w:t>
            </w:r>
          </w:p>
        </w:tc>
        <w:tc>
          <w:tcPr>
            <w:tcW w:w="1263" w:type="dxa"/>
            <w:noWrap/>
            <w:hideMark/>
          </w:tcPr>
          <w:p w14:paraId="77B5F1AE" w14:textId="77777777" w:rsidR="00FF12F8" w:rsidRPr="00081603" w:rsidRDefault="00FF12F8" w:rsidP="00FC5F21">
            <w:pPr>
              <w:autoSpaceDE/>
              <w:autoSpaceDN/>
              <w:adjustRightInd/>
              <w:jc w:val="center"/>
              <w:rPr>
                <w:rFonts w:ascii="Calibri" w:eastAsia="Times New Roman" w:hAnsi="Calibri"/>
                <w:b/>
                <w:sz w:val="22"/>
                <w:szCs w:val="22"/>
              </w:rPr>
            </w:pPr>
            <w:r w:rsidRPr="00081603">
              <w:rPr>
                <w:rFonts w:ascii="Calibri" w:eastAsia="Times New Roman" w:hAnsi="Calibri"/>
                <w:b/>
                <w:sz w:val="22"/>
                <w:szCs w:val="22"/>
              </w:rPr>
              <w:t>Small</w:t>
            </w:r>
          </w:p>
        </w:tc>
        <w:tc>
          <w:tcPr>
            <w:tcW w:w="1264" w:type="dxa"/>
            <w:noWrap/>
            <w:hideMark/>
          </w:tcPr>
          <w:p w14:paraId="1A0598FF" w14:textId="58EE55CF" w:rsidR="00FF12F8" w:rsidRPr="00081603" w:rsidRDefault="00BB28B0" w:rsidP="00FC5F21">
            <w:pPr>
              <w:autoSpaceDE/>
              <w:autoSpaceDN/>
              <w:adjustRightInd/>
              <w:jc w:val="center"/>
              <w:rPr>
                <w:rFonts w:ascii="Calibri" w:eastAsia="Times New Roman" w:hAnsi="Calibri"/>
                <w:b/>
                <w:sz w:val="22"/>
                <w:szCs w:val="22"/>
              </w:rPr>
            </w:pPr>
            <w:r>
              <w:rPr>
                <w:rFonts w:ascii="Calibri" w:eastAsia="Times New Roman" w:hAnsi="Calibri"/>
                <w:b/>
                <w:sz w:val="22"/>
                <w:szCs w:val="22"/>
              </w:rPr>
              <w:t>Medium/</w:t>
            </w:r>
            <w:r w:rsidR="008651B4">
              <w:rPr>
                <w:rFonts w:ascii="Calibri" w:eastAsia="Times New Roman" w:hAnsi="Calibri"/>
                <w:b/>
                <w:sz w:val="22"/>
                <w:szCs w:val="22"/>
              </w:rPr>
              <w:br/>
            </w:r>
            <w:r w:rsidR="00FF12F8" w:rsidRPr="00081603">
              <w:rPr>
                <w:rFonts w:ascii="Calibri" w:eastAsia="Times New Roman" w:hAnsi="Calibri"/>
                <w:b/>
                <w:sz w:val="22"/>
                <w:szCs w:val="22"/>
              </w:rPr>
              <w:t>Large</w:t>
            </w:r>
          </w:p>
        </w:tc>
        <w:tc>
          <w:tcPr>
            <w:tcW w:w="1264" w:type="dxa"/>
          </w:tcPr>
          <w:p w14:paraId="47BE168F" w14:textId="11AAB92C" w:rsidR="00FF12F8" w:rsidRDefault="00FF12F8" w:rsidP="00B43449">
            <w:pPr>
              <w:autoSpaceDE/>
              <w:autoSpaceDN/>
              <w:adjustRightInd/>
              <w:jc w:val="center"/>
              <w:rPr>
                <w:rFonts w:ascii="Calibri" w:eastAsia="Times New Roman" w:hAnsi="Calibri"/>
                <w:b/>
                <w:sz w:val="22"/>
                <w:szCs w:val="22"/>
              </w:rPr>
            </w:pPr>
            <w:r>
              <w:rPr>
                <w:rFonts w:ascii="Calibri" w:eastAsia="Times New Roman" w:hAnsi="Calibri"/>
                <w:b/>
                <w:sz w:val="22"/>
                <w:szCs w:val="22"/>
              </w:rPr>
              <w:t>Very large</w:t>
            </w:r>
          </w:p>
        </w:tc>
        <w:tc>
          <w:tcPr>
            <w:tcW w:w="1264" w:type="dxa"/>
            <w:noWrap/>
            <w:hideMark/>
          </w:tcPr>
          <w:p w14:paraId="63CB40FB" w14:textId="035AA6CF" w:rsidR="00FF12F8" w:rsidRPr="00081603" w:rsidRDefault="00FF12F8" w:rsidP="00B43449">
            <w:pPr>
              <w:autoSpaceDE/>
              <w:autoSpaceDN/>
              <w:adjustRightInd/>
              <w:jc w:val="center"/>
              <w:rPr>
                <w:rFonts w:ascii="Calibri" w:eastAsia="Times New Roman" w:hAnsi="Calibri"/>
                <w:b/>
                <w:sz w:val="22"/>
                <w:szCs w:val="22"/>
              </w:rPr>
            </w:pPr>
            <w:r>
              <w:rPr>
                <w:rFonts w:ascii="Calibri" w:eastAsia="Times New Roman" w:hAnsi="Calibri"/>
                <w:b/>
                <w:sz w:val="22"/>
                <w:szCs w:val="22"/>
              </w:rPr>
              <w:t>Unknown size</w:t>
            </w:r>
          </w:p>
        </w:tc>
        <w:tc>
          <w:tcPr>
            <w:tcW w:w="1264" w:type="dxa"/>
            <w:noWrap/>
            <w:hideMark/>
          </w:tcPr>
          <w:p w14:paraId="0788CEEE" w14:textId="77777777" w:rsidR="00FF12F8" w:rsidRPr="00081603" w:rsidRDefault="00FF12F8" w:rsidP="00FC5F21">
            <w:pPr>
              <w:autoSpaceDE/>
              <w:autoSpaceDN/>
              <w:adjustRightInd/>
              <w:jc w:val="center"/>
              <w:rPr>
                <w:rFonts w:ascii="Calibri" w:eastAsia="Times New Roman" w:hAnsi="Calibri"/>
                <w:b/>
                <w:sz w:val="22"/>
                <w:szCs w:val="22"/>
              </w:rPr>
            </w:pPr>
            <w:r w:rsidRPr="00081603">
              <w:rPr>
                <w:rFonts w:ascii="Calibri" w:eastAsia="Times New Roman" w:hAnsi="Calibri"/>
                <w:b/>
                <w:sz w:val="22"/>
                <w:szCs w:val="22"/>
              </w:rPr>
              <w:t>Total</w:t>
            </w:r>
          </w:p>
        </w:tc>
      </w:tr>
      <w:tr w:rsidR="0073206E" w:rsidRPr="00081603" w14:paraId="2A2D653E" w14:textId="77777777" w:rsidTr="0073206E">
        <w:trPr>
          <w:trHeight w:val="300"/>
        </w:trPr>
        <w:tc>
          <w:tcPr>
            <w:tcW w:w="3798" w:type="dxa"/>
            <w:noWrap/>
            <w:hideMark/>
          </w:tcPr>
          <w:p w14:paraId="4483A1B5" w14:textId="1C65A0D8" w:rsidR="0073206E" w:rsidRPr="00081603" w:rsidRDefault="0073206E" w:rsidP="00BA6495">
            <w:pPr>
              <w:autoSpaceDE/>
              <w:autoSpaceDN/>
              <w:adjustRightInd/>
              <w:rPr>
                <w:rFonts w:ascii="Calibri" w:eastAsia="Times New Roman" w:hAnsi="Calibri"/>
                <w:sz w:val="22"/>
                <w:szCs w:val="22"/>
              </w:rPr>
            </w:pPr>
            <w:r>
              <w:rPr>
                <w:rFonts w:ascii="Calibri" w:eastAsia="Times New Roman" w:hAnsi="Calibri"/>
                <w:sz w:val="22"/>
                <w:szCs w:val="22"/>
              </w:rPr>
              <w:t>Online commercial</w:t>
            </w:r>
            <w:r w:rsidR="00BA6495">
              <w:rPr>
                <w:rFonts w:ascii="Calibri" w:eastAsia="Times New Roman" w:hAnsi="Calibri"/>
                <w:sz w:val="22"/>
                <w:szCs w:val="22"/>
              </w:rPr>
              <w:t xml:space="preserve"> and</w:t>
            </w:r>
            <w:r>
              <w:rPr>
                <w:rFonts w:ascii="Calibri" w:eastAsia="Times New Roman" w:hAnsi="Calibri"/>
                <w:sz w:val="22"/>
                <w:szCs w:val="22"/>
              </w:rPr>
              <w:t xml:space="preserve"> retail</w:t>
            </w:r>
            <w:r w:rsidR="00BA6495">
              <w:rPr>
                <w:rFonts w:ascii="Calibri" w:eastAsia="Times New Roman" w:hAnsi="Calibri"/>
                <w:sz w:val="22"/>
                <w:szCs w:val="22"/>
              </w:rPr>
              <w:t xml:space="preserve"> services</w:t>
            </w:r>
            <w:r>
              <w:rPr>
                <w:rFonts w:ascii="Calibri" w:eastAsia="Times New Roman" w:hAnsi="Calibri"/>
                <w:sz w:val="22"/>
                <w:szCs w:val="22"/>
              </w:rPr>
              <w:t>, and payment services</w:t>
            </w:r>
          </w:p>
        </w:tc>
        <w:tc>
          <w:tcPr>
            <w:tcW w:w="1263" w:type="dxa"/>
            <w:noWrap/>
            <w:vAlign w:val="bottom"/>
          </w:tcPr>
          <w:p w14:paraId="08DF6F67" w14:textId="71B28F67"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70</w:t>
            </w:r>
          </w:p>
        </w:tc>
        <w:tc>
          <w:tcPr>
            <w:tcW w:w="1264" w:type="dxa"/>
            <w:noWrap/>
            <w:vAlign w:val="bottom"/>
          </w:tcPr>
          <w:p w14:paraId="7EC1834D" w14:textId="745C9AAA"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161</w:t>
            </w:r>
          </w:p>
        </w:tc>
        <w:tc>
          <w:tcPr>
            <w:tcW w:w="1264" w:type="dxa"/>
            <w:vAlign w:val="bottom"/>
          </w:tcPr>
          <w:p w14:paraId="23583487" w14:textId="4CF90004"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44</w:t>
            </w:r>
          </w:p>
        </w:tc>
        <w:tc>
          <w:tcPr>
            <w:tcW w:w="1264" w:type="dxa"/>
            <w:noWrap/>
            <w:vAlign w:val="bottom"/>
          </w:tcPr>
          <w:p w14:paraId="60D72CB6" w14:textId="3217FB39"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197</w:t>
            </w:r>
          </w:p>
        </w:tc>
        <w:tc>
          <w:tcPr>
            <w:tcW w:w="1264" w:type="dxa"/>
            <w:noWrap/>
            <w:vAlign w:val="bottom"/>
          </w:tcPr>
          <w:p w14:paraId="39DB392E" w14:textId="69643BC0" w:rsidR="0073206E" w:rsidRPr="00283F84" w:rsidRDefault="0073206E" w:rsidP="0073206E">
            <w:pPr>
              <w:autoSpaceDE/>
              <w:autoSpaceDN/>
              <w:adjustRightInd/>
              <w:jc w:val="right"/>
              <w:rPr>
                <w:rFonts w:asciiTheme="minorHAnsi" w:eastAsia="Times New Roman" w:hAnsiTheme="minorHAnsi"/>
                <w:sz w:val="22"/>
                <w:szCs w:val="22"/>
              </w:rPr>
            </w:pPr>
            <w:r>
              <w:rPr>
                <w:rFonts w:ascii="Calibri" w:hAnsi="Calibri"/>
                <w:color w:val="000000"/>
                <w:sz w:val="22"/>
                <w:szCs w:val="22"/>
              </w:rPr>
              <w:t>472</w:t>
            </w:r>
          </w:p>
        </w:tc>
      </w:tr>
      <w:tr w:rsidR="0073206E" w:rsidRPr="00081603" w14:paraId="47EB8383" w14:textId="77777777" w:rsidTr="0073206E">
        <w:trPr>
          <w:trHeight w:val="300"/>
        </w:trPr>
        <w:tc>
          <w:tcPr>
            <w:tcW w:w="3798" w:type="dxa"/>
            <w:noWrap/>
            <w:hideMark/>
          </w:tcPr>
          <w:p w14:paraId="2A91B299" w14:textId="77777777" w:rsidR="0073206E" w:rsidRPr="00081603" w:rsidRDefault="0073206E" w:rsidP="00FC5F21">
            <w:pPr>
              <w:autoSpaceDE/>
              <w:autoSpaceDN/>
              <w:adjustRightInd/>
              <w:rPr>
                <w:rFonts w:ascii="Calibri" w:eastAsia="Times New Roman" w:hAnsi="Calibri"/>
                <w:sz w:val="22"/>
                <w:szCs w:val="22"/>
              </w:rPr>
            </w:pPr>
            <w:r w:rsidRPr="00081603">
              <w:rPr>
                <w:rFonts w:ascii="Calibri" w:eastAsia="Times New Roman" w:hAnsi="Calibri"/>
                <w:sz w:val="22"/>
                <w:szCs w:val="22"/>
              </w:rPr>
              <w:t>Telecommunications</w:t>
            </w:r>
          </w:p>
        </w:tc>
        <w:tc>
          <w:tcPr>
            <w:tcW w:w="1263" w:type="dxa"/>
            <w:noWrap/>
            <w:vAlign w:val="bottom"/>
          </w:tcPr>
          <w:p w14:paraId="327D5E77" w14:textId="6D650E46"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100</w:t>
            </w:r>
          </w:p>
        </w:tc>
        <w:tc>
          <w:tcPr>
            <w:tcW w:w="1264" w:type="dxa"/>
            <w:noWrap/>
            <w:vAlign w:val="bottom"/>
          </w:tcPr>
          <w:p w14:paraId="0E9DCEA1" w14:textId="5C3515B6"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69</w:t>
            </w:r>
          </w:p>
        </w:tc>
        <w:tc>
          <w:tcPr>
            <w:tcW w:w="1264" w:type="dxa"/>
            <w:vAlign w:val="bottom"/>
          </w:tcPr>
          <w:p w14:paraId="0879B72B" w14:textId="2E8A68CE"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121</w:t>
            </w:r>
          </w:p>
        </w:tc>
        <w:tc>
          <w:tcPr>
            <w:tcW w:w="1264" w:type="dxa"/>
            <w:noWrap/>
            <w:vAlign w:val="bottom"/>
          </w:tcPr>
          <w:p w14:paraId="570CB055" w14:textId="495BF80E"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366</w:t>
            </w:r>
          </w:p>
        </w:tc>
        <w:tc>
          <w:tcPr>
            <w:tcW w:w="1264" w:type="dxa"/>
            <w:noWrap/>
            <w:vAlign w:val="bottom"/>
          </w:tcPr>
          <w:p w14:paraId="1CD58F69" w14:textId="2CA4911E" w:rsidR="0073206E" w:rsidRPr="00283F84" w:rsidRDefault="0073206E" w:rsidP="0073206E">
            <w:pPr>
              <w:autoSpaceDE/>
              <w:autoSpaceDN/>
              <w:adjustRightInd/>
              <w:jc w:val="right"/>
              <w:rPr>
                <w:rFonts w:asciiTheme="minorHAnsi" w:eastAsia="Times New Roman" w:hAnsiTheme="minorHAnsi"/>
                <w:sz w:val="22"/>
                <w:szCs w:val="22"/>
              </w:rPr>
            </w:pPr>
            <w:r>
              <w:rPr>
                <w:rFonts w:ascii="Calibri" w:hAnsi="Calibri"/>
                <w:color w:val="000000"/>
                <w:sz w:val="22"/>
                <w:szCs w:val="22"/>
              </w:rPr>
              <w:t>656</w:t>
            </w:r>
          </w:p>
        </w:tc>
      </w:tr>
      <w:tr w:rsidR="0073206E" w:rsidRPr="00081603" w14:paraId="73215DA7" w14:textId="77777777" w:rsidTr="0073206E">
        <w:trPr>
          <w:trHeight w:val="300"/>
        </w:trPr>
        <w:tc>
          <w:tcPr>
            <w:tcW w:w="3798" w:type="dxa"/>
            <w:noWrap/>
            <w:hideMark/>
          </w:tcPr>
          <w:p w14:paraId="312126A9" w14:textId="77777777" w:rsidR="0073206E" w:rsidRPr="00081603" w:rsidRDefault="0073206E" w:rsidP="00FC5F21">
            <w:pPr>
              <w:autoSpaceDE/>
              <w:autoSpaceDN/>
              <w:adjustRightInd/>
              <w:rPr>
                <w:rFonts w:ascii="Calibri" w:eastAsia="Times New Roman" w:hAnsi="Calibri"/>
                <w:sz w:val="22"/>
                <w:szCs w:val="22"/>
              </w:rPr>
            </w:pPr>
            <w:r w:rsidRPr="00081603">
              <w:rPr>
                <w:rFonts w:ascii="Calibri" w:eastAsia="Times New Roman" w:hAnsi="Calibri"/>
                <w:sz w:val="22"/>
                <w:szCs w:val="22"/>
              </w:rPr>
              <w:t>Web, software, and hardware services</w:t>
            </w:r>
          </w:p>
        </w:tc>
        <w:tc>
          <w:tcPr>
            <w:tcW w:w="1263" w:type="dxa"/>
            <w:noWrap/>
            <w:vAlign w:val="bottom"/>
          </w:tcPr>
          <w:p w14:paraId="5FD4F4B7" w14:textId="52AA65E6"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2,113</w:t>
            </w:r>
          </w:p>
        </w:tc>
        <w:tc>
          <w:tcPr>
            <w:tcW w:w="1264" w:type="dxa"/>
            <w:noWrap/>
            <w:vAlign w:val="bottom"/>
          </w:tcPr>
          <w:p w14:paraId="07BCE9B9" w14:textId="063B5C7D"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1,220</w:t>
            </w:r>
          </w:p>
        </w:tc>
        <w:tc>
          <w:tcPr>
            <w:tcW w:w="1264" w:type="dxa"/>
            <w:vAlign w:val="bottom"/>
          </w:tcPr>
          <w:p w14:paraId="53DE5FE2" w14:textId="16B7D0FF"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708</w:t>
            </w:r>
          </w:p>
        </w:tc>
        <w:tc>
          <w:tcPr>
            <w:tcW w:w="1264" w:type="dxa"/>
            <w:noWrap/>
            <w:vAlign w:val="bottom"/>
          </w:tcPr>
          <w:p w14:paraId="755F1E7E" w14:textId="48B53F1C"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531</w:t>
            </w:r>
          </w:p>
        </w:tc>
        <w:tc>
          <w:tcPr>
            <w:tcW w:w="1264" w:type="dxa"/>
            <w:noWrap/>
            <w:vAlign w:val="bottom"/>
          </w:tcPr>
          <w:p w14:paraId="5D21C221" w14:textId="7F0BB454" w:rsidR="0073206E" w:rsidRPr="00283F84" w:rsidRDefault="0073206E" w:rsidP="008651B4">
            <w:pPr>
              <w:autoSpaceDE/>
              <w:autoSpaceDN/>
              <w:adjustRightInd/>
              <w:jc w:val="right"/>
              <w:rPr>
                <w:rFonts w:asciiTheme="minorHAnsi" w:eastAsia="Times New Roman" w:hAnsiTheme="minorHAnsi"/>
                <w:sz w:val="22"/>
                <w:szCs w:val="22"/>
              </w:rPr>
            </w:pPr>
            <w:r>
              <w:rPr>
                <w:rFonts w:ascii="Calibri" w:hAnsi="Calibri"/>
                <w:color w:val="000000"/>
                <w:sz w:val="22"/>
                <w:szCs w:val="22"/>
              </w:rPr>
              <w:t>4,57</w:t>
            </w:r>
            <w:r w:rsidR="008651B4">
              <w:rPr>
                <w:rFonts w:ascii="Calibri" w:hAnsi="Calibri"/>
                <w:color w:val="000000"/>
                <w:sz w:val="22"/>
                <w:szCs w:val="22"/>
              </w:rPr>
              <w:t>2</w:t>
            </w:r>
          </w:p>
        </w:tc>
      </w:tr>
      <w:tr w:rsidR="0073206E" w:rsidRPr="00081603" w14:paraId="6EBE6861" w14:textId="77777777" w:rsidTr="0073206E">
        <w:trPr>
          <w:trHeight w:val="300"/>
        </w:trPr>
        <w:tc>
          <w:tcPr>
            <w:tcW w:w="3798" w:type="dxa"/>
            <w:noWrap/>
            <w:hideMark/>
          </w:tcPr>
          <w:p w14:paraId="6A351E11" w14:textId="77777777" w:rsidR="0073206E" w:rsidRPr="00081603" w:rsidRDefault="0073206E" w:rsidP="00FC5F21">
            <w:pPr>
              <w:autoSpaceDE/>
              <w:autoSpaceDN/>
              <w:adjustRightInd/>
              <w:rPr>
                <w:rFonts w:ascii="Calibri" w:eastAsia="Times New Roman" w:hAnsi="Calibri"/>
                <w:sz w:val="22"/>
                <w:szCs w:val="22"/>
              </w:rPr>
            </w:pPr>
            <w:r w:rsidRPr="00081603">
              <w:rPr>
                <w:rFonts w:ascii="Calibri" w:eastAsia="Times New Roman" w:hAnsi="Calibri"/>
                <w:sz w:val="22"/>
                <w:szCs w:val="22"/>
              </w:rPr>
              <w:t>Transport and delivery services</w:t>
            </w:r>
          </w:p>
        </w:tc>
        <w:tc>
          <w:tcPr>
            <w:tcW w:w="1263" w:type="dxa"/>
            <w:noWrap/>
            <w:vAlign w:val="bottom"/>
          </w:tcPr>
          <w:p w14:paraId="12CF5981" w14:textId="2EF8FBAC"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75</w:t>
            </w:r>
          </w:p>
        </w:tc>
        <w:tc>
          <w:tcPr>
            <w:tcW w:w="1264" w:type="dxa"/>
            <w:noWrap/>
            <w:vAlign w:val="bottom"/>
          </w:tcPr>
          <w:p w14:paraId="37A96FD9" w14:textId="2C0970B0"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204</w:t>
            </w:r>
          </w:p>
        </w:tc>
        <w:tc>
          <w:tcPr>
            <w:tcW w:w="1264" w:type="dxa"/>
            <w:vAlign w:val="bottom"/>
          </w:tcPr>
          <w:p w14:paraId="4227F419" w14:textId="636426B5"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802</w:t>
            </w:r>
          </w:p>
        </w:tc>
        <w:tc>
          <w:tcPr>
            <w:tcW w:w="1264" w:type="dxa"/>
            <w:noWrap/>
            <w:vAlign w:val="bottom"/>
          </w:tcPr>
          <w:p w14:paraId="7A34A455" w14:textId="3F4E4151"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345</w:t>
            </w:r>
          </w:p>
        </w:tc>
        <w:tc>
          <w:tcPr>
            <w:tcW w:w="1264" w:type="dxa"/>
            <w:noWrap/>
            <w:vAlign w:val="bottom"/>
          </w:tcPr>
          <w:p w14:paraId="50913C2D" w14:textId="5BDE04C9" w:rsidR="0073206E" w:rsidRPr="00283F84" w:rsidRDefault="0073206E" w:rsidP="0073206E">
            <w:pPr>
              <w:autoSpaceDE/>
              <w:autoSpaceDN/>
              <w:adjustRightInd/>
              <w:jc w:val="right"/>
              <w:rPr>
                <w:rFonts w:asciiTheme="minorHAnsi" w:eastAsia="Times New Roman" w:hAnsiTheme="minorHAnsi"/>
                <w:sz w:val="22"/>
                <w:szCs w:val="22"/>
              </w:rPr>
            </w:pPr>
            <w:r>
              <w:rPr>
                <w:rFonts w:ascii="Calibri" w:hAnsi="Calibri"/>
                <w:color w:val="000000"/>
                <w:sz w:val="22"/>
                <w:szCs w:val="22"/>
              </w:rPr>
              <w:t>1,426</w:t>
            </w:r>
          </w:p>
        </w:tc>
      </w:tr>
      <w:tr w:rsidR="0073206E" w:rsidRPr="00081603" w14:paraId="748D8851" w14:textId="77777777" w:rsidTr="0073206E">
        <w:trPr>
          <w:trHeight w:val="300"/>
        </w:trPr>
        <w:tc>
          <w:tcPr>
            <w:tcW w:w="3798" w:type="dxa"/>
            <w:noWrap/>
            <w:hideMark/>
          </w:tcPr>
          <w:p w14:paraId="19B74FDF" w14:textId="77777777" w:rsidR="0073206E" w:rsidRPr="00081603" w:rsidRDefault="0073206E" w:rsidP="00FC5F21">
            <w:pPr>
              <w:autoSpaceDE/>
              <w:autoSpaceDN/>
              <w:adjustRightInd/>
              <w:rPr>
                <w:rFonts w:ascii="Calibri" w:eastAsia="Times New Roman" w:hAnsi="Calibri"/>
                <w:sz w:val="22"/>
                <w:szCs w:val="22"/>
              </w:rPr>
            </w:pPr>
            <w:r w:rsidRPr="00081603">
              <w:rPr>
                <w:rFonts w:ascii="Calibri" w:eastAsia="Times New Roman" w:hAnsi="Calibri"/>
                <w:sz w:val="22"/>
                <w:szCs w:val="22"/>
              </w:rPr>
              <w:t>Media and Publishing</w:t>
            </w:r>
          </w:p>
        </w:tc>
        <w:tc>
          <w:tcPr>
            <w:tcW w:w="1263" w:type="dxa"/>
            <w:noWrap/>
            <w:vAlign w:val="bottom"/>
          </w:tcPr>
          <w:p w14:paraId="287FD097" w14:textId="0FF71EE0"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100</w:t>
            </w:r>
          </w:p>
        </w:tc>
        <w:tc>
          <w:tcPr>
            <w:tcW w:w="1264" w:type="dxa"/>
            <w:noWrap/>
            <w:vAlign w:val="bottom"/>
          </w:tcPr>
          <w:p w14:paraId="4A71FBA2" w14:textId="377CC522"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85</w:t>
            </w:r>
          </w:p>
        </w:tc>
        <w:tc>
          <w:tcPr>
            <w:tcW w:w="1264" w:type="dxa"/>
            <w:vAlign w:val="bottom"/>
          </w:tcPr>
          <w:p w14:paraId="603EFE74" w14:textId="41B0BA35"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372</w:t>
            </w:r>
          </w:p>
        </w:tc>
        <w:tc>
          <w:tcPr>
            <w:tcW w:w="1264" w:type="dxa"/>
            <w:noWrap/>
            <w:vAlign w:val="bottom"/>
          </w:tcPr>
          <w:p w14:paraId="11CF5A55" w14:textId="5CEDBB35"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456</w:t>
            </w:r>
          </w:p>
        </w:tc>
        <w:tc>
          <w:tcPr>
            <w:tcW w:w="1264" w:type="dxa"/>
            <w:noWrap/>
            <w:vAlign w:val="bottom"/>
          </w:tcPr>
          <w:p w14:paraId="5AC9389B" w14:textId="7A279723" w:rsidR="0073206E" w:rsidRPr="00283F84" w:rsidRDefault="0073206E" w:rsidP="0073206E">
            <w:pPr>
              <w:autoSpaceDE/>
              <w:autoSpaceDN/>
              <w:adjustRightInd/>
              <w:jc w:val="right"/>
              <w:rPr>
                <w:rFonts w:asciiTheme="minorHAnsi" w:eastAsia="Times New Roman" w:hAnsiTheme="minorHAnsi"/>
                <w:sz w:val="22"/>
                <w:szCs w:val="22"/>
              </w:rPr>
            </w:pPr>
            <w:r>
              <w:rPr>
                <w:rFonts w:ascii="Calibri" w:hAnsi="Calibri"/>
                <w:color w:val="000000"/>
                <w:sz w:val="22"/>
                <w:szCs w:val="22"/>
              </w:rPr>
              <w:t>1,013</w:t>
            </w:r>
          </w:p>
        </w:tc>
      </w:tr>
      <w:tr w:rsidR="0073206E" w:rsidRPr="00081603" w14:paraId="4447B10C" w14:textId="77777777" w:rsidTr="0073206E">
        <w:trPr>
          <w:trHeight w:val="300"/>
        </w:trPr>
        <w:tc>
          <w:tcPr>
            <w:tcW w:w="3798" w:type="dxa"/>
            <w:noWrap/>
            <w:hideMark/>
          </w:tcPr>
          <w:p w14:paraId="74B38ED9" w14:textId="16344F8E" w:rsidR="0073206E" w:rsidRPr="00081603" w:rsidRDefault="0073206E" w:rsidP="00FC5F21">
            <w:pPr>
              <w:autoSpaceDE/>
              <w:autoSpaceDN/>
              <w:adjustRightInd/>
              <w:rPr>
                <w:rFonts w:ascii="Calibri" w:eastAsia="Times New Roman" w:hAnsi="Calibri"/>
                <w:sz w:val="22"/>
                <w:szCs w:val="22"/>
              </w:rPr>
            </w:pPr>
            <w:r w:rsidRPr="00081603">
              <w:rPr>
                <w:rFonts w:ascii="Calibri" w:eastAsia="Times New Roman" w:hAnsi="Calibri"/>
                <w:sz w:val="22"/>
                <w:szCs w:val="22"/>
              </w:rPr>
              <w:t>Finance</w:t>
            </w:r>
            <w:r w:rsidRPr="006D570E">
              <w:rPr>
                <w:rFonts w:ascii="Calibri" w:eastAsia="Times New Roman" w:hAnsi="Calibri"/>
                <w:sz w:val="22"/>
                <w:szCs w:val="22"/>
                <w:vertAlign w:val="superscript"/>
              </w:rPr>
              <w:t>a</w:t>
            </w:r>
          </w:p>
        </w:tc>
        <w:tc>
          <w:tcPr>
            <w:tcW w:w="1263" w:type="dxa"/>
            <w:noWrap/>
            <w:vAlign w:val="bottom"/>
          </w:tcPr>
          <w:p w14:paraId="277C0BC0" w14:textId="450FF276" w:rsidR="0073206E" w:rsidRPr="00283F84" w:rsidRDefault="0073206E" w:rsidP="00FC5F21">
            <w:pPr>
              <w:autoSpaceDE/>
              <w:autoSpaceDN/>
              <w:adjustRightInd/>
              <w:jc w:val="right"/>
              <w:rPr>
                <w:rFonts w:asciiTheme="minorHAnsi" w:eastAsia="Times New Roman" w:hAnsiTheme="minorHAnsi"/>
                <w:sz w:val="22"/>
                <w:szCs w:val="22"/>
              </w:rPr>
            </w:pPr>
            <w:r>
              <w:rPr>
                <w:rFonts w:asciiTheme="minorHAnsi" w:eastAsia="Times New Roman" w:hAnsiTheme="minorHAnsi"/>
                <w:sz w:val="22"/>
                <w:szCs w:val="22"/>
              </w:rPr>
              <w:t>—</w:t>
            </w:r>
          </w:p>
        </w:tc>
        <w:tc>
          <w:tcPr>
            <w:tcW w:w="1264" w:type="dxa"/>
            <w:noWrap/>
            <w:vAlign w:val="bottom"/>
          </w:tcPr>
          <w:p w14:paraId="5CDB9466" w14:textId="4CD988FF"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355</w:t>
            </w:r>
          </w:p>
        </w:tc>
        <w:tc>
          <w:tcPr>
            <w:tcW w:w="1264" w:type="dxa"/>
            <w:vAlign w:val="bottom"/>
          </w:tcPr>
          <w:p w14:paraId="077DE543" w14:textId="777C664B"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145</w:t>
            </w:r>
          </w:p>
        </w:tc>
        <w:tc>
          <w:tcPr>
            <w:tcW w:w="1264" w:type="dxa"/>
            <w:noWrap/>
            <w:vAlign w:val="bottom"/>
          </w:tcPr>
          <w:p w14:paraId="6ED8EA1D" w14:textId="1C260B50" w:rsidR="0073206E" w:rsidRPr="00283F84" w:rsidRDefault="0073206E" w:rsidP="00FC5F21">
            <w:pPr>
              <w:autoSpaceDE/>
              <w:autoSpaceDN/>
              <w:adjustRightInd/>
              <w:jc w:val="right"/>
              <w:rPr>
                <w:rFonts w:asciiTheme="minorHAnsi" w:eastAsia="Times New Roman" w:hAnsiTheme="minorHAnsi"/>
                <w:sz w:val="22"/>
                <w:szCs w:val="22"/>
              </w:rPr>
            </w:pPr>
            <w:r>
              <w:rPr>
                <w:rFonts w:asciiTheme="minorHAnsi" w:eastAsia="Times New Roman" w:hAnsiTheme="minorHAnsi"/>
                <w:sz w:val="22"/>
                <w:szCs w:val="22"/>
              </w:rPr>
              <w:t>—</w:t>
            </w:r>
          </w:p>
        </w:tc>
        <w:tc>
          <w:tcPr>
            <w:tcW w:w="1264" w:type="dxa"/>
            <w:noWrap/>
            <w:vAlign w:val="bottom"/>
          </w:tcPr>
          <w:p w14:paraId="129A4B4E" w14:textId="39B1ED83" w:rsidR="0073206E" w:rsidRPr="00283F84" w:rsidRDefault="0073206E" w:rsidP="0073206E">
            <w:pPr>
              <w:autoSpaceDE/>
              <w:autoSpaceDN/>
              <w:adjustRightInd/>
              <w:jc w:val="right"/>
              <w:rPr>
                <w:rFonts w:asciiTheme="minorHAnsi" w:eastAsia="Times New Roman" w:hAnsiTheme="minorHAnsi"/>
                <w:sz w:val="22"/>
                <w:szCs w:val="22"/>
              </w:rPr>
            </w:pPr>
            <w:r>
              <w:rPr>
                <w:rFonts w:ascii="Calibri" w:hAnsi="Calibri"/>
                <w:color w:val="000000"/>
                <w:sz w:val="22"/>
                <w:szCs w:val="22"/>
              </w:rPr>
              <w:t>500</w:t>
            </w:r>
          </w:p>
        </w:tc>
      </w:tr>
      <w:tr w:rsidR="0073206E" w:rsidRPr="00081603" w14:paraId="3A918BE8" w14:textId="77777777" w:rsidTr="0073206E">
        <w:trPr>
          <w:trHeight w:val="300"/>
        </w:trPr>
        <w:tc>
          <w:tcPr>
            <w:tcW w:w="3798" w:type="dxa"/>
            <w:noWrap/>
            <w:hideMark/>
          </w:tcPr>
          <w:p w14:paraId="0D5FFEAA" w14:textId="6FDCBBB2" w:rsidR="0073206E" w:rsidRPr="00081603" w:rsidRDefault="0073206E" w:rsidP="00FC5F21">
            <w:pPr>
              <w:autoSpaceDE/>
              <w:autoSpaceDN/>
              <w:adjustRightInd/>
              <w:rPr>
                <w:rFonts w:ascii="Calibri" w:eastAsia="Times New Roman" w:hAnsi="Calibri"/>
                <w:sz w:val="22"/>
                <w:szCs w:val="22"/>
              </w:rPr>
            </w:pPr>
            <w:r w:rsidRPr="00081603">
              <w:rPr>
                <w:rFonts w:ascii="Calibri" w:eastAsia="Times New Roman" w:hAnsi="Calibri"/>
                <w:sz w:val="22"/>
                <w:szCs w:val="22"/>
              </w:rPr>
              <w:t>Insurance</w:t>
            </w:r>
            <w:r w:rsidRPr="006D570E">
              <w:rPr>
                <w:rFonts w:ascii="Calibri" w:eastAsia="Times New Roman" w:hAnsi="Calibri"/>
                <w:sz w:val="22"/>
                <w:szCs w:val="22"/>
                <w:vertAlign w:val="superscript"/>
              </w:rPr>
              <w:t>a</w:t>
            </w:r>
          </w:p>
        </w:tc>
        <w:tc>
          <w:tcPr>
            <w:tcW w:w="1263" w:type="dxa"/>
            <w:noWrap/>
            <w:vAlign w:val="bottom"/>
          </w:tcPr>
          <w:p w14:paraId="36B9896A" w14:textId="0CF44088" w:rsidR="0073206E" w:rsidRPr="00283F84" w:rsidRDefault="0073206E" w:rsidP="00FC5F21">
            <w:pPr>
              <w:autoSpaceDE/>
              <w:autoSpaceDN/>
              <w:adjustRightInd/>
              <w:jc w:val="right"/>
              <w:rPr>
                <w:rFonts w:asciiTheme="minorHAnsi" w:eastAsia="Times New Roman" w:hAnsiTheme="minorHAnsi"/>
                <w:sz w:val="22"/>
                <w:szCs w:val="22"/>
              </w:rPr>
            </w:pPr>
            <w:r>
              <w:rPr>
                <w:rFonts w:asciiTheme="minorHAnsi" w:eastAsia="Times New Roman" w:hAnsiTheme="minorHAnsi"/>
                <w:sz w:val="22"/>
                <w:szCs w:val="22"/>
              </w:rPr>
              <w:t>—</w:t>
            </w:r>
          </w:p>
        </w:tc>
        <w:tc>
          <w:tcPr>
            <w:tcW w:w="1264" w:type="dxa"/>
            <w:noWrap/>
            <w:vAlign w:val="bottom"/>
          </w:tcPr>
          <w:p w14:paraId="06D97031" w14:textId="0E7E7484"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400</w:t>
            </w:r>
          </w:p>
        </w:tc>
        <w:tc>
          <w:tcPr>
            <w:tcW w:w="1264" w:type="dxa"/>
            <w:vAlign w:val="bottom"/>
          </w:tcPr>
          <w:p w14:paraId="0457B7B8" w14:textId="13243919"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45</w:t>
            </w:r>
          </w:p>
        </w:tc>
        <w:tc>
          <w:tcPr>
            <w:tcW w:w="1264" w:type="dxa"/>
            <w:noWrap/>
            <w:vAlign w:val="bottom"/>
          </w:tcPr>
          <w:p w14:paraId="5EB1C29E" w14:textId="05506F1D" w:rsidR="0073206E" w:rsidRPr="00283F84" w:rsidRDefault="0073206E" w:rsidP="00FC5F21">
            <w:pPr>
              <w:autoSpaceDE/>
              <w:autoSpaceDN/>
              <w:adjustRightInd/>
              <w:jc w:val="right"/>
              <w:rPr>
                <w:rFonts w:asciiTheme="minorHAnsi" w:eastAsia="Times New Roman" w:hAnsiTheme="minorHAnsi"/>
                <w:sz w:val="22"/>
                <w:szCs w:val="22"/>
              </w:rPr>
            </w:pPr>
            <w:r>
              <w:rPr>
                <w:rFonts w:asciiTheme="minorHAnsi" w:eastAsia="Times New Roman" w:hAnsiTheme="minorHAnsi"/>
                <w:sz w:val="22"/>
                <w:szCs w:val="22"/>
              </w:rPr>
              <w:t>—</w:t>
            </w:r>
          </w:p>
        </w:tc>
        <w:tc>
          <w:tcPr>
            <w:tcW w:w="1264" w:type="dxa"/>
            <w:noWrap/>
            <w:vAlign w:val="bottom"/>
          </w:tcPr>
          <w:p w14:paraId="648417CA" w14:textId="0D29A68F" w:rsidR="0073206E" w:rsidRPr="00283F84" w:rsidRDefault="0073206E" w:rsidP="0073206E">
            <w:pPr>
              <w:autoSpaceDE/>
              <w:autoSpaceDN/>
              <w:adjustRightInd/>
              <w:jc w:val="right"/>
              <w:rPr>
                <w:rFonts w:asciiTheme="minorHAnsi" w:eastAsia="Times New Roman" w:hAnsiTheme="minorHAnsi"/>
                <w:sz w:val="22"/>
                <w:szCs w:val="22"/>
              </w:rPr>
            </w:pPr>
            <w:r>
              <w:rPr>
                <w:rFonts w:ascii="Calibri" w:hAnsi="Calibri"/>
                <w:color w:val="000000"/>
                <w:sz w:val="22"/>
                <w:szCs w:val="22"/>
              </w:rPr>
              <w:t>445</w:t>
            </w:r>
          </w:p>
        </w:tc>
      </w:tr>
      <w:tr w:rsidR="0073206E" w:rsidRPr="00081603" w14:paraId="7D60BC77" w14:textId="77777777" w:rsidTr="0073206E">
        <w:trPr>
          <w:trHeight w:val="300"/>
        </w:trPr>
        <w:tc>
          <w:tcPr>
            <w:tcW w:w="3798" w:type="dxa"/>
            <w:noWrap/>
            <w:hideMark/>
          </w:tcPr>
          <w:p w14:paraId="7CB10FDB" w14:textId="77777777" w:rsidR="0073206E" w:rsidRPr="00081603" w:rsidRDefault="0073206E" w:rsidP="00FC5F21">
            <w:pPr>
              <w:autoSpaceDE/>
              <w:autoSpaceDN/>
              <w:adjustRightInd/>
              <w:rPr>
                <w:rFonts w:ascii="Calibri" w:eastAsia="Times New Roman" w:hAnsi="Calibri"/>
                <w:sz w:val="22"/>
                <w:szCs w:val="22"/>
              </w:rPr>
            </w:pPr>
            <w:r w:rsidRPr="00081603">
              <w:rPr>
                <w:rFonts w:ascii="Calibri" w:eastAsia="Times New Roman" w:hAnsi="Calibri"/>
                <w:sz w:val="22"/>
                <w:szCs w:val="22"/>
              </w:rPr>
              <w:t>Travel and hospitality</w:t>
            </w:r>
          </w:p>
        </w:tc>
        <w:tc>
          <w:tcPr>
            <w:tcW w:w="1263" w:type="dxa"/>
            <w:noWrap/>
            <w:vAlign w:val="bottom"/>
          </w:tcPr>
          <w:p w14:paraId="2FBA36D3" w14:textId="2076D08B" w:rsidR="0073206E" w:rsidRPr="00283F84" w:rsidRDefault="0073206E" w:rsidP="008651B4">
            <w:pPr>
              <w:autoSpaceDE/>
              <w:autoSpaceDN/>
              <w:adjustRightInd/>
              <w:jc w:val="right"/>
              <w:rPr>
                <w:rFonts w:asciiTheme="minorHAnsi" w:eastAsia="Times New Roman" w:hAnsiTheme="minorHAnsi"/>
                <w:sz w:val="22"/>
                <w:szCs w:val="22"/>
              </w:rPr>
            </w:pPr>
            <w:r>
              <w:rPr>
                <w:rFonts w:ascii="Calibri" w:hAnsi="Calibri"/>
                <w:color w:val="000000"/>
                <w:sz w:val="22"/>
                <w:szCs w:val="22"/>
              </w:rPr>
              <w:t>1</w:t>
            </w:r>
            <w:r w:rsidR="008651B4">
              <w:rPr>
                <w:rFonts w:ascii="Calibri" w:hAnsi="Calibri"/>
                <w:color w:val="000000"/>
                <w:sz w:val="22"/>
                <w:szCs w:val="22"/>
              </w:rPr>
              <w:t>39</w:t>
            </w:r>
          </w:p>
        </w:tc>
        <w:tc>
          <w:tcPr>
            <w:tcW w:w="1264" w:type="dxa"/>
            <w:noWrap/>
            <w:vAlign w:val="bottom"/>
          </w:tcPr>
          <w:p w14:paraId="15D616A5" w14:textId="7D8761CC"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241</w:t>
            </w:r>
          </w:p>
        </w:tc>
        <w:tc>
          <w:tcPr>
            <w:tcW w:w="1264" w:type="dxa"/>
            <w:vAlign w:val="bottom"/>
          </w:tcPr>
          <w:p w14:paraId="263242CF" w14:textId="503F3BE1"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431</w:t>
            </w:r>
          </w:p>
        </w:tc>
        <w:tc>
          <w:tcPr>
            <w:tcW w:w="1264" w:type="dxa"/>
            <w:noWrap/>
            <w:vAlign w:val="bottom"/>
          </w:tcPr>
          <w:p w14:paraId="512F7130" w14:textId="1974A331"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366</w:t>
            </w:r>
          </w:p>
        </w:tc>
        <w:tc>
          <w:tcPr>
            <w:tcW w:w="1264" w:type="dxa"/>
            <w:noWrap/>
            <w:vAlign w:val="bottom"/>
          </w:tcPr>
          <w:p w14:paraId="24160F96" w14:textId="557CFA8B" w:rsidR="0073206E" w:rsidRPr="00283F84" w:rsidRDefault="0073206E" w:rsidP="008651B4">
            <w:pPr>
              <w:autoSpaceDE/>
              <w:autoSpaceDN/>
              <w:adjustRightInd/>
              <w:jc w:val="right"/>
              <w:rPr>
                <w:rFonts w:asciiTheme="minorHAnsi" w:eastAsia="Times New Roman" w:hAnsiTheme="minorHAnsi"/>
                <w:sz w:val="22"/>
                <w:szCs w:val="22"/>
              </w:rPr>
            </w:pPr>
            <w:r>
              <w:rPr>
                <w:rFonts w:ascii="Calibri" w:hAnsi="Calibri"/>
                <w:color w:val="000000"/>
                <w:sz w:val="22"/>
                <w:szCs w:val="22"/>
              </w:rPr>
              <w:t>117</w:t>
            </w:r>
            <w:r w:rsidR="008651B4">
              <w:rPr>
                <w:rFonts w:ascii="Calibri" w:hAnsi="Calibri"/>
                <w:color w:val="000000"/>
                <w:sz w:val="22"/>
                <w:szCs w:val="22"/>
              </w:rPr>
              <w:t>7</w:t>
            </w:r>
          </w:p>
        </w:tc>
      </w:tr>
      <w:tr w:rsidR="0073206E" w:rsidRPr="00081603" w14:paraId="65B58CF3" w14:textId="77777777" w:rsidTr="0073206E">
        <w:trPr>
          <w:trHeight w:val="300"/>
        </w:trPr>
        <w:tc>
          <w:tcPr>
            <w:tcW w:w="3798" w:type="dxa"/>
            <w:noWrap/>
            <w:hideMark/>
          </w:tcPr>
          <w:p w14:paraId="032B0C4F" w14:textId="77777777" w:rsidR="0073206E" w:rsidRPr="00081603" w:rsidRDefault="0073206E" w:rsidP="00FC5F21">
            <w:pPr>
              <w:autoSpaceDE/>
              <w:autoSpaceDN/>
              <w:adjustRightInd/>
              <w:rPr>
                <w:rFonts w:ascii="Calibri" w:eastAsia="Times New Roman" w:hAnsi="Calibri"/>
                <w:sz w:val="22"/>
                <w:szCs w:val="22"/>
              </w:rPr>
            </w:pPr>
            <w:r w:rsidRPr="00081603">
              <w:rPr>
                <w:rFonts w:ascii="Calibri" w:eastAsia="Times New Roman" w:hAnsi="Calibri"/>
                <w:sz w:val="22"/>
                <w:szCs w:val="22"/>
              </w:rPr>
              <w:t>Other selected services</w:t>
            </w:r>
          </w:p>
        </w:tc>
        <w:tc>
          <w:tcPr>
            <w:tcW w:w="1263" w:type="dxa"/>
            <w:noWrap/>
            <w:vAlign w:val="bottom"/>
          </w:tcPr>
          <w:p w14:paraId="2583D58B" w14:textId="6A8099BB"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110</w:t>
            </w:r>
          </w:p>
        </w:tc>
        <w:tc>
          <w:tcPr>
            <w:tcW w:w="1264" w:type="dxa"/>
            <w:noWrap/>
            <w:vAlign w:val="bottom"/>
          </w:tcPr>
          <w:p w14:paraId="4DA3FABB" w14:textId="45772EA6"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713</w:t>
            </w:r>
          </w:p>
        </w:tc>
        <w:tc>
          <w:tcPr>
            <w:tcW w:w="1264" w:type="dxa"/>
            <w:vAlign w:val="bottom"/>
          </w:tcPr>
          <w:p w14:paraId="50E101FB" w14:textId="68FDA35B"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722</w:t>
            </w:r>
          </w:p>
        </w:tc>
        <w:tc>
          <w:tcPr>
            <w:tcW w:w="1264" w:type="dxa"/>
            <w:noWrap/>
            <w:vAlign w:val="bottom"/>
          </w:tcPr>
          <w:p w14:paraId="26D6C27C" w14:textId="325E7173" w:rsidR="0073206E" w:rsidRPr="00283F84" w:rsidRDefault="0073206E" w:rsidP="00FC5F21">
            <w:pPr>
              <w:autoSpaceDE/>
              <w:autoSpaceDN/>
              <w:adjustRightInd/>
              <w:jc w:val="right"/>
              <w:rPr>
                <w:rFonts w:asciiTheme="minorHAnsi" w:eastAsia="Times New Roman" w:hAnsiTheme="minorHAnsi"/>
                <w:sz w:val="22"/>
                <w:szCs w:val="22"/>
              </w:rPr>
            </w:pPr>
            <w:r>
              <w:rPr>
                <w:rFonts w:ascii="Calibri" w:hAnsi="Calibri"/>
                <w:color w:val="000000"/>
                <w:sz w:val="22"/>
                <w:szCs w:val="22"/>
              </w:rPr>
              <w:t>404</w:t>
            </w:r>
          </w:p>
        </w:tc>
        <w:tc>
          <w:tcPr>
            <w:tcW w:w="1264" w:type="dxa"/>
            <w:noWrap/>
            <w:vAlign w:val="bottom"/>
          </w:tcPr>
          <w:p w14:paraId="17EFCDC4" w14:textId="712AE6CF" w:rsidR="0073206E" w:rsidRPr="00283F84" w:rsidRDefault="0073206E" w:rsidP="008651B4">
            <w:pPr>
              <w:autoSpaceDE/>
              <w:autoSpaceDN/>
              <w:adjustRightInd/>
              <w:jc w:val="right"/>
              <w:rPr>
                <w:rFonts w:asciiTheme="minorHAnsi" w:eastAsia="Times New Roman" w:hAnsiTheme="minorHAnsi"/>
                <w:sz w:val="22"/>
                <w:szCs w:val="22"/>
              </w:rPr>
            </w:pPr>
            <w:r>
              <w:rPr>
                <w:rFonts w:ascii="Calibri" w:hAnsi="Calibri"/>
                <w:color w:val="000000"/>
                <w:sz w:val="22"/>
                <w:szCs w:val="22"/>
              </w:rPr>
              <w:t>1,94</w:t>
            </w:r>
            <w:r w:rsidR="008651B4">
              <w:rPr>
                <w:rFonts w:ascii="Calibri" w:hAnsi="Calibri"/>
                <w:color w:val="000000"/>
                <w:sz w:val="22"/>
                <w:szCs w:val="22"/>
              </w:rPr>
              <w:t>9</w:t>
            </w:r>
          </w:p>
        </w:tc>
      </w:tr>
      <w:tr w:rsidR="00283F84" w:rsidRPr="00081603" w14:paraId="210A4D1F" w14:textId="77777777" w:rsidTr="0073206E">
        <w:trPr>
          <w:trHeight w:val="300"/>
        </w:trPr>
        <w:tc>
          <w:tcPr>
            <w:tcW w:w="3798" w:type="dxa"/>
            <w:noWrap/>
            <w:hideMark/>
          </w:tcPr>
          <w:p w14:paraId="00ED41B0" w14:textId="7CEA26D1" w:rsidR="00283F84" w:rsidRPr="00081603" w:rsidRDefault="00283F84" w:rsidP="00FC5F21">
            <w:pPr>
              <w:autoSpaceDE/>
              <w:autoSpaceDN/>
              <w:adjustRightInd/>
              <w:rPr>
                <w:rFonts w:ascii="Calibri" w:eastAsia="Times New Roman" w:hAnsi="Calibri"/>
                <w:sz w:val="22"/>
                <w:szCs w:val="22"/>
              </w:rPr>
            </w:pPr>
            <w:r w:rsidRPr="00081603">
              <w:rPr>
                <w:rFonts w:ascii="Calibri" w:eastAsia="Times New Roman" w:hAnsi="Calibri"/>
                <w:sz w:val="22"/>
                <w:szCs w:val="22"/>
              </w:rPr>
              <w:t>Manufacturing</w:t>
            </w:r>
            <w:r w:rsidR="006D570E" w:rsidRPr="006D570E">
              <w:rPr>
                <w:rFonts w:ascii="Calibri" w:eastAsia="Times New Roman" w:hAnsi="Calibri"/>
                <w:sz w:val="22"/>
                <w:szCs w:val="22"/>
                <w:vertAlign w:val="superscript"/>
              </w:rPr>
              <w:t>b</w:t>
            </w:r>
          </w:p>
        </w:tc>
        <w:tc>
          <w:tcPr>
            <w:tcW w:w="5055" w:type="dxa"/>
            <w:gridSpan w:val="4"/>
            <w:noWrap/>
            <w:vAlign w:val="bottom"/>
          </w:tcPr>
          <w:p w14:paraId="422CB287" w14:textId="754B4D0A" w:rsidR="00283F84" w:rsidRPr="00283F84" w:rsidRDefault="0073206E" w:rsidP="0073206E">
            <w:pPr>
              <w:autoSpaceDE/>
              <w:autoSpaceDN/>
              <w:adjustRightInd/>
              <w:jc w:val="center"/>
              <w:rPr>
                <w:rFonts w:asciiTheme="minorHAnsi" w:eastAsia="Times New Roman" w:hAnsiTheme="minorHAnsi"/>
                <w:sz w:val="22"/>
                <w:szCs w:val="22"/>
              </w:rPr>
            </w:pPr>
            <w:r>
              <w:rPr>
                <w:rFonts w:asciiTheme="minorHAnsi" w:eastAsia="Times New Roman" w:hAnsiTheme="minorHAnsi"/>
                <w:sz w:val="22"/>
                <w:szCs w:val="22"/>
              </w:rPr>
              <w:t>790</w:t>
            </w:r>
          </w:p>
        </w:tc>
        <w:tc>
          <w:tcPr>
            <w:tcW w:w="1264" w:type="dxa"/>
            <w:noWrap/>
            <w:vAlign w:val="bottom"/>
          </w:tcPr>
          <w:p w14:paraId="47C9BAA6" w14:textId="2BD59B80" w:rsidR="00283F84" w:rsidRPr="00283F84" w:rsidRDefault="0073206E" w:rsidP="0073206E">
            <w:pPr>
              <w:autoSpaceDE/>
              <w:autoSpaceDN/>
              <w:adjustRightInd/>
              <w:jc w:val="right"/>
              <w:rPr>
                <w:rFonts w:asciiTheme="minorHAnsi" w:eastAsia="Times New Roman" w:hAnsiTheme="minorHAnsi"/>
                <w:sz w:val="22"/>
                <w:szCs w:val="22"/>
              </w:rPr>
            </w:pPr>
            <w:r>
              <w:rPr>
                <w:rFonts w:asciiTheme="minorHAnsi" w:eastAsia="Times New Roman" w:hAnsiTheme="minorHAnsi"/>
                <w:sz w:val="22"/>
                <w:szCs w:val="22"/>
              </w:rPr>
              <w:t>790</w:t>
            </w:r>
          </w:p>
        </w:tc>
      </w:tr>
      <w:tr w:rsidR="00283F84" w:rsidRPr="00081603" w14:paraId="084A5E2D" w14:textId="77777777" w:rsidTr="0073206E">
        <w:trPr>
          <w:trHeight w:val="300"/>
        </w:trPr>
        <w:tc>
          <w:tcPr>
            <w:tcW w:w="8853" w:type="dxa"/>
            <w:gridSpan w:val="5"/>
            <w:noWrap/>
          </w:tcPr>
          <w:p w14:paraId="2959665F" w14:textId="23CB7812" w:rsidR="00283F84" w:rsidRPr="00081603" w:rsidRDefault="00283F84" w:rsidP="00283F84">
            <w:pPr>
              <w:rPr>
                <w:rFonts w:ascii="Calibri" w:hAnsi="Calibri"/>
                <w:sz w:val="22"/>
                <w:szCs w:val="22"/>
              </w:rPr>
            </w:pPr>
            <w:r w:rsidRPr="00081603">
              <w:rPr>
                <w:rFonts w:ascii="Calibri" w:eastAsia="Times New Roman" w:hAnsi="Calibri"/>
                <w:sz w:val="22"/>
                <w:szCs w:val="22"/>
              </w:rPr>
              <w:t>Total</w:t>
            </w:r>
          </w:p>
        </w:tc>
        <w:tc>
          <w:tcPr>
            <w:tcW w:w="1264" w:type="dxa"/>
            <w:noWrap/>
            <w:vAlign w:val="bottom"/>
          </w:tcPr>
          <w:p w14:paraId="65B9143D" w14:textId="4FCA0D99" w:rsidR="00283F84" w:rsidRPr="00081603" w:rsidRDefault="00283F84" w:rsidP="0073206E">
            <w:pPr>
              <w:jc w:val="right"/>
              <w:rPr>
                <w:rFonts w:ascii="Calibri" w:hAnsi="Calibri"/>
                <w:sz w:val="22"/>
                <w:szCs w:val="22"/>
              </w:rPr>
            </w:pPr>
            <w:r>
              <w:rPr>
                <w:rFonts w:ascii="Calibri" w:hAnsi="Calibri"/>
                <w:sz w:val="22"/>
                <w:szCs w:val="22"/>
              </w:rPr>
              <w:t>13,000</w:t>
            </w:r>
          </w:p>
        </w:tc>
      </w:tr>
    </w:tbl>
    <w:p w14:paraId="566DC117" w14:textId="7AA7413C" w:rsidR="006D570E" w:rsidRPr="006D570E" w:rsidRDefault="006D570E" w:rsidP="006D570E">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sz w:val="18"/>
          <w:highlight w:val="white"/>
        </w:rPr>
      </w:pPr>
      <w:r w:rsidRPr="006D570E">
        <w:rPr>
          <w:rFonts w:asciiTheme="minorHAnsi" w:hAnsiTheme="minorHAnsi"/>
          <w:bCs/>
          <w:sz w:val="18"/>
          <w:highlight w:val="white"/>
          <w:vertAlign w:val="superscript"/>
        </w:rPr>
        <w:t>a</w:t>
      </w:r>
      <w:r w:rsidRPr="006D570E">
        <w:rPr>
          <w:rFonts w:asciiTheme="minorHAnsi" w:hAnsiTheme="minorHAnsi"/>
          <w:bCs/>
          <w:sz w:val="18"/>
          <w:highlight w:val="white"/>
        </w:rPr>
        <w:t xml:space="preserve"> Within the </w:t>
      </w:r>
      <w:r w:rsidR="004D0A6A" w:rsidRPr="0073206E">
        <w:rPr>
          <w:rFonts w:asciiTheme="minorHAnsi" w:hAnsiTheme="minorHAnsi"/>
          <w:bCs/>
          <w:sz w:val="18"/>
          <w:highlight w:val="white"/>
        </w:rPr>
        <w:t>finance and insurance</w:t>
      </w:r>
      <w:r w:rsidR="004D0A6A" w:rsidRPr="006D570E">
        <w:rPr>
          <w:rFonts w:asciiTheme="minorHAnsi" w:hAnsiTheme="minorHAnsi"/>
          <w:bCs/>
          <w:sz w:val="18"/>
          <w:highlight w:val="white"/>
        </w:rPr>
        <w:t xml:space="preserve"> </w:t>
      </w:r>
      <w:r w:rsidRPr="006D570E">
        <w:rPr>
          <w:rFonts w:asciiTheme="minorHAnsi" w:hAnsiTheme="minorHAnsi"/>
          <w:bCs/>
          <w:sz w:val="18"/>
          <w:highlight w:val="white"/>
        </w:rPr>
        <w:t>industries, small firms and those with an unknown size will not be surveyed as it is unlikely that they will be within the scope of the request.</w:t>
      </w:r>
      <w:r w:rsidRPr="006D570E">
        <w:rPr>
          <w:rFonts w:asciiTheme="minorHAnsi" w:hAnsiTheme="minorHAnsi"/>
          <w:bCs/>
          <w:sz w:val="18"/>
          <w:highlight w:val="white"/>
        </w:rPr>
        <w:br/>
      </w:r>
      <w:r w:rsidRPr="006D570E">
        <w:rPr>
          <w:rFonts w:asciiTheme="minorHAnsi" w:hAnsiTheme="minorHAnsi"/>
          <w:bCs/>
          <w:sz w:val="18"/>
          <w:highlight w:val="white"/>
          <w:vertAlign w:val="superscript"/>
        </w:rPr>
        <w:t>b</w:t>
      </w:r>
      <w:r w:rsidRPr="006D570E">
        <w:rPr>
          <w:rFonts w:asciiTheme="minorHAnsi" w:hAnsiTheme="minorHAnsi"/>
          <w:bCs/>
          <w:sz w:val="18"/>
          <w:highlight w:val="white"/>
        </w:rPr>
        <w:t xml:space="preserve"> Within the manufacturing industry, only firms that have an indication of having foreign affiliates, and those with 10,000 or more employees, are included in the population.</w:t>
      </w:r>
    </w:p>
    <w:p w14:paraId="280B9B0C" w14:textId="74A59BDF" w:rsidR="006D570E" w:rsidRDefault="006D570E">
      <w:pPr>
        <w:autoSpaceDE/>
        <w:autoSpaceDN/>
        <w:adjustRightInd/>
        <w:rPr>
          <w:rFonts w:asciiTheme="minorHAnsi" w:hAnsiTheme="minorHAnsi"/>
          <w:bCs/>
          <w:sz w:val="22"/>
          <w:szCs w:val="22"/>
          <w:highlight w:val="white"/>
        </w:rPr>
      </w:pPr>
      <w:r>
        <w:rPr>
          <w:rFonts w:asciiTheme="minorHAnsi" w:hAnsiTheme="minorHAnsi"/>
          <w:bCs/>
          <w:sz w:val="22"/>
          <w:szCs w:val="22"/>
          <w:highlight w:val="white"/>
        </w:rPr>
        <w:br w:type="page"/>
      </w:r>
    </w:p>
    <w:p w14:paraId="414651D7" w14:textId="77777777" w:rsidR="00AF35D2" w:rsidRPr="004447FF" w:rsidRDefault="00AF35D2" w:rsidP="002032B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highlight w:val="white"/>
        </w:rPr>
      </w:pPr>
      <w:r w:rsidRPr="004447FF">
        <w:rPr>
          <w:rFonts w:asciiTheme="minorHAnsi" w:hAnsiTheme="minorHAnsi"/>
          <w:b/>
          <w:bCs/>
          <w:sz w:val="22"/>
          <w:szCs w:val="22"/>
          <w:highlight w:val="white"/>
        </w:rPr>
        <w:t>2.</w:t>
      </w:r>
      <w:r w:rsidRPr="004447FF">
        <w:rPr>
          <w:rFonts w:asciiTheme="minorHAnsi" w:hAnsiTheme="minorHAnsi"/>
          <w:b/>
          <w:bCs/>
          <w:sz w:val="22"/>
          <w:szCs w:val="22"/>
          <w:highlight w:val="white"/>
        </w:rPr>
        <w:tab/>
      </w:r>
      <w:r w:rsidR="00AB699E" w:rsidRPr="004447FF">
        <w:rPr>
          <w:rFonts w:asciiTheme="minorHAnsi" w:hAnsiTheme="minorHAnsi"/>
          <w:b/>
          <w:bCs/>
          <w:sz w:val="22"/>
          <w:szCs w:val="22"/>
          <w:highlight w:val="white"/>
        </w:rPr>
        <w:t>Collection of information</w:t>
      </w:r>
      <w:r w:rsidR="00FE5E62" w:rsidRPr="004447FF">
        <w:rPr>
          <w:rFonts w:asciiTheme="minorHAnsi" w:hAnsiTheme="minorHAnsi"/>
          <w:b/>
          <w:bCs/>
          <w:sz w:val="22"/>
          <w:szCs w:val="22"/>
          <w:highlight w:val="white"/>
        </w:rPr>
        <w:t xml:space="preserve"> employing statistical methods</w:t>
      </w:r>
    </w:p>
    <w:p w14:paraId="41BE8371" w14:textId="77777777" w:rsidR="00717630" w:rsidRPr="004447FF" w:rsidRDefault="00717630"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highlight w:val="white"/>
        </w:rPr>
      </w:pPr>
    </w:p>
    <w:p w14:paraId="44C553D4" w14:textId="77777777" w:rsidR="00717630" w:rsidRPr="004447FF" w:rsidRDefault="00A90E28" w:rsidP="00A90E28">
      <w:pPr>
        <w:pStyle w:val="ListParagraph"/>
        <w:numPr>
          <w:ilvl w:val="0"/>
          <w:numId w:val="13"/>
        </w:numPr>
        <w:rPr>
          <w:rFonts w:asciiTheme="minorHAnsi" w:hAnsiTheme="minorHAnsi"/>
          <w:b/>
        </w:rPr>
      </w:pPr>
      <w:r w:rsidRPr="004447FF">
        <w:rPr>
          <w:rFonts w:asciiTheme="minorHAnsi" w:hAnsiTheme="minorHAnsi"/>
          <w:b/>
        </w:rPr>
        <w:t xml:space="preserve"> </w:t>
      </w:r>
      <w:r w:rsidR="00717630" w:rsidRPr="004447FF">
        <w:rPr>
          <w:rFonts w:asciiTheme="minorHAnsi" w:hAnsiTheme="minorHAnsi"/>
          <w:b/>
        </w:rPr>
        <w:t>Statistical methodology for stratification and sample selection</w:t>
      </w:r>
    </w:p>
    <w:p w14:paraId="612DB452" w14:textId="1C874D25" w:rsidR="00914453" w:rsidRPr="00603440" w:rsidRDefault="00603440" w:rsidP="00A90E28">
      <w:pPr>
        <w:rPr>
          <w:rFonts w:asciiTheme="minorHAnsi" w:hAnsiTheme="minorHAnsi" w:cs="Arial"/>
          <w:color w:val="FF0000"/>
          <w:sz w:val="22"/>
          <w:szCs w:val="22"/>
        </w:rPr>
      </w:pPr>
      <w:r w:rsidRPr="00603440">
        <w:rPr>
          <w:rFonts w:asciiTheme="minorHAnsi" w:hAnsiTheme="minorHAnsi"/>
          <w:sz w:val="22"/>
          <w:szCs w:val="22"/>
        </w:rPr>
        <w:t xml:space="preserve">A stratified sample is being implemented for this </w:t>
      </w:r>
      <w:r w:rsidR="00E67DE5">
        <w:rPr>
          <w:rFonts w:asciiTheme="minorHAnsi" w:hAnsiTheme="minorHAnsi"/>
          <w:sz w:val="22"/>
          <w:szCs w:val="22"/>
        </w:rPr>
        <w:t>collection</w:t>
      </w:r>
      <w:r w:rsidRPr="00603440">
        <w:rPr>
          <w:rFonts w:asciiTheme="minorHAnsi" w:hAnsiTheme="minorHAnsi"/>
          <w:sz w:val="22"/>
          <w:szCs w:val="22"/>
        </w:rPr>
        <w:t xml:space="preserve">. The goal of the stratification scheme is to develop a set of strata </w:t>
      </w:r>
      <w:r w:rsidR="00985C20">
        <w:rPr>
          <w:rFonts w:asciiTheme="minorHAnsi" w:hAnsiTheme="minorHAnsi"/>
          <w:sz w:val="22"/>
          <w:szCs w:val="22"/>
        </w:rPr>
        <w:t>that minimizes the</w:t>
      </w:r>
      <w:r w:rsidRPr="00603440">
        <w:rPr>
          <w:rFonts w:asciiTheme="minorHAnsi" w:hAnsiTheme="minorHAnsi"/>
          <w:sz w:val="22"/>
          <w:szCs w:val="22"/>
        </w:rPr>
        <w:t xml:space="preserve"> variance of responses (such as level of e</w:t>
      </w:r>
      <w:r>
        <w:rPr>
          <w:rFonts w:asciiTheme="minorHAnsi" w:hAnsiTheme="minorHAnsi"/>
          <w:sz w:val="22"/>
          <w:szCs w:val="22"/>
        </w:rPr>
        <w:t>mployment and type of activities</w:t>
      </w:r>
      <w:r w:rsidRPr="00603440">
        <w:rPr>
          <w:rFonts w:asciiTheme="minorHAnsi" w:hAnsiTheme="minorHAnsi"/>
          <w:sz w:val="22"/>
          <w:szCs w:val="22"/>
        </w:rPr>
        <w:t>) within each stratum</w:t>
      </w:r>
      <w:r>
        <w:rPr>
          <w:rFonts w:asciiTheme="minorHAnsi" w:hAnsiTheme="minorHAnsi"/>
          <w:sz w:val="22"/>
          <w:szCs w:val="22"/>
        </w:rPr>
        <w:t>.</w:t>
      </w:r>
      <w:r w:rsidRPr="00603440">
        <w:rPr>
          <w:rFonts w:asciiTheme="minorHAnsi" w:hAnsiTheme="minorHAnsi"/>
          <w:sz w:val="22"/>
          <w:szCs w:val="22"/>
        </w:rPr>
        <w:t xml:space="preserve"> Because no pro-forma reliable data exist on the size and scope of the number of firms that are engaged in </w:t>
      </w:r>
      <w:r>
        <w:rPr>
          <w:rFonts w:asciiTheme="minorHAnsi" w:hAnsiTheme="minorHAnsi"/>
          <w:sz w:val="22"/>
          <w:szCs w:val="22"/>
        </w:rPr>
        <w:t>digital trade</w:t>
      </w:r>
      <w:r w:rsidRPr="00603440">
        <w:rPr>
          <w:rFonts w:asciiTheme="minorHAnsi" w:hAnsiTheme="minorHAnsi"/>
          <w:sz w:val="22"/>
          <w:szCs w:val="22"/>
        </w:rPr>
        <w:t xml:space="preserve">, </w:t>
      </w:r>
      <w:r w:rsidR="00CB0CF9">
        <w:rPr>
          <w:rFonts w:asciiTheme="minorHAnsi" w:hAnsiTheme="minorHAnsi"/>
          <w:sz w:val="22"/>
          <w:szCs w:val="22"/>
        </w:rPr>
        <w:t>the minimum size of firms included in the population and the classification of size within industries</w:t>
      </w:r>
      <w:r w:rsidR="00AE7CC6">
        <w:rPr>
          <w:rFonts w:asciiTheme="minorHAnsi" w:hAnsiTheme="minorHAnsi"/>
          <w:sz w:val="22"/>
          <w:szCs w:val="22"/>
        </w:rPr>
        <w:t xml:space="preserve"> </w:t>
      </w:r>
      <w:r w:rsidR="00CB0CF9">
        <w:rPr>
          <w:rFonts w:asciiTheme="minorHAnsi" w:hAnsiTheme="minorHAnsi"/>
          <w:sz w:val="22"/>
          <w:szCs w:val="22"/>
        </w:rPr>
        <w:t>for</w:t>
      </w:r>
      <w:r w:rsidR="00B4017E">
        <w:rPr>
          <w:rFonts w:asciiTheme="minorHAnsi" w:hAnsiTheme="minorHAnsi"/>
          <w:sz w:val="22"/>
          <w:szCs w:val="22"/>
        </w:rPr>
        <w:t xml:space="preserve"> </w:t>
      </w:r>
      <w:r w:rsidR="00AE7CC6">
        <w:rPr>
          <w:rFonts w:asciiTheme="minorHAnsi" w:hAnsiTheme="minorHAnsi"/>
          <w:sz w:val="22"/>
          <w:szCs w:val="22"/>
        </w:rPr>
        <w:t xml:space="preserve">the </w:t>
      </w:r>
      <w:r w:rsidRPr="00603440">
        <w:rPr>
          <w:rFonts w:asciiTheme="minorHAnsi" w:hAnsiTheme="minorHAnsi"/>
          <w:sz w:val="22"/>
          <w:szCs w:val="22"/>
        </w:rPr>
        <w:t>stratification scheme w</w:t>
      </w:r>
      <w:r w:rsidR="00B4017E">
        <w:rPr>
          <w:rFonts w:asciiTheme="minorHAnsi" w:hAnsiTheme="minorHAnsi"/>
          <w:sz w:val="22"/>
          <w:szCs w:val="22"/>
        </w:rPr>
        <w:t>ere</w:t>
      </w:r>
      <w:r w:rsidRPr="00603440">
        <w:rPr>
          <w:rFonts w:asciiTheme="minorHAnsi" w:hAnsiTheme="minorHAnsi"/>
          <w:sz w:val="22"/>
          <w:szCs w:val="22"/>
        </w:rPr>
        <w:t xml:space="preserve"> based on </w:t>
      </w:r>
      <w:r w:rsidR="00E67DE5">
        <w:rPr>
          <w:rFonts w:asciiTheme="minorHAnsi" w:hAnsiTheme="minorHAnsi"/>
          <w:sz w:val="22"/>
          <w:szCs w:val="22"/>
        </w:rPr>
        <w:t xml:space="preserve">information gathered from </w:t>
      </w:r>
      <w:r w:rsidRPr="00603440">
        <w:rPr>
          <w:rFonts w:asciiTheme="minorHAnsi" w:hAnsiTheme="minorHAnsi"/>
          <w:sz w:val="22"/>
          <w:szCs w:val="22"/>
        </w:rPr>
        <w:t xml:space="preserve">industry </w:t>
      </w:r>
      <w:r w:rsidR="00E67DE5">
        <w:rPr>
          <w:rFonts w:asciiTheme="minorHAnsi" w:hAnsiTheme="minorHAnsi"/>
          <w:sz w:val="22"/>
          <w:szCs w:val="22"/>
        </w:rPr>
        <w:t xml:space="preserve">representatives </w:t>
      </w:r>
      <w:r w:rsidRPr="00603440">
        <w:rPr>
          <w:rFonts w:asciiTheme="minorHAnsi" w:hAnsiTheme="minorHAnsi"/>
          <w:sz w:val="22"/>
          <w:szCs w:val="22"/>
        </w:rPr>
        <w:t xml:space="preserve">and </w:t>
      </w:r>
      <w:r w:rsidR="00E67DE5" w:rsidRPr="00603440">
        <w:rPr>
          <w:rFonts w:asciiTheme="minorHAnsi" w:hAnsiTheme="minorHAnsi"/>
          <w:sz w:val="22"/>
          <w:szCs w:val="22"/>
        </w:rPr>
        <w:t>the best judgment</w:t>
      </w:r>
      <w:r w:rsidR="00E67DE5">
        <w:rPr>
          <w:rFonts w:asciiTheme="minorHAnsi" w:hAnsiTheme="minorHAnsi"/>
          <w:sz w:val="22"/>
          <w:szCs w:val="22"/>
        </w:rPr>
        <w:t xml:space="preserve"> of</w:t>
      </w:r>
      <w:r w:rsidR="00E67DE5" w:rsidRPr="00603440">
        <w:rPr>
          <w:rFonts w:asciiTheme="minorHAnsi" w:hAnsiTheme="minorHAnsi"/>
          <w:sz w:val="22"/>
          <w:szCs w:val="22"/>
        </w:rPr>
        <w:t xml:space="preserve"> </w:t>
      </w:r>
      <w:r w:rsidRPr="00603440">
        <w:rPr>
          <w:rFonts w:asciiTheme="minorHAnsi" w:hAnsiTheme="minorHAnsi"/>
          <w:sz w:val="22"/>
          <w:szCs w:val="22"/>
        </w:rPr>
        <w:t>USITC experts.</w:t>
      </w:r>
    </w:p>
    <w:p w14:paraId="316B927E" w14:textId="77777777" w:rsidR="008B0EF7" w:rsidRDefault="008B0EF7" w:rsidP="001D6F76">
      <w:pPr>
        <w:pStyle w:val="CommentText"/>
        <w:rPr>
          <w:rFonts w:asciiTheme="minorHAnsi" w:hAnsiTheme="minorHAnsi"/>
          <w:sz w:val="22"/>
          <w:szCs w:val="22"/>
        </w:rPr>
      </w:pPr>
    </w:p>
    <w:p w14:paraId="06DFCA69" w14:textId="4BE8B0F1" w:rsidR="00603440" w:rsidRDefault="008F23D9" w:rsidP="001D6F76">
      <w:pPr>
        <w:pStyle w:val="CommentText"/>
        <w:rPr>
          <w:rFonts w:asciiTheme="minorHAnsi" w:hAnsiTheme="minorHAnsi"/>
          <w:sz w:val="22"/>
          <w:szCs w:val="22"/>
        </w:rPr>
      </w:pPr>
      <w:r>
        <w:rPr>
          <w:rFonts w:asciiTheme="minorHAnsi" w:hAnsiTheme="minorHAnsi"/>
          <w:sz w:val="22"/>
          <w:szCs w:val="22"/>
        </w:rPr>
        <w:t xml:space="preserve">Because some firms </w:t>
      </w:r>
      <w:r w:rsidR="006D08C9">
        <w:rPr>
          <w:rFonts w:asciiTheme="minorHAnsi" w:hAnsiTheme="minorHAnsi"/>
          <w:sz w:val="22"/>
          <w:szCs w:val="22"/>
        </w:rPr>
        <w:t>had no</w:t>
      </w:r>
      <w:r>
        <w:rPr>
          <w:rFonts w:asciiTheme="minorHAnsi" w:hAnsiTheme="minorHAnsi"/>
          <w:sz w:val="22"/>
          <w:szCs w:val="22"/>
        </w:rPr>
        <w:t xml:space="preserve"> data for </w:t>
      </w:r>
      <w:r w:rsidR="006D08C9">
        <w:rPr>
          <w:rFonts w:asciiTheme="minorHAnsi" w:hAnsiTheme="minorHAnsi"/>
          <w:sz w:val="22"/>
          <w:szCs w:val="22"/>
        </w:rPr>
        <w:t>both</w:t>
      </w:r>
      <w:r w:rsidR="00816D9F">
        <w:rPr>
          <w:rFonts w:asciiTheme="minorHAnsi" w:hAnsiTheme="minorHAnsi"/>
          <w:sz w:val="22"/>
          <w:szCs w:val="22"/>
        </w:rPr>
        <w:t xml:space="preserve"> the </w:t>
      </w:r>
      <w:r>
        <w:rPr>
          <w:rFonts w:asciiTheme="minorHAnsi" w:hAnsiTheme="minorHAnsi"/>
          <w:sz w:val="22"/>
          <w:szCs w:val="22"/>
        </w:rPr>
        <w:t xml:space="preserve">number of employees </w:t>
      </w:r>
      <w:r w:rsidR="006D08C9">
        <w:rPr>
          <w:rFonts w:asciiTheme="minorHAnsi" w:hAnsiTheme="minorHAnsi"/>
          <w:sz w:val="22"/>
          <w:szCs w:val="22"/>
        </w:rPr>
        <w:t>and</w:t>
      </w:r>
      <w:r>
        <w:rPr>
          <w:rFonts w:asciiTheme="minorHAnsi" w:hAnsiTheme="minorHAnsi"/>
          <w:sz w:val="22"/>
          <w:szCs w:val="22"/>
        </w:rPr>
        <w:t xml:space="preserve"> revenue, the approach to sampling could not rely on either of these variables. Thus, t</w:t>
      </w:r>
      <w:r w:rsidR="00603440">
        <w:rPr>
          <w:rFonts w:asciiTheme="minorHAnsi" w:hAnsiTheme="minorHAnsi"/>
          <w:sz w:val="22"/>
          <w:szCs w:val="22"/>
        </w:rPr>
        <w:t>he sample size for each stratum were calculated</w:t>
      </w:r>
      <w:r>
        <w:rPr>
          <w:rFonts w:asciiTheme="minorHAnsi" w:hAnsiTheme="minorHAnsi"/>
          <w:sz w:val="22"/>
          <w:szCs w:val="22"/>
        </w:rPr>
        <w:t xml:space="preserve"> using Cochran’s sample size formula for categorical data along with an oversampling correction with a</w:t>
      </w:r>
      <w:r w:rsidR="0004655C">
        <w:rPr>
          <w:rFonts w:asciiTheme="minorHAnsi" w:hAnsiTheme="minorHAnsi"/>
          <w:sz w:val="22"/>
          <w:szCs w:val="22"/>
        </w:rPr>
        <w:t>n anticipated return rate of 50 percent</w:t>
      </w:r>
      <w:r w:rsidR="00995DBC">
        <w:rPr>
          <w:rFonts w:asciiTheme="minorHAnsi" w:hAnsiTheme="minorHAnsi"/>
          <w:sz w:val="22"/>
          <w:szCs w:val="22"/>
        </w:rPr>
        <w:t>.</w:t>
      </w:r>
      <w:r>
        <w:rPr>
          <w:rStyle w:val="FootnoteReference"/>
          <w:rFonts w:asciiTheme="minorHAnsi" w:hAnsiTheme="minorHAnsi"/>
          <w:sz w:val="22"/>
          <w:szCs w:val="22"/>
        </w:rPr>
        <w:footnoteReference w:id="4"/>
      </w:r>
      <w:r w:rsidR="0004112E">
        <w:rPr>
          <w:rFonts w:asciiTheme="minorHAnsi" w:hAnsiTheme="minorHAnsi"/>
          <w:sz w:val="22"/>
          <w:szCs w:val="22"/>
        </w:rPr>
        <w:t xml:space="preserve"> The sampling rate by stratum was then</w:t>
      </w:r>
      <w:r w:rsidR="0004655C">
        <w:rPr>
          <w:rFonts w:asciiTheme="minorHAnsi" w:hAnsiTheme="minorHAnsi"/>
          <w:sz w:val="22"/>
          <w:szCs w:val="22"/>
        </w:rPr>
        <w:t xml:space="preserve"> adjusted to sample at least 10 percent</w:t>
      </w:r>
      <w:r w:rsidR="0004112E">
        <w:rPr>
          <w:rFonts w:asciiTheme="minorHAnsi" w:hAnsiTheme="minorHAnsi"/>
          <w:sz w:val="22"/>
          <w:szCs w:val="22"/>
        </w:rPr>
        <w:t xml:space="preserve"> of each stratum.</w:t>
      </w:r>
    </w:p>
    <w:p w14:paraId="0DD50B1D" w14:textId="77777777" w:rsidR="00D9658A" w:rsidRDefault="00D9658A" w:rsidP="001D6F76">
      <w:pPr>
        <w:pStyle w:val="CommentText"/>
        <w:rPr>
          <w:rFonts w:asciiTheme="minorHAnsi" w:hAnsiTheme="minorHAnsi"/>
          <w:sz w:val="22"/>
          <w:szCs w:val="22"/>
        </w:rPr>
      </w:pPr>
    </w:p>
    <w:p w14:paraId="032CDD46" w14:textId="3984BEA7" w:rsidR="00D9658A" w:rsidRDefault="00D9658A" w:rsidP="001D6F76">
      <w:pPr>
        <w:pStyle w:val="CommentText"/>
        <w:rPr>
          <w:rFonts w:asciiTheme="minorHAnsi" w:hAnsiTheme="minorHAnsi"/>
          <w:sz w:val="22"/>
          <w:szCs w:val="22"/>
        </w:rPr>
      </w:pPr>
      <w:r>
        <w:rPr>
          <w:rFonts w:asciiTheme="minorHAnsi" w:hAnsiTheme="minorHAnsi"/>
          <w:sz w:val="22"/>
          <w:szCs w:val="22"/>
        </w:rPr>
        <w:t xml:space="preserve">The sample size for stratum </w:t>
      </w:r>
      <w:r w:rsidR="002F01A2">
        <w:rPr>
          <w:rFonts w:asciiTheme="minorHAnsi" w:hAnsiTheme="minorHAnsi"/>
          <w:sz w:val="22"/>
          <w:szCs w:val="22"/>
        </w:rPr>
        <w:t xml:space="preserve">h </w:t>
      </w:r>
      <w:r>
        <w:rPr>
          <w:rFonts w:asciiTheme="minorHAnsi" w:hAnsiTheme="minorHAnsi"/>
          <w:sz w:val="22"/>
          <w:szCs w:val="22"/>
        </w:rPr>
        <w:t>is calculated by the formula</w:t>
      </w:r>
    </w:p>
    <w:p w14:paraId="6B317CC0" w14:textId="77777777" w:rsidR="00D9658A" w:rsidRDefault="00D9658A" w:rsidP="001D6F76">
      <w:pPr>
        <w:pStyle w:val="CommentText"/>
        <w:rPr>
          <w:rFonts w:asciiTheme="minorHAnsi" w:hAnsiTheme="minorHAnsi"/>
          <w:sz w:val="22"/>
          <w:szCs w:val="22"/>
        </w:rPr>
      </w:pPr>
    </w:p>
    <w:p w14:paraId="2F06B842" w14:textId="288D8D7C" w:rsidR="00D9658A" w:rsidRPr="00D9658A" w:rsidRDefault="001F41CF" w:rsidP="001D6F76">
      <w:pPr>
        <w:pStyle w:val="CommentText"/>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h0</m:t>
              </m:r>
            </m:sub>
          </m:sSub>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2</m:t>
                  </m:r>
                </m:sup>
              </m:sSup>
              <m:r>
                <w:rPr>
                  <w:rFonts w:ascii="Cambria Math" w:hAnsi="Cambria Math"/>
                  <w:sz w:val="22"/>
                  <w:szCs w:val="22"/>
                </w:rPr>
                <m:t>pq</m:t>
              </m:r>
            </m:num>
            <m:den>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2</m:t>
                  </m:r>
                </m:sup>
              </m:sSup>
            </m:den>
          </m:f>
          <m:r>
            <w:rPr>
              <w:rFonts w:ascii="Cambria Math" w:hAnsi="Cambria Math"/>
              <w:sz w:val="22"/>
              <w:szCs w:val="22"/>
            </w:rPr>
            <m:t xml:space="preserve"> </m:t>
          </m:r>
        </m:oMath>
      </m:oMathPara>
    </w:p>
    <w:p w14:paraId="3465A1EA" w14:textId="6725637D" w:rsidR="00D9658A" w:rsidRDefault="00795FC0" w:rsidP="001D6F76">
      <w:pPr>
        <w:pStyle w:val="CommentText"/>
        <w:rPr>
          <w:rFonts w:asciiTheme="minorHAnsi" w:hAnsiTheme="minorHAnsi"/>
          <w:sz w:val="22"/>
          <w:szCs w:val="22"/>
        </w:rPr>
      </w:pPr>
      <w:r>
        <w:rPr>
          <w:rFonts w:asciiTheme="minorHAnsi" w:hAnsiTheme="minorHAnsi"/>
          <w:sz w:val="22"/>
          <w:szCs w:val="22"/>
        </w:rPr>
        <w:br/>
      </w:r>
      <w:r w:rsidR="00D9658A">
        <w:rPr>
          <w:rFonts w:asciiTheme="minorHAnsi" w:hAnsiTheme="minorHAnsi"/>
          <w:sz w:val="22"/>
          <w:szCs w:val="22"/>
        </w:rPr>
        <w:t xml:space="preserve">where </w:t>
      </w:r>
      <m:oMath>
        <m:r>
          <w:rPr>
            <w:rFonts w:ascii="Cambria Math" w:hAnsi="Cambria Math"/>
            <w:sz w:val="22"/>
            <w:szCs w:val="22"/>
          </w:rPr>
          <m:t>t</m:t>
        </m:r>
      </m:oMath>
      <w:r w:rsidR="00D9658A">
        <w:rPr>
          <w:rFonts w:asciiTheme="minorHAnsi" w:hAnsiTheme="minorHAnsi"/>
          <w:sz w:val="22"/>
          <w:szCs w:val="22"/>
        </w:rPr>
        <w:t xml:space="preserve"> is the t-value at </w:t>
      </w:r>
      <m:oMath>
        <m:r>
          <w:rPr>
            <w:rFonts w:ascii="Cambria Math" w:hAnsi="Cambria Math"/>
            <w:sz w:val="22"/>
            <w:szCs w:val="22"/>
          </w:rPr>
          <m:t>α=0.05</m:t>
        </m:r>
      </m:oMath>
      <w:r w:rsidR="00D9658A">
        <w:rPr>
          <w:rFonts w:asciiTheme="minorHAnsi" w:hAnsiTheme="minorHAnsi"/>
          <w:sz w:val="22"/>
          <w:szCs w:val="22"/>
        </w:rPr>
        <w:t xml:space="preserve"> for two tails, </w:t>
      </w:r>
      <m:oMath>
        <m:r>
          <w:rPr>
            <w:rFonts w:ascii="Cambria Math" w:hAnsi="Cambria Math"/>
            <w:sz w:val="22"/>
            <w:szCs w:val="22"/>
          </w:rPr>
          <m:t>pq=0.25</m:t>
        </m:r>
      </m:oMath>
      <w:r w:rsidR="00D9658A">
        <w:rPr>
          <w:rFonts w:asciiTheme="minorHAnsi" w:hAnsiTheme="minorHAnsi"/>
          <w:sz w:val="22"/>
          <w:szCs w:val="22"/>
        </w:rPr>
        <w:t xml:space="preserve"> as an estimate for variance, and </w:t>
      </w:r>
      <m:oMath>
        <m:r>
          <w:rPr>
            <w:rFonts w:ascii="Cambria Math" w:hAnsi="Cambria Math"/>
            <w:sz w:val="22"/>
            <w:szCs w:val="22"/>
          </w:rPr>
          <m:t>d=0.05</m:t>
        </m:r>
      </m:oMath>
      <w:r w:rsidR="00D9658A">
        <w:rPr>
          <w:rFonts w:asciiTheme="minorHAnsi" w:hAnsiTheme="minorHAnsi"/>
          <w:sz w:val="22"/>
          <w:szCs w:val="22"/>
        </w:rPr>
        <w:t xml:space="preserve"> as an acceptable margin of error for categorical data.</w:t>
      </w:r>
    </w:p>
    <w:p w14:paraId="640DB516" w14:textId="77777777" w:rsidR="00D9658A" w:rsidRDefault="00D9658A" w:rsidP="001D6F76">
      <w:pPr>
        <w:pStyle w:val="CommentText"/>
        <w:rPr>
          <w:rFonts w:asciiTheme="minorHAnsi" w:hAnsiTheme="minorHAnsi"/>
          <w:sz w:val="22"/>
          <w:szCs w:val="22"/>
        </w:rPr>
      </w:pPr>
    </w:p>
    <w:p w14:paraId="001F6545" w14:textId="77777777" w:rsidR="00D9658A" w:rsidRDefault="00D9658A" w:rsidP="001D6F76">
      <w:pPr>
        <w:pStyle w:val="CommentText"/>
        <w:rPr>
          <w:rFonts w:asciiTheme="minorHAnsi" w:hAnsiTheme="minorHAnsi"/>
          <w:sz w:val="22"/>
          <w:szCs w:val="22"/>
        </w:rPr>
      </w:pPr>
      <w:r>
        <w:rPr>
          <w:rFonts w:asciiTheme="minorHAnsi" w:hAnsiTheme="minorHAnsi"/>
          <w:sz w:val="22"/>
          <w:szCs w:val="22"/>
        </w:rPr>
        <w:t>The formula for Cochran’s oversampling correction is</w:t>
      </w:r>
    </w:p>
    <w:p w14:paraId="0083E60B" w14:textId="77777777" w:rsidR="00D9658A" w:rsidRDefault="00D9658A" w:rsidP="001D6F76">
      <w:pPr>
        <w:pStyle w:val="CommentText"/>
        <w:rPr>
          <w:rFonts w:asciiTheme="minorHAnsi" w:hAnsiTheme="minorHAnsi"/>
          <w:sz w:val="22"/>
          <w:szCs w:val="22"/>
        </w:rPr>
      </w:pPr>
    </w:p>
    <w:p w14:paraId="78B19AE7" w14:textId="73EE4C27" w:rsidR="00D9658A" w:rsidRPr="002F01A2" w:rsidRDefault="001F41CF" w:rsidP="00BE5A4C">
      <w:pPr>
        <w:pStyle w:val="CommentText"/>
        <w:jc w:val="center"/>
        <w:rPr>
          <w:rFonts w:asciiTheme="minorHAnsi" w:hAnsiTheme="minorHAnsi"/>
          <w:sz w:val="22"/>
          <w:szCs w:val="22"/>
        </w:rPr>
      </w:pPr>
      <m:oMathPara>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h1</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h0</m:t>
                  </m:r>
                </m:sub>
              </m:sSub>
            </m:num>
            <m:den>
              <m:d>
                <m:dPr>
                  <m:ctrlPr>
                    <w:rPr>
                      <w:rFonts w:ascii="Cambria Math" w:hAnsi="Cambria Math"/>
                      <w:i/>
                      <w:sz w:val="22"/>
                      <w:szCs w:val="22"/>
                    </w:rPr>
                  </m:ctrlPr>
                </m:dPr>
                <m:e>
                  <m:r>
                    <w:rPr>
                      <w:rFonts w:ascii="Cambria Math" w:hAnsi="Cambria Math"/>
                      <w:sz w:val="22"/>
                      <w:szCs w:val="22"/>
                    </w:rPr>
                    <m:t>1+</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h0</m:t>
                          </m:r>
                        </m:sub>
                      </m:sSub>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den>
                  </m:f>
                </m:e>
              </m:d>
            </m:den>
          </m:f>
        </m:oMath>
      </m:oMathPara>
    </w:p>
    <w:p w14:paraId="2B2D41FE" w14:textId="77777777" w:rsidR="002F01A2" w:rsidRDefault="002F01A2" w:rsidP="002F01A2">
      <w:pPr>
        <w:pStyle w:val="CommentText"/>
        <w:rPr>
          <w:rFonts w:asciiTheme="minorHAnsi" w:hAnsiTheme="minorHAnsi"/>
          <w:sz w:val="22"/>
          <w:szCs w:val="22"/>
        </w:rPr>
      </w:pPr>
    </w:p>
    <w:p w14:paraId="0249725D" w14:textId="738AD57E" w:rsidR="002F01A2" w:rsidRPr="004447FF" w:rsidRDefault="002F01A2" w:rsidP="002F01A2">
      <w:pPr>
        <w:pStyle w:val="CommentText"/>
        <w:rPr>
          <w:rFonts w:asciiTheme="minorHAnsi" w:hAnsiTheme="minorHAnsi"/>
          <w:sz w:val="22"/>
          <w:szCs w:val="22"/>
        </w:rPr>
      </w:pPr>
      <w:r>
        <w:rPr>
          <w:rFonts w:asciiTheme="minorHAnsi" w:hAnsiTheme="minorHAnsi"/>
          <w:sz w:val="22"/>
          <w:szCs w:val="22"/>
        </w:rPr>
        <w:t xml:space="preserve">where N is the size of stratum </w:t>
      </w:r>
      <w:r w:rsidRPr="00BE5A4C">
        <w:rPr>
          <w:rFonts w:asciiTheme="minorHAnsi" w:hAnsiTheme="minorHAnsi"/>
          <w:i/>
          <w:sz w:val="22"/>
          <w:szCs w:val="22"/>
        </w:rPr>
        <w:t>h</w:t>
      </w:r>
      <w:r>
        <w:rPr>
          <w:rFonts w:asciiTheme="minorHAnsi" w:hAnsiTheme="minorHAnsi"/>
          <w:sz w:val="22"/>
          <w:szCs w:val="22"/>
        </w:rPr>
        <w:t>.</w:t>
      </w:r>
    </w:p>
    <w:p w14:paraId="5264E16E" w14:textId="77777777" w:rsidR="008B0EF7" w:rsidRPr="004447FF" w:rsidRDefault="008B0EF7" w:rsidP="00A90E28">
      <w:pPr>
        <w:rPr>
          <w:rFonts w:asciiTheme="minorHAnsi" w:hAnsiTheme="minorHAnsi"/>
          <w:sz w:val="22"/>
          <w:szCs w:val="22"/>
        </w:rPr>
      </w:pPr>
    </w:p>
    <w:p w14:paraId="03291726" w14:textId="77777777" w:rsidR="007F76E4" w:rsidRPr="004447FF" w:rsidRDefault="007F76E4" w:rsidP="00A90E28">
      <w:pPr>
        <w:pStyle w:val="ListParagraph"/>
        <w:numPr>
          <w:ilvl w:val="0"/>
          <w:numId w:val="13"/>
        </w:numPr>
        <w:rPr>
          <w:rFonts w:asciiTheme="minorHAnsi" w:hAnsiTheme="minorHAnsi"/>
          <w:b/>
        </w:rPr>
      </w:pPr>
      <w:r w:rsidRPr="004447FF">
        <w:rPr>
          <w:rFonts w:asciiTheme="minorHAnsi" w:hAnsiTheme="minorHAnsi"/>
          <w:b/>
        </w:rPr>
        <w:t>Estimation Procedure</w:t>
      </w:r>
    </w:p>
    <w:p w14:paraId="5A69CCA4" w14:textId="1613C705" w:rsidR="00932245" w:rsidRPr="00932245" w:rsidRDefault="00932245" w:rsidP="00932245">
      <w:pPr>
        <w:autoSpaceDE/>
        <w:adjustRightInd/>
        <w:rPr>
          <w:rFonts w:asciiTheme="minorHAnsi" w:hAnsiTheme="minorHAnsi"/>
          <w:sz w:val="22"/>
          <w:szCs w:val="22"/>
        </w:rPr>
      </w:pPr>
      <w:r w:rsidRPr="00932245">
        <w:rPr>
          <w:rFonts w:asciiTheme="minorHAnsi" w:hAnsiTheme="minorHAnsi"/>
          <w:sz w:val="22"/>
          <w:szCs w:val="22"/>
        </w:rPr>
        <w:t>Survey estimates will be based on weighted data. The weighting procedure will incorporate a sample selection weight, a nonresponse adjustment factor, and if necessary, a poststratification weighting factor. There is an equal probability of selection with</w:t>
      </w:r>
      <w:r w:rsidR="005923CA">
        <w:rPr>
          <w:rFonts w:asciiTheme="minorHAnsi" w:hAnsiTheme="minorHAnsi"/>
          <w:sz w:val="22"/>
          <w:szCs w:val="22"/>
        </w:rPr>
        <w:t>in</w:t>
      </w:r>
      <w:r w:rsidRPr="00932245">
        <w:rPr>
          <w:rFonts w:asciiTheme="minorHAnsi" w:hAnsiTheme="minorHAnsi"/>
          <w:sz w:val="22"/>
          <w:szCs w:val="22"/>
        </w:rPr>
        <w:t xml:space="preserve"> each stratum.</w:t>
      </w:r>
    </w:p>
    <w:p w14:paraId="27DCA67E" w14:textId="77777777" w:rsidR="00932245" w:rsidRPr="00932245" w:rsidRDefault="00932245" w:rsidP="00932245">
      <w:pPr>
        <w:ind w:left="720"/>
        <w:rPr>
          <w:rFonts w:asciiTheme="minorHAnsi" w:hAnsiTheme="minorHAnsi"/>
          <w:sz w:val="22"/>
          <w:szCs w:val="22"/>
        </w:rPr>
      </w:pPr>
    </w:p>
    <w:p w14:paraId="56EC045E" w14:textId="1C394253" w:rsidR="00932245" w:rsidRPr="00932245" w:rsidRDefault="00932245" w:rsidP="00932245">
      <w:pPr>
        <w:pStyle w:val="ListParagraph"/>
        <w:numPr>
          <w:ilvl w:val="0"/>
          <w:numId w:val="28"/>
        </w:numPr>
        <w:spacing w:line="240" w:lineRule="auto"/>
        <w:rPr>
          <w:rFonts w:asciiTheme="minorHAnsi" w:hAnsiTheme="minorHAnsi"/>
        </w:rPr>
      </w:pPr>
      <w:r w:rsidRPr="00932245">
        <w:rPr>
          <w:rFonts w:asciiTheme="minorHAnsi" w:hAnsiTheme="minorHAnsi"/>
          <w:i/>
        </w:rPr>
        <w:t>Sample selection weighting</w:t>
      </w:r>
      <w:r w:rsidRPr="00932245">
        <w:rPr>
          <w:rFonts w:asciiTheme="minorHAnsi" w:hAnsiTheme="minorHAnsi"/>
        </w:rPr>
        <w:t xml:space="preserve">: Because the sampling rates are based on two criteria, as discussed above, the selection weight factor will account for both the probability of selection within a particular industry and size, and </w:t>
      </w:r>
      <w:r w:rsidR="002623A8">
        <w:rPr>
          <w:rFonts w:asciiTheme="minorHAnsi" w:hAnsiTheme="minorHAnsi"/>
        </w:rPr>
        <w:t xml:space="preserve">any </w:t>
      </w:r>
      <w:r w:rsidRPr="00932245">
        <w:rPr>
          <w:rFonts w:asciiTheme="minorHAnsi" w:hAnsiTheme="minorHAnsi"/>
        </w:rPr>
        <w:t xml:space="preserve">oversampling of firms. </w:t>
      </w:r>
    </w:p>
    <w:p w14:paraId="377066C3" w14:textId="43FFC5D9" w:rsidR="00932245" w:rsidRPr="00932245" w:rsidRDefault="00932245" w:rsidP="00932245">
      <w:pPr>
        <w:pStyle w:val="ListParagraph"/>
        <w:numPr>
          <w:ilvl w:val="0"/>
          <w:numId w:val="28"/>
        </w:numPr>
        <w:spacing w:line="240" w:lineRule="auto"/>
        <w:rPr>
          <w:rFonts w:asciiTheme="minorHAnsi" w:hAnsiTheme="minorHAnsi"/>
        </w:rPr>
      </w:pPr>
      <w:r w:rsidRPr="00932245">
        <w:rPr>
          <w:rFonts w:asciiTheme="minorHAnsi" w:hAnsiTheme="minorHAnsi"/>
          <w:i/>
        </w:rPr>
        <w:t>Nonresponse adjustment</w:t>
      </w:r>
      <w:r w:rsidRPr="00932245">
        <w:rPr>
          <w:rFonts w:asciiTheme="minorHAnsi" w:hAnsiTheme="minorHAnsi"/>
        </w:rPr>
        <w:t xml:space="preserve">: The nonresponse adjustment factor is designed to attenuate bias due to differential response rates. </w:t>
      </w:r>
      <w:r w:rsidR="00836BC9">
        <w:rPr>
          <w:rFonts w:asciiTheme="minorHAnsi" w:hAnsiTheme="minorHAnsi"/>
        </w:rPr>
        <w:t xml:space="preserve">This adjustment will be calculated using firm characteristics, if warranted. </w:t>
      </w:r>
      <w:r w:rsidRPr="00932245">
        <w:rPr>
          <w:rFonts w:asciiTheme="minorHAnsi" w:hAnsiTheme="minorHAnsi"/>
        </w:rPr>
        <w:t>See the section below on accuracy and reliability of information collected for further discussion.</w:t>
      </w:r>
    </w:p>
    <w:p w14:paraId="6E230DCB" w14:textId="2D05001B" w:rsidR="00932245" w:rsidRPr="00932245" w:rsidRDefault="00932245" w:rsidP="00932245">
      <w:pPr>
        <w:pStyle w:val="ListParagraph"/>
        <w:numPr>
          <w:ilvl w:val="0"/>
          <w:numId w:val="28"/>
        </w:numPr>
        <w:spacing w:line="240" w:lineRule="auto"/>
        <w:rPr>
          <w:rFonts w:asciiTheme="minorHAnsi" w:hAnsiTheme="minorHAnsi"/>
        </w:rPr>
      </w:pPr>
      <w:r w:rsidRPr="00932245">
        <w:rPr>
          <w:rFonts w:asciiTheme="minorHAnsi" w:hAnsiTheme="minorHAnsi"/>
          <w:i/>
        </w:rPr>
        <w:t>Poststratification weighting</w:t>
      </w:r>
      <w:r w:rsidRPr="00932245">
        <w:rPr>
          <w:rFonts w:asciiTheme="minorHAnsi" w:hAnsiTheme="minorHAnsi"/>
        </w:rPr>
        <w:t>: If necessary, a poststratification weighting factor will be used to attenuate bias due to sample frame noncoverage</w:t>
      </w:r>
      <w:r w:rsidR="002623A8">
        <w:rPr>
          <w:rFonts w:asciiTheme="minorHAnsi" w:hAnsiTheme="minorHAnsi"/>
        </w:rPr>
        <w:t>, overcoverage,</w:t>
      </w:r>
      <w:r w:rsidRPr="00932245">
        <w:rPr>
          <w:rFonts w:asciiTheme="minorHAnsi" w:hAnsiTheme="minorHAnsi"/>
        </w:rPr>
        <w:t xml:space="preserve"> or omissions. Population information from Census data, such as the number of firms in each NAICS industry and in each size category (organized by number of employees), may be used to conduct poststratification.  Although the best effort has been made to obtain a representative sample, the distribution of firms across industries is not known with certainty in advance.</w:t>
      </w:r>
    </w:p>
    <w:p w14:paraId="51D52579" w14:textId="77777777" w:rsidR="00932245" w:rsidRPr="00932245" w:rsidRDefault="00932245" w:rsidP="00932245">
      <w:pPr>
        <w:rPr>
          <w:rFonts w:asciiTheme="minorHAnsi" w:hAnsiTheme="minorHAnsi"/>
          <w:sz w:val="22"/>
          <w:szCs w:val="22"/>
        </w:rPr>
      </w:pPr>
      <w:r w:rsidRPr="00932245">
        <w:rPr>
          <w:rFonts w:asciiTheme="minorHAnsi" w:hAnsiTheme="minorHAnsi"/>
          <w:sz w:val="22"/>
          <w:szCs w:val="22"/>
        </w:rPr>
        <w:t>The general weighting formula can be represented as</w:t>
      </w:r>
    </w:p>
    <w:p w14:paraId="790B6F31" w14:textId="77777777" w:rsidR="00932245" w:rsidRPr="00932245" w:rsidRDefault="00932245" w:rsidP="00932245">
      <w:pPr>
        <w:rPr>
          <w:rFonts w:asciiTheme="minorHAnsi" w:hAnsiTheme="minorHAnsi"/>
          <w:sz w:val="22"/>
          <w:szCs w:val="22"/>
        </w:rPr>
      </w:pPr>
    </w:p>
    <w:p w14:paraId="46B59BA5" w14:textId="77777777" w:rsidR="00932245" w:rsidRPr="00932245" w:rsidRDefault="001F41CF" w:rsidP="00932245">
      <w:pPr>
        <w:tabs>
          <w:tab w:val="right" w:pos="9360"/>
        </w:tabs>
        <w:ind w:left="720"/>
        <w:rPr>
          <w:rFonts w:asciiTheme="minorHAnsi" w:hAnsiTheme="minorHAnsi"/>
          <w:sz w:val="22"/>
          <w:szCs w:val="22"/>
        </w:rPr>
      </w:pP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h</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h</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NR</m:t>
            </m:r>
          </m:e>
          <m:sub>
            <m:r>
              <w:rPr>
                <w:rFonts w:ascii="Cambria Math" w:hAnsi="Cambria Math"/>
                <w:sz w:val="22"/>
                <w:szCs w:val="22"/>
              </w:rPr>
              <m:t>h</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PS</m:t>
            </m:r>
          </m:e>
          <m:sub>
            <m:r>
              <w:rPr>
                <w:rFonts w:ascii="Cambria Math" w:hAnsi="Cambria Math"/>
                <w:sz w:val="22"/>
                <w:szCs w:val="22"/>
              </w:rPr>
              <m:t>h</m:t>
            </m:r>
          </m:sub>
        </m:sSub>
      </m:oMath>
      <w:r w:rsidR="00932245" w:rsidRPr="00932245">
        <w:rPr>
          <w:rFonts w:asciiTheme="minorHAnsi" w:hAnsiTheme="minorHAnsi"/>
          <w:sz w:val="22"/>
          <w:szCs w:val="22"/>
        </w:rPr>
        <w:t xml:space="preserve"> ,</w:t>
      </w:r>
      <w:r w:rsidR="00932245" w:rsidRPr="00932245">
        <w:rPr>
          <w:rFonts w:asciiTheme="minorHAnsi" w:hAnsiTheme="minorHAnsi"/>
          <w:sz w:val="22"/>
          <w:szCs w:val="22"/>
        </w:rPr>
        <w:tab/>
        <w:t>(1)</w:t>
      </w:r>
    </w:p>
    <w:p w14:paraId="4020D1B2" w14:textId="77777777" w:rsidR="00932245" w:rsidRPr="00932245" w:rsidRDefault="00932245" w:rsidP="00932245">
      <w:pPr>
        <w:rPr>
          <w:rFonts w:asciiTheme="minorHAnsi" w:hAnsiTheme="minorHAnsi"/>
          <w:sz w:val="22"/>
          <w:szCs w:val="22"/>
        </w:rPr>
      </w:pPr>
    </w:p>
    <w:p w14:paraId="461981D0" w14:textId="5BB22FD6" w:rsidR="00932245" w:rsidRPr="00932245" w:rsidRDefault="00932245" w:rsidP="00932245">
      <w:pPr>
        <w:rPr>
          <w:rFonts w:asciiTheme="minorHAnsi" w:hAnsiTheme="minorHAnsi"/>
          <w:sz w:val="22"/>
          <w:szCs w:val="22"/>
        </w:rPr>
      </w:pPr>
      <w:r w:rsidRPr="00932245">
        <w:rPr>
          <w:rFonts w:asciiTheme="minorHAnsi" w:hAnsiTheme="minorHAnsi"/>
          <w:sz w:val="22"/>
          <w:szCs w:val="22"/>
        </w:rPr>
        <w:t xml:space="preserve">where </w:t>
      </w: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h</m:t>
            </m:r>
          </m:sub>
        </m:sSub>
      </m:oMath>
      <w:r w:rsidRPr="00932245">
        <w:rPr>
          <w:rFonts w:asciiTheme="minorHAnsi" w:hAnsiTheme="minorHAnsi"/>
          <w:sz w:val="22"/>
          <w:szCs w:val="22"/>
        </w:rPr>
        <w:t xml:space="preserve"> is the sample selection weight for stratum h, </w:t>
      </w:r>
      <m:oMath>
        <m:sSub>
          <m:sSubPr>
            <m:ctrlPr>
              <w:rPr>
                <w:rFonts w:ascii="Cambria Math" w:hAnsi="Cambria Math"/>
                <w:i/>
                <w:sz w:val="22"/>
                <w:szCs w:val="22"/>
              </w:rPr>
            </m:ctrlPr>
          </m:sSubPr>
          <m:e>
            <m:r>
              <w:rPr>
                <w:rFonts w:ascii="Cambria Math" w:hAnsi="Cambria Math"/>
                <w:sz w:val="22"/>
                <w:szCs w:val="22"/>
              </w:rPr>
              <m:t>NR</m:t>
            </m:r>
          </m:e>
          <m:sub>
            <m:r>
              <w:rPr>
                <w:rFonts w:ascii="Cambria Math" w:hAnsi="Cambria Math"/>
                <w:sz w:val="22"/>
                <w:szCs w:val="22"/>
              </w:rPr>
              <m:t>h</m:t>
            </m:r>
          </m:sub>
        </m:sSub>
      </m:oMath>
      <w:r w:rsidRPr="00932245">
        <w:rPr>
          <w:rFonts w:asciiTheme="minorHAnsi" w:hAnsiTheme="minorHAnsi"/>
          <w:sz w:val="22"/>
          <w:szCs w:val="22"/>
        </w:rPr>
        <w:t xml:space="preserve"> is the nonresponse adjustment factor for stratum h, and </w:t>
      </w:r>
      <m:oMath>
        <m:sSub>
          <m:sSubPr>
            <m:ctrlPr>
              <w:rPr>
                <w:rFonts w:ascii="Cambria Math" w:hAnsi="Cambria Math"/>
                <w:i/>
                <w:sz w:val="22"/>
                <w:szCs w:val="22"/>
              </w:rPr>
            </m:ctrlPr>
          </m:sSubPr>
          <m:e>
            <m:r>
              <w:rPr>
                <w:rFonts w:ascii="Cambria Math" w:hAnsi="Cambria Math"/>
                <w:sz w:val="22"/>
                <w:szCs w:val="22"/>
              </w:rPr>
              <m:t>PS</m:t>
            </m:r>
          </m:e>
          <m:sub>
            <m:r>
              <w:rPr>
                <w:rFonts w:ascii="Cambria Math" w:hAnsi="Cambria Math"/>
                <w:sz w:val="22"/>
                <w:szCs w:val="22"/>
              </w:rPr>
              <m:t>h</m:t>
            </m:r>
          </m:sub>
        </m:sSub>
      </m:oMath>
      <w:r w:rsidRPr="00932245">
        <w:rPr>
          <w:rFonts w:asciiTheme="minorHAnsi" w:hAnsiTheme="minorHAnsi"/>
          <w:sz w:val="22"/>
          <w:szCs w:val="22"/>
        </w:rPr>
        <w:t xml:space="preserve"> is the poststratification weight of stratum h. </w:t>
      </w:r>
      <m:oMath>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h</m:t>
            </m:r>
          </m:sub>
        </m:sSub>
        <m:r>
          <w:rPr>
            <w:rFonts w:ascii="Cambria Math" w:hAnsi="Cambria Math"/>
            <w:sz w:val="22"/>
            <w:szCs w:val="22"/>
          </w:rPr>
          <m:t xml:space="preserve"> </m:t>
        </m:r>
      </m:oMath>
      <w:r w:rsidRPr="00932245">
        <w:rPr>
          <w:rFonts w:asciiTheme="minorHAnsi" w:hAnsiTheme="minorHAnsi"/>
          <w:sz w:val="22"/>
          <w:szCs w:val="22"/>
        </w:rPr>
        <w:t>is the weight applied to all observations in stratum h.  This formula may be adjusted to include a firm-specific weighting component if non-response is determined to be related to factors aside from the factors used to design the strata.</w:t>
      </w:r>
    </w:p>
    <w:p w14:paraId="5B95F4D5" w14:textId="77777777" w:rsidR="00932245" w:rsidRPr="00932245" w:rsidRDefault="00932245" w:rsidP="00932245">
      <w:pPr>
        <w:rPr>
          <w:rFonts w:asciiTheme="minorHAnsi" w:hAnsiTheme="minorHAnsi"/>
          <w:sz w:val="22"/>
          <w:szCs w:val="22"/>
        </w:rPr>
      </w:pPr>
    </w:p>
    <w:p w14:paraId="22DE7B47" w14:textId="05D44C84" w:rsidR="00932245" w:rsidRPr="00932245" w:rsidRDefault="00932245" w:rsidP="00932245">
      <w:pPr>
        <w:rPr>
          <w:rFonts w:asciiTheme="minorHAnsi" w:hAnsiTheme="minorHAnsi"/>
          <w:sz w:val="22"/>
          <w:szCs w:val="22"/>
        </w:rPr>
      </w:pPr>
      <w:r w:rsidRPr="00932245">
        <w:rPr>
          <w:rFonts w:asciiTheme="minorHAnsi" w:hAnsiTheme="minorHAnsi"/>
          <w:sz w:val="22"/>
          <w:szCs w:val="22"/>
        </w:rPr>
        <w:t>Standard estimation procedures will be used as in Heeringa et al (2010).</w:t>
      </w:r>
      <w:r w:rsidRPr="00932245">
        <w:rPr>
          <w:rStyle w:val="FootnoteReference"/>
          <w:rFonts w:asciiTheme="minorHAnsi" w:hAnsiTheme="minorHAnsi"/>
          <w:sz w:val="22"/>
          <w:szCs w:val="22"/>
        </w:rPr>
        <w:footnoteReference w:id="5"/>
      </w:r>
      <w:r w:rsidRPr="00932245">
        <w:rPr>
          <w:rFonts w:asciiTheme="minorHAnsi" w:hAnsiTheme="minorHAnsi"/>
          <w:sz w:val="22"/>
          <w:szCs w:val="22"/>
        </w:rPr>
        <w:t xml:space="preserve"> For example, the formula used to estimate the population attribute of interest is found in equation 2. Per standard notation, the total estimate </w:t>
      </w:r>
      <w:r w:rsidR="00717E32">
        <w:rPr>
          <w:rFonts w:asciiTheme="minorHAnsi" w:hAnsiTheme="minorHAnsi"/>
          <w:sz w:val="22"/>
          <w:szCs w:val="22"/>
        </w:rPr>
        <w:t xml:space="preserve">for </w:t>
      </w:r>
      <w:r w:rsidR="0008281F">
        <w:rPr>
          <w:rFonts w:asciiTheme="minorHAnsi" w:hAnsiTheme="minorHAnsi"/>
          <w:sz w:val="22"/>
          <w:szCs w:val="22"/>
        </w:rPr>
        <w:t xml:space="preserve">industry </w:t>
      </w:r>
      <m:oMath>
        <m:r>
          <w:rPr>
            <w:rFonts w:ascii="Cambria Math" w:hAnsi="Cambria Math"/>
            <w:sz w:val="22"/>
            <w:szCs w:val="22"/>
          </w:rPr>
          <m:t>k</m:t>
        </m:r>
      </m:oMath>
      <w:r w:rsidR="00717E32">
        <w:rPr>
          <w:rFonts w:asciiTheme="minorHAnsi" w:hAnsiTheme="minorHAnsi"/>
          <w:sz w:val="22"/>
          <w:szCs w:val="22"/>
        </w:rPr>
        <w:t xml:space="preserve">, </w:t>
      </w: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k</m:t>
            </m:r>
          </m:sub>
        </m:sSub>
      </m:oMath>
      <w:r w:rsidR="00717E32">
        <w:rPr>
          <w:rFonts w:asciiTheme="minorHAnsi" w:hAnsiTheme="minorHAnsi"/>
          <w:sz w:val="22"/>
          <w:szCs w:val="22"/>
        </w:rPr>
        <w:t>,</w:t>
      </w:r>
      <w:r w:rsidRPr="00932245">
        <w:rPr>
          <w:rFonts w:asciiTheme="minorHAnsi" w:hAnsiTheme="minorHAnsi"/>
          <w:sz w:val="22"/>
          <w:szCs w:val="22"/>
        </w:rPr>
        <w:t xml:space="preserve"> from a stratified random sample</w:t>
      </w:r>
      <w:r w:rsidR="00836BC9">
        <w:rPr>
          <w:rFonts w:asciiTheme="minorHAnsi" w:hAnsiTheme="minorHAnsi"/>
          <w:sz w:val="22"/>
          <w:szCs w:val="22"/>
        </w:rPr>
        <w:t>,</w:t>
      </w:r>
      <w:r w:rsidRPr="00932245">
        <w:rPr>
          <w:rFonts w:asciiTheme="minorHAnsi" w:hAnsiTheme="minorHAnsi"/>
          <w:sz w:val="22"/>
          <w:szCs w:val="22"/>
        </w:rPr>
        <w:t xml:space="preserve"> is given by</w:t>
      </w:r>
    </w:p>
    <w:p w14:paraId="4C2C1BD9" w14:textId="77777777" w:rsidR="00932245" w:rsidRPr="00932245" w:rsidRDefault="00932245" w:rsidP="00932245">
      <w:pPr>
        <w:ind w:left="720"/>
        <w:rPr>
          <w:rFonts w:asciiTheme="minorHAnsi" w:hAnsiTheme="minorHAnsi"/>
          <w:sz w:val="22"/>
          <w:szCs w:val="22"/>
        </w:rPr>
      </w:pPr>
    </w:p>
    <w:p w14:paraId="5335317E" w14:textId="280A2530" w:rsidR="00932245" w:rsidRPr="00932245" w:rsidRDefault="001F41CF" w:rsidP="00932245">
      <w:pPr>
        <w:tabs>
          <w:tab w:val="right" w:pos="9360"/>
        </w:tabs>
        <w:ind w:left="720"/>
        <w:rPr>
          <w:rFonts w:asciiTheme="minorHAnsi" w:hAnsiTheme="minorHAnsi"/>
          <w:sz w:val="22"/>
          <w:szCs w:val="22"/>
        </w:rPr>
      </w:pPr>
      <m:oMath>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k</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h=1</m:t>
            </m:r>
          </m:sub>
          <m:sup>
            <m:r>
              <w:rPr>
                <w:rFonts w:ascii="Cambria Math" w:hAnsi="Cambria Math"/>
                <w:sz w:val="22"/>
                <w:szCs w:val="22"/>
              </w:rPr>
              <m:t>L</m:t>
            </m:r>
          </m:sup>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h</m:t>
                </m:r>
              </m:sub>
            </m:sSub>
          </m:e>
        </m:nary>
      </m:oMath>
      <w:r w:rsidR="00932245" w:rsidRPr="00932245">
        <w:rPr>
          <w:rFonts w:asciiTheme="minorHAnsi" w:hAnsiTheme="minorHAnsi"/>
          <w:sz w:val="22"/>
          <w:szCs w:val="22"/>
        </w:rPr>
        <w:t xml:space="preserve">, </w:t>
      </w:r>
      <w:r w:rsidR="00932245" w:rsidRPr="00932245">
        <w:rPr>
          <w:rFonts w:asciiTheme="minorHAnsi" w:hAnsiTheme="minorHAnsi"/>
          <w:sz w:val="22"/>
          <w:szCs w:val="22"/>
        </w:rPr>
        <w:tab/>
        <w:t>(2)</w:t>
      </w:r>
    </w:p>
    <w:p w14:paraId="3AB88A90" w14:textId="77777777" w:rsidR="00932245" w:rsidRPr="00932245" w:rsidRDefault="00932245" w:rsidP="00932245">
      <w:pPr>
        <w:ind w:left="360"/>
        <w:rPr>
          <w:rFonts w:asciiTheme="minorHAnsi" w:hAnsiTheme="minorHAnsi"/>
          <w:sz w:val="22"/>
          <w:szCs w:val="22"/>
        </w:rPr>
      </w:pPr>
    </w:p>
    <w:p w14:paraId="54A87D58" w14:textId="77777777" w:rsidR="00932245" w:rsidRPr="00932245" w:rsidRDefault="00932245" w:rsidP="00932245">
      <w:pPr>
        <w:rPr>
          <w:rFonts w:asciiTheme="minorHAnsi" w:hAnsiTheme="minorHAnsi"/>
          <w:sz w:val="22"/>
          <w:szCs w:val="22"/>
        </w:rPr>
      </w:pPr>
      <w:r w:rsidRPr="00932245">
        <w:rPr>
          <w:rFonts w:asciiTheme="minorHAnsi" w:hAnsiTheme="minorHAnsi"/>
          <w:sz w:val="22"/>
          <w:szCs w:val="22"/>
        </w:rPr>
        <w:t xml:space="preserve">where </w:t>
      </w:r>
      <w:r w:rsidRPr="00932245">
        <w:rPr>
          <w:rFonts w:asciiTheme="minorHAnsi" w:hAnsiTheme="minorHAnsi"/>
          <w:i/>
          <w:sz w:val="22"/>
          <w:szCs w:val="22"/>
        </w:rPr>
        <w:t xml:space="preserve">h </w:t>
      </w:r>
      <w:r w:rsidRPr="00932245">
        <w:rPr>
          <w:rFonts w:asciiTheme="minorHAnsi" w:hAnsiTheme="minorHAnsi"/>
          <w:sz w:val="22"/>
          <w:szCs w:val="22"/>
        </w:rPr>
        <w:t xml:space="preserve">denotes an individual stratum, </w:t>
      </w:r>
      <w:r w:rsidRPr="00932245">
        <w:rPr>
          <w:rFonts w:asciiTheme="minorHAnsi" w:hAnsiTheme="minorHAnsi"/>
          <w:i/>
          <w:sz w:val="22"/>
          <w:szCs w:val="22"/>
        </w:rPr>
        <w:t>N</w:t>
      </w:r>
      <w:r w:rsidRPr="00932245">
        <w:rPr>
          <w:rFonts w:asciiTheme="minorHAnsi" w:hAnsiTheme="minorHAnsi"/>
          <w:i/>
          <w:sz w:val="22"/>
          <w:szCs w:val="22"/>
          <w:vertAlign w:val="subscript"/>
        </w:rPr>
        <w:t>h</w:t>
      </w:r>
      <w:r w:rsidRPr="00932245">
        <w:rPr>
          <w:rFonts w:asciiTheme="minorHAnsi" w:hAnsiTheme="minorHAnsi"/>
          <w:sz w:val="22"/>
          <w:szCs w:val="22"/>
        </w:rPr>
        <w:t xml:space="preserve"> equals the population of stratum </w:t>
      </w:r>
      <w:r w:rsidRPr="00932245">
        <w:rPr>
          <w:rFonts w:asciiTheme="minorHAnsi" w:hAnsiTheme="minorHAnsi"/>
          <w:i/>
          <w:sz w:val="22"/>
          <w:szCs w:val="22"/>
        </w:rPr>
        <w:t>h</w:t>
      </w:r>
      <w:r w:rsidRPr="00932245">
        <w:rPr>
          <w:rFonts w:asciiTheme="minorHAnsi" w:hAnsiTheme="minorHAnsi"/>
          <w:sz w:val="22"/>
          <w:szCs w:val="22"/>
        </w:rPr>
        <w:t xml:space="preserve">, and </w:t>
      </w:r>
      <m:oMath>
        <m:sSub>
          <m:sSubPr>
            <m:ctrlPr>
              <w:rPr>
                <w:rFonts w:ascii="Cambria Math" w:hAnsi="Cambria Math"/>
                <w:i/>
                <w:sz w:val="22"/>
                <w:szCs w:val="22"/>
              </w:rPr>
            </m:ctrlPr>
          </m:sSubPr>
          <m:e>
            <m:acc>
              <m:accPr>
                <m:chr m:val="̅"/>
                <m:ctrlPr>
                  <w:rPr>
                    <w:rFonts w:ascii="Cambria Math" w:hAnsi="Cambria Math"/>
                    <w:i/>
                    <w:sz w:val="22"/>
                    <w:szCs w:val="22"/>
                  </w:rPr>
                </m:ctrlPr>
              </m:accPr>
              <m:e>
                <m:r>
                  <w:rPr>
                    <w:rFonts w:ascii="Cambria Math" w:hAnsi="Cambria Math"/>
                    <w:sz w:val="22"/>
                    <w:szCs w:val="22"/>
                  </w:rPr>
                  <m:t>y</m:t>
                </m:r>
              </m:e>
            </m:acc>
          </m:e>
          <m:sub>
            <m:r>
              <w:rPr>
                <w:rFonts w:ascii="Cambria Math" w:hAnsi="Cambria Math"/>
                <w:sz w:val="22"/>
                <w:szCs w:val="22"/>
              </w:rPr>
              <m:t>h</m:t>
            </m:r>
          </m:sub>
        </m:sSub>
      </m:oMath>
      <w:r w:rsidRPr="00932245">
        <w:rPr>
          <w:rFonts w:asciiTheme="minorHAnsi" w:hAnsiTheme="minorHAnsi"/>
          <w:sz w:val="22"/>
          <w:szCs w:val="22"/>
        </w:rPr>
        <w:t xml:space="preserve"> </w:t>
      </w:r>
      <w:r w:rsidRPr="00932245">
        <w:rPr>
          <w:rFonts w:asciiTheme="minorHAnsi" w:eastAsia="Times New Roman" w:hAnsiTheme="minorHAnsi"/>
          <w:sz w:val="22"/>
          <w:szCs w:val="22"/>
        </w:rPr>
        <w:t xml:space="preserve">equals the average of the attribute of interest of the sampled items in stratum </w:t>
      </w:r>
      <w:r w:rsidRPr="00932245">
        <w:rPr>
          <w:rFonts w:asciiTheme="minorHAnsi" w:eastAsia="Times New Roman" w:hAnsiTheme="minorHAnsi"/>
          <w:i/>
          <w:sz w:val="22"/>
          <w:szCs w:val="22"/>
        </w:rPr>
        <w:t>h.</w:t>
      </w:r>
      <w:r w:rsidRPr="00932245">
        <w:rPr>
          <w:rFonts w:asciiTheme="minorHAnsi" w:eastAsia="Times New Roman" w:hAnsiTheme="minorHAnsi"/>
          <w:sz w:val="22"/>
          <w:szCs w:val="22"/>
        </w:rPr>
        <w:t xml:space="preserve"> For example, </w:t>
      </w:r>
      <m:oMath>
        <m:sSub>
          <m:sSubPr>
            <m:ctrlPr>
              <w:rPr>
                <w:rFonts w:ascii="Cambria Math" w:eastAsia="Times New Roman" w:hAnsi="Cambria Math"/>
                <w:i/>
                <w:sz w:val="22"/>
                <w:szCs w:val="22"/>
              </w:rPr>
            </m:ctrlPr>
          </m:sSubPr>
          <m:e>
            <m:acc>
              <m:accPr>
                <m:chr m:val="̅"/>
                <m:ctrlPr>
                  <w:rPr>
                    <w:rFonts w:ascii="Cambria Math" w:eastAsia="Times New Roman" w:hAnsi="Cambria Math"/>
                    <w:i/>
                    <w:sz w:val="22"/>
                    <w:szCs w:val="22"/>
                  </w:rPr>
                </m:ctrlPr>
              </m:accPr>
              <m:e>
                <m:r>
                  <w:rPr>
                    <w:rFonts w:ascii="Cambria Math" w:eastAsia="Times New Roman" w:hAnsi="Cambria Math"/>
                    <w:sz w:val="22"/>
                    <w:szCs w:val="22"/>
                  </w:rPr>
                  <m:t>y</m:t>
                </m:r>
              </m:e>
            </m:acc>
          </m:e>
          <m:sub>
            <m:r>
              <w:rPr>
                <w:rFonts w:ascii="Cambria Math" w:eastAsia="Times New Roman" w:hAnsi="Cambria Math"/>
                <w:sz w:val="22"/>
                <w:szCs w:val="22"/>
              </w:rPr>
              <m:t>h</m:t>
            </m:r>
          </m:sub>
        </m:sSub>
      </m:oMath>
      <w:r w:rsidRPr="00932245">
        <w:rPr>
          <w:rFonts w:asciiTheme="minorHAnsi" w:eastAsia="Times New Roman" w:hAnsiTheme="minorHAnsi"/>
          <w:sz w:val="22"/>
          <w:szCs w:val="22"/>
        </w:rPr>
        <w:t xml:space="preserve"> could represent the average amount of revenue within each stratum.</w:t>
      </w:r>
    </w:p>
    <w:p w14:paraId="5EDD7A4D" w14:textId="77777777" w:rsidR="00932245" w:rsidRPr="00932245" w:rsidRDefault="00932245" w:rsidP="00932245">
      <w:pPr>
        <w:ind w:left="360"/>
        <w:rPr>
          <w:rFonts w:asciiTheme="minorHAnsi" w:hAnsiTheme="minorHAnsi"/>
          <w:sz w:val="22"/>
          <w:szCs w:val="22"/>
        </w:rPr>
      </w:pPr>
    </w:p>
    <w:p w14:paraId="71A9B3F0" w14:textId="77777777" w:rsidR="00932245" w:rsidRPr="00932245" w:rsidRDefault="00932245" w:rsidP="00932245">
      <w:pPr>
        <w:rPr>
          <w:rFonts w:asciiTheme="minorHAnsi" w:hAnsiTheme="minorHAnsi"/>
          <w:sz w:val="22"/>
          <w:szCs w:val="22"/>
        </w:rPr>
      </w:pPr>
      <w:r w:rsidRPr="00932245">
        <w:rPr>
          <w:rFonts w:asciiTheme="minorHAnsi" w:hAnsiTheme="minorHAnsi"/>
          <w:sz w:val="22"/>
          <w:szCs w:val="22"/>
        </w:rPr>
        <w:t>The variance estimate for sampling without replacement is given by</w:t>
      </w:r>
    </w:p>
    <w:p w14:paraId="1668E178" w14:textId="77777777" w:rsidR="00932245" w:rsidRPr="00932245" w:rsidRDefault="00932245" w:rsidP="00932245">
      <w:pPr>
        <w:ind w:left="360" w:firstLine="360"/>
        <w:rPr>
          <w:rFonts w:asciiTheme="minorHAnsi" w:hAnsiTheme="minorHAnsi"/>
          <w:sz w:val="22"/>
          <w:szCs w:val="22"/>
        </w:rPr>
      </w:pPr>
    </w:p>
    <w:p w14:paraId="509E85FE" w14:textId="7CD99BFD" w:rsidR="00932245" w:rsidRPr="00932245" w:rsidRDefault="00932245" w:rsidP="00932245">
      <w:pPr>
        <w:tabs>
          <w:tab w:val="right" w:pos="9360"/>
        </w:tabs>
        <w:ind w:left="720"/>
        <w:rPr>
          <w:rFonts w:asciiTheme="minorHAnsi" w:hAnsiTheme="minorHAnsi"/>
          <w:sz w:val="22"/>
          <w:szCs w:val="22"/>
        </w:rPr>
      </w:pPr>
      <m:oMath>
        <m:r>
          <w:rPr>
            <w:rFonts w:ascii="Cambria Math" w:hAnsi="Cambria Math"/>
            <w:sz w:val="22"/>
            <w:szCs w:val="22"/>
          </w:rPr>
          <m:t xml:space="preserve">var </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k</m:t>
                </m:r>
              </m:sub>
            </m:sSub>
          </m:e>
        </m:d>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h=1</m:t>
            </m:r>
          </m:sub>
          <m:sup>
            <m:r>
              <w:rPr>
                <w:rFonts w:ascii="Cambria Math" w:hAnsi="Cambria Math"/>
                <w:sz w:val="22"/>
                <w:szCs w:val="22"/>
              </w:rPr>
              <m:t>L</m:t>
            </m:r>
          </m:sup>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e>
        </m:nary>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s</m:t>
                </m:r>
              </m:e>
              <m:sup>
                <m:r>
                  <w:rPr>
                    <w:rFonts w:ascii="Cambria Math" w:hAnsi="Cambria Math"/>
                    <w:sz w:val="22"/>
                    <w:szCs w:val="22"/>
                  </w:rPr>
                  <m:t>2</m:t>
                </m:r>
              </m:sup>
            </m:sSup>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h</m:t>
                </m:r>
              </m:sub>
            </m:sSub>
          </m:den>
        </m:f>
      </m:oMath>
      <w:r w:rsidRPr="00932245">
        <w:rPr>
          <w:rFonts w:asciiTheme="minorHAnsi" w:hAnsiTheme="minorHAnsi"/>
          <w:sz w:val="22"/>
          <w:szCs w:val="22"/>
        </w:rPr>
        <w:tab/>
        <w:t xml:space="preserve"> (3)</w:t>
      </w:r>
    </w:p>
    <w:p w14:paraId="6C875376" w14:textId="77777777" w:rsidR="00932245" w:rsidRPr="00932245" w:rsidRDefault="00932245" w:rsidP="00932245">
      <w:pPr>
        <w:ind w:left="360"/>
        <w:rPr>
          <w:rFonts w:asciiTheme="minorHAnsi" w:hAnsiTheme="minorHAnsi"/>
          <w:sz w:val="22"/>
          <w:szCs w:val="22"/>
        </w:rPr>
      </w:pPr>
    </w:p>
    <w:p w14:paraId="1E99CF2E" w14:textId="77777777" w:rsidR="00932245" w:rsidRPr="00932245" w:rsidRDefault="00932245" w:rsidP="00932245">
      <w:pPr>
        <w:rPr>
          <w:rFonts w:asciiTheme="minorHAnsi" w:hAnsiTheme="minorHAnsi"/>
          <w:sz w:val="22"/>
          <w:szCs w:val="22"/>
        </w:rPr>
      </w:pPr>
      <w:r w:rsidRPr="00932245">
        <w:rPr>
          <w:rFonts w:asciiTheme="minorHAnsi" w:hAnsiTheme="minorHAnsi"/>
          <w:sz w:val="22"/>
          <w:szCs w:val="22"/>
        </w:rPr>
        <w:t xml:space="preserve">where </w:t>
      </w:r>
      <w:r w:rsidRPr="00932245">
        <w:rPr>
          <w:rFonts w:asciiTheme="minorHAnsi" w:hAnsiTheme="minorHAnsi"/>
          <w:i/>
          <w:sz w:val="22"/>
          <w:szCs w:val="22"/>
        </w:rPr>
        <w:t>s</w:t>
      </w:r>
      <w:r w:rsidRPr="00932245">
        <w:rPr>
          <w:rFonts w:asciiTheme="minorHAnsi" w:hAnsiTheme="minorHAnsi"/>
          <w:sz w:val="22"/>
          <w:szCs w:val="22"/>
          <w:vertAlign w:val="superscript"/>
        </w:rPr>
        <w:t>2</w:t>
      </w:r>
      <w:r w:rsidRPr="00932245">
        <w:rPr>
          <w:rFonts w:asciiTheme="minorHAnsi" w:hAnsiTheme="minorHAnsi"/>
          <w:sz w:val="22"/>
          <w:szCs w:val="22"/>
        </w:rPr>
        <w:t xml:space="preserve"> equals the standard deviation of the attribute of interest within stratum </w:t>
      </w:r>
      <w:r w:rsidRPr="00932245">
        <w:rPr>
          <w:rFonts w:asciiTheme="minorHAnsi" w:hAnsiTheme="minorHAnsi"/>
          <w:i/>
          <w:sz w:val="22"/>
          <w:szCs w:val="22"/>
        </w:rPr>
        <w:t>h</w:t>
      </w:r>
      <w:r w:rsidRPr="00932245">
        <w:rPr>
          <w:rFonts w:asciiTheme="minorHAnsi" w:hAnsiTheme="minorHAnsi"/>
          <w:sz w:val="22"/>
          <w:szCs w:val="22"/>
        </w:rPr>
        <w:t xml:space="preserve">, and </w:t>
      </w:r>
      <w:r w:rsidRPr="00932245">
        <w:rPr>
          <w:rFonts w:asciiTheme="minorHAnsi" w:hAnsiTheme="minorHAnsi"/>
          <w:i/>
          <w:sz w:val="22"/>
          <w:szCs w:val="22"/>
        </w:rPr>
        <w:t>n</w:t>
      </w:r>
      <w:r w:rsidRPr="00932245">
        <w:rPr>
          <w:rFonts w:asciiTheme="minorHAnsi" w:hAnsiTheme="minorHAnsi"/>
          <w:i/>
          <w:sz w:val="22"/>
          <w:szCs w:val="22"/>
          <w:vertAlign w:val="subscript"/>
        </w:rPr>
        <w:t>h</w:t>
      </w:r>
      <w:r w:rsidRPr="00932245">
        <w:rPr>
          <w:rFonts w:asciiTheme="minorHAnsi" w:hAnsiTheme="minorHAnsi"/>
          <w:sz w:val="22"/>
          <w:szCs w:val="22"/>
        </w:rPr>
        <w:t xml:space="preserve"> is the sample size for stratum </w:t>
      </w:r>
      <w:r w:rsidRPr="00932245">
        <w:rPr>
          <w:rFonts w:asciiTheme="minorHAnsi" w:hAnsiTheme="minorHAnsi"/>
          <w:i/>
          <w:sz w:val="22"/>
          <w:szCs w:val="22"/>
        </w:rPr>
        <w:t>h</w:t>
      </w:r>
      <w:r w:rsidRPr="00932245">
        <w:rPr>
          <w:rFonts w:asciiTheme="minorHAnsi" w:hAnsiTheme="minorHAnsi"/>
          <w:sz w:val="22"/>
          <w:szCs w:val="22"/>
        </w:rPr>
        <w:t>.</w:t>
      </w:r>
    </w:p>
    <w:p w14:paraId="0DADCE30" w14:textId="77777777" w:rsidR="00932245" w:rsidRDefault="00932245" w:rsidP="00932245">
      <w:pPr>
        <w:ind w:left="360"/>
        <w:rPr>
          <w:rFonts w:eastAsia="Times New Roman"/>
          <w:sz w:val="24"/>
          <w:szCs w:val="24"/>
        </w:rPr>
      </w:pPr>
    </w:p>
    <w:p w14:paraId="5FCBBCEF" w14:textId="77777777" w:rsidR="00996D36" w:rsidRPr="004447FF" w:rsidRDefault="00996D36" w:rsidP="00A90E28">
      <w:pPr>
        <w:ind w:left="360"/>
        <w:rPr>
          <w:rFonts w:asciiTheme="minorHAnsi" w:eastAsia="Times New Roman" w:hAnsiTheme="minorHAnsi"/>
          <w:sz w:val="22"/>
          <w:szCs w:val="22"/>
        </w:rPr>
      </w:pPr>
    </w:p>
    <w:p w14:paraId="261C1131" w14:textId="77777777" w:rsidR="00717630" w:rsidRPr="004447FF" w:rsidRDefault="00717630" w:rsidP="00154DE5">
      <w:pPr>
        <w:pStyle w:val="ListParagraph"/>
        <w:numPr>
          <w:ilvl w:val="0"/>
          <w:numId w:val="13"/>
        </w:numPr>
        <w:rPr>
          <w:rFonts w:asciiTheme="minorHAnsi" w:hAnsiTheme="minorHAnsi"/>
          <w:b/>
        </w:rPr>
      </w:pPr>
      <w:r w:rsidRPr="004447FF">
        <w:rPr>
          <w:rFonts w:asciiTheme="minorHAnsi" w:hAnsiTheme="minorHAnsi"/>
          <w:b/>
        </w:rPr>
        <w:t>Degree of accuracy needed for the purpose described in the justification</w:t>
      </w:r>
    </w:p>
    <w:p w14:paraId="1DCC3BA7" w14:textId="6F287EFE" w:rsidR="00CD6B53" w:rsidRDefault="00CD6B53" w:rsidP="00154DE5">
      <w:pPr>
        <w:rPr>
          <w:rFonts w:asciiTheme="minorHAnsi" w:hAnsiTheme="minorHAnsi"/>
          <w:sz w:val="22"/>
          <w:szCs w:val="22"/>
        </w:rPr>
      </w:pPr>
      <w:r>
        <w:rPr>
          <w:rFonts w:asciiTheme="minorHAnsi" w:hAnsiTheme="minorHAnsi"/>
          <w:sz w:val="22"/>
          <w:szCs w:val="22"/>
        </w:rPr>
        <w:t xml:space="preserve">A sample size </w:t>
      </w:r>
      <w:r w:rsidRPr="00795FC0">
        <w:rPr>
          <w:rFonts w:asciiTheme="minorHAnsi" w:hAnsiTheme="minorHAnsi"/>
          <w:sz w:val="22"/>
          <w:szCs w:val="22"/>
        </w:rPr>
        <w:t>of 13,000 is needed</w:t>
      </w:r>
      <w:r w:rsidRPr="00CD6B53">
        <w:rPr>
          <w:rFonts w:asciiTheme="minorHAnsi" w:hAnsiTheme="minorHAnsi"/>
          <w:sz w:val="22"/>
          <w:szCs w:val="22"/>
        </w:rPr>
        <w:t xml:space="preserve"> to achieve estimates of +/-</w:t>
      </w:r>
      <w:r w:rsidR="00A92E85">
        <w:rPr>
          <w:rFonts w:asciiTheme="minorHAnsi" w:hAnsiTheme="minorHAnsi"/>
          <w:sz w:val="22"/>
          <w:szCs w:val="22"/>
        </w:rPr>
        <w:t xml:space="preserve"> </w:t>
      </w:r>
      <w:r w:rsidRPr="00CD6B53">
        <w:rPr>
          <w:rFonts w:asciiTheme="minorHAnsi" w:hAnsiTheme="minorHAnsi"/>
          <w:sz w:val="22"/>
          <w:szCs w:val="22"/>
        </w:rPr>
        <w:t xml:space="preserve">5 percent at 90 percent confidence. It is expected that it will be feasible to produce statistically significant results for the majority of survey items at the aggregate level at a 90 percent confidence level, both for the </w:t>
      </w:r>
      <w:r>
        <w:rPr>
          <w:rFonts w:asciiTheme="minorHAnsi" w:hAnsiTheme="minorHAnsi"/>
          <w:sz w:val="22"/>
          <w:szCs w:val="22"/>
        </w:rPr>
        <w:t>continuous and categorical variables</w:t>
      </w:r>
      <w:r w:rsidR="00EB0D34">
        <w:rPr>
          <w:rFonts w:asciiTheme="minorHAnsi" w:hAnsiTheme="minorHAnsi"/>
          <w:sz w:val="22"/>
          <w:szCs w:val="22"/>
        </w:rPr>
        <w:t>. For example, table 3</w:t>
      </w:r>
      <w:r w:rsidRPr="00CD6B53">
        <w:rPr>
          <w:rFonts w:asciiTheme="minorHAnsi" w:hAnsiTheme="minorHAnsi"/>
          <w:sz w:val="22"/>
          <w:szCs w:val="22"/>
        </w:rPr>
        <w:t xml:space="preserve"> provides the maximum margin of error for a </w:t>
      </w:r>
      <w:r>
        <w:rPr>
          <w:rFonts w:asciiTheme="minorHAnsi" w:hAnsiTheme="minorHAnsi"/>
          <w:sz w:val="22"/>
          <w:szCs w:val="22"/>
        </w:rPr>
        <w:t>binary</w:t>
      </w:r>
      <w:r w:rsidRPr="00CD6B53">
        <w:rPr>
          <w:rFonts w:asciiTheme="minorHAnsi" w:hAnsiTheme="minorHAnsi"/>
          <w:sz w:val="22"/>
          <w:szCs w:val="22"/>
        </w:rPr>
        <w:t xml:space="preserve"> question, gi</w:t>
      </w:r>
      <w:r>
        <w:rPr>
          <w:rFonts w:asciiTheme="minorHAnsi" w:hAnsiTheme="minorHAnsi"/>
          <w:sz w:val="22"/>
          <w:szCs w:val="22"/>
        </w:rPr>
        <w:t>ven alternative response rates.</w:t>
      </w:r>
    </w:p>
    <w:p w14:paraId="6912B64A" w14:textId="77777777" w:rsidR="00270B0B" w:rsidRPr="00CD6B53" w:rsidRDefault="00270B0B" w:rsidP="00154DE5">
      <w:pPr>
        <w:rPr>
          <w:rFonts w:asciiTheme="minorHAnsi" w:hAnsiTheme="minorHAnsi"/>
          <w:sz w:val="22"/>
          <w:szCs w:val="22"/>
        </w:rPr>
      </w:pPr>
    </w:p>
    <w:p w14:paraId="3F1927A5" w14:textId="77777777" w:rsidR="00CD6B53" w:rsidRPr="00AD0B01" w:rsidRDefault="00CD6B53" w:rsidP="00154DE5">
      <w:pPr>
        <w:rPr>
          <w:rFonts w:asciiTheme="minorHAnsi" w:hAnsiTheme="minorHAnsi"/>
          <w:color w:val="FF0000"/>
          <w:sz w:val="22"/>
          <w:szCs w:val="22"/>
        </w:rPr>
      </w:pPr>
    </w:p>
    <w:p w14:paraId="4312C4B3" w14:textId="7078B1F0" w:rsidR="00CD6B53" w:rsidRPr="00AD0B01" w:rsidRDefault="00CD6B53" w:rsidP="00CD6B53">
      <w:pPr>
        <w:pStyle w:val="ListParagraph"/>
        <w:spacing w:after="0" w:line="240" w:lineRule="auto"/>
        <w:ind w:left="0" w:right="2430"/>
        <w:rPr>
          <w:rFonts w:asciiTheme="minorHAnsi" w:hAnsiTheme="minorHAnsi" w:cs="Arial"/>
          <w:b/>
          <w:sz w:val="20"/>
          <w:szCs w:val="20"/>
        </w:rPr>
      </w:pPr>
      <w:r w:rsidRPr="00AD0B01">
        <w:rPr>
          <w:rFonts w:asciiTheme="minorHAnsi" w:hAnsiTheme="minorHAnsi" w:cs="Arial"/>
          <w:b/>
          <w:sz w:val="20"/>
          <w:szCs w:val="20"/>
        </w:rPr>
        <w:t xml:space="preserve">TABLE </w:t>
      </w:r>
      <w:r w:rsidR="00EB0D34">
        <w:rPr>
          <w:rFonts w:asciiTheme="minorHAnsi" w:hAnsiTheme="minorHAnsi" w:cs="Arial"/>
          <w:b/>
          <w:sz w:val="20"/>
          <w:szCs w:val="20"/>
        </w:rPr>
        <w:t>3</w:t>
      </w:r>
      <w:r w:rsidRPr="00AD0B01">
        <w:rPr>
          <w:rFonts w:asciiTheme="minorHAnsi" w:hAnsiTheme="minorHAnsi" w:cs="Arial"/>
          <w:b/>
          <w:sz w:val="20"/>
          <w:szCs w:val="20"/>
        </w:rPr>
        <w:t xml:space="preserve">  </w:t>
      </w:r>
      <w:r w:rsidRPr="00AD0B01">
        <w:rPr>
          <w:rFonts w:asciiTheme="minorHAnsi" w:hAnsiTheme="minorHAnsi" w:cs="Arial"/>
          <w:sz w:val="20"/>
          <w:szCs w:val="20"/>
        </w:rPr>
        <w:t>Margin of error for 90 percent confidence interval</w:t>
      </w:r>
    </w:p>
    <w:tbl>
      <w:tblPr>
        <w:tblW w:w="5850" w:type="dxa"/>
        <w:tblInd w:w="108" w:type="dxa"/>
        <w:tblLook w:val="04A0" w:firstRow="1" w:lastRow="0" w:firstColumn="1" w:lastColumn="0" w:noHBand="0" w:noVBand="1"/>
      </w:tblPr>
      <w:tblGrid>
        <w:gridCol w:w="2790"/>
        <w:gridCol w:w="990"/>
        <w:gridCol w:w="990"/>
        <w:gridCol w:w="1080"/>
      </w:tblGrid>
      <w:tr w:rsidR="00CD6B53" w:rsidRPr="00AD0B01" w14:paraId="6DFBF586" w14:textId="77777777" w:rsidTr="00CD6B53">
        <w:trPr>
          <w:trHeight w:val="255"/>
        </w:trPr>
        <w:tc>
          <w:tcPr>
            <w:tcW w:w="2790" w:type="dxa"/>
            <w:tcBorders>
              <w:top w:val="single" w:sz="4" w:space="0" w:color="auto"/>
              <w:left w:val="nil"/>
              <w:bottom w:val="nil"/>
              <w:right w:val="nil"/>
            </w:tcBorders>
            <w:noWrap/>
            <w:vAlign w:val="bottom"/>
          </w:tcPr>
          <w:p w14:paraId="4210E61D" w14:textId="77777777" w:rsidR="00CD6B53" w:rsidRPr="00AD0B01" w:rsidRDefault="00CD6B53">
            <w:pPr>
              <w:rPr>
                <w:rFonts w:asciiTheme="minorHAnsi" w:eastAsia="Times New Roman" w:hAnsiTheme="minorHAnsi" w:cs="Arial"/>
                <w:color w:val="000000"/>
              </w:rPr>
            </w:pPr>
          </w:p>
        </w:tc>
        <w:tc>
          <w:tcPr>
            <w:tcW w:w="3060" w:type="dxa"/>
            <w:gridSpan w:val="3"/>
            <w:tcBorders>
              <w:top w:val="single" w:sz="4" w:space="0" w:color="auto"/>
              <w:left w:val="nil"/>
              <w:bottom w:val="single" w:sz="4" w:space="0" w:color="auto"/>
              <w:right w:val="nil"/>
            </w:tcBorders>
            <w:noWrap/>
            <w:vAlign w:val="bottom"/>
            <w:hideMark/>
          </w:tcPr>
          <w:p w14:paraId="1D58AD45" w14:textId="5DE1FBBC" w:rsidR="00CD6B53" w:rsidRPr="00AD0B01" w:rsidRDefault="00CD6B53">
            <w:pPr>
              <w:jc w:val="center"/>
              <w:rPr>
                <w:rFonts w:asciiTheme="minorHAnsi" w:eastAsia="Times New Roman" w:hAnsiTheme="minorHAnsi" w:cs="Arial"/>
                <w:color w:val="000000"/>
              </w:rPr>
            </w:pPr>
            <w:r w:rsidRPr="00AD0B01">
              <w:rPr>
                <w:rFonts w:asciiTheme="minorHAnsi" w:eastAsia="Times New Roman" w:hAnsiTheme="minorHAnsi" w:cs="Arial"/>
                <w:color w:val="000000"/>
              </w:rPr>
              <w:t xml:space="preserve">Response </w:t>
            </w:r>
            <w:r w:rsidR="00A92E85">
              <w:rPr>
                <w:rFonts w:asciiTheme="minorHAnsi" w:eastAsia="Times New Roman" w:hAnsiTheme="minorHAnsi" w:cs="Arial"/>
                <w:color w:val="000000"/>
              </w:rPr>
              <w:t>r</w:t>
            </w:r>
            <w:r w:rsidRPr="00AD0B01">
              <w:rPr>
                <w:rFonts w:asciiTheme="minorHAnsi" w:eastAsia="Times New Roman" w:hAnsiTheme="minorHAnsi" w:cs="Arial"/>
                <w:color w:val="000000"/>
              </w:rPr>
              <w:t>ates, percent</w:t>
            </w:r>
          </w:p>
        </w:tc>
      </w:tr>
      <w:tr w:rsidR="00CD6B53" w:rsidRPr="00AD0B01" w14:paraId="72DF74AD" w14:textId="77777777" w:rsidTr="00CD6B53">
        <w:trPr>
          <w:trHeight w:val="255"/>
        </w:trPr>
        <w:tc>
          <w:tcPr>
            <w:tcW w:w="2790" w:type="dxa"/>
            <w:tcBorders>
              <w:top w:val="nil"/>
              <w:left w:val="nil"/>
              <w:bottom w:val="single" w:sz="4" w:space="0" w:color="auto"/>
              <w:right w:val="nil"/>
            </w:tcBorders>
            <w:noWrap/>
            <w:vAlign w:val="bottom"/>
            <w:hideMark/>
          </w:tcPr>
          <w:p w14:paraId="7606FE20" w14:textId="77777777" w:rsidR="00CD6B53" w:rsidRPr="00AD0B01" w:rsidRDefault="00CD6B53">
            <w:pPr>
              <w:rPr>
                <w:rFonts w:asciiTheme="minorHAnsi" w:eastAsia="Times New Roman" w:hAnsiTheme="minorHAnsi" w:cs="Arial"/>
                <w:color w:val="000000"/>
              </w:rPr>
            </w:pPr>
            <w:r w:rsidRPr="00AD0B01">
              <w:rPr>
                <w:rFonts w:asciiTheme="minorHAnsi" w:eastAsia="Times New Roman" w:hAnsiTheme="minorHAnsi" w:cs="Arial"/>
                <w:color w:val="000000"/>
              </w:rPr>
              <w:t>Measure</w:t>
            </w:r>
          </w:p>
        </w:tc>
        <w:tc>
          <w:tcPr>
            <w:tcW w:w="990" w:type="dxa"/>
            <w:tcBorders>
              <w:top w:val="single" w:sz="4" w:space="0" w:color="auto"/>
              <w:left w:val="nil"/>
              <w:bottom w:val="single" w:sz="4" w:space="0" w:color="auto"/>
              <w:right w:val="nil"/>
            </w:tcBorders>
            <w:noWrap/>
            <w:vAlign w:val="bottom"/>
            <w:hideMark/>
          </w:tcPr>
          <w:p w14:paraId="055019EC" w14:textId="77777777" w:rsidR="00CD6B53" w:rsidRPr="00AD0B01" w:rsidRDefault="00CD6B53">
            <w:pPr>
              <w:jc w:val="right"/>
              <w:rPr>
                <w:rFonts w:asciiTheme="minorHAnsi" w:eastAsia="Times New Roman" w:hAnsiTheme="minorHAnsi" w:cs="Arial"/>
                <w:color w:val="000000"/>
              </w:rPr>
            </w:pPr>
            <w:r w:rsidRPr="00AD0B01">
              <w:rPr>
                <w:rFonts w:asciiTheme="minorHAnsi" w:eastAsia="Times New Roman" w:hAnsiTheme="minorHAnsi" w:cs="Arial"/>
                <w:color w:val="000000"/>
              </w:rPr>
              <w:t>40</w:t>
            </w:r>
          </w:p>
        </w:tc>
        <w:tc>
          <w:tcPr>
            <w:tcW w:w="990" w:type="dxa"/>
            <w:tcBorders>
              <w:top w:val="single" w:sz="4" w:space="0" w:color="auto"/>
              <w:left w:val="nil"/>
              <w:bottom w:val="single" w:sz="4" w:space="0" w:color="auto"/>
              <w:right w:val="nil"/>
            </w:tcBorders>
            <w:noWrap/>
            <w:vAlign w:val="bottom"/>
            <w:hideMark/>
          </w:tcPr>
          <w:p w14:paraId="6CFF35CB" w14:textId="77777777" w:rsidR="00CD6B53" w:rsidRPr="00AD0B01" w:rsidRDefault="00CD6B53">
            <w:pPr>
              <w:jc w:val="right"/>
              <w:rPr>
                <w:rFonts w:asciiTheme="minorHAnsi" w:eastAsia="Times New Roman" w:hAnsiTheme="minorHAnsi" w:cs="Arial"/>
                <w:color w:val="000000"/>
              </w:rPr>
            </w:pPr>
            <w:r w:rsidRPr="00AD0B01">
              <w:rPr>
                <w:rFonts w:asciiTheme="minorHAnsi" w:eastAsia="Times New Roman" w:hAnsiTheme="minorHAnsi" w:cs="Arial"/>
                <w:color w:val="000000"/>
              </w:rPr>
              <w:t>50</w:t>
            </w:r>
          </w:p>
        </w:tc>
        <w:tc>
          <w:tcPr>
            <w:tcW w:w="1080" w:type="dxa"/>
            <w:tcBorders>
              <w:top w:val="single" w:sz="4" w:space="0" w:color="auto"/>
              <w:left w:val="nil"/>
              <w:bottom w:val="single" w:sz="4" w:space="0" w:color="auto"/>
              <w:right w:val="nil"/>
            </w:tcBorders>
            <w:noWrap/>
            <w:vAlign w:val="bottom"/>
            <w:hideMark/>
          </w:tcPr>
          <w:p w14:paraId="15BF9C64" w14:textId="77777777" w:rsidR="00CD6B53" w:rsidRPr="00AD0B01" w:rsidRDefault="00CD6B53">
            <w:pPr>
              <w:jc w:val="right"/>
              <w:rPr>
                <w:rFonts w:asciiTheme="minorHAnsi" w:eastAsia="Times New Roman" w:hAnsiTheme="minorHAnsi" w:cs="Arial"/>
                <w:color w:val="000000"/>
              </w:rPr>
            </w:pPr>
            <w:r w:rsidRPr="00AD0B01">
              <w:rPr>
                <w:rFonts w:asciiTheme="minorHAnsi" w:eastAsia="Times New Roman" w:hAnsiTheme="minorHAnsi" w:cs="Arial"/>
                <w:color w:val="000000"/>
              </w:rPr>
              <w:t>60</w:t>
            </w:r>
          </w:p>
        </w:tc>
      </w:tr>
      <w:tr w:rsidR="00CD6B53" w:rsidRPr="00E1436D" w14:paraId="5E854C24" w14:textId="77777777" w:rsidTr="00CD6B53">
        <w:trPr>
          <w:trHeight w:val="255"/>
        </w:trPr>
        <w:tc>
          <w:tcPr>
            <w:tcW w:w="2790" w:type="dxa"/>
            <w:tcBorders>
              <w:top w:val="single" w:sz="4" w:space="0" w:color="auto"/>
              <w:left w:val="nil"/>
              <w:bottom w:val="nil"/>
              <w:right w:val="nil"/>
            </w:tcBorders>
            <w:noWrap/>
            <w:vAlign w:val="bottom"/>
            <w:hideMark/>
          </w:tcPr>
          <w:p w14:paraId="018C1493" w14:textId="77777777" w:rsidR="00CD6B53" w:rsidRPr="00AD0B01" w:rsidRDefault="00CD6B53">
            <w:pPr>
              <w:rPr>
                <w:rFonts w:asciiTheme="minorHAnsi" w:eastAsia="Times New Roman" w:hAnsiTheme="minorHAnsi" w:cs="Arial"/>
                <w:color w:val="000000"/>
              </w:rPr>
            </w:pPr>
            <w:r w:rsidRPr="00AD0B01">
              <w:rPr>
                <w:rFonts w:asciiTheme="minorHAnsi" w:eastAsia="Times New Roman" w:hAnsiTheme="minorHAnsi" w:cs="Arial"/>
                <w:color w:val="000000"/>
              </w:rPr>
              <w:t>Number of respondents</w:t>
            </w:r>
          </w:p>
        </w:tc>
        <w:tc>
          <w:tcPr>
            <w:tcW w:w="990" w:type="dxa"/>
            <w:tcBorders>
              <w:top w:val="single" w:sz="4" w:space="0" w:color="auto"/>
              <w:left w:val="nil"/>
              <w:bottom w:val="nil"/>
              <w:right w:val="nil"/>
            </w:tcBorders>
            <w:noWrap/>
            <w:vAlign w:val="bottom"/>
            <w:hideMark/>
          </w:tcPr>
          <w:p w14:paraId="75FE0B77" w14:textId="77777777" w:rsidR="00CD6B53" w:rsidRPr="00E1436D" w:rsidRDefault="00CD6B53">
            <w:pPr>
              <w:jc w:val="right"/>
              <w:rPr>
                <w:rFonts w:asciiTheme="minorHAnsi" w:eastAsia="Times New Roman" w:hAnsiTheme="minorHAnsi" w:cs="Arial"/>
                <w:color w:val="000000"/>
              </w:rPr>
            </w:pPr>
            <w:r w:rsidRPr="00E1436D">
              <w:rPr>
                <w:rFonts w:asciiTheme="minorHAnsi" w:eastAsia="Times New Roman" w:hAnsiTheme="minorHAnsi" w:cs="Arial"/>
                <w:color w:val="000000"/>
              </w:rPr>
              <w:t>5,200</w:t>
            </w:r>
          </w:p>
        </w:tc>
        <w:tc>
          <w:tcPr>
            <w:tcW w:w="990" w:type="dxa"/>
            <w:tcBorders>
              <w:top w:val="single" w:sz="4" w:space="0" w:color="auto"/>
              <w:left w:val="nil"/>
              <w:bottom w:val="nil"/>
              <w:right w:val="nil"/>
            </w:tcBorders>
            <w:noWrap/>
            <w:vAlign w:val="bottom"/>
            <w:hideMark/>
          </w:tcPr>
          <w:p w14:paraId="2E0AB9B0" w14:textId="77777777" w:rsidR="00CD6B53" w:rsidRPr="00E1436D" w:rsidRDefault="00CD6B53" w:rsidP="00CD6B53">
            <w:pPr>
              <w:jc w:val="right"/>
              <w:rPr>
                <w:rFonts w:asciiTheme="minorHAnsi" w:eastAsia="Times New Roman" w:hAnsiTheme="minorHAnsi" w:cs="Arial"/>
                <w:color w:val="000000"/>
              </w:rPr>
            </w:pPr>
            <w:r w:rsidRPr="00E1436D">
              <w:rPr>
                <w:rFonts w:asciiTheme="minorHAnsi" w:eastAsia="Times New Roman" w:hAnsiTheme="minorHAnsi" w:cs="Arial"/>
                <w:color w:val="000000"/>
              </w:rPr>
              <w:t>6,500</w:t>
            </w:r>
          </w:p>
        </w:tc>
        <w:tc>
          <w:tcPr>
            <w:tcW w:w="1080" w:type="dxa"/>
            <w:tcBorders>
              <w:top w:val="single" w:sz="4" w:space="0" w:color="auto"/>
              <w:left w:val="nil"/>
              <w:bottom w:val="nil"/>
              <w:right w:val="nil"/>
            </w:tcBorders>
            <w:noWrap/>
            <w:vAlign w:val="bottom"/>
            <w:hideMark/>
          </w:tcPr>
          <w:p w14:paraId="6C8251B4" w14:textId="77777777" w:rsidR="00CD6B53" w:rsidRPr="00E1436D" w:rsidRDefault="00CD6B53">
            <w:pPr>
              <w:jc w:val="right"/>
              <w:rPr>
                <w:rFonts w:asciiTheme="minorHAnsi" w:eastAsia="Times New Roman" w:hAnsiTheme="minorHAnsi" w:cs="Arial"/>
                <w:color w:val="000000"/>
              </w:rPr>
            </w:pPr>
            <w:r w:rsidRPr="00E1436D">
              <w:rPr>
                <w:rFonts w:asciiTheme="minorHAnsi" w:eastAsia="Times New Roman" w:hAnsiTheme="minorHAnsi" w:cs="Arial"/>
                <w:color w:val="000000"/>
              </w:rPr>
              <w:t>7,800</w:t>
            </w:r>
          </w:p>
        </w:tc>
      </w:tr>
      <w:tr w:rsidR="00CD6B53" w:rsidRPr="00E1436D" w14:paraId="61C5DC5B" w14:textId="77777777" w:rsidTr="00CD6B53">
        <w:trPr>
          <w:trHeight w:val="255"/>
        </w:trPr>
        <w:tc>
          <w:tcPr>
            <w:tcW w:w="2790" w:type="dxa"/>
            <w:noWrap/>
            <w:vAlign w:val="bottom"/>
            <w:hideMark/>
          </w:tcPr>
          <w:p w14:paraId="3AC6F4B1" w14:textId="77777777" w:rsidR="00CD6B53" w:rsidRPr="00AD0B01" w:rsidRDefault="00CD6B53">
            <w:pPr>
              <w:rPr>
                <w:rFonts w:asciiTheme="minorHAnsi" w:eastAsia="Times New Roman" w:hAnsiTheme="minorHAnsi" w:cs="Arial"/>
                <w:color w:val="000000"/>
              </w:rPr>
            </w:pPr>
            <w:r w:rsidRPr="00AD0B01">
              <w:rPr>
                <w:rFonts w:asciiTheme="minorHAnsi" w:eastAsia="Times New Roman" w:hAnsiTheme="minorHAnsi" w:cs="Arial"/>
                <w:color w:val="000000"/>
              </w:rPr>
              <w:t>Standard error, percent</w:t>
            </w:r>
          </w:p>
        </w:tc>
        <w:tc>
          <w:tcPr>
            <w:tcW w:w="990" w:type="dxa"/>
            <w:noWrap/>
            <w:vAlign w:val="bottom"/>
          </w:tcPr>
          <w:p w14:paraId="7DA60E8D" w14:textId="77777777" w:rsidR="00CD6B53" w:rsidRPr="00E1436D" w:rsidRDefault="00CD6B53">
            <w:pPr>
              <w:jc w:val="right"/>
              <w:rPr>
                <w:rFonts w:asciiTheme="minorHAnsi" w:eastAsia="Times New Roman" w:hAnsiTheme="minorHAnsi" w:cs="Arial"/>
                <w:color w:val="000000"/>
              </w:rPr>
            </w:pPr>
            <w:r w:rsidRPr="00E1436D">
              <w:rPr>
                <w:rFonts w:asciiTheme="minorHAnsi" w:eastAsia="Times New Roman" w:hAnsiTheme="minorHAnsi" w:cs="Arial"/>
                <w:color w:val="000000"/>
              </w:rPr>
              <w:t>0.69</w:t>
            </w:r>
          </w:p>
        </w:tc>
        <w:tc>
          <w:tcPr>
            <w:tcW w:w="990" w:type="dxa"/>
            <w:noWrap/>
            <w:vAlign w:val="bottom"/>
          </w:tcPr>
          <w:p w14:paraId="668938C6" w14:textId="77777777" w:rsidR="00CD6B53" w:rsidRPr="00E1436D" w:rsidRDefault="00CD6B53">
            <w:pPr>
              <w:jc w:val="right"/>
              <w:rPr>
                <w:rFonts w:asciiTheme="minorHAnsi" w:eastAsia="Times New Roman" w:hAnsiTheme="minorHAnsi" w:cs="Arial"/>
                <w:color w:val="000000"/>
              </w:rPr>
            </w:pPr>
            <w:r w:rsidRPr="00E1436D">
              <w:rPr>
                <w:rFonts w:asciiTheme="minorHAnsi" w:eastAsia="Times New Roman" w:hAnsiTheme="minorHAnsi" w:cs="Arial"/>
                <w:color w:val="000000"/>
              </w:rPr>
              <w:t>0.62</w:t>
            </w:r>
          </w:p>
        </w:tc>
        <w:tc>
          <w:tcPr>
            <w:tcW w:w="1080" w:type="dxa"/>
            <w:noWrap/>
            <w:vAlign w:val="bottom"/>
          </w:tcPr>
          <w:p w14:paraId="3953E004" w14:textId="418330B7" w:rsidR="00CD6B53" w:rsidRPr="00E1436D" w:rsidRDefault="00CD6B53" w:rsidP="00E31308">
            <w:pPr>
              <w:jc w:val="right"/>
              <w:rPr>
                <w:rFonts w:asciiTheme="minorHAnsi" w:eastAsia="Times New Roman" w:hAnsiTheme="minorHAnsi" w:cs="Arial"/>
                <w:color w:val="000000"/>
              </w:rPr>
            </w:pPr>
            <w:r w:rsidRPr="00E1436D">
              <w:rPr>
                <w:rFonts w:asciiTheme="minorHAnsi" w:eastAsia="Times New Roman" w:hAnsiTheme="minorHAnsi" w:cs="Arial"/>
                <w:color w:val="000000"/>
              </w:rPr>
              <w:t>0.5</w:t>
            </w:r>
            <w:r w:rsidR="00E31308" w:rsidRPr="00E1436D">
              <w:rPr>
                <w:rFonts w:asciiTheme="minorHAnsi" w:eastAsia="Times New Roman" w:hAnsiTheme="minorHAnsi" w:cs="Arial"/>
                <w:color w:val="000000"/>
              </w:rPr>
              <w:t>7</w:t>
            </w:r>
          </w:p>
        </w:tc>
      </w:tr>
      <w:tr w:rsidR="00CD6B53" w:rsidRPr="00E1436D" w14:paraId="658818E6" w14:textId="77777777" w:rsidTr="00CD6B53">
        <w:trPr>
          <w:trHeight w:val="255"/>
        </w:trPr>
        <w:tc>
          <w:tcPr>
            <w:tcW w:w="2790" w:type="dxa"/>
            <w:tcBorders>
              <w:top w:val="nil"/>
              <w:left w:val="nil"/>
              <w:bottom w:val="single" w:sz="4" w:space="0" w:color="auto"/>
              <w:right w:val="nil"/>
            </w:tcBorders>
            <w:noWrap/>
            <w:vAlign w:val="bottom"/>
            <w:hideMark/>
          </w:tcPr>
          <w:p w14:paraId="7EA38644" w14:textId="77777777" w:rsidR="00CD6B53" w:rsidRPr="00AD0B01" w:rsidRDefault="00CD6B53">
            <w:pPr>
              <w:rPr>
                <w:rFonts w:asciiTheme="minorHAnsi" w:eastAsia="Times New Roman" w:hAnsiTheme="minorHAnsi" w:cs="Arial"/>
                <w:color w:val="000000"/>
              </w:rPr>
            </w:pPr>
            <w:r w:rsidRPr="00AD0B01">
              <w:rPr>
                <w:rFonts w:asciiTheme="minorHAnsi" w:eastAsia="Times New Roman" w:hAnsiTheme="minorHAnsi" w:cs="Arial"/>
                <w:color w:val="000000"/>
              </w:rPr>
              <w:t>Margin of error, percent</w:t>
            </w:r>
          </w:p>
        </w:tc>
        <w:tc>
          <w:tcPr>
            <w:tcW w:w="990" w:type="dxa"/>
            <w:tcBorders>
              <w:top w:val="nil"/>
              <w:left w:val="nil"/>
              <w:bottom w:val="single" w:sz="4" w:space="0" w:color="auto"/>
              <w:right w:val="nil"/>
            </w:tcBorders>
            <w:noWrap/>
            <w:vAlign w:val="bottom"/>
          </w:tcPr>
          <w:p w14:paraId="6262DE87" w14:textId="77777777" w:rsidR="00CD6B53" w:rsidRPr="00E1436D" w:rsidRDefault="00470A3E">
            <w:pPr>
              <w:jc w:val="right"/>
              <w:rPr>
                <w:rFonts w:asciiTheme="minorHAnsi" w:eastAsia="Times New Roman" w:hAnsiTheme="minorHAnsi" w:cs="Arial"/>
                <w:color w:val="000000"/>
              </w:rPr>
            </w:pPr>
            <w:r w:rsidRPr="00E1436D">
              <w:rPr>
                <w:rFonts w:asciiTheme="minorHAnsi" w:eastAsia="Times New Roman" w:hAnsiTheme="minorHAnsi" w:cs="Arial"/>
                <w:color w:val="000000"/>
              </w:rPr>
              <w:t>1.14</w:t>
            </w:r>
          </w:p>
        </w:tc>
        <w:tc>
          <w:tcPr>
            <w:tcW w:w="990" w:type="dxa"/>
            <w:tcBorders>
              <w:top w:val="nil"/>
              <w:left w:val="nil"/>
              <w:bottom w:val="single" w:sz="4" w:space="0" w:color="auto"/>
              <w:right w:val="nil"/>
            </w:tcBorders>
            <w:noWrap/>
            <w:vAlign w:val="bottom"/>
          </w:tcPr>
          <w:p w14:paraId="05FFDCC1" w14:textId="60F0B904" w:rsidR="00CD6B53" w:rsidRPr="00E1436D" w:rsidRDefault="00470A3E" w:rsidP="00E31308">
            <w:pPr>
              <w:jc w:val="right"/>
              <w:rPr>
                <w:rFonts w:asciiTheme="minorHAnsi" w:eastAsia="Times New Roman" w:hAnsiTheme="minorHAnsi" w:cs="Arial"/>
                <w:color w:val="000000"/>
              </w:rPr>
            </w:pPr>
            <w:r w:rsidRPr="00E1436D">
              <w:rPr>
                <w:rFonts w:asciiTheme="minorHAnsi" w:eastAsia="Times New Roman" w:hAnsiTheme="minorHAnsi" w:cs="Arial"/>
                <w:color w:val="000000"/>
              </w:rPr>
              <w:t>1.0</w:t>
            </w:r>
            <w:r w:rsidR="00E31308" w:rsidRPr="00E1436D">
              <w:rPr>
                <w:rFonts w:asciiTheme="minorHAnsi" w:eastAsia="Times New Roman" w:hAnsiTheme="minorHAnsi" w:cs="Arial"/>
                <w:color w:val="000000"/>
              </w:rPr>
              <w:t>2</w:t>
            </w:r>
          </w:p>
        </w:tc>
        <w:tc>
          <w:tcPr>
            <w:tcW w:w="1080" w:type="dxa"/>
            <w:tcBorders>
              <w:top w:val="nil"/>
              <w:left w:val="nil"/>
              <w:bottom w:val="single" w:sz="4" w:space="0" w:color="auto"/>
              <w:right w:val="nil"/>
            </w:tcBorders>
            <w:noWrap/>
            <w:vAlign w:val="bottom"/>
          </w:tcPr>
          <w:p w14:paraId="43C48751" w14:textId="0DF6B4CF" w:rsidR="00CD6B53" w:rsidRPr="00E1436D" w:rsidRDefault="00470A3E" w:rsidP="00E31308">
            <w:pPr>
              <w:jc w:val="right"/>
              <w:rPr>
                <w:rFonts w:asciiTheme="minorHAnsi" w:eastAsia="Times New Roman" w:hAnsiTheme="minorHAnsi" w:cs="Arial"/>
                <w:color w:val="000000"/>
              </w:rPr>
            </w:pPr>
            <w:r w:rsidRPr="00E1436D">
              <w:rPr>
                <w:rFonts w:asciiTheme="minorHAnsi" w:eastAsia="Times New Roman" w:hAnsiTheme="minorHAnsi" w:cs="Arial"/>
                <w:color w:val="000000"/>
              </w:rPr>
              <w:t>0.9</w:t>
            </w:r>
            <w:r w:rsidR="00E31308" w:rsidRPr="00E1436D">
              <w:rPr>
                <w:rFonts w:asciiTheme="minorHAnsi" w:eastAsia="Times New Roman" w:hAnsiTheme="minorHAnsi" w:cs="Arial"/>
                <w:color w:val="000000"/>
              </w:rPr>
              <w:t>3</w:t>
            </w:r>
          </w:p>
        </w:tc>
      </w:tr>
    </w:tbl>
    <w:p w14:paraId="31300DAA" w14:textId="72F86718" w:rsidR="00CD6B53" w:rsidRPr="00AD0B01" w:rsidRDefault="00CD6B53" w:rsidP="00E1436D">
      <w:pPr>
        <w:rPr>
          <w:rFonts w:asciiTheme="minorHAnsi" w:hAnsiTheme="minorHAnsi" w:cs="Arial"/>
        </w:rPr>
      </w:pPr>
      <w:r w:rsidRPr="00AD0B01">
        <w:rPr>
          <w:rFonts w:asciiTheme="minorHAnsi" w:hAnsiTheme="minorHAnsi" w:cs="Arial"/>
          <w:vertAlign w:val="superscript"/>
        </w:rPr>
        <w:t xml:space="preserve"> </w:t>
      </w:r>
      <w:r w:rsidRPr="00AD0B01">
        <w:rPr>
          <w:rFonts w:asciiTheme="minorHAnsi" w:hAnsiTheme="minorHAnsi" w:cs="Arial"/>
        </w:rPr>
        <w:t xml:space="preserve">Note: This assumes </w:t>
      </w:r>
      <w:r w:rsidR="0004655C">
        <w:rPr>
          <w:rFonts w:asciiTheme="minorHAnsi" w:hAnsiTheme="minorHAnsi" w:cs="Arial"/>
        </w:rPr>
        <w:t>a maximum margin of error of 50 percent</w:t>
      </w:r>
      <w:r w:rsidRPr="00AD0B01">
        <w:rPr>
          <w:rFonts w:asciiTheme="minorHAnsi" w:hAnsiTheme="minorHAnsi" w:cs="Arial"/>
        </w:rPr>
        <w:t xml:space="preserve"> for a binary question.</w:t>
      </w:r>
    </w:p>
    <w:p w14:paraId="1B8911FF" w14:textId="77777777" w:rsidR="00717630" w:rsidRPr="004447FF" w:rsidRDefault="00717630" w:rsidP="00470A3E">
      <w:pPr>
        <w:rPr>
          <w:rFonts w:asciiTheme="minorHAnsi" w:hAnsiTheme="minorHAnsi"/>
          <w:sz w:val="22"/>
          <w:szCs w:val="22"/>
        </w:rPr>
      </w:pPr>
    </w:p>
    <w:p w14:paraId="748411F1" w14:textId="77777777" w:rsidR="00717630" w:rsidRPr="004447FF" w:rsidRDefault="00717630" w:rsidP="00154DE5">
      <w:pPr>
        <w:pStyle w:val="ListParagraph"/>
        <w:numPr>
          <w:ilvl w:val="0"/>
          <w:numId w:val="13"/>
        </w:numPr>
        <w:spacing w:line="240" w:lineRule="auto"/>
        <w:rPr>
          <w:rFonts w:asciiTheme="minorHAnsi" w:hAnsiTheme="minorHAnsi"/>
          <w:b/>
        </w:rPr>
      </w:pPr>
      <w:r w:rsidRPr="004447FF">
        <w:rPr>
          <w:rFonts w:asciiTheme="minorHAnsi" w:hAnsiTheme="minorHAnsi"/>
          <w:b/>
        </w:rPr>
        <w:t xml:space="preserve">Unusual problems requiring specialized sampling procedures </w:t>
      </w:r>
    </w:p>
    <w:p w14:paraId="09B12E22" w14:textId="77777777" w:rsidR="00717630" w:rsidRPr="004447FF" w:rsidRDefault="00717630" w:rsidP="00154DE5">
      <w:pPr>
        <w:rPr>
          <w:rFonts w:asciiTheme="minorHAnsi" w:hAnsiTheme="minorHAnsi"/>
          <w:sz w:val="22"/>
          <w:szCs w:val="22"/>
        </w:rPr>
      </w:pPr>
      <w:r w:rsidRPr="004447FF">
        <w:rPr>
          <w:rFonts w:asciiTheme="minorHAnsi" w:hAnsiTheme="minorHAnsi"/>
          <w:sz w:val="22"/>
          <w:szCs w:val="22"/>
        </w:rPr>
        <w:t>No unu</w:t>
      </w:r>
      <w:r w:rsidR="001B07C9" w:rsidRPr="004447FF">
        <w:rPr>
          <w:rFonts w:asciiTheme="minorHAnsi" w:hAnsiTheme="minorHAnsi"/>
          <w:sz w:val="22"/>
          <w:szCs w:val="22"/>
        </w:rPr>
        <w:t>sual problems were encountered.</w:t>
      </w:r>
    </w:p>
    <w:p w14:paraId="6D439143" w14:textId="77777777" w:rsidR="00717630" w:rsidRPr="004447FF" w:rsidRDefault="00717630" w:rsidP="00A90E28">
      <w:pPr>
        <w:ind w:left="720"/>
        <w:rPr>
          <w:rFonts w:asciiTheme="minorHAnsi" w:hAnsiTheme="minorHAnsi"/>
          <w:sz w:val="22"/>
          <w:szCs w:val="22"/>
        </w:rPr>
      </w:pPr>
    </w:p>
    <w:p w14:paraId="5428990C" w14:textId="77777777" w:rsidR="00717630" w:rsidRPr="004447FF" w:rsidRDefault="00717630" w:rsidP="00154DE5">
      <w:pPr>
        <w:pStyle w:val="ListParagraph"/>
        <w:numPr>
          <w:ilvl w:val="0"/>
          <w:numId w:val="13"/>
        </w:numPr>
        <w:spacing w:after="0" w:line="240" w:lineRule="auto"/>
        <w:rPr>
          <w:rFonts w:asciiTheme="minorHAnsi" w:hAnsiTheme="minorHAnsi"/>
          <w:b/>
        </w:rPr>
      </w:pPr>
      <w:r w:rsidRPr="004447FF">
        <w:rPr>
          <w:rFonts w:asciiTheme="minorHAnsi" w:hAnsiTheme="minorHAnsi"/>
          <w:b/>
        </w:rPr>
        <w:t>Any use of periodic (less frequent than annual) data collection cycles to reduce burden.</w:t>
      </w:r>
    </w:p>
    <w:p w14:paraId="348435CE" w14:textId="77777777" w:rsidR="00154DE5" w:rsidRPr="004447FF" w:rsidRDefault="00154DE5" w:rsidP="00154DE5">
      <w:pPr>
        <w:rPr>
          <w:rFonts w:asciiTheme="minorHAnsi" w:hAnsiTheme="minorHAnsi"/>
          <w:sz w:val="22"/>
          <w:szCs w:val="22"/>
        </w:rPr>
      </w:pPr>
    </w:p>
    <w:p w14:paraId="4F10EE83" w14:textId="77777777" w:rsidR="00717630" w:rsidRPr="004447FF" w:rsidRDefault="00CD222B" w:rsidP="00154DE5">
      <w:pPr>
        <w:rPr>
          <w:rFonts w:asciiTheme="minorHAnsi" w:hAnsiTheme="minorHAnsi"/>
          <w:sz w:val="22"/>
          <w:szCs w:val="22"/>
        </w:rPr>
      </w:pPr>
      <w:r w:rsidRPr="004447FF">
        <w:rPr>
          <w:rFonts w:asciiTheme="minorHAnsi" w:hAnsiTheme="minorHAnsi"/>
          <w:sz w:val="22"/>
          <w:szCs w:val="22"/>
        </w:rPr>
        <w:t>This data collection is curren</w:t>
      </w:r>
      <w:r w:rsidR="00A26ADC" w:rsidRPr="004447FF">
        <w:rPr>
          <w:rFonts w:asciiTheme="minorHAnsi" w:hAnsiTheme="minorHAnsi"/>
          <w:sz w:val="22"/>
          <w:szCs w:val="22"/>
        </w:rPr>
        <w:t>tly o</w:t>
      </w:r>
      <w:r w:rsidR="00EB7D1C" w:rsidRPr="004447FF">
        <w:rPr>
          <w:rFonts w:asciiTheme="minorHAnsi" w:hAnsiTheme="minorHAnsi"/>
          <w:sz w:val="22"/>
          <w:szCs w:val="22"/>
        </w:rPr>
        <w:t xml:space="preserve">nly intended to occur once, and </w:t>
      </w:r>
      <w:r w:rsidRPr="004447FF">
        <w:rPr>
          <w:rFonts w:asciiTheme="minorHAnsi" w:hAnsiTheme="minorHAnsi"/>
          <w:sz w:val="22"/>
          <w:szCs w:val="22"/>
        </w:rPr>
        <w:t xml:space="preserve">therefore will not be repeated on a periodic basis. </w:t>
      </w:r>
      <w:r w:rsidR="00140281" w:rsidRPr="004447FF">
        <w:rPr>
          <w:rFonts w:asciiTheme="minorHAnsi" w:hAnsiTheme="minorHAnsi"/>
          <w:sz w:val="22"/>
          <w:szCs w:val="22"/>
        </w:rPr>
        <w:t xml:space="preserve">As such, </w:t>
      </w:r>
      <w:r w:rsidR="00140281" w:rsidRPr="004447FF">
        <w:rPr>
          <w:rFonts w:asciiTheme="minorHAnsi" w:hAnsiTheme="minorHAnsi"/>
          <w:sz w:val="22"/>
          <w:szCs w:val="22"/>
          <w:highlight w:val="white"/>
        </w:rPr>
        <w:t>the total recurring annual cost burden is zero</w:t>
      </w:r>
      <w:r w:rsidR="00140281" w:rsidRPr="004447FF">
        <w:rPr>
          <w:rFonts w:asciiTheme="minorHAnsi" w:hAnsiTheme="minorHAnsi"/>
          <w:sz w:val="22"/>
          <w:szCs w:val="22"/>
        </w:rPr>
        <w:t>.</w:t>
      </w:r>
    </w:p>
    <w:p w14:paraId="579AE6CA" w14:textId="77777777" w:rsidR="00717630" w:rsidRPr="004447FF" w:rsidRDefault="00717630" w:rsidP="008B09DE">
      <w:pPr>
        <w:rPr>
          <w:rFonts w:asciiTheme="minorHAnsi" w:hAnsiTheme="minorHAnsi"/>
          <w:sz w:val="22"/>
          <w:szCs w:val="22"/>
          <w:highlight w:val="white"/>
        </w:rPr>
      </w:pPr>
    </w:p>
    <w:p w14:paraId="6C94ACFF" w14:textId="77777777" w:rsidR="005F6858" w:rsidRPr="004447FF" w:rsidRDefault="00AF35D2" w:rsidP="008B09DE">
      <w:pPr>
        <w:rPr>
          <w:rFonts w:asciiTheme="minorHAnsi" w:hAnsiTheme="minorHAnsi"/>
          <w:b/>
          <w:bCs/>
          <w:sz w:val="22"/>
          <w:szCs w:val="22"/>
          <w:highlight w:val="white"/>
        </w:rPr>
      </w:pPr>
      <w:r w:rsidRPr="004447FF">
        <w:rPr>
          <w:rFonts w:asciiTheme="minorHAnsi" w:hAnsiTheme="minorHAnsi"/>
          <w:b/>
          <w:bCs/>
          <w:sz w:val="22"/>
          <w:szCs w:val="22"/>
          <w:highlight w:val="white"/>
        </w:rPr>
        <w:t>3.</w:t>
      </w:r>
      <w:r w:rsidRPr="004447FF">
        <w:rPr>
          <w:rFonts w:asciiTheme="minorHAnsi" w:hAnsiTheme="minorHAnsi"/>
          <w:b/>
          <w:bCs/>
          <w:sz w:val="22"/>
          <w:szCs w:val="22"/>
          <w:highlight w:val="white"/>
        </w:rPr>
        <w:tab/>
      </w:r>
      <w:r w:rsidR="00FC10C9" w:rsidRPr="004447FF">
        <w:rPr>
          <w:rFonts w:asciiTheme="minorHAnsi" w:hAnsiTheme="minorHAnsi"/>
          <w:b/>
          <w:bCs/>
          <w:sz w:val="22"/>
          <w:szCs w:val="22"/>
          <w:highlight w:val="white"/>
        </w:rPr>
        <w:t>Methods to maximize response rates and deal with non-response</w:t>
      </w:r>
    </w:p>
    <w:p w14:paraId="1EBD95C5" w14:textId="77777777" w:rsidR="00FC10C9" w:rsidRPr="004447FF" w:rsidRDefault="00FC10C9" w:rsidP="008B09DE">
      <w:pPr>
        <w:rPr>
          <w:rFonts w:asciiTheme="minorHAnsi" w:hAnsiTheme="minorHAnsi"/>
          <w:b/>
          <w:bCs/>
          <w:sz w:val="22"/>
          <w:szCs w:val="22"/>
          <w:highlight w:val="white"/>
        </w:rPr>
      </w:pPr>
    </w:p>
    <w:p w14:paraId="6A276607" w14:textId="77777777" w:rsidR="005F6858" w:rsidRPr="004447FF" w:rsidRDefault="005F6858" w:rsidP="008B09DE">
      <w:pPr>
        <w:rPr>
          <w:rFonts w:asciiTheme="minorHAnsi" w:hAnsiTheme="minorHAnsi"/>
          <w:b/>
          <w:bCs/>
          <w:sz w:val="22"/>
          <w:szCs w:val="22"/>
          <w:highlight w:val="white"/>
        </w:rPr>
      </w:pPr>
      <w:r w:rsidRPr="004447FF">
        <w:rPr>
          <w:rFonts w:asciiTheme="minorHAnsi" w:hAnsiTheme="minorHAnsi"/>
          <w:b/>
          <w:bCs/>
          <w:sz w:val="22"/>
          <w:szCs w:val="22"/>
          <w:highlight w:val="white"/>
        </w:rPr>
        <w:t>a.</w:t>
      </w:r>
      <w:r w:rsidR="00FC10C9" w:rsidRPr="004447FF">
        <w:rPr>
          <w:rFonts w:asciiTheme="minorHAnsi" w:hAnsiTheme="minorHAnsi"/>
          <w:b/>
          <w:bCs/>
          <w:sz w:val="22"/>
          <w:szCs w:val="22"/>
          <w:highlight w:val="white"/>
        </w:rPr>
        <w:t xml:space="preserve"> Maximizing response rates</w:t>
      </w:r>
      <w:r w:rsidRPr="004447FF">
        <w:rPr>
          <w:rFonts w:asciiTheme="minorHAnsi" w:hAnsiTheme="minorHAnsi"/>
          <w:b/>
          <w:bCs/>
          <w:sz w:val="22"/>
          <w:szCs w:val="22"/>
          <w:highlight w:val="white"/>
        </w:rPr>
        <w:t xml:space="preserve"> </w:t>
      </w:r>
    </w:p>
    <w:p w14:paraId="048214FB" w14:textId="77777777" w:rsidR="00120C8C" w:rsidRDefault="00120C8C" w:rsidP="008B09DE">
      <w:pPr>
        <w:rPr>
          <w:rFonts w:asciiTheme="minorHAnsi" w:hAnsiTheme="minorHAnsi"/>
          <w:bCs/>
          <w:sz w:val="22"/>
          <w:szCs w:val="22"/>
          <w:highlight w:val="white"/>
        </w:rPr>
      </w:pPr>
    </w:p>
    <w:p w14:paraId="0D6B8D05" w14:textId="359E183B" w:rsidR="00470A3E" w:rsidRPr="00470A3E" w:rsidRDefault="00470A3E" w:rsidP="008B09DE">
      <w:pPr>
        <w:rPr>
          <w:rFonts w:asciiTheme="minorHAnsi" w:hAnsiTheme="minorHAnsi"/>
          <w:bCs/>
          <w:sz w:val="22"/>
          <w:szCs w:val="22"/>
        </w:rPr>
      </w:pPr>
      <w:r w:rsidRPr="00470A3E">
        <w:rPr>
          <w:rFonts w:asciiTheme="minorHAnsi" w:hAnsiTheme="minorHAnsi"/>
          <w:bCs/>
          <w:sz w:val="22"/>
          <w:szCs w:val="22"/>
        </w:rPr>
        <w:t>Commission staff will employ several techniques to increase the response rates of questionnaire recipient firms. Recipients will receive separate notices that (1) notify them that their firm was selected for the survey, (2) direct them to complete the survey, and (3) remind them, if necessary, to complete the survey before the deadline. Once the submission deadline has passed, firms that still have not responded will receive an additional reminder. Each of these communications will include a phone number and email address of a person who can help firms with filling out the questionnaire or answer their questions regarding the survey and/or study. Commission staff may also contact firms directly, via phone or email, to urge them to complete the survey and to answer any questions they may have regarding this information collection or study</w:t>
      </w:r>
      <w:r w:rsidR="00A92E85">
        <w:rPr>
          <w:rFonts w:asciiTheme="minorHAnsi" w:hAnsiTheme="minorHAnsi"/>
          <w:bCs/>
          <w:sz w:val="22"/>
          <w:szCs w:val="22"/>
        </w:rPr>
        <w:t>,</w:t>
      </w:r>
      <w:r w:rsidRPr="00470A3E">
        <w:rPr>
          <w:rFonts w:asciiTheme="minorHAnsi" w:hAnsiTheme="minorHAnsi"/>
          <w:bCs/>
          <w:sz w:val="22"/>
          <w:szCs w:val="22"/>
        </w:rPr>
        <w:t xml:space="preserve"> in general. Commission staff may also contact firms, via phone or email, to correct information or fill in incomplete responses, or solicit additional information about a response. The burden associated with follow up calls or emails is included in the total response burden amount.</w:t>
      </w:r>
    </w:p>
    <w:p w14:paraId="720DB641" w14:textId="77777777" w:rsidR="00470A3E" w:rsidRPr="00470A3E" w:rsidRDefault="00470A3E" w:rsidP="008B09DE">
      <w:pPr>
        <w:rPr>
          <w:rFonts w:asciiTheme="minorHAnsi" w:hAnsiTheme="minorHAnsi"/>
          <w:bCs/>
          <w:sz w:val="22"/>
          <w:szCs w:val="22"/>
        </w:rPr>
      </w:pPr>
    </w:p>
    <w:p w14:paraId="1315D9B8" w14:textId="4C832152" w:rsidR="00333423" w:rsidRPr="00470A3E" w:rsidRDefault="00470A3E" w:rsidP="008B09DE">
      <w:pPr>
        <w:rPr>
          <w:rFonts w:asciiTheme="minorHAnsi" w:hAnsiTheme="minorHAnsi"/>
          <w:bCs/>
          <w:sz w:val="22"/>
          <w:szCs w:val="22"/>
        </w:rPr>
      </w:pPr>
      <w:r w:rsidRPr="00470A3E">
        <w:rPr>
          <w:rFonts w:asciiTheme="minorHAnsi" w:hAnsiTheme="minorHAnsi"/>
          <w:bCs/>
          <w:sz w:val="22"/>
          <w:szCs w:val="22"/>
        </w:rPr>
        <w:t xml:space="preserve">In addition to pre-contact and follow-up, the questionnaire itself has been designed to be </w:t>
      </w:r>
      <w:r w:rsidR="00A92E85">
        <w:rPr>
          <w:rFonts w:asciiTheme="minorHAnsi" w:hAnsiTheme="minorHAnsi"/>
          <w:bCs/>
          <w:sz w:val="22"/>
          <w:szCs w:val="22"/>
        </w:rPr>
        <w:t xml:space="preserve">as </w:t>
      </w:r>
      <w:r w:rsidRPr="00470A3E">
        <w:rPr>
          <w:rFonts w:asciiTheme="minorHAnsi" w:hAnsiTheme="minorHAnsi"/>
          <w:bCs/>
          <w:sz w:val="22"/>
          <w:szCs w:val="22"/>
        </w:rPr>
        <w:t xml:space="preserve">clear and succinct as possible to gather the specific material requested by </w:t>
      </w:r>
      <w:r w:rsidR="00A92E85">
        <w:rPr>
          <w:rFonts w:asciiTheme="minorHAnsi" w:hAnsiTheme="minorHAnsi"/>
          <w:bCs/>
          <w:sz w:val="22"/>
          <w:szCs w:val="22"/>
        </w:rPr>
        <w:t>the USTR</w:t>
      </w:r>
      <w:r w:rsidRPr="00470A3E">
        <w:rPr>
          <w:rFonts w:asciiTheme="minorHAnsi" w:hAnsiTheme="minorHAnsi"/>
          <w:bCs/>
          <w:sz w:val="22"/>
          <w:szCs w:val="22"/>
        </w:rPr>
        <w:t>. (See discussion of testing below.) This clarity and brevity should reduce burden and improve response rates. The questionnaire will clearly point out that firms are obligated by law to respond. Finally, the ability to access, fill out, and submit the survey electronica</w:t>
      </w:r>
      <w:r>
        <w:rPr>
          <w:rFonts w:asciiTheme="minorHAnsi" w:hAnsiTheme="minorHAnsi"/>
          <w:bCs/>
          <w:sz w:val="22"/>
          <w:szCs w:val="22"/>
        </w:rPr>
        <w:t>lly may also increase response</w:t>
      </w:r>
      <w:r w:rsidR="00A92E85">
        <w:rPr>
          <w:rFonts w:asciiTheme="minorHAnsi" w:hAnsiTheme="minorHAnsi"/>
          <w:bCs/>
          <w:sz w:val="22"/>
          <w:szCs w:val="22"/>
        </w:rPr>
        <w:t xml:space="preserve"> rates</w:t>
      </w:r>
      <w:r>
        <w:rPr>
          <w:rFonts w:asciiTheme="minorHAnsi" w:hAnsiTheme="minorHAnsi"/>
          <w:bCs/>
          <w:sz w:val="22"/>
          <w:szCs w:val="22"/>
        </w:rPr>
        <w:t>.</w:t>
      </w:r>
    </w:p>
    <w:p w14:paraId="484E364B" w14:textId="77777777" w:rsidR="00487B02" w:rsidRPr="004447FF" w:rsidRDefault="00487B02" w:rsidP="008B09DE">
      <w:pPr>
        <w:rPr>
          <w:rFonts w:asciiTheme="minorHAnsi" w:hAnsiTheme="minorHAnsi"/>
          <w:sz w:val="22"/>
          <w:szCs w:val="22"/>
        </w:rPr>
      </w:pPr>
    </w:p>
    <w:p w14:paraId="7B85BBE6" w14:textId="77777777" w:rsidR="00C947D9" w:rsidRPr="004447FF" w:rsidRDefault="00C947D9" w:rsidP="008B09DE">
      <w:pPr>
        <w:rPr>
          <w:rFonts w:asciiTheme="minorHAnsi" w:hAnsiTheme="minorHAnsi"/>
          <w:b/>
          <w:sz w:val="22"/>
          <w:szCs w:val="22"/>
        </w:rPr>
      </w:pPr>
      <w:r w:rsidRPr="004447FF">
        <w:rPr>
          <w:rFonts w:asciiTheme="minorHAnsi" w:hAnsiTheme="minorHAnsi"/>
          <w:b/>
          <w:sz w:val="22"/>
          <w:szCs w:val="22"/>
        </w:rPr>
        <w:t>b. Accuracy and reliability of information collected</w:t>
      </w:r>
    </w:p>
    <w:p w14:paraId="548672E5" w14:textId="77777777" w:rsidR="00C947D9" w:rsidRPr="004447FF" w:rsidRDefault="00C947D9" w:rsidP="008B09DE">
      <w:pPr>
        <w:rPr>
          <w:rFonts w:asciiTheme="minorHAnsi" w:hAnsiTheme="minorHAnsi"/>
          <w:sz w:val="22"/>
          <w:szCs w:val="22"/>
        </w:rPr>
      </w:pPr>
    </w:p>
    <w:p w14:paraId="44F29D46" w14:textId="77777777" w:rsidR="00470A3E" w:rsidRPr="00470A3E" w:rsidRDefault="00470A3E" w:rsidP="008B09DE">
      <w:pPr>
        <w:rPr>
          <w:rFonts w:asciiTheme="minorHAnsi" w:hAnsiTheme="minorHAnsi"/>
          <w:sz w:val="22"/>
          <w:szCs w:val="22"/>
        </w:rPr>
      </w:pPr>
      <w:r w:rsidRPr="00470A3E">
        <w:rPr>
          <w:rFonts w:asciiTheme="minorHAnsi" w:hAnsiTheme="minorHAnsi"/>
          <w:sz w:val="22"/>
          <w:szCs w:val="22"/>
        </w:rPr>
        <w:t>The sample methodology has been designed to be as accurate and reliable as possible, based on Commission experience in past surveys. The sampling frame has been chosen to include firms</w:t>
      </w:r>
      <w:r w:rsidR="000A2D21">
        <w:rPr>
          <w:rFonts w:asciiTheme="minorHAnsi" w:hAnsiTheme="minorHAnsi"/>
          <w:sz w:val="22"/>
          <w:szCs w:val="22"/>
        </w:rPr>
        <w:t xml:space="preserve"> in industries that are providing and selling digital products and services in foreign markets</w:t>
      </w:r>
      <w:r w:rsidRPr="00470A3E">
        <w:rPr>
          <w:rFonts w:asciiTheme="minorHAnsi" w:hAnsiTheme="minorHAnsi"/>
          <w:sz w:val="22"/>
          <w:szCs w:val="22"/>
        </w:rPr>
        <w:t xml:space="preserve">. </w:t>
      </w:r>
    </w:p>
    <w:p w14:paraId="2A88575B" w14:textId="77777777" w:rsidR="00470A3E" w:rsidRPr="00470A3E" w:rsidRDefault="00470A3E" w:rsidP="008B09DE">
      <w:pPr>
        <w:rPr>
          <w:rFonts w:asciiTheme="minorHAnsi" w:hAnsiTheme="minorHAnsi"/>
          <w:sz w:val="22"/>
          <w:szCs w:val="22"/>
        </w:rPr>
      </w:pPr>
    </w:p>
    <w:p w14:paraId="4B8BF821" w14:textId="613ABB7F" w:rsidR="00470A3E" w:rsidRPr="00470A3E" w:rsidRDefault="00470A3E" w:rsidP="008B09DE">
      <w:pPr>
        <w:rPr>
          <w:rFonts w:asciiTheme="minorHAnsi" w:hAnsiTheme="minorHAnsi"/>
          <w:sz w:val="22"/>
          <w:szCs w:val="22"/>
        </w:rPr>
      </w:pPr>
      <w:r w:rsidRPr="00470A3E">
        <w:rPr>
          <w:rFonts w:asciiTheme="minorHAnsi" w:hAnsiTheme="minorHAnsi"/>
          <w:sz w:val="22"/>
          <w:szCs w:val="22"/>
        </w:rPr>
        <w:t xml:space="preserve">Response rates in </w:t>
      </w:r>
      <w:r w:rsidR="00FC4316">
        <w:rPr>
          <w:rFonts w:asciiTheme="minorHAnsi" w:hAnsiTheme="minorHAnsi"/>
          <w:sz w:val="22"/>
          <w:szCs w:val="22"/>
        </w:rPr>
        <w:t xml:space="preserve">similarly scoped </w:t>
      </w:r>
      <w:r w:rsidRPr="00470A3E">
        <w:rPr>
          <w:rFonts w:asciiTheme="minorHAnsi" w:hAnsiTheme="minorHAnsi"/>
          <w:sz w:val="22"/>
          <w:szCs w:val="22"/>
        </w:rPr>
        <w:t>USITC surveys have recently approached 60</w:t>
      </w:r>
      <w:r w:rsidR="00A92E85">
        <w:rPr>
          <w:rFonts w:asciiTheme="minorHAnsi" w:hAnsiTheme="minorHAnsi"/>
          <w:sz w:val="22"/>
          <w:szCs w:val="22"/>
        </w:rPr>
        <w:t xml:space="preserve"> percent</w:t>
      </w:r>
      <w:r w:rsidRPr="00470A3E">
        <w:rPr>
          <w:rFonts w:asciiTheme="minorHAnsi" w:hAnsiTheme="minorHAnsi"/>
          <w:sz w:val="22"/>
          <w:szCs w:val="22"/>
        </w:rPr>
        <w:t>. The USITC will examine survey responses to detect and correct for any non-response bias. The team will first examine conditional response rates for groups of firms based on characteristics available in the data frame that are hypothesized to impact outcomes of interest. These may include variables such as firm size, industry, NAICS code, or location. Any differences in response rates can be further investigated through logistic regression analysis, using firm characteristics as predictors, and whether or not a recipient responded to the survey as a binary outcome. If the results of the logistic regression indicate that one or more of the characteristics investigated above affects the propensity of a survey recipient to respond to the survey, then those characteristics will be examined to determine whether they are associated with differences in the outcome variables under study</w:t>
      </w:r>
      <w:r w:rsidR="00A92E85">
        <w:rPr>
          <w:rFonts w:asciiTheme="minorHAnsi" w:hAnsiTheme="minorHAnsi"/>
          <w:sz w:val="22"/>
          <w:szCs w:val="22"/>
        </w:rPr>
        <w:t>,</w:t>
      </w:r>
      <w:r w:rsidRPr="00470A3E">
        <w:rPr>
          <w:rFonts w:asciiTheme="minorHAnsi" w:hAnsiTheme="minorHAnsi"/>
          <w:sz w:val="22"/>
          <w:szCs w:val="22"/>
        </w:rPr>
        <w:t xml:space="preserve"> across the dataset of survey responses collected. If any sources of non-response bias are found, they can be controlled for by the development of weights, which can then be used in concert with weighting based on population stratification, in the extrapolation of results to the entire population.</w:t>
      </w:r>
    </w:p>
    <w:p w14:paraId="53BADB0F" w14:textId="77777777" w:rsidR="00470A3E" w:rsidRPr="00470A3E" w:rsidRDefault="00470A3E" w:rsidP="008B09DE">
      <w:pPr>
        <w:rPr>
          <w:rFonts w:asciiTheme="minorHAnsi" w:hAnsiTheme="minorHAnsi"/>
          <w:sz w:val="22"/>
          <w:szCs w:val="22"/>
        </w:rPr>
      </w:pPr>
    </w:p>
    <w:p w14:paraId="4272BCD2" w14:textId="4423090B" w:rsidR="00470A3E" w:rsidRPr="00470A3E" w:rsidRDefault="00470A3E" w:rsidP="008B09DE">
      <w:pPr>
        <w:rPr>
          <w:rFonts w:asciiTheme="minorHAnsi" w:hAnsiTheme="minorHAnsi"/>
          <w:sz w:val="22"/>
          <w:szCs w:val="22"/>
        </w:rPr>
      </w:pPr>
      <w:r>
        <w:rPr>
          <w:rFonts w:asciiTheme="minorHAnsi" w:hAnsiTheme="minorHAnsi"/>
          <w:sz w:val="22"/>
          <w:szCs w:val="22"/>
        </w:rPr>
        <w:t>T</w:t>
      </w:r>
      <w:r w:rsidRPr="00470A3E">
        <w:rPr>
          <w:rFonts w:asciiTheme="minorHAnsi" w:hAnsiTheme="minorHAnsi"/>
          <w:sz w:val="22"/>
          <w:szCs w:val="22"/>
        </w:rPr>
        <w:t>he Commission expects that all sampled information will yield reliable</w:t>
      </w:r>
      <w:r w:rsidR="005923CA">
        <w:rPr>
          <w:rFonts w:asciiTheme="minorHAnsi" w:hAnsiTheme="minorHAnsi"/>
          <w:sz w:val="22"/>
          <w:szCs w:val="22"/>
        </w:rPr>
        <w:t xml:space="preserve"> </w:t>
      </w:r>
      <w:r w:rsidRPr="00470A3E">
        <w:rPr>
          <w:rFonts w:asciiTheme="minorHAnsi" w:hAnsiTheme="minorHAnsi"/>
          <w:sz w:val="22"/>
          <w:szCs w:val="22"/>
        </w:rPr>
        <w:t>data that can be generalized to the universe studied.</w:t>
      </w:r>
    </w:p>
    <w:p w14:paraId="46C28D1F" w14:textId="77777777" w:rsidR="00AF35D2" w:rsidRPr="004447FF" w:rsidRDefault="00AF35D2" w:rsidP="008B09DE">
      <w:pPr>
        <w:rPr>
          <w:rFonts w:asciiTheme="minorHAnsi" w:hAnsiTheme="minorHAnsi"/>
          <w:sz w:val="22"/>
          <w:szCs w:val="22"/>
          <w:highlight w:val="white"/>
        </w:rPr>
      </w:pPr>
    </w:p>
    <w:p w14:paraId="30ACA705" w14:textId="77777777" w:rsidR="00AF35D2" w:rsidRPr="004447FF" w:rsidRDefault="00AF35D2" w:rsidP="008B09DE">
      <w:pPr>
        <w:rPr>
          <w:rFonts w:asciiTheme="minorHAnsi" w:hAnsiTheme="minorHAnsi"/>
          <w:sz w:val="22"/>
          <w:szCs w:val="22"/>
          <w:highlight w:val="white"/>
        </w:rPr>
      </w:pPr>
      <w:r w:rsidRPr="004447FF">
        <w:rPr>
          <w:rFonts w:asciiTheme="minorHAnsi" w:hAnsiTheme="minorHAnsi"/>
          <w:b/>
          <w:bCs/>
          <w:sz w:val="22"/>
          <w:szCs w:val="22"/>
          <w:highlight w:val="white"/>
        </w:rPr>
        <w:t>4.</w:t>
      </w:r>
      <w:r w:rsidRPr="004447FF">
        <w:rPr>
          <w:rFonts w:asciiTheme="minorHAnsi" w:hAnsiTheme="minorHAnsi"/>
          <w:b/>
          <w:bCs/>
          <w:sz w:val="22"/>
          <w:szCs w:val="22"/>
          <w:highlight w:val="white"/>
        </w:rPr>
        <w:tab/>
      </w:r>
      <w:r w:rsidR="00AB699E" w:rsidRPr="004447FF">
        <w:rPr>
          <w:rFonts w:asciiTheme="minorHAnsi" w:hAnsiTheme="minorHAnsi"/>
          <w:b/>
          <w:bCs/>
          <w:sz w:val="22"/>
          <w:szCs w:val="22"/>
          <w:highlight w:val="white"/>
        </w:rPr>
        <w:t>Test</w:t>
      </w:r>
      <w:r w:rsidR="00EA7944" w:rsidRPr="004447FF">
        <w:rPr>
          <w:rFonts w:asciiTheme="minorHAnsi" w:hAnsiTheme="minorHAnsi"/>
          <w:b/>
          <w:bCs/>
          <w:sz w:val="22"/>
          <w:szCs w:val="22"/>
          <w:highlight w:val="white"/>
        </w:rPr>
        <w:t>s of</w:t>
      </w:r>
      <w:r w:rsidR="00AB699E" w:rsidRPr="004447FF">
        <w:rPr>
          <w:rFonts w:asciiTheme="minorHAnsi" w:hAnsiTheme="minorHAnsi"/>
          <w:b/>
          <w:bCs/>
          <w:sz w:val="22"/>
          <w:szCs w:val="22"/>
          <w:highlight w:val="white"/>
        </w:rPr>
        <w:t xml:space="preserve"> procedures or methods</w:t>
      </w:r>
      <w:r w:rsidR="00B76908" w:rsidRPr="004447FF">
        <w:rPr>
          <w:rFonts w:asciiTheme="minorHAnsi" w:hAnsiTheme="minorHAnsi"/>
          <w:b/>
          <w:bCs/>
          <w:sz w:val="22"/>
          <w:szCs w:val="22"/>
          <w:highlight w:val="white"/>
        </w:rPr>
        <w:t xml:space="preserve"> to minimize burden or improve utility</w:t>
      </w:r>
    </w:p>
    <w:p w14:paraId="6A902C9A" w14:textId="77777777" w:rsidR="00154DE5" w:rsidRPr="004447FF" w:rsidRDefault="00154DE5" w:rsidP="008B09DE">
      <w:pPr>
        <w:rPr>
          <w:rFonts w:asciiTheme="minorHAnsi" w:hAnsiTheme="minorHAnsi"/>
          <w:sz w:val="22"/>
          <w:szCs w:val="22"/>
        </w:rPr>
      </w:pPr>
    </w:p>
    <w:p w14:paraId="380BFC38" w14:textId="07E1E6AE" w:rsidR="00470A3E" w:rsidRPr="00470A3E" w:rsidRDefault="00470A3E" w:rsidP="008B09DE">
      <w:pPr>
        <w:rPr>
          <w:rFonts w:asciiTheme="minorHAnsi" w:hAnsiTheme="minorHAnsi"/>
          <w:sz w:val="22"/>
          <w:szCs w:val="22"/>
        </w:rPr>
      </w:pPr>
      <w:r w:rsidRPr="00470A3E">
        <w:rPr>
          <w:rFonts w:asciiTheme="minorHAnsi" w:hAnsiTheme="minorHAnsi"/>
          <w:sz w:val="22"/>
          <w:szCs w:val="22"/>
        </w:rPr>
        <w:t>The Commission sought comment</w:t>
      </w:r>
      <w:r w:rsidR="00A92E85">
        <w:rPr>
          <w:rFonts w:asciiTheme="minorHAnsi" w:hAnsiTheme="minorHAnsi"/>
          <w:sz w:val="22"/>
          <w:szCs w:val="22"/>
        </w:rPr>
        <w:t>s</w:t>
      </w:r>
      <w:r w:rsidRPr="00470A3E">
        <w:rPr>
          <w:rFonts w:asciiTheme="minorHAnsi" w:hAnsiTheme="minorHAnsi"/>
          <w:sz w:val="22"/>
          <w:szCs w:val="22"/>
        </w:rPr>
        <w:t xml:space="preserve"> on the questionnaire with industry representatives of several relevant industries</w:t>
      </w:r>
      <w:r w:rsidR="00A92E85">
        <w:rPr>
          <w:rFonts w:asciiTheme="minorHAnsi" w:hAnsiTheme="minorHAnsi"/>
          <w:sz w:val="22"/>
          <w:szCs w:val="22"/>
        </w:rPr>
        <w:t xml:space="preserve"> through field testing</w:t>
      </w:r>
      <w:r w:rsidRPr="00470A3E">
        <w:rPr>
          <w:rFonts w:asciiTheme="minorHAnsi" w:hAnsiTheme="minorHAnsi"/>
          <w:sz w:val="22"/>
          <w:szCs w:val="22"/>
        </w:rPr>
        <w:t xml:space="preserve">. These representatives provided feedback in areas such as </w:t>
      </w:r>
      <w:r w:rsidR="008E177C" w:rsidRPr="008E177C">
        <w:rPr>
          <w:rFonts w:asciiTheme="minorHAnsi" w:hAnsiTheme="minorHAnsi"/>
          <w:sz w:val="22"/>
          <w:szCs w:val="22"/>
        </w:rPr>
        <w:t>availability of data, reporting burden, product coverage and definitions, clarity of instructions, disclosure, and reporting format</w:t>
      </w:r>
      <w:r w:rsidRPr="00470A3E">
        <w:rPr>
          <w:rFonts w:asciiTheme="minorHAnsi" w:hAnsiTheme="minorHAnsi"/>
          <w:sz w:val="22"/>
          <w:szCs w:val="22"/>
        </w:rPr>
        <w:t xml:space="preserve">. The Commission also went through a period of cognitive testing to make sure the questions, and the intent behind them, are clear. See part A for the comments field and cognitive testers made and the subsequent changes made to the questionnaire. </w:t>
      </w:r>
    </w:p>
    <w:p w14:paraId="3ED7B5E1" w14:textId="77777777" w:rsidR="00470A3E" w:rsidRPr="00470A3E" w:rsidRDefault="00470A3E" w:rsidP="008B09DE">
      <w:pPr>
        <w:rPr>
          <w:rFonts w:asciiTheme="minorHAnsi" w:hAnsiTheme="minorHAnsi"/>
          <w:sz w:val="22"/>
          <w:szCs w:val="22"/>
        </w:rPr>
      </w:pPr>
    </w:p>
    <w:p w14:paraId="746941CA" w14:textId="4CD47179" w:rsidR="00470A3E" w:rsidRPr="00470A3E" w:rsidRDefault="00470A3E" w:rsidP="008B09DE">
      <w:pPr>
        <w:rPr>
          <w:rFonts w:asciiTheme="minorHAnsi" w:hAnsiTheme="minorHAnsi"/>
          <w:sz w:val="22"/>
          <w:szCs w:val="22"/>
        </w:rPr>
      </w:pPr>
      <w:r w:rsidRPr="00470A3E">
        <w:rPr>
          <w:rFonts w:asciiTheme="minorHAnsi" w:hAnsiTheme="minorHAnsi"/>
          <w:sz w:val="22"/>
          <w:szCs w:val="22"/>
        </w:rPr>
        <w:t>In addition to field testing, the questionnaire has been made available for public comment. Notice of the draft questionnaire was pu</w:t>
      </w:r>
      <w:r>
        <w:rPr>
          <w:rFonts w:asciiTheme="minorHAnsi" w:hAnsiTheme="minorHAnsi"/>
          <w:sz w:val="22"/>
          <w:szCs w:val="22"/>
        </w:rPr>
        <w:t xml:space="preserve">blished in the </w:t>
      </w:r>
      <w:r w:rsidRPr="005923CA">
        <w:rPr>
          <w:rFonts w:asciiTheme="minorHAnsi" w:hAnsiTheme="minorHAnsi"/>
          <w:i/>
          <w:sz w:val="22"/>
          <w:szCs w:val="22"/>
        </w:rPr>
        <w:t>Federal Register</w:t>
      </w:r>
      <w:r w:rsidRPr="00470A3E">
        <w:rPr>
          <w:rFonts w:asciiTheme="minorHAnsi" w:hAnsiTheme="minorHAnsi"/>
          <w:sz w:val="22"/>
          <w:szCs w:val="22"/>
        </w:rPr>
        <w:t xml:space="preserve">. It has also been extensively reviewed within the Commission. Industry analysts and economists have reviewed the </w:t>
      </w:r>
      <w:r w:rsidR="00740FE2">
        <w:rPr>
          <w:rFonts w:asciiTheme="minorHAnsi" w:hAnsiTheme="minorHAnsi"/>
          <w:sz w:val="22"/>
          <w:szCs w:val="22"/>
        </w:rPr>
        <w:t>questionnaire</w:t>
      </w:r>
      <w:r w:rsidR="00740FE2" w:rsidRPr="00470A3E">
        <w:rPr>
          <w:rFonts w:asciiTheme="minorHAnsi" w:hAnsiTheme="minorHAnsi"/>
          <w:sz w:val="22"/>
          <w:szCs w:val="22"/>
        </w:rPr>
        <w:t xml:space="preserve"> </w:t>
      </w:r>
      <w:r w:rsidRPr="00470A3E">
        <w:rPr>
          <w:rFonts w:asciiTheme="minorHAnsi" w:hAnsiTheme="minorHAnsi"/>
          <w:sz w:val="22"/>
          <w:szCs w:val="22"/>
        </w:rPr>
        <w:t xml:space="preserve">to ensure it </w:t>
      </w:r>
      <w:r w:rsidR="00740FE2">
        <w:rPr>
          <w:rFonts w:asciiTheme="minorHAnsi" w:hAnsiTheme="minorHAnsi"/>
          <w:sz w:val="22"/>
          <w:szCs w:val="22"/>
        </w:rPr>
        <w:t>requests</w:t>
      </w:r>
      <w:r w:rsidR="00740FE2" w:rsidRPr="00470A3E">
        <w:rPr>
          <w:rFonts w:asciiTheme="minorHAnsi" w:hAnsiTheme="minorHAnsi"/>
          <w:sz w:val="22"/>
          <w:szCs w:val="22"/>
        </w:rPr>
        <w:t xml:space="preserve"> </w:t>
      </w:r>
      <w:r w:rsidRPr="00470A3E">
        <w:rPr>
          <w:rFonts w:asciiTheme="minorHAnsi" w:hAnsiTheme="minorHAnsi"/>
          <w:sz w:val="22"/>
          <w:szCs w:val="22"/>
        </w:rPr>
        <w:t xml:space="preserve">information needed to adequately answer questions posed in the study while imposing a minimum burden on the responding businesses. </w:t>
      </w:r>
    </w:p>
    <w:p w14:paraId="050DE669" w14:textId="77777777" w:rsidR="00470A3E" w:rsidRPr="00470A3E" w:rsidRDefault="00470A3E" w:rsidP="008B09DE">
      <w:pPr>
        <w:rPr>
          <w:rFonts w:asciiTheme="minorHAnsi" w:hAnsiTheme="minorHAnsi"/>
          <w:sz w:val="22"/>
          <w:szCs w:val="22"/>
        </w:rPr>
      </w:pPr>
    </w:p>
    <w:p w14:paraId="014CFFB9" w14:textId="77777777" w:rsidR="00AB699E" w:rsidRDefault="00470A3E" w:rsidP="008B09DE">
      <w:pPr>
        <w:rPr>
          <w:rFonts w:asciiTheme="minorHAnsi" w:hAnsiTheme="minorHAnsi"/>
          <w:sz w:val="22"/>
          <w:szCs w:val="22"/>
          <w:highlight w:val="white"/>
        </w:rPr>
      </w:pPr>
      <w:r w:rsidRPr="00470A3E">
        <w:rPr>
          <w:rFonts w:asciiTheme="minorHAnsi" w:hAnsiTheme="minorHAnsi"/>
          <w:sz w:val="22"/>
          <w:szCs w:val="22"/>
        </w:rPr>
        <w:t>The sampling methodology and procedures in this survey are quite similar to those in prior USITC s</w:t>
      </w:r>
      <w:r>
        <w:rPr>
          <w:rFonts w:asciiTheme="minorHAnsi" w:hAnsiTheme="minorHAnsi"/>
          <w:sz w:val="22"/>
          <w:szCs w:val="22"/>
        </w:rPr>
        <w:t>urvey work</w:t>
      </w:r>
      <w:r w:rsidRPr="00470A3E">
        <w:rPr>
          <w:rFonts w:asciiTheme="minorHAnsi" w:hAnsiTheme="minorHAnsi"/>
          <w:sz w:val="22"/>
          <w:szCs w:val="22"/>
        </w:rPr>
        <w:t>. Prior studies, for example, also have h</w:t>
      </w:r>
      <w:r w:rsidR="001F262A">
        <w:rPr>
          <w:rFonts w:asciiTheme="minorHAnsi" w:hAnsiTheme="minorHAnsi"/>
          <w:sz w:val="22"/>
          <w:szCs w:val="22"/>
        </w:rPr>
        <w:t>ad populations drawn from Orbis</w:t>
      </w:r>
      <w:r w:rsidRPr="00470A3E">
        <w:rPr>
          <w:rFonts w:asciiTheme="minorHAnsi" w:hAnsiTheme="minorHAnsi"/>
          <w:sz w:val="22"/>
          <w:szCs w:val="22"/>
        </w:rPr>
        <w:t xml:space="preserve">; have also stratified by industry and size; and have used similar methods of survey distribution and data collection. Although the USITC has not specifically tested the methodology and procedures of the </w:t>
      </w:r>
      <w:r w:rsidR="001F262A">
        <w:rPr>
          <w:rFonts w:asciiTheme="minorHAnsi" w:hAnsiTheme="minorHAnsi"/>
          <w:sz w:val="22"/>
          <w:szCs w:val="22"/>
        </w:rPr>
        <w:t>current Global Digital Trade survey</w:t>
      </w:r>
      <w:r w:rsidRPr="00470A3E">
        <w:rPr>
          <w:rFonts w:asciiTheme="minorHAnsi" w:hAnsiTheme="minorHAnsi"/>
          <w:sz w:val="22"/>
          <w:szCs w:val="22"/>
        </w:rPr>
        <w:t>, prior surveys have provided implicit tests of its practicability and utility.</w:t>
      </w:r>
    </w:p>
    <w:p w14:paraId="01FB0AD1" w14:textId="77777777" w:rsidR="00470A3E" w:rsidRPr="004447FF" w:rsidRDefault="00470A3E" w:rsidP="008B09DE">
      <w:pPr>
        <w:rPr>
          <w:rFonts w:asciiTheme="minorHAnsi" w:hAnsiTheme="minorHAnsi"/>
          <w:sz w:val="22"/>
          <w:szCs w:val="22"/>
          <w:highlight w:val="white"/>
        </w:rPr>
      </w:pPr>
    </w:p>
    <w:p w14:paraId="16DAA6A8" w14:textId="77777777" w:rsidR="00AF35D2" w:rsidRPr="004447FF" w:rsidRDefault="00AF35D2" w:rsidP="008B09DE">
      <w:pPr>
        <w:rPr>
          <w:rFonts w:asciiTheme="minorHAnsi" w:hAnsiTheme="minorHAnsi"/>
          <w:sz w:val="22"/>
          <w:szCs w:val="22"/>
          <w:highlight w:val="white"/>
        </w:rPr>
      </w:pPr>
      <w:r w:rsidRPr="004447FF">
        <w:rPr>
          <w:rFonts w:asciiTheme="minorHAnsi" w:hAnsiTheme="minorHAnsi"/>
          <w:b/>
          <w:bCs/>
          <w:sz w:val="22"/>
          <w:szCs w:val="22"/>
          <w:highlight w:val="white"/>
        </w:rPr>
        <w:t>5.</w:t>
      </w:r>
      <w:r w:rsidRPr="004447FF">
        <w:rPr>
          <w:rFonts w:asciiTheme="minorHAnsi" w:hAnsiTheme="minorHAnsi"/>
          <w:b/>
          <w:bCs/>
          <w:sz w:val="22"/>
          <w:szCs w:val="22"/>
          <w:highlight w:val="white"/>
        </w:rPr>
        <w:tab/>
      </w:r>
      <w:r w:rsidR="00AB699E" w:rsidRPr="004447FF">
        <w:rPr>
          <w:rFonts w:asciiTheme="minorHAnsi" w:hAnsiTheme="minorHAnsi"/>
          <w:b/>
          <w:bCs/>
          <w:sz w:val="22"/>
          <w:szCs w:val="22"/>
          <w:highlight w:val="white"/>
        </w:rPr>
        <w:t>Contact information</w:t>
      </w:r>
    </w:p>
    <w:p w14:paraId="5D3838E1" w14:textId="77777777" w:rsidR="00154DE5" w:rsidRPr="004447FF" w:rsidRDefault="00154DE5" w:rsidP="008B09DE">
      <w:pPr>
        <w:rPr>
          <w:rFonts w:asciiTheme="minorHAnsi" w:hAnsiTheme="minorHAnsi"/>
          <w:sz w:val="22"/>
          <w:szCs w:val="22"/>
        </w:rPr>
      </w:pPr>
    </w:p>
    <w:p w14:paraId="0FD2F41A" w14:textId="1FFF9F37" w:rsidR="00FC5F21" w:rsidRDefault="001F262A" w:rsidP="008B09DE">
      <w:r w:rsidRPr="001F262A">
        <w:rPr>
          <w:rFonts w:asciiTheme="minorHAnsi" w:hAnsiTheme="minorHAnsi"/>
          <w:sz w:val="22"/>
          <w:szCs w:val="22"/>
        </w:rPr>
        <w:t xml:space="preserve">Collection and analysis of the data will be the responsibility of the Office of Analysis and Research Services, the Office of Economics, and the Office of Industries within the Commission. The project leaders are Dan Kim and Alissa Tafti (Inv. No. 332-562) and Ricky Ubee and Christopher Robinson (Inv. No. 332-563). The survey team can be reached by email at </w:t>
      </w:r>
      <w:hyperlink r:id="rId9" w:history="1">
        <w:r w:rsidRPr="001F262A">
          <w:rPr>
            <w:rStyle w:val="Hyperlink"/>
            <w:rFonts w:asciiTheme="minorHAnsi" w:hAnsiTheme="minorHAnsi"/>
            <w:sz w:val="22"/>
            <w:szCs w:val="22"/>
          </w:rPr>
          <w:t>globaldigitaltrade@usitc.gov</w:t>
        </w:r>
      </w:hyperlink>
      <w:r w:rsidRPr="001F262A">
        <w:rPr>
          <w:rFonts w:asciiTheme="minorHAnsi" w:hAnsiTheme="minorHAnsi"/>
          <w:sz w:val="22"/>
          <w:szCs w:val="22"/>
        </w:rPr>
        <w:t>. If you prefer to contact them by phone, please call 202-205-3342 or 202-205-3225.</w:t>
      </w:r>
      <w:r w:rsidR="00F77511" w:rsidRPr="004447FF">
        <w:rPr>
          <w:rFonts w:asciiTheme="minorHAnsi" w:hAnsiTheme="minorHAnsi"/>
          <w:sz w:val="22"/>
          <w:szCs w:val="22"/>
        </w:rPr>
        <w:br w:type="page"/>
      </w:r>
    </w:p>
    <w:p w14:paraId="3BA74033" w14:textId="1A56C6B0" w:rsidR="00FC5F21" w:rsidRPr="000C4059" w:rsidRDefault="00FC5F21" w:rsidP="00FC5F21">
      <w:pPr>
        <w:rPr>
          <w:rFonts w:asciiTheme="minorHAnsi" w:hAnsiTheme="minorHAnsi"/>
          <w:sz w:val="22"/>
        </w:rPr>
      </w:pPr>
      <w:r w:rsidRPr="000C4059">
        <w:rPr>
          <w:rFonts w:asciiTheme="minorHAnsi" w:hAnsiTheme="minorHAnsi"/>
          <w:sz w:val="22"/>
        </w:rPr>
        <w:t>Industries and their NAICS code composition</w:t>
      </w:r>
    </w:p>
    <w:p w14:paraId="30126EEE" w14:textId="77777777" w:rsidR="005923CA" w:rsidRPr="001D5DAF" w:rsidRDefault="005923CA" w:rsidP="00FC5F21">
      <w:pPr>
        <w:rPr>
          <w:rFonts w:asciiTheme="minorHAnsi" w:hAnsiTheme="minorHAnsi"/>
        </w:rPr>
      </w:pPr>
    </w:p>
    <w:p w14:paraId="49BB07E3" w14:textId="01478389" w:rsidR="00FC5F21" w:rsidRPr="006F38A9" w:rsidRDefault="00C52F24" w:rsidP="001D5DAF">
      <w:pPr>
        <w:rPr>
          <w:rFonts w:asciiTheme="minorHAnsi" w:hAnsiTheme="minorHAnsi"/>
          <w:sz w:val="22"/>
          <w:szCs w:val="22"/>
        </w:rPr>
      </w:pPr>
      <w:r w:rsidRPr="006F38A9">
        <w:rPr>
          <w:rFonts w:asciiTheme="minorHAnsi" w:hAnsiTheme="minorHAnsi"/>
          <w:sz w:val="22"/>
          <w:szCs w:val="22"/>
        </w:rPr>
        <w:t>Online commercial</w:t>
      </w:r>
      <w:r w:rsidR="00BA6495">
        <w:rPr>
          <w:rFonts w:asciiTheme="minorHAnsi" w:hAnsiTheme="minorHAnsi"/>
          <w:sz w:val="22"/>
          <w:szCs w:val="22"/>
        </w:rPr>
        <w:t xml:space="preserve"> and </w:t>
      </w:r>
      <w:r w:rsidR="007846E7" w:rsidRPr="006F38A9">
        <w:rPr>
          <w:rFonts w:asciiTheme="minorHAnsi" w:hAnsiTheme="minorHAnsi"/>
          <w:sz w:val="22"/>
          <w:szCs w:val="22"/>
        </w:rPr>
        <w:t>retail</w:t>
      </w:r>
      <w:r w:rsidR="00BA6495">
        <w:rPr>
          <w:rFonts w:asciiTheme="minorHAnsi" w:hAnsiTheme="minorHAnsi"/>
          <w:sz w:val="22"/>
          <w:szCs w:val="22"/>
        </w:rPr>
        <w:t xml:space="preserve"> services</w:t>
      </w:r>
      <w:r w:rsidRPr="006F38A9">
        <w:rPr>
          <w:rFonts w:asciiTheme="minorHAnsi" w:hAnsiTheme="minorHAnsi"/>
          <w:sz w:val="22"/>
          <w:szCs w:val="22"/>
        </w:rPr>
        <w:t>, and payment</w:t>
      </w:r>
      <w:r w:rsidR="007846E7" w:rsidRPr="006F38A9">
        <w:rPr>
          <w:rFonts w:asciiTheme="minorHAnsi" w:hAnsiTheme="minorHAnsi"/>
          <w:sz w:val="22"/>
          <w:szCs w:val="22"/>
        </w:rPr>
        <w:t xml:space="preserve"> services</w:t>
      </w:r>
    </w:p>
    <w:tbl>
      <w:tblPr>
        <w:tblW w:w="6552" w:type="dxa"/>
        <w:tblInd w:w="108" w:type="dxa"/>
        <w:tblLook w:val="04A0" w:firstRow="1" w:lastRow="0" w:firstColumn="1" w:lastColumn="0" w:noHBand="0" w:noVBand="1"/>
      </w:tblPr>
      <w:tblGrid>
        <w:gridCol w:w="1316"/>
        <w:gridCol w:w="5236"/>
      </w:tblGrid>
      <w:tr w:rsidR="00FC5F21" w:rsidRPr="006F38A9" w14:paraId="3BC107C4" w14:textId="77777777" w:rsidTr="00BC07A6">
        <w:trPr>
          <w:trHeight w:val="300"/>
        </w:trPr>
        <w:tc>
          <w:tcPr>
            <w:tcW w:w="1316" w:type="dxa"/>
            <w:tcBorders>
              <w:top w:val="nil"/>
              <w:left w:val="nil"/>
              <w:bottom w:val="nil"/>
              <w:right w:val="nil"/>
            </w:tcBorders>
            <w:shd w:val="clear" w:color="000000" w:fill="FFFFFF" w:themeFill="background1"/>
            <w:noWrap/>
            <w:vAlign w:val="bottom"/>
          </w:tcPr>
          <w:p w14:paraId="272A7691"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454110</w:t>
            </w:r>
          </w:p>
        </w:tc>
        <w:tc>
          <w:tcPr>
            <w:tcW w:w="5236" w:type="dxa"/>
            <w:tcBorders>
              <w:top w:val="nil"/>
              <w:left w:val="nil"/>
              <w:bottom w:val="nil"/>
              <w:right w:val="nil"/>
            </w:tcBorders>
            <w:shd w:val="clear" w:color="auto" w:fill="auto"/>
            <w:noWrap/>
            <w:vAlign w:val="bottom"/>
          </w:tcPr>
          <w:p w14:paraId="2313701F" w14:textId="5A50BF4C"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Business to </w:t>
            </w:r>
            <w:r w:rsidR="003F3EFD">
              <w:rPr>
                <w:rFonts w:asciiTheme="minorHAnsi" w:eastAsia="Times New Roman" w:hAnsiTheme="minorHAnsi"/>
                <w:sz w:val="22"/>
                <w:szCs w:val="22"/>
              </w:rPr>
              <w:t>b</w:t>
            </w:r>
            <w:r w:rsidR="003F3EFD" w:rsidRPr="006F38A9">
              <w:rPr>
                <w:rFonts w:asciiTheme="minorHAnsi" w:eastAsia="Times New Roman" w:hAnsiTheme="minorHAnsi"/>
                <w:sz w:val="22"/>
                <w:szCs w:val="22"/>
              </w:rPr>
              <w:t xml:space="preserve">usiness </w:t>
            </w:r>
            <w:r w:rsidR="003F3EFD">
              <w:rPr>
                <w:rFonts w:asciiTheme="minorHAnsi" w:eastAsia="Times New Roman" w:hAnsiTheme="minorHAnsi"/>
                <w:sz w:val="22"/>
                <w:szCs w:val="22"/>
              </w:rPr>
              <w:t>e</w:t>
            </w:r>
            <w:r w:rsidR="003F3EFD" w:rsidRPr="006F38A9">
              <w:rPr>
                <w:rFonts w:asciiTheme="minorHAnsi" w:eastAsia="Times New Roman" w:hAnsiTheme="minorHAnsi"/>
                <w:sz w:val="22"/>
                <w:szCs w:val="22"/>
              </w:rPr>
              <w:t xml:space="preserve">lectronic </w:t>
            </w:r>
            <w:r w:rsidR="003F3EFD">
              <w:rPr>
                <w:rFonts w:asciiTheme="minorHAnsi" w:eastAsia="Times New Roman" w:hAnsiTheme="minorHAnsi"/>
                <w:sz w:val="22"/>
                <w:szCs w:val="22"/>
              </w:rPr>
              <w:t>m</w:t>
            </w:r>
            <w:r w:rsidR="003F3EFD" w:rsidRPr="006F38A9">
              <w:rPr>
                <w:rFonts w:asciiTheme="minorHAnsi" w:eastAsia="Times New Roman" w:hAnsiTheme="minorHAnsi"/>
                <w:sz w:val="22"/>
                <w:szCs w:val="22"/>
              </w:rPr>
              <w:t>arkets</w:t>
            </w:r>
          </w:p>
        </w:tc>
      </w:tr>
      <w:tr w:rsidR="00FC5F21" w:rsidRPr="006F38A9" w14:paraId="34ACFCA8"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7753AE03"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454111</w:t>
            </w:r>
          </w:p>
        </w:tc>
        <w:tc>
          <w:tcPr>
            <w:tcW w:w="5236" w:type="dxa"/>
            <w:tcBorders>
              <w:top w:val="nil"/>
              <w:left w:val="nil"/>
              <w:bottom w:val="nil"/>
              <w:right w:val="nil"/>
            </w:tcBorders>
            <w:shd w:val="clear" w:color="auto" w:fill="auto"/>
            <w:noWrap/>
            <w:vAlign w:val="bottom"/>
            <w:hideMark/>
          </w:tcPr>
          <w:p w14:paraId="604791B0" w14:textId="66C7AA6A"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Electronic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 xml:space="preserve">hopping </w:t>
            </w:r>
          </w:p>
        </w:tc>
      </w:tr>
      <w:tr w:rsidR="00FC5F21" w:rsidRPr="006F38A9" w14:paraId="3EE9B0C5"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6B658C33"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454112</w:t>
            </w:r>
          </w:p>
        </w:tc>
        <w:tc>
          <w:tcPr>
            <w:tcW w:w="5236" w:type="dxa"/>
            <w:tcBorders>
              <w:top w:val="nil"/>
              <w:left w:val="nil"/>
              <w:bottom w:val="nil"/>
              <w:right w:val="nil"/>
            </w:tcBorders>
            <w:shd w:val="clear" w:color="auto" w:fill="auto"/>
            <w:noWrap/>
            <w:vAlign w:val="bottom"/>
          </w:tcPr>
          <w:p w14:paraId="31C07232" w14:textId="14E187B7"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Electronic </w:t>
            </w:r>
            <w:r w:rsidR="003F3EFD">
              <w:rPr>
                <w:rFonts w:asciiTheme="minorHAnsi" w:eastAsia="Times New Roman" w:hAnsiTheme="minorHAnsi"/>
                <w:sz w:val="22"/>
                <w:szCs w:val="22"/>
              </w:rPr>
              <w:t>a</w:t>
            </w:r>
            <w:r w:rsidRPr="006F38A9">
              <w:rPr>
                <w:rFonts w:asciiTheme="minorHAnsi" w:eastAsia="Times New Roman" w:hAnsiTheme="minorHAnsi"/>
                <w:sz w:val="22"/>
                <w:szCs w:val="22"/>
              </w:rPr>
              <w:t>uctions</w:t>
            </w:r>
          </w:p>
        </w:tc>
      </w:tr>
    </w:tbl>
    <w:p w14:paraId="262F4FC8" w14:textId="77777777" w:rsidR="00FC5F21" w:rsidRPr="006F38A9" w:rsidRDefault="00FC5F21" w:rsidP="001D5DAF">
      <w:pPr>
        <w:rPr>
          <w:rFonts w:asciiTheme="minorHAnsi" w:hAnsiTheme="minorHAnsi"/>
          <w:sz w:val="22"/>
          <w:szCs w:val="22"/>
        </w:rPr>
      </w:pPr>
    </w:p>
    <w:p w14:paraId="001479D0" w14:textId="77777777" w:rsidR="00FC5F21" w:rsidRPr="006F38A9" w:rsidRDefault="00FC5F21" w:rsidP="001D5DAF">
      <w:pPr>
        <w:rPr>
          <w:rFonts w:asciiTheme="minorHAnsi" w:hAnsiTheme="minorHAnsi"/>
          <w:sz w:val="22"/>
          <w:szCs w:val="22"/>
        </w:rPr>
      </w:pPr>
      <w:r w:rsidRPr="006F38A9">
        <w:rPr>
          <w:rFonts w:asciiTheme="minorHAnsi" w:hAnsiTheme="minorHAnsi"/>
          <w:sz w:val="22"/>
          <w:szCs w:val="22"/>
        </w:rPr>
        <w:t>Telecommunications</w:t>
      </w:r>
    </w:p>
    <w:tbl>
      <w:tblPr>
        <w:tblW w:w="6552" w:type="dxa"/>
        <w:tblInd w:w="108" w:type="dxa"/>
        <w:tblLook w:val="04A0" w:firstRow="1" w:lastRow="0" w:firstColumn="1" w:lastColumn="0" w:noHBand="0" w:noVBand="1"/>
      </w:tblPr>
      <w:tblGrid>
        <w:gridCol w:w="1316"/>
        <w:gridCol w:w="5236"/>
      </w:tblGrid>
      <w:tr w:rsidR="00FC5F21" w:rsidRPr="006F38A9" w14:paraId="580B3D16"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2C91BEFC"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517110</w:t>
            </w:r>
          </w:p>
        </w:tc>
        <w:tc>
          <w:tcPr>
            <w:tcW w:w="5236" w:type="dxa"/>
            <w:tcBorders>
              <w:top w:val="nil"/>
              <w:left w:val="nil"/>
              <w:bottom w:val="nil"/>
              <w:right w:val="nil"/>
            </w:tcBorders>
            <w:shd w:val="clear" w:color="auto" w:fill="auto"/>
            <w:noWrap/>
            <w:vAlign w:val="bottom"/>
            <w:hideMark/>
          </w:tcPr>
          <w:p w14:paraId="6E5899A5" w14:textId="0EF12A17"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Wired </w:t>
            </w:r>
            <w:r w:rsidR="003F3EFD">
              <w:rPr>
                <w:rFonts w:asciiTheme="minorHAnsi" w:eastAsia="Times New Roman" w:hAnsiTheme="minorHAnsi"/>
                <w:sz w:val="22"/>
                <w:szCs w:val="22"/>
              </w:rPr>
              <w:t>t</w:t>
            </w:r>
            <w:r w:rsidRPr="006F38A9">
              <w:rPr>
                <w:rFonts w:asciiTheme="minorHAnsi" w:eastAsia="Times New Roman" w:hAnsiTheme="minorHAnsi"/>
                <w:sz w:val="22"/>
                <w:szCs w:val="22"/>
              </w:rPr>
              <w:t xml:space="preserve">elecommunications </w:t>
            </w:r>
            <w:r w:rsidR="003F3EFD">
              <w:rPr>
                <w:rFonts w:asciiTheme="minorHAnsi" w:eastAsia="Times New Roman" w:hAnsiTheme="minorHAnsi"/>
                <w:sz w:val="22"/>
                <w:szCs w:val="22"/>
              </w:rPr>
              <w:t>c</w:t>
            </w:r>
            <w:r w:rsidRPr="006F38A9">
              <w:rPr>
                <w:rFonts w:asciiTheme="minorHAnsi" w:eastAsia="Times New Roman" w:hAnsiTheme="minorHAnsi"/>
                <w:sz w:val="22"/>
                <w:szCs w:val="22"/>
              </w:rPr>
              <w:t xml:space="preserve">arriers </w:t>
            </w:r>
          </w:p>
        </w:tc>
      </w:tr>
      <w:tr w:rsidR="00FC5F21" w:rsidRPr="006F38A9" w14:paraId="1D6F023D"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42334F6E"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517210</w:t>
            </w:r>
          </w:p>
        </w:tc>
        <w:tc>
          <w:tcPr>
            <w:tcW w:w="5236" w:type="dxa"/>
            <w:tcBorders>
              <w:top w:val="nil"/>
              <w:left w:val="nil"/>
              <w:bottom w:val="nil"/>
              <w:right w:val="nil"/>
            </w:tcBorders>
            <w:shd w:val="clear" w:color="auto" w:fill="auto"/>
            <w:noWrap/>
            <w:vAlign w:val="bottom"/>
            <w:hideMark/>
          </w:tcPr>
          <w:p w14:paraId="457B1204" w14:textId="1E53F4B5"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Wireless </w:t>
            </w:r>
            <w:r w:rsidR="003F3EFD">
              <w:rPr>
                <w:rFonts w:asciiTheme="minorHAnsi" w:eastAsia="Times New Roman" w:hAnsiTheme="minorHAnsi"/>
                <w:sz w:val="22"/>
                <w:szCs w:val="22"/>
              </w:rPr>
              <w:t>t</w:t>
            </w:r>
            <w:r w:rsidRPr="006F38A9">
              <w:rPr>
                <w:rFonts w:asciiTheme="minorHAnsi" w:eastAsia="Times New Roman" w:hAnsiTheme="minorHAnsi"/>
                <w:sz w:val="22"/>
                <w:szCs w:val="22"/>
              </w:rPr>
              <w:t xml:space="preserve">elecommunications </w:t>
            </w:r>
            <w:r w:rsidR="003F3EFD">
              <w:rPr>
                <w:rFonts w:asciiTheme="minorHAnsi" w:eastAsia="Times New Roman" w:hAnsiTheme="minorHAnsi"/>
                <w:sz w:val="22"/>
                <w:szCs w:val="22"/>
              </w:rPr>
              <w:t>c</w:t>
            </w:r>
            <w:r w:rsidRPr="006F38A9">
              <w:rPr>
                <w:rFonts w:asciiTheme="minorHAnsi" w:eastAsia="Times New Roman" w:hAnsiTheme="minorHAnsi"/>
                <w:sz w:val="22"/>
                <w:szCs w:val="22"/>
              </w:rPr>
              <w:t xml:space="preserve">arriers (except </w:t>
            </w:r>
            <w:r w:rsidR="003F3EFD">
              <w:rPr>
                <w:rFonts w:asciiTheme="minorHAnsi" w:eastAsia="Times New Roman" w:hAnsiTheme="minorHAnsi"/>
                <w:sz w:val="22"/>
                <w:szCs w:val="22"/>
              </w:rPr>
              <w:t>s</w:t>
            </w:r>
            <w:r w:rsidRPr="006F38A9">
              <w:rPr>
                <w:rFonts w:asciiTheme="minorHAnsi" w:eastAsia="Times New Roman" w:hAnsiTheme="minorHAnsi"/>
                <w:sz w:val="22"/>
                <w:szCs w:val="22"/>
              </w:rPr>
              <w:t>atellite)</w:t>
            </w:r>
          </w:p>
        </w:tc>
      </w:tr>
      <w:tr w:rsidR="00FC5F21" w:rsidRPr="006F38A9" w14:paraId="41B87373" w14:textId="77777777" w:rsidTr="00BC07A6">
        <w:trPr>
          <w:trHeight w:val="300"/>
        </w:trPr>
        <w:tc>
          <w:tcPr>
            <w:tcW w:w="1316" w:type="dxa"/>
            <w:tcBorders>
              <w:top w:val="nil"/>
              <w:left w:val="nil"/>
              <w:bottom w:val="nil"/>
              <w:right w:val="nil"/>
            </w:tcBorders>
            <w:shd w:val="clear" w:color="000000" w:fill="FFFFFF" w:themeFill="background1"/>
            <w:noWrap/>
            <w:vAlign w:val="bottom"/>
          </w:tcPr>
          <w:p w14:paraId="46B5AF62"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517911</w:t>
            </w:r>
          </w:p>
        </w:tc>
        <w:tc>
          <w:tcPr>
            <w:tcW w:w="5236" w:type="dxa"/>
            <w:tcBorders>
              <w:top w:val="nil"/>
              <w:left w:val="nil"/>
              <w:bottom w:val="nil"/>
              <w:right w:val="nil"/>
            </w:tcBorders>
            <w:shd w:val="clear" w:color="auto" w:fill="auto"/>
            <w:noWrap/>
            <w:vAlign w:val="bottom"/>
          </w:tcPr>
          <w:p w14:paraId="4316188B" w14:textId="15DF8252"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Telecommunications </w:t>
            </w:r>
            <w:r w:rsidR="003F3EFD">
              <w:rPr>
                <w:rFonts w:asciiTheme="minorHAnsi" w:eastAsia="Times New Roman" w:hAnsiTheme="minorHAnsi"/>
                <w:sz w:val="22"/>
                <w:szCs w:val="22"/>
              </w:rPr>
              <w:t>r</w:t>
            </w:r>
            <w:r w:rsidRPr="006F38A9">
              <w:rPr>
                <w:rFonts w:asciiTheme="minorHAnsi" w:eastAsia="Times New Roman" w:hAnsiTheme="minorHAnsi"/>
                <w:sz w:val="22"/>
                <w:szCs w:val="22"/>
              </w:rPr>
              <w:t>esellers</w:t>
            </w:r>
          </w:p>
        </w:tc>
      </w:tr>
      <w:tr w:rsidR="00FC5F21" w:rsidRPr="006F38A9" w14:paraId="50C73EC3"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5C31CC48"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517919</w:t>
            </w:r>
          </w:p>
        </w:tc>
        <w:tc>
          <w:tcPr>
            <w:tcW w:w="5236" w:type="dxa"/>
            <w:tcBorders>
              <w:top w:val="nil"/>
              <w:left w:val="nil"/>
              <w:bottom w:val="nil"/>
              <w:right w:val="nil"/>
            </w:tcBorders>
            <w:shd w:val="clear" w:color="auto" w:fill="auto"/>
            <w:noWrap/>
            <w:vAlign w:val="bottom"/>
            <w:hideMark/>
          </w:tcPr>
          <w:p w14:paraId="7D76C743" w14:textId="5A09F104"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All </w:t>
            </w:r>
            <w:r w:rsidR="003F3EFD">
              <w:rPr>
                <w:rFonts w:asciiTheme="minorHAnsi" w:eastAsia="Times New Roman" w:hAnsiTheme="minorHAnsi"/>
                <w:sz w:val="22"/>
                <w:szCs w:val="22"/>
              </w:rPr>
              <w:t>o</w:t>
            </w:r>
            <w:r w:rsidRPr="006F38A9">
              <w:rPr>
                <w:rFonts w:asciiTheme="minorHAnsi" w:eastAsia="Times New Roman" w:hAnsiTheme="minorHAnsi"/>
                <w:sz w:val="22"/>
                <w:szCs w:val="22"/>
              </w:rPr>
              <w:t xml:space="preserve">ther </w:t>
            </w:r>
            <w:r w:rsidR="003F3EFD">
              <w:rPr>
                <w:rFonts w:asciiTheme="minorHAnsi" w:eastAsia="Times New Roman" w:hAnsiTheme="minorHAnsi"/>
                <w:sz w:val="22"/>
                <w:szCs w:val="22"/>
              </w:rPr>
              <w:t>t</w:t>
            </w:r>
            <w:r w:rsidRPr="006F38A9">
              <w:rPr>
                <w:rFonts w:asciiTheme="minorHAnsi" w:eastAsia="Times New Roman" w:hAnsiTheme="minorHAnsi"/>
                <w:sz w:val="22"/>
                <w:szCs w:val="22"/>
              </w:rPr>
              <w:t xml:space="preserve">elecommunications </w:t>
            </w:r>
          </w:p>
        </w:tc>
      </w:tr>
    </w:tbl>
    <w:p w14:paraId="06BFAE90" w14:textId="77777777" w:rsidR="00FC5F21" w:rsidRPr="006F38A9" w:rsidRDefault="00FC5F21" w:rsidP="001D5DAF">
      <w:pPr>
        <w:rPr>
          <w:rFonts w:asciiTheme="minorHAnsi" w:hAnsiTheme="minorHAnsi"/>
          <w:sz w:val="22"/>
          <w:szCs w:val="22"/>
        </w:rPr>
      </w:pPr>
    </w:p>
    <w:p w14:paraId="02987720" w14:textId="77777777" w:rsidR="00FC5F21" w:rsidRPr="006F38A9" w:rsidRDefault="00FC5F21" w:rsidP="001D5DAF">
      <w:pPr>
        <w:rPr>
          <w:rFonts w:asciiTheme="minorHAnsi" w:hAnsiTheme="minorHAnsi"/>
          <w:sz w:val="22"/>
          <w:szCs w:val="22"/>
        </w:rPr>
      </w:pPr>
      <w:r w:rsidRPr="006F38A9">
        <w:rPr>
          <w:rFonts w:asciiTheme="minorHAnsi" w:hAnsiTheme="minorHAnsi"/>
          <w:sz w:val="22"/>
          <w:szCs w:val="22"/>
        </w:rPr>
        <w:t>Web, software, and hardware services</w:t>
      </w:r>
    </w:p>
    <w:tbl>
      <w:tblPr>
        <w:tblW w:w="8280" w:type="dxa"/>
        <w:tblInd w:w="108" w:type="dxa"/>
        <w:tblLook w:val="04A0" w:firstRow="1" w:lastRow="0" w:firstColumn="1" w:lastColumn="0" w:noHBand="0" w:noVBand="1"/>
      </w:tblPr>
      <w:tblGrid>
        <w:gridCol w:w="1316"/>
        <w:gridCol w:w="6964"/>
      </w:tblGrid>
      <w:tr w:rsidR="00FC5F21" w:rsidRPr="006F38A9" w14:paraId="0563B582" w14:textId="77777777" w:rsidTr="00BC07A6">
        <w:trPr>
          <w:trHeight w:val="300"/>
        </w:trPr>
        <w:tc>
          <w:tcPr>
            <w:tcW w:w="1316" w:type="dxa"/>
            <w:tcBorders>
              <w:top w:val="nil"/>
              <w:left w:val="nil"/>
              <w:bottom w:val="nil"/>
              <w:right w:val="nil"/>
            </w:tcBorders>
            <w:shd w:val="clear" w:color="000000" w:fill="FFFFFF" w:themeFill="background1"/>
            <w:noWrap/>
            <w:vAlign w:val="bottom"/>
          </w:tcPr>
          <w:p w14:paraId="2E1EAB91"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511210</w:t>
            </w:r>
          </w:p>
        </w:tc>
        <w:tc>
          <w:tcPr>
            <w:tcW w:w="6964" w:type="dxa"/>
            <w:tcBorders>
              <w:top w:val="nil"/>
              <w:left w:val="nil"/>
              <w:bottom w:val="nil"/>
              <w:right w:val="nil"/>
            </w:tcBorders>
            <w:shd w:val="clear" w:color="auto" w:fill="auto"/>
            <w:noWrap/>
            <w:vAlign w:val="bottom"/>
          </w:tcPr>
          <w:p w14:paraId="69A8A235" w14:textId="4A7005C3"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Software </w:t>
            </w:r>
            <w:r w:rsidR="003F3EFD">
              <w:rPr>
                <w:rFonts w:asciiTheme="minorHAnsi" w:eastAsia="Times New Roman" w:hAnsiTheme="minorHAnsi"/>
                <w:sz w:val="22"/>
                <w:szCs w:val="22"/>
              </w:rPr>
              <w:t>p</w:t>
            </w:r>
            <w:r w:rsidRPr="006F38A9">
              <w:rPr>
                <w:rFonts w:asciiTheme="minorHAnsi" w:eastAsia="Times New Roman" w:hAnsiTheme="minorHAnsi"/>
                <w:sz w:val="22"/>
                <w:szCs w:val="22"/>
              </w:rPr>
              <w:t>ublishers</w:t>
            </w:r>
          </w:p>
        </w:tc>
      </w:tr>
      <w:tr w:rsidR="00FC5F21" w:rsidRPr="006F38A9" w14:paraId="4F2AD179"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5D36DF11"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518210</w:t>
            </w:r>
          </w:p>
        </w:tc>
        <w:tc>
          <w:tcPr>
            <w:tcW w:w="6964" w:type="dxa"/>
            <w:tcBorders>
              <w:top w:val="nil"/>
              <w:left w:val="nil"/>
              <w:bottom w:val="nil"/>
              <w:right w:val="nil"/>
            </w:tcBorders>
            <w:shd w:val="clear" w:color="auto" w:fill="auto"/>
            <w:noWrap/>
            <w:vAlign w:val="bottom"/>
            <w:hideMark/>
          </w:tcPr>
          <w:p w14:paraId="1D187AC6" w14:textId="10A022DE"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Data </w:t>
            </w:r>
            <w:r w:rsidR="003F3EFD">
              <w:rPr>
                <w:rFonts w:asciiTheme="minorHAnsi" w:eastAsia="Times New Roman" w:hAnsiTheme="minorHAnsi"/>
                <w:sz w:val="22"/>
                <w:szCs w:val="22"/>
              </w:rPr>
              <w:t>p</w:t>
            </w:r>
            <w:r w:rsidRPr="006F38A9">
              <w:rPr>
                <w:rFonts w:asciiTheme="minorHAnsi" w:eastAsia="Times New Roman" w:hAnsiTheme="minorHAnsi"/>
                <w:sz w:val="22"/>
                <w:szCs w:val="22"/>
              </w:rPr>
              <w:t xml:space="preserve">rocessing, </w:t>
            </w:r>
            <w:r w:rsidR="003F3EFD">
              <w:rPr>
                <w:rFonts w:asciiTheme="minorHAnsi" w:eastAsia="Times New Roman" w:hAnsiTheme="minorHAnsi"/>
                <w:sz w:val="22"/>
                <w:szCs w:val="22"/>
              </w:rPr>
              <w:t>h</w:t>
            </w:r>
            <w:r w:rsidRPr="006F38A9">
              <w:rPr>
                <w:rFonts w:asciiTheme="minorHAnsi" w:eastAsia="Times New Roman" w:hAnsiTheme="minorHAnsi"/>
                <w:sz w:val="22"/>
                <w:szCs w:val="22"/>
              </w:rPr>
              <w:t xml:space="preserve">osting, and </w:t>
            </w:r>
            <w:r w:rsidR="003F3EFD">
              <w:rPr>
                <w:rFonts w:asciiTheme="minorHAnsi" w:eastAsia="Times New Roman" w:hAnsiTheme="minorHAnsi"/>
                <w:sz w:val="22"/>
                <w:szCs w:val="22"/>
              </w:rPr>
              <w:t>r</w:t>
            </w:r>
            <w:r w:rsidRPr="006F38A9">
              <w:rPr>
                <w:rFonts w:asciiTheme="minorHAnsi" w:eastAsia="Times New Roman" w:hAnsiTheme="minorHAnsi"/>
                <w:sz w:val="22"/>
                <w:szCs w:val="22"/>
              </w:rPr>
              <w:t xml:space="preserve">elated </w:t>
            </w:r>
            <w:r w:rsidR="003F3EFD">
              <w:rPr>
                <w:rFonts w:asciiTheme="minorHAnsi" w:eastAsia="Times New Roman" w:hAnsiTheme="minorHAnsi"/>
                <w:sz w:val="22"/>
                <w:szCs w:val="22"/>
              </w:rPr>
              <w:t>s</w:t>
            </w:r>
            <w:r w:rsidRPr="006F38A9">
              <w:rPr>
                <w:rFonts w:asciiTheme="minorHAnsi" w:eastAsia="Times New Roman" w:hAnsiTheme="minorHAnsi"/>
                <w:sz w:val="22"/>
                <w:szCs w:val="22"/>
              </w:rPr>
              <w:t>ervices</w:t>
            </w:r>
          </w:p>
        </w:tc>
      </w:tr>
      <w:tr w:rsidR="00FC5F21" w:rsidRPr="006F38A9" w14:paraId="58EA096A"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38B2FD1A"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519130</w:t>
            </w:r>
          </w:p>
        </w:tc>
        <w:tc>
          <w:tcPr>
            <w:tcW w:w="6964" w:type="dxa"/>
            <w:tcBorders>
              <w:top w:val="nil"/>
              <w:left w:val="nil"/>
              <w:bottom w:val="nil"/>
              <w:right w:val="nil"/>
            </w:tcBorders>
            <w:shd w:val="clear" w:color="auto" w:fill="auto"/>
            <w:noWrap/>
            <w:vAlign w:val="bottom"/>
            <w:hideMark/>
          </w:tcPr>
          <w:p w14:paraId="45A4A8BC" w14:textId="2F242FE0"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Internet </w:t>
            </w:r>
            <w:r w:rsidR="003F3EFD">
              <w:rPr>
                <w:rFonts w:asciiTheme="minorHAnsi" w:eastAsia="Times New Roman" w:hAnsiTheme="minorHAnsi"/>
                <w:sz w:val="22"/>
                <w:szCs w:val="22"/>
              </w:rPr>
              <w:t>p</w:t>
            </w:r>
            <w:r w:rsidRPr="006F38A9">
              <w:rPr>
                <w:rFonts w:asciiTheme="minorHAnsi" w:eastAsia="Times New Roman" w:hAnsiTheme="minorHAnsi"/>
                <w:sz w:val="22"/>
                <w:szCs w:val="22"/>
              </w:rPr>
              <w:t xml:space="preserve">ublishing and </w:t>
            </w:r>
            <w:r w:rsidR="003F3EFD">
              <w:rPr>
                <w:rFonts w:asciiTheme="minorHAnsi" w:eastAsia="Times New Roman" w:hAnsiTheme="minorHAnsi"/>
                <w:sz w:val="22"/>
                <w:szCs w:val="22"/>
              </w:rPr>
              <w:t>b</w:t>
            </w:r>
            <w:r w:rsidRPr="006F38A9">
              <w:rPr>
                <w:rFonts w:asciiTheme="minorHAnsi" w:eastAsia="Times New Roman" w:hAnsiTheme="minorHAnsi"/>
                <w:sz w:val="22"/>
                <w:szCs w:val="22"/>
              </w:rPr>
              <w:t xml:space="preserve">roadcasting and </w:t>
            </w:r>
            <w:r w:rsidR="003F3EFD">
              <w:rPr>
                <w:rFonts w:asciiTheme="minorHAnsi" w:eastAsia="Times New Roman" w:hAnsiTheme="minorHAnsi"/>
                <w:sz w:val="22"/>
                <w:szCs w:val="22"/>
              </w:rPr>
              <w:t>w</w:t>
            </w:r>
            <w:r w:rsidRPr="006F38A9">
              <w:rPr>
                <w:rFonts w:asciiTheme="minorHAnsi" w:eastAsia="Times New Roman" w:hAnsiTheme="minorHAnsi"/>
                <w:sz w:val="22"/>
                <w:szCs w:val="22"/>
              </w:rPr>
              <w:t xml:space="preserve">eb </w:t>
            </w:r>
            <w:r w:rsidR="003F3EFD">
              <w:rPr>
                <w:rFonts w:asciiTheme="minorHAnsi" w:eastAsia="Times New Roman" w:hAnsiTheme="minorHAnsi"/>
                <w:sz w:val="22"/>
                <w:szCs w:val="22"/>
              </w:rPr>
              <w:t>s</w:t>
            </w:r>
            <w:r w:rsidRPr="006F38A9">
              <w:rPr>
                <w:rFonts w:asciiTheme="minorHAnsi" w:eastAsia="Times New Roman" w:hAnsiTheme="minorHAnsi"/>
                <w:sz w:val="22"/>
                <w:szCs w:val="22"/>
              </w:rPr>
              <w:t xml:space="preserve">earch </w:t>
            </w:r>
            <w:r w:rsidR="003F3EFD">
              <w:rPr>
                <w:rFonts w:asciiTheme="minorHAnsi" w:eastAsia="Times New Roman" w:hAnsiTheme="minorHAnsi"/>
                <w:sz w:val="22"/>
                <w:szCs w:val="22"/>
              </w:rPr>
              <w:t>p</w:t>
            </w:r>
            <w:r w:rsidRPr="006F38A9">
              <w:rPr>
                <w:rFonts w:asciiTheme="minorHAnsi" w:eastAsia="Times New Roman" w:hAnsiTheme="minorHAnsi"/>
                <w:sz w:val="22"/>
                <w:szCs w:val="22"/>
              </w:rPr>
              <w:t>ortals</w:t>
            </w:r>
          </w:p>
        </w:tc>
      </w:tr>
      <w:tr w:rsidR="00FC5F21" w:rsidRPr="006F38A9" w14:paraId="68DC1D82"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25780E89"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541511</w:t>
            </w:r>
          </w:p>
        </w:tc>
        <w:tc>
          <w:tcPr>
            <w:tcW w:w="6964" w:type="dxa"/>
            <w:tcBorders>
              <w:top w:val="nil"/>
              <w:left w:val="nil"/>
              <w:bottom w:val="nil"/>
              <w:right w:val="nil"/>
            </w:tcBorders>
            <w:shd w:val="clear" w:color="auto" w:fill="auto"/>
            <w:noWrap/>
            <w:vAlign w:val="bottom"/>
            <w:hideMark/>
          </w:tcPr>
          <w:p w14:paraId="09D26E3F" w14:textId="5FC63C7B"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Custom </w:t>
            </w:r>
            <w:r w:rsidR="003F3EFD">
              <w:rPr>
                <w:rFonts w:asciiTheme="minorHAnsi" w:eastAsia="Times New Roman" w:hAnsiTheme="minorHAnsi"/>
                <w:sz w:val="22"/>
                <w:szCs w:val="22"/>
              </w:rPr>
              <w:t>c</w:t>
            </w:r>
            <w:r w:rsidRPr="006F38A9">
              <w:rPr>
                <w:rFonts w:asciiTheme="minorHAnsi" w:eastAsia="Times New Roman" w:hAnsiTheme="minorHAnsi"/>
                <w:sz w:val="22"/>
                <w:szCs w:val="22"/>
              </w:rPr>
              <w:t xml:space="preserve">omputer </w:t>
            </w:r>
            <w:r w:rsidR="003F3EFD">
              <w:rPr>
                <w:rFonts w:asciiTheme="minorHAnsi" w:eastAsia="Times New Roman" w:hAnsiTheme="minorHAnsi"/>
                <w:sz w:val="22"/>
                <w:szCs w:val="22"/>
              </w:rPr>
              <w:t>p</w:t>
            </w:r>
            <w:r w:rsidRPr="006F38A9">
              <w:rPr>
                <w:rFonts w:asciiTheme="minorHAnsi" w:eastAsia="Times New Roman" w:hAnsiTheme="minorHAnsi"/>
                <w:sz w:val="22"/>
                <w:szCs w:val="22"/>
              </w:rPr>
              <w:t xml:space="preserve">rogramming </w:t>
            </w:r>
            <w:r w:rsidR="003F3EFD">
              <w:rPr>
                <w:rFonts w:asciiTheme="minorHAnsi" w:eastAsia="Times New Roman" w:hAnsiTheme="minorHAnsi"/>
                <w:sz w:val="22"/>
                <w:szCs w:val="22"/>
              </w:rPr>
              <w:t>s</w:t>
            </w:r>
            <w:r w:rsidRPr="006F38A9">
              <w:rPr>
                <w:rFonts w:asciiTheme="minorHAnsi" w:eastAsia="Times New Roman" w:hAnsiTheme="minorHAnsi"/>
                <w:sz w:val="22"/>
                <w:szCs w:val="22"/>
              </w:rPr>
              <w:t xml:space="preserve">ervices </w:t>
            </w:r>
          </w:p>
        </w:tc>
      </w:tr>
      <w:tr w:rsidR="00FC5F21" w:rsidRPr="006F38A9" w14:paraId="783E8FEE"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5F64EE06"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541512</w:t>
            </w:r>
          </w:p>
        </w:tc>
        <w:tc>
          <w:tcPr>
            <w:tcW w:w="6964" w:type="dxa"/>
            <w:tcBorders>
              <w:top w:val="nil"/>
              <w:left w:val="nil"/>
              <w:bottom w:val="nil"/>
              <w:right w:val="nil"/>
            </w:tcBorders>
            <w:shd w:val="clear" w:color="auto" w:fill="auto"/>
            <w:noWrap/>
            <w:vAlign w:val="bottom"/>
            <w:hideMark/>
          </w:tcPr>
          <w:p w14:paraId="3E0C484D" w14:textId="3EBF843C"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Computer </w:t>
            </w:r>
            <w:r w:rsidR="003F3EFD">
              <w:rPr>
                <w:rFonts w:asciiTheme="minorHAnsi" w:eastAsia="Times New Roman" w:hAnsiTheme="minorHAnsi"/>
                <w:sz w:val="22"/>
                <w:szCs w:val="22"/>
              </w:rPr>
              <w:t>s</w:t>
            </w:r>
            <w:r w:rsidRPr="006F38A9">
              <w:rPr>
                <w:rFonts w:asciiTheme="minorHAnsi" w:eastAsia="Times New Roman" w:hAnsiTheme="minorHAnsi"/>
                <w:sz w:val="22"/>
                <w:szCs w:val="22"/>
              </w:rPr>
              <w:t xml:space="preserve">ystems </w:t>
            </w:r>
            <w:r w:rsidR="003F3EFD">
              <w:rPr>
                <w:rFonts w:asciiTheme="minorHAnsi" w:eastAsia="Times New Roman" w:hAnsiTheme="minorHAnsi"/>
                <w:sz w:val="22"/>
                <w:szCs w:val="22"/>
              </w:rPr>
              <w:t>d</w:t>
            </w:r>
            <w:r w:rsidRPr="006F38A9">
              <w:rPr>
                <w:rFonts w:asciiTheme="minorHAnsi" w:eastAsia="Times New Roman" w:hAnsiTheme="minorHAnsi"/>
                <w:sz w:val="22"/>
                <w:szCs w:val="22"/>
              </w:rPr>
              <w:t xml:space="preserve">esign </w:t>
            </w:r>
            <w:r w:rsidR="003F3EFD">
              <w:rPr>
                <w:rFonts w:asciiTheme="minorHAnsi" w:eastAsia="Times New Roman" w:hAnsiTheme="minorHAnsi"/>
                <w:sz w:val="22"/>
                <w:szCs w:val="22"/>
              </w:rPr>
              <w:t>s</w:t>
            </w:r>
            <w:r w:rsidRPr="006F38A9">
              <w:rPr>
                <w:rFonts w:asciiTheme="minorHAnsi" w:eastAsia="Times New Roman" w:hAnsiTheme="minorHAnsi"/>
                <w:sz w:val="22"/>
                <w:szCs w:val="22"/>
              </w:rPr>
              <w:t xml:space="preserve">ervices </w:t>
            </w:r>
          </w:p>
        </w:tc>
      </w:tr>
      <w:tr w:rsidR="00FC5F21" w:rsidRPr="006F38A9" w14:paraId="3E7891B0"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13249520"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541513</w:t>
            </w:r>
          </w:p>
        </w:tc>
        <w:tc>
          <w:tcPr>
            <w:tcW w:w="6964" w:type="dxa"/>
            <w:tcBorders>
              <w:top w:val="nil"/>
              <w:left w:val="nil"/>
              <w:bottom w:val="nil"/>
              <w:right w:val="nil"/>
            </w:tcBorders>
            <w:shd w:val="clear" w:color="auto" w:fill="auto"/>
            <w:noWrap/>
            <w:vAlign w:val="bottom"/>
            <w:hideMark/>
          </w:tcPr>
          <w:p w14:paraId="7D79A33F" w14:textId="6C5E8A4C"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Computer </w:t>
            </w:r>
            <w:r w:rsidR="003F3EFD">
              <w:rPr>
                <w:rFonts w:asciiTheme="minorHAnsi" w:eastAsia="Times New Roman" w:hAnsiTheme="minorHAnsi"/>
                <w:sz w:val="22"/>
                <w:szCs w:val="22"/>
              </w:rPr>
              <w:t>f</w:t>
            </w:r>
            <w:r w:rsidRPr="006F38A9">
              <w:rPr>
                <w:rFonts w:asciiTheme="minorHAnsi" w:eastAsia="Times New Roman" w:hAnsiTheme="minorHAnsi"/>
                <w:sz w:val="22"/>
                <w:szCs w:val="22"/>
              </w:rPr>
              <w:t xml:space="preserve">acilities </w:t>
            </w:r>
            <w:r w:rsidR="003F3EFD">
              <w:rPr>
                <w:rFonts w:asciiTheme="minorHAnsi" w:eastAsia="Times New Roman" w:hAnsiTheme="minorHAnsi"/>
                <w:sz w:val="22"/>
                <w:szCs w:val="22"/>
              </w:rPr>
              <w:t>m</w:t>
            </w:r>
            <w:r w:rsidRPr="006F38A9">
              <w:rPr>
                <w:rFonts w:asciiTheme="minorHAnsi" w:eastAsia="Times New Roman" w:hAnsiTheme="minorHAnsi"/>
                <w:sz w:val="22"/>
                <w:szCs w:val="22"/>
              </w:rPr>
              <w:t xml:space="preserve">anagement </w:t>
            </w:r>
            <w:r w:rsidR="003F3EFD">
              <w:rPr>
                <w:rFonts w:asciiTheme="minorHAnsi" w:eastAsia="Times New Roman" w:hAnsiTheme="minorHAnsi"/>
                <w:sz w:val="22"/>
                <w:szCs w:val="22"/>
              </w:rPr>
              <w:t>s</w:t>
            </w:r>
            <w:r w:rsidRPr="006F38A9">
              <w:rPr>
                <w:rFonts w:asciiTheme="minorHAnsi" w:eastAsia="Times New Roman" w:hAnsiTheme="minorHAnsi"/>
                <w:sz w:val="22"/>
                <w:szCs w:val="22"/>
              </w:rPr>
              <w:t xml:space="preserve">ervices </w:t>
            </w:r>
          </w:p>
        </w:tc>
      </w:tr>
      <w:tr w:rsidR="00FC5F21" w:rsidRPr="006F38A9" w14:paraId="16ADCF6D" w14:textId="77777777" w:rsidTr="00BC07A6">
        <w:trPr>
          <w:trHeight w:val="300"/>
        </w:trPr>
        <w:tc>
          <w:tcPr>
            <w:tcW w:w="1316" w:type="dxa"/>
            <w:tcBorders>
              <w:top w:val="nil"/>
              <w:left w:val="nil"/>
              <w:bottom w:val="nil"/>
              <w:right w:val="nil"/>
            </w:tcBorders>
            <w:shd w:val="clear" w:color="000000" w:fill="FFFFFF" w:themeFill="background1"/>
            <w:noWrap/>
            <w:vAlign w:val="bottom"/>
            <w:hideMark/>
          </w:tcPr>
          <w:p w14:paraId="3279D2B2"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541519</w:t>
            </w:r>
          </w:p>
        </w:tc>
        <w:tc>
          <w:tcPr>
            <w:tcW w:w="6964" w:type="dxa"/>
            <w:tcBorders>
              <w:top w:val="nil"/>
              <w:left w:val="nil"/>
              <w:bottom w:val="nil"/>
              <w:right w:val="nil"/>
            </w:tcBorders>
            <w:shd w:val="clear" w:color="auto" w:fill="auto"/>
            <w:noWrap/>
            <w:vAlign w:val="bottom"/>
            <w:hideMark/>
          </w:tcPr>
          <w:p w14:paraId="0694D4A1" w14:textId="69C75151"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Other </w:t>
            </w:r>
            <w:r w:rsidR="003F3EFD">
              <w:rPr>
                <w:rFonts w:asciiTheme="minorHAnsi" w:eastAsia="Times New Roman" w:hAnsiTheme="minorHAnsi"/>
                <w:sz w:val="22"/>
                <w:szCs w:val="22"/>
              </w:rPr>
              <w:t>c</w:t>
            </w:r>
            <w:r w:rsidRPr="006F38A9">
              <w:rPr>
                <w:rFonts w:asciiTheme="minorHAnsi" w:eastAsia="Times New Roman" w:hAnsiTheme="minorHAnsi"/>
                <w:sz w:val="22"/>
                <w:szCs w:val="22"/>
              </w:rPr>
              <w:t xml:space="preserve">omputer </w:t>
            </w:r>
            <w:r w:rsidR="003F3EFD">
              <w:rPr>
                <w:rFonts w:asciiTheme="minorHAnsi" w:eastAsia="Times New Roman" w:hAnsiTheme="minorHAnsi"/>
                <w:sz w:val="22"/>
                <w:szCs w:val="22"/>
              </w:rPr>
              <w:t>r</w:t>
            </w:r>
            <w:r w:rsidRPr="006F38A9">
              <w:rPr>
                <w:rFonts w:asciiTheme="minorHAnsi" w:eastAsia="Times New Roman" w:hAnsiTheme="minorHAnsi"/>
                <w:sz w:val="22"/>
                <w:szCs w:val="22"/>
              </w:rPr>
              <w:t xml:space="preserve">elated </w:t>
            </w:r>
            <w:r w:rsidR="003F3EFD">
              <w:rPr>
                <w:rFonts w:asciiTheme="minorHAnsi" w:eastAsia="Times New Roman" w:hAnsiTheme="minorHAnsi"/>
                <w:sz w:val="22"/>
                <w:szCs w:val="22"/>
              </w:rPr>
              <w:t>s</w:t>
            </w:r>
            <w:r w:rsidRPr="006F38A9">
              <w:rPr>
                <w:rFonts w:asciiTheme="minorHAnsi" w:eastAsia="Times New Roman" w:hAnsiTheme="minorHAnsi"/>
                <w:sz w:val="22"/>
                <w:szCs w:val="22"/>
              </w:rPr>
              <w:t>ervices</w:t>
            </w:r>
          </w:p>
        </w:tc>
      </w:tr>
    </w:tbl>
    <w:p w14:paraId="2A0F5011" w14:textId="77777777" w:rsidR="00FC5F21" w:rsidRPr="006F38A9" w:rsidRDefault="00FC5F21" w:rsidP="001D5DAF">
      <w:pPr>
        <w:rPr>
          <w:rFonts w:asciiTheme="minorHAnsi" w:hAnsiTheme="minorHAnsi"/>
          <w:sz w:val="22"/>
          <w:szCs w:val="22"/>
        </w:rPr>
      </w:pPr>
    </w:p>
    <w:p w14:paraId="287F5725" w14:textId="1E878F35" w:rsidR="00FC5F21" w:rsidRPr="006F38A9" w:rsidRDefault="00FC5F21" w:rsidP="001D5DAF">
      <w:pPr>
        <w:rPr>
          <w:rFonts w:asciiTheme="minorHAnsi" w:hAnsiTheme="minorHAnsi"/>
          <w:sz w:val="22"/>
          <w:szCs w:val="22"/>
        </w:rPr>
      </w:pPr>
      <w:r w:rsidRPr="006F38A9">
        <w:rPr>
          <w:rFonts w:asciiTheme="minorHAnsi" w:hAnsiTheme="minorHAnsi"/>
          <w:sz w:val="22"/>
          <w:szCs w:val="22"/>
        </w:rPr>
        <w:t xml:space="preserve">Transport and </w:t>
      </w:r>
      <w:r w:rsidR="002C30A0" w:rsidRPr="006F38A9">
        <w:rPr>
          <w:rFonts w:asciiTheme="minorHAnsi" w:hAnsiTheme="minorHAnsi"/>
          <w:sz w:val="22"/>
          <w:szCs w:val="22"/>
        </w:rPr>
        <w:t>d</w:t>
      </w:r>
      <w:r w:rsidRPr="006F38A9">
        <w:rPr>
          <w:rFonts w:asciiTheme="minorHAnsi" w:hAnsiTheme="minorHAnsi"/>
          <w:sz w:val="22"/>
          <w:szCs w:val="22"/>
        </w:rPr>
        <w:t>elivery services</w:t>
      </w:r>
    </w:p>
    <w:tbl>
      <w:tblPr>
        <w:tblW w:w="10252" w:type="dxa"/>
        <w:tblInd w:w="108" w:type="dxa"/>
        <w:tblLook w:val="04A0" w:firstRow="1" w:lastRow="0" w:firstColumn="1" w:lastColumn="0" w:noHBand="0" w:noVBand="1"/>
      </w:tblPr>
      <w:tblGrid>
        <w:gridCol w:w="1376"/>
        <w:gridCol w:w="8876"/>
      </w:tblGrid>
      <w:tr w:rsidR="00FC5F21" w:rsidRPr="006F38A9" w14:paraId="5B589623"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383EFE68"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481111</w:t>
            </w:r>
          </w:p>
        </w:tc>
        <w:tc>
          <w:tcPr>
            <w:tcW w:w="8876" w:type="dxa"/>
            <w:tcBorders>
              <w:top w:val="nil"/>
              <w:left w:val="nil"/>
              <w:bottom w:val="nil"/>
              <w:right w:val="nil"/>
            </w:tcBorders>
            <w:shd w:val="clear" w:color="auto" w:fill="auto"/>
            <w:noWrap/>
            <w:vAlign w:val="bottom"/>
            <w:hideMark/>
          </w:tcPr>
          <w:p w14:paraId="63B2BF0F" w14:textId="59D9E2E4"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Scheduled </w:t>
            </w:r>
            <w:r w:rsidR="003F3EFD">
              <w:rPr>
                <w:rFonts w:asciiTheme="minorHAnsi" w:eastAsia="Times New Roman" w:hAnsiTheme="minorHAnsi"/>
                <w:sz w:val="22"/>
                <w:szCs w:val="22"/>
              </w:rPr>
              <w:t>p</w:t>
            </w:r>
            <w:r w:rsidRPr="006F38A9">
              <w:rPr>
                <w:rFonts w:asciiTheme="minorHAnsi" w:eastAsia="Times New Roman" w:hAnsiTheme="minorHAnsi"/>
                <w:sz w:val="22"/>
                <w:szCs w:val="22"/>
              </w:rPr>
              <w:t xml:space="preserve">assenger </w:t>
            </w:r>
            <w:r w:rsidR="003F3EFD">
              <w:rPr>
                <w:rFonts w:asciiTheme="minorHAnsi" w:eastAsia="Times New Roman" w:hAnsiTheme="minorHAnsi"/>
                <w:sz w:val="22"/>
                <w:szCs w:val="22"/>
              </w:rPr>
              <w:t>a</w:t>
            </w:r>
            <w:r w:rsidRPr="006F38A9">
              <w:rPr>
                <w:rFonts w:asciiTheme="minorHAnsi" w:eastAsia="Times New Roman" w:hAnsiTheme="minorHAnsi"/>
                <w:sz w:val="22"/>
                <w:szCs w:val="22"/>
              </w:rPr>
              <w:t xml:space="preserve">ir </w:t>
            </w:r>
            <w:r w:rsidR="003F3EFD">
              <w:rPr>
                <w:rFonts w:asciiTheme="minorHAnsi" w:eastAsia="Times New Roman" w:hAnsiTheme="minorHAnsi"/>
                <w:sz w:val="22"/>
                <w:szCs w:val="22"/>
              </w:rPr>
              <w:t>t</w:t>
            </w:r>
            <w:r w:rsidRPr="006F38A9">
              <w:rPr>
                <w:rFonts w:asciiTheme="minorHAnsi" w:eastAsia="Times New Roman" w:hAnsiTheme="minorHAnsi"/>
                <w:sz w:val="22"/>
                <w:szCs w:val="22"/>
              </w:rPr>
              <w:t xml:space="preserve">ransportation </w:t>
            </w:r>
          </w:p>
        </w:tc>
      </w:tr>
      <w:tr w:rsidR="00FC5F21" w:rsidRPr="006F38A9" w14:paraId="1AD78F27" w14:textId="77777777" w:rsidTr="00BC07A6">
        <w:trPr>
          <w:trHeight w:val="300"/>
        </w:trPr>
        <w:tc>
          <w:tcPr>
            <w:tcW w:w="1376" w:type="dxa"/>
            <w:tcBorders>
              <w:top w:val="nil"/>
              <w:left w:val="nil"/>
              <w:bottom w:val="nil"/>
              <w:right w:val="nil"/>
            </w:tcBorders>
            <w:shd w:val="clear" w:color="000000" w:fill="FFFFFF" w:themeFill="background1"/>
            <w:noWrap/>
            <w:vAlign w:val="bottom"/>
          </w:tcPr>
          <w:p w14:paraId="7084A7EF"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488320</w:t>
            </w:r>
          </w:p>
        </w:tc>
        <w:tc>
          <w:tcPr>
            <w:tcW w:w="8876" w:type="dxa"/>
            <w:tcBorders>
              <w:top w:val="nil"/>
              <w:left w:val="nil"/>
              <w:bottom w:val="nil"/>
              <w:right w:val="nil"/>
            </w:tcBorders>
            <w:shd w:val="clear" w:color="auto" w:fill="auto"/>
            <w:noWrap/>
            <w:vAlign w:val="bottom"/>
          </w:tcPr>
          <w:p w14:paraId="2C2B7941" w14:textId="7DEA1ED4"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Marine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argo </w:t>
            </w:r>
            <w:r w:rsidR="003F3EFD">
              <w:rPr>
                <w:rFonts w:asciiTheme="minorHAnsi" w:eastAsia="Times New Roman" w:hAnsiTheme="minorHAnsi"/>
                <w:sz w:val="22"/>
                <w:szCs w:val="22"/>
              </w:rPr>
              <w:t>h</w:t>
            </w:r>
            <w:r w:rsidR="003F3EFD" w:rsidRPr="006F38A9">
              <w:rPr>
                <w:rFonts w:asciiTheme="minorHAnsi" w:eastAsia="Times New Roman" w:hAnsiTheme="minorHAnsi"/>
                <w:sz w:val="22"/>
                <w:szCs w:val="22"/>
              </w:rPr>
              <w:t>andling</w:t>
            </w:r>
          </w:p>
        </w:tc>
      </w:tr>
      <w:tr w:rsidR="00FC5F21" w:rsidRPr="006F38A9" w14:paraId="6C74E12A" w14:textId="77777777" w:rsidTr="00BC07A6">
        <w:trPr>
          <w:trHeight w:val="300"/>
        </w:trPr>
        <w:tc>
          <w:tcPr>
            <w:tcW w:w="1376" w:type="dxa"/>
            <w:tcBorders>
              <w:top w:val="nil"/>
              <w:left w:val="nil"/>
              <w:bottom w:val="nil"/>
              <w:right w:val="nil"/>
            </w:tcBorders>
            <w:shd w:val="clear" w:color="000000" w:fill="FFFFFF" w:themeFill="background1"/>
            <w:noWrap/>
            <w:vAlign w:val="bottom"/>
          </w:tcPr>
          <w:p w14:paraId="5A9B8B28"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488330</w:t>
            </w:r>
          </w:p>
        </w:tc>
        <w:tc>
          <w:tcPr>
            <w:tcW w:w="8876" w:type="dxa"/>
            <w:tcBorders>
              <w:top w:val="nil"/>
              <w:left w:val="nil"/>
              <w:bottom w:val="nil"/>
              <w:right w:val="nil"/>
            </w:tcBorders>
            <w:shd w:val="clear" w:color="auto" w:fill="auto"/>
            <w:noWrap/>
            <w:vAlign w:val="bottom"/>
          </w:tcPr>
          <w:p w14:paraId="1C365C05" w14:textId="3806E439"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Navigational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 xml:space="preserve">ervices </w:t>
            </w:r>
            <w:r w:rsidRPr="006F38A9">
              <w:rPr>
                <w:rFonts w:asciiTheme="minorHAnsi" w:eastAsia="Times New Roman" w:hAnsiTheme="minorHAnsi"/>
                <w:sz w:val="22"/>
                <w:szCs w:val="22"/>
              </w:rPr>
              <w:t xml:space="preserve">to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hipping</w:t>
            </w:r>
          </w:p>
        </w:tc>
      </w:tr>
      <w:tr w:rsidR="00FC5F21" w:rsidRPr="006F38A9" w14:paraId="242FE502" w14:textId="77777777" w:rsidTr="00BC07A6">
        <w:trPr>
          <w:trHeight w:val="300"/>
        </w:trPr>
        <w:tc>
          <w:tcPr>
            <w:tcW w:w="1376" w:type="dxa"/>
            <w:tcBorders>
              <w:top w:val="nil"/>
              <w:left w:val="nil"/>
              <w:bottom w:val="nil"/>
              <w:right w:val="nil"/>
            </w:tcBorders>
            <w:shd w:val="clear" w:color="000000" w:fill="FFFFFF" w:themeFill="background1"/>
            <w:noWrap/>
            <w:vAlign w:val="bottom"/>
          </w:tcPr>
          <w:p w14:paraId="5AEEEEAF"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488390</w:t>
            </w:r>
          </w:p>
        </w:tc>
        <w:tc>
          <w:tcPr>
            <w:tcW w:w="8876" w:type="dxa"/>
            <w:tcBorders>
              <w:top w:val="nil"/>
              <w:left w:val="nil"/>
              <w:bottom w:val="nil"/>
              <w:right w:val="nil"/>
            </w:tcBorders>
            <w:shd w:val="clear" w:color="auto" w:fill="auto"/>
            <w:noWrap/>
            <w:vAlign w:val="bottom"/>
          </w:tcPr>
          <w:p w14:paraId="1B47951B" w14:textId="5E896333"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Other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 xml:space="preserve">upport </w:t>
            </w:r>
            <w:r w:rsidR="003F3EFD">
              <w:rPr>
                <w:rFonts w:asciiTheme="minorHAnsi" w:eastAsia="Times New Roman" w:hAnsiTheme="minorHAnsi"/>
                <w:sz w:val="22"/>
                <w:szCs w:val="22"/>
              </w:rPr>
              <w:t>a</w:t>
            </w:r>
            <w:r w:rsidR="003F3EFD" w:rsidRPr="006F38A9">
              <w:rPr>
                <w:rFonts w:asciiTheme="minorHAnsi" w:eastAsia="Times New Roman" w:hAnsiTheme="minorHAnsi"/>
                <w:sz w:val="22"/>
                <w:szCs w:val="22"/>
              </w:rPr>
              <w:t xml:space="preserve">ctivities </w:t>
            </w:r>
            <w:r w:rsidRPr="006F38A9">
              <w:rPr>
                <w:rFonts w:asciiTheme="minorHAnsi" w:eastAsia="Times New Roman" w:hAnsiTheme="minorHAnsi"/>
                <w:sz w:val="22"/>
                <w:szCs w:val="22"/>
              </w:rPr>
              <w:t xml:space="preserve">for </w:t>
            </w:r>
            <w:r w:rsidR="003F3EFD">
              <w:rPr>
                <w:rFonts w:asciiTheme="minorHAnsi" w:eastAsia="Times New Roman" w:hAnsiTheme="minorHAnsi"/>
                <w:sz w:val="22"/>
                <w:szCs w:val="22"/>
              </w:rPr>
              <w:t>w</w:t>
            </w:r>
            <w:r w:rsidR="003F3EFD" w:rsidRPr="006F38A9">
              <w:rPr>
                <w:rFonts w:asciiTheme="minorHAnsi" w:eastAsia="Times New Roman" w:hAnsiTheme="minorHAnsi"/>
                <w:sz w:val="22"/>
                <w:szCs w:val="22"/>
              </w:rPr>
              <w:t xml:space="preserve">ater </w:t>
            </w:r>
            <w:r w:rsidR="003F3EFD">
              <w:rPr>
                <w:rFonts w:asciiTheme="minorHAnsi" w:eastAsia="Times New Roman" w:hAnsiTheme="minorHAnsi"/>
                <w:sz w:val="22"/>
                <w:szCs w:val="22"/>
              </w:rPr>
              <w:t>t</w:t>
            </w:r>
            <w:r w:rsidR="003F3EFD" w:rsidRPr="006F38A9">
              <w:rPr>
                <w:rFonts w:asciiTheme="minorHAnsi" w:eastAsia="Times New Roman" w:hAnsiTheme="minorHAnsi"/>
                <w:sz w:val="22"/>
                <w:szCs w:val="22"/>
              </w:rPr>
              <w:t>ransportation</w:t>
            </w:r>
          </w:p>
        </w:tc>
      </w:tr>
      <w:tr w:rsidR="00FC5F21" w:rsidRPr="006F38A9" w14:paraId="0A4861CE"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5C713A0B"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488510</w:t>
            </w:r>
          </w:p>
        </w:tc>
        <w:tc>
          <w:tcPr>
            <w:tcW w:w="8876" w:type="dxa"/>
            <w:tcBorders>
              <w:top w:val="nil"/>
              <w:left w:val="nil"/>
              <w:bottom w:val="nil"/>
              <w:right w:val="nil"/>
            </w:tcBorders>
            <w:shd w:val="clear" w:color="auto" w:fill="auto"/>
            <w:noWrap/>
            <w:vAlign w:val="bottom"/>
            <w:hideMark/>
          </w:tcPr>
          <w:p w14:paraId="7ECC9A4C" w14:textId="0380CE71"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Freight </w:t>
            </w:r>
            <w:r w:rsidR="003F3EFD">
              <w:rPr>
                <w:rFonts w:asciiTheme="minorHAnsi" w:eastAsia="Times New Roman" w:hAnsiTheme="minorHAnsi"/>
                <w:sz w:val="22"/>
                <w:szCs w:val="22"/>
              </w:rPr>
              <w:t>t</w:t>
            </w:r>
            <w:r w:rsidR="003F3EFD" w:rsidRPr="006F38A9">
              <w:rPr>
                <w:rFonts w:asciiTheme="minorHAnsi" w:eastAsia="Times New Roman" w:hAnsiTheme="minorHAnsi"/>
                <w:sz w:val="22"/>
                <w:szCs w:val="22"/>
              </w:rPr>
              <w:t xml:space="preserve">ransportation </w:t>
            </w:r>
            <w:r w:rsidR="003F3EFD">
              <w:rPr>
                <w:rFonts w:asciiTheme="minorHAnsi" w:eastAsia="Times New Roman" w:hAnsiTheme="minorHAnsi"/>
                <w:sz w:val="22"/>
                <w:szCs w:val="22"/>
              </w:rPr>
              <w:t>a</w:t>
            </w:r>
            <w:r w:rsidR="003F3EFD" w:rsidRPr="006F38A9">
              <w:rPr>
                <w:rFonts w:asciiTheme="minorHAnsi" w:eastAsia="Times New Roman" w:hAnsiTheme="minorHAnsi"/>
                <w:sz w:val="22"/>
                <w:szCs w:val="22"/>
              </w:rPr>
              <w:t xml:space="preserve">rrangement </w:t>
            </w:r>
          </w:p>
        </w:tc>
      </w:tr>
      <w:tr w:rsidR="00FC5F21" w:rsidRPr="006F38A9" w14:paraId="0509F300"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15DCC99F"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492110</w:t>
            </w:r>
          </w:p>
        </w:tc>
        <w:tc>
          <w:tcPr>
            <w:tcW w:w="8876" w:type="dxa"/>
            <w:tcBorders>
              <w:top w:val="nil"/>
              <w:left w:val="nil"/>
              <w:bottom w:val="nil"/>
              <w:right w:val="nil"/>
            </w:tcBorders>
            <w:shd w:val="clear" w:color="auto" w:fill="auto"/>
            <w:noWrap/>
            <w:vAlign w:val="bottom"/>
            <w:hideMark/>
          </w:tcPr>
          <w:p w14:paraId="522F8B90" w14:textId="41B791B7"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Couriers and </w:t>
            </w:r>
            <w:r w:rsidR="003F3EFD">
              <w:rPr>
                <w:rFonts w:asciiTheme="minorHAnsi" w:eastAsia="Times New Roman" w:hAnsiTheme="minorHAnsi"/>
                <w:sz w:val="22"/>
                <w:szCs w:val="22"/>
              </w:rPr>
              <w:t>e</w:t>
            </w:r>
            <w:r w:rsidR="003F3EFD" w:rsidRPr="006F38A9">
              <w:rPr>
                <w:rFonts w:asciiTheme="minorHAnsi" w:eastAsia="Times New Roman" w:hAnsiTheme="minorHAnsi"/>
                <w:sz w:val="22"/>
                <w:szCs w:val="22"/>
              </w:rPr>
              <w:t xml:space="preserve">xpress </w:t>
            </w:r>
            <w:r w:rsidR="003F3EFD">
              <w:rPr>
                <w:rFonts w:asciiTheme="minorHAnsi" w:eastAsia="Times New Roman" w:hAnsiTheme="minorHAnsi"/>
                <w:sz w:val="22"/>
                <w:szCs w:val="22"/>
              </w:rPr>
              <w:t>d</w:t>
            </w:r>
            <w:r w:rsidR="003F3EFD" w:rsidRPr="006F38A9">
              <w:rPr>
                <w:rFonts w:asciiTheme="minorHAnsi" w:eastAsia="Times New Roman" w:hAnsiTheme="minorHAnsi"/>
                <w:sz w:val="22"/>
                <w:szCs w:val="22"/>
              </w:rPr>
              <w:t xml:space="preserve">elivery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ervices</w:t>
            </w:r>
          </w:p>
        </w:tc>
      </w:tr>
    </w:tbl>
    <w:p w14:paraId="69BBF8C0" w14:textId="77777777" w:rsidR="00FC5F21" w:rsidRPr="006F38A9" w:rsidRDefault="00FC5F21" w:rsidP="001D5DAF">
      <w:pPr>
        <w:rPr>
          <w:rFonts w:asciiTheme="minorHAnsi" w:hAnsiTheme="minorHAnsi"/>
          <w:sz w:val="22"/>
          <w:szCs w:val="22"/>
        </w:rPr>
      </w:pPr>
    </w:p>
    <w:p w14:paraId="6B42CEF7" w14:textId="3A5DF5F1" w:rsidR="00FC5F21" w:rsidRPr="006F38A9" w:rsidRDefault="00FC5F21" w:rsidP="001D5DAF">
      <w:pPr>
        <w:rPr>
          <w:rFonts w:asciiTheme="minorHAnsi" w:hAnsiTheme="minorHAnsi"/>
          <w:sz w:val="22"/>
          <w:szCs w:val="22"/>
        </w:rPr>
      </w:pPr>
      <w:r w:rsidRPr="006F38A9">
        <w:rPr>
          <w:rFonts w:asciiTheme="minorHAnsi" w:hAnsiTheme="minorHAnsi"/>
          <w:sz w:val="22"/>
          <w:szCs w:val="22"/>
        </w:rPr>
        <w:t xml:space="preserve">Media and </w:t>
      </w:r>
      <w:r w:rsidR="002C30A0" w:rsidRPr="006F38A9">
        <w:rPr>
          <w:rFonts w:asciiTheme="minorHAnsi" w:hAnsiTheme="minorHAnsi"/>
          <w:sz w:val="22"/>
          <w:szCs w:val="22"/>
        </w:rPr>
        <w:t>p</w:t>
      </w:r>
      <w:r w:rsidRPr="006F38A9">
        <w:rPr>
          <w:rFonts w:asciiTheme="minorHAnsi" w:hAnsiTheme="minorHAnsi"/>
          <w:sz w:val="22"/>
          <w:szCs w:val="22"/>
        </w:rPr>
        <w:t>ublishing</w:t>
      </w:r>
    </w:p>
    <w:tbl>
      <w:tblPr>
        <w:tblW w:w="10252" w:type="dxa"/>
        <w:tblInd w:w="108" w:type="dxa"/>
        <w:tblLook w:val="04A0" w:firstRow="1" w:lastRow="0" w:firstColumn="1" w:lastColumn="0" w:noHBand="0" w:noVBand="1"/>
      </w:tblPr>
      <w:tblGrid>
        <w:gridCol w:w="1376"/>
        <w:gridCol w:w="8876"/>
      </w:tblGrid>
      <w:tr w:rsidR="00FC5F21" w:rsidRPr="006F38A9" w14:paraId="786548A0"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D0AC52D"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511110</w:t>
            </w:r>
          </w:p>
        </w:tc>
        <w:tc>
          <w:tcPr>
            <w:tcW w:w="8876" w:type="dxa"/>
            <w:tcBorders>
              <w:top w:val="nil"/>
              <w:left w:val="nil"/>
              <w:bottom w:val="nil"/>
              <w:right w:val="nil"/>
            </w:tcBorders>
            <w:shd w:val="clear" w:color="auto" w:fill="auto"/>
            <w:noWrap/>
            <w:vAlign w:val="bottom"/>
            <w:hideMark/>
          </w:tcPr>
          <w:p w14:paraId="213B3B79" w14:textId="41B0FDEF"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Newspaper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ublishers </w:t>
            </w:r>
          </w:p>
        </w:tc>
      </w:tr>
      <w:tr w:rsidR="00FC5F21" w:rsidRPr="006F38A9" w14:paraId="21D294DE"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60A020C1"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511120</w:t>
            </w:r>
          </w:p>
        </w:tc>
        <w:tc>
          <w:tcPr>
            <w:tcW w:w="8876" w:type="dxa"/>
            <w:tcBorders>
              <w:top w:val="nil"/>
              <w:left w:val="nil"/>
              <w:bottom w:val="nil"/>
              <w:right w:val="nil"/>
            </w:tcBorders>
            <w:shd w:val="clear" w:color="auto" w:fill="auto"/>
            <w:noWrap/>
            <w:vAlign w:val="bottom"/>
            <w:hideMark/>
          </w:tcPr>
          <w:p w14:paraId="7A15650D" w14:textId="3E0A9C6E"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Periodical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ublishers </w:t>
            </w:r>
          </w:p>
        </w:tc>
      </w:tr>
      <w:tr w:rsidR="00FC5F21" w:rsidRPr="006F38A9" w14:paraId="0D547242"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26A5C6EA"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511130</w:t>
            </w:r>
          </w:p>
        </w:tc>
        <w:tc>
          <w:tcPr>
            <w:tcW w:w="8876" w:type="dxa"/>
            <w:tcBorders>
              <w:top w:val="nil"/>
              <w:left w:val="nil"/>
              <w:bottom w:val="nil"/>
              <w:right w:val="nil"/>
            </w:tcBorders>
            <w:shd w:val="clear" w:color="auto" w:fill="auto"/>
            <w:noWrap/>
            <w:vAlign w:val="bottom"/>
            <w:hideMark/>
          </w:tcPr>
          <w:p w14:paraId="40CCD6AD" w14:textId="3820034D"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Book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ublishers </w:t>
            </w:r>
          </w:p>
        </w:tc>
      </w:tr>
      <w:tr w:rsidR="00FC5F21" w:rsidRPr="006F38A9" w14:paraId="1238413C"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BB0056C"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511199</w:t>
            </w:r>
          </w:p>
        </w:tc>
        <w:tc>
          <w:tcPr>
            <w:tcW w:w="8876" w:type="dxa"/>
            <w:tcBorders>
              <w:top w:val="nil"/>
              <w:left w:val="nil"/>
              <w:bottom w:val="nil"/>
              <w:right w:val="nil"/>
            </w:tcBorders>
            <w:shd w:val="clear" w:color="auto" w:fill="auto"/>
            <w:noWrap/>
            <w:vAlign w:val="bottom"/>
            <w:hideMark/>
          </w:tcPr>
          <w:p w14:paraId="2ACCE9F6" w14:textId="7EBD95A4"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All </w:t>
            </w:r>
            <w:r w:rsidR="003F3EFD">
              <w:rPr>
                <w:rFonts w:asciiTheme="minorHAnsi" w:eastAsia="Times New Roman" w:hAnsiTheme="minorHAnsi"/>
                <w:sz w:val="22"/>
                <w:szCs w:val="22"/>
              </w:rPr>
              <w:t>o</w:t>
            </w:r>
            <w:r w:rsidR="003F3EFD" w:rsidRPr="006F38A9">
              <w:rPr>
                <w:rFonts w:asciiTheme="minorHAnsi" w:eastAsia="Times New Roman" w:hAnsiTheme="minorHAnsi"/>
                <w:sz w:val="22"/>
                <w:szCs w:val="22"/>
              </w:rPr>
              <w:t xml:space="preserve">ther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ublishers </w:t>
            </w:r>
          </w:p>
        </w:tc>
      </w:tr>
      <w:tr w:rsidR="00FC5F21" w:rsidRPr="006F38A9" w14:paraId="11AEA7A4"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132B5D7C"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512110</w:t>
            </w:r>
          </w:p>
        </w:tc>
        <w:tc>
          <w:tcPr>
            <w:tcW w:w="8876" w:type="dxa"/>
            <w:tcBorders>
              <w:top w:val="nil"/>
              <w:left w:val="nil"/>
              <w:bottom w:val="nil"/>
              <w:right w:val="nil"/>
            </w:tcBorders>
            <w:shd w:val="clear" w:color="auto" w:fill="auto"/>
            <w:noWrap/>
            <w:vAlign w:val="bottom"/>
            <w:hideMark/>
          </w:tcPr>
          <w:p w14:paraId="01AE2ADA" w14:textId="42A365EB"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Motion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icture </w:t>
            </w:r>
            <w:r w:rsidRPr="006F38A9">
              <w:rPr>
                <w:rFonts w:asciiTheme="minorHAnsi" w:eastAsia="Times New Roman" w:hAnsiTheme="minorHAnsi"/>
                <w:sz w:val="22"/>
                <w:szCs w:val="22"/>
              </w:rPr>
              <w:t xml:space="preserve">and </w:t>
            </w:r>
            <w:r w:rsidR="003F3EFD">
              <w:rPr>
                <w:rFonts w:asciiTheme="minorHAnsi" w:eastAsia="Times New Roman" w:hAnsiTheme="minorHAnsi"/>
                <w:sz w:val="22"/>
                <w:szCs w:val="22"/>
              </w:rPr>
              <w:t>v</w:t>
            </w:r>
            <w:r w:rsidR="003F3EFD" w:rsidRPr="006F38A9">
              <w:rPr>
                <w:rFonts w:asciiTheme="minorHAnsi" w:eastAsia="Times New Roman" w:hAnsiTheme="minorHAnsi"/>
                <w:sz w:val="22"/>
                <w:szCs w:val="22"/>
              </w:rPr>
              <w:t xml:space="preserve">ideo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roduction </w:t>
            </w:r>
          </w:p>
        </w:tc>
      </w:tr>
      <w:tr w:rsidR="00FC5F21" w:rsidRPr="006F38A9" w14:paraId="500C5A30"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4620C21"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512120</w:t>
            </w:r>
          </w:p>
        </w:tc>
        <w:tc>
          <w:tcPr>
            <w:tcW w:w="8876" w:type="dxa"/>
            <w:tcBorders>
              <w:top w:val="nil"/>
              <w:left w:val="nil"/>
              <w:bottom w:val="nil"/>
              <w:right w:val="nil"/>
            </w:tcBorders>
            <w:shd w:val="clear" w:color="auto" w:fill="auto"/>
            <w:noWrap/>
            <w:vAlign w:val="bottom"/>
            <w:hideMark/>
          </w:tcPr>
          <w:p w14:paraId="70783EC1" w14:textId="1637D24F"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Motion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icture </w:t>
            </w:r>
            <w:r w:rsidRPr="006F38A9">
              <w:rPr>
                <w:rFonts w:asciiTheme="minorHAnsi" w:eastAsia="Times New Roman" w:hAnsiTheme="minorHAnsi"/>
                <w:sz w:val="22"/>
                <w:szCs w:val="22"/>
              </w:rPr>
              <w:t xml:space="preserve">and </w:t>
            </w:r>
            <w:r w:rsidR="003F3EFD">
              <w:rPr>
                <w:rFonts w:asciiTheme="minorHAnsi" w:eastAsia="Times New Roman" w:hAnsiTheme="minorHAnsi"/>
                <w:sz w:val="22"/>
                <w:szCs w:val="22"/>
              </w:rPr>
              <w:t>v</w:t>
            </w:r>
            <w:r w:rsidR="003F3EFD" w:rsidRPr="006F38A9">
              <w:rPr>
                <w:rFonts w:asciiTheme="minorHAnsi" w:eastAsia="Times New Roman" w:hAnsiTheme="minorHAnsi"/>
                <w:sz w:val="22"/>
                <w:szCs w:val="22"/>
              </w:rPr>
              <w:t xml:space="preserve">ideo </w:t>
            </w:r>
            <w:r w:rsidR="003F3EFD">
              <w:rPr>
                <w:rFonts w:asciiTheme="minorHAnsi" w:eastAsia="Times New Roman" w:hAnsiTheme="minorHAnsi"/>
                <w:sz w:val="22"/>
                <w:szCs w:val="22"/>
              </w:rPr>
              <w:t>d</w:t>
            </w:r>
            <w:r w:rsidR="003F3EFD" w:rsidRPr="006F38A9">
              <w:rPr>
                <w:rFonts w:asciiTheme="minorHAnsi" w:eastAsia="Times New Roman" w:hAnsiTheme="minorHAnsi"/>
                <w:sz w:val="22"/>
                <w:szCs w:val="22"/>
              </w:rPr>
              <w:t>istribution</w:t>
            </w:r>
          </w:p>
        </w:tc>
      </w:tr>
      <w:tr w:rsidR="00FC5F21" w:rsidRPr="006F38A9" w14:paraId="02535313"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3419A537"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512191</w:t>
            </w:r>
          </w:p>
        </w:tc>
        <w:tc>
          <w:tcPr>
            <w:tcW w:w="8876" w:type="dxa"/>
            <w:tcBorders>
              <w:top w:val="nil"/>
              <w:left w:val="nil"/>
              <w:bottom w:val="nil"/>
              <w:right w:val="nil"/>
            </w:tcBorders>
            <w:shd w:val="clear" w:color="auto" w:fill="auto"/>
            <w:noWrap/>
            <w:vAlign w:val="bottom"/>
            <w:hideMark/>
          </w:tcPr>
          <w:p w14:paraId="56E3F5A3" w14:textId="1A40415E"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Teleproduction and </w:t>
            </w:r>
            <w:r w:rsidR="003F3EFD">
              <w:rPr>
                <w:rFonts w:asciiTheme="minorHAnsi" w:eastAsia="Times New Roman" w:hAnsiTheme="minorHAnsi"/>
                <w:sz w:val="22"/>
                <w:szCs w:val="22"/>
              </w:rPr>
              <w:t>o</w:t>
            </w:r>
            <w:r w:rsidR="003F3EFD" w:rsidRPr="006F38A9">
              <w:rPr>
                <w:rFonts w:asciiTheme="minorHAnsi" w:eastAsia="Times New Roman" w:hAnsiTheme="minorHAnsi"/>
                <w:sz w:val="22"/>
                <w:szCs w:val="22"/>
              </w:rPr>
              <w:t xml:space="preserve">ther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ostproduction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 xml:space="preserve">ervices </w:t>
            </w:r>
          </w:p>
        </w:tc>
      </w:tr>
      <w:tr w:rsidR="00FC5F21" w:rsidRPr="006F38A9" w14:paraId="6274B8AE"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51A69FBF"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512199</w:t>
            </w:r>
          </w:p>
        </w:tc>
        <w:tc>
          <w:tcPr>
            <w:tcW w:w="8876" w:type="dxa"/>
            <w:tcBorders>
              <w:top w:val="nil"/>
              <w:left w:val="nil"/>
              <w:bottom w:val="nil"/>
              <w:right w:val="nil"/>
            </w:tcBorders>
            <w:shd w:val="clear" w:color="auto" w:fill="auto"/>
            <w:noWrap/>
            <w:vAlign w:val="bottom"/>
            <w:hideMark/>
          </w:tcPr>
          <w:p w14:paraId="004B43CD" w14:textId="188E7733"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Other </w:t>
            </w:r>
            <w:r w:rsidR="003F3EFD">
              <w:rPr>
                <w:rFonts w:asciiTheme="minorHAnsi" w:eastAsia="Times New Roman" w:hAnsiTheme="minorHAnsi"/>
                <w:sz w:val="22"/>
                <w:szCs w:val="22"/>
              </w:rPr>
              <w:t>m</w:t>
            </w:r>
            <w:r w:rsidR="003F3EFD" w:rsidRPr="006F38A9">
              <w:rPr>
                <w:rFonts w:asciiTheme="minorHAnsi" w:eastAsia="Times New Roman" w:hAnsiTheme="minorHAnsi"/>
                <w:sz w:val="22"/>
                <w:szCs w:val="22"/>
              </w:rPr>
              <w:t xml:space="preserve">otion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icture </w:t>
            </w:r>
            <w:r w:rsidRPr="006F38A9">
              <w:rPr>
                <w:rFonts w:asciiTheme="minorHAnsi" w:eastAsia="Times New Roman" w:hAnsiTheme="minorHAnsi"/>
                <w:sz w:val="22"/>
                <w:szCs w:val="22"/>
              </w:rPr>
              <w:t xml:space="preserve">and </w:t>
            </w:r>
            <w:r w:rsidR="003F3EFD">
              <w:rPr>
                <w:rFonts w:asciiTheme="minorHAnsi" w:eastAsia="Times New Roman" w:hAnsiTheme="minorHAnsi"/>
                <w:sz w:val="22"/>
                <w:szCs w:val="22"/>
              </w:rPr>
              <w:t>v</w:t>
            </w:r>
            <w:r w:rsidR="003F3EFD" w:rsidRPr="006F38A9">
              <w:rPr>
                <w:rFonts w:asciiTheme="minorHAnsi" w:eastAsia="Times New Roman" w:hAnsiTheme="minorHAnsi"/>
                <w:sz w:val="22"/>
                <w:szCs w:val="22"/>
              </w:rPr>
              <w:t xml:space="preserve">ideo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ndustries </w:t>
            </w:r>
          </w:p>
        </w:tc>
      </w:tr>
      <w:tr w:rsidR="00FC5F21" w:rsidRPr="006F38A9" w14:paraId="2E6533AA"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44B3658A"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515120</w:t>
            </w:r>
          </w:p>
        </w:tc>
        <w:tc>
          <w:tcPr>
            <w:tcW w:w="8876" w:type="dxa"/>
            <w:tcBorders>
              <w:top w:val="nil"/>
              <w:left w:val="nil"/>
              <w:bottom w:val="nil"/>
              <w:right w:val="nil"/>
            </w:tcBorders>
            <w:shd w:val="clear" w:color="auto" w:fill="auto"/>
            <w:noWrap/>
            <w:vAlign w:val="bottom"/>
            <w:hideMark/>
          </w:tcPr>
          <w:p w14:paraId="314B3CB8" w14:textId="2C7FA177"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Television </w:t>
            </w:r>
            <w:r w:rsidR="003F3EFD">
              <w:rPr>
                <w:rFonts w:asciiTheme="minorHAnsi" w:eastAsia="Times New Roman" w:hAnsiTheme="minorHAnsi"/>
                <w:sz w:val="22"/>
                <w:szCs w:val="22"/>
              </w:rPr>
              <w:t>b</w:t>
            </w:r>
            <w:r w:rsidR="003F3EFD" w:rsidRPr="006F38A9">
              <w:rPr>
                <w:rFonts w:asciiTheme="minorHAnsi" w:eastAsia="Times New Roman" w:hAnsiTheme="minorHAnsi"/>
                <w:sz w:val="22"/>
                <w:szCs w:val="22"/>
              </w:rPr>
              <w:t>roadcasting</w:t>
            </w:r>
          </w:p>
        </w:tc>
      </w:tr>
      <w:tr w:rsidR="00FC5F21" w:rsidRPr="006F38A9" w14:paraId="61B41195"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B7BCBE8"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515210</w:t>
            </w:r>
          </w:p>
        </w:tc>
        <w:tc>
          <w:tcPr>
            <w:tcW w:w="8876" w:type="dxa"/>
            <w:tcBorders>
              <w:top w:val="nil"/>
              <w:left w:val="nil"/>
              <w:bottom w:val="nil"/>
              <w:right w:val="nil"/>
            </w:tcBorders>
            <w:shd w:val="clear" w:color="auto" w:fill="auto"/>
            <w:noWrap/>
            <w:vAlign w:val="bottom"/>
            <w:hideMark/>
          </w:tcPr>
          <w:p w14:paraId="574A8A9A" w14:textId="11DF59C2"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Cable and </w:t>
            </w:r>
            <w:r w:rsidR="003F3EFD">
              <w:rPr>
                <w:rFonts w:asciiTheme="minorHAnsi" w:eastAsia="Times New Roman" w:hAnsiTheme="minorHAnsi"/>
                <w:sz w:val="22"/>
                <w:szCs w:val="22"/>
              </w:rPr>
              <w:t>o</w:t>
            </w:r>
            <w:r w:rsidR="003F3EFD" w:rsidRPr="006F38A9">
              <w:rPr>
                <w:rFonts w:asciiTheme="minorHAnsi" w:eastAsia="Times New Roman" w:hAnsiTheme="minorHAnsi"/>
                <w:sz w:val="22"/>
                <w:szCs w:val="22"/>
              </w:rPr>
              <w:t xml:space="preserve">ther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 xml:space="preserve">ubscription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rogramming</w:t>
            </w:r>
          </w:p>
        </w:tc>
      </w:tr>
      <w:tr w:rsidR="00FC5F21" w:rsidRPr="006F38A9" w14:paraId="28D91765"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54136096"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519110</w:t>
            </w:r>
          </w:p>
        </w:tc>
        <w:tc>
          <w:tcPr>
            <w:tcW w:w="8876" w:type="dxa"/>
            <w:tcBorders>
              <w:top w:val="nil"/>
              <w:left w:val="nil"/>
              <w:bottom w:val="nil"/>
              <w:right w:val="nil"/>
            </w:tcBorders>
            <w:shd w:val="clear" w:color="auto" w:fill="auto"/>
            <w:noWrap/>
            <w:vAlign w:val="bottom"/>
            <w:hideMark/>
          </w:tcPr>
          <w:p w14:paraId="066D4412" w14:textId="408317BB"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News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yndicates</w:t>
            </w:r>
          </w:p>
        </w:tc>
      </w:tr>
      <w:tr w:rsidR="00FC5F21" w:rsidRPr="006F38A9" w14:paraId="6C9AE694"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2B6341A7"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519190</w:t>
            </w:r>
          </w:p>
        </w:tc>
        <w:tc>
          <w:tcPr>
            <w:tcW w:w="8876" w:type="dxa"/>
            <w:tcBorders>
              <w:top w:val="nil"/>
              <w:left w:val="nil"/>
              <w:bottom w:val="nil"/>
              <w:right w:val="nil"/>
            </w:tcBorders>
            <w:shd w:val="clear" w:color="auto" w:fill="auto"/>
            <w:noWrap/>
            <w:vAlign w:val="bottom"/>
            <w:hideMark/>
          </w:tcPr>
          <w:p w14:paraId="19DA73D8" w14:textId="1F15E9A7"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All </w:t>
            </w:r>
            <w:r w:rsidR="003F3EFD">
              <w:rPr>
                <w:rFonts w:asciiTheme="minorHAnsi" w:eastAsia="Times New Roman" w:hAnsiTheme="minorHAnsi"/>
                <w:sz w:val="22"/>
                <w:szCs w:val="22"/>
              </w:rPr>
              <w:t>o</w:t>
            </w:r>
            <w:r w:rsidR="003F3EFD" w:rsidRPr="006F38A9">
              <w:rPr>
                <w:rFonts w:asciiTheme="minorHAnsi" w:eastAsia="Times New Roman" w:hAnsiTheme="minorHAnsi"/>
                <w:sz w:val="22"/>
                <w:szCs w:val="22"/>
              </w:rPr>
              <w:t xml:space="preserve">ther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nformation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ervices</w:t>
            </w:r>
          </w:p>
        </w:tc>
      </w:tr>
    </w:tbl>
    <w:p w14:paraId="24FB3F26" w14:textId="77777777" w:rsidR="00FC5F21" w:rsidRPr="00030DA1" w:rsidRDefault="00FC5F21" w:rsidP="001D5DAF">
      <w:pPr>
        <w:autoSpaceDE/>
        <w:autoSpaceDN/>
        <w:adjustRightInd/>
        <w:rPr>
          <w:rFonts w:asciiTheme="minorHAnsi" w:hAnsiTheme="minorHAnsi" w:cs="Arial"/>
          <w:sz w:val="22"/>
          <w:szCs w:val="22"/>
        </w:rPr>
      </w:pPr>
    </w:p>
    <w:p w14:paraId="6E10E693" w14:textId="77777777" w:rsidR="00C4473C" w:rsidRPr="00030DA1" w:rsidRDefault="00C4473C" w:rsidP="001D5DAF">
      <w:pPr>
        <w:autoSpaceDE/>
        <w:autoSpaceDN/>
        <w:adjustRightInd/>
        <w:rPr>
          <w:rFonts w:asciiTheme="minorHAnsi" w:hAnsiTheme="minorHAnsi" w:cs="Arial"/>
          <w:sz w:val="22"/>
          <w:szCs w:val="22"/>
        </w:rPr>
      </w:pPr>
    </w:p>
    <w:p w14:paraId="782AAB81" w14:textId="77777777" w:rsidR="00FC5F21" w:rsidRPr="006F38A9" w:rsidRDefault="00FC5F21" w:rsidP="001D5DAF">
      <w:pPr>
        <w:rPr>
          <w:rFonts w:asciiTheme="minorHAnsi" w:hAnsiTheme="minorHAnsi"/>
          <w:sz w:val="22"/>
          <w:szCs w:val="22"/>
        </w:rPr>
      </w:pPr>
      <w:r w:rsidRPr="006F38A9">
        <w:rPr>
          <w:rFonts w:asciiTheme="minorHAnsi" w:hAnsiTheme="minorHAnsi"/>
          <w:sz w:val="22"/>
          <w:szCs w:val="22"/>
        </w:rPr>
        <w:t>Finance</w:t>
      </w:r>
    </w:p>
    <w:tbl>
      <w:tblPr>
        <w:tblW w:w="10252" w:type="dxa"/>
        <w:tblInd w:w="108" w:type="dxa"/>
        <w:tblLook w:val="04A0" w:firstRow="1" w:lastRow="0" w:firstColumn="1" w:lastColumn="0" w:noHBand="0" w:noVBand="1"/>
      </w:tblPr>
      <w:tblGrid>
        <w:gridCol w:w="1376"/>
        <w:gridCol w:w="8876"/>
      </w:tblGrid>
      <w:tr w:rsidR="00FC5F21" w:rsidRPr="006F38A9" w14:paraId="0CAD41F3"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18027365"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522110</w:t>
            </w:r>
          </w:p>
        </w:tc>
        <w:tc>
          <w:tcPr>
            <w:tcW w:w="8876" w:type="dxa"/>
            <w:tcBorders>
              <w:top w:val="nil"/>
              <w:left w:val="nil"/>
              <w:bottom w:val="nil"/>
              <w:right w:val="nil"/>
            </w:tcBorders>
            <w:shd w:val="clear" w:color="auto" w:fill="auto"/>
            <w:noWrap/>
            <w:vAlign w:val="bottom"/>
            <w:hideMark/>
          </w:tcPr>
          <w:p w14:paraId="3111A32A" w14:textId="26B15D6C"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Commercial </w:t>
            </w:r>
            <w:r w:rsidR="003F3EFD">
              <w:rPr>
                <w:rFonts w:asciiTheme="minorHAnsi" w:eastAsia="Times New Roman" w:hAnsiTheme="minorHAnsi"/>
                <w:sz w:val="22"/>
                <w:szCs w:val="22"/>
              </w:rPr>
              <w:t>b</w:t>
            </w:r>
            <w:r w:rsidR="003F3EFD" w:rsidRPr="006F38A9">
              <w:rPr>
                <w:rFonts w:asciiTheme="minorHAnsi" w:eastAsia="Times New Roman" w:hAnsiTheme="minorHAnsi"/>
                <w:sz w:val="22"/>
                <w:szCs w:val="22"/>
              </w:rPr>
              <w:t xml:space="preserve">anking </w:t>
            </w:r>
          </w:p>
        </w:tc>
      </w:tr>
      <w:tr w:rsidR="00FC5F21" w:rsidRPr="006F38A9" w14:paraId="1B153953"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6DC7C9E3"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522120</w:t>
            </w:r>
          </w:p>
        </w:tc>
        <w:tc>
          <w:tcPr>
            <w:tcW w:w="8876" w:type="dxa"/>
            <w:tcBorders>
              <w:top w:val="nil"/>
              <w:left w:val="nil"/>
              <w:bottom w:val="nil"/>
              <w:right w:val="nil"/>
            </w:tcBorders>
            <w:shd w:val="clear" w:color="auto" w:fill="auto"/>
            <w:noWrap/>
            <w:vAlign w:val="bottom"/>
            <w:hideMark/>
          </w:tcPr>
          <w:p w14:paraId="2498F5AA" w14:textId="7D59C316"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Savings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nstitutions </w:t>
            </w:r>
          </w:p>
        </w:tc>
      </w:tr>
      <w:tr w:rsidR="00FC5F21" w:rsidRPr="006F38A9" w14:paraId="03A062F8"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1CB5B44C"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522190</w:t>
            </w:r>
          </w:p>
        </w:tc>
        <w:tc>
          <w:tcPr>
            <w:tcW w:w="8876" w:type="dxa"/>
            <w:tcBorders>
              <w:top w:val="nil"/>
              <w:left w:val="nil"/>
              <w:bottom w:val="nil"/>
              <w:right w:val="nil"/>
            </w:tcBorders>
            <w:shd w:val="clear" w:color="auto" w:fill="auto"/>
            <w:noWrap/>
            <w:vAlign w:val="bottom"/>
            <w:hideMark/>
          </w:tcPr>
          <w:p w14:paraId="01D280B5" w14:textId="6B1D453B"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Other </w:t>
            </w:r>
            <w:r w:rsidR="003F3EFD">
              <w:rPr>
                <w:rFonts w:asciiTheme="minorHAnsi" w:eastAsia="Times New Roman" w:hAnsiTheme="minorHAnsi"/>
                <w:sz w:val="22"/>
                <w:szCs w:val="22"/>
              </w:rPr>
              <w:t>d</w:t>
            </w:r>
            <w:r w:rsidR="003F3EFD" w:rsidRPr="006F38A9">
              <w:rPr>
                <w:rFonts w:asciiTheme="minorHAnsi" w:eastAsia="Times New Roman" w:hAnsiTheme="minorHAnsi"/>
                <w:sz w:val="22"/>
                <w:szCs w:val="22"/>
              </w:rPr>
              <w:t xml:space="preserve">epository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redit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ntermediation </w:t>
            </w:r>
          </w:p>
        </w:tc>
      </w:tr>
      <w:tr w:rsidR="00FC5F21" w:rsidRPr="006F38A9" w14:paraId="3F01DA9E"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3B0174F3"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522210</w:t>
            </w:r>
          </w:p>
        </w:tc>
        <w:tc>
          <w:tcPr>
            <w:tcW w:w="8876" w:type="dxa"/>
            <w:tcBorders>
              <w:top w:val="nil"/>
              <w:left w:val="nil"/>
              <w:bottom w:val="nil"/>
              <w:right w:val="nil"/>
            </w:tcBorders>
            <w:shd w:val="clear" w:color="auto" w:fill="auto"/>
            <w:noWrap/>
            <w:vAlign w:val="bottom"/>
            <w:hideMark/>
          </w:tcPr>
          <w:p w14:paraId="41F0693B" w14:textId="60AE29C0"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Credit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ard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ssuing </w:t>
            </w:r>
          </w:p>
        </w:tc>
      </w:tr>
      <w:tr w:rsidR="00FC5F21" w:rsidRPr="006F38A9" w14:paraId="239946BB"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452CC59A"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522220</w:t>
            </w:r>
          </w:p>
        </w:tc>
        <w:tc>
          <w:tcPr>
            <w:tcW w:w="8876" w:type="dxa"/>
            <w:tcBorders>
              <w:top w:val="nil"/>
              <w:left w:val="nil"/>
              <w:bottom w:val="nil"/>
              <w:right w:val="nil"/>
            </w:tcBorders>
            <w:shd w:val="clear" w:color="auto" w:fill="auto"/>
            <w:noWrap/>
            <w:vAlign w:val="bottom"/>
            <w:hideMark/>
          </w:tcPr>
          <w:p w14:paraId="61A5757E" w14:textId="14849BE5"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Sales </w:t>
            </w:r>
            <w:r w:rsidR="003F3EFD">
              <w:rPr>
                <w:rFonts w:asciiTheme="minorHAnsi" w:eastAsia="Times New Roman" w:hAnsiTheme="minorHAnsi"/>
                <w:sz w:val="22"/>
                <w:szCs w:val="22"/>
              </w:rPr>
              <w:t>f</w:t>
            </w:r>
            <w:r w:rsidR="003F3EFD" w:rsidRPr="006F38A9">
              <w:rPr>
                <w:rFonts w:asciiTheme="minorHAnsi" w:eastAsia="Times New Roman" w:hAnsiTheme="minorHAnsi"/>
                <w:sz w:val="22"/>
                <w:szCs w:val="22"/>
              </w:rPr>
              <w:t xml:space="preserve">inancing </w:t>
            </w:r>
          </w:p>
        </w:tc>
      </w:tr>
      <w:tr w:rsidR="00FC5F21" w:rsidRPr="006F38A9" w14:paraId="288BD882"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0C388AF"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522293</w:t>
            </w:r>
          </w:p>
        </w:tc>
        <w:tc>
          <w:tcPr>
            <w:tcW w:w="8876" w:type="dxa"/>
            <w:tcBorders>
              <w:top w:val="nil"/>
              <w:left w:val="nil"/>
              <w:bottom w:val="nil"/>
              <w:right w:val="nil"/>
            </w:tcBorders>
            <w:shd w:val="clear" w:color="auto" w:fill="auto"/>
            <w:noWrap/>
            <w:vAlign w:val="bottom"/>
            <w:hideMark/>
          </w:tcPr>
          <w:p w14:paraId="185FA6B9" w14:textId="1EF7C66E"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International </w:t>
            </w:r>
            <w:r w:rsidR="003F3EFD">
              <w:rPr>
                <w:rFonts w:asciiTheme="minorHAnsi" w:eastAsia="Times New Roman" w:hAnsiTheme="minorHAnsi"/>
                <w:sz w:val="22"/>
                <w:szCs w:val="22"/>
              </w:rPr>
              <w:t>t</w:t>
            </w:r>
            <w:r w:rsidR="003F3EFD" w:rsidRPr="006F38A9">
              <w:rPr>
                <w:rFonts w:asciiTheme="minorHAnsi" w:eastAsia="Times New Roman" w:hAnsiTheme="minorHAnsi"/>
                <w:sz w:val="22"/>
                <w:szCs w:val="22"/>
              </w:rPr>
              <w:t xml:space="preserve">rade </w:t>
            </w:r>
            <w:r w:rsidR="003F3EFD">
              <w:rPr>
                <w:rFonts w:asciiTheme="minorHAnsi" w:eastAsia="Times New Roman" w:hAnsiTheme="minorHAnsi"/>
                <w:sz w:val="22"/>
                <w:szCs w:val="22"/>
              </w:rPr>
              <w:t>f</w:t>
            </w:r>
            <w:r w:rsidR="003F3EFD" w:rsidRPr="006F38A9">
              <w:rPr>
                <w:rFonts w:asciiTheme="minorHAnsi" w:eastAsia="Times New Roman" w:hAnsiTheme="minorHAnsi"/>
                <w:sz w:val="22"/>
                <w:szCs w:val="22"/>
              </w:rPr>
              <w:t xml:space="preserve">inancing </w:t>
            </w:r>
          </w:p>
        </w:tc>
      </w:tr>
      <w:tr w:rsidR="00FC5F21" w:rsidRPr="006F38A9" w14:paraId="7DA249B7"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17FDA9C7"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522294</w:t>
            </w:r>
          </w:p>
        </w:tc>
        <w:tc>
          <w:tcPr>
            <w:tcW w:w="8876" w:type="dxa"/>
            <w:tcBorders>
              <w:top w:val="nil"/>
              <w:left w:val="nil"/>
              <w:bottom w:val="nil"/>
              <w:right w:val="nil"/>
            </w:tcBorders>
            <w:shd w:val="clear" w:color="auto" w:fill="auto"/>
            <w:noWrap/>
            <w:vAlign w:val="bottom"/>
            <w:hideMark/>
          </w:tcPr>
          <w:p w14:paraId="7966F3C2" w14:textId="45A2F2BC"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Secondary </w:t>
            </w:r>
            <w:r w:rsidR="003F3EFD">
              <w:rPr>
                <w:rFonts w:asciiTheme="minorHAnsi" w:eastAsia="Times New Roman" w:hAnsiTheme="minorHAnsi"/>
                <w:sz w:val="22"/>
                <w:szCs w:val="22"/>
              </w:rPr>
              <w:t>m</w:t>
            </w:r>
            <w:r w:rsidR="003F3EFD" w:rsidRPr="006F38A9">
              <w:rPr>
                <w:rFonts w:asciiTheme="minorHAnsi" w:eastAsia="Times New Roman" w:hAnsiTheme="minorHAnsi"/>
                <w:sz w:val="22"/>
                <w:szCs w:val="22"/>
              </w:rPr>
              <w:t xml:space="preserve">arket </w:t>
            </w:r>
            <w:r w:rsidR="003F3EFD">
              <w:rPr>
                <w:rFonts w:asciiTheme="minorHAnsi" w:eastAsia="Times New Roman" w:hAnsiTheme="minorHAnsi"/>
                <w:sz w:val="22"/>
                <w:szCs w:val="22"/>
              </w:rPr>
              <w:t>f</w:t>
            </w:r>
            <w:r w:rsidR="003F3EFD" w:rsidRPr="006F38A9">
              <w:rPr>
                <w:rFonts w:asciiTheme="minorHAnsi" w:eastAsia="Times New Roman" w:hAnsiTheme="minorHAnsi"/>
                <w:sz w:val="22"/>
                <w:szCs w:val="22"/>
              </w:rPr>
              <w:t xml:space="preserve">inancing </w:t>
            </w:r>
          </w:p>
        </w:tc>
      </w:tr>
      <w:tr w:rsidR="00FC5F21" w:rsidRPr="006F38A9" w14:paraId="50E3E476"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55F2F594"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522298</w:t>
            </w:r>
          </w:p>
        </w:tc>
        <w:tc>
          <w:tcPr>
            <w:tcW w:w="8876" w:type="dxa"/>
            <w:tcBorders>
              <w:top w:val="nil"/>
              <w:left w:val="nil"/>
              <w:bottom w:val="nil"/>
              <w:right w:val="nil"/>
            </w:tcBorders>
            <w:shd w:val="clear" w:color="auto" w:fill="auto"/>
            <w:noWrap/>
            <w:vAlign w:val="bottom"/>
            <w:hideMark/>
          </w:tcPr>
          <w:p w14:paraId="64C41198" w14:textId="1F9BBA84"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All </w:t>
            </w:r>
            <w:r w:rsidR="003F3EFD">
              <w:rPr>
                <w:rFonts w:asciiTheme="minorHAnsi" w:eastAsia="Times New Roman" w:hAnsiTheme="minorHAnsi"/>
                <w:sz w:val="22"/>
                <w:szCs w:val="22"/>
              </w:rPr>
              <w:t>o</w:t>
            </w:r>
            <w:r w:rsidR="003F3EFD" w:rsidRPr="006F38A9">
              <w:rPr>
                <w:rFonts w:asciiTheme="minorHAnsi" w:eastAsia="Times New Roman" w:hAnsiTheme="minorHAnsi"/>
                <w:sz w:val="22"/>
                <w:szCs w:val="22"/>
              </w:rPr>
              <w:t xml:space="preserve">ther </w:t>
            </w:r>
            <w:r w:rsidR="003F3EFD">
              <w:rPr>
                <w:rFonts w:asciiTheme="minorHAnsi" w:eastAsia="Times New Roman" w:hAnsiTheme="minorHAnsi"/>
                <w:sz w:val="22"/>
                <w:szCs w:val="22"/>
              </w:rPr>
              <w:t>n</w:t>
            </w:r>
            <w:r w:rsidR="003F3EFD" w:rsidRPr="006F38A9">
              <w:rPr>
                <w:rFonts w:asciiTheme="minorHAnsi" w:eastAsia="Times New Roman" w:hAnsiTheme="minorHAnsi"/>
                <w:sz w:val="22"/>
                <w:szCs w:val="22"/>
              </w:rPr>
              <w:t xml:space="preserve">ondepository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redit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ntermediation </w:t>
            </w:r>
          </w:p>
        </w:tc>
      </w:tr>
      <w:tr w:rsidR="00FC5F21" w:rsidRPr="006F38A9" w14:paraId="481AA685"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51C06074"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522320</w:t>
            </w:r>
          </w:p>
        </w:tc>
        <w:tc>
          <w:tcPr>
            <w:tcW w:w="8876" w:type="dxa"/>
            <w:tcBorders>
              <w:top w:val="nil"/>
              <w:left w:val="nil"/>
              <w:bottom w:val="nil"/>
              <w:right w:val="nil"/>
            </w:tcBorders>
            <w:shd w:val="clear" w:color="auto" w:fill="auto"/>
            <w:noWrap/>
            <w:vAlign w:val="bottom"/>
            <w:hideMark/>
          </w:tcPr>
          <w:p w14:paraId="5C4116F5" w14:textId="0AAF6816"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Financial </w:t>
            </w:r>
            <w:r w:rsidR="003F3EFD">
              <w:rPr>
                <w:rFonts w:asciiTheme="minorHAnsi" w:eastAsia="Times New Roman" w:hAnsiTheme="minorHAnsi"/>
                <w:sz w:val="22"/>
                <w:szCs w:val="22"/>
              </w:rPr>
              <w:t>t</w:t>
            </w:r>
            <w:r w:rsidR="003F3EFD" w:rsidRPr="006F38A9">
              <w:rPr>
                <w:rFonts w:asciiTheme="minorHAnsi" w:eastAsia="Times New Roman" w:hAnsiTheme="minorHAnsi"/>
                <w:sz w:val="22"/>
                <w:szCs w:val="22"/>
              </w:rPr>
              <w:t xml:space="preserve">ransactions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rocessing</w:t>
            </w:r>
            <w:r w:rsidRPr="006F38A9">
              <w:rPr>
                <w:rFonts w:asciiTheme="minorHAnsi" w:eastAsia="Times New Roman" w:hAnsiTheme="minorHAnsi"/>
                <w:sz w:val="22"/>
                <w:szCs w:val="22"/>
              </w:rPr>
              <w:t xml:space="preserve">, </w:t>
            </w:r>
            <w:r w:rsidR="003F3EFD">
              <w:rPr>
                <w:rFonts w:asciiTheme="minorHAnsi" w:eastAsia="Times New Roman" w:hAnsiTheme="minorHAnsi"/>
                <w:sz w:val="22"/>
                <w:szCs w:val="22"/>
              </w:rPr>
              <w:t>r</w:t>
            </w:r>
            <w:r w:rsidR="003F3EFD" w:rsidRPr="006F38A9">
              <w:rPr>
                <w:rFonts w:asciiTheme="minorHAnsi" w:eastAsia="Times New Roman" w:hAnsiTheme="minorHAnsi"/>
                <w:sz w:val="22"/>
                <w:szCs w:val="22"/>
              </w:rPr>
              <w:t>eserve</w:t>
            </w:r>
            <w:r w:rsidRPr="006F38A9">
              <w:rPr>
                <w:rFonts w:asciiTheme="minorHAnsi" w:eastAsia="Times New Roman" w:hAnsiTheme="minorHAnsi"/>
                <w:sz w:val="22"/>
                <w:szCs w:val="22"/>
              </w:rPr>
              <w:t xml:space="preserve">, and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learinghouse </w:t>
            </w:r>
            <w:r w:rsidR="003F3EFD">
              <w:rPr>
                <w:rFonts w:asciiTheme="minorHAnsi" w:eastAsia="Times New Roman" w:hAnsiTheme="minorHAnsi"/>
                <w:sz w:val="22"/>
                <w:szCs w:val="22"/>
              </w:rPr>
              <w:t>a</w:t>
            </w:r>
            <w:r w:rsidR="003F3EFD" w:rsidRPr="006F38A9">
              <w:rPr>
                <w:rFonts w:asciiTheme="minorHAnsi" w:eastAsia="Times New Roman" w:hAnsiTheme="minorHAnsi"/>
                <w:sz w:val="22"/>
                <w:szCs w:val="22"/>
              </w:rPr>
              <w:t xml:space="preserve">ctivities </w:t>
            </w:r>
          </w:p>
        </w:tc>
      </w:tr>
      <w:tr w:rsidR="00FC5F21" w:rsidRPr="006F38A9" w14:paraId="6C85C5E4"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41731D46"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523110</w:t>
            </w:r>
          </w:p>
        </w:tc>
        <w:tc>
          <w:tcPr>
            <w:tcW w:w="8876" w:type="dxa"/>
            <w:tcBorders>
              <w:top w:val="nil"/>
              <w:left w:val="nil"/>
              <w:bottom w:val="nil"/>
              <w:right w:val="nil"/>
            </w:tcBorders>
            <w:shd w:val="clear" w:color="auto" w:fill="auto"/>
            <w:noWrap/>
            <w:vAlign w:val="bottom"/>
            <w:hideMark/>
          </w:tcPr>
          <w:p w14:paraId="7836E1EA" w14:textId="4FDD6BF1"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Investment </w:t>
            </w:r>
            <w:r w:rsidR="003F3EFD">
              <w:rPr>
                <w:rFonts w:asciiTheme="minorHAnsi" w:eastAsia="Times New Roman" w:hAnsiTheme="minorHAnsi"/>
                <w:sz w:val="22"/>
                <w:szCs w:val="22"/>
              </w:rPr>
              <w:t>b</w:t>
            </w:r>
            <w:r w:rsidR="003F3EFD" w:rsidRPr="006F38A9">
              <w:rPr>
                <w:rFonts w:asciiTheme="minorHAnsi" w:eastAsia="Times New Roman" w:hAnsiTheme="minorHAnsi"/>
                <w:sz w:val="22"/>
                <w:szCs w:val="22"/>
              </w:rPr>
              <w:t xml:space="preserve">anking </w:t>
            </w:r>
            <w:r w:rsidRPr="006F38A9">
              <w:rPr>
                <w:rFonts w:asciiTheme="minorHAnsi" w:eastAsia="Times New Roman" w:hAnsiTheme="minorHAnsi"/>
                <w:sz w:val="22"/>
                <w:szCs w:val="22"/>
              </w:rPr>
              <w:t xml:space="preserve">and </w:t>
            </w:r>
            <w:r w:rsidR="003F3EFD">
              <w:rPr>
                <w:rFonts w:asciiTheme="minorHAnsi" w:eastAsia="Times New Roman" w:hAnsiTheme="minorHAnsi"/>
                <w:sz w:val="22"/>
                <w:szCs w:val="22"/>
              </w:rPr>
              <w:t>s</w:t>
            </w:r>
            <w:r w:rsidR="003F3EFD" w:rsidRPr="006F38A9">
              <w:rPr>
                <w:rFonts w:asciiTheme="minorHAnsi" w:eastAsia="Times New Roman" w:hAnsiTheme="minorHAnsi"/>
                <w:sz w:val="22"/>
                <w:szCs w:val="22"/>
              </w:rPr>
              <w:t xml:space="preserve">ecurities </w:t>
            </w:r>
            <w:r w:rsidR="003F3EFD">
              <w:rPr>
                <w:rFonts w:asciiTheme="minorHAnsi" w:eastAsia="Times New Roman" w:hAnsiTheme="minorHAnsi"/>
                <w:sz w:val="22"/>
                <w:szCs w:val="22"/>
              </w:rPr>
              <w:t>d</w:t>
            </w:r>
            <w:r w:rsidR="003F3EFD" w:rsidRPr="006F38A9">
              <w:rPr>
                <w:rFonts w:asciiTheme="minorHAnsi" w:eastAsia="Times New Roman" w:hAnsiTheme="minorHAnsi"/>
                <w:sz w:val="22"/>
                <w:szCs w:val="22"/>
              </w:rPr>
              <w:t xml:space="preserve">ealing </w:t>
            </w:r>
          </w:p>
        </w:tc>
      </w:tr>
      <w:tr w:rsidR="00FC5F21" w:rsidRPr="006F38A9" w14:paraId="0E528C06"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6305ADA4"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523120</w:t>
            </w:r>
          </w:p>
        </w:tc>
        <w:tc>
          <w:tcPr>
            <w:tcW w:w="8876" w:type="dxa"/>
            <w:tcBorders>
              <w:top w:val="nil"/>
              <w:left w:val="nil"/>
              <w:bottom w:val="nil"/>
              <w:right w:val="nil"/>
            </w:tcBorders>
            <w:shd w:val="clear" w:color="auto" w:fill="auto"/>
            <w:noWrap/>
            <w:vAlign w:val="bottom"/>
            <w:hideMark/>
          </w:tcPr>
          <w:p w14:paraId="6BE3697B" w14:textId="7C82E29A"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Securities </w:t>
            </w:r>
            <w:r w:rsidR="003F3EFD">
              <w:rPr>
                <w:rFonts w:asciiTheme="minorHAnsi" w:eastAsia="Times New Roman" w:hAnsiTheme="minorHAnsi"/>
                <w:sz w:val="22"/>
                <w:szCs w:val="22"/>
              </w:rPr>
              <w:t>b</w:t>
            </w:r>
            <w:r w:rsidR="003F3EFD" w:rsidRPr="006F38A9">
              <w:rPr>
                <w:rFonts w:asciiTheme="minorHAnsi" w:eastAsia="Times New Roman" w:hAnsiTheme="minorHAnsi"/>
                <w:sz w:val="22"/>
                <w:szCs w:val="22"/>
              </w:rPr>
              <w:t xml:space="preserve">rokerage </w:t>
            </w:r>
          </w:p>
        </w:tc>
      </w:tr>
      <w:tr w:rsidR="00FC5F21" w:rsidRPr="006F38A9" w14:paraId="2BAC6587"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0FD26ADE"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523130</w:t>
            </w:r>
          </w:p>
        </w:tc>
        <w:tc>
          <w:tcPr>
            <w:tcW w:w="8876" w:type="dxa"/>
            <w:tcBorders>
              <w:top w:val="nil"/>
              <w:left w:val="nil"/>
              <w:bottom w:val="nil"/>
              <w:right w:val="nil"/>
            </w:tcBorders>
            <w:shd w:val="clear" w:color="auto" w:fill="auto"/>
            <w:noWrap/>
            <w:vAlign w:val="bottom"/>
            <w:hideMark/>
          </w:tcPr>
          <w:p w14:paraId="165A9254" w14:textId="504821A4"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Commodity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ontracts </w:t>
            </w:r>
            <w:r w:rsidR="003F3EFD">
              <w:rPr>
                <w:rFonts w:asciiTheme="minorHAnsi" w:eastAsia="Times New Roman" w:hAnsiTheme="minorHAnsi"/>
                <w:sz w:val="22"/>
                <w:szCs w:val="22"/>
              </w:rPr>
              <w:t>d</w:t>
            </w:r>
            <w:r w:rsidR="003F3EFD" w:rsidRPr="006F38A9">
              <w:rPr>
                <w:rFonts w:asciiTheme="minorHAnsi" w:eastAsia="Times New Roman" w:hAnsiTheme="minorHAnsi"/>
                <w:sz w:val="22"/>
                <w:szCs w:val="22"/>
              </w:rPr>
              <w:t xml:space="preserve">ealing </w:t>
            </w:r>
          </w:p>
        </w:tc>
      </w:tr>
      <w:tr w:rsidR="00FC5F21" w:rsidRPr="006F38A9" w14:paraId="78449F01"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0FBFAAB0"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523210</w:t>
            </w:r>
          </w:p>
        </w:tc>
        <w:tc>
          <w:tcPr>
            <w:tcW w:w="8876" w:type="dxa"/>
            <w:tcBorders>
              <w:top w:val="nil"/>
              <w:left w:val="nil"/>
              <w:bottom w:val="nil"/>
              <w:right w:val="nil"/>
            </w:tcBorders>
            <w:shd w:val="clear" w:color="auto" w:fill="auto"/>
            <w:noWrap/>
            <w:vAlign w:val="bottom"/>
            <w:hideMark/>
          </w:tcPr>
          <w:p w14:paraId="4703CFB8" w14:textId="70971D5F"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Securities and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ommodity </w:t>
            </w:r>
            <w:r w:rsidR="003F3EFD">
              <w:rPr>
                <w:rFonts w:asciiTheme="minorHAnsi" w:eastAsia="Times New Roman" w:hAnsiTheme="minorHAnsi"/>
                <w:sz w:val="22"/>
                <w:szCs w:val="22"/>
              </w:rPr>
              <w:t>e</w:t>
            </w:r>
            <w:r w:rsidR="003F3EFD" w:rsidRPr="006F38A9">
              <w:rPr>
                <w:rFonts w:asciiTheme="minorHAnsi" w:eastAsia="Times New Roman" w:hAnsiTheme="minorHAnsi"/>
                <w:sz w:val="22"/>
                <w:szCs w:val="22"/>
              </w:rPr>
              <w:t>xchanges</w:t>
            </w:r>
          </w:p>
        </w:tc>
      </w:tr>
      <w:tr w:rsidR="00FC5F21" w:rsidRPr="006F38A9" w14:paraId="7FD62023"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B94EF68"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523910</w:t>
            </w:r>
          </w:p>
        </w:tc>
        <w:tc>
          <w:tcPr>
            <w:tcW w:w="8876" w:type="dxa"/>
            <w:tcBorders>
              <w:top w:val="nil"/>
              <w:left w:val="nil"/>
              <w:bottom w:val="nil"/>
              <w:right w:val="nil"/>
            </w:tcBorders>
            <w:shd w:val="clear" w:color="auto" w:fill="auto"/>
            <w:noWrap/>
            <w:vAlign w:val="bottom"/>
            <w:hideMark/>
          </w:tcPr>
          <w:p w14:paraId="1BB16756" w14:textId="704EC99C"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Miscellaneous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ntermediation </w:t>
            </w:r>
          </w:p>
        </w:tc>
      </w:tr>
      <w:tr w:rsidR="00FC5F21" w:rsidRPr="006F38A9" w14:paraId="4C623684"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549BCD02"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523930</w:t>
            </w:r>
          </w:p>
        </w:tc>
        <w:tc>
          <w:tcPr>
            <w:tcW w:w="8876" w:type="dxa"/>
            <w:tcBorders>
              <w:top w:val="nil"/>
              <w:left w:val="nil"/>
              <w:bottom w:val="nil"/>
              <w:right w:val="nil"/>
            </w:tcBorders>
            <w:shd w:val="clear" w:color="auto" w:fill="auto"/>
            <w:noWrap/>
            <w:vAlign w:val="bottom"/>
            <w:hideMark/>
          </w:tcPr>
          <w:p w14:paraId="7814ADF3" w14:textId="19994881"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Investment </w:t>
            </w:r>
            <w:r w:rsidR="003F3EFD">
              <w:rPr>
                <w:rFonts w:asciiTheme="minorHAnsi" w:eastAsia="Times New Roman" w:hAnsiTheme="minorHAnsi"/>
                <w:sz w:val="22"/>
                <w:szCs w:val="22"/>
              </w:rPr>
              <w:t>a</w:t>
            </w:r>
            <w:r w:rsidR="003F3EFD" w:rsidRPr="006F38A9">
              <w:rPr>
                <w:rFonts w:asciiTheme="minorHAnsi" w:eastAsia="Times New Roman" w:hAnsiTheme="minorHAnsi"/>
                <w:sz w:val="22"/>
                <w:szCs w:val="22"/>
              </w:rPr>
              <w:t xml:space="preserve">dvice </w:t>
            </w:r>
          </w:p>
        </w:tc>
      </w:tr>
      <w:tr w:rsidR="00FC5F21" w:rsidRPr="006F38A9" w14:paraId="1D2C45DC"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6ED24DE0"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523991</w:t>
            </w:r>
          </w:p>
        </w:tc>
        <w:tc>
          <w:tcPr>
            <w:tcW w:w="8876" w:type="dxa"/>
            <w:tcBorders>
              <w:top w:val="nil"/>
              <w:left w:val="nil"/>
              <w:bottom w:val="nil"/>
              <w:right w:val="nil"/>
            </w:tcBorders>
            <w:shd w:val="clear" w:color="auto" w:fill="auto"/>
            <w:noWrap/>
            <w:vAlign w:val="bottom"/>
            <w:hideMark/>
          </w:tcPr>
          <w:p w14:paraId="1502881C" w14:textId="06CED363"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Trust, </w:t>
            </w:r>
            <w:r w:rsidR="003F3EFD">
              <w:rPr>
                <w:rFonts w:asciiTheme="minorHAnsi" w:eastAsia="Times New Roman" w:hAnsiTheme="minorHAnsi"/>
                <w:sz w:val="22"/>
                <w:szCs w:val="22"/>
              </w:rPr>
              <w:t>fi</w:t>
            </w:r>
            <w:r w:rsidR="003F3EFD" w:rsidRPr="006F38A9">
              <w:rPr>
                <w:rFonts w:asciiTheme="minorHAnsi" w:eastAsia="Times New Roman" w:hAnsiTheme="minorHAnsi"/>
                <w:sz w:val="22"/>
                <w:szCs w:val="22"/>
              </w:rPr>
              <w:t>duciary</w:t>
            </w:r>
            <w:r w:rsidRPr="006F38A9">
              <w:rPr>
                <w:rFonts w:asciiTheme="minorHAnsi" w:eastAsia="Times New Roman" w:hAnsiTheme="minorHAnsi"/>
                <w:sz w:val="22"/>
                <w:szCs w:val="22"/>
              </w:rPr>
              <w:t xml:space="preserve">, and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ustody </w:t>
            </w:r>
            <w:r w:rsidR="003F3EFD">
              <w:rPr>
                <w:rFonts w:asciiTheme="minorHAnsi" w:eastAsia="Times New Roman" w:hAnsiTheme="minorHAnsi"/>
                <w:sz w:val="22"/>
                <w:szCs w:val="22"/>
              </w:rPr>
              <w:t>a</w:t>
            </w:r>
            <w:r w:rsidR="003F3EFD" w:rsidRPr="006F38A9">
              <w:rPr>
                <w:rFonts w:asciiTheme="minorHAnsi" w:eastAsia="Times New Roman" w:hAnsiTheme="minorHAnsi"/>
                <w:sz w:val="22"/>
                <w:szCs w:val="22"/>
              </w:rPr>
              <w:t xml:space="preserve">ctivities </w:t>
            </w:r>
          </w:p>
        </w:tc>
      </w:tr>
      <w:tr w:rsidR="00FC5F21" w:rsidRPr="006F38A9" w14:paraId="7585DAC0"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4680B86D"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523999</w:t>
            </w:r>
          </w:p>
        </w:tc>
        <w:tc>
          <w:tcPr>
            <w:tcW w:w="8876" w:type="dxa"/>
            <w:tcBorders>
              <w:top w:val="nil"/>
              <w:left w:val="nil"/>
              <w:bottom w:val="nil"/>
              <w:right w:val="nil"/>
            </w:tcBorders>
            <w:shd w:val="clear" w:color="auto" w:fill="auto"/>
            <w:noWrap/>
            <w:vAlign w:val="bottom"/>
            <w:hideMark/>
          </w:tcPr>
          <w:p w14:paraId="53300D94" w14:textId="0C94017C"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Miscellaneous </w:t>
            </w:r>
            <w:r w:rsidR="003F3EFD">
              <w:rPr>
                <w:rFonts w:asciiTheme="minorHAnsi" w:eastAsia="Times New Roman" w:hAnsiTheme="minorHAnsi"/>
                <w:sz w:val="22"/>
                <w:szCs w:val="22"/>
              </w:rPr>
              <w:t>f</w:t>
            </w:r>
            <w:r w:rsidR="003F3EFD" w:rsidRPr="006F38A9">
              <w:rPr>
                <w:rFonts w:asciiTheme="minorHAnsi" w:eastAsia="Times New Roman" w:hAnsiTheme="minorHAnsi"/>
                <w:sz w:val="22"/>
                <w:szCs w:val="22"/>
              </w:rPr>
              <w:t xml:space="preserve">inancial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nvestment </w:t>
            </w:r>
            <w:r w:rsidR="003F3EFD">
              <w:rPr>
                <w:rFonts w:asciiTheme="minorHAnsi" w:eastAsia="Times New Roman" w:hAnsiTheme="minorHAnsi"/>
                <w:sz w:val="22"/>
                <w:szCs w:val="22"/>
              </w:rPr>
              <w:t>a</w:t>
            </w:r>
            <w:r w:rsidR="003F3EFD" w:rsidRPr="006F38A9">
              <w:rPr>
                <w:rFonts w:asciiTheme="minorHAnsi" w:eastAsia="Times New Roman" w:hAnsiTheme="minorHAnsi"/>
                <w:sz w:val="22"/>
                <w:szCs w:val="22"/>
              </w:rPr>
              <w:t xml:space="preserve">ctivities </w:t>
            </w:r>
          </w:p>
        </w:tc>
      </w:tr>
      <w:tr w:rsidR="00FC5F21" w:rsidRPr="006F38A9" w14:paraId="23104D44" w14:textId="77777777" w:rsidTr="00BC07A6">
        <w:trPr>
          <w:trHeight w:val="300"/>
        </w:trPr>
        <w:tc>
          <w:tcPr>
            <w:tcW w:w="1376" w:type="dxa"/>
            <w:tcBorders>
              <w:top w:val="nil"/>
              <w:left w:val="nil"/>
              <w:bottom w:val="nil"/>
              <w:right w:val="nil"/>
            </w:tcBorders>
            <w:shd w:val="clear" w:color="000000" w:fill="FFFFFF" w:themeFill="background1"/>
            <w:noWrap/>
            <w:vAlign w:val="bottom"/>
          </w:tcPr>
          <w:p w14:paraId="2B25FED9"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561450</w:t>
            </w:r>
          </w:p>
        </w:tc>
        <w:tc>
          <w:tcPr>
            <w:tcW w:w="8876" w:type="dxa"/>
            <w:tcBorders>
              <w:top w:val="nil"/>
              <w:left w:val="nil"/>
              <w:bottom w:val="nil"/>
              <w:right w:val="nil"/>
            </w:tcBorders>
            <w:shd w:val="clear" w:color="auto" w:fill="auto"/>
            <w:noWrap/>
            <w:vAlign w:val="bottom"/>
          </w:tcPr>
          <w:p w14:paraId="6BAE917D" w14:textId="25099F3B"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Credit </w:t>
            </w:r>
            <w:r w:rsidR="003F3EFD">
              <w:rPr>
                <w:rFonts w:asciiTheme="minorHAnsi" w:eastAsia="Times New Roman" w:hAnsiTheme="minorHAnsi"/>
                <w:sz w:val="22"/>
                <w:szCs w:val="22"/>
              </w:rPr>
              <w:t>b</w:t>
            </w:r>
            <w:r w:rsidR="003F3EFD" w:rsidRPr="006F38A9">
              <w:rPr>
                <w:rFonts w:asciiTheme="minorHAnsi" w:eastAsia="Times New Roman" w:hAnsiTheme="minorHAnsi"/>
                <w:sz w:val="22"/>
                <w:szCs w:val="22"/>
              </w:rPr>
              <w:t>ureaus</w:t>
            </w:r>
          </w:p>
        </w:tc>
      </w:tr>
    </w:tbl>
    <w:p w14:paraId="4370F010" w14:textId="77777777" w:rsidR="00FC5F21" w:rsidRPr="006F38A9" w:rsidRDefault="00FC5F21" w:rsidP="001D5DAF">
      <w:pPr>
        <w:rPr>
          <w:rFonts w:asciiTheme="minorHAnsi" w:hAnsiTheme="minorHAnsi"/>
          <w:sz w:val="22"/>
          <w:szCs w:val="22"/>
        </w:rPr>
      </w:pPr>
    </w:p>
    <w:p w14:paraId="5EB65ECB" w14:textId="77777777" w:rsidR="00FC5F21" w:rsidRPr="006F38A9" w:rsidRDefault="00FC5F21" w:rsidP="001D5DAF">
      <w:pPr>
        <w:rPr>
          <w:rFonts w:asciiTheme="minorHAnsi" w:hAnsiTheme="minorHAnsi"/>
          <w:sz w:val="22"/>
          <w:szCs w:val="22"/>
        </w:rPr>
      </w:pPr>
      <w:r w:rsidRPr="006F38A9">
        <w:rPr>
          <w:rFonts w:asciiTheme="minorHAnsi" w:hAnsiTheme="minorHAnsi"/>
          <w:sz w:val="22"/>
          <w:szCs w:val="22"/>
        </w:rPr>
        <w:t>Insurance</w:t>
      </w:r>
    </w:p>
    <w:tbl>
      <w:tblPr>
        <w:tblW w:w="10252" w:type="dxa"/>
        <w:tblInd w:w="108" w:type="dxa"/>
        <w:tblLook w:val="04A0" w:firstRow="1" w:lastRow="0" w:firstColumn="1" w:lastColumn="0" w:noHBand="0" w:noVBand="1"/>
      </w:tblPr>
      <w:tblGrid>
        <w:gridCol w:w="1376"/>
        <w:gridCol w:w="8876"/>
      </w:tblGrid>
      <w:tr w:rsidR="00FC5F21" w:rsidRPr="006F38A9" w14:paraId="2B8A643E"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155F6871"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524113</w:t>
            </w:r>
          </w:p>
        </w:tc>
        <w:tc>
          <w:tcPr>
            <w:tcW w:w="8876" w:type="dxa"/>
            <w:tcBorders>
              <w:top w:val="nil"/>
              <w:left w:val="nil"/>
              <w:bottom w:val="nil"/>
              <w:right w:val="nil"/>
            </w:tcBorders>
            <w:shd w:val="clear" w:color="auto" w:fill="auto"/>
            <w:noWrap/>
            <w:vAlign w:val="bottom"/>
            <w:hideMark/>
          </w:tcPr>
          <w:p w14:paraId="08367099" w14:textId="3915D643"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Direct </w:t>
            </w:r>
            <w:r w:rsidR="003F3EFD">
              <w:rPr>
                <w:rFonts w:asciiTheme="minorHAnsi" w:eastAsia="Times New Roman" w:hAnsiTheme="minorHAnsi"/>
                <w:sz w:val="22"/>
                <w:szCs w:val="22"/>
              </w:rPr>
              <w:t>l</w:t>
            </w:r>
            <w:r w:rsidR="003F3EFD" w:rsidRPr="006F38A9">
              <w:rPr>
                <w:rFonts w:asciiTheme="minorHAnsi" w:eastAsia="Times New Roman" w:hAnsiTheme="minorHAnsi"/>
                <w:sz w:val="22"/>
                <w:szCs w:val="22"/>
              </w:rPr>
              <w:t xml:space="preserve">ife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nsurance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arriers </w:t>
            </w:r>
          </w:p>
        </w:tc>
      </w:tr>
      <w:tr w:rsidR="00FC5F21" w:rsidRPr="006F38A9" w14:paraId="0EE1BCE1"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7345D03"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524114</w:t>
            </w:r>
          </w:p>
        </w:tc>
        <w:tc>
          <w:tcPr>
            <w:tcW w:w="8876" w:type="dxa"/>
            <w:tcBorders>
              <w:top w:val="nil"/>
              <w:left w:val="nil"/>
              <w:bottom w:val="nil"/>
              <w:right w:val="nil"/>
            </w:tcBorders>
            <w:shd w:val="clear" w:color="auto" w:fill="auto"/>
            <w:noWrap/>
            <w:vAlign w:val="bottom"/>
            <w:hideMark/>
          </w:tcPr>
          <w:p w14:paraId="2EE128AA" w14:textId="7F978580"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Direct </w:t>
            </w:r>
            <w:r w:rsidR="003F3EFD">
              <w:rPr>
                <w:rFonts w:asciiTheme="minorHAnsi" w:eastAsia="Times New Roman" w:hAnsiTheme="minorHAnsi"/>
                <w:sz w:val="22"/>
                <w:szCs w:val="22"/>
              </w:rPr>
              <w:t>h</w:t>
            </w:r>
            <w:r w:rsidR="003F3EFD" w:rsidRPr="006F38A9">
              <w:rPr>
                <w:rFonts w:asciiTheme="minorHAnsi" w:eastAsia="Times New Roman" w:hAnsiTheme="minorHAnsi"/>
                <w:sz w:val="22"/>
                <w:szCs w:val="22"/>
              </w:rPr>
              <w:t xml:space="preserve">ealth </w:t>
            </w:r>
            <w:r w:rsidRPr="006F38A9">
              <w:rPr>
                <w:rFonts w:asciiTheme="minorHAnsi" w:eastAsia="Times New Roman" w:hAnsiTheme="minorHAnsi"/>
                <w:sz w:val="22"/>
                <w:szCs w:val="22"/>
              </w:rPr>
              <w:t xml:space="preserve">and </w:t>
            </w:r>
            <w:r w:rsidR="003F3EFD">
              <w:rPr>
                <w:rFonts w:asciiTheme="minorHAnsi" w:eastAsia="Times New Roman" w:hAnsiTheme="minorHAnsi"/>
                <w:sz w:val="22"/>
                <w:szCs w:val="22"/>
              </w:rPr>
              <w:t>m</w:t>
            </w:r>
            <w:r w:rsidR="003F3EFD" w:rsidRPr="006F38A9">
              <w:rPr>
                <w:rFonts w:asciiTheme="minorHAnsi" w:eastAsia="Times New Roman" w:hAnsiTheme="minorHAnsi"/>
                <w:sz w:val="22"/>
                <w:szCs w:val="22"/>
              </w:rPr>
              <w:t xml:space="preserve">edical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nsurance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arriers </w:t>
            </w:r>
          </w:p>
        </w:tc>
      </w:tr>
      <w:tr w:rsidR="00FC5F21" w:rsidRPr="006F38A9" w14:paraId="77089A73"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0517C348"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524126</w:t>
            </w:r>
          </w:p>
        </w:tc>
        <w:tc>
          <w:tcPr>
            <w:tcW w:w="8876" w:type="dxa"/>
            <w:tcBorders>
              <w:top w:val="nil"/>
              <w:left w:val="nil"/>
              <w:bottom w:val="nil"/>
              <w:right w:val="nil"/>
            </w:tcBorders>
            <w:shd w:val="clear" w:color="auto" w:fill="auto"/>
            <w:noWrap/>
            <w:vAlign w:val="bottom"/>
            <w:hideMark/>
          </w:tcPr>
          <w:p w14:paraId="7BAB55D4" w14:textId="54EBA71F"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Direct </w:t>
            </w:r>
            <w:r w:rsidR="003F3EFD">
              <w:rPr>
                <w:rFonts w:asciiTheme="minorHAnsi" w:eastAsia="Times New Roman" w:hAnsiTheme="minorHAnsi"/>
                <w:sz w:val="22"/>
                <w:szCs w:val="22"/>
              </w:rPr>
              <w:t>p</w:t>
            </w:r>
            <w:r w:rsidR="003F3EFD" w:rsidRPr="006F38A9">
              <w:rPr>
                <w:rFonts w:asciiTheme="minorHAnsi" w:eastAsia="Times New Roman" w:hAnsiTheme="minorHAnsi"/>
                <w:sz w:val="22"/>
                <w:szCs w:val="22"/>
              </w:rPr>
              <w:t xml:space="preserve">roperty </w:t>
            </w:r>
            <w:r w:rsidRPr="006F38A9">
              <w:rPr>
                <w:rFonts w:asciiTheme="minorHAnsi" w:eastAsia="Times New Roman" w:hAnsiTheme="minorHAnsi"/>
                <w:sz w:val="22"/>
                <w:szCs w:val="22"/>
              </w:rPr>
              <w:t xml:space="preserve">and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asualty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nsurance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arriers </w:t>
            </w:r>
          </w:p>
        </w:tc>
      </w:tr>
      <w:tr w:rsidR="00FC5F21" w:rsidRPr="006F38A9" w14:paraId="621EBE83"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201A3879"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524128</w:t>
            </w:r>
          </w:p>
        </w:tc>
        <w:tc>
          <w:tcPr>
            <w:tcW w:w="8876" w:type="dxa"/>
            <w:tcBorders>
              <w:top w:val="nil"/>
              <w:left w:val="nil"/>
              <w:bottom w:val="nil"/>
              <w:right w:val="nil"/>
            </w:tcBorders>
            <w:shd w:val="clear" w:color="auto" w:fill="auto"/>
            <w:noWrap/>
            <w:vAlign w:val="bottom"/>
            <w:hideMark/>
          </w:tcPr>
          <w:p w14:paraId="28F535D4" w14:textId="3CC87673"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Other </w:t>
            </w:r>
            <w:r w:rsidR="003F3EFD">
              <w:rPr>
                <w:rFonts w:asciiTheme="minorHAnsi" w:eastAsia="Times New Roman" w:hAnsiTheme="minorHAnsi"/>
                <w:sz w:val="22"/>
                <w:szCs w:val="22"/>
              </w:rPr>
              <w:t>d</w:t>
            </w:r>
            <w:r w:rsidR="003F3EFD" w:rsidRPr="006F38A9">
              <w:rPr>
                <w:rFonts w:asciiTheme="minorHAnsi" w:eastAsia="Times New Roman" w:hAnsiTheme="minorHAnsi"/>
                <w:sz w:val="22"/>
                <w:szCs w:val="22"/>
              </w:rPr>
              <w:t xml:space="preserve">irect </w:t>
            </w:r>
            <w:r w:rsidR="003F3EFD">
              <w:rPr>
                <w:rFonts w:asciiTheme="minorHAnsi" w:eastAsia="Times New Roman" w:hAnsiTheme="minorHAnsi"/>
                <w:sz w:val="22"/>
                <w:szCs w:val="22"/>
              </w:rPr>
              <w:t>i</w:t>
            </w:r>
            <w:r w:rsidR="003F3EFD" w:rsidRPr="006F38A9">
              <w:rPr>
                <w:rFonts w:asciiTheme="minorHAnsi" w:eastAsia="Times New Roman" w:hAnsiTheme="minorHAnsi"/>
                <w:sz w:val="22"/>
                <w:szCs w:val="22"/>
              </w:rPr>
              <w:t xml:space="preserve">nsurance </w:t>
            </w:r>
            <w:r w:rsidRPr="006F38A9">
              <w:rPr>
                <w:rFonts w:asciiTheme="minorHAnsi" w:eastAsia="Times New Roman" w:hAnsiTheme="minorHAnsi"/>
                <w:sz w:val="22"/>
                <w:szCs w:val="22"/>
              </w:rPr>
              <w:t xml:space="preserve">(except </w:t>
            </w:r>
            <w:r w:rsidR="003F3EFD">
              <w:rPr>
                <w:rFonts w:asciiTheme="minorHAnsi" w:eastAsia="Times New Roman" w:hAnsiTheme="minorHAnsi"/>
                <w:sz w:val="22"/>
                <w:szCs w:val="22"/>
              </w:rPr>
              <w:t>l</w:t>
            </w:r>
            <w:r w:rsidR="003F3EFD" w:rsidRPr="006F38A9">
              <w:rPr>
                <w:rFonts w:asciiTheme="minorHAnsi" w:eastAsia="Times New Roman" w:hAnsiTheme="minorHAnsi"/>
                <w:sz w:val="22"/>
                <w:szCs w:val="22"/>
              </w:rPr>
              <w:t>ife</w:t>
            </w:r>
            <w:r w:rsidRPr="006F38A9">
              <w:rPr>
                <w:rFonts w:asciiTheme="minorHAnsi" w:eastAsia="Times New Roman" w:hAnsiTheme="minorHAnsi"/>
                <w:sz w:val="22"/>
                <w:szCs w:val="22"/>
              </w:rPr>
              <w:t xml:space="preserve">, </w:t>
            </w:r>
            <w:r w:rsidR="003F3EFD">
              <w:rPr>
                <w:rFonts w:asciiTheme="minorHAnsi" w:eastAsia="Times New Roman" w:hAnsiTheme="minorHAnsi"/>
                <w:sz w:val="22"/>
                <w:szCs w:val="22"/>
              </w:rPr>
              <w:t>h</w:t>
            </w:r>
            <w:r w:rsidR="003F3EFD" w:rsidRPr="006F38A9">
              <w:rPr>
                <w:rFonts w:asciiTheme="minorHAnsi" w:eastAsia="Times New Roman" w:hAnsiTheme="minorHAnsi"/>
                <w:sz w:val="22"/>
                <w:szCs w:val="22"/>
              </w:rPr>
              <w:t>ealth</w:t>
            </w:r>
            <w:r w:rsidRPr="006F38A9">
              <w:rPr>
                <w:rFonts w:asciiTheme="minorHAnsi" w:eastAsia="Times New Roman" w:hAnsiTheme="minorHAnsi"/>
                <w:sz w:val="22"/>
                <w:szCs w:val="22"/>
              </w:rPr>
              <w:t xml:space="preserve">, and </w:t>
            </w:r>
            <w:r w:rsidR="003F3EFD">
              <w:rPr>
                <w:rFonts w:asciiTheme="minorHAnsi" w:eastAsia="Times New Roman" w:hAnsiTheme="minorHAnsi"/>
                <w:sz w:val="22"/>
                <w:szCs w:val="22"/>
              </w:rPr>
              <w:t>m</w:t>
            </w:r>
            <w:r w:rsidR="003F3EFD" w:rsidRPr="006F38A9">
              <w:rPr>
                <w:rFonts w:asciiTheme="minorHAnsi" w:eastAsia="Times New Roman" w:hAnsiTheme="minorHAnsi"/>
                <w:sz w:val="22"/>
                <w:szCs w:val="22"/>
              </w:rPr>
              <w:t>edical</w:t>
            </w:r>
            <w:r w:rsidRPr="006F38A9">
              <w:rPr>
                <w:rFonts w:asciiTheme="minorHAnsi" w:eastAsia="Times New Roman" w:hAnsiTheme="minorHAnsi"/>
                <w:sz w:val="22"/>
                <w:szCs w:val="22"/>
              </w:rPr>
              <w:t xml:space="preserve">)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arriers </w:t>
            </w:r>
          </w:p>
        </w:tc>
      </w:tr>
      <w:tr w:rsidR="00FC5F21" w:rsidRPr="006F38A9" w14:paraId="698448A5"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507F7FC8"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524210</w:t>
            </w:r>
          </w:p>
        </w:tc>
        <w:tc>
          <w:tcPr>
            <w:tcW w:w="8876" w:type="dxa"/>
            <w:tcBorders>
              <w:top w:val="nil"/>
              <w:left w:val="nil"/>
              <w:bottom w:val="nil"/>
              <w:right w:val="nil"/>
            </w:tcBorders>
            <w:shd w:val="clear" w:color="auto" w:fill="auto"/>
            <w:noWrap/>
            <w:vAlign w:val="bottom"/>
            <w:hideMark/>
          </w:tcPr>
          <w:p w14:paraId="4655ED7A" w14:textId="2E42AB1E"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Insurance </w:t>
            </w:r>
            <w:r w:rsidR="003F3EFD">
              <w:rPr>
                <w:rFonts w:asciiTheme="minorHAnsi" w:eastAsia="Times New Roman" w:hAnsiTheme="minorHAnsi"/>
                <w:sz w:val="22"/>
                <w:szCs w:val="22"/>
              </w:rPr>
              <w:t>a</w:t>
            </w:r>
            <w:r w:rsidR="003F3EFD" w:rsidRPr="006F38A9">
              <w:rPr>
                <w:rFonts w:asciiTheme="minorHAnsi" w:eastAsia="Times New Roman" w:hAnsiTheme="minorHAnsi"/>
                <w:sz w:val="22"/>
                <w:szCs w:val="22"/>
              </w:rPr>
              <w:t xml:space="preserve">gencies </w:t>
            </w:r>
            <w:r w:rsidRPr="006F38A9">
              <w:rPr>
                <w:rFonts w:asciiTheme="minorHAnsi" w:eastAsia="Times New Roman" w:hAnsiTheme="minorHAnsi"/>
                <w:sz w:val="22"/>
                <w:szCs w:val="22"/>
              </w:rPr>
              <w:t xml:space="preserve">and </w:t>
            </w:r>
            <w:r w:rsidR="003F3EFD">
              <w:rPr>
                <w:rFonts w:asciiTheme="minorHAnsi" w:eastAsia="Times New Roman" w:hAnsiTheme="minorHAnsi"/>
                <w:sz w:val="22"/>
                <w:szCs w:val="22"/>
              </w:rPr>
              <w:t>b</w:t>
            </w:r>
            <w:r w:rsidR="003F3EFD" w:rsidRPr="006F38A9">
              <w:rPr>
                <w:rFonts w:asciiTheme="minorHAnsi" w:eastAsia="Times New Roman" w:hAnsiTheme="minorHAnsi"/>
                <w:sz w:val="22"/>
                <w:szCs w:val="22"/>
              </w:rPr>
              <w:t xml:space="preserve">rokerages </w:t>
            </w:r>
          </w:p>
        </w:tc>
      </w:tr>
    </w:tbl>
    <w:p w14:paraId="0D8CB60D" w14:textId="77777777" w:rsidR="00FC5F21" w:rsidRPr="00030DA1" w:rsidRDefault="00FC5F21" w:rsidP="001D5DAF">
      <w:pPr>
        <w:autoSpaceDE/>
        <w:autoSpaceDN/>
        <w:adjustRightInd/>
        <w:rPr>
          <w:rFonts w:asciiTheme="minorHAnsi" w:hAnsiTheme="minorHAnsi" w:cs="Arial"/>
          <w:sz w:val="22"/>
          <w:szCs w:val="22"/>
        </w:rPr>
      </w:pPr>
    </w:p>
    <w:p w14:paraId="0D084B6A" w14:textId="4EAB5844" w:rsidR="00FC5F21" w:rsidRPr="006F38A9" w:rsidRDefault="00FC5F21" w:rsidP="001D5DAF">
      <w:pPr>
        <w:rPr>
          <w:rFonts w:asciiTheme="minorHAnsi" w:hAnsiTheme="minorHAnsi"/>
          <w:sz w:val="22"/>
          <w:szCs w:val="22"/>
        </w:rPr>
      </w:pPr>
      <w:r w:rsidRPr="006F38A9">
        <w:rPr>
          <w:rFonts w:asciiTheme="minorHAnsi" w:hAnsiTheme="minorHAnsi"/>
          <w:sz w:val="22"/>
          <w:szCs w:val="22"/>
        </w:rPr>
        <w:t xml:space="preserve">Travel and </w:t>
      </w:r>
      <w:r w:rsidR="002C30A0" w:rsidRPr="006F38A9">
        <w:rPr>
          <w:rFonts w:asciiTheme="minorHAnsi" w:hAnsiTheme="minorHAnsi"/>
          <w:sz w:val="22"/>
          <w:szCs w:val="22"/>
        </w:rPr>
        <w:t>h</w:t>
      </w:r>
      <w:r w:rsidRPr="006F38A9">
        <w:rPr>
          <w:rFonts w:asciiTheme="minorHAnsi" w:hAnsiTheme="minorHAnsi"/>
          <w:sz w:val="22"/>
          <w:szCs w:val="22"/>
        </w:rPr>
        <w:t>ospitality</w:t>
      </w:r>
    </w:p>
    <w:tbl>
      <w:tblPr>
        <w:tblW w:w="10252" w:type="dxa"/>
        <w:tblInd w:w="108" w:type="dxa"/>
        <w:tblLook w:val="04A0" w:firstRow="1" w:lastRow="0" w:firstColumn="1" w:lastColumn="0" w:noHBand="0" w:noVBand="1"/>
      </w:tblPr>
      <w:tblGrid>
        <w:gridCol w:w="1376"/>
        <w:gridCol w:w="8876"/>
      </w:tblGrid>
      <w:tr w:rsidR="00FC5F21" w:rsidRPr="006F38A9" w14:paraId="436B1F92" w14:textId="77777777" w:rsidTr="00BC07A6">
        <w:trPr>
          <w:trHeight w:val="300"/>
        </w:trPr>
        <w:tc>
          <w:tcPr>
            <w:tcW w:w="1376" w:type="dxa"/>
            <w:tcBorders>
              <w:top w:val="nil"/>
              <w:left w:val="nil"/>
              <w:bottom w:val="nil"/>
              <w:right w:val="nil"/>
            </w:tcBorders>
            <w:shd w:val="clear" w:color="000000" w:fill="FFFFFF" w:themeFill="background1"/>
            <w:noWrap/>
            <w:vAlign w:val="bottom"/>
          </w:tcPr>
          <w:p w14:paraId="1241C973"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532111</w:t>
            </w:r>
          </w:p>
        </w:tc>
        <w:tc>
          <w:tcPr>
            <w:tcW w:w="8876" w:type="dxa"/>
            <w:tcBorders>
              <w:top w:val="nil"/>
              <w:left w:val="nil"/>
              <w:bottom w:val="nil"/>
              <w:right w:val="nil"/>
            </w:tcBorders>
            <w:shd w:val="clear" w:color="auto" w:fill="auto"/>
            <w:noWrap/>
            <w:vAlign w:val="bottom"/>
          </w:tcPr>
          <w:p w14:paraId="00D9ED24" w14:textId="4D595F30"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Passenger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ar </w:t>
            </w:r>
            <w:r w:rsidR="003F3EFD">
              <w:rPr>
                <w:rFonts w:asciiTheme="minorHAnsi" w:eastAsia="Times New Roman" w:hAnsiTheme="minorHAnsi"/>
                <w:sz w:val="22"/>
                <w:szCs w:val="22"/>
              </w:rPr>
              <w:t>r</w:t>
            </w:r>
            <w:r w:rsidR="003F3EFD" w:rsidRPr="006F38A9">
              <w:rPr>
                <w:rFonts w:asciiTheme="minorHAnsi" w:eastAsia="Times New Roman" w:hAnsiTheme="minorHAnsi"/>
                <w:sz w:val="22"/>
                <w:szCs w:val="22"/>
              </w:rPr>
              <w:t>ental</w:t>
            </w:r>
          </w:p>
        </w:tc>
      </w:tr>
      <w:tr w:rsidR="00FC5F21" w:rsidRPr="006F38A9" w14:paraId="5032BF12"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FA7054B"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561510</w:t>
            </w:r>
          </w:p>
        </w:tc>
        <w:tc>
          <w:tcPr>
            <w:tcW w:w="8876" w:type="dxa"/>
            <w:tcBorders>
              <w:top w:val="nil"/>
              <w:left w:val="nil"/>
              <w:bottom w:val="nil"/>
              <w:right w:val="nil"/>
            </w:tcBorders>
            <w:shd w:val="clear" w:color="auto" w:fill="auto"/>
            <w:noWrap/>
            <w:vAlign w:val="bottom"/>
            <w:hideMark/>
          </w:tcPr>
          <w:p w14:paraId="45831112" w14:textId="78A5A520"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Travel </w:t>
            </w:r>
            <w:r w:rsidR="003F3EFD">
              <w:rPr>
                <w:rFonts w:asciiTheme="minorHAnsi" w:eastAsia="Times New Roman" w:hAnsiTheme="minorHAnsi"/>
                <w:sz w:val="22"/>
                <w:szCs w:val="22"/>
              </w:rPr>
              <w:t>a</w:t>
            </w:r>
            <w:r w:rsidR="003F3EFD" w:rsidRPr="006F38A9">
              <w:rPr>
                <w:rFonts w:asciiTheme="minorHAnsi" w:eastAsia="Times New Roman" w:hAnsiTheme="minorHAnsi"/>
                <w:sz w:val="22"/>
                <w:szCs w:val="22"/>
              </w:rPr>
              <w:t>gencies</w:t>
            </w:r>
          </w:p>
        </w:tc>
      </w:tr>
      <w:tr w:rsidR="00FC5F21" w:rsidRPr="006F38A9" w14:paraId="5CF3FE9B"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6EB39DEE"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721110</w:t>
            </w:r>
          </w:p>
        </w:tc>
        <w:tc>
          <w:tcPr>
            <w:tcW w:w="8876" w:type="dxa"/>
            <w:tcBorders>
              <w:top w:val="nil"/>
              <w:left w:val="nil"/>
              <w:bottom w:val="nil"/>
              <w:right w:val="nil"/>
            </w:tcBorders>
            <w:shd w:val="clear" w:color="auto" w:fill="auto"/>
            <w:noWrap/>
            <w:vAlign w:val="bottom"/>
            <w:hideMark/>
          </w:tcPr>
          <w:p w14:paraId="7BBEACB1" w14:textId="0F03E8B4"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Hotels (except </w:t>
            </w:r>
            <w:r w:rsidR="003F3EFD">
              <w:rPr>
                <w:rFonts w:asciiTheme="minorHAnsi" w:eastAsia="Times New Roman" w:hAnsiTheme="minorHAnsi"/>
                <w:sz w:val="22"/>
                <w:szCs w:val="22"/>
              </w:rPr>
              <w:t>c</w:t>
            </w:r>
            <w:r w:rsidR="003F3EFD" w:rsidRPr="006F38A9">
              <w:rPr>
                <w:rFonts w:asciiTheme="minorHAnsi" w:eastAsia="Times New Roman" w:hAnsiTheme="minorHAnsi"/>
                <w:sz w:val="22"/>
                <w:szCs w:val="22"/>
              </w:rPr>
              <w:t xml:space="preserve">asino </w:t>
            </w:r>
            <w:r w:rsidR="003F3EFD">
              <w:rPr>
                <w:rFonts w:asciiTheme="minorHAnsi" w:eastAsia="Times New Roman" w:hAnsiTheme="minorHAnsi"/>
                <w:sz w:val="22"/>
                <w:szCs w:val="22"/>
              </w:rPr>
              <w:t>h</w:t>
            </w:r>
            <w:r w:rsidR="003F3EFD" w:rsidRPr="006F38A9">
              <w:rPr>
                <w:rFonts w:asciiTheme="minorHAnsi" w:eastAsia="Times New Roman" w:hAnsiTheme="minorHAnsi"/>
                <w:sz w:val="22"/>
                <w:szCs w:val="22"/>
              </w:rPr>
              <w:t>otels</w:t>
            </w:r>
            <w:r w:rsidRPr="006F38A9">
              <w:rPr>
                <w:rFonts w:asciiTheme="minorHAnsi" w:eastAsia="Times New Roman" w:hAnsiTheme="minorHAnsi"/>
                <w:sz w:val="22"/>
                <w:szCs w:val="22"/>
              </w:rPr>
              <w:t xml:space="preserve">) and </w:t>
            </w:r>
            <w:r w:rsidR="003F3EFD">
              <w:rPr>
                <w:rFonts w:asciiTheme="minorHAnsi" w:eastAsia="Times New Roman" w:hAnsiTheme="minorHAnsi"/>
                <w:sz w:val="22"/>
                <w:szCs w:val="22"/>
              </w:rPr>
              <w:t>m</w:t>
            </w:r>
            <w:r w:rsidR="003F3EFD" w:rsidRPr="006F38A9">
              <w:rPr>
                <w:rFonts w:asciiTheme="minorHAnsi" w:eastAsia="Times New Roman" w:hAnsiTheme="minorHAnsi"/>
                <w:sz w:val="22"/>
                <w:szCs w:val="22"/>
              </w:rPr>
              <w:t xml:space="preserve">otels </w:t>
            </w:r>
          </w:p>
        </w:tc>
      </w:tr>
    </w:tbl>
    <w:p w14:paraId="27FF2F78" w14:textId="77777777" w:rsidR="00FC5F21" w:rsidRPr="006F38A9" w:rsidRDefault="00FC5F21" w:rsidP="001D5DAF">
      <w:pPr>
        <w:rPr>
          <w:rFonts w:asciiTheme="minorHAnsi" w:hAnsiTheme="minorHAnsi"/>
          <w:sz w:val="22"/>
          <w:szCs w:val="22"/>
        </w:rPr>
      </w:pPr>
    </w:p>
    <w:p w14:paraId="03CCD21C" w14:textId="77777777" w:rsidR="00FC5F21" w:rsidRPr="006F38A9" w:rsidRDefault="00FC5F21" w:rsidP="001D5DAF">
      <w:pPr>
        <w:rPr>
          <w:rFonts w:asciiTheme="minorHAnsi" w:hAnsiTheme="minorHAnsi"/>
          <w:sz w:val="22"/>
          <w:szCs w:val="22"/>
        </w:rPr>
      </w:pPr>
      <w:r w:rsidRPr="006F38A9">
        <w:rPr>
          <w:rFonts w:asciiTheme="minorHAnsi" w:hAnsiTheme="minorHAnsi"/>
          <w:sz w:val="22"/>
          <w:szCs w:val="22"/>
        </w:rPr>
        <w:t>Other selected services</w:t>
      </w:r>
    </w:p>
    <w:tbl>
      <w:tblPr>
        <w:tblW w:w="10252" w:type="dxa"/>
        <w:tblInd w:w="108" w:type="dxa"/>
        <w:tblLook w:val="04A0" w:firstRow="1" w:lastRow="0" w:firstColumn="1" w:lastColumn="0" w:noHBand="0" w:noVBand="1"/>
      </w:tblPr>
      <w:tblGrid>
        <w:gridCol w:w="1376"/>
        <w:gridCol w:w="8876"/>
      </w:tblGrid>
      <w:tr w:rsidR="00FC5F21" w:rsidRPr="006F38A9" w14:paraId="6F6C2157"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63A52289"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532230</w:t>
            </w:r>
          </w:p>
        </w:tc>
        <w:tc>
          <w:tcPr>
            <w:tcW w:w="8876" w:type="dxa"/>
            <w:tcBorders>
              <w:top w:val="nil"/>
              <w:left w:val="nil"/>
              <w:bottom w:val="nil"/>
              <w:right w:val="nil"/>
            </w:tcBorders>
            <w:shd w:val="clear" w:color="auto" w:fill="auto"/>
            <w:noWrap/>
            <w:vAlign w:val="bottom"/>
            <w:hideMark/>
          </w:tcPr>
          <w:p w14:paraId="512ABB9C" w14:textId="20D463A9"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Video </w:t>
            </w:r>
            <w:r w:rsidR="003F3EFD">
              <w:rPr>
                <w:rFonts w:asciiTheme="minorHAnsi" w:eastAsia="Times New Roman" w:hAnsiTheme="minorHAnsi"/>
                <w:sz w:val="22"/>
                <w:szCs w:val="22"/>
              </w:rPr>
              <w:t>t</w:t>
            </w:r>
            <w:r w:rsidR="003F3EFD" w:rsidRPr="006F38A9">
              <w:rPr>
                <w:rFonts w:asciiTheme="minorHAnsi" w:eastAsia="Times New Roman" w:hAnsiTheme="minorHAnsi"/>
                <w:sz w:val="22"/>
                <w:szCs w:val="22"/>
              </w:rPr>
              <w:t xml:space="preserve">ape </w:t>
            </w:r>
            <w:r w:rsidRPr="006F38A9">
              <w:rPr>
                <w:rFonts w:asciiTheme="minorHAnsi" w:eastAsia="Times New Roman" w:hAnsiTheme="minorHAnsi"/>
                <w:sz w:val="22"/>
                <w:szCs w:val="22"/>
              </w:rPr>
              <w:t xml:space="preserve">and </w:t>
            </w:r>
            <w:r w:rsidR="003F3EFD">
              <w:rPr>
                <w:rFonts w:asciiTheme="minorHAnsi" w:eastAsia="Times New Roman" w:hAnsiTheme="minorHAnsi"/>
                <w:sz w:val="22"/>
                <w:szCs w:val="22"/>
              </w:rPr>
              <w:t>d</w:t>
            </w:r>
            <w:r w:rsidR="003F3EFD" w:rsidRPr="006F38A9">
              <w:rPr>
                <w:rFonts w:asciiTheme="minorHAnsi" w:eastAsia="Times New Roman" w:hAnsiTheme="minorHAnsi"/>
                <w:sz w:val="22"/>
                <w:szCs w:val="22"/>
              </w:rPr>
              <w:t xml:space="preserve">isc </w:t>
            </w:r>
            <w:r w:rsidR="003F3EFD">
              <w:rPr>
                <w:rFonts w:asciiTheme="minorHAnsi" w:eastAsia="Times New Roman" w:hAnsiTheme="minorHAnsi"/>
                <w:sz w:val="22"/>
                <w:szCs w:val="22"/>
              </w:rPr>
              <w:t>r</w:t>
            </w:r>
            <w:r w:rsidRPr="006F38A9">
              <w:rPr>
                <w:rFonts w:asciiTheme="minorHAnsi" w:eastAsia="Times New Roman" w:hAnsiTheme="minorHAnsi"/>
                <w:sz w:val="22"/>
                <w:szCs w:val="22"/>
              </w:rPr>
              <w:t>ental</w:t>
            </w:r>
          </w:p>
        </w:tc>
      </w:tr>
      <w:tr w:rsidR="00FC5F21" w:rsidRPr="006F38A9" w14:paraId="77361CED"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2248065C"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541310</w:t>
            </w:r>
          </w:p>
        </w:tc>
        <w:tc>
          <w:tcPr>
            <w:tcW w:w="8876" w:type="dxa"/>
            <w:tcBorders>
              <w:top w:val="nil"/>
              <w:left w:val="nil"/>
              <w:bottom w:val="nil"/>
              <w:right w:val="nil"/>
            </w:tcBorders>
            <w:shd w:val="clear" w:color="auto" w:fill="auto"/>
            <w:noWrap/>
            <w:vAlign w:val="bottom"/>
            <w:hideMark/>
          </w:tcPr>
          <w:p w14:paraId="4028C5B9" w14:textId="0F000AB0"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Architectural </w:t>
            </w:r>
            <w:r w:rsidR="003F3EFD">
              <w:rPr>
                <w:rFonts w:asciiTheme="minorHAnsi" w:eastAsia="Times New Roman" w:hAnsiTheme="minorHAnsi"/>
                <w:sz w:val="22"/>
                <w:szCs w:val="22"/>
              </w:rPr>
              <w:t>s</w:t>
            </w:r>
            <w:r w:rsidRPr="006F38A9">
              <w:rPr>
                <w:rFonts w:asciiTheme="minorHAnsi" w:eastAsia="Times New Roman" w:hAnsiTheme="minorHAnsi"/>
                <w:sz w:val="22"/>
                <w:szCs w:val="22"/>
              </w:rPr>
              <w:t>ervices</w:t>
            </w:r>
          </w:p>
        </w:tc>
      </w:tr>
      <w:tr w:rsidR="00FC5F21" w:rsidRPr="006F38A9" w14:paraId="02FA6C85"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2009E50"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541330</w:t>
            </w:r>
          </w:p>
        </w:tc>
        <w:tc>
          <w:tcPr>
            <w:tcW w:w="8876" w:type="dxa"/>
            <w:tcBorders>
              <w:top w:val="nil"/>
              <w:left w:val="nil"/>
              <w:bottom w:val="nil"/>
              <w:right w:val="nil"/>
            </w:tcBorders>
            <w:shd w:val="clear" w:color="auto" w:fill="auto"/>
            <w:noWrap/>
            <w:vAlign w:val="bottom"/>
            <w:hideMark/>
          </w:tcPr>
          <w:p w14:paraId="1CC66AC3" w14:textId="0FA6AF92"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Engineering </w:t>
            </w:r>
            <w:r w:rsidR="003F3EFD">
              <w:rPr>
                <w:rFonts w:asciiTheme="minorHAnsi" w:eastAsia="Times New Roman" w:hAnsiTheme="minorHAnsi"/>
                <w:sz w:val="22"/>
                <w:szCs w:val="22"/>
              </w:rPr>
              <w:t>s</w:t>
            </w:r>
            <w:r w:rsidRPr="006F38A9">
              <w:rPr>
                <w:rFonts w:asciiTheme="minorHAnsi" w:eastAsia="Times New Roman" w:hAnsiTheme="minorHAnsi"/>
                <w:sz w:val="22"/>
                <w:szCs w:val="22"/>
              </w:rPr>
              <w:t>ervices</w:t>
            </w:r>
          </w:p>
        </w:tc>
      </w:tr>
      <w:tr w:rsidR="00FC5F21" w:rsidRPr="006F38A9" w14:paraId="74DC3D51"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5C21EE33"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541380</w:t>
            </w:r>
          </w:p>
        </w:tc>
        <w:tc>
          <w:tcPr>
            <w:tcW w:w="8876" w:type="dxa"/>
            <w:tcBorders>
              <w:top w:val="nil"/>
              <w:left w:val="nil"/>
              <w:bottom w:val="nil"/>
              <w:right w:val="nil"/>
            </w:tcBorders>
            <w:shd w:val="clear" w:color="auto" w:fill="auto"/>
            <w:noWrap/>
            <w:vAlign w:val="bottom"/>
            <w:hideMark/>
          </w:tcPr>
          <w:p w14:paraId="1CBC0A1A" w14:textId="08AA3F45"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Testing </w:t>
            </w:r>
            <w:r w:rsidR="003F3EFD">
              <w:rPr>
                <w:rFonts w:asciiTheme="minorHAnsi" w:eastAsia="Times New Roman" w:hAnsiTheme="minorHAnsi"/>
                <w:sz w:val="22"/>
                <w:szCs w:val="22"/>
              </w:rPr>
              <w:t>l</w:t>
            </w:r>
            <w:r w:rsidRPr="006F38A9">
              <w:rPr>
                <w:rFonts w:asciiTheme="minorHAnsi" w:eastAsia="Times New Roman" w:hAnsiTheme="minorHAnsi"/>
                <w:sz w:val="22"/>
                <w:szCs w:val="22"/>
              </w:rPr>
              <w:t>aboratories</w:t>
            </w:r>
          </w:p>
        </w:tc>
      </w:tr>
      <w:tr w:rsidR="00FC5F21" w:rsidRPr="006F38A9" w14:paraId="36968871"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40293D45"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541430</w:t>
            </w:r>
          </w:p>
        </w:tc>
        <w:tc>
          <w:tcPr>
            <w:tcW w:w="8876" w:type="dxa"/>
            <w:tcBorders>
              <w:top w:val="nil"/>
              <w:left w:val="nil"/>
              <w:bottom w:val="nil"/>
              <w:right w:val="nil"/>
            </w:tcBorders>
            <w:shd w:val="clear" w:color="auto" w:fill="auto"/>
            <w:noWrap/>
            <w:vAlign w:val="bottom"/>
            <w:hideMark/>
          </w:tcPr>
          <w:p w14:paraId="092048D3" w14:textId="5F4726DA"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Graphic </w:t>
            </w:r>
            <w:r w:rsidR="003F3EFD">
              <w:rPr>
                <w:rFonts w:asciiTheme="minorHAnsi" w:eastAsia="Times New Roman" w:hAnsiTheme="minorHAnsi"/>
                <w:sz w:val="22"/>
                <w:szCs w:val="22"/>
              </w:rPr>
              <w:t>d</w:t>
            </w:r>
            <w:r w:rsidRPr="006F38A9">
              <w:rPr>
                <w:rFonts w:asciiTheme="minorHAnsi" w:eastAsia="Times New Roman" w:hAnsiTheme="minorHAnsi"/>
                <w:sz w:val="22"/>
                <w:szCs w:val="22"/>
              </w:rPr>
              <w:t xml:space="preserve">esign </w:t>
            </w:r>
            <w:r w:rsidR="003F3EFD">
              <w:rPr>
                <w:rFonts w:asciiTheme="minorHAnsi" w:eastAsia="Times New Roman" w:hAnsiTheme="minorHAnsi"/>
                <w:sz w:val="22"/>
                <w:szCs w:val="22"/>
              </w:rPr>
              <w:t>s</w:t>
            </w:r>
            <w:r w:rsidRPr="006F38A9">
              <w:rPr>
                <w:rFonts w:asciiTheme="minorHAnsi" w:eastAsia="Times New Roman" w:hAnsiTheme="minorHAnsi"/>
                <w:sz w:val="22"/>
                <w:szCs w:val="22"/>
              </w:rPr>
              <w:t>ervices</w:t>
            </w:r>
          </w:p>
        </w:tc>
      </w:tr>
      <w:tr w:rsidR="00FC5F21" w:rsidRPr="006F38A9" w14:paraId="21AA3CFA"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47FD1CF5"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541611</w:t>
            </w:r>
          </w:p>
        </w:tc>
        <w:tc>
          <w:tcPr>
            <w:tcW w:w="8876" w:type="dxa"/>
            <w:tcBorders>
              <w:top w:val="nil"/>
              <w:left w:val="nil"/>
              <w:bottom w:val="nil"/>
              <w:right w:val="nil"/>
            </w:tcBorders>
            <w:shd w:val="clear" w:color="auto" w:fill="auto"/>
            <w:noWrap/>
            <w:vAlign w:val="bottom"/>
            <w:hideMark/>
          </w:tcPr>
          <w:p w14:paraId="544CCEE6" w14:textId="6A8327BA"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Administrative </w:t>
            </w:r>
            <w:r w:rsidR="003F3EFD">
              <w:rPr>
                <w:rFonts w:asciiTheme="minorHAnsi" w:eastAsia="Times New Roman" w:hAnsiTheme="minorHAnsi"/>
                <w:sz w:val="22"/>
                <w:szCs w:val="22"/>
              </w:rPr>
              <w:t>m</w:t>
            </w:r>
            <w:r w:rsidRPr="006F38A9">
              <w:rPr>
                <w:rFonts w:asciiTheme="minorHAnsi" w:eastAsia="Times New Roman" w:hAnsiTheme="minorHAnsi"/>
                <w:sz w:val="22"/>
                <w:szCs w:val="22"/>
              </w:rPr>
              <w:t xml:space="preserve">anagement and </w:t>
            </w:r>
            <w:r w:rsidR="003F3EFD">
              <w:rPr>
                <w:rFonts w:asciiTheme="minorHAnsi" w:eastAsia="Times New Roman" w:hAnsiTheme="minorHAnsi"/>
                <w:sz w:val="22"/>
                <w:szCs w:val="22"/>
              </w:rPr>
              <w:t>g</w:t>
            </w:r>
            <w:r w:rsidRPr="006F38A9">
              <w:rPr>
                <w:rFonts w:asciiTheme="minorHAnsi" w:eastAsia="Times New Roman" w:hAnsiTheme="minorHAnsi"/>
                <w:sz w:val="22"/>
                <w:szCs w:val="22"/>
              </w:rPr>
              <w:t xml:space="preserve">eneral </w:t>
            </w:r>
            <w:r w:rsidR="003F3EFD">
              <w:rPr>
                <w:rFonts w:asciiTheme="minorHAnsi" w:eastAsia="Times New Roman" w:hAnsiTheme="minorHAnsi"/>
                <w:sz w:val="22"/>
                <w:szCs w:val="22"/>
              </w:rPr>
              <w:t>m</w:t>
            </w:r>
            <w:r w:rsidRPr="006F38A9">
              <w:rPr>
                <w:rFonts w:asciiTheme="minorHAnsi" w:eastAsia="Times New Roman" w:hAnsiTheme="minorHAnsi"/>
                <w:sz w:val="22"/>
                <w:szCs w:val="22"/>
              </w:rPr>
              <w:t xml:space="preserve">anagement </w:t>
            </w:r>
            <w:r w:rsidR="003F3EFD">
              <w:rPr>
                <w:rFonts w:asciiTheme="minorHAnsi" w:eastAsia="Times New Roman" w:hAnsiTheme="minorHAnsi"/>
                <w:sz w:val="22"/>
                <w:szCs w:val="22"/>
              </w:rPr>
              <w:t>c</w:t>
            </w:r>
            <w:r w:rsidRPr="006F38A9">
              <w:rPr>
                <w:rFonts w:asciiTheme="minorHAnsi" w:eastAsia="Times New Roman" w:hAnsiTheme="minorHAnsi"/>
                <w:sz w:val="22"/>
                <w:szCs w:val="22"/>
              </w:rPr>
              <w:t xml:space="preserve">onsulting </w:t>
            </w:r>
            <w:r w:rsidR="003F3EFD">
              <w:rPr>
                <w:rFonts w:asciiTheme="minorHAnsi" w:eastAsia="Times New Roman" w:hAnsiTheme="minorHAnsi"/>
                <w:sz w:val="22"/>
                <w:szCs w:val="22"/>
              </w:rPr>
              <w:t>s</w:t>
            </w:r>
            <w:r w:rsidRPr="006F38A9">
              <w:rPr>
                <w:rFonts w:asciiTheme="minorHAnsi" w:eastAsia="Times New Roman" w:hAnsiTheme="minorHAnsi"/>
                <w:sz w:val="22"/>
                <w:szCs w:val="22"/>
              </w:rPr>
              <w:t xml:space="preserve">ervices </w:t>
            </w:r>
          </w:p>
        </w:tc>
      </w:tr>
      <w:tr w:rsidR="00FC5F21" w:rsidRPr="006F38A9" w14:paraId="576022F8"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1AF1FA1F"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541618</w:t>
            </w:r>
          </w:p>
        </w:tc>
        <w:tc>
          <w:tcPr>
            <w:tcW w:w="8876" w:type="dxa"/>
            <w:tcBorders>
              <w:top w:val="nil"/>
              <w:left w:val="nil"/>
              <w:bottom w:val="nil"/>
              <w:right w:val="nil"/>
            </w:tcBorders>
            <w:shd w:val="clear" w:color="auto" w:fill="auto"/>
            <w:noWrap/>
            <w:vAlign w:val="bottom"/>
            <w:hideMark/>
          </w:tcPr>
          <w:p w14:paraId="50152CAF" w14:textId="5185DA4B"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Other </w:t>
            </w:r>
            <w:r w:rsidR="003F3EFD">
              <w:rPr>
                <w:rFonts w:asciiTheme="minorHAnsi" w:eastAsia="Times New Roman" w:hAnsiTheme="minorHAnsi"/>
                <w:sz w:val="22"/>
                <w:szCs w:val="22"/>
              </w:rPr>
              <w:t>m</w:t>
            </w:r>
            <w:r w:rsidRPr="006F38A9">
              <w:rPr>
                <w:rFonts w:asciiTheme="minorHAnsi" w:eastAsia="Times New Roman" w:hAnsiTheme="minorHAnsi"/>
                <w:sz w:val="22"/>
                <w:szCs w:val="22"/>
              </w:rPr>
              <w:t xml:space="preserve">anagement </w:t>
            </w:r>
            <w:r w:rsidR="003F3EFD">
              <w:rPr>
                <w:rFonts w:asciiTheme="minorHAnsi" w:eastAsia="Times New Roman" w:hAnsiTheme="minorHAnsi"/>
                <w:sz w:val="22"/>
                <w:szCs w:val="22"/>
              </w:rPr>
              <w:t>c</w:t>
            </w:r>
            <w:r w:rsidRPr="006F38A9">
              <w:rPr>
                <w:rFonts w:asciiTheme="minorHAnsi" w:eastAsia="Times New Roman" w:hAnsiTheme="minorHAnsi"/>
                <w:sz w:val="22"/>
                <w:szCs w:val="22"/>
              </w:rPr>
              <w:t xml:space="preserve">onsulting </w:t>
            </w:r>
            <w:r w:rsidR="003F3EFD">
              <w:rPr>
                <w:rFonts w:asciiTheme="minorHAnsi" w:eastAsia="Times New Roman" w:hAnsiTheme="minorHAnsi"/>
                <w:sz w:val="22"/>
                <w:szCs w:val="22"/>
              </w:rPr>
              <w:t>s</w:t>
            </w:r>
            <w:r w:rsidRPr="006F38A9">
              <w:rPr>
                <w:rFonts w:asciiTheme="minorHAnsi" w:eastAsia="Times New Roman" w:hAnsiTheme="minorHAnsi"/>
                <w:sz w:val="22"/>
                <w:szCs w:val="22"/>
              </w:rPr>
              <w:t xml:space="preserve">ervices </w:t>
            </w:r>
          </w:p>
        </w:tc>
      </w:tr>
      <w:tr w:rsidR="00FC5F21" w:rsidRPr="006F38A9" w14:paraId="20441D98" w14:textId="77777777" w:rsidTr="00BC07A6">
        <w:trPr>
          <w:trHeight w:val="300"/>
        </w:trPr>
        <w:tc>
          <w:tcPr>
            <w:tcW w:w="1376" w:type="dxa"/>
            <w:tcBorders>
              <w:top w:val="nil"/>
              <w:left w:val="nil"/>
              <w:bottom w:val="nil"/>
              <w:right w:val="nil"/>
            </w:tcBorders>
            <w:shd w:val="clear" w:color="000000" w:fill="FFFFFF" w:themeFill="background1"/>
            <w:noWrap/>
            <w:hideMark/>
          </w:tcPr>
          <w:p w14:paraId="1E2A656E"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541712</w:t>
            </w:r>
          </w:p>
        </w:tc>
        <w:tc>
          <w:tcPr>
            <w:tcW w:w="8876" w:type="dxa"/>
            <w:tcBorders>
              <w:top w:val="nil"/>
              <w:left w:val="nil"/>
              <w:bottom w:val="nil"/>
              <w:right w:val="nil"/>
            </w:tcBorders>
            <w:shd w:val="clear" w:color="auto" w:fill="auto"/>
            <w:noWrap/>
            <w:vAlign w:val="bottom"/>
            <w:hideMark/>
          </w:tcPr>
          <w:p w14:paraId="5B81DE90" w14:textId="02508D84"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Research and </w:t>
            </w:r>
            <w:r w:rsidR="003F3EFD">
              <w:rPr>
                <w:rFonts w:asciiTheme="minorHAnsi" w:eastAsia="Times New Roman" w:hAnsiTheme="minorHAnsi"/>
                <w:sz w:val="22"/>
                <w:szCs w:val="22"/>
              </w:rPr>
              <w:t>d</w:t>
            </w:r>
            <w:r w:rsidRPr="006F38A9">
              <w:rPr>
                <w:rFonts w:asciiTheme="minorHAnsi" w:eastAsia="Times New Roman" w:hAnsiTheme="minorHAnsi"/>
                <w:sz w:val="22"/>
                <w:szCs w:val="22"/>
              </w:rPr>
              <w:t xml:space="preserve">evelopment in the </w:t>
            </w:r>
            <w:r w:rsidR="003F3EFD">
              <w:rPr>
                <w:rFonts w:asciiTheme="minorHAnsi" w:eastAsia="Times New Roman" w:hAnsiTheme="minorHAnsi"/>
                <w:sz w:val="22"/>
                <w:szCs w:val="22"/>
              </w:rPr>
              <w:t>p</w:t>
            </w:r>
            <w:r w:rsidRPr="006F38A9">
              <w:rPr>
                <w:rFonts w:asciiTheme="minorHAnsi" w:eastAsia="Times New Roman" w:hAnsiTheme="minorHAnsi"/>
                <w:sz w:val="22"/>
                <w:szCs w:val="22"/>
              </w:rPr>
              <w:t xml:space="preserve">hysical, </w:t>
            </w:r>
            <w:r w:rsidR="003F3EFD">
              <w:rPr>
                <w:rFonts w:asciiTheme="minorHAnsi" w:eastAsia="Times New Roman" w:hAnsiTheme="minorHAnsi"/>
                <w:sz w:val="22"/>
                <w:szCs w:val="22"/>
              </w:rPr>
              <w:t>e</w:t>
            </w:r>
            <w:r w:rsidRPr="006F38A9">
              <w:rPr>
                <w:rFonts w:asciiTheme="minorHAnsi" w:eastAsia="Times New Roman" w:hAnsiTheme="minorHAnsi"/>
                <w:sz w:val="22"/>
                <w:szCs w:val="22"/>
              </w:rPr>
              <w:t xml:space="preserve">ngineering, and </w:t>
            </w:r>
            <w:r w:rsidR="003F3EFD">
              <w:rPr>
                <w:rFonts w:asciiTheme="minorHAnsi" w:eastAsia="Times New Roman" w:hAnsiTheme="minorHAnsi"/>
                <w:sz w:val="22"/>
                <w:szCs w:val="22"/>
              </w:rPr>
              <w:t>l</w:t>
            </w:r>
            <w:r w:rsidRPr="006F38A9">
              <w:rPr>
                <w:rFonts w:asciiTheme="minorHAnsi" w:eastAsia="Times New Roman" w:hAnsiTheme="minorHAnsi"/>
                <w:sz w:val="22"/>
                <w:szCs w:val="22"/>
              </w:rPr>
              <w:t xml:space="preserve">ife </w:t>
            </w:r>
            <w:r w:rsidR="003F3EFD">
              <w:rPr>
                <w:rFonts w:asciiTheme="minorHAnsi" w:eastAsia="Times New Roman" w:hAnsiTheme="minorHAnsi"/>
                <w:sz w:val="22"/>
                <w:szCs w:val="22"/>
              </w:rPr>
              <w:t>s</w:t>
            </w:r>
            <w:r w:rsidRPr="006F38A9">
              <w:rPr>
                <w:rFonts w:asciiTheme="minorHAnsi" w:eastAsia="Times New Roman" w:hAnsiTheme="minorHAnsi"/>
                <w:sz w:val="22"/>
                <w:szCs w:val="22"/>
              </w:rPr>
              <w:t xml:space="preserve">ciences (except </w:t>
            </w:r>
            <w:r w:rsidR="003F3EFD">
              <w:rPr>
                <w:rFonts w:asciiTheme="minorHAnsi" w:eastAsia="Times New Roman" w:hAnsiTheme="minorHAnsi"/>
                <w:sz w:val="22"/>
                <w:szCs w:val="22"/>
              </w:rPr>
              <w:t>b</w:t>
            </w:r>
            <w:r w:rsidRPr="006F38A9">
              <w:rPr>
                <w:rFonts w:asciiTheme="minorHAnsi" w:eastAsia="Times New Roman" w:hAnsiTheme="minorHAnsi"/>
                <w:sz w:val="22"/>
                <w:szCs w:val="22"/>
              </w:rPr>
              <w:t xml:space="preserve">iotechnology) </w:t>
            </w:r>
          </w:p>
        </w:tc>
      </w:tr>
      <w:tr w:rsidR="00FC5F21" w:rsidRPr="006F38A9" w14:paraId="36F491FC"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70301D8B"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541810</w:t>
            </w:r>
          </w:p>
        </w:tc>
        <w:tc>
          <w:tcPr>
            <w:tcW w:w="8876" w:type="dxa"/>
            <w:tcBorders>
              <w:top w:val="nil"/>
              <w:left w:val="nil"/>
              <w:bottom w:val="nil"/>
              <w:right w:val="nil"/>
            </w:tcBorders>
            <w:shd w:val="clear" w:color="auto" w:fill="auto"/>
            <w:noWrap/>
            <w:vAlign w:val="bottom"/>
            <w:hideMark/>
          </w:tcPr>
          <w:p w14:paraId="00EA48B9" w14:textId="6751B819"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Advertising </w:t>
            </w:r>
            <w:r w:rsidR="003F3EFD">
              <w:rPr>
                <w:rFonts w:asciiTheme="minorHAnsi" w:eastAsia="Times New Roman" w:hAnsiTheme="minorHAnsi"/>
                <w:sz w:val="22"/>
                <w:szCs w:val="22"/>
              </w:rPr>
              <w:t>a</w:t>
            </w:r>
            <w:r w:rsidRPr="006F38A9">
              <w:rPr>
                <w:rFonts w:asciiTheme="minorHAnsi" w:eastAsia="Times New Roman" w:hAnsiTheme="minorHAnsi"/>
                <w:sz w:val="22"/>
                <w:szCs w:val="22"/>
              </w:rPr>
              <w:t>gencies</w:t>
            </w:r>
          </w:p>
        </w:tc>
      </w:tr>
      <w:tr w:rsidR="00FC5F21" w:rsidRPr="006F38A9" w14:paraId="1CA46F3C" w14:textId="77777777" w:rsidTr="00BC07A6">
        <w:trPr>
          <w:trHeight w:val="300"/>
        </w:trPr>
        <w:tc>
          <w:tcPr>
            <w:tcW w:w="1376" w:type="dxa"/>
            <w:tcBorders>
              <w:top w:val="nil"/>
              <w:left w:val="nil"/>
              <w:bottom w:val="nil"/>
              <w:right w:val="nil"/>
            </w:tcBorders>
            <w:shd w:val="clear" w:color="000000" w:fill="FFFFFF" w:themeFill="background1"/>
            <w:noWrap/>
            <w:vAlign w:val="bottom"/>
            <w:hideMark/>
          </w:tcPr>
          <w:p w14:paraId="34AB1A8F" w14:textId="77777777" w:rsidR="00FC5F21" w:rsidRPr="006F38A9" w:rsidRDefault="00FC5F21" w:rsidP="001D5DAF">
            <w:pPr>
              <w:jc w:val="right"/>
              <w:rPr>
                <w:rFonts w:asciiTheme="minorHAnsi" w:eastAsia="Times New Roman" w:hAnsiTheme="minorHAnsi"/>
                <w:sz w:val="22"/>
                <w:szCs w:val="22"/>
              </w:rPr>
            </w:pPr>
            <w:r w:rsidRPr="006F38A9">
              <w:rPr>
                <w:rFonts w:asciiTheme="minorHAnsi" w:eastAsia="Times New Roman" w:hAnsiTheme="minorHAnsi"/>
                <w:sz w:val="22"/>
                <w:szCs w:val="22"/>
              </w:rPr>
              <w:t>611420</w:t>
            </w:r>
          </w:p>
        </w:tc>
        <w:tc>
          <w:tcPr>
            <w:tcW w:w="8876" w:type="dxa"/>
            <w:tcBorders>
              <w:top w:val="nil"/>
              <w:left w:val="nil"/>
              <w:bottom w:val="nil"/>
              <w:right w:val="nil"/>
            </w:tcBorders>
            <w:shd w:val="clear" w:color="auto" w:fill="auto"/>
            <w:noWrap/>
            <w:vAlign w:val="bottom"/>
            <w:hideMark/>
          </w:tcPr>
          <w:p w14:paraId="2326A569" w14:textId="45108B4C" w:rsidR="00FC5F21" w:rsidRPr="006F38A9" w:rsidRDefault="00FC5F21" w:rsidP="003F3EFD">
            <w:pPr>
              <w:rPr>
                <w:rFonts w:asciiTheme="minorHAnsi" w:eastAsia="Times New Roman" w:hAnsiTheme="minorHAnsi"/>
                <w:sz w:val="22"/>
                <w:szCs w:val="22"/>
              </w:rPr>
            </w:pPr>
            <w:r w:rsidRPr="006F38A9">
              <w:rPr>
                <w:rFonts w:asciiTheme="minorHAnsi" w:eastAsia="Times New Roman" w:hAnsiTheme="minorHAnsi"/>
                <w:sz w:val="22"/>
                <w:szCs w:val="22"/>
              </w:rPr>
              <w:t xml:space="preserve">Computer </w:t>
            </w:r>
            <w:r w:rsidR="003F3EFD">
              <w:rPr>
                <w:rFonts w:asciiTheme="minorHAnsi" w:eastAsia="Times New Roman" w:hAnsiTheme="minorHAnsi"/>
                <w:sz w:val="22"/>
                <w:szCs w:val="22"/>
              </w:rPr>
              <w:t>t</w:t>
            </w:r>
            <w:r w:rsidRPr="006F38A9">
              <w:rPr>
                <w:rFonts w:asciiTheme="minorHAnsi" w:eastAsia="Times New Roman" w:hAnsiTheme="minorHAnsi"/>
                <w:sz w:val="22"/>
                <w:szCs w:val="22"/>
              </w:rPr>
              <w:t xml:space="preserve">raining </w:t>
            </w:r>
          </w:p>
        </w:tc>
      </w:tr>
    </w:tbl>
    <w:p w14:paraId="12E3CE4A" w14:textId="77777777" w:rsidR="00FC5F21" w:rsidRPr="00030DA1" w:rsidRDefault="00FC5F21" w:rsidP="001D5DAF">
      <w:pPr>
        <w:autoSpaceDE/>
        <w:autoSpaceDN/>
        <w:adjustRightInd/>
        <w:rPr>
          <w:rFonts w:asciiTheme="minorHAnsi" w:hAnsiTheme="minorHAnsi" w:cs="Arial"/>
          <w:sz w:val="22"/>
          <w:szCs w:val="22"/>
        </w:rPr>
      </w:pPr>
    </w:p>
    <w:p w14:paraId="7D4B3675" w14:textId="2DD0C5B6" w:rsidR="00FC5F21" w:rsidRPr="006F38A9" w:rsidRDefault="00FC5F21" w:rsidP="001D5DAF">
      <w:pPr>
        <w:rPr>
          <w:rFonts w:asciiTheme="minorHAnsi" w:hAnsiTheme="minorHAnsi"/>
          <w:sz w:val="22"/>
          <w:szCs w:val="22"/>
        </w:rPr>
      </w:pPr>
      <w:r w:rsidRPr="006F38A9">
        <w:rPr>
          <w:rFonts w:asciiTheme="minorHAnsi" w:hAnsiTheme="minorHAnsi"/>
          <w:sz w:val="22"/>
          <w:szCs w:val="22"/>
        </w:rPr>
        <w:t>Manufacturers with a presence in a foreign market, and those with 10,000+ employees</w:t>
      </w:r>
    </w:p>
    <w:p w14:paraId="6B0D6E3E" w14:textId="4975231C" w:rsidR="00FC5F21" w:rsidRPr="00030DA1" w:rsidRDefault="00FC5F21" w:rsidP="001D5DAF">
      <w:pPr>
        <w:autoSpaceDE/>
        <w:autoSpaceDN/>
        <w:adjustRightInd/>
        <w:ind w:firstLine="720"/>
        <w:rPr>
          <w:rFonts w:asciiTheme="minorHAnsi" w:hAnsiTheme="minorHAnsi" w:cs="Arial"/>
          <w:sz w:val="22"/>
          <w:szCs w:val="22"/>
        </w:rPr>
      </w:pPr>
      <w:r w:rsidRPr="006F38A9">
        <w:rPr>
          <w:rFonts w:asciiTheme="minorHAnsi" w:hAnsiTheme="minorHAnsi"/>
          <w:sz w:val="22"/>
          <w:szCs w:val="22"/>
        </w:rPr>
        <w:t>31-33</w:t>
      </w:r>
      <w:r w:rsidRPr="006F38A9">
        <w:rPr>
          <w:rFonts w:asciiTheme="minorHAnsi" w:hAnsiTheme="minorHAnsi"/>
          <w:sz w:val="22"/>
          <w:szCs w:val="22"/>
        </w:rPr>
        <w:tab/>
        <w:t>Manufacturing</w:t>
      </w:r>
    </w:p>
    <w:sectPr w:rsidR="00FC5F21" w:rsidRPr="00030DA1" w:rsidSect="00A3675D">
      <w:footerReference w:type="default" r:id="rId10"/>
      <w:pgSz w:w="12240" w:h="15840"/>
      <w:pgMar w:top="1440" w:right="1440" w:bottom="1440" w:left="1440" w:header="1440" w:footer="864"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6DC1E1" w15:done="0"/>
  <w15:commentEx w15:paraId="00876A6B" w15:done="0"/>
  <w15:commentEx w15:paraId="697509BD" w15:done="0"/>
  <w15:commentEx w15:paraId="150ED4BF" w15:done="0"/>
  <w15:commentEx w15:paraId="30C617AC" w15:done="0"/>
  <w15:commentEx w15:paraId="278DC52D" w15:done="0"/>
  <w15:commentEx w15:paraId="148645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9AA74" w14:textId="77777777" w:rsidR="004D366D" w:rsidRDefault="004D366D" w:rsidP="00283C9A">
      <w:r>
        <w:separator/>
      </w:r>
    </w:p>
  </w:endnote>
  <w:endnote w:type="continuationSeparator" w:id="0">
    <w:p w14:paraId="020CF97C" w14:textId="77777777" w:rsidR="004D366D" w:rsidRDefault="004D366D" w:rsidP="00283C9A">
      <w:r>
        <w:continuationSeparator/>
      </w:r>
    </w:p>
  </w:endnote>
  <w:endnote w:type="continuationNotice" w:id="1">
    <w:p w14:paraId="5D22F1FF" w14:textId="77777777" w:rsidR="004D366D" w:rsidRDefault="004D3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01387"/>
      <w:docPartObj>
        <w:docPartGallery w:val="Page Numbers (Bottom of Page)"/>
        <w:docPartUnique/>
      </w:docPartObj>
    </w:sdtPr>
    <w:sdtEndPr>
      <w:rPr>
        <w:rFonts w:asciiTheme="minorHAnsi" w:hAnsiTheme="minorHAnsi"/>
        <w:noProof/>
      </w:rPr>
    </w:sdtEndPr>
    <w:sdtContent>
      <w:p w14:paraId="3B57EF53" w14:textId="054F1523" w:rsidR="004D366D" w:rsidRPr="00BE4535" w:rsidRDefault="004D366D">
        <w:pPr>
          <w:pStyle w:val="Footer"/>
          <w:jc w:val="center"/>
          <w:rPr>
            <w:rFonts w:asciiTheme="minorHAnsi" w:hAnsiTheme="minorHAnsi"/>
          </w:rPr>
        </w:pPr>
        <w:r w:rsidRPr="00BE4535">
          <w:rPr>
            <w:rFonts w:asciiTheme="minorHAnsi" w:hAnsiTheme="minorHAnsi"/>
          </w:rPr>
          <w:fldChar w:fldCharType="begin"/>
        </w:r>
        <w:r w:rsidRPr="00BE4535">
          <w:rPr>
            <w:rFonts w:asciiTheme="minorHAnsi" w:hAnsiTheme="minorHAnsi"/>
          </w:rPr>
          <w:instrText xml:space="preserve"> PAGE   \* MERGEFORMAT </w:instrText>
        </w:r>
        <w:r w:rsidRPr="00BE4535">
          <w:rPr>
            <w:rFonts w:asciiTheme="minorHAnsi" w:hAnsiTheme="minorHAnsi"/>
          </w:rPr>
          <w:fldChar w:fldCharType="separate"/>
        </w:r>
        <w:r w:rsidR="001F41CF">
          <w:rPr>
            <w:rFonts w:asciiTheme="minorHAnsi" w:hAnsiTheme="minorHAnsi"/>
            <w:noProof/>
          </w:rPr>
          <w:t>1</w:t>
        </w:r>
        <w:r w:rsidRPr="00BE4535">
          <w:rPr>
            <w:rFonts w:asciiTheme="minorHAnsi" w:hAnsiTheme="minorHAnsi"/>
            <w:noProof/>
          </w:rPr>
          <w:fldChar w:fldCharType="end"/>
        </w:r>
      </w:p>
    </w:sdtContent>
  </w:sdt>
  <w:p w14:paraId="442500AE" w14:textId="77777777" w:rsidR="004D366D" w:rsidRDefault="004D3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BA48D" w14:textId="77777777" w:rsidR="004D366D" w:rsidRDefault="004D366D" w:rsidP="00283C9A">
      <w:r>
        <w:separator/>
      </w:r>
    </w:p>
  </w:footnote>
  <w:footnote w:type="continuationSeparator" w:id="0">
    <w:p w14:paraId="06826576" w14:textId="77777777" w:rsidR="004D366D" w:rsidRDefault="004D366D" w:rsidP="00283C9A">
      <w:r>
        <w:continuationSeparator/>
      </w:r>
    </w:p>
  </w:footnote>
  <w:footnote w:type="continuationNotice" w:id="1">
    <w:p w14:paraId="1554279D" w14:textId="77777777" w:rsidR="004D366D" w:rsidRDefault="004D366D"/>
  </w:footnote>
  <w:footnote w:id="2">
    <w:p w14:paraId="7CE2CC2E" w14:textId="68E31374" w:rsidR="004D366D" w:rsidRPr="00987509" w:rsidRDefault="004D366D">
      <w:pPr>
        <w:pStyle w:val="FootnoteText"/>
        <w:rPr>
          <w:rFonts w:asciiTheme="minorHAnsi" w:hAnsiTheme="minorHAnsi"/>
        </w:rPr>
      </w:pPr>
      <w:r w:rsidRPr="00987509">
        <w:rPr>
          <w:rStyle w:val="FootnoteReference"/>
          <w:rFonts w:asciiTheme="minorHAnsi" w:hAnsiTheme="minorHAnsi"/>
        </w:rPr>
        <w:footnoteRef/>
      </w:r>
      <w:r w:rsidRPr="00987509">
        <w:rPr>
          <w:rFonts w:asciiTheme="minorHAnsi" w:hAnsiTheme="minorHAnsi"/>
        </w:rPr>
        <w:t xml:space="preserve"> Although the agriculture and </w:t>
      </w:r>
      <w:r w:rsidR="00030DA1">
        <w:rPr>
          <w:rFonts w:asciiTheme="minorHAnsi" w:hAnsiTheme="minorHAnsi"/>
        </w:rPr>
        <w:t>natural resources</w:t>
      </w:r>
      <w:r w:rsidR="00030DA1" w:rsidRPr="00987509">
        <w:rPr>
          <w:rFonts w:asciiTheme="minorHAnsi" w:hAnsiTheme="minorHAnsi"/>
        </w:rPr>
        <w:t xml:space="preserve"> </w:t>
      </w:r>
      <w:r w:rsidRPr="00987509">
        <w:rPr>
          <w:rFonts w:asciiTheme="minorHAnsi" w:hAnsiTheme="minorHAnsi"/>
        </w:rPr>
        <w:t xml:space="preserve">industries are not explicitly covered, they are selectable as primary industries in the questionnaire for the purposes of complete industry coverage in question </w:t>
      </w:r>
      <w:r w:rsidR="00D735A2">
        <w:rPr>
          <w:rFonts w:asciiTheme="minorHAnsi" w:hAnsiTheme="minorHAnsi"/>
        </w:rPr>
        <w:t>1.3</w:t>
      </w:r>
      <w:r w:rsidRPr="00987509">
        <w:rPr>
          <w:rFonts w:asciiTheme="minorHAnsi" w:hAnsiTheme="minorHAnsi"/>
        </w:rPr>
        <w:t>.</w:t>
      </w:r>
    </w:p>
  </w:footnote>
  <w:footnote w:id="3">
    <w:p w14:paraId="71FA063C" w14:textId="77777777" w:rsidR="004D366D" w:rsidRPr="005923CA" w:rsidRDefault="004D366D">
      <w:pPr>
        <w:pStyle w:val="FootnoteText"/>
        <w:rPr>
          <w:rFonts w:asciiTheme="minorHAnsi" w:hAnsiTheme="minorHAnsi"/>
        </w:rPr>
      </w:pPr>
      <w:r w:rsidRPr="005923CA">
        <w:rPr>
          <w:rStyle w:val="FootnoteReference"/>
          <w:rFonts w:asciiTheme="minorHAnsi" w:hAnsiTheme="minorHAnsi"/>
        </w:rPr>
        <w:footnoteRef/>
      </w:r>
      <w:r w:rsidRPr="005923CA">
        <w:rPr>
          <w:rFonts w:asciiTheme="minorHAnsi" w:hAnsiTheme="minorHAnsi"/>
        </w:rPr>
        <w:t xml:space="preserve"> The Commission anticipates a higher response rate than in previous surveys based on the use of a web-based questionnaire, which should reduce burden and be easier to respond to. However, since this collection method has not been used by the Commission in the past, a more conservative response rate was used in the calculation of sample size to avoid under sampling. </w:t>
      </w:r>
    </w:p>
  </w:footnote>
  <w:footnote w:id="4">
    <w:p w14:paraId="301E2547" w14:textId="607CE50C" w:rsidR="004D366D" w:rsidRDefault="004D366D">
      <w:pPr>
        <w:pStyle w:val="FootnoteText"/>
        <w:rPr>
          <w:rFonts w:asciiTheme="minorHAnsi" w:hAnsiTheme="minorHAnsi"/>
        </w:rPr>
      </w:pPr>
      <w:r w:rsidRPr="00CD6B53">
        <w:rPr>
          <w:rStyle w:val="FootnoteReference"/>
          <w:rFonts w:asciiTheme="minorHAnsi" w:hAnsiTheme="minorHAnsi"/>
        </w:rPr>
        <w:footnoteRef/>
      </w:r>
      <w:r w:rsidRPr="00CD6B53">
        <w:rPr>
          <w:rFonts w:asciiTheme="minorHAnsi" w:hAnsiTheme="minorHAnsi"/>
        </w:rPr>
        <w:t xml:space="preserve"> </w:t>
      </w:r>
      <w:r>
        <w:rPr>
          <w:rFonts w:asciiTheme="minorHAnsi" w:hAnsiTheme="minorHAnsi"/>
        </w:rPr>
        <w:t xml:space="preserve">J. </w:t>
      </w:r>
      <w:r w:rsidRPr="00F425C8">
        <w:rPr>
          <w:rFonts w:asciiTheme="minorHAnsi" w:hAnsiTheme="minorHAnsi"/>
        </w:rPr>
        <w:t>Bar</w:t>
      </w:r>
      <w:r>
        <w:rPr>
          <w:rFonts w:asciiTheme="minorHAnsi" w:hAnsiTheme="minorHAnsi"/>
        </w:rPr>
        <w:t>t</w:t>
      </w:r>
      <w:r w:rsidRPr="00F425C8">
        <w:rPr>
          <w:rFonts w:asciiTheme="minorHAnsi" w:hAnsiTheme="minorHAnsi"/>
        </w:rPr>
        <w:t xml:space="preserve">lett, </w:t>
      </w:r>
      <w:r>
        <w:rPr>
          <w:rFonts w:asciiTheme="minorHAnsi" w:hAnsiTheme="minorHAnsi"/>
        </w:rPr>
        <w:t xml:space="preserve">J. </w:t>
      </w:r>
      <w:r w:rsidRPr="00F425C8">
        <w:rPr>
          <w:rFonts w:asciiTheme="minorHAnsi" w:hAnsiTheme="minorHAnsi"/>
        </w:rPr>
        <w:t xml:space="preserve">Kotrlik, and </w:t>
      </w:r>
      <w:r>
        <w:rPr>
          <w:rFonts w:asciiTheme="minorHAnsi" w:hAnsiTheme="minorHAnsi"/>
        </w:rPr>
        <w:t xml:space="preserve">C. </w:t>
      </w:r>
      <w:r w:rsidRPr="00F425C8">
        <w:rPr>
          <w:rFonts w:asciiTheme="minorHAnsi" w:hAnsiTheme="minorHAnsi"/>
        </w:rPr>
        <w:t xml:space="preserve">Higgins. </w:t>
      </w:r>
      <w:r w:rsidR="000904F7">
        <w:rPr>
          <w:rFonts w:asciiTheme="minorHAnsi" w:hAnsiTheme="minorHAnsi"/>
        </w:rPr>
        <w:t>“</w:t>
      </w:r>
      <w:r w:rsidRPr="00F425C8">
        <w:rPr>
          <w:rFonts w:asciiTheme="minorHAnsi" w:hAnsiTheme="minorHAnsi"/>
        </w:rPr>
        <w:t>Organizational research: Determining appropriate sample size in survey research</w:t>
      </w:r>
      <w:r>
        <w:rPr>
          <w:rFonts w:asciiTheme="minorHAnsi" w:hAnsiTheme="minorHAnsi"/>
        </w:rPr>
        <w:t>,</w:t>
      </w:r>
      <w:r w:rsidR="000904F7">
        <w:rPr>
          <w:rFonts w:asciiTheme="minorHAnsi" w:hAnsiTheme="minorHAnsi"/>
        </w:rPr>
        <w:t>”</w:t>
      </w:r>
      <w:r w:rsidRPr="00F425C8">
        <w:rPr>
          <w:rFonts w:asciiTheme="minorHAnsi" w:hAnsiTheme="minorHAnsi"/>
        </w:rPr>
        <w:t xml:space="preserve"> </w:t>
      </w:r>
      <w:r w:rsidRPr="00BE5A4C">
        <w:rPr>
          <w:rFonts w:asciiTheme="minorHAnsi" w:hAnsiTheme="minorHAnsi"/>
          <w:i/>
        </w:rPr>
        <w:t xml:space="preserve">Information </w:t>
      </w:r>
      <w:r w:rsidR="003F3EFD">
        <w:rPr>
          <w:rFonts w:asciiTheme="minorHAnsi" w:hAnsiTheme="minorHAnsi"/>
          <w:i/>
        </w:rPr>
        <w:t>T</w:t>
      </w:r>
      <w:r w:rsidRPr="00BE5A4C">
        <w:rPr>
          <w:rFonts w:asciiTheme="minorHAnsi" w:hAnsiTheme="minorHAnsi"/>
          <w:i/>
        </w:rPr>
        <w:t xml:space="preserve">echnology, </w:t>
      </w:r>
      <w:r w:rsidR="003F3EFD">
        <w:rPr>
          <w:rFonts w:asciiTheme="minorHAnsi" w:hAnsiTheme="minorHAnsi"/>
          <w:i/>
        </w:rPr>
        <w:t>L</w:t>
      </w:r>
      <w:r w:rsidRPr="00BE5A4C">
        <w:rPr>
          <w:rFonts w:asciiTheme="minorHAnsi" w:hAnsiTheme="minorHAnsi"/>
          <w:i/>
        </w:rPr>
        <w:t xml:space="preserve">earning, and </w:t>
      </w:r>
      <w:r w:rsidR="003F3EFD">
        <w:rPr>
          <w:rFonts w:asciiTheme="minorHAnsi" w:hAnsiTheme="minorHAnsi"/>
          <w:i/>
        </w:rPr>
        <w:t>P</w:t>
      </w:r>
      <w:r w:rsidRPr="00BE5A4C">
        <w:rPr>
          <w:rFonts w:asciiTheme="minorHAnsi" w:hAnsiTheme="minorHAnsi"/>
          <w:i/>
        </w:rPr>
        <w:t xml:space="preserve">erformance </w:t>
      </w:r>
      <w:r w:rsidR="003F3EFD">
        <w:rPr>
          <w:rFonts w:asciiTheme="minorHAnsi" w:hAnsiTheme="minorHAnsi"/>
          <w:i/>
        </w:rPr>
        <w:t>J</w:t>
      </w:r>
      <w:r w:rsidRPr="00BE5A4C">
        <w:rPr>
          <w:rFonts w:asciiTheme="minorHAnsi" w:hAnsiTheme="minorHAnsi"/>
          <w:i/>
        </w:rPr>
        <w:t>ournal</w:t>
      </w:r>
      <w:r w:rsidRPr="000E15D2">
        <w:rPr>
          <w:rFonts w:asciiTheme="minorHAnsi" w:hAnsiTheme="minorHAnsi"/>
        </w:rPr>
        <w:t xml:space="preserve"> 19, no. 1</w:t>
      </w:r>
      <w:r>
        <w:rPr>
          <w:rFonts w:asciiTheme="minorHAnsi" w:hAnsiTheme="minorHAnsi"/>
        </w:rPr>
        <w:t xml:space="preserve">, </w:t>
      </w:r>
      <w:r w:rsidRPr="00F425C8">
        <w:rPr>
          <w:rFonts w:asciiTheme="minorHAnsi" w:hAnsiTheme="minorHAnsi"/>
        </w:rPr>
        <w:t>2001</w:t>
      </w:r>
      <w:r>
        <w:rPr>
          <w:rFonts w:asciiTheme="minorHAnsi" w:hAnsiTheme="minorHAnsi"/>
        </w:rPr>
        <w:t>,</w:t>
      </w:r>
      <w:r w:rsidRPr="00F425C8">
        <w:rPr>
          <w:rFonts w:asciiTheme="minorHAnsi" w:hAnsiTheme="minorHAnsi"/>
        </w:rPr>
        <w:t xml:space="preserve"> 43.</w:t>
      </w:r>
    </w:p>
    <w:p w14:paraId="1FCE2A21" w14:textId="3CAC60A4" w:rsidR="004D366D" w:rsidRPr="00CD6B53" w:rsidRDefault="004D366D">
      <w:pPr>
        <w:pStyle w:val="FootnoteText"/>
        <w:rPr>
          <w:rFonts w:asciiTheme="minorHAnsi" w:hAnsiTheme="minorHAnsi"/>
        </w:rPr>
      </w:pPr>
    </w:p>
  </w:footnote>
  <w:footnote w:id="5">
    <w:p w14:paraId="4332F10E" w14:textId="247F3D35" w:rsidR="004D366D" w:rsidRPr="005923CA" w:rsidRDefault="004D366D" w:rsidP="00932245">
      <w:pPr>
        <w:pStyle w:val="FootnoteText"/>
        <w:rPr>
          <w:rFonts w:asciiTheme="minorHAnsi" w:hAnsiTheme="minorHAnsi"/>
        </w:rPr>
      </w:pPr>
      <w:r w:rsidRPr="005923CA">
        <w:rPr>
          <w:rStyle w:val="FootnoteReference"/>
          <w:rFonts w:asciiTheme="minorHAnsi" w:hAnsiTheme="minorHAnsi"/>
        </w:rPr>
        <w:footnoteRef/>
      </w:r>
      <w:r w:rsidRPr="005923CA">
        <w:rPr>
          <w:rFonts w:asciiTheme="minorHAnsi" w:hAnsiTheme="minorHAnsi"/>
        </w:rPr>
        <w:t xml:space="preserve"> </w:t>
      </w:r>
      <w:r>
        <w:rPr>
          <w:rFonts w:asciiTheme="minorHAnsi" w:hAnsiTheme="minorHAnsi"/>
        </w:rPr>
        <w:t xml:space="preserve">S. </w:t>
      </w:r>
      <w:r w:rsidRPr="005923CA">
        <w:rPr>
          <w:rFonts w:asciiTheme="minorHAnsi" w:hAnsiTheme="minorHAnsi"/>
        </w:rPr>
        <w:t xml:space="preserve">Heeringa, </w:t>
      </w:r>
      <w:r>
        <w:rPr>
          <w:rFonts w:asciiTheme="minorHAnsi" w:hAnsiTheme="minorHAnsi"/>
        </w:rPr>
        <w:t xml:space="preserve">B. </w:t>
      </w:r>
      <w:r w:rsidRPr="005923CA">
        <w:rPr>
          <w:rFonts w:asciiTheme="minorHAnsi" w:hAnsiTheme="minorHAnsi"/>
        </w:rPr>
        <w:t xml:space="preserve">West, and </w:t>
      </w:r>
      <w:r>
        <w:rPr>
          <w:rFonts w:asciiTheme="minorHAnsi" w:hAnsiTheme="minorHAnsi"/>
        </w:rPr>
        <w:t xml:space="preserve">P. </w:t>
      </w:r>
      <w:r w:rsidRPr="005923CA">
        <w:rPr>
          <w:rFonts w:asciiTheme="minorHAnsi" w:hAnsiTheme="minorHAnsi"/>
        </w:rPr>
        <w:t>Berglund</w:t>
      </w:r>
      <w:r>
        <w:rPr>
          <w:rFonts w:asciiTheme="minorHAnsi" w:hAnsiTheme="minorHAnsi"/>
        </w:rPr>
        <w:t>,</w:t>
      </w:r>
      <w:r w:rsidRPr="005923CA">
        <w:rPr>
          <w:rFonts w:asciiTheme="minorHAnsi" w:hAnsiTheme="minorHAnsi"/>
        </w:rPr>
        <w:t xml:space="preserve"> </w:t>
      </w:r>
      <w:r w:rsidRPr="005923CA">
        <w:rPr>
          <w:rFonts w:asciiTheme="minorHAnsi" w:hAnsiTheme="minorHAnsi"/>
          <w:i/>
        </w:rPr>
        <w:t>Applied Survey Data Analysis</w:t>
      </w:r>
      <w:r>
        <w:rPr>
          <w:rFonts w:asciiTheme="minorHAnsi" w:hAnsiTheme="minorHAnsi"/>
        </w:rPr>
        <w:t>,</w:t>
      </w:r>
      <w:r w:rsidRPr="005923CA">
        <w:rPr>
          <w:rFonts w:asciiTheme="minorHAnsi" w:hAnsiTheme="minorHAnsi"/>
        </w:rPr>
        <w:t xml:space="preserve"> </w:t>
      </w:r>
      <w:r>
        <w:rPr>
          <w:rFonts w:asciiTheme="minorHAnsi" w:hAnsiTheme="minorHAnsi"/>
        </w:rPr>
        <w:t>CRC Press, 2010</w:t>
      </w:r>
      <w:r w:rsidRPr="005923CA">
        <w:rPr>
          <w:rFonts w:asciiTheme="minorHAnsi" w:hAnsi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6A6"/>
    <w:multiLevelType w:val="hybridMultilevel"/>
    <w:tmpl w:val="B536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40D44"/>
    <w:multiLevelType w:val="hybridMultilevel"/>
    <w:tmpl w:val="639E20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C5ACA"/>
    <w:multiLevelType w:val="hybridMultilevel"/>
    <w:tmpl w:val="35D231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C83217"/>
    <w:multiLevelType w:val="hybridMultilevel"/>
    <w:tmpl w:val="3F5E5A5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CD3B82"/>
    <w:multiLevelType w:val="hybridMultilevel"/>
    <w:tmpl w:val="4024F1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A31730B"/>
    <w:multiLevelType w:val="hybridMultilevel"/>
    <w:tmpl w:val="C72C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14715"/>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5285F"/>
    <w:multiLevelType w:val="hybridMultilevel"/>
    <w:tmpl w:val="09A6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6062FE"/>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613B6"/>
    <w:multiLevelType w:val="hybridMultilevel"/>
    <w:tmpl w:val="A748EB22"/>
    <w:lvl w:ilvl="0" w:tplc="4ABA1CA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DE4DE6"/>
    <w:multiLevelType w:val="hybridMultilevel"/>
    <w:tmpl w:val="7E96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D714A8"/>
    <w:multiLevelType w:val="hybridMultilevel"/>
    <w:tmpl w:val="39CC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353130"/>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5E8449B9"/>
    <w:multiLevelType w:val="hybridMultilevel"/>
    <w:tmpl w:val="0D82A5D2"/>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64CC279D"/>
    <w:multiLevelType w:val="hybridMultilevel"/>
    <w:tmpl w:val="CBD071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2A6BD1"/>
    <w:multiLevelType w:val="hybridMultilevel"/>
    <w:tmpl w:val="390E2020"/>
    <w:lvl w:ilvl="0" w:tplc="6FD265AA">
      <w:start w:val="1"/>
      <w:numFmt w:val="decimal"/>
      <w:lvlText w:val="%1."/>
      <w:lvlJc w:val="left"/>
      <w:pPr>
        <w:ind w:left="1440" w:hanging="360"/>
      </w:pPr>
      <w:rPr>
        <w:rFonts w:ascii="Calibri" w:eastAsia="Calibri" w:hAnsi="Calibri"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BE32DF1"/>
    <w:multiLevelType w:val="hybridMultilevel"/>
    <w:tmpl w:val="52C827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EC6691A"/>
    <w:multiLevelType w:val="hybridMultilevel"/>
    <w:tmpl w:val="D54666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11A4C82"/>
    <w:multiLevelType w:val="hybridMultilevel"/>
    <w:tmpl w:val="05FAC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2A66AC"/>
    <w:multiLevelType w:val="hybridMultilevel"/>
    <w:tmpl w:val="64F6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2572F2"/>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7B596ACA"/>
    <w:multiLevelType w:val="hybridMultilevel"/>
    <w:tmpl w:val="3AB82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096BAD"/>
    <w:multiLevelType w:val="hybridMultilevel"/>
    <w:tmpl w:val="73226C86"/>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9"/>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23"/>
  </w:num>
  <w:num w:numId="9">
    <w:abstractNumId w:val="1"/>
  </w:num>
  <w:num w:numId="10">
    <w:abstractNumId w:val="9"/>
  </w:num>
  <w:num w:numId="11">
    <w:abstractNumId w:val="20"/>
  </w:num>
  <w:num w:numId="12">
    <w:abstractNumId w:val="18"/>
  </w:num>
  <w:num w:numId="13">
    <w:abstractNumId w:val="8"/>
  </w:num>
  <w:num w:numId="14">
    <w:abstractNumId w:val="6"/>
  </w:num>
  <w:num w:numId="15">
    <w:abstractNumId w:val="7"/>
  </w:num>
  <w:num w:numId="1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5"/>
  </w:num>
  <w:num w:numId="20">
    <w:abstractNumId w:val="14"/>
  </w:num>
  <w:num w:numId="21">
    <w:abstractNumId w:val="22"/>
  </w:num>
  <w:num w:numId="22">
    <w:abstractNumId w:val="13"/>
  </w:num>
  <w:num w:numId="23">
    <w:abstractNumId w:val="24"/>
  </w:num>
  <w:num w:numId="24">
    <w:abstractNumId w:val="11"/>
  </w:num>
  <w:num w:numId="25">
    <w:abstractNumId w:val="12"/>
  </w:num>
  <w:num w:numId="26">
    <w:abstractNumId w:val="21"/>
  </w:num>
  <w:num w:numId="27">
    <w:abstractNumId w:val="5"/>
  </w:num>
  <w:num w:numId="28">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fti, Alissa">
    <w15:presenceInfo w15:providerId="AD" w15:userId="S-1-5-21-1409082233-179605362-725345543-1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48A4"/>
    <w:rsid w:val="0000656D"/>
    <w:rsid w:val="00006CE6"/>
    <w:rsid w:val="00012FAC"/>
    <w:rsid w:val="00017094"/>
    <w:rsid w:val="00021C85"/>
    <w:rsid w:val="00022819"/>
    <w:rsid w:val="00023151"/>
    <w:rsid w:val="00023E80"/>
    <w:rsid w:val="0002537F"/>
    <w:rsid w:val="000267D5"/>
    <w:rsid w:val="00030DA1"/>
    <w:rsid w:val="00031238"/>
    <w:rsid w:val="00035521"/>
    <w:rsid w:val="00040152"/>
    <w:rsid w:val="0004112E"/>
    <w:rsid w:val="0004655C"/>
    <w:rsid w:val="00050717"/>
    <w:rsid w:val="000539CF"/>
    <w:rsid w:val="000557C1"/>
    <w:rsid w:val="00055E72"/>
    <w:rsid w:val="00057398"/>
    <w:rsid w:val="00057918"/>
    <w:rsid w:val="0006407C"/>
    <w:rsid w:val="000671C8"/>
    <w:rsid w:val="000702FD"/>
    <w:rsid w:val="00081603"/>
    <w:rsid w:val="0008281F"/>
    <w:rsid w:val="000904F7"/>
    <w:rsid w:val="0009106C"/>
    <w:rsid w:val="000920FB"/>
    <w:rsid w:val="000935B7"/>
    <w:rsid w:val="0009593A"/>
    <w:rsid w:val="00096351"/>
    <w:rsid w:val="00097558"/>
    <w:rsid w:val="00097A7E"/>
    <w:rsid w:val="000A1187"/>
    <w:rsid w:val="000A2D21"/>
    <w:rsid w:val="000A377E"/>
    <w:rsid w:val="000A7B18"/>
    <w:rsid w:val="000B2833"/>
    <w:rsid w:val="000B4A56"/>
    <w:rsid w:val="000C24DF"/>
    <w:rsid w:val="000C36BE"/>
    <w:rsid w:val="000C4059"/>
    <w:rsid w:val="000C423F"/>
    <w:rsid w:val="000C6DC5"/>
    <w:rsid w:val="000D2A6E"/>
    <w:rsid w:val="000E15D2"/>
    <w:rsid w:val="000F324E"/>
    <w:rsid w:val="000F3469"/>
    <w:rsid w:val="000F48D0"/>
    <w:rsid w:val="000F590D"/>
    <w:rsid w:val="001006A9"/>
    <w:rsid w:val="00106346"/>
    <w:rsid w:val="0011175D"/>
    <w:rsid w:val="001120BD"/>
    <w:rsid w:val="001150FF"/>
    <w:rsid w:val="001201DF"/>
    <w:rsid w:val="00120C8C"/>
    <w:rsid w:val="0012131E"/>
    <w:rsid w:val="00121683"/>
    <w:rsid w:val="00122C38"/>
    <w:rsid w:val="00123A00"/>
    <w:rsid w:val="00126399"/>
    <w:rsid w:val="00132B12"/>
    <w:rsid w:val="00132BDD"/>
    <w:rsid w:val="0013719E"/>
    <w:rsid w:val="00137C93"/>
    <w:rsid w:val="00140281"/>
    <w:rsid w:val="001419EE"/>
    <w:rsid w:val="00144C3D"/>
    <w:rsid w:val="00145162"/>
    <w:rsid w:val="00146E1E"/>
    <w:rsid w:val="00151AB6"/>
    <w:rsid w:val="0015273B"/>
    <w:rsid w:val="00154DE5"/>
    <w:rsid w:val="001564D7"/>
    <w:rsid w:val="0016172F"/>
    <w:rsid w:val="00162A57"/>
    <w:rsid w:val="00170E3B"/>
    <w:rsid w:val="0017284E"/>
    <w:rsid w:val="00172E1D"/>
    <w:rsid w:val="0017396B"/>
    <w:rsid w:val="00176DE8"/>
    <w:rsid w:val="001820B6"/>
    <w:rsid w:val="00183F14"/>
    <w:rsid w:val="00186BBB"/>
    <w:rsid w:val="0019213E"/>
    <w:rsid w:val="00192E82"/>
    <w:rsid w:val="00192EEB"/>
    <w:rsid w:val="001960A0"/>
    <w:rsid w:val="0019649D"/>
    <w:rsid w:val="001A1871"/>
    <w:rsid w:val="001A1A72"/>
    <w:rsid w:val="001A44F5"/>
    <w:rsid w:val="001B07C9"/>
    <w:rsid w:val="001B1D92"/>
    <w:rsid w:val="001C205A"/>
    <w:rsid w:val="001D125C"/>
    <w:rsid w:val="001D5DAF"/>
    <w:rsid w:val="001D6F76"/>
    <w:rsid w:val="001E7401"/>
    <w:rsid w:val="001E7E6B"/>
    <w:rsid w:val="001F262A"/>
    <w:rsid w:val="001F3078"/>
    <w:rsid w:val="001F41CF"/>
    <w:rsid w:val="001F50CB"/>
    <w:rsid w:val="001F5E85"/>
    <w:rsid w:val="001F6E13"/>
    <w:rsid w:val="001F71FE"/>
    <w:rsid w:val="002032B8"/>
    <w:rsid w:val="0020724D"/>
    <w:rsid w:val="0021087E"/>
    <w:rsid w:val="00210E5D"/>
    <w:rsid w:val="002121DE"/>
    <w:rsid w:val="00212B28"/>
    <w:rsid w:val="00221DF6"/>
    <w:rsid w:val="00223AC7"/>
    <w:rsid w:val="002334E8"/>
    <w:rsid w:val="00247221"/>
    <w:rsid w:val="00252C29"/>
    <w:rsid w:val="002623A8"/>
    <w:rsid w:val="002652B3"/>
    <w:rsid w:val="002669D9"/>
    <w:rsid w:val="00267FEF"/>
    <w:rsid w:val="00270B0B"/>
    <w:rsid w:val="002720FA"/>
    <w:rsid w:val="0027555C"/>
    <w:rsid w:val="00282941"/>
    <w:rsid w:val="00283C9A"/>
    <w:rsid w:val="00283F84"/>
    <w:rsid w:val="00284158"/>
    <w:rsid w:val="00294D38"/>
    <w:rsid w:val="00296FEC"/>
    <w:rsid w:val="00297CE0"/>
    <w:rsid w:val="002A058A"/>
    <w:rsid w:val="002A0AF0"/>
    <w:rsid w:val="002A4646"/>
    <w:rsid w:val="002A4E01"/>
    <w:rsid w:val="002A75B7"/>
    <w:rsid w:val="002C0F2A"/>
    <w:rsid w:val="002C1EB9"/>
    <w:rsid w:val="002C30A0"/>
    <w:rsid w:val="002C3202"/>
    <w:rsid w:val="002C40E6"/>
    <w:rsid w:val="002C650D"/>
    <w:rsid w:val="002C71B9"/>
    <w:rsid w:val="002D6273"/>
    <w:rsid w:val="002D6DAB"/>
    <w:rsid w:val="002F01A2"/>
    <w:rsid w:val="00300348"/>
    <w:rsid w:val="00305168"/>
    <w:rsid w:val="00306540"/>
    <w:rsid w:val="00306D03"/>
    <w:rsid w:val="003077B9"/>
    <w:rsid w:val="0031284A"/>
    <w:rsid w:val="00312E35"/>
    <w:rsid w:val="00316FF9"/>
    <w:rsid w:val="003209F9"/>
    <w:rsid w:val="00323FA5"/>
    <w:rsid w:val="00324487"/>
    <w:rsid w:val="00325691"/>
    <w:rsid w:val="00325877"/>
    <w:rsid w:val="003312EA"/>
    <w:rsid w:val="003328E7"/>
    <w:rsid w:val="00333423"/>
    <w:rsid w:val="00335227"/>
    <w:rsid w:val="003359BF"/>
    <w:rsid w:val="0033608D"/>
    <w:rsid w:val="00341DBC"/>
    <w:rsid w:val="00343414"/>
    <w:rsid w:val="0034647D"/>
    <w:rsid w:val="00346B7F"/>
    <w:rsid w:val="0035302A"/>
    <w:rsid w:val="00361B6E"/>
    <w:rsid w:val="00361D0D"/>
    <w:rsid w:val="003644B9"/>
    <w:rsid w:val="00370395"/>
    <w:rsid w:val="003707F4"/>
    <w:rsid w:val="00372979"/>
    <w:rsid w:val="003750C7"/>
    <w:rsid w:val="00375C72"/>
    <w:rsid w:val="00384373"/>
    <w:rsid w:val="00385912"/>
    <w:rsid w:val="0039132F"/>
    <w:rsid w:val="00394B2F"/>
    <w:rsid w:val="00396F85"/>
    <w:rsid w:val="003A1C02"/>
    <w:rsid w:val="003A6D49"/>
    <w:rsid w:val="003A7123"/>
    <w:rsid w:val="003B055F"/>
    <w:rsid w:val="003B258A"/>
    <w:rsid w:val="003B2960"/>
    <w:rsid w:val="003B442E"/>
    <w:rsid w:val="003B56FA"/>
    <w:rsid w:val="003C18C5"/>
    <w:rsid w:val="003C374C"/>
    <w:rsid w:val="003C621A"/>
    <w:rsid w:val="003C6AAB"/>
    <w:rsid w:val="003C6EBE"/>
    <w:rsid w:val="003C77A4"/>
    <w:rsid w:val="003E78CF"/>
    <w:rsid w:val="003F0A6C"/>
    <w:rsid w:val="003F2882"/>
    <w:rsid w:val="003F3EFD"/>
    <w:rsid w:val="003F4597"/>
    <w:rsid w:val="003F7977"/>
    <w:rsid w:val="004020AA"/>
    <w:rsid w:val="00405E20"/>
    <w:rsid w:val="00406244"/>
    <w:rsid w:val="00407BD2"/>
    <w:rsid w:val="00411356"/>
    <w:rsid w:val="00416DD5"/>
    <w:rsid w:val="004219A0"/>
    <w:rsid w:val="0042617E"/>
    <w:rsid w:val="00426388"/>
    <w:rsid w:val="0043230F"/>
    <w:rsid w:val="0043347E"/>
    <w:rsid w:val="00434F75"/>
    <w:rsid w:val="00435324"/>
    <w:rsid w:val="0043772B"/>
    <w:rsid w:val="00440FDE"/>
    <w:rsid w:val="0044101B"/>
    <w:rsid w:val="00443479"/>
    <w:rsid w:val="004447FF"/>
    <w:rsid w:val="004478F1"/>
    <w:rsid w:val="004542E1"/>
    <w:rsid w:val="00454705"/>
    <w:rsid w:val="00454C9A"/>
    <w:rsid w:val="004552CA"/>
    <w:rsid w:val="00455379"/>
    <w:rsid w:val="00461C13"/>
    <w:rsid w:val="00462B68"/>
    <w:rsid w:val="0046345A"/>
    <w:rsid w:val="00463931"/>
    <w:rsid w:val="004645F0"/>
    <w:rsid w:val="00464A4B"/>
    <w:rsid w:val="00464ED9"/>
    <w:rsid w:val="00470A3E"/>
    <w:rsid w:val="00472F5F"/>
    <w:rsid w:val="00476B88"/>
    <w:rsid w:val="00484DD7"/>
    <w:rsid w:val="00486D02"/>
    <w:rsid w:val="00487B02"/>
    <w:rsid w:val="004930D6"/>
    <w:rsid w:val="004949A0"/>
    <w:rsid w:val="004A0905"/>
    <w:rsid w:val="004A096A"/>
    <w:rsid w:val="004A3754"/>
    <w:rsid w:val="004B2087"/>
    <w:rsid w:val="004B4881"/>
    <w:rsid w:val="004C028D"/>
    <w:rsid w:val="004D0A6A"/>
    <w:rsid w:val="004D366D"/>
    <w:rsid w:val="004D4F5C"/>
    <w:rsid w:val="004D6027"/>
    <w:rsid w:val="004E2764"/>
    <w:rsid w:val="004E33EB"/>
    <w:rsid w:val="004E4E4C"/>
    <w:rsid w:val="004E6983"/>
    <w:rsid w:val="004E757E"/>
    <w:rsid w:val="004F03D1"/>
    <w:rsid w:val="004F0618"/>
    <w:rsid w:val="004F4910"/>
    <w:rsid w:val="00502843"/>
    <w:rsid w:val="00504F18"/>
    <w:rsid w:val="005053D2"/>
    <w:rsid w:val="00505748"/>
    <w:rsid w:val="00505A40"/>
    <w:rsid w:val="005060F0"/>
    <w:rsid w:val="0051428F"/>
    <w:rsid w:val="00515598"/>
    <w:rsid w:val="005209B4"/>
    <w:rsid w:val="005265E5"/>
    <w:rsid w:val="005279AD"/>
    <w:rsid w:val="005311CF"/>
    <w:rsid w:val="00532D43"/>
    <w:rsid w:val="005401B0"/>
    <w:rsid w:val="00541A62"/>
    <w:rsid w:val="00543D7C"/>
    <w:rsid w:val="0054414B"/>
    <w:rsid w:val="00546C27"/>
    <w:rsid w:val="0054735D"/>
    <w:rsid w:val="005547A9"/>
    <w:rsid w:val="00555806"/>
    <w:rsid w:val="00564C8F"/>
    <w:rsid w:val="0056601D"/>
    <w:rsid w:val="005670C0"/>
    <w:rsid w:val="00573741"/>
    <w:rsid w:val="00573D98"/>
    <w:rsid w:val="00573F7C"/>
    <w:rsid w:val="00574F07"/>
    <w:rsid w:val="00576ACC"/>
    <w:rsid w:val="00577CC1"/>
    <w:rsid w:val="00581492"/>
    <w:rsid w:val="00586138"/>
    <w:rsid w:val="005905FA"/>
    <w:rsid w:val="00592214"/>
    <w:rsid w:val="005923CA"/>
    <w:rsid w:val="00594C37"/>
    <w:rsid w:val="0059561F"/>
    <w:rsid w:val="00597736"/>
    <w:rsid w:val="005A5658"/>
    <w:rsid w:val="005A5774"/>
    <w:rsid w:val="005B2DA0"/>
    <w:rsid w:val="005B2E5E"/>
    <w:rsid w:val="005B3243"/>
    <w:rsid w:val="005B3420"/>
    <w:rsid w:val="005B348D"/>
    <w:rsid w:val="005B38CC"/>
    <w:rsid w:val="005D0A4D"/>
    <w:rsid w:val="005D3EA9"/>
    <w:rsid w:val="005D4A31"/>
    <w:rsid w:val="005E0999"/>
    <w:rsid w:val="005E0A47"/>
    <w:rsid w:val="005E0B08"/>
    <w:rsid w:val="005E1C84"/>
    <w:rsid w:val="005E2642"/>
    <w:rsid w:val="005E2DAB"/>
    <w:rsid w:val="005E6DD7"/>
    <w:rsid w:val="005F1C01"/>
    <w:rsid w:val="005F2CC3"/>
    <w:rsid w:val="005F62F8"/>
    <w:rsid w:val="005F6858"/>
    <w:rsid w:val="005F6BBD"/>
    <w:rsid w:val="005F749C"/>
    <w:rsid w:val="00603440"/>
    <w:rsid w:val="00604780"/>
    <w:rsid w:val="00605638"/>
    <w:rsid w:val="0060645C"/>
    <w:rsid w:val="00607505"/>
    <w:rsid w:val="00611BE6"/>
    <w:rsid w:val="0061622F"/>
    <w:rsid w:val="00617860"/>
    <w:rsid w:val="00621290"/>
    <w:rsid w:val="006240FF"/>
    <w:rsid w:val="006270EC"/>
    <w:rsid w:val="00632B9B"/>
    <w:rsid w:val="00633FAF"/>
    <w:rsid w:val="00634AC6"/>
    <w:rsid w:val="006359D2"/>
    <w:rsid w:val="00636249"/>
    <w:rsid w:val="00637E08"/>
    <w:rsid w:val="00641BE3"/>
    <w:rsid w:val="00645B9F"/>
    <w:rsid w:val="00646728"/>
    <w:rsid w:val="00646F5E"/>
    <w:rsid w:val="00647632"/>
    <w:rsid w:val="0064790E"/>
    <w:rsid w:val="00647C3D"/>
    <w:rsid w:val="00652A8F"/>
    <w:rsid w:val="00656312"/>
    <w:rsid w:val="006650A6"/>
    <w:rsid w:val="006664DD"/>
    <w:rsid w:val="0067148B"/>
    <w:rsid w:val="00674038"/>
    <w:rsid w:val="00677031"/>
    <w:rsid w:val="00683E89"/>
    <w:rsid w:val="00683F75"/>
    <w:rsid w:val="00685EC4"/>
    <w:rsid w:val="006870AB"/>
    <w:rsid w:val="006909E4"/>
    <w:rsid w:val="00696A06"/>
    <w:rsid w:val="006A02C2"/>
    <w:rsid w:val="006A2932"/>
    <w:rsid w:val="006A4494"/>
    <w:rsid w:val="006A4C02"/>
    <w:rsid w:val="006A5690"/>
    <w:rsid w:val="006B0044"/>
    <w:rsid w:val="006B081C"/>
    <w:rsid w:val="006B2728"/>
    <w:rsid w:val="006C2B1F"/>
    <w:rsid w:val="006C2F09"/>
    <w:rsid w:val="006C51C8"/>
    <w:rsid w:val="006C53E7"/>
    <w:rsid w:val="006C56E5"/>
    <w:rsid w:val="006C76C7"/>
    <w:rsid w:val="006D08C9"/>
    <w:rsid w:val="006D11E0"/>
    <w:rsid w:val="006D2DB7"/>
    <w:rsid w:val="006D570E"/>
    <w:rsid w:val="006D77A5"/>
    <w:rsid w:val="006E01BE"/>
    <w:rsid w:val="006E26FE"/>
    <w:rsid w:val="006E672B"/>
    <w:rsid w:val="006E7F39"/>
    <w:rsid w:val="006F15C4"/>
    <w:rsid w:val="006F1B2A"/>
    <w:rsid w:val="006F2859"/>
    <w:rsid w:val="006F38A9"/>
    <w:rsid w:val="006F60A2"/>
    <w:rsid w:val="006F6387"/>
    <w:rsid w:val="006F78D8"/>
    <w:rsid w:val="00700661"/>
    <w:rsid w:val="0070336B"/>
    <w:rsid w:val="007120CF"/>
    <w:rsid w:val="00717630"/>
    <w:rsid w:val="00717E32"/>
    <w:rsid w:val="0072333D"/>
    <w:rsid w:val="00724165"/>
    <w:rsid w:val="00726B0A"/>
    <w:rsid w:val="00727611"/>
    <w:rsid w:val="0073206E"/>
    <w:rsid w:val="00732FBE"/>
    <w:rsid w:val="00733F34"/>
    <w:rsid w:val="00734946"/>
    <w:rsid w:val="007351BF"/>
    <w:rsid w:val="0073726F"/>
    <w:rsid w:val="00740FE2"/>
    <w:rsid w:val="00741002"/>
    <w:rsid w:val="00743AC0"/>
    <w:rsid w:val="00750C9D"/>
    <w:rsid w:val="00751A33"/>
    <w:rsid w:val="00751EE2"/>
    <w:rsid w:val="00756CEC"/>
    <w:rsid w:val="00761B68"/>
    <w:rsid w:val="007624A6"/>
    <w:rsid w:val="0077289F"/>
    <w:rsid w:val="00777441"/>
    <w:rsid w:val="0078105A"/>
    <w:rsid w:val="00781749"/>
    <w:rsid w:val="00781FCF"/>
    <w:rsid w:val="0078363A"/>
    <w:rsid w:val="007846E7"/>
    <w:rsid w:val="007866EF"/>
    <w:rsid w:val="00793AE9"/>
    <w:rsid w:val="00794DF8"/>
    <w:rsid w:val="00795FC0"/>
    <w:rsid w:val="0079723E"/>
    <w:rsid w:val="00797C60"/>
    <w:rsid w:val="007A2DF9"/>
    <w:rsid w:val="007A37F5"/>
    <w:rsid w:val="007A4B36"/>
    <w:rsid w:val="007B0374"/>
    <w:rsid w:val="007B1BDC"/>
    <w:rsid w:val="007C1A0A"/>
    <w:rsid w:val="007C1A8C"/>
    <w:rsid w:val="007C4F26"/>
    <w:rsid w:val="007C63BF"/>
    <w:rsid w:val="007C73E1"/>
    <w:rsid w:val="007D052D"/>
    <w:rsid w:val="007D2DC0"/>
    <w:rsid w:val="007F4AF0"/>
    <w:rsid w:val="007F76E4"/>
    <w:rsid w:val="00800E30"/>
    <w:rsid w:val="00801B1E"/>
    <w:rsid w:val="00806472"/>
    <w:rsid w:val="00814B34"/>
    <w:rsid w:val="00815BB0"/>
    <w:rsid w:val="00816D9F"/>
    <w:rsid w:val="00820D27"/>
    <w:rsid w:val="008223D0"/>
    <w:rsid w:val="00823089"/>
    <w:rsid w:val="008242A8"/>
    <w:rsid w:val="00824CDB"/>
    <w:rsid w:val="008317AB"/>
    <w:rsid w:val="00833239"/>
    <w:rsid w:val="0083367D"/>
    <w:rsid w:val="00834D6C"/>
    <w:rsid w:val="00834D9A"/>
    <w:rsid w:val="00836083"/>
    <w:rsid w:val="00836458"/>
    <w:rsid w:val="00836704"/>
    <w:rsid w:val="00836BC9"/>
    <w:rsid w:val="00840315"/>
    <w:rsid w:val="00840FF6"/>
    <w:rsid w:val="008451AE"/>
    <w:rsid w:val="00846C93"/>
    <w:rsid w:val="00851E84"/>
    <w:rsid w:val="00852B83"/>
    <w:rsid w:val="00853067"/>
    <w:rsid w:val="00853BA1"/>
    <w:rsid w:val="0085784A"/>
    <w:rsid w:val="008620F3"/>
    <w:rsid w:val="008651B4"/>
    <w:rsid w:val="00872E38"/>
    <w:rsid w:val="008738A1"/>
    <w:rsid w:val="00873F7B"/>
    <w:rsid w:val="008743EB"/>
    <w:rsid w:val="008821C3"/>
    <w:rsid w:val="00884811"/>
    <w:rsid w:val="00885F67"/>
    <w:rsid w:val="00892675"/>
    <w:rsid w:val="008A1D68"/>
    <w:rsid w:val="008A3B57"/>
    <w:rsid w:val="008A6559"/>
    <w:rsid w:val="008A6DC0"/>
    <w:rsid w:val="008A7469"/>
    <w:rsid w:val="008B09DE"/>
    <w:rsid w:val="008B0EF7"/>
    <w:rsid w:val="008B2468"/>
    <w:rsid w:val="008B3743"/>
    <w:rsid w:val="008B4D47"/>
    <w:rsid w:val="008B6673"/>
    <w:rsid w:val="008B7DCE"/>
    <w:rsid w:val="008C4829"/>
    <w:rsid w:val="008C63F2"/>
    <w:rsid w:val="008C6C16"/>
    <w:rsid w:val="008E177C"/>
    <w:rsid w:val="008E5CE6"/>
    <w:rsid w:val="008E7D9E"/>
    <w:rsid w:val="008F1285"/>
    <w:rsid w:val="008F1E17"/>
    <w:rsid w:val="008F23D9"/>
    <w:rsid w:val="008F774A"/>
    <w:rsid w:val="008F7E8C"/>
    <w:rsid w:val="00900207"/>
    <w:rsid w:val="00900FA7"/>
    <w:rsid w:val="00902A94"/>
    <w:rsid w:val="00905A71"/>
    <w:rsid w:val="009060D3"/>
    <w:rsid w:val="00906D4F"/>
    <w:rsid w:val="00907841"/>
    <w:rsid w:val="009109B9"/>
    <w:rsid w:val="00910EC4"/>
    <w:rsid w:val="00913031"/>
    <w:rsid w:val="00914453"/>
    <w:rsid w:val="0092120A"/>
    <w:rsid w:val="00921561"/>
    <w:rsid w:val="00923465"/>
    <w:rsid w:val="00924A3D"/>
    <w:rsid w:val="009312AA"/>
    <w:rsid w:val="0093197A"/>
    <w:rsid w:val="00932245"/>
    <w:rsid w:val="00935EF7"/>
    <w:rsid w:val="009457D7"/>
    <w:rsid w:val="00950A68"/>
    <w:rsid w:val="009511AC"/>
    <w:rsid w:val="009521C9"/>
    <w:rsid w:val="009524ED"/>
    <w:rsid w:val="00953CB1"/>
    <w:rsid w:val="00953CCB"/>
    <w:rsid w:val="00954A49"/>
    <w:rsid w:val="0095789D"/>
    <w:rsid w:val="0096111F"/>
    <w:rsid w:val="0096407A"/>
    <w:rsid w:val="009645D4"/>
    <w:rsid w:val="00975B2D"/>
    <w:rsid w:val="009810EB"/>
    <w:rsid w:val="00984FA8"/>
    <w:rsid w:val="00985C20"/>
    <w:rsid w:val="00986A76"/>
    <w:rsid w:val="00986CEC"/>
    <w:rsid w:val="00987509"/>
    <w:rsid w:val="00990771"/>
    <w:rsid w:val="009953DE"/>
    <w:rsid w:val="00995DBC"/>
    <w:rsid w:val="00996D36"/>
    <w:rsid w:val="009A265D"/>
    <w:rsid w:val="009A385D"/>
    <w:rsid w:val="009A5354"/>
    <w:rsid w:val="009A75A3"/>
    <w:rsid w:val="009B249A"/>
    <w:rsid w:val="009B34EF"/>
    <w:rsid w:val="009C5ADC"/>
    <w:rsid w:val="009C6BBB"/>
    <w:rsid w:val="009C71CE"/>
    <w:rsid w:val="009D1C21"/>
    <w:rsid w:val="009D2A5D"/>
    <w:rsid w:val="009D411C"/>
    <w:rsid w:val="009D7B59"/>
    <w:rsid w:val="009F092A"/>
    <w:rsid w:val="009F26BC"/>
    <w:rsid w:val="00A01EC7"/>
    <w:rsid w:val="00A0205D"/>
    <w:rsid w:val="00A04DC9"/>
    <w:rsid w:val="00A1781E"/>
    <w:rsid w:val="00A208BA"/>
    <w:rsid w:val="00A263C7"/>
    <w:rsid w:val="00A26561"/>
    <w:rsid w:val="00A26ADC"/>
    <w:rsid w:val="00A3192B"/>
    <w:rsid w:val="00A3675D"/>
    <w:rsid w:val="00A41630"/>
    <w:rsid w:val="00A46C25"/>
    <w:rsid w:val="00A52003"/>
    <w:rsid w:val="00A52961"/>
    <w:rsid w:val="00A57BD0"/>
    <w:rsid w:val="00A57BEA"/>
    <w:rsid w:val="00A62747"/>
    <w:rsid w:val="00A64A01"/>
    <w:rsid w:val="00A7555E"/>
    <w:rsid w:val="00A77A73"/>
    <w:rsid w:val="00A80CCC"/>
    <w:rsid w:val="00A90E28"/>
    <w:rsid w:val="00A9139D"/>
    <w:rsid w:val="00A92A07"/>
    <w:rsid w:val="00A92E85"/>
    <w:rsid w:val="00A942E1"/>
    <w:rsid w:val="00AA4AE4"/>
    <w:rsid w:val="00AB09BD"/>
    <w:rsid w:val="00AB2C76"/>
    <w:rsid w:val="00AB699E"/>
    <w:rsid w:val="00AC08B3"/>
    <w:rsid w:val="00AC0A5B"/>
    <w:rsid w:val="00AC2E09"/>
    <w:rsid w:val="00AC2F01"/>
    <w:rsid w:val="00AC4216"/>
    <w:rsid w:val="00AC461E"/>
    <w:rsid w:val="00AD0B01"/>
    <w:rsid w:val="00AD2376"/>
    <w:rsid w:val="00AE478D"/>
    <w:rsid w:val="00AE7CC6"/>
    <w:rsid w:val="00AF35D2"/>
    <w:rsid w:val="00AF73C2"/>
    <w:rsid w:val="00B02E0A"/>
    <w:rsid w:val="00B04905"/>
    <w:rsid w:val="00B07DAA"/>
    <w:rsid w:val="00B1064D"/>
    <w:rsid w:val="00B12227"/>
    <w:rsid w:val="00B12869"/>
    <w:rsid w:val="00B15F97"/>
    <w:rsid w:val="00B1642B"/>
    <w:rsid w:val="00B164B5"/>
    <w:rsid w:val="00B168C7"/>
    <w:rsid w:val="00B221E5"/>
    <w:rsid w:val="00B31286"/>
    <w:rsid w:val="00B32841"/>
    <w:rsid w:val="00B3674E"/>
    <w:rsid w:val="00B37E35"/>
    <w:rsid w:val="00B4017E"/>
    <w:rsid w:val="00B40D36"/>
    <w:rsid w:val="00B43449"/>
    <w:rsid w:val="00B46AC0"/>
    <w:rsid w:val="00B47473"/>
    <w:rsid w:val="00B50E70"/>
    <w:rsid w:val="00B54209"/>
    <w:rsid w:val="00B54F56"/>
    <w:rsid w:val="00B557FE"/>
    <w:rsid w:val="00B627E5"/>
    <w:rsid w:val="00B64761"/>
    <w:rsid w:val="00B658A3"/>
    <w:rsid w:val="00B71063"/>
    <w:rsid w:val="00B75FEA"/>
    <w:rsid w:val="00B76908"/>
    <w:rsid w:val="00B86EA5"/>
    <w:rsid w:val="00B87D01"/>
    <w:rsid w:val="00B95298"/>
    <w:rsid w:val="00B95944"/>
    <w:rsid w:val="00B97AE8"/>
    <w:rsid w:val="00BA6495"/>
    <w:rsid w:val="00BB28B0"/>
    <w:rsid w:val="00BB3550"/>
    <w:rsid w:val="00BB63C6"/>
    <w:rsid w:val="00BC07A6"/>
    <w:rsid w:val="00BC0A72"/>
    <w:rsid w:val="00BC2AE6"/>
    <w:rsid w:val="00BD157C"/>
    <w:rsid w:val="00BD7D74"/>
    <w:rsid w:val="00BE0CC1"/>
    <w:rsid w:val="00BE1735"/>
    <w:rsid w:val="00BE4535"/>
    <w:rsid w:val="00BE47D1"/>
    <w:rsid w:val="00BE5A4C"/>
    <w:rsid w:val="00BF4029"/>
    <w:rsid w:val="00BF4B6D"/>
    <w:rsid w:val="00BF5DCC"/>
    <w:rsid w:val="00C05701"/>
    <w:rsid w:val="00C062ED"/>
    <w:rsid w:val="00C067A1"/>
    <w:rsid w:val="00C07B0D"/>
    <w:rsid w:val="00C1006B"/>
    <w:rsid w:val="00C123DF"/>
    <w:rsid w:val="00C12BF7"/>
    <w:rsid w:val="00C1597C"/>
    <w:rsid w:val="00C166EC"/>
    <w:rsid w:val="00C20D4C"/>
    <w:rsid w:val="00C24FD6"/>
    <w:rsid w:val="00C260A1"/>
    <w:rsid w:val="00C3303F"/>
    <w:rsid w:val="00C33519"/>
    <w:rsid w:val="00C355E2"/>
    <w:rsid w:val="00C44159"/>
    <w:rsid w:val="00C44677"/>
    <w:rsid w:val="00C4473C"/>
    <w:rsid w:val="00C44D5C"/>
    <w:rsid w:val="00C45FF9"/>
    <w:rsid w:val="00C5160A"/>
    <w:rsid w:val="00C52F24"/>
    <w:rsid w:val="00C551D4"/>
    <w:rsid w:val="00C570F1"/>
    <w:rsid w:val="00C71743"/>
    <w:rsid w:val="00C73608"/>
    <w:rsid w:val="00C742D0"/>
    <w:rsid w:val="00C756A0"/>
    <w:rsid w:val="00C82E7A"/>
    <w:rsid w:val="00C83591"/>
    <w:rsid w:val="00C85C28"/>
    <w:rsid w:val="00C85C29"/>
    <w:rsid w:val="00C85F85"/>
    <w:rsid w:val="00C90B54"/>
    <w:rsid w:val="00C947D9"/>
    <w:rsid w:val="00C95E92"/>
    <w:rsid w:val="00C97891"/>
    <w:rsid w:val="00CA0F61"/>
    <w:rsid w:val="00CA2DC8"/>
    <w:rsid w:val="00CA50ED"/>
    <w:rsid w:val="00CA73B2"/>
    <w:rsid w:val="00CB0CF9"/>
    <w:rsid w:val="00CB383B"/>
    <w:rsid w:val="00CB72CF"/>
    <w:rsid w:val="00CC2AAA"/>
    <w:rsid w:val="00CC3D97"/>
    <w:rsid w:val="00CC3FDD"/>
    <w:rsid w:val="00CD1B43"/>
    <w:rsid w:val="00CD222B"/>
    <w:rsid w:val="00CD402A"/>
    <w:rsid w:val="00CD4D72"/>
    <w:rsid w:val="00CD4D97"/>
    <w:rsid w:val="00CD6B53"/>
    <w:rsid w:val="00CE0919"/>
    <w:rsid w:val="00CE1DD6"/>
    <w:rsid w:val="00CE241D"/>
    <w:rsid w:val="00CE24A9"/>
    <w:rsid w:val="00CE278C"/>
    <w:rsid w:val="00CE46C3"/>
    <w:rsid w:val="00CE7D85"/>
    <w:rsid w:val="00CF6890"/>
    <w:rsid w:val="00D016C2"/>
    <w:rsid w:val="00D01BC9"/>
    <w:rsid w:val="00D049B7"/>
    <w:rsid w:val="00D05074"/>
    <w:rsid w:val="00D06724"/>
    <w:rsid w:val="00D24E85"/>
    <w:rsid w:val="00D26B08"/>
    <w:rsid w:val="00D31988"/>
    <w:rsid w:val="00D3474E"/>
    <w:rsid w:val="00D3556F"/>
    <w:rsid w:val="00D45FAA"/>
    <w:rsid w:val="00D462AE"/>
    <w:rsid w:val="00D536FA"/>
    <w:rsid w:val="00D53A5A"/>
    <w:rsid w:val="00D619D7"/>
    <w:rsid w:val="00D62DF4"/>
    <w:rsid w:val="00D63F6D"/>
    <w:rsid w:val="00D64007"/>
    <w:rsid w:val="00D665B6"/>
    <w:rsid w:val="00D674E1"/>
    <w:rsid w:val="00D71D15"/>
    <w:rsid w:val="00D71F3F"/>
    <w:rsid w:val="00D735A2"/>
    <w:rsid w:val="00D7401F"/>
    <w:rsid w:val="00D7574C"/>
    <w:rsid w:val="00D76D82"/>
    <w:rsid w:val="00D80925"/>
    <w:rsid w:val="00D811BF"/>
    <w:rsid w:val="00D82C2D"/>
    <w:rsid w:val="00D9092E"/>
    <w:rsid w:val="00D93BB1"/>
    <w:rsid w:val="00D9658A"/>
    <w:rsid w:val="00DA091C"/>
    <w:rsid w:val="00DA233F"/>
    <w:rsid w:val="00DA2BCA"/>
    <w:rsid w:val="00DA7286"/>
    <w:rsid w:val="00DB043F"/>
    <w:rsid w:val="00DB257E"/>
    <w:rsid w:val="00DC4CAE"/>
    <w:rsid w:val="00DC4DFD"/>
    <w:rsid w:val="00DE2AF2"/>
    <w:rsid w:val="00DE7253"/>
    <w:rsid w:val="00DE775A"/>
    <w:rsid w:val="00DF1997"/>
    <w:rsid w:val="00DF294E"/>
    <w:rsid w:val="00DF5456"/>
    <w:rsid w:val="00E07977"/>
    <w:rsid w:val="00E1436D"/>
    <w:rsid w:val="00E21D83"/>
    <w:rsid w:val="00E22FED"/>
    <w:rsid w:val="00E266F6"/>
    <w:rsid w:val="00E2799E"/>
    <w:rsid w:val="00E31308"/>
    <w:rsid w:val="00E317E8"/>
    <w:rsid w:val="00E3554B"/>
    <w:rsid w:val="00E40453"/>
    <w:rsid w:val="00E422B2"/>
    <w:rsid w:val="00E438AA"/>
    <w:rsid w:val="00E443F9"/>
    <w:rsid w:val="00E445A1"/>
    <w:rsid w:val="00E50A84"/>
    <w:rsid w:val="00E53EFD"/>
    <w:rsid w:val="00E5755B"/>
    <w:rsid w:val="00E640B8"/>
    <w:rsid w:val="00E640FB"/>
    <w:rsid w:val="00E6791D"/>
    <w:rsid w:val="00E67DE5"/>
    <w:rsid w:val="00E70F6E"/>
    <w:rsid w:val="00E74CB3"/>
    <w:rsid w:val="00E86938"/>
    <w:rsid w:val="00E958CE"/>
    <w:rsid w:val="00E95FF1"/>
    <w:rsid w:val="00EA1716"/>
    <w:rsid w:val="00EA1A12"/>
    <w:rsid w:val="00EA4E42"/>
    <w:rsid w:val="00EA7944"/>
    <w:rsid w:val="00EB0D34"/>
    <w:rsid w:val="00EB32F9"/>
    <w:rsid w:val="00EB5C6D"/>
    <w:rsid w:val="00EB7D1C"/>
    <w:rsid w:val="00ED2979"/>
    <w:rsid w:val="00ED36C3"/>
    <w:rsid w:val="00ED4774"/>
    <w:rsid w:val="00ED5829"/>
    <w:rsid w:val="00ED79BC"/>
    <w:rsid w:val="00EE2109"/>
    <w:rsid w:val="00EE3E01"/>
    <w:rsid w:val="00EE49A9"/>
    <w:rsid w:val="00EE5FCB"/>
    <w:rsid w:val="00EE7304"/>
    <w:rsid w:val="00EF233E"/>
    <w:rsid w:val="00EF6C40"/>
    <w:rsid w:val="00F017E8"/>
    <w:rsid w:val="00F03B3C"/>
    <w:rsid w:val="00F040F7"/>
    <w:rsid w:val="00F05608"/>
    <w:rsid w:val="00F06397"/>
    <w:rsid w:val="00F07716"/>
    <w:rsid w:val="00F130BD"/>
    <w:rsid w:val="00F14961"/>
    <w:rsid w:val="00F15D0E"/>
    <w:rsid w:val="00F168DA"/>
    <w:rsid w:val="00F227D5"/>
    <w:rsid w:val="00F26F2D"/>
    <w:rsid w:val="00F31949"/>
    <w:rsid w:val="00F34729"/>
    <w:rsid w:val="00F34F7E"/>
    <w:rsid w:val="00F36CC7"/>
    <w:rsid w:val="00F425C8"/>
    <w:rsid w:val="00F4790F"/>
    <w:rsid w:val="00F5031D"/>
    <w:rsid w:val="00F507ED"/>
    <w:rsid w:val="00F52AC8"/>
    <w:rsid w:val="00F52B59"/>
    <w:rsid w:val="00F554C9"/>
    <w:rsid w:val="00F620E0"/>
    <w:rsid w:val="00F65F53"/>
    <w:rsid w:val="00F71F26"/>
    <w:rsid w:val="00F73CE6"/>
    <w:rsid w:val="00F77511"/>
    <w:rsid w:val="00F80DFB"/>
    <w:rsid w:val="00F81778"/>
    <w:rsid w:val="00F84E08"/>
    <w:rsid w:val="00F8783E"/>
    <w:rsid w:val="00F87FEF"/>
    <w:rsid w:val="00F915C5"/>
    <w:rsid w:val="00F91E4C"/>
    <w:rsid w:val="00F935FC"/>
    <w:rsid w:val="00F94574"/>
    <w:rsid w:val="00F95286"/>
    <w:rsid w:val="00F95CE9"/>
    <w:rsid w:val="00FA0000"/>
    <w:rsid w:val="00FA0A4A"/>
    <w:rsid w:val="00FA24DC"/>
    <w:rsid w:val="00FB0837"/>
    <w:rsid w:val="00FB2701"/>
    <w:rsid w:val="00FB42AE"/>
    <w:rsid w:val="00FB4347"/>
    <w:rsid w:val="00FB4D05"/>
    <w:rsid w:val="00FC10C9"/>
    <w:rsid w:val="00FC278F"/>
    <w:rsid w:val="00FC3BC0"/>
    <w:rsid w:val="00FC4316"/>
    <w:rsid w:val="00FC5F21"/>
    <w:rsid w:val="00FC72B0"/>
    <w:rsid w:val="00FC79F4"/>
    <w:rsid w:val="00FD31C9"/>
    <w:rsid w:val="00FD454A"/>
    <w:rsid w:val="00FD71F3"/>
    <w:rsid w:val="00FE3E34"/>
    <w:rsid w:val="00FE417F"/>
    <w:rsid w:val="00FE41CE"/>
    <w:rsid w:val="00FE44EB"/>
    <w:rsid w:val="00FE4505"/>
    <w:rsid w:val="00FE5A75"/>
    <w:rsid w:val="00FE5E62"/>
    <w:rsid w:val="00FE6986"/>
    <w:rsid w:val="00FF12F8"/>
    <w:rsid w:val="00FF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904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77511"/>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character" w:styleId="PlaceholderText">
    <w:name w:val="Placeholder Text"/>
    <w:basedOn w:val="DefaultParagraphFont"/>
    <w:uiPriority w:val="99"/>
    <w:semiHidden/>
    <w:rsid w:val="00B557FE"/>
    <w:rPr>
      <w:color w:val="808080"/>
    </w:rPr>
  </w:style>
  <w:style w:type="paragraph" w:styleId="Revision">
    <w:name w:val="Revision"/>
    <w:hidden/>
    <w:uiPriority w:val="99"/>
    <w:semiHidden/>
    <w:rsid w:val="004C028D"/>
    <w:rPr>
      <w:rFonts w:ascii="Times New Roman" w:hAnsi="Times New Roman"/>
    </w:rPr>
  </w:style>
  <w:style w:type="character" w:customStyle="1" w:styleId="Heading1Char">
    <w:name w:val="Heading 1 Char"/>
    <w:basedOn w:val="DefaultParagraphFont"/>
    <w:link w:val="Heading1"/>
    <w:uiPriority w:val="9"/>
    <w:rsid w:val="00F7751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47FF"/>
    <w:pPr>
      <w:autoSpaceDE w:val="0"/>
      <w:autoSpaceDN w:val="0"/>
      <w:adjustRightInd w:val="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77511"/>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character" w:styleId="PlaceholderText">
    <w:name w:val="Placeholder Text"/>
    <w:basedOn w:val="DefaultParagraphFont"/>
    <w:uiPriority w:val="99"/>
    <w:semiHidden/>
    <w:rsid w:val="00B557FE"/>
    <w:rPr>
      <w:color w:val="808080"/>
    </w:rPr>
  </w:style>
  <w:style w:type="paragraph" w:styleId="Revision">
    <w:name w:val="Revision"/>
    <w:hidden/>
    <w:uiPriority w:val="99"/>
    <w:semiHidden/>
    <w:rsid w:val="004C028D"/>
    <w:rPr>
      <w:rFonts w:ascii="Times New Roman" w:hAnsi="Times New Roman"/>
    </w:rPr>
  </w:style>
  <w:style w:type="character" w:customStyle="1" w:styleId="Heading1Char">
    <w:name w:val="Heading 1 Char"/>
    <w:basedOn w:val="DefaultParagraphFont"/>
    <w:link w:val="Heading1"/>
    <w:uiPriority w:val="9"/>
    <w:rsid w:val="00F7751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47FF"/>
    <w:pPr>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81608507">
      <w:bodyDiv w:val="1"/>
      <w:marLeft w:val="0"/>
      <w:marRight w:val="0"/>
      <w:marTop w:val="0"/>
      <w:marBottom w:val="0"/>
      <w:divBdr>
        <w:top w:val="none" w:sz="0" w:space="0" w:color="auto"/>
        <w:left w:val="none" w:sz="0" w:space="0" w:color="auto"/>
        <w:bottom w:val="none" w:sz="0" w:space="0" w:color="auto"/>
        <w:right w:val="none" w:sz="0" w:space="0" w:color="auto"/>
      </w:divBdr>
    </w:div>
    <w:div w:id="205416116">
      <w:bodyDiv w:val="1"/>
      <w:marLeft w:val="0"/>
      <w:marRight w:val="0"/>
      <w:marTop w:val="0"/>
      <w:marBottom w:val="0"/>
      <w:divBdr>
        <w:top w:val="none" w:sz="0" w:space="0" w:color="auto"/>
        <w:left w:val="none" w:sz="0" w:space="0" w:color="auto"/>
        <w:bottom w:val="none" w:sz="0" w:space="0" w:color="auto"/>
        <w:right w:val="none" w:sz="0" w:space="0" w:color="auto"/>
      </w:divBdr>
    </w:div>
    <w:div w:id="211812927">
      <w:bodyDiv w:val="1"/>
      <w:marLeft w:val="0"/>
      <w:marRight w:val="0"/>
      <w:marTop w:val="0"/>
      <w:marBottom w:val="0"/>
      <w:divBdr>
        <w:top w:val="none" w:sz="0" w:space="0" w:color="auto"/>
        <w:left w:val="none" w:sz="0" w:space="0" w:color="auto"/>
        <w:bottom w:val="none" w:sz="0" w:space="0" w:color="auto"/>
        <w:right w:val="none" w:sz="0" w:space="0" w:color="auto"/>
      </w:divBdr>
    </w:div>
    <w:div w:id="237446896">
      <w:bodyDiv w:val="1"/>
      <w:marLeft w:val="0"/>
      <w:marRight w:val="0"/>
      <w:marTop w:val="0"/>
      <w:marBottom w:val="0"/>
      <w:divBdr>
        <w:top w:val="none" w:sz="0" w:space="0" w:color="auto"/>
        <w:left w:val="none" w:sz="0" w:space="0" w:color="auto"/>
        <w:bottom w:val="none" w:sz="0" w:space="0" w:color="auto"/>
        <w:right w:val="none" w:sz="0" w:space="0" w:color="auto"/>
      </w:divBdr>
    </w:div>
    <w:div w:id="377434689">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1645075">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83187103">
      <w:bodyDiv w:val="1"/>
      <w:marLeft w:val="0"/>
      <w:marRight w:val="0"/>
      <w:marTop w:val="0"/>
      <w:marBottom w:val="0"/>
      <w:divBdr>
        <w:top w:val="none" w:sz="0" w:space="0" w:color="auto"/>
        <w:left w:val="none" w:sz="0" w:space="0" w:color="auto"/>
        <w:bottom w:val="none" w:sz="0" w:space="0" w:color="auto"/>
        <w:right w:val="none" w:sz="0" w:space="0" w:color="auto"/>
      </w:divBdr>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30172586">
      <w:bodyDiv w:val="1"/>
      <w:marLeft w:val="0"/>
      <w:marRight w:val="0"/>
      <w:marTop w:val="0"/>
      <w:marBottom w:val="0"/>
      <w:divBdr>
        <w:top w:val="none" w:sz="0" w:space="0" w:color="auto"/>
        <w:left w:val="none" w:sz="0" w:space="0" w:color="auto"/>
        <w:bottom w:val="none" w:sz="0" w:space="0" w:color="auto"/>
        <w:right w:val="none" w:sz="0" w:space="0" w:color="auto"/>
      </w:divBdr>
    </w:div>
    <w:div w:id="834494110">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21839508">
      <w:bodyDiv w:val="1"/>
      <w:marLeft w:val="0"/>
      <w:marRight w:val="0"/>
      <w:marTop w:val="0"/>
      <w:marBottom w:val="0"/>
      <w:divBdr>
        <w:top w:val="none" w:sz="0" w:space="0" w:color="auto"/>
        <w:left w:val="none" w:sz="0" w:space="0" w:color="auto"/>
        <w:bottom w:val="none" w:sz="0" w:space="0" w:color="auto"/>
        <w:right w:val="none" w:sz="0" w:space="0" w:color="auto"/>
      </w:divBdr>
    </w:div>
    <w:div w:id="971518527">
      <w:bodyDiv w:val="1"/>
      <w:marLeft w:val="0"/>
      <w:marRight w:val="0"/>
      <w:marTop w:val="0"/>
      <w:marBottom w:val="0"/>
      <w:divBdr>
        <w:top w:val="none" w:sz="0" w:space="0" w:color="auto"/>
        <w:left w:val="none" w:sz="0" w:space="0" w:color="auto"/>
        <w:bottom w:val="none" w:sz="0" w:space="0" w:color="auto"/>
        <w:right w:val="none" w:sz="0" w:space="0" w:color="auto"/>
      </w:divBdr>
    </w:div>
    <w:div w:id="1132484075">
      <w:bodyDiv w:val="1"/>
      <w:marLeft w:val="0"/>
      <w:marRight w:val="0"/>
      <w:marTop w:val="0"/>
      <w:marBottom w:val="0"/>
      <w:divBdr>
        <w:top w:val="none" w:sz="0" w:space="0" w:color="auto"/>
        <w:left w:val="none" w:sz="0" w:space="0" w:color="auto"/>
        <w:bottom w:val="none" w:sz="0" w:space="0" w:color="auto"/>
        <w:right w:val="none" w:sz="0" w:space="0" w:color="auto"/>
      </w:divBdr>
    </w:div>
    <w:div w:id="1239091337">
      <w:bodyDiv w:val="1"/>
      <w:marLeft w:val="0"/>
      <w:marRight w:val="0"/>
      <w:marTop w:val="0"/>
      <w:marBottom w:val="0"/>
      <w:divBdr>
        <w:top w:val="none" w:sz="0" w:space="0" w:color="auto"/>
        <w:left w:val="none" w:sz="0" w:space="0" w:color="auto"/>
        <w:bottom w:val="none" w:sz="0" w:space="0" w:color="auto"/>
        <w:right w:val="none" w:sz="0" w:space="0" w:color="auto"/>
      </w:divBdr>
    </w:div>
    <w:div w:id="1260214891">
      <w:bodyDiv w:val="1"/>
      <w:marLeft w:val="0"/>
      <w:marRight w:val="0"/>
      <w:marTop w:val="0"/>
      <w:marBottom w:val="0"/>
      <w:divBdr>
        <w:top w:val="none" w:sz="0" w:space="0" w:color="auto"/>
        <w:left w:val="none" w:sz="0" w:space="0" w:color="auto"/>
        <w:bottom w:val="none" w:sz="0" w:space="0" w:color="auto"/>
        <w:right w:val="none" w:sz="0" w:space="0" w:color="auto"/>
      </w:divBdr>
    </w:div>
    <w:div w:id="1287198984">
      <w:bodyDiv w:val="1"/>
      <w:marLeft w:val="0"/>
      <w:marRight w:val="0"/>
      <w:marTop w:val="0"/>
      <w:marBottom w:val="0"/>
      <w:divBdr>
        <w:top w:val="none" w:sz="0" w:space="0" w:color="auto"/>
        <w:left w:val="none" w:sz="0" w:space="0" w:color="auto"/>
        <w:bottom w:val="none" w:sz="0" w:space="0" w:color="auto"/>
        <w:right w:val="none" w:sz="0" w:space="0" w:color="auto"/>
      </w:divBdr>
    </w:div>
    <w:div w:id="1393037597">
      <w:bodyDiv w:val="1"/>
      <w:marLeft w:val="0"/>
      <w:marRight w:val="0"/>
      <w:marTop w:val="0"/>
      <w:marBottom w:val="0"/>
      <w:divBdr>
        <w:top w:val="none" w:sz="0" w:space="0" w:color="auto"/>
        <w:left w:val="none" w:sz="0" w:space="0" w:color="auto"/>
        <w:bottom w:val="none" w:sz="0" w:space="0" w:color="auto"/>
        <w:right w:val="none" w:sz="0" w:space="0" w:color="auto"/>
      </w:divBdr>
    </w:div>
    <w:div w:id="1461191222">
      <w:bodyDiv w:val="1"/>
      <w:marLeft w:val="0"/>
      <w:marRight w:val="0"/>
      <w:marTop w:val="0"/>
      <w:marBottom w:val="0"/>
      <w:divBdr>
        <w:top w:val="none" w:sz="0" w:space="0" w:color="auto"/>
        <w:left w:val="none" w:sz="0" w:space="0" w:color="auto"/>
        <w:bottom w:val="none" w:sz="0" w:space="0" w:color="auto"/>
        <w:right w:val="none" w:sz="0" w:space="0" w:color="auto"/>
      </w:divBdr>
    </w:div>
    <w:div w:id="1546480472">
      <w:bodyDiv w:val="1"/>
      <w:marLeft w:val="0"/>
      <w:marRight w:val="0"/>
      <w:marTop w:val="0"/>
      <w:marBottom w:val="0"/>
      <w:divBdr>
        <w:top w:val="none" w:sz="0" w:space="0" w:color="auto"/>
        <w:left w:val="none" w:sz="0" w:space="0" w:color="auto"/>
        <w:bottom w:val="none" w:sz="0" w:space="0" w:color="auto"/>
        <w:right w:val="none" w:sz="0" w:space="0" w:color="auto"/>
      </w:divBdr>
    </w:div>
    <w:div w:id="1557280936">
      <w:bodyDiv w:val="1"/>
      <w:marLeft w:val="0"/>
      <w:marRight w:val="0"/>
      <w:marTop w:val="0"/>
      <w:marBottom w:val="0"/>
      <w:divBdr>
        <w:top w:val="none" w:sz="0" w:space="0" w:color="auto"/>
        <w:left w:val="none" w:sz="0" w:space="0" w:color="auto"/>
        <w:bottom w:val="none" w:sz="0" w:space="0" w:color="auto"/>
        <w:right w:val="none" w:sz="0" w:space="0" w:color="auto"/>
      </w:divBdr>
    </w:div>
    <w:div w:id="1593512010">
      <w:bodyDiv w:val="1"/>
      <w:marLeft w:val="0"/>
      <w:marRight w:val="0"/>
      <w:marTop w:val="0"/>
      <w:marBottom w:val="0"/>
      <w:divBdr>
        <w:top w:val="none" w:sz="0" w:space="0" w:color="auto"/>
        <w:left w:val="none" w:sz="0" w:space="0" w:color="auto"/>
        <w:bottom w:val="none" w:sz="0" w:space="0" w:color="auto"/>
        <w:right w:val="none" w:sz="0" w:space="0" w:color="auto"/>
      </w:divBdr>
    </w:div>
    <w:div w:id="1756440498">
      <w:bodyDiv w:val="1"/>
      <w:marLeft w:val="0"/>
      <w:marRight w:val="0"/>
      <w:marTop w:val="0"/>
      <w:marBottom w:val="0"/>
      <w:divBdr>
        <w:top w:val="none" w:sz="0" w:space="0" w:color="auto"/>
        <w:left w:val="none" w:sz="0" w:space="0" w:color="auto"/>
        <w:bottom w:val="none" w:sz="0" w:space="0" w:color="auto"/>
        <w:right w:val="none" w:sz="0" w:space="0" w:color="auto"/>
      </w:divBdr>
    </w:div>
    <w:div w:id="1861973371">
      <w:bodyDiv w:val="1"/>
      <w:marLeft w:val="0"/>
      <w:marRight w:val="0"/>
      <w:marTop w:val="0"/>
      <w:marBottom w:val="0"/>
      <w:divBdr>
        <w:top w:val="none" w:sz="0" w:space="0" w:color="auto"/>
        <w:left w:val="none" w:sz="0" w:space="0" w:color="auto"/>
        <w:bottom w:val="none" w:sz="0" w:space="0" w:color="auto"/>
        <w:right w:val="none" w:sz="0" w:space="0" w:color="auto"/>
      </w:divBdr>
    </w:div>
    <w:div w:id="1862669574">
      <w:bodyDiv w:val="1"/>
      <w:marLeft w:val="0"/>
      <w:marRight w:val="0"/>
      <w:marTop w:val="0"/>
      <w:marBottom w:val="0"/>
      <w:divBdr>
        <w:top w:val="none" w:sz="0" w:space="0" w:color="auto"/>
        <w:left w:val="none" w:sz="0" w:space="0" w:color="auto"/>
        <w:bottom w:val="none" w:sz="0" w:space="0" w:color="auto"/>
        <w:right w:val="none" w:sz="0" w:space="0" w:color="auto"/>
      </w:divBdr>
    </w:div>
    <w:div w:id="1864904538">
      <w:bodyDiv w:val="1"/>
      <w:marLeft w:val="0"/>
      <w:marRight w:val="0"/>
      <w:marTop w:val="0"/>
      <w:marBottom w:val="0"/>
      <w:divBdr>
        <w:top w:val="none" w:sz="0" w:space="0" w:color="auto"/>
        <w:left w:val="none" w:sz="0" w:space="0" w:color="auto"/>
        <w:bottom w:val="none" w:sz="0" w:space="0" w:color="auto"/>
        <w:right w:val="none" w:sz="0" w:space="0" w:color="auto"/>
      </w:divBdr>
    </w:div>
    <w:div w:id="1978143287">
      <w:bodyDiv w:val="1"/>
      <w:marLeft w:val="0"/>
      <w:marRight w:val="0"/>
      <w:marTop w:val="0"/>
      <w:marBottom w:val="0"/>
      <w:divBdr>
        <w:top w:val="none" w:sz="0" w:space="0" w:color="auto"/>
        <w:left w:val="none" w:sz="0" w:space="0" w:color="auto"/>
        <w:bottom w:val="none" w:sz="0" w:space="0" w:color="auto"/>
        <w:right w:val="none" w:sz="0" w:space="0" w:color="auto"/>
      </w:divBdr>
    </w:div>
    <w:div w:id="2025591203">
      <w:bodyDiv w:val="1"/>
      <w:marLeft w:val="0"/>
      <w:marRight w:val="0"/>
      <w:marTop w:val="0"/>
      <w:marBottom w:val="0"/>
      <w:divBdr>
        <w:top w:val="none" w:sz="0" w:space="0" w:color="auto"/>
        <w:left w:val="none" w:sz="0" w:space="0" w:color="auto"/>
        <w:bottom w:val="none" w:sz="0" w:space="0" w:color="auto"/>
        <w:right w:val="none" w:sz="0" w:space="0" w:color="auto"/>
      </w:divBdr>
    </w:div>
    <w:div w:id="2114131161">
      <w:bodyDiv w:val="1"/>
      <w:marLeft w:val="0"/>
      <w:marRight w:val="0"/>
      <w:marTop w:val="0"/>
      <w:marBottom w:val="0"/>
      <w:divBdr>
        <w:top w:val="none" w:sz="0" w:space="0" w:color="auto"/>
        <w:left w:val="none" w:sz="0" w:space="0" w:color="auto"/>
        <w:bottom w:val="none" w:sz="0" w:space="0" w:color="auto"/>
        <w:right w:val="none" w:sz="0" w:space="0" w:color="auto"/>
      </w:divBdr>
    </w:div>
    <w:div w:id="21149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lobaldigitaltrade@usitc.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79C7F-73C8-47B4-BB0D-1FAF191C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20144</CharactersWithSpaces>
  <SharedDoc>false</SharedDoc>
  <HLinks>
    <vt:vector size="6" baseType="variant">
      <vt:variant>
        <vt:i4>6815760</vt:i4>
      </vt:variant>
      <vt:variant>
        <vt:i4>14</vt:i4>
      </vt:variant>
      <vt:variant>
        <vt:i4>0</vt:i4>
      </vt:variant>
      <vt:variant>
        <vt:i4>5</vt:i4>
      </vt:variant>
      <vt:variant>
        <vt:lpwstr>mailto:boris.rachev@summitllc.us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Jeremy</dc:creator>
  <cp:lastModifiedBy>SYSTEM</cp:lastModifiedBy>
  <cp:revision>2</cp:revision>
  <cp:lastPrinted>2018-01-02T18:10:00Z</cp:lastPrinted>
  <dcterms:created xsi:type="dcterms:W3CDTF">2018-01-03T11:43:00Z</dcterms:created>
  <dcterms:modified xsi:type="dcterms:W3CDTF">2018-01-03T11:43:00Z</dcterms:modified>
</cp:coreProperties>
</file>