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539E8" w14:textId="77777777" w:rsidR="00C71104" w:rsidRPr="00A83963" w:rsidRDefault="00C71104" w:rsidP="00C71104">
      <w:pPr>
        <w:rPr>
          <w:szCs w:val="24"/>
        </w:rPr>
      </w:pPr>
      <w:bookmarkStart w:id="0" w:name="_GoBack"/>
      <w:bookmarkEnd w:id="0"/>
    </w:p>
    <w:p w14:paraId="0D6B5F56" w14:textId="77777777" w:rsidR="00C71104" w:rsidRPr="00A83963" w:rsidRDefault="00C71104" w:rsidP="00D243B3">
      <w:pPr>
        <w:pStyle w:val="Heading1"/>
        <w:numPr>
          <w:ilvl w:val="0"/>
          <w:numId w:val="0"/>
        </w:numPr>
        <w:spacing w:after="220"/>
        <w:ind w:left="720"/>
        <w:rPr>
          <w:b w:val="0"/>
          <w:sz w:val="24"/>
          <w:szCs w:val="24"/>
        </w:rPr>
      </w:pPr>
    </w:p>
    <w:p w14:paraId="6B352900" w14:textId="77777777" w:rsidR="00A46EAB" w:rsidRPr="002E2365" w:rsidRDefault="00A46EAB" w:rsidP="00A46EAB">
      <w:pPr>
        <w:pStyle w:val="ParaNum"/>
        <w:numPr>
          <w:ilvl w:val="0"/>
          <w:numId w:val="0"/>
        </w:numPr>
        <w:tabs>
          <w:tab w:val="left" w:pos="1440"/>
        </w:tabs>
        <w:ind w:firstLine="720"/>
      </w:pPr>
      <w:r w:rsidRPr="002E2365">
        <w:rPr>
          <w:b/>
          <w:i/>
        </w:rPr>
        <w:t>Introduction</w:t>
      </w:r>
      <w:r w:rsidRPr="002E2365">
        <w:rPr>
          <w:b/>
        </w:rPr>
        <w:t xml:space="preserve">: </w:t>
      </w:r>
      <w:r w:rsidRPr="002E2365">
        <w:t>With this submission, the Commission seeks Office of Management and Budget (“OMB”) approval for a</w:t>
      </w:r>
      <w:r w:rsidR="00F47AAA" w:rsidRPr="002E2365">
        <w:t>n</w:t>
      </w:r>
      <w:r w:rsidR="00001FC7" w:rsidRPr="002E2365">
        <w:t xml:space="preserve"> extension</w:t>
      </w:r>
      <w:r w:rsidRPr="002E2365">
        <w:t xml:space="preserve"> </w:t>
      </w:r>
      <w:r w:rsidR="00001FC7" w:rsidRPr="002E2365">
        <w:t xml:space="preserve">to this information </w:t>
      </w:r>
      <w:r w:rsidRPr="002E2365">
        <w:t xml:space="preserve">to obtain the full three-year clearance for the requirements described below.  Although there are no program changes, </w:t>
      </w:r>
      <w:bookmarkStart w:id="1" w:name="_Hlk494799512"/>
      <w:r w:rsidRPr="002E2365">
        <w:t xml:space="preserve">we are adjusting estimates of the currently approved information collection to more accurately reflect our current estimates by decreasing some estimates and adding estimates for previously reported, periodic collections that will be active during the three-year approval period.  </w:t>
      </w:r>
    </w:p>
    <w:bookmarkEnd w:id="1"/>
    <w:p w14:paraId="7172DF21" w14:textId="77777777" w:rsidR="00A46EAB" w:rsidRPr="002E2365" w:rsidRDefault="00A46EAB" w:rsidP="004C77FD">
      <w:pPr>
        <w:pStyle w:val="Heading2"/>
      </w:pPr>
      <w:r w:rsidRPr="002E2365">
        <w:t>Justification:</w:t>
      </w:r>
    </w:p>
    <w:p w14:paraId="5EE6F830" w14:textId="77777777" w:rsidR="00344B91" w:rsidRPr="002E2365" w:rsidRDefault="00A46EAB" w:rsidP="00E637C8">
      <w:pPr>
        <w:pStyle w:val="ParaNum"/>
        <w:tabs>
          <w:tab w:val="left" w:pos="720"/>
        </w:tabs>
        <w:spacing w:after="0"/>
        <w:ind w:firstLine="0"/>
        <w:rPr>
          <w:u w:val="single"/>
        </w:rPr>
      </w:pPr>
      <w:r w:rsidRPr="002E2365">
        <w:t>The currently approved information collections under Control No. 3060-1030</w:t>
      </w:r>
      <w:r w:rsidRPr="002E2365">
        <w:rPr>
          <w:rStyle w:val="FootnoteReference"/>
        </w:rPr>
        <w:footnoteReference w:id="1"/>
      </w:r>
      <w:r w:rsidRPr="002E2365">
        <w:t xml:space="preserve"> relate to three groups of Advanced Wireless Service (“AWS”) spectrum, commonly referred to as AWS-1, AWS-3, and AWS-4.  The FCC’s policies and rules apply to application, licensing, operating and technical rules for this spectrum.  The respondents are AWS licensees, incumbent Fixed Microwave Service (FS) and Broadband Radio Service (BRS) licensees that relocate out of the AWS bands, and AWS Clearinghouses that keep track of cost sharing obligations.  AWS licensees also have coordination requirements with certain Federal Government incumbents.  </w:t>
      </w:r>
    </w:p>
    <w:p w14:paraId="5DCC255F" w14:textId="77777777" w:rsidR="002A543F" w:rsidRPr="002E2365" w:rsidRDefault="002A543F" w:rsidP="00E637C8">
      <w:pPr>
        <w:pStyle w:val="ParaNum"/>
        <w:numPr>
          <w:ilvl w:val="0"/>
          <w:numId w:val="0"/>
        </w:numPr>
        <w:tabs>
          <w:tab w:val="left" w:pos="720"/>
        </w:tabs>
        <w:spacing w:after="0"/>
        <w:rPr>
          <w:u w:val="single"/>
        </w:rPr>
      </w:pPr>
    </w:p>
    <w:p w14:paraId="7BC2A8D7" w14:textId="77777777" w:rsidR="00A46EAB" w:rsidRPr="002E2365" w:rsidRDefault="00A46EAB" w:rsidP="00E637C8">
      <w:pPr>
        <w:pStyle w:val="ParaNum"/>
        <w:numPr>
          <w:ilvl w:val="0"/>
          <w:numId w:val="0"/>
        </w:numPr>
        <w:tabs>
          <w:tab w:val="left" w:pos="720"/>
        </w:tabs>
        <w:spacing w:after="0"/>
        <w:rPr>
          <w:u w:val="single"/>
        </w:rPr>
      </w:pPr>
      <w:r w:rsidRPr="002E2365">
        <w:rPr>
          <w:u w:val="single"/>
        </w:rPr>
        <w:t>AWS-1</w:t>
      </w:r>
    </w:p>
    <w:p w14:paraId="75D43F8E" w14:textId="77777777" w:rsidR="00A46EAB" w:rsidRPr="002E2365" w:rsidRDefault="00A46EAB" w:rsidP="00A46EAB">
      <w:pPr>
        <w:pStyle w:val="ParaNum"/>
        <w:numPr>
          <w:ilvl w:val="0"/>
          <w:numId w:val="0"/>
        </w:numPr>
        <w:tabs>
          <w:tab w:val="left" w:pos="720"/>
        </w:tabs>
      </w:pPr>
      <w:r w:rsidRPr="002E2365">
        <w:tab/>
        <w:t xml:space="preserve">In the </w:t>
      </w:r>
      <w:r w:rsidRPr="002E2365">
        <w:rPr>
          <w:i/>
        </w:rPr>
        <w:t>AWS-1 Report and Order,</w:t>
      </w:r>
      <w:r w:rsidRPr="002E2365">
        <w:t xml:space="preserve"> FCC 03-251, the Commission adopted flexible use rules for the AWS-1 bands (1710-1755 MHz and 2110-2155 MHz), including the following information collection requirements:</w:t>
      </w:r>
      <w:r w:rsidRPr="002E2365">
        <w:rPr>
          <w:rStyle w:val="FootnoteReference"/>
        </w:rPr>
        <w:footnoteReference w:id="2"/>
      </w:r>
    </w:p>
    <w:p w14:paraId="6A9729BD" w14:textId="77777777" w:rsidR="00A46EAB" w:rsidRPr="002E2365" w:rsidRDefault="00A46EAB" w:rsidP="00A46EAB">
      <w:pPr>
        <w:pStyle w:val="ParaNum"/>
        <w:numPr>
          <w:ilvl w:val="0"/>
          <w:numId w:val="0"/>
        </w:numPr>
        <w:tabs>
          <w:tab w:val="left" w:pos="720"/>
        </w:tabs>
        <w:ind w:left="720"/>
      </w:pPr>
      <w:r w:rsidRPr="002E2365">
        <w:t>(a)  AWS-1 licensees must make a showing of "substantial service" in their license area prior to the expiration of their license term.  Licensees would receive a renewal expectancy provided they file a substantial service showing as part of their license renewal application and have complied with the Communications Act and applicable FCC rules and policies.  (See item 12-b below.)</w:t>
      </w:r>
    </w:p>
    <w:p w14:paraId="44291AF1" w14:textId="77777777" w:rsidR="00A46EAB" w:rsidRPr="002E2365" w:rsidRDefault="00A46EAB" w:rsidP="00A46EAB">
      <w:pPr>
        <w:pStyle w:val="ParaNum"/>
        <w:numPr>
          <w:ilvl w:val="0"/>
          <w:numId w:val="0"/>
        </w:numPr>
        <w:tabs>
          <w:tab w:val="left" w:pos="720"/>
        </w:tabs>
        <w:ind w:left="720"/>
      </w:pPr>
      <w:r w:rsidRPr="002E2365">
        <w:t xml:space="preserve">(b)  The </w:t>
      </w:r>
      <w:r w:rsidRPr="002E2365">
        <w:rPr>
          <w:i/>
        </w:rPr>
        <w:t>AWS-1 Report and Order</w:t>
      </w:r>
      <w:r w:rsidRPr="002E2365">
        <w:t xml:space="preserve"> also adopted the requirement of coordination as a solution to possible in-band interference between AWS licensees in adjacent geographic licensing areas and possible out-of-band interference between AWS licensees and adjacent-band licensees.  (See items 12-c and 12-m below.)</w:t>
      </w:r>
    </w:p>
    <w:p w14:paraId="77FB5CE0" w14:textId="77777777" w:rsidR="00A46EAB" w:rsidRPr="002E2365" w:rsidRDefault="00A46EAB" w:rsidP="00A46EAB">
      <w:pPr>
        <w:pStyle w:val="ParaNum"/>
        <w:numPr>
          <w:ilvl w:val="0"/>
          <w:numId w:val="0"/>
        </w:numPr>
        <w:tabs>
          <w:tab w:val="left" w:pos="720"/>
        </w:tabs>
      </w:pPr>
      <w:r w:rsidRPr="002E2365">
        <w:tab/>
        <w:t>The Commission subsequently adopted mechanisms for the relocation of incumbent Fixed Microwave Service (FS) radio links and Broadband Radio Service (BRS) systems, and for coordination with incumbent Federal Government operators:</w:t>
      </w:r>
      <w:r w:rsidRPr="002E2365">
        <w:rPr>
          <w:rStyle w:val="FootnoteReference"/>
        </w:rPr>
        <w:t xml:space="preserve"> </w:t>
      </w:r>
      <w:r w:rsidRPr="002E2365">
        <w:rPr>
          <w:rStyle w:val="FootnoteReference"/>
        </w:rPr>
        <w:footnoteReference w:id="3"/>
      </w:r>
    </w:p>
    <w:p w14:paraId="0126E89A" w14:textId="77777777" w:rsidR="00A46EAB" w:rsidRPr="002E2365" w:rsidRDefault="00A46EAB" w:rsidP="00A46EAB">
      <w:pPr>
        <w:pStyle w:val="ParaNum"/>
        <w:numPr>
          <w:ilvl w:val="0"/>
          <w:numId w:val="0"/>
        </w:numPr>
        <w:tabs>
          <w:tab w:val="left" w:pos="720"/>
        </w:tabs>
        <w:ind w:left="720"/>
      </w:pPr>
      <w:r w:rsidRPr="002E2365">
        <w:lastRenderedPageBreak/>
        <w:t xml:space="preserve">(a)  The </w:t>
      </w:r>
      <w:r w:rsidRPr="002E2365">
        <w:rPr>
          <w:i/>
        </w:rPr>
        <w:t xml:space="preserve">Ninth Report &amp; Order, </w:t>
      </w:r>
      <w:r w:rsidRPr="002E2365">
        <w:t>FCC 06-45</w:t>
      </w:r>
      <w:r w:rsidRPr="002E2365">
        <w:rPr>
          <w:i/>
        </w:rPr>
        <w:t>,</w:t>
      </w:r>
      <w:r w:rsidRPr="002E2365">
        <w:t xml:space="preserve"> established procedures for the relocation of FS and BRS stations, including mechanisms for the reimbursement of relocation costs and the sharing of these costs among benefitting new licensees.  It also provided that in some cases, these procedures would require use of a clearinghouse for cost sharing.  (See items 12-d, 12-e, 12-f, 12-g, 12-h, 12-I, 12-j, 13-a, 13-b below.)</w:t>
      </w:r>
    </w:p>
    <w:p w14:paraId="4CB60CB9" w14:textId="77777777" w:rsidR="00A46EAB" w:rsidRPr="002E2365" w:rsidRDefault="00A46EAB" w:rsidP="00A46EAB">
      <w:pPr>
        <w:pStyle w:val="ParaNum"/>
        <w:numPr>
          <w:ilvl w:val="0"/>
          <w:numId w:val="0"/>
        </w:numPr>
        <w:tabs>
          <w:tab w:val="left" w:pos="720"/>
        </w:tabs>
        <w:ind w:left="720"/>
      </w:pPr>
      <w:r w:rsidRPr="002E2365">
        <w:t xml:space="preserve">(b)  In its </w:t>
      </w:r>
      <w:r w:rsidRPr="002E2365">
        <w:rPr>
          <w:i/>
        </w:rPr>
        <w:t>Clearinghouse Order</w:t>
      </w:r>
      <w:r w:rsidRPr="002E2365">
        <w:t>, DA 07-1120, the Commission’s Wireless Telecommunications Bureau (“Bureau”) specified the duties and responsibilities of the clearinghouses, including requiring them to file reports with the FCC (see items 12-k, 14-c below) and to make disclosures to each other (see item 12-l below).</w:t>
      </w:r>
    </w:p>
    <w:p w14:paraId="7F12F88F" w14:textId="77777777" w:rsidR="00A46EAB" w:rsidRPr="002E2365" w:rsidRDefault="00A46EAB" w:rsidP="00A46EAB">
      <w:pPr>
        <w:pStyle w:val="ParaNum"/>
        <w:numPr>
          <w:ilvl w:val="0"/>
          <w:numId w:val="0"/>
        </w:numPr>
        <w:tabs>
          <w:tab w:val="left" w:pos="720"/>
        </w:tabs>
        <w:ind w:left="720"/>
      </w:pPr>
      <w:r w:rsidRPr="002E2365">
        <w:t xml:space="preserve">(c)  In a </w:t>
      </w:r>
      <w:r w:rsidRPr="002E2365">
        <w:rPr>
          <w:i/>
        </w:rPr>
        <w:t>Public Notice</w:t>
      </w:r>
      <w:r w:rsidRPr="002E2365">
        <w:t xml:space="preserve"> issued jointly with the National Telecommunications and Information Administration (“NTIA”), the FCC set forth procedures for AWS-1 licensees to coordinate frequency usage with incumbent Federal Government users in the 1710-1755 MHz band.  (See items 12-m and 13-c below.)</w:t>
      </w:r>
    </w:p>
    <w:p w14:paraId="15D68C13" w14:textId="77777777" w:rsidR="00A46EAB" w:rsidRPr="002E2365" w:rsidRDefault="00A46EAB" w:rsidP="00A46EAB">
      <w:pPr>
        <w:spacing w:line="360" w:lineRule="auto"/>
        <w:rPr>
          <w:u w:val="single"/>
        </w:rPr>
      </w:pPr>
      <w:r w:rsidRPr="002E2365">
        <w:rPr>
          <w:u w:val="single"/>
        </w:rPr>
        <w:t>AWS-4</w:t>
      </w:r>
    </w:p>
    <w:p w14:paraId="62C86DC5" w14:textId="77777777" w:rsidR="00A46EAB" w:rsidRPr="002E2365" w:rsidRDefault="00A46EAB" w:rsidP="00A46EAB">
      <w:pPr>
        <w:pStyle w:val="ParaNum"/>
        <w:numPr>
          <w:ilvl w:val="0"/>
          <w:numId w:val="0"/>
        </w:numPr>
        <w:tabs>
          <w:tab w:val="left" w:pos="720"/>
        </w:tabs>
        <w:rPr>
          <w:u w:val="single"/>
        </w:rPr>
      </w:pPr>
      <w:r w:rsidRPr="002E2365">
        <w:tab/>
        <w:t xml:space="preserve">In the </w:t>
      </w:r>
      <w:r w:rsidRPr="002E2365">
        <w:rPr>
          <w:i/>
        </w:rPr>
        <w:t>AWS-4 Report and Order</w:t>
      </w:r>
      <w:r w:rsidRPr="002E2365">
        <w:t>, FCC 12-151, the Commission adopted flexible use rules for the AWS-4 bands (2000-2020 MHz and 2180-2200 MHz), including information collection requirements similar to those for AWS-1.</w:t>
      </w:r>
      <w:r w:rsidRPr="002E2365">
        <w:rPr>
          <w:rStyle w:val="FootnoteReference"/>
        </w:rPr>
        <w:footnoteReference w:id="4"/>
      </w:r>
      <w:r w:rsidRPr="002E2365">
        <w:t xml:space="preserve">  They included:</w:t>
      </w:r>
    </w:p>
    <w:p w14:paraId="3E281999" w14:textId="77777777" w:rsidR="00A46EAB" w:rsidRPr="002E2365" w:rsidRDefault="00A46EAB" w:rsidP="00A46EAB">
      <w:pPr>
        <w:pStyle w:val="ParaNum"/>
        <w:numPr>
          <w:ilvl w:val="0"/>
          <w:numId w:val="0"/>
        </w:numPr>
        <w:tabs>
          <w:tab w:val="left" w:pos="720"/>
        </w:tabs>
        <w:ind w:left="720"/>
      </w:pPr>
      <w:r w:rsidRPr="002E2365">
        <w:t>(a)  Construction requirements tied to the fourth and seventh anniversaries of initial license grants, and substantial service and license renewal requirements.  (See item 12-b below.)</w:t>
      </w:r>
    </w:p>
    <w:p w14:paraId="236AE62A" w14:textId="77777777" w:rsidR="00A46EAB" w:rsidRPr="002E2365" w:rsidRDefault="00A46EAB" w:rsidP="00A46EAB">
      <w:pPr>
        <w:pStyle w:val="ParaNum"/>
        <w:numPr>
          <w:ilvl w:val="0"/>
          <w:numId w:val="0"/>
        </w:numPr>
        <w:tabs>
          <w:tab w:val="left" w:pos="720"/>
        </w:tabs>
        <w:ind w:left="720"/>
      </w:pPr>
      <w:r w:rsidRPr="002E2365">
        <w:t>(b)  Protection of Federal Government operations and associated record keeping requirements.  (See items 12-m and 13-c below.)</w:t>
      </w:r>
    </w:p>
    <w:p w14:paraId="570C9C18" w14:textId="77777777" w:rsidR="00A46EAB" w:rsidRPr="002E2365" w:rsidRDefault="00A46EAB" w:rsidP="00A46EAB">
      <w:pPr>
        <w:pStyle w:val="ParaNum"/>
        <w:numPr>
          <w:ilvl w:val="0"/>
          <w:numId w:val="0"/>
        </w:numPr>
        <w:tabs>
          <w:tab w:val="left" w:pos="720"/>
        </w:tabs>
        <w:ind w:left="720"/>
      </w:pPr>
      <w:r w:rsidRPr="002E2365">
        <w:t>(c)  A requirement to notify the Commission if service is discontinued.  (See item 12-n below.)</w:t>
      </w:r>
    </w:p>
    <w:p w14:paraId="19CD1F76" w14:textId="77777777" w:rsidR="00A46EAB" w:rsidRPr="002E2365" w:rsidRDefault="00A46EAB" w:rsidP="00A46EAB">
      <w:pPr>
        <w:pStyle w:val="ParaNum"/>
        <w:numPr>
          <w:ilvl w:val="0"/>
          <w:numId w:val="0"/>
        </w:numPr>
        <w:tabs>
          <w:tab w:val="left" w:pos="720"/>
        </w:tabs>
        <w:ind w:left="720"/>
      </w:pPr>
      <w:r w:rsidRPr="002E2365">
        <w:t>(d)  Protection of in-band Mobile Satellite Services systems.  (See item 12-o below.)</w:t>
      </w:r>
    </w:p>
    <w:p w14:paraId="6D3CA411" w14:textId="77777777" w:rsidR="00A46EAB" w:rsidRPr="002E2365" w:rsidRDefault="00A46EAB" w:rsidP="00A46EAB">
      <w:pPr>
        <w:pStyle w:val="ParaNum"/>
        <w:numPr>
          <w:ilvl w:val="0"/>
          <w:numId w:val="0"/>
        </w:numPr>
        <w:tabs>
          <w:tab w:val="left" w:pos="720"/>
        </w:tabs>
        <w:ind w:left="720"/>
      </w:pPr>
      <w:r w:rsidRPr="002E2365">
        <w:t>(e)  Documentation of private agreements relaxing out-of-band emission limits.  (See item 12-p below.)</w:t>
      </w:r>
    </w:p>
    <w:p w14:paraId="4A6F14D7" w14:textId="77777777" w:rsidR="00A46EAB" w:rsidRPr="002E2365" w:rsidRDefault="00A46EAB" w:rsidP="00A46EAB">
      <w:pPr>
        <w:pStyle w:val="ParaNum"/>
        <w:numPr>
          <w:ilvl w:val="0"/>
          <w:numId w:val="0"/>
        </w:numPr>
        <w:ind w:hanging="720"/>
        <w:rPr>
          <w:u w:val="single"/>
        </w:rPr>
      </w:pPr>
      <w:r w:rsidRPr="002E2365">
        <w:rPr>
          <w:b/>
        </w:rPr>
        <w:tab/>
      </w:r>
      <w:r w:rsidRPr="002E2365">
        <w:rPr>
          <w:u w:val="single"/>
        </w:rPr>
        <w:t>AWS-3</w:t>
      </w:r>
    </w:p>
    <w:p w14:paraId="227F4EE7" w14:textId="77777777" w:rsidR="00A46EAB" w:rsidRPr="002E2365" w:rsidRDefault="00A46EAB" w:rsidP="00A46EAB">
      <w:pPr>
        <w:pStyle w:val="ParaNum"/>
        <w:numPr>
          <w:ilvl w:val="0"/>
          <w:numId w:val="0"/>
        </w:numPr>
        <w:tabs>
          <w:tab w:val="left" w:pos="720"/>
        </w:tabs>
      </w:pPr>
      <w:r w:rsidRPr="002E2365">
        <w:tab/>
        <w:t>In February 2012, Congress enacted the Middle Class Tax Relief and Job Creation Act of 2012.</w:t>
      </w:r>
      <w:r w:rsidRPr="002E2365">
        <w:rPr>
          <w:rStyle w:val="FootnoteReference"/>
        </w:rPr>
        <w:footnoteReference w:id="5"/>
      </w:r>
      <w:r w:rsidRPr="002E2365">
        <w:t xml:space="preserve">  Title VI of the Act</w:t>
      </w:r>
      <w:r w:rsidRPr="002E2365">
        <w:rPr>
          <w:rStyle w:val="FootnoteReference"/>
        </w:rPr>
        <w:footnoteReference w:id="6"/>
      </w:r>
      <w:r w:rsidRPr="002E2365">
        <w:t xml:space="preserve"> (“the Spectrum Act”) requires the Secretary of Commerce and the Commission to identify, reallocate, auction, and license certain spectrum for commercial use by February 2015, under flexible use service rules.</w:t>
      </w:r>
      <w:r w:rsidRPr="002E2365">
        <w:rPr>
          <w:rStyle w:val="FootnoteReference"/>
        </w:rPr>
        <w:footnoteReference w:id="7"/>
      </w:r>
      <w:r w:rsidRPr="002E2365">
        <w:t xml:space="preserve">  In the </w:t>
      </w:r>
      <w:r w:rsidRPr="002E2365">
        <w:rPr>
          <w:i/>
        </w:rPr>
        <w:t>AWS-3 Report and Order</w:t>
      </w:r>
      <w:r w:rsidRPr="002E2365">
        <w:t xml:space="preserve">, the Commission adopted rules for the allocation, licensing and commercial use of a total of 65 megahertz of spectrum including bands specifically identified in the Spectrum Act and other bands that the Act required NTIA or the Commission to identify and allocate  for commercial use.  NTIA identified 1695-1710 MHz, a band currently authorized for Federal operations; the FCC identified 1755-1780 MHz, a band currently authorized for Federal operations, after extensive consultations with NTIA and the affected Federal incumbents; and the Spectrum Act specifically identified 2155-2180 MHz, a band currently authorized for non-Federal use.  For the two Government bands, the transition to shared commercial use will be protracted, with some </w:t>
      </w:r>
      <w:r w:rsidRPr="002E2365">
        <w:lastRenderedPageBreak/>
        <w:t>incumbent Federal operations remaining permanently and some relocating to other spectrum over time.</w:t>
      </w:r>
      <w:r w:rsidRPr="002E2365">
        <w:rPr>
          <w:rStyle w:val="FootnoteReference"/>
        </w:rPr>
        <w:footnoteReference w:id="8"/>
      </w:r>
      <w:r w:rsidRPr="002E2365">
        <w:t xml:space="preserve">  The shared use of these two bands thus requires coordination to ensure that AWS-3 operations will not interfere with Federal incumbents.</w:t>
      </w:r>
    </w:p>
    <w:p w14:paraId="0902C2BF" w14:textId="77777777" w:rsidR="00A46EAB" w:rsidRPr="002E2365" w:rsidRDefault="00A46EAB" w:rsidP="00A46EAB">
      <w:pPr>
        <w:pStyle w:val="ParaNum"/>
        <w:numPr>
          <w:ilvl w:val="0"/>
          <w:numId w:val="0"/>
        </w:numPr>
        <w:tabs>
          <w:tab w:val="left" w:pos="720"/>
        </w:tabs>
      </w:pPr>
      <w:r w:rsidRPr="002E2365">
        <w:tab/>
        <w:t xml:space="preserve">The </w:t>
      </w:r>
      <w:r w:rsidRPr="002E2365">
        <w:rPr>
          <w:i/>
        </w:rPr>
        <w:t>AWS-3 Report and Order</w:t>
      </w:r>
      <w:r w:rsidRPr="002E2365">
        <w:t xml:space="preserve"> adopted application, licensing, operating and technical rules for these AWS-3 bands.  It applied the Commission’s Part 27 flexible use rules to these bands,</w:t>
      </w:r>
      <w:r w:rsidRPr="002E2365">
        <w:rPr>
          <w:rStyle w:val="FootnoteReference"/>
        </w:rPr>
        <w:footnoteReference w:id="9"/>
      </w:r>
      <w:r w:rsidRPr="002E2365">
        <w:t xml:space="preserve"> as it did for the AWS-1 and AWS-4 spectrum bands discussed above, with modifications necessary to account for issues relevant to the AWS-3 bands.  Many information collections in Part 27 are implemented by requirements to file FCC forms, in particular Form 601, OMB Control No. 3060-0798 (FCC Application for Radio Service Authorization: WTB and PSHSB).  This includes filings that may be necessary to keep information accurate.  For example, under 47 C.F.R. § 27.10(b), a Part 27 applicant must report its regulatory status, and the FCC collects this information on FCC Form 601.  47 C.F.R. § 27.10(d) provides that the regulatory status of a Part 27 license can be amended by filing an application for minor modification of the license within 30 days of the change in regulatory status.  Such a license modification is also filed on FCC Form 601.  By administering AWS-3 under Part 27, these information collections would be extended to the AWS-3 bands even though the </w:t>
      </w:r>
      <w:r w:rsidRPr="002E2365">
        <w:rPr>
          <w:i/>
        </w:rPr>
        <w:t>AWS-3 Report and Order</w:t>
      </w:r>
      <w:r w:rsidRPr="002E2365">
        <w:t xml:space="preserve"> does not propose to amend § 27.10(d).  </w:t>
      </w:r>
      <w:r w:rsidRPr="002E2365">
        <w:rPr>
          <w:i/>
        </w:rPr>
        <w:t>See also AWS-3 Report and Order</w:t>
      </w:r>
      <w:r w:rsidRPr="002E2365">
        <w:t xml:space="preserve"> at para. 120 (foreign ownership reporting).  </w:t>
      </w:r>
    </w:p>
    <w:p w14:paraId="49F5D029" w14:textId="77777777" w:rsidR="00A46EAB" w:rsidRPr="002E2365" w:rsidRDefault="00A46EAB" w:rsidP="00A46EAB">
      <w:pPr>
        <w:pStyle w:val="ParaNum"/>
        <w:numPr>
          <w:ilvl w:val="0"/>
          <w:numId w:val="0"/>
        </w:numPr>
        <w:tabs>
          <w:tab w:val="left" w:pos="720"/>
        </w:tabs>
      </w:pPr>
      <w:r w:rsidRPr="002E2365">
        <w:tab/>
        <w:t xml:space="preserve">Many of the other information collections adopted in the </w:t>
      </w:r>
      <w:r w:rsidRPr="002E2365">
        <w:rPr>
          <w:i/>
        </w:rPr>
        <w:t>AWS</w:t>
      </w:r>
      <w:r w:rsidRPr="002E2365">
        <w:rPr>
          <w:i/>
        </w:rPr>
        <w:noBreakHyphen/>
        <w:t>3 Report and Order</w:t>
      </w:r>
      <w:r w:rsidRPr="002E2365">
        <w:t xml:space="preserve"> were previously described in earlier submissions to OMB (3060-1030) for both AWS-1 and AWS-4 and the previously submitted (Nov. 2014) descriptions for AWS-3 are below for reference.</w:t>
      </w:r>
      <w:r w:rsidRPr="002E2365">
        <w:rPr>
          <w:rStyle w:val="FootnoteReference"/>
        </w:rPr>
        <w:footnoteReference w:id="10"/>
      </w:r>
      <w:r w:rsidRPr="002E2365">
        <w:t xml:space="preserve">  In the </w:t>
      </w:r>
      <w:r w:rsidRPr="002E2365">
        <w:rPr>
          <w:i/>
        </w:rPr>
        <w:t>AWS-3 Report and Order</w:t>
      </w:r>
      <w:r w:rsidRPr="002E2365">
        <w:t>:</w:t>
      </w:r>
    </w:p>
    <w:p w14:paraId="763F8644" w14:textId="77777777" w:rsidR="00A46EAB" w:rsidRPr="002E2365" w:rsidRDefault="00A46EAB" w:rsidP="00A46EAB">
      <w:pPr>
        <w:pStyle w:val="Heading6"/>
        <w:numPr>
          <w:ilvl w:val="0"/>
          <w:numId w:val="0"/>
        </w:numPr>
        <w:ind w:left="720"/>
        <w:rPr>
          <w:b w:val="0"/>
        </w:rPr>
      </w:pPr>
      <w:r w:rsidRPr="002E2365">
        <w:rPr>
          <w:b w:val="0"/>
        </w:rPr>
        <w:t xml:space="preserve">(a)  </w:t>
      </w:r>
      <w:r w:rsidRPr="002E2365">
        <w:t>Section 2.1033(c)(19)(i)-(ii)</w:t>
      </w:r>
      <w:r w:rsidRPr="002E2365">
        <w:rPr>
          <w:b w:val="0"/>
        </w:rPr>
        <w:t xml:space="preserve"> – (AWS-3 equipment certification) the Commission is in the process of requesting OMB approval for this collection under OMB Control No. 3060-0057 (Application for Equipment Authorization).  </w:t>
      </w:r>
    </w:p>
    <w:p w14:paraId="7E0EC294" w14:textId="77777777" w:rsidR="00A46EAB" w:rsidRPr="002E2365" w:rsidRDefault="00A46EAB" w:rsidP="00A46EAB">
      <w:pPr>
        <w:pStyle w:val="Heading6"/>
        <w:numPr>
          <w:ilvl w:val="0"/>
          <w:numId w:val="0"/>
        </w:numPr>
        <w:ind w:left="720"/>
        <w:rPr>
          <w:b w:val="0"/>
        </w:rPr>
      </w:pPr>
      <w:r w:rsidRPr="002E2365">
        <w:rPr>
          <w:b w:val="0"/>
        </w:rPr>
        <w:t xml:space="preserve">(b)  </w:t>
      </w:r>
      <w:r w:rsidRPr="002E2365">
        <w:t>Section 27.14(k) and (s)</w:t>
      </w:r>
      <w:r w:rsidRPr="002E2365">
        <w:rPr>
          <w:b w:val="0"/>
        </w:rPr>
        <w:t xml:space="preserve"> – set forth performance requirements for AWS-3 licensees.  Section 27.14(s) requires AWS-3 licensees to offer service to 40 percent of the population of their license areas within six years of licensing, and to 75 percent of the population within 12 years (accelerated to 10 years if the interim performance requirement is not met).  These performance timeframes are different from those for AWS-4 due to the longer initial AWS-3 license terms (12 years versus 10 years for AWS-4).  Section 27.14(k) requires AWS-3 licensees to demonstrate compliance with the performance requirements by filing construction notifications with the Commission within 15 days of the expiration of the applicable benchmark, certifying whether they meet the applicable performance requirements, and including a description and certification of the areas for which they are providing service.  Construction notifications must include electronic coverage maps, supporting technical documentation, and any other information as the Wireless Telecommunications Bureau may prescribe by public notice.</w:t>
      </w:r>
    </w:p>
    <w:p w14:paraId="174BACEA" w14:textId="77777777" w:rsidR="00A46EAB" w:rsidRPr="002E2365" w:rsidRDefault="00A46EAB" w:rsidP="00A46EAB">
      <w:pPr>
        <w:pStyle w:val="Heading6"/>
        <w:numPr>
          <w:ilvl w:val="0"/>
          <w:numId w:val="0"/>
        </w:numPr>
        <w:ind w:left="720"/>
        <w:rPr>
          <w:b w:val="0"/>
          <w:bCs/>
        </w:rPr>
      </w:pPr>
      <w:r w:rsidRPr="002E2365">
        <w:rPr>
          <w:b w:val="0"/>
        </w:rPr>
        <w:t xml:space="preserve"> (c)</w:t>
      </w:r>
      <w:r w:rsidRPr="002E2365">
        <w:t xml:space="preserve">  Section 27.14(s) </w:t>
      </w:r>
      <w:r w:rsidRPr="002E2365">
        <w:rPr>
          <w:b w:val="0"/>
        </w:rPr>
        <w:t xml:space="preserve">– requires AWS-3 licensees to make a “renewal showing” at the time of license renewal—independent of the performance requirements— </w:t>
      </w:r>
      <w:r w:rsidRPr="002E2365">
        <w:rPr>
          <w:b w:val="0"/>
          <w:bCs/>
        </w:rPr>
        <w:t>as a condition of renewal.  The showing must include a detailed description of the applicant’s provision of service during the entire license period and address: (1) the level and quality of service provided by the applicant (</w:t>
      </w:r>
      <w:r w:rsidRPr="002E2365">
        <w:rPr>
          <w:b w:val="0"/>
          <w:bCs/>
          <w:i/>
        </w:rPr>
        <w:t>e.g.</w:t>
      </w:r>
      <w:r w:rsidRPr="002E2365">
        <w:rPr>
          <w:b w:val="0"/>
          <w:bCs/>
        </w:rPr>
        <w:t>, the population served, the area served, the number of subscribers, the services offered); (2) the date service commenced, whether service was ever interrupted, and the duration of any interruption or outage; (3) the extent to which service is provided to rural areas; (4) the extent to which service is provided to qualifying tribal land as defined in § 1.2110(f)(3)(i); and (5) any other factors associated with the level of service to the public.</w:t>
      </w:r>
    </w:p>
    <w:p w14:paraId="4D355E4E" w14:textId="77777777" w:rsidR="00A46EAB" w:rsidRPr="002E2365" w:rsidRDefault="00A46EAB" w:rsidP="00A46EAB">
      <w:pPr>
        <w:pStyle w:val="Heading6"/>
        <w:numPr>
          <w:ilvl w:val="0"/>
          <w:numId w:val="0"/>
        </w:numPr>
        <w:ind w:left="720"/>
        <w:rPr>
          <w:b w:val="0"/>
        </w:rPr>
      </w:pPr>
      <w:r w:rsidRPr="002E2365">
        <w:rPr>
          <w:b w:val="0"/>
        </w:rPr>
        <w:t xml:space="preserve">(d)  </w:t>
      </w:r>
      <w:r w:rsidRPr="002E2365">
        <w:t>Section 27.17(c)</w:t>
      </w:r>
      <w:r w:rsidRPr="002E2365">
        <w:rPr>
          <w:b w:val="0"/>
        </w:rPr>
        <w:t xml:space="preserve"> – requires that an AWS-3 licensee that permanently discontinues service must notify the Commission of the discontinuance within 10 days by filing FCC Form 601 or 605 requesting license cancellation.  It also provides that an authorization will automatically terminate, without specific Commission action, if service is permanently discontinued, even if a licensee fails to file the required form requesting license cancellation.  Sections 27.17(a) and (b) define permanent discontinuation of service as 180 days during which a licensee does not provide service to at least one unaffiliated subscriber.</w:t>
      </w:r>
    </w:p>
    <w:p w14:paraId="136FB340" w14:textId="77777777" w:rsidR="00A46EAB" w:rsidRPr="002E2365" w:rsidRDefault="00A46EAB" w:rsidP="00A46EAB">
      <w:pPr>
        <w:pStyle w:val="Heading6"/>
        <w:numPr>
          <w:ilvl w:val="0"/>
          <w:numId w:val="0"/>
        </w:numPr>
        <w:ind w:left="720"/>
        <w:rPr>
          <w:b w:val="0"/>
        </w:rPr>
      </w:pPr>
      <w:r w:rsidRPr="002E2365">
        <w:rPr>
          <w:b w:val="0"/>
        </w:rPr>
        <w:t xml:space="preserve">(e)  </w:t>
      </w:r>
      <w:r w:rsidRPr="002E2365">
        <w:t>Section 27.50(d)(3)</w:t>
      </w:r>
      <w:r w:rsidRPr="002E2365">
        <w:rPr>
          <w:b w:val="0"/>
        </w:rPr>
        <w:t xml:space="preserve"> – requires that a licensee operating an AWS-3 base or fixed station utilizing a power greater than 1640 watts EIRP or 1640 watts/MHz EIRP must be coordinated in advance with the following licensees authorized to operate within 120 kilometers (75 miles) of the base or fixed station: all Broadband Radio Service (BRS) licensees authorized in the 2155-2160 MHz band, and all AWS licensees authorized to operate on adjacent frequency blocks in the 2110-2180 MHz band.</w:t>
      </w:r>
    </w:p>
    <w:p w14:paraId="3F3C5AB8" w14:textId="77777777" w:rsidR="00A46EAB" w:rsidRPr="002E2365" w:rsidRDefault="00A46EAB" w:rsidP="00A46EAB">
      <w:pPr>
        <w:pStyle w:val="ParaNum"/>
        <w:numPr>
          <w:ilvl w:val="0"/>
          <w:numId w:val="0"/>
        </w:numPr>
        <w:ind w:left="720"/>
      </w:pPr>
      <w:r w:rsidRPr="002E2365">
        <w:t xml:space="preserve">(f)  </w:t>
      </w:r>
      <w:r w:rsidRPr="002E2365">
        <w:rPr>
          <w:b/>
        </w:rPr>
        <w:t>Section 27.1131</w:t>
      </w:r>
      <w:r w:rsidRPr="002E2365">
        <w:t xml:space="preserve"> </w:t>
      </w:r>
      <w:r w:rsidRPr="002E2365">
        <w:rPr>
          <w:b/>
        </w:rPr>
        <w:t xml:space="preserve">– </w:t>
      </w:r>
      <w:r w:rsidRPr="002E2365">
        <w:t>requires AWS-3 licensees, prior to initiating operations from any base or fixed station, to coordinate their frequency usage with incumbent co-channel and adjacent-channel fixed point-to-point microwave licensees operating in the 2110-2150 MHz and 2160-2200 MHz bands.  If coordination does not resolve potential conflicts, an AWS licensee may undertake to relocate the FS stations under Part 101, Subpart B of the Commission’s rules.  Although AWS-1 licensees have relocated many FS legacy operations, AWS-3 licensees will likely have to relocate some remaining incumbents, resulting in disclosures described below.  Under section 101.79 of the Commission’s rules, these requirements will sunset ten years after the first AWS license is issued in the band.</w:t>
      </w:r>
    </w:p>
    <w:p w14:paraId="09710EBA" w14:textId="77777777" w:rsidR="00A46EAB" w:rsidRPr="002E2365" w:rsidRDefault="00A46EAB" w:rsidP="00A46EAB">
      <w:pPr>
        <w:pStyle w:val="ParaNum"/>
        <w:numPr>
          <w:ilvl w:val="0"/>
          <w:numId w:val="0"/>
        </w:numPr>
        <w:ind w:left="720"/>
      </w:pPr>
      <w:r w:rsidRPr="002E2365">
        <w:t xml:space="preserve">(g)  </w:t>
      </w:r>
      <w:r w:rsidRPr="002E2365">
        <w:rPr>
          <w:b/>
        </w:rPr>
        <w:t>Section 27.1132</w:t>
      </w:r>
      <w:r w:rsidRPr="002E2365">
        <w:t xml:space="preserve"> </w:t>
      </w:r>
      <w:r w:rsidRPr="002E2365">
        <w:rPr>
          <w:b/>
        </w:rPr>
        <w:t xml:space="preserve">– </w:t>
      </w:r>
      <w:r w:rsidRPr="002E2365">
        <w:t>requires AWS-3 licensees in the 2155-2160/62 MHz band to protect BRS stations from interference or to relocate them prior to initiating operations.  Under section 27.1253 of the Commission’s rules, these requirements will sunset fifteen years after the first AWS license is issued in the band.</w:t>
      </w:r>
      <w:r w:rsidRPr="002E2365">
        <w:rPr>
          <w:rStyle w:val="FootnoteReference"/>
        </w:rPr>
        <w:footnoteReference w:id="11"/>
      </w:r>
    </w:p>
    <w:p w14:paraId="514EACCB" w14:textId="77777777" w:rsidR="00A46EAB" w:rsidRPr="002E2365" w:rsidRDefault="00A46EAB" w:rsidP="00A46EAB">
      <w:pPr>
        <w:pStyle w:val="ParaNum"/>
        <w:numPr>
          <w:ilvl w:val="0"/>
          <w:numId w:val="0"/>
        </w:numPr>
        <w:ind w:left="720"/>
      </w:pPr>
      <w:r w:rsidRPr="002E2365">
        <w:t xml:space="preserve">(h)  </w:t>
      </w:r>
      <w:r w:rsidRPr="002E2365">
        <w:rPr>
          <w:b/>
        </w:rPr>
        <w:t>Section 27.1134(c)</w:t>
      </w:r>
      <w:r w:rsidRPr="002E2365">
        <w:t xml:space="preserve"> </w:t>
      </w:r>
      <w:r w:rsidRPr="002E2365">
        <w:rPr>
          <w:b/>
        </w:rPr>
        <w:t xml:space="preserve">– </w:t>
      </w:r>
      <w:r w:rsidRPr="002E2365">
        <w:t xml:space="preserve">requires AWS-3 licensees to coordinate with Federal Government incumbents before commencing operations in the 1695-1710 MHz band, and to provide and maintain a point of contact in case interference occurs.  For transmitters operating with a maximum EIRP of 20 dBm, coordination is required inside 27 specific Protection Zones detailed in US note 88 to section 2.106 of the Commission’s rules and in the 2014 Joint PN.  For higher-powered operations, § 27.1134(c) and US note 88 to § 2.106 both require coordination nationwide unless otherwise specified by FCC rule, order, or notice.  The 2014 Joint PN (see below) refined the nationwide default zone for higher-power operations by adding 27 Protection Zones (larger than the zones for operations up to 20 dBm, to account for the higher power). </w:t>
      </w:r>
    </w:p>
    <w:p w14:paraId="5247BC90" w14:textId="77777777" w:rsidR="00A46EAB" w:rsidRPr="002E2365" w:rsidRDefault="00A46EAB" w:rsidP="00A46EAB">
      <w:pPr>
        <w:pStyle w:val="ParaNum"/>
        <w:numPr>
          <w:ilvl w:val="0"/>
          <w:numId w:val="0"/>
        </w:numPr>
        <w:spacing w:after="0"/>
        <w:ind w:left="720"/>
      </w:pPr>
      <w:r w:rsidRPr="002E2365">
        <w:t xml:space="preserve">(i)  </w:t>
      </w:r>
      <w:r w:rsidRPr="002E2365">
        <w:rPr>
          <w:b/>
        </w:rPr>
        <w:t>Section 27.1134(f)</w:t>
      </w:r>
      <w:r w:rsidRPr="002E2365">
        <w:t xml:space="preserve"> </w:t>
      </w:r>
      <w:r w:rsidRPr="002E2365">
        <w:rPr>
          <w:b/>
        </w:rPr>
        <w:t xml:space="preserve">– </w:t>
      </w:r>
      <w:r w:rsidRPr="002E2365">
        <w:t>requires AWS-3 licensees to coordinate with Federal Government incumbents before commencing operations in the 1755-1780 MHz band, and to provide and maintain a point of contact in case interference occurs.  While the default coordination requirement for this band is nationwide, the 2014 Joint PN (see below) effectively reduced the scope of coordination to specific Protection Zones for many AWS-3 licensees that limit transmitter power to 20 dBm EIRP.</w:t>
      </w:r>
    </w:p>
    <w:p w14:paraId="2519D1D5" w14:textId="77777777" w:rsidR="00A46EAB" w:rsidRPr="002E2365" w:rsidRDefault="00A46EAB" w:rsidP="00A46EAB">
      <w:pPr>
        <w:pStyle w:val="ParaNum"/>
        <w:numPr>
          <w:ilvl w:val="0"/>
          <w:numId w:val="0"/>
        </w:numPr>
        <w:tabs>
          <w:tab w:val="left" w:pos="720"/>
        </w:tabs>
        <w:spacing w:after="0"/>
      </w:pPr>
    </w:p>
    <w:p w14:paraId="6A9392F8" w14:textId="77777777" w:rsidR="00A46EAB" w:rsidRPr="002E2365" w:rsidRDefault="00A46EAB" w:rsidP="00A46EAB">
      <w:pPr>
        <w:pStyle w:val="ParaNum"/>
        <w:numPr>
          <w:ilvl w:val="0"/>
          <w:numId w:val="0"/>
        </w:numPr>
        <w:tabs>
          <w:tab w:val="left" w:pos="720"/>
        </w:tabs>
      </w:pPr>
      <w:r w:rsidRPr="002E2365">
        <w:tab/>
        <w:t>On July 18, 2014, the FCC and NTIA jointly published a public notice to provide guidance on the process of coordinating with Federal incumbents (“2014 Joint PN”).</w:t>
      </w:r>
      <w:r w:rsidRPr="002E2365">
        <w:rPr>
          <w:rStyle w:val="FootnoteReference"/>
        </w:rPr>
        <w:footnoteReference w:id="12"/>
      </w:r>
      <w:r w:rsidRPr="002E2365">
        <w:t xml:space="preserve">  The guide does not create additional information collection requirements.  Instead, it provides information and guidance on the overall coordination process adopted in the </w:t>
      </w:r>
      <w:r w:rsidRPr="002E2365">
        <w:rPr>
          <w:i/>
        </w:rPr>
        <w:t>AWS-3 Report and Order</w:t>
      </w:r>
      <w:r w:rsidRPr="002E2365">
        <w:t xml:space="preserve">, including informal pre-coordination discussions; the formal process of submitting coordination requests, including points of contact with Federal agencies and online coordination portals; receiving results from relevant agencies; and dispute resolution options.  As noted above, the 2014 Joint PN also refines certain protection zones by reducing their size, and provides a streamlined option for satisfying the coordination requirement with respect to Federal satellite uplink stations.  </w:t>
      </w:r>
    </w:p>
    <w:p w14:paraId="3A7A35F2" w14:textId="77777777" w:rsidR="00A46EAB" w:rsidRPr="002E2365" w:rsidRDefault="00A46EAB" w:rsidP="00A46EAB">
      <w:pPr>
        <w:pStyle w:val="ParaNum"/>
        <w:numPr>
          <w:ilvl w:val="0"/>
          <w:numId w:val="0"/>
        </w:numPr>
        <w:tabs>
          <w:tab w:val="left" w:pos="720"/>
        </w:tabs>
      </w:pPr>
      <w:r w:rsidRPr="002E2365">
        <w:tab/>
        <w:t xml:space="preserve">Statutory authority for these collections are contained in sections 1, 2, 4(i), 201, 301, 302, 303, 307, 308, 309, 310, 316, 319, 324, 332, and 333 of the </w:t>
      </w:r>
      <w:r w:rsidRPr="002E2365">
        <w:rPr>
          <w:kern w:val="0"/>
        </w:rPr>
        <w:t xml:space="preserve">Communications Act of 1934, as amended, and sections 6003, 6004, and 6401 of the Middle Class Tax Relief Act of 2012, Pub. L. No. 112-96, 126 Stat. 156, 47 U.S.C. §§ 151, 152, 154(i), 201, 301, 302(a), </w:t>
      </w:r>
      <w:r w:rsidRPr="002E2365">
        <w:rPr>
          <w:rFonts w:ascii="TimesNewRoman" w:hAnsi="TimesNewRoman" w:cs="TimesNewRoman"/>
          <w:kern w:val="0"/>
          <w:szCs w:val="22"/>
        </w:rPr>
        <w:t>303, 307, 308, 309, 310, 316, 319, 324, 332, 333, 1403, 1404, and 1451</w:t>
      </w:r>
      <w:r w:rsidRPr="002E2365">
        <w:rPr>
          <w:kern w:val="0"/>
          <w:szCs w:val="22"/>
        </w:rPr>
        <w:t>.</w:t>
      </w:r>
    </w:p>
    <w:p w14:paraId="7D74566F" w14:textId="77777777" w:rsidR="00A46EAB" w:rsidRPr="002E2365" w:rsidRDefault="00A46EAB" w:rsidP="00A46EAB">
      <w:pPr>
        <w:pStyle w:val="ParaNum"/>
        <w:numPr>
          <w:ilvl w:val="0"/>
          <w:numId w:val="0"/>
        </w:numPr>
        <w:tabs>
          <w:tab w:val="left" w:pos="720"/>
        </w:tabs>
        <w:rPr>
          <w:b/>
        </w:rPr>
      </w:pPr>
      <w:r w:rsidRPr="002E2365">
        <w:tab/>
        <w:t xml:space="preserve">These information collection requirements do not affect individuals or households; thus, there are no impacts under the Privacy Act.  </w:t>
      </w:r>
    </w:p>
    <w:p w14:paraId="7324D223" w14:textId="77777777" w:rsidR="008A1AE0" w:rsidRPr="002E2365" w:rsidRDefault="008A1AE0" w:rsidP="00A66049">
      <w:pPr>
        <w:pStyle w:val="ParaNum"/>
        <w:tabs>
          <w:tab w:val="left" w:pos="720"/>
        </w:tabs>
        <w:spacing w:after="0"/>
        <w:ind w:firstLine="0"/>
      </w:pPr>
      <w:r w:rsidRPr="002E2365">
        <w:t xml:space="preserve">Recordkeeping, reporting, and third party disclosure requirements associated with the FCC items listed in item 1 will be used by incumbent licensees and new entrants to negotiate relocation agreements and to coordinate operations to avoid interference.  The information also will be used by the clearinghouses to maintain a national database, determine reimbursement obligations of entrants pursuant to the Commission’s rules, and notify such entrants of their reimbursement obligations.  Additionally, the information will be used to facilitate dispute resolution and for FCC oversight of the clearinghouses and the cost-sharing plan.  </w:t>
      </w:r>
    </w:p>
    <w:p w14:paraId="669E859E" w14:textId="77777777" w:rsidR="00A66049" w:rsidRPr="002E2365" w:rsidRDefault="00A66049" w:rsidP="00A66049">
      <w:pPr>
        <w:pStyle w:val="ParaNum"/>
        <w:numPr>
          <w:ilvl w:val="0"/>
          <w:numId w:val="0"/>
        </w:numPr>
        <w:tabs>
          <w:tab w:val="left" w:pos="720"/>
        </w:tabs>
        <w:spacing w:after="0"/>
      </w:pPr>
    </w:p>
    <w:p w14:paraId="6A78F6CE" w14:textId="77777777" w:rsidR="008A1AE0" w:rsidRPr="002E2365" w:rsidRDefault="008A1AE0" w:rsidP="00A66049">
      <w:pPr>
        <w:pStyle w:val="ParaNum"/>
        <w:tabs>
          <w:tab w:val="left" w:pos="720"/>
        </w:tabs>
        <w:spacing w:after="0"/>
        <w:ind w:firstLine="0"/>
      </w:pPr>
      <w:r w:rsidRPr="002E2365">
        <w:t xml:space="preserve">Before finalizing rulemakings, </w:t>
      </w:r>
      <w:r w:rsidR="005B0C36" w:rsidRPr="002E2365">
        <w:t>the Commission</w:t>
      </w:r>
      <w:r w:rsidRPr="002E2365">
        <w:t xml:space="preserve"> conducted an analysis to ensure that improved information technology could be used to reduce the burden on the public.  This analysis considers the possibility of obtaining and/or computer-generating the required data from existing data bases in the Commission or other Federal agencies.  The Commission encourages licensees to provide the requested information and notifications electronically in situations where licensees wish to use electronic means and the Commission’s regulations permit this approach.  Any submissions made through the Universal Licensing System (</w:t>
      </w:r>
      <w:r w:rsidR="001B3A2B" w:rsidRPr="002E2365">
        <w:t>“</w:t>
      </w:r>
      <w:r w:rsidRPr="002E2365">
        <w:t>ULS</w:t>
      </w:r>
      <w:r w:rsidR="001B3A2B" w:rsidRPr="002E2365">
        <w:t>”</w:t>
      </w:r>
      <w:r w:rsidRPr="002E2365">
        <w:t xml:space="preserve">) must be filed electronically.  Additionally, the clearinghouses use technological collection techniques, such as electronic filing, to reduce the burden on respondents.  The Commission does not impose a similar information collection on the respondents.  There are no similar data available. </w:t>
      </w:r>
    </w:p>
    <w:p w14:paraId="3DA13911" w14:textId="77777777" w:rsidR="0056028C" w:rsidRPr="002E2365" w:rsidRDefault="0056028C" w:rsidP="00F015AB">
      <w:pPr>
        <w:pStyle w:val="ParaNum"/>
        <w:numPr>
          <w:ilvl w:val="0"/>
          <w:numId w:val="0"/>
        </w:numPr>
        <w:tabs>
          <w:tab w:val="left" w:pos="720"/>
        </w:tabs>
        <w:spacing w:after="0"/>
      </w:pPr>
    </w:p>
    <w:p w14:paraId="6D172128" w14:textId="77777777" w:rsidR="0056028C" w:rsidRPr="002E2365" w:rsidRDefault="0056028C" w:rsidP="00A66049">
      <w:pPr>
        <w:pStyle w:val="ParaNum"/>
        <w:tabs>
          <w:tab w:val="left" w:pos="720"/>
        </w:tabs>
        <w:spacing w:after="0"/>
        <w:ind w:firstLine="0"/>
      </w:pPr>
      <w:r w:rsidRPr="002E2365">
        <w:t>The Commission does not impose a similar information collection on the respondents.  There are no similar data available.</w:t>
      </w:r>
    </w:p>
    <w:p w14:paraId="2B5FEF86" w14:textId="77777777" w:rsidR="00A66049" w:rsidRPr="002E2365" w:rsidRDefault="00A66049" w:rsidP="00A66049">
      <w:pPr>
        <w:pStyle w:val="ParaNum"/>
        <w:numPr>
          <w:ilvl w:val="0"/>
          <w:numId w:val="0"/>
        </w:numPr>
        <w:tabs>
          <w:tab w:val="left" w:pos="720"/>
        </w:tabs>
        <w:spacing w:after="0"/>
      </w:pPr>
    </w:p>
    <w:p w14:paraId="1A74A20D" w14:textId="77777777" w:rsidR="008A1AE0" w:rsidRPr="002E2365" w:rsidRDefault="008A1AE0" w:rsidP="00A66049">
      <w:pPr>
        <w:pStyle w:val="ParaNum"/>
        <w:tabs>
          <w:tab w:val="left" w:pos="720"/>
        </w:tabs>
        <w:spacing w:after="0"/>
        <w:ind w:firstLine="0"/>
      </w:pPr>
      <w:r w:rsidRPr="002E2365">
        <w:t xml:space="preserve">In conformance with the Paperwork Reduction Act of 1995, the Commission is making an effort to minimize burdens on all respondents, regardless of size.  The Commission has limited the information requirements to those absolutely necessary for evaluating compliance with Commission rules and policies, to ensure fair and efficient relocation and cost sharing, and to avoid interference </w:t>
      </w:r>
      <w:r w:rsidR="001D1404" w:rsidRPr="002E2365">
        <w:t>between radio services, especially to</w:t>
      </w:r>
      <w:r w:rsidRPr="002E2365">
        <w:t xml:space="preserve"> Federal operations in the 1.7 GHz band.  The Commission’s use of a flexible regulatory scheme for relocation of incumbents that includes an industry-administered cost-sharing plan is a reflection of the FCC’s intent to minimize the regulatory burden on incumbents as well as prospective applicants and licensees for these frequencies.  Likewise, offering guidelines, developed and issued jointly with NTIA, for AWS</w:t>
      </w:r>
      <w:r w:rsidR="00A66049" w:rsidRPr="002E2365">
        <w:t>-3</w:t>
      </w:r>
      <w:r w:rsidRPr="002E2365">
        <w:t xml:space="preserve"> licensees that wish to operate before Federal operations are relocated, promotes the opening of these frequencies to a wide variety of licensees offering a range of services to the public.  In addition, applying </w:t>
      </w:r>
      <w:r w:rsidR="008B4724" w:rsidRPr="002E2365">
        <w:t xml:space="preserve">to AWS-3 </w:t>
      </w:r>
      <w:r w:rsidR="00A83963" w:rsidRPr="002E2365">
        <w:t>licensees’</w:t>
      </w:r>
      <w:r w:rsidR="008B4724" w:rsidRPr="002E2365">
        <w:t xml:space="preserve"> </w:t>
      </w:r>
      <w:r w:rsidRPr="002E2365">
        <w:t>information requirements that are already in place for AWS-1</w:t>
      </w:r>
      <w:r w:rsidR="001D1404" w:rsidRPr="002E2365">
        <w:t xml:space="preserve"> and AWS-4</w:t>
      </w:r>
      <w:r w:rsidRPr="002E2365">
        <w:t xml:space="preserve"> licensees would limit the additional information requirements needed for AWS-</w:t>
      </w:r>
      <w:r w:rsidR="00A66049" w:rsidRPr="002E2365">
        <w:t>3</w:t>
      </w:r>
      <w:r w:rsidRPr="002E2365">
        <w:t xml:space="preserve"> licensees.   </w:t>
      </w:r>
    </w:p>
    <w:p w14:paraId="0779934F" w14:textId="77777777" w:rsidR="00A66049" w:rsidRPr="002E2365" w:rsidRDefault="00A66049" w:rsidP="00A66049">
      <w:pPr>
        <w:pStyle w:val="ParaNum"/>
        <w:numPr>
          <w:ilvl w:val="0"/>
          <w:numId w:val="0"/>
        </w:numPr>
        <w:tabs>
          <w:tab w:val="left" w:pos="720"/>
        </w:tabs>
        <w:spacing w:after="0"/>
      </w:pPr>
    </w:p>
    <w:p w14:paraId="5E14F538" w14:textId="77777777" w:rsidR="008A1AE0" w:rsidRPr="002E2365" w:rsidRDefault="008A1AE0" w:rsidP="00A66049">
      <w:pPr>
        <w:pStyle w:val="ParaNum"/>
        <w:tabs>
          <w:tab w:val="left" w:pos="720"/>
        </w:tabs>
        <w:spacing w:after="0"/>
        <w:ind w:firstLine="0"/>
      </w:pPr>
      <w:r w:rsidRPr="002E2365">
        <w:t xml:space="preserve">Without the reporting, recordkeeping, and disclosure requirements, it would be difficult for the Commission to ensure that licensees are in compliance with FCC rules and policies.  Specifically, without the required disclosures and recordkeeping for incumbent licensees and new entrants, the Commission could not effectively facilitate the relocation of incumbents from the bands and clear the bands for the services that will be offered by AWS.  Moreover, the costs of relocating </w:t>
      </w:r>
      <w:r w:rsidR="000D416A" w:rsidRPr="002E2365">
        <w:t>incumbents</w:t>
      </w:r>
      <w:r w:rsidRPr="002E2365">
        <w:t xml:space="preserve"> could not be allocated and shared among all entrants benefiting from the relocation of any given incumbent, which would lead to an inequity in the development of competition in the wireless telecommunications service market.  In addition, if the collection of information from clearinghouses were not required, the Commission would be required to expend extraordinary resources in administering the cost-sharing plan, a function which falls more squarely and efficiently within the expertise of the industry.  The license condition requiring coordination with Federal operations and the related FCC/NTIA guidelines allow AWS operations to commence prior to the relocation of Federal incumbents</w:t>
      </w:r>
      <w:r w:rsidR="00A66049" w:rsidRPr="002E2365">
        <w:t>,</w:t>
      </w:r>
      <w:r w:rsidRPr="002E2365">
        <w:t xml:space="preserve"> in accordance with the</w:t>
      </w:r>
      <w:r w:rsidR="00901FA9" w:rsidRPr="002E2365">
        <w:t xml:space="preserve"> Commercial Spectrum Enhancement Act</w:t>
      </w:r>
      <w:r w:rsidR="003922B2" w:rsidRPr="002E2365">
        <w:t xml:space="preserve"> (CSEA)</w:t>
      </w:r>
      <w:r w:rsidR="00901FA9" w:rsidRPr="002E2365">
        <w:t>.</w:t>
      </w:r>
      <w:r w:rsidR="00901FA9" w:rsidRPr="002E2365">
        <w:rPr>
          <w:rStyle w:val="FootnoteReference"/>
        </w:rPr>
        <w:footnoteReference w:id="13"/>
      </w:r>
      <w:r w:rsidRPr="002E2365">
        <w:t xml:space="preserve">  </w:t>
      </w:r>
    </w:p>
    <w:p w14:paraId="65105609" w14:textId="77777777" w:rsidR="00A66049" w:rsidRPr="002E2365" w:rsidRDefault="00A66049" w:rsidP="00172436">
      <w:pPr>
        <w:pStyle w:val="ParaNum"/>
        <w:numPr>
          <w:ilvl w:val="0"/>
          <w:numId w:val="0"/>
        </w:numPr>
        <w:tabs>
          <w:tab w:val="left" w:pos="0"/>
        </w:tabs>
        <w:spacing w:after="0"/>
      </w:pPr>
    </w:p>
    <w:p w14:paraId="3EC1784D" w14:textId="77777777" w:rsidR="008A1AE0" w:rsidRPr="002E2365" w:rsidRDefault="008A1AE0" w:rsidP="00A66049">
      <w:pPr>
        <w:pStyle w:val="ParaNum"/>
        <w:tabs>
          <w:tab w:val="left" w:pos="720"/>
        </w:tabs>
        <w:spacing w:after="0"/>
        <w:ind w:firstLine="0"/>
      </w:pPr>
      <w:r w:rsidRPr="002E2365">
        <w:t xml:space="preserve">No special circumstances exist except as follows: some relocators that seek reimbursement through the FCC cost-sharing plan administered by the clearinghouses will be required to retain records for more than three years, as will the clearinghouses themselves.  </w:t>
      </w:r>
    </w:p>
    <w:p w14:paraId="1F31046E" w14:textId="77777777" w:rsidR="00A66049" w:rsidRPr="002E2365" w:rsidRDefault="00A66049" w:rsidP="00172436">
      <w:pPr>
        <w:pStyle w:val="ParaNum"/>
        <w:numPr>
          <w:ilvl w:val="0"/>
          <w:numId w:val="0"/>
        </w:numPr>
        <w:tabs>
          <w:tab w:val="left" w:pos="0"/>
        </w:tabs>
        <w:spacing w:after="0"/>
      </w:pPr>
    </w:p>
    <w:p w14:paraId="3683BD5D" w14:textId="137D1C94" w:rsidR="008A1AE0" w:rsidRPr="002E2365" w:rsidRDefault="008A1AE0" w:rsidP="00A66049">
      <w:pPr>
        <w:pStyle w:val="ParaNum"/>
        <w:tabs>
          <w:tab w:val="left" w:pos="720"/>
        </w:tabs>
        <w:spacing w:after="0"/>
        <w:ind w:firstLine="0"/>
      </w:pPr>
      <w:r w:rsidRPr="002E2365">
        <w:t xml:space="preserve">Pursuant to 5 CFR 1320.5(d), the FCC published </w:t>
      </w:r>
      <w:r w:rsidR="0032270E" w:rsidRPr="002E2365">
        <w:t>a 60</w:t>
      </w:r>
      <w:r w:rsidR="00A66049" w:rsidRPr="002E2365">
        <w:t>-</w:t>
      </w:r>
      <w:r w:rsidR="0032270E" w:rsidRPr="002E2365">
        <w:t xml:space="preserve">day notice </w:t>
      </w:r>
      <w:r w:rsidRPr="002E2365">
        <w:t>which appeared in the Federal Register on</w:t>
      </w:r>
      <w:r w:rsidR="008A5DED" w:rsidRPr="002E2365">
        <w:t xml:space="preserve"> </w:t>
      </w:r>
      <w:r w:rsidR="00001FC7" w:rsidRPr="002E2365">
        <w:t xml:space="preserve">October </w:t>
      </w:r>
      <w:r w:rsidR="004B6169">
        <w:t>18</w:t>
      </w:r>
      <w:r w:rsidR="00001FC7" w:rsidRPr="002E2365">
        <w:t xml:space="preserve">, 2017 (82 FR </w:t>
      </w:r>
      <w:r w:rsidR="004B6169">
        <w:t>48510</w:t>
      </w:r>
      <w:r w:rsidR="00001FC7" w:rsidRPr="002E2365">
        <w:t xml:space="preserve">) </w:t>
      </w:r>
      <w:r w:rsidR="00985FE3" w:rsidRPr="002E2365">
        <w:t>seeking comment from the public on the information collection requirements contained in this collection</w:t>
      </w:r>
      <w:r w:rsidRPr="002E2365">
        <w:t xml:space="preserve">.  </w:t>
      </w:r>
      <w:r w:rsidR="0097211E" w:rsidRPr="002E2365">
        <w:t>No</w:t>
      </w:r>
      <w:r w:rsidRPr="002E2365">
        <w:t xml:space="preserve"> PRA comments have been received.</w:t>
      </w:r>
    </w:p>
    <w:p w14:paraId="7704649C" w14:textId="77777777" w:rsidR="00A66049" w:rsidRPr="002E2365" w:rsidRDefault="00A66049" w:rsidP="00172436">
      <w:pPr>
        <w:pStyle w:val="ParaNum"/>
        <w:numPr>
          <w:ilvl w:val="0"/>
          <w:numId w:val="0"/>
        </w:numPr>
        <w:tabs>
          <w:tab w:val="left" w:pos="0"/>
        </w:tabs>
        <w:spacing w:after="0"/>
      </w:pPr>
    </w:p>
    <w:p w14:paraId="7E94ADFA" w14:textId="77777777" w:rsidR="00A66049" w:rsidRPr="002E2365" w:rsidRDefault="008A1AE0" w:rsidP="00A66049">
      <w:pPr>
        <w:pStyle w:val="ParaNum"/>
        <w:tabs>
          <w:tab w:val="left" w:pos="720"/>
        </w:tabs>
        <w:spacing w:after="0"/>
        <w:ind w:firstLine="0"/>
      </w:pPr>
      <w:r w:rsidRPr="002E2365">
        <w:t>Respondents will not receive any payments or gifts from the Commission</w:t>
      </w:r>
      <w:r w:rsidR="00985FE3" w:rsidRPr="002E2365">
        <w:t xml:space="preserve"> associated with this collection of information</w:t>
      </w:r>
      <w:r w:rsidRPr="002E2365">
        <w:t xml:space="preserve">. </w:t>
      </w:r>
    </w:p>
    <w:p w14:paraId="28E35306" w14:textId="77777777" w:rsidR="008A1AE0" w:rsidRPr="002E2365" w:rsidRDefault="008A1AE0" w:rsidP="00172436">
      <w:pPr>
        <w:pStyle w:val="ParaNum"/>
        <w:numPr>
          <w:ilvl w:val="0"/>
          <w:numId w:val="0"/>
        </w:numPr>
        <w:tabs>
          <w:tab w:val="left" w:pos="0"/>
        </w:tabs>
        <w:spacing w:after="0"/>
      </w:pPr>
      <w:r w:rsidRPr="002E2365">
        <w:t xml:space="preserve"> </w:t>
      </w:r>
    </w:p>
    <w:p w14:paraId="33F4C2C1" w14:textId="77777777" w:rsidR="00337EAD" w:rsidRPr="002E2365" w:rsidRDefault="00337EAD" w:rsidP="00A66049">
      <w:pPr>
        <w:pStyle w:val="ParaNum"/>
        <w:tabs>
          <w:tab w:val="left" w:pos="720"/>
        </w:tabs>
        <w:spacing w:after="0"/>
        <w:ind w:firstLine="0"/>
      </w:pPr>
      <w:r w:rsidRPr="002E2365">
        <w:t xml:space="preserve">There is no need for confidentiality except as follows:  the clearinghouses have committed, pursuant to the FCC’s directive, to implement safeguards to maintain the confidentiality of information where necessary to protect respondents’ legitimate commercial interests.  The Commission’s rules permit parties filing information with the Commission to request confidential treatment of that information under 47 CFR </w:t>
      </w:r>
      <w:r w:rsidR="00A66049" w:rsidRPr="002E2365">
        <w:t xml:space="preserve">§ </w:t>
      </w:r>
      <w:r w:rsidRPr="002E2365">
        <w:t xml:space="preserve">0.459.   </w:t>
      </w:r>
    </w:p>
    <w:p w14:paraId="4FE03B15" w14:textId="77777777" w:rsidR="00A66049" w:rsidRPr="002E2365" w:rsidRDefault="00A66049" w:rsidP="00172436">
      <w:pPr>
        <w:pStyle w:val="ParaNum"/>
        <w:numPr>
          <w:ilvl w:val="0"/>
          <w:numId w:val="0"/>
        </w:numPr>
        <w:tabs>
          <w:tab w:val="left" w:pos="0"/>
        </w:tabs>
        <w:spacing w:after="0"/>
      </w:pPr>
    </w:p>
    <w:p w14:paraId="68476DB7" w14:textId="77777777" w:rsidR="0033242D" w:rsidRPr="002E2365" w:rsidRDefault="00337EAD" w:rsidP="00AE5C01">
      <w:pPr>
        <w:pStyle w:val="ParaNum"/>
        <w:tabs>
          <w:tab w:val="left" w:pos="720"/>
        </w:tabs>
        <w:spacing w:after="0"/>
        <w:ind w:firstLine="0"/>
      </w:pPr>
      <w:r w:rsidRPr="002E2365">
        <w:t xml:space="preserve">The reporting and disclosure requirements described herein do not address any private matters of a sensitive nature.  </w:t>
      </w:r>
    </w:p>
    <w:p w14:paraId="17490490" w14:textId="77777777" w:rsidR="00A66049" w:rsidRPr="002E2365" w:rsidRDefault="00A66049" w:rsidP="00AE5C01">
      <w:pPr>
        <w:pStyle w:val="ParaNum"/>
        <w:numPr>
          <w:ilvl w:val="0"/>
          <w:numId w:val="0"/>
        </w:numPr>
        <w:tabs>
          <w:tab w:val="left" w:pos="0"/>
        </w:tabs>
        <w:spacing w:after="0"/>
      </w:pPr>
    </w:p>
    <w:p w14:paraId="6740BE2F" w14:textId="77777777" w:rsidR="00AE26F8" w:rsidRPr="002E2365" w:rsidRDefault="00865723" w:rsidP="00AE26F8">
      <w:pPr>
        <w:pStyle w:val="ParaNum"/>
      </w:pPr>
      <w:r w:rsidRPr="002E2365">
        <w:rPr>
          <w:b/>
        </w:rPr>
        <w:t xml:space="preserve">Respondent Burden:  </w:t>
      </w:r>
      <w:r w:rsidR="002C183D" w:rsidRPr="002E2365">
        <w:t xml:space="preserve">In this section, </w:t>
      </w:r>
      <w:r w:rsidR="009706F7" w:rsidRPr="002E2365">
        <w:t>we revise</w:t>
      </w:r>
      <w:r w:rsidR="002C183D" w:rsidRPr="002E2365">
        <w:t>d</w:t>
      </w:r>
      <w:r w:rsidR="009706F7" w:rsidRPr="002E2365">
        <w:t xml:space="preserve"> </w:t>
      </w:r>
      <w:r w:rsidR="00477E5C" w:rsidRPr="002E2365">
        <w:t>the estimate</w:t>
      </w:r>
      <w:r w:rsidR="009706F7" w:rsidRPr="002E2365">
        <w:t xml:space="preserve"> of burdens on rules related to </w:t>
      </w:r>
      <w:r w:rsidR="00A70879" w:rsidRPr="002E2365">
        <w:t>AWS</w:t>
      </w:r>
      <w:r w:rsidR="00F94A2E" w:rsidRPr="002E2365">
        <w:t>-1, AWS-4 and AWS-3</w:t>
      </w:r>
      <w:r w:rsidR="009706F7" w:rsidRPr="002E2365">
        <w:t xml:space="preserve"> licensees based on updated licensing data and other developments</w:t>
      </w:r>
      <w:r w:rsidR="00553707" w:rsidRPr="002E2365">
        <w:t xml:space="preserve">.  </w:t>
      </w:r>
      <w:r w:rsidR="009706F7" w:rsidRPr="002E2365">
        <w:t>For example, s</w:t>
      </w:r>
      <w:r w:rsidR="00E235DC" w:rsidRPr="002E2365">
        <w:t xml:space="preserve">ome </w:t>
      </w:r>
      <w:r w:rsidR="00F94A2E" w:rsidRPr="002E2365">
        <w:t xml:space="preserve">AWS </w:t>
      </w:r>
      <w:r w:rsidR="009706F7" w:rsidRPr="002E2365">
        <w:t xml:space="preserve">relocation and cost-sharing rules </w:t>
      </w:r>
      <w:r w:rsidR="00E235DC" w:rsidRPr="002E2365">
        <w:t>are common among the three AWS services</w:t>
      </w:r>
      <w:r w:rsidR="00553707" w:rsidRPr="002E2365">
        <w:t xml:space="preserve">, however, the activation of </w:t>
      </w:r>
      <w:r w:rsidR="009706F7" w:rsidRPr="002E2365">
        <w:t xml:space="preserve">these </w:t>
      </w:r>
      <w:r w:rsidR="00553707" w:rsidRPr="002E2365">
        <w:t xml:space="preserve">reporting </w:t>
      </w:r>
      <w:r w:rsidR="00E235DC" w:rsidRPr="002E2365">
        <w:t xml:space="preserve">or third-party disclosure </w:t>
      </w:r>
      <w:r w:rsidR="00553707" w:rsidRPr="002E2365">
        <w:t xml:space="preserve">requirements </w:t>
      </w:r>
      <w:r w:rsidR="00AE26F8" w:rsidRPr="002E2365">
        <w:t>begins</w:t>
      </w:r>
      <w:r w:rsidR="00553707" w:rsidRPr="002E2365">
        <w:t xml:space="preserve"> with the issuance of </w:t>
      </w:r>
      <w:r w:rsidR="00E235DC" w:rsidRPr="002E2365">
        <w:t xml:space="preserve">the </w:t>
      </w:r>
      <w:r w:rsidR="00F94A2E" w:rsidRPr="002E2365">
        <w:t>first license</w:t>
      </w:r>
      <w:r w:rsidR="00E235DC" w:rsidRPr="002E2365">
        <w:t xml:space="preserve"> in the service</w:t>
      </w:r>
      <w:r w:rsidR="009706F7" w:rsidRPr="002E2365">
        <w:t xml:space="preserve"> and sunsets 10 or 15 years thereafter</w:t>
      </w:r>
      <w:r w:rsidR="00AE26F8" w:rsidRPr="002E2365">
        <w:t>:</w:t>
      </w:r>
    </w:p>
    <w:p w14:paraId="39CD01EB" w14:textId="77777777" w:rsidR="00AE26F8" w:rsidRPr="002E2365" w:rsidRDefault="00AE26F8" w:rsidP="002C183D">
      <w:pPr>
        <w:pStyle w:val="ParaNum"/>
        <w:numPr>
          <w:ilvl w:val="0"/>
          <w:numId w:val="3"/>
        </w:numPr>
        <w:spacing w:after="0"/>
      </w:pPr>
      <w:r w:rsidRPr="002E2365">
        <w:t>AWS-1: November 29, 2006; 1710-1755 MHz and 2110-2115 MHz</w:t>
      </w:r>
    </w:p>
    <w:p w14:paraId="08CF5CFB" w14:textId="77777777" w:rsidR="00AE26F8" w:rsidRPr="002E2365" w:rsidRDefault="00AE26F8" w:rsidP="002C183D">
      <w:pPr>
        <w:pStyle w:val="ParaNum"/>
        <w:numPr>
          <w:ilvl w:val="0"/>
          <w:numId w:val="3"/>
        </w:numPr>
        <w:spacing w:after="0"/>
      </w:pPr>
      <w:r w:rsidRPr="002E2365">
        <w:t>AWS-4: March 8, 2013; 2000-2020 MHz and 2180-2200 MHz</w:t>
      </w:r>
    </w:p>
    <w:p w14:paraId="162EBD09" w14:textId="77777777" w:rsidR="00344B91" w:rsidRPr="002E2365" w:rsidRDefault="00AE26F8" w:rsidP="002C183D">
      <w:pPr>
        <w:pStyle w:val="ParaNum"/>
        <w:numPr>
          <w:ilvl w:val="0"/>
          <w:numId w:val="3"/>
        </w:numPr>
        <w:spacing w:after="0"/>
      </w:pPr>
      <w:r w:rsidRPr="002E2365">
        <w:t>AWS-3: April 8, 2015; 1695-1710 MHz, 1755-1780 MHz and 2155-2180 MHz</w:t>
      </w:r>
    </w:p>
    <w:p w14:paraId="1A16D06C" w14:textId="77777777" w:rsidR="00F94A2E" w:rsidRPr="002E2365" w:rsidRDefault="00F94A2E" w:rsidP="00344B91">
      <w:pPr>
        <w:pStyle w:val="ParaNum"/>
        <w:numPr>
          <w:ilvl w:val="0"/>
          <w:numId w:val="0"/>
        </w:numPr>
        <w:tabs>
          <w:tab w:val="left" w:pos="720"/>
        </w:tabs>
        <w:spacing w:after="0"/>
      </w:pPr>
    </w:p>
    <w:p w14:paraId="78468404" w14:textId="77777777" w:rsidR="00A36CB1" w:rsidRPr="002E2365" w:rsidRDefault="009706F7" w:rsidP="00344B91">
      <w:pPr>
        <w:pStyle w:val="ParaNum"/>
        <w:numPr>
          <w:ilvl w:val="0"/>
          <w:numId w:val="0"/>
        </w:numPr>
        <w:tabs>
          <w:tab w:val="left" w:pos="720"/>
        </w:tabs>
        <w:spacing w:after="0"/>
      </w:pPr>
      <w:r w:rsidRPr="002E2365">
        <w:t xml:space="preserve">For purposes of this submission, </w:t>
      </w:r>
      <w:r w:rsidR="00AE26F8" w:rsidRPr="002E2365">
        <w:t xml:space="preserve">we estimate </w:t>
      </w:r>
      <w:r w:rsidR="00F35054" w:rsidRPr="002E2365">
        <w:t>for each AWS, the following:</w:t>
      </w:r>
    </w:p>
    <w:p w14:paraId="444383EA" w14:textId="77777777" w:rsidR="007E1DEC" w:rsidRPr="002E2365" w:rsidRDefault="00A36CB1" w:rsidP="002C183D">
      <w:pPr>
        <w:pStyle w:val="ParaNum"/>
        <w:numPr>
          <w:ilvl w:val="0"/>
          <w:numId w:val="4"/>
        </w:numPr>
        <w:spacing w:after="0"/>
      </w:pPr>
      <w:r w:rsidRPr="002E2365">
        <w:t>AWS-1</w:t>
      </w:r>
      <w:r w:rsidR="00C2322E" w:rsidRPr="002E2365">
        <w:t xml:space="preserve">: </w:t>
      </w:r>
      <w:r w:rsidR="00344B91" w:rsidRPr="002E2365">
        <w:t xml:space="preserve">142 </w:t>
      </w:r>
      <w:r w:rsidR="009C488F" w:rsidRPr="002E2365">
        <w:t>Licensee</w:t>
      </w:r>
      <w:r w:rsidR="00344B91" w:rsidRPr="002E2365">
        <w:t>s</w:t>
      </w:r>
      <w:r w:rsidR="00C2322E" w:rsidRPr="002E2365">
        <w:t>;</w:t>
      </w:r>
      <w:r w:rsidR="00344B91" w:rsidRPr="002E2365">
        <w:t xml:space="preserve"> 1,581</w:t>
      </w:r>
      <w:r w:rsidR="00C2322E" w:rsidRPr="002E2365">
        <w:t xml:space="preserve"> </w:t>
      </w:r>
      <w:r w:rsidR="009C488F" w:rsidRPr="002E2365">
        <w:t>License</w:t>
      </w:r>
      <w:r w:rsidR="004E223A" w:rsidRPr="002E2365">
        <w:t>s</w:t>
      </w:r>
    </w:p>
    <w:p w14:paraId="6D288897" w14:textId="77777777" w:rsidR="00A36CB1" w:rsidRPr="002E2365" w:rsidRDefault="009C488F" w:rsidP="002C183D">
      <w:pPr>
        <w:pStyle w:val="ParaNum"/>
        <w:numPr>
          <w:ilvl w:val="0"/>
          <w:numId w:val="4"/>
        </w:numPr>
        <w:spacing w:after="0"/>
      </w:pPr>
      <w:r w:rsidRPr="002E2365">
        <w:t>AWS-3</w:t>
      </w:r>
      <w:r w:rsidR="00C2322E" w:rsidRPr="002E2365">
        <w:t>:</w:t>
      </w:r>
      <w:r w:rsidR="00344B91" w:rsidRPr="002E2365">
        <w:t xml:space="preserve"> 37 </w:t>
      </w:r>
      <w:r w:rsidRPr="002E2365">
        <w:t>Licensee</w:t>
      </w:r>
      <w:r w:rsidR="004E223A" w:rsidRPr="002E2365">
        <w:t>s</w:t>
      </w:r>
      <w:r w:rsidR="00C2322E" w:rsidRPr="002E2365">
        <w:t xml:space="preserve">; </w:t>
      </w:r>
      <w:r w:rsidR="00344B91" w:rsidRPr="002E2365">
        <w:t xml:space="preserve">1,403 </w:t>
      </w:r>
      <w:r w:rsidRPr="002E2365">
        <w:t>License</w:t>
      </w:r>
      <w:r w:rsidR="004E223A" w:rsidRPr="002E2365">
        <w:t>s</w:t>
      </w:r>
    </w:p>
    <w:p w14:paraId="470CE7DD" w14:textId="77777777" w:rsidR="009C488F" w:rsidRPr="002E2365" w:rsidRDefault="009C488F" w:rsidP="002C183D">
      <w:pPr>
        <w:pStyle w:val="ParaNum"/>
        <w:numPr>
          <w:ilvl w:val="0"/>
          <w:numId w:val="4"/>
        </w:numPr>
        <w:spacing w:after="0"/>
      </w:pPr>
      <w:r w:rsidRPr="002E2365">
        <w:t>AWS-4:</w:t>
      </w:r>
      <w:r w:rsidR="00344B91" w:rsidRPr="002E2365">
        <w:t xml:space="preserve"> 2</w:t>
      </w:r>
      <w:r w:rsidRPr="002E2365">
        <w:t xml:space="preserve"> Licensee</w:t>
      </w:r>
      <w:r w:rsidR="004E223A" w:rsidRPr="002E2365">
        <w:t>s</w:t>
      </w:r>
      <w:r w:rsidR="00344B91" w:rsidRPr="002E2365">
        <w:t>; 352</w:t>
      </w:r>
      <w:r w:rsidR="00C2322E" w:rsidRPr="002E2365">
        <w:t xml:space="preserve"> </w:t>
      </w:r>
      <w:r w:rsidRPr="002E2365">
        <w:t>License</w:t>
      </w:r>
      <w:r w:rsidR="004E223A" w:rsidRPr="002E2365">
        <w:t>s</w:t>
      </w:r>
    </w:p>
    <w:p w14:paraId="5527EF69" w14:textId="77777777" w:rsidR="009C488F" w:rsidRPr="002E2365" w:rsidRDefault="009C488F" w:rsidP="00AE5C01">
      <w:pPr>
        <w:pStyle w:val="ParaNum"/>
        <w:numPr>
          <w:ilvl w:val="0"/>
          <w:numId w:val="0"/>
        </w:numPr>
        <w:spacing w:after="0"/>
        <w:ind w:left="720"/>
      </w:pPr>
    </w:p>
    <w:p w14:paraId="78187F16" w14:textId="77777777" w:rsidR="00904DCD" w:rsidRPr="002E2365" w:rsidRDefault="00BA1DDD" w:rsidP="00AE5C01">
      <w:pPr>
        <w:pStyle w:val="ParaNum"/>
        <w:numPr>
          <w:ilvl w:val="0"/>
          <w:numId w:val="0"/>
        </w:numPr>
        <w:spacing w:after="0"/>
      </w:pPr>
      <w:r w:rsidRPr="002E2365">
        <w:t>Approximately 5</w:t>
      </w:r>
      <w:r w:rsidR="00904DCD" w:rsidRPr="002E2365">
        <w:t xml:space="preserve"> of the </w:t>
      </w:r>
      <w:r w:rsidRPr="002E2365">
        <w:t>37</w:t>
      </w:r>
      <w:r w:rsidR="005A5195" w:rsidRPr="002E2365">
        <w:t xml:space="preserve"> </w:t>
      </w:r>
      <w:r w:rsidR="00904DCD" w:rsidRPr="002E2365">
        <w:t xml:space="preserve">AWS-3 licensees </w:t>
      </w:r>
      <w:r w:rsidRPr="002E2365">
        <w:t xml:space="preserve">hold </w:t>
      </w:r>
      <w:r w:rsidR="00904DCD" w:rsidRPr="002E2365">
        <w:t>license</w:t>
      </w:r>
      <w:r w:rsidRPr="002E2365">
        <w:t>s</w:t>
      </w:r>
      <w:r w:rsidR="00904DCD" w:rsidRPr="002E2365">
        <w:t xml:space="preserve"> </w:t>
      </w:r>
      <w:r w:rsidRPr="002E2365">
        <w:t xml:space="preserve">in </w:t>
      </w:r>
      <w:r w:rsidR="00904DCD" w:rsidRPr="002E2365">
        <w:t>the 1695-1710 MHz band – hence these licensees are particularly impacted by section 27.1134(c), below.</w:t>
      </w:r>
    </w:p>
    <w:p w14:paraId="5ED05711" w14:textId="77777777" w:rsidR="00AE5C01" w:rsidRPr="002E2365" w:rsidRDefault="00AE5C01" w:rsidP="00AE5C01">
      <w:pPr>
        <w:pStyle w:val="ParaNum"/>
        <w:numPr>
          <w:ilvl w:val="0"/>
          <w:numId w:val="0"/>
        </w:numPr>
        <w:tabs>
          <w:tab w:val="left" w:pos="720"/>
        </w:tabs>
        <w:spacing w:after="0"/>
      </w:pPr>
    </w:p>
    <w:p w14:paraId="79A90C8D" w14:textId="77777777" w:rsidR="00EB1A8A" w:rsidRPr="002E2365" w:rsidRDefault="00AC7D58" w:rsidP="00AE5C01">
      <w:pPr>
        <w:pStyle w:val="ParaNum"/>
        <w:numPr>
          <w:ilvl w:val="0"/>
          <w:numId w:val="0"/>
        </w:numPr>
        <w:tabs>
          <w:tab w:val="left" w:pos="720"/>
        </w:tabs>
        <w:spacing w:after="0"/>
      </w:pPr>
      <w:r w:rsidRPr="002E2365">
        <w:t xml:space="preserve">In addition, due to </w:t>
      </w:r>
      <w:r w:rsidR="00A708F3" w:rsidRPr="002E2365">
        <w:t xml:space="preserve">the </w:t>
      </w:r>
      <w:r w:rsidRPr="002E2365">
        <w:t xml:space="preserve">ongoing clearance of FS </w:t>
      </w:r>
      <w:r w:rsidR="00904DCD" w:rsidRPr="002E2365">
        <w:t xml:space="preserve">and BRS </w:t>
      </w:r>
      <w:r w:rsidRPr="002E2365">
        <w:t xml:space="preserve">stations </w:t>
      </w:r>
      <w:r w:rsidR="008C463C" w:rsidRPr="002E2365">
        <w:t>from</w:t>
      </w:r>
      <w:r w:rsidRPr="002E2365">
        <w:t xml:space="preserve"> the AWS bands</w:t>
      </w:r>
      <w:r w:rsidR="001C5796" w:rsidRPr="002E2365">
        <w:t xml:space="preserve">, there are now </w:t>
      </w:r>
    </w:p>
    <w:p w14:paraId="65537435" w14:textId="77777777" w:rsidR="00EB1A8A" w:rsidRPr="002E2365" w:rsidRDefault="00EB1A8A" w:rsidP="002C183D">
      <w:pPr>
        <w:pStyle w:val="ParaNum"/>
        <w:numPr>
          <w:ilvl w:val="0"/>
          <w:numId w:val="5"/>
        </w:numPr>
        <w:tabs>
          <w:tab w:val="left" w:pos="720"/>
        </w:tabs>
        <w:spacing w:after="0"/>
      </w:pPr>
      <w:r w:rsidRPr="002E2365">
        <w:t>FS</w:t>
      </w:r>
      <w:r w:rsidR="00C2322E" w:rsidRPr="002E2365">
        <w:t xml:space="preserve">: </w:t>
      </w:r>
      <w:r w:rsidRPr="002E2365">
        <w:t>Licensee</w:t>
      </w:r>
      <w:r w:rsidR="004E223A" w:rsidRPr="002E2365">
        <w:t>s</w:t>
      </w:r>
      <w:r w:rsidRPr="002E2365">
        <w:t>: 60</w:t>
      </w:r>
      <w:r w:rsidR="00C2322E" w:rsidRPr="002E2365">
        <w:t xml:space="preserve">; </w:t>
      </w:r>
      <w:r w:rsidRPr="002E2365">
        <w:t>License</w:t>
      </w:r>
      <w:r w:rsidR="004E223A" w:rsidRPr="002E2365">
        <w:t>s</w:t>
      </w:r>
      <w:r w:rsidRPr="002E2365">
        <w:t>: 90</w:t>
      </w:r>
    </w:p>
    <w:p w14:paraId="4D9E002D" w14:textId="77777777" w:rsidR="00EB1A8A" w:rsidRPr="002E2365" w:rsidRDefault="00EB1A8A" w:rsidP="002C183D">
      <w:pPr>
        <w:pStyle w:val="ParaNum"/>
        <w:numPr>
          <w:ilvl w:val="0"/>
          <w:numId w:val="5"/>
        </w:numPr>
        <w:tabs>
          <w:tab w:val="left" w:pos="720"/>
        </w:tabs>
        <w:spacing w:after="0"/>
      </w:pPr>
      <w:r w:rsidRPr="002E2365">
        <w:t>BRS</w:t>
      </w:r>
      <w:r w:rsidR="002C183D" w:rsidRPr="002E2365">
        <w:t xml:space="preserve"> (AWS)</w:t>
      </w:r>
      <w:r w:rsidR="00C2322E" w:rsidRPr="002E2365">
        <w:t xml:space="preserve">: </w:t>
      </w:r>
      <w:r w:rsidRPr="002E2365">
        <w:t>Licensee</w:t>
      </w:r>
      <w:r w:rsidR="004E223A" w:rsidRPr="002E2365">
        <w:t>s</w:t>
      </w:r>
      <w:r w:rsidRPr="002E2365">
        <w:t xml:space="preserve">: </w:t>
      </w:r>
      <w:r w:rsidR="00E85EB0" w:rsidRPr="002E2365">
        <w:t>4</w:t>
      </w:r>
      <w:r w:rsidR="00C2322E" w:rsidRPr="002E2365">
        <w:t xml:space="preserve">; </w:t>
      </w:r>
      <w:r w:rsidRPr="002E2365">
        <w:t>License</w:t>
      </w:r>
      <w:r w:rsidR="004E223A" w:rsidRPr="002E2365">
        <w:t>s</w:t>
      </w:r>
      <w:r w:rsidRPr="002E2365">
        <w:t xml:space="preserve">: </w:t>
      </w:r>
      <w:r w:rsidR="00E85EB0" w:rsidRPr="002E2365">
        <w:t>8</w:t>
      </w:r>
    </w:p>
    <w:p w14:paraId="41799FE8" w14:textId="77777777" w:rsidR="00C2322E" w:rsidRPr="002E2365" w:rsidRDefault="00C2322E" w:rsidP="00AE5C01">
      <w:pPr>
        <w:pStyle w:val="ParaNum"/>
        <w:numPr>
          <w:ilvl w:val="0"/>
          <w:numId w:val="0"/>
        </w:numPr>
        <w:tabs>
          <w:tab w:val="left" w:pos="720"/>
        </w:tabs>
        <w:spacing w:after="0"/>
      </w:pPr>
    </w:p>
    <w:p w14:paraId="71F84DC9" w14:textId="77777777" w:rsidR="003922B2" w:rsidRPr="002E2365" w:rsidRDefault="00AE5C01" w:rsidP="00F35054">
      <w:pPr>
        <w:pStyle w:val="ParaNum"/>
        <w:numPr>
          <w:ilvl w:val="0"/>
          <w:numId w:val="0"/>
        </w:numPr>
        <w:tabs>
          <w:tab w:val="left" w:pos="720"/>
        </w:tabs>
        <w:spacing w:after="0"/>
      </w:pPr>
      <w:r w:rsidRPr="002E2365">
        <w:t xml:space="preserve">We also </w:t>
      </w:r>
      <w:r w:rsidR="002C3404" w:rsidRPr="002E2365">
        <w:t xml:space="preserve">estimate up to 7 </w:t>
      </w:r>
      <w:r w:rsidRPr="002E2365">
        <w:t>s</w:t>
      </w:r>
      <w:r w:rsidR="00EB1A8A" w:rsidRPr="002E2365">
        <w:t>atellite entities</w:t>
      </w:r>
      <w:r w:rsidRPr="002E2365">
        <w:t xml:space="preserve"> </w:t>
      </w:r>
      <w:r w:rsidR="00EB1A8A" w:rsidRPr="002E2365">
        <w:t xml:space="preserve">and </w:t>
      </w:r>
      <w:r w:rsidR="002C3404" w:rsidRPr="002E2365">
        <w:t xml:space="preserve">up to </w:t>
      </w:r>
      <w:r w:rsidR="00EB1A8A" w:rsidRPr="002E2365">
        <w:t xml:space="preserve">2 AWS clearinghouse companies. </w:t>
      </w:r>
    </w:p>
    <w:p w14:paraId="5DCD154C" w14:textId="77777777" w:rsidR="00EB1A8A" w:rsidRPr="002E2365" w:rsidRDefault="00EB1A8A" w:rsidP="00AE5C01">
      <w:pPr>
        <w:pStyle w:val="ParaNum"/>
        <w:numPr>
          <w:ilvl w:val="0"/>
          <w:numId w:val="0"/>
        </w:numPr>
        <w:spacing w:after="0"/>
        <w:rPr>
          <w:rFonts w:ascii="Times New Roman Bold" w:hAnsi="Times New Roman Bold"/>
          <w:b/>
          <w:smallCaps/>
        </w:rPr>
      </w:pPr>
    </w:p>
    <w:p w14:paraId="1FB6F96D" w14:textId="77777777" w:rsidR="00277355" w:rsidRPr="002E2365" w:rsidRDefault="00277355" w:rsidP="00AE5C01">
      <w:pPr>
        <w:pStyle w:val="ParaNum"/>
        <w:numPr>
          <w:ilvl w:val="0"/>
          <w:numId w:val="0"/>
        </w:numPr>
        <w:spacing w:after="0"/>
      </w:pPr>
      <w:r w:rsidRPr="002E2365">
        <w:rPr>
          <w:rFonts w:ascii="Times New Roman Bold" w:hAnsi="Times New Roman Bold"/>
          <w:b/>
          <w:smallCaps/>
        </w:rPr>
        <w:t>note</w:t>
      </w:r>
      <w:r w:rsidRPr="002E2365">
        <w:rPr>
          <w:b/>
        </w:rPr>
        <w:t xml:space="preserve">:  </w:t>
      </w:r>
      <w:r w:rsidRPr="002E2365">
        <w:rPr>
          <w:bCs/>
        </w:rPr>
        <w:t xml:space="preserve">† in the table </w:t>
      </w:r>
      <w:r w:rsidR="00A1625A" w:rsidRPr="002E2365">
        <w:rPr>
          <w:bCs/>
        </w:rPr>
        <w:t xml:space="preserve">below </w:t>
      </w:r>
      <w:r w:rsidRPr="002E2365">
        <w:rPr>
          <w:bCs/>
        </w:rPr>
        <w:t>indicates a figure rounded following computations.  See explanatory text following the table for details.</w:t>
      </w:r>
    </w:p>
    <w:p w14:paraId="498B84E4" w14:textId="77777777" w:rsidR="005D1051" w:rsidRPr="002E2365" w:rsidRDefault="005D1051" w:rsidP="00C75BA7">
      <w:pPr>
        <w:widowControl/>
      </w:pPr>
    </w:p>
    <w:tbl>
      <w:tblPr>
        <w:tblW w:w="591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1E0" w:firstRow="1" w:lastRow="1" w:firstColumn="1" w:lastColumn="1" w:noHBand="0" w:noVBand="0"/>
      </w:tblPr>
      <w:tblGrid>
        <w:gridCol w:w="544"/>
        <w:gridCol w:w="3960"/>
        <w:gridCol w:w="1471"/>
        <w:gridCol w:w="1387"/>
        <w:gridCol w:w="1291"/>
        <w:gridCol w:w="1201"/>
        <w:gridCol w:w="1493"/>
      </w:tblGrid>
      <w:tr w:rsidR="00A41237" w:rsidRPr="002E2365" w14:paraId="678DBA76" w14:textId="77777777" w:rsidTr="00D91141">
        <w:trPr>
          <w:tblHeader/>
        </w:trPr>
        <w:tc>
          <w:tcPr>
            <w:tcW w:w="240" w:type="pct"/>
            <w:tcBorders>
              <w:bottom w:val="single" w:sz="4" w:space="0" w:color="auto"/>
            </w:tcBorders>
            <w:shd w:val="clear" w:color="auto" w:fill="C0C0C0"/>
            <w:vAlign w:val="center"/>
          </w:tcPr>
          <w:p w14:paraId="087604CF" w14:textId="77777777" w:rsidR="00FD7787" w:rsidRPr="002E2365" w:rsidRDefault="00FD7787" w:rsidP="005377DC">
            <w:pPr>
              <w:jc w:val="center"/>
              <w:rPr>
                <w:b/>
              </w:rPr>
            </w:pPr>
            <w:r w:rsidRPr="002E2365">
              <w:rPr>
                <w:b/>
              </w:rPr>
              <w:t>12-</w:t>
            </w:r>
          </w:p>
        </w:tc>
        <w:tc>
          <w:tcPr>
            <w:tcW w:w="1745" w:type="pct"/>
            <w:tcBorders>
              <w:bottom w:val="single" w:sz="4" w:space="0" w:color="auto"/>
            </w:tcBorders>
            <w:shd w:val="clear" w:color="auto" w:fill="C0C0C0"/>
            <w:vAlign w:val="center"/>
          </w:tcPr>
          <w:p w14:paraId="32A334D8" w14:textId="77777777" w:rsidR="00FD7787" w:rsidRPr="002E2365" w:rsidRDefault="00FD7787" w:rsidP="005377DC">
            <w:pPr>
              <w:rPr>
                <w:b/>
              </w:rPr>
            </w:pPr>
            <w:r w:rsidRPr="002E2365">
              <w:rPr>
                <w:b/>
              </w:rPr>
              <w:t>Burden on Respondents</w:t>
            </w:r>
          </w:p>
        </w:tc>
        <w:tc>
          <w:tcPr>
            <w:tcW w:w="648" w:type="pct"/>
            <w:tcBorders>
              <w:bottom w:val="single" w:sz="4" w:space="0" w:color="auto"/>
              <w:right w:val="double" w:sz="4" w:space="0" w:color="auto"/>
            </w:tcBorders>
            <w:shd w:val="clear" w:color="auto" w:fill="C0C0C0"/>
            <w:vAlign w:val="center"/>
          </w:tcPr>
          <w:p w14:paraId="3A2F0C6C" w14:textId="77777777" w:rsidR="00FD7787" w:rsidRPr="002E2365" w:rsidRDefault="00E825B1" w:rsidP="005377DC">
            <w:pPr>
              <w:jc w:val="center"/>
              <w:rPr>
                <w:b/>
              </w:rPr>
            </w:pPr>
            <w:r w:rsidRPr="002E2365">
              <w:rPr>
                <w:b/>
              </w:rPr>
              <w:t xml:space="preserve">Total </w:t>
            </w:r>
            <w:r w:rsidR="00FD7787" w:rsidRPr="002E2365">
              <w:rPr>
                <w:b/>
              </w:rPr>
              <w:t>Number of</w:t>
            </w:r>
          </w:p>
          <w:p w14:paraId="39FC6FCA" w14:textId="77777777" w:rsidR="00FD7787" w:rsidRPr="002E2365" w:rsidRDefault="00FD7787" w:rsidP="005377DC">
            <w:pPr>
              <w:jc w:val="center"/>
              <w:rPr>
                <w:b/>
              </w:rPr>
            </w:pPr>
            <w:r w:rsidRPr="002E2365">
              <w:rPr>
                <w:b/>
              </w:rPr>
              <w:t>Respondents</w:t>
            </w:r>
          </w:p>
        </w:tc>
        <w:tc>
          <w:tcPr>
            <w:tcW w:w="611" w:type="pct"/>
            <w:tcBorders>
              <w:left w:val="double" w:sz="4" w:space="0" w:color="auto"/>
              <w:bottom w:val="single" w:sz="4" w:space="0" w:color="auto"/>
            </w:tcBorders>
            <w:shd w:val="clear" w:color="auto" w:fill="C0C0C0"/>
            <w:vAlign w:val="center"/>
          </w:tcPr>
          <w:p w14:paraId="24596915" w14:textId="77777777" w:rsidR="00FD7787" w:rsidRPr="002E2365" w:rsidRDefault="00E825B1" w:rsidP="005377DC">
            <w:pPr>
              <w:jc w:val="center"/>
              <w:rPr>
                <w:b/>
              </w:rPr>
            </w:pPr>
            <w:r w:rsidRPr="002E2365">
              <w:rPr>
                <w:b/>
              </w:rPr>
              <w:t xml:space="preserve">Average </w:t>
            </w:r>
            <w:r w:rsidR="005E48EC" w:rsidRPr="002E2365">
              <w:rPr>
                <w:b/>
              </w:rPr>
              <w:t xml:space="preserve">Annual </w:t>
            </w:r>
            <w:r w:rsidR="00FD7787" w:rsidRPr="002E2365">
              <w:rPr>
                <w:b/>
              </w:rPr>
              <w:t>Responses</w:t>
            </w:r>
            <w:r w:rsidRPr="002E2365">
              <w:rPr>
                <w:b/>
              </w:rPr>
              <w:t xml:space="preserve"> per </w:t>
            </w:r>
            <w:r w:rsidR="005E48EC" w:rsidRPr="002E2365">
              <w:rPr>
                <w:b/>
              </w:rPr>
              <w:t>Respondent</w:t>
            </w:r>
          </w:p>
        </w:tc>
        <w:tc>
          <w:tcPr>
            <w:tcW w:w="569" w:type="pct"/>
            <w:tcBorders>
              <w:bottom w:val="single" w:sz="4" w:space="0" w:color="auto"/>
            </w:tcBorders>
            <w:shd w:val="clear" w:color="auto" w:fill="C0C0C0"/>
          </w:tcPr>
          <w:p w14:paraId="15211629" w14:textId="77777777" w:rsidR="00FD7787" w:rsidRPr="002E2365" w:rsidRDefault="00E825B1" w:rsidP="005377DC">
            <w:pPr>
              <w:jc w:val="center"/>
              <w:rPr>
                <w:b/>
              </w:rPr>
            </w:pPr>
            <w:r w:rsidRPr="002E2365">
              <w:rPr>
                <w:b/>
              </w:rPr>
              <w:t xml:space="preserve">Total Average Annual </w:t>
            </w:r>
            <w:r w:rsidR="00FD7787" w:rsidRPr="002E2365">
              <w:rPr>
                <w:b/>
              </w:rPr>
              <w:t>Responses</w:t>
            </w:r>
          </w:p>
        </w:tc>
        <w:tc>
          <w:tcPr>
            <w:tcW w:w="529" w:type="pct"/>
            <w:tcBorders>
              <w:bottom w:val="single" w:sz="4" w:space="0" w:color="auto"/>
            </w:tcBorders>
            <w:shd w:val="clear" w:color="auto" w:fill="C0C0C0"/>
            <w:vAlign w:val="center"/>
          </w:tcPr>
          <w:p w14:paraId="315BD9F8" w14:textId="77777777" w:rsidR="00FD7787" w:rsidRPr="002E2365" w:rsidRDefault="00FD7787" w:rsidP="005377DC">
            <w:pPr>
              <w:jc w:val="center"/>
              <w:rPr>
                <w:b/>
              </w:rPr>
            </w:pPr>
            <w:r w:rsidRPr="002E2365">
              <w:rPr>
                <w:b/>
              </w:rPr>
              <w:t>Time per</w:t>
            </w:r>
          </w:p>
          <w:p w14:paraId="2BC5C5FA" w14:textId="77777777" w:rsidR="00FD7787" w:rsidRPr="002E2365" w:rsidRDefault="00FD7787" w:rsidP="005377DC">
            <w:pPr>
              <w:jc w:val="center"/>
              <w:rPr>
                <w:b/>
              </w:rPr>
            </w:pPr>
            <w:r w:rsidRPr="002E2365">
              <w:rPr>
                <w:b/>
              </w:rPr>
              <w:t>Response</w:t>
            </w:r>
          </w:p>
          <w:p w14:paraId="5D48DB37" w14:textId="77777777" w:rsidR="00FD7787" w:rsidRPr="002E2365" w:rsidRDefault="00FD7787" w:rsidP="005377DC">
            <w:pPr>
              <w:jc w:val="center"/>
              <w:rPr>
                <w:b/>
              </w:rPr>
            </w:pPr>
            <w:r w:rsidRPr="002E2365">
              <w:rPr>
                <w:b/>
              </w:rPr>
              <w:t>(Hours)</w:t>
            </w:r>
          </w:p>
        </w:tc>
        <w:tc>
          <w:tcPr>
            <w:tcW w:w="658" w:type="pct"/>
            <w:tcBorders>
              <w:bottom w:val="single" w:sz="4" w:space="0" w:color="auto"/>
            </w:tcBorders>
            <w:shd w:val="clear" w:color="auto" w:fill="C0C0C0"/>
            <w:vAlign w:val="center"/>
          </w:tcPr>
          <w:p w14:paraId="4F0EAD30" w14:textId="77777777" w:rsidR="00FD7787" w:rsidRPr="002E2365" w:rsidRDefault="00FD7787" w:rsidP="005377DC">
            <w:pPr>
              <w:jc w:val="center"/>
              <w:rPr>
                <w:b/>
              </w:rPr>
            </w:pPr>
            <w:r w:rsidRPr="002E2365">
              <w:rPr>
                <w:b/>
              </w:rPr>
              <w:t>Total</w:t>
            </w:r>
          </w:p>
          <w:p w14:paraId="0116ECF9" w14:textId="77777777" w:rsidR="00FD7787" w:rsidRPr="002E2365" w:rsidRDefault="00FD7787" w:rsidP="005377DC">
            <w:pPr>
              <w:jc w:val="center"/>
              <w:rPr>
                <w:b/>
              </w:rPr>
            </w:pPr>
            <w:r w:rsidRPr="002E2365">
              <w:rPr>
                <w:b/>
              </w:rPr>
              <w:t>Annual Burden Hours</w:t>
            </w:r>
          </w:p>
        </w:tc>
      </w:tr>
      <w:tr w:rsidR="00A41237" w:rsidRPr="002E2365" w14:paraId="13BFD6A3" w14:textId="77777777" w:rsidTr="00D91141">
        <w:tc>
          <w:tcPr>
            <w:tcW w:w="240" w:type="pct"/>
            <w:shd w:val="clear" w:color="auto" w:fill="FFFFFF"/>
            <w:vAlign w:val="center"/>
          </w:tcPr>
          <w:p w14:paraId="43372EF0" w14:textId="77777777" w:rsidR="00FD7787" w:rsidRPr="002E2365" w:rsidRDefault="00FD7787" w:rsidP="005377DC">
            <w:pPr>
              <w:jc w:val="center"/>
              <w:rPr>
                <w:bCs/>
              </w:rPr>
            </w:pPr>
            <w:r w:rsidRPr="002E2365">
              <w:rPr>
                <w:bCs/>
              </w:rPr>
              <w:t>a.</w:t>
            </w:r>
          </w:p>
        </w:tc>
        <w:tc>
          <w:tcPr>
            <w:tcW w:w="1745" w:type="pct"/>
            <w:shd w:val="clear" w:color="auto" w:fill="FFFFFF"/>
            <w:vAlign w:val="center"/>
          </w:tcPr>
          <w:p w14:paraId="37108BF9" w14:textId="77777777" w:rsidR="00137474" w:rsidRPr="002E2365" w:rsidRDefault="005E574E" w:rsidP="005377DC">
            <w:pPr>
              <w:rPr>
                <w:bCs/>
              </w:rPr>
            </w:pPr>
            <w:r w:rsidRPr="002E2365">
              <w:rPr>
                <w:bCs/>
              </w:rPr>
              <w:t>Foreign ownership reports</w:t>
            </w:r>
            <w:r w:rsidRPr="002E2365">
              <w:rPr>
                <w:rStyle w:val="FootnoteReference"/>
                <w:bCs/>
              </w:rPr>
              <w:footnoteReference w:id="14"/>
            </w:r>
          </w:p>
        </w:tc>
        <w:tc>
          <w:tcPr>
            <w:tcW w:w="648" w:type="pct"/>
            <w:tcBorders>
              <w:right w:val="double" w:sz="4" w:space="0" w:color="auto"/>
            </w:tcBorders>
            <w:shd w:val="clear" w:color="auto" w:fill="FFFFFF"/>
            <w:vAlign w:val="center"/>
          </w:tcPr>
          <w:p w14:paraId="10D6A0AF" w14:textId="77777777" w:rsidR="00FD7787" w:rsidRPr="002E2365" w:rsidRDefault="005E574E" w:rsidP="005377DC">
            <w:pPr>
              <w:jc w:val="center"/>
              <w:rPr>
                <w:bCs/>
              </w:rPr>
            </w:pPr>
            <w:r w:rsidRPr="002E2365">
              <w:rPr>
                <w:bCs/>
              </w:rPr>
              <w:t>10</w:t>
            </w:r>
          </w:p>
        </w:tc>
        <w:tc>
          <w:tcPr>
            <w:tcW w:w="611" w:type="pct"/>
            <w:tcBorders>
              <w:left w:val="double" w:sz="4" w:space="0" w:color="auto"/>
            </w:tcBorders>
            <w:shd w:val="clear" w:color="auto" w:fill="FFFFFF"/>
            <w:vAlign w:val="center"/>
          </w:tcPr>
          <w:p w14:paraId="14DF0928" w14:textId="77777777" w:rsidR="00FD7787" w:rsidRPr="002E2365" w:rsidRDefault="005E574E" w:rsidP="00707C5B">
            <w:pPr>
              <w:jc w:val="center"/>
              <w:rPr>
                <w:bCs/>
              </w:rPr>
            </w:pPr>
            <w:r w:rsidRPr="002E2365">
              <w:rPr>
                <w:bCs/>
              </w:rPr>
              <w:t>1 (on occasion)</w:t>
            </w:r>
          </w:p>
        </w:tc>
        <w:tc>
          <w:tcPr>
            <w:tcW w:w="569" w:type="pct"/>
            <w:shd w:val="clear" w:color="auto" w:fill="FFFFFF"/>
          </w:tcPr>
          <w:p w14:paraId="4B6F041E" w14:textId="77777777" w:rsidR="00E825B1" w:rsidRPr="002E2365" w:rsidRDefault="00E825B1" w:rsidP="005377DC">
            <w:pPr>
              <w:jc w:val="center"/>
              <w:rPr>
                <w:bCs/>
              </w:rPr>
            </w:pPr>
          </w:p>
          <w:p w14:paraId="7CFDE2C3" w14:textId="77777777" w:rsidR="00C53387" w:rsidRPr="002E2365" w:rsidRDefault="005E574E" w:rsidP="005377DC">
            <w:pPr>
              <w:jc w:val="center"/>
              <w:rPr>
                <w:bCs/>
              </w:rPr>
            </w:pPr>
            <w:r w:rsidRPr="002E2365">
              <w:rPr>
                <w:bCs/>
              </w:rPr>
              <w:t>10</w:t>
            </w:r>
          </w:p>
          <w:p w14:paraId="32F15A50" w14:textId="77777777" w:rsidR="00FD7787" w:rsidRPr="002E2365" w:rsidRDefault="00FD7787" w:rsidP="005377DC">
            <w:pPr>
              <w:jc w:val="center"/>
              <w:rPr>
                <w:bCs/>
              </w:rPr>
            </w:pPr>
          </w:p>
        </w:tc>
        <w:tc>
          <w:tcPr>
            <w:tcW w:w="529" w:type="pct"/>
            <w:shd w:val="clear" w:color="auto" w:fill="FFFFFF"/>
            <w:vAlign w:val="center"/>
          </w:tcPr>
          <w:p w14:paraId="7022721F" w14:textId="77777777" w:rsidR="00FD7787" w:rsidRPr="002E2365" w:rsidRDefault="00FD7787" w:rsidP="005377DC">
            <w:pPr>
              <w:jc w:val="center"/>
              <w:rPr>
                <w:bCs/>
              </w:rPr>
            </w:pPr>
            <w:r w:rsidRPr="002E2365">
              <w:rPr>
                <w:bCs/>
              </w:rPr>
              <w:t>0.5</w:t>
            </w:r>
          </w:p>
        </w:tc>
        <w:tc>
          <w:tcPr>
            <w:tcW w:w="658" w:type="pct"/>
            <w:shd w:val="clear" w:color="auto" w:fill="FFFFFF"/>
            <w:vAlign w:val="center"/>
          </w:tcPr>
          <w:p w14:paraId="7480FEE7" w14:textId="77777777" w:rsidR="00FD7787" w:rsidRPr="002E2365" w:rsidRDefault="005E574E" w:rsidP="005377DC">
            <w:pPr>
              <w:jc w:val="center"/>
              <w:rPr>
                <w:bCs/>
              </w:rPr>
            </w:pPr>
            <w:r w:rsidRPr="002E2365">
              <w:rPr>
                <w:bCs/>
              </w:rPr>
              <w:t>5</w:t>
            </w:r>
          </w:p>
        </w:tc>
      </w:tr>
      <w:tr w:rsidR="00A41237" w:rsidRPr="002E2365" w14:paraId="656DF3EA" w14:textId="77777777" w:rsidTr="00D91141">
        <w:tc>
          <w:tcPr>
            <w:tcW w:w="240" w:type="pct"/>
            <w:shd w:val="clear" w:color="auto" w:fill="FFFFFF"/>
            <w:vAlign w:val="center"/>
          </w:tcPr>
          <w:p w14:paraId="4199E24A" w14:textId="77777777" w:rsidR="00FD7787" w:rsidRPr="002E2365" w:rsidRDefault="00FD7787" w:rsidP="005377DC">
            <w:pPr>
              <w:jc w:val="center"/>
              <w:rPr>
                <w:bCs/>
              </w:rPr>
            </w:pPr>
            <w:r w:rsidRPr="002E2365">
              <w:rPr>
                <w:bCs/>
              </w:rPr>
              <w:t>b.</w:t>
            </w:r>
          </w:p>
        </w:tc>
        <w:tc>
          <w:tcPr>
            <w:tcW w:w="1745" w:type="pct"/>
            <w:shd w:val="clear" w:color="auto" w:fill="FFFFFF"/>
            <w:vAlign w:val="center"/>
          </w:tcPr>
          <w:p w14:paraId="478AF7C4" w14:textId="77777777" w:rsidR="00FD7787" w:rsidRPr="002E2365" w:rsidRDefault="00FD7787" w:rsidP="005377DC">
            <w:pPr>
              <w:rPr>
                <w:bCs/>
              </w:rPr>
            </w:pPr>
            <w:r w:rsidRPr="002E2365">
              <w:rPr>
                <w:bCs/>
              </w:rPr>
              <w:t xml:space="preserve">§ 27.14 (Substantial service </w:t>
            </w:r>
            <w:r w:rsidR="00204218" w:rsidRPr="002E2365">
              <w:rPr>
                <w:bCs/>
              </w:rPr>
              <w:t xml:space="preserve">performance </w:t>
            </w:r>
            <w:r w:rsidR="00D73E2D" w:rsidRPr="002E2365">
              <w:rPr>
                <w:bCs/>
              </w:rPr>
              <w:t xml:space="preserve">and renewal </w:t>
            </w:r>
            <w:r w:rsidRPr="002E2365">
              <w:rPr>
                <w:bCs/>
              </w:rPr>
              <w:t xml:space="preserve">showings for AWS-1 </w:t>
            </w:r>
            <w:r w:rsidR="00204218" w:rsidRPr="002E2365">
              <w:rPr>
                <w:bCs/>
              </w:rPr>
              <w:t xml:space="preserve">licensees at end of </w:t>
            </w:r>
            <w:r w:rsidR="00362287" w:rsidRPr="002E2365">
              <w:rPr>
                <w:bCs/>
              </w:rPr>
              <w:t>15</w:t>
            </w:r>
            <w:r w:rsidR="00204218" w:rsidRPr="002E2365">
              <w:rPr>
                <w:bCs/>
              </w:rPr>
              <w:t>-</w:t>
            </w:r>
            <w:r w:rsidR="00362287" w:rsidRPr="002E2365">
              <w:rPr>
                <w:bCs/>
              </w:rPr>
              <w:t xml:space="preserve">year </w:t>
            </w:r>
            <w:r w:rsidR="00204218" w:rsidRPr="002E2365">
              <w:rPr>
                <w:bCs/>
              </w:rPr>
              <w:t xml:space="preserve">license term </w:t>
            </w:r>
            <w:r w:rsidR="00362287" w:rsidRPr="002E2365">
              <w:rPr>
                <w:bCs/>
              </w:rPr>
              <w:t>(</w:t>
            </w:r>
            <w:r w:rsidR="00204218" w:rsidRPr="002E2365">
              <w:rPr>
                <w:bCs/>
              </w:rPr>
              <w:t xml:space="preserve">e.g., </w:t>
            </w:r>
            <w:r w:rsidR="00362287" w:rsidRPr="002E2365">
              <w:rPr>
                <w:bCs/>
              </w:rPr>
              <w:t>2006+15=</w:t>
            </w:r>
            <w:r w:rsidR="00204218" w:rsidRPr="002E2365">
              <w:rPr>
                <w:bCs/>
              </w:rPr>
              <w:t xml:space="preserve"> </w:t>
            </w:r>
            <w:r w:rsidR="00362287" w:rsidRPr="002E2365">
              <w:rPr>
                <w:bCs/>
              </w:rPr>
              <w:t>2021</w:t>
            </w:r>
            <w:r w:rsidRPr="002E2365">
              <w:rPr>
                <w:bCs/>
              </w:rPr>
              <w:t xml:space="preserve">) </w:t>
            </w:r>
          </w:p>
          <w:p w14:paraId="394FED99" w14:textId="77777777" w:rsidR="00FD7787" w:rsidRPr="002E2365" w:rsidRDefault="00FD7787" w:rsidP="005377DC">
            <w:pPr>
              <w:rPr>
                <w:bCs/>
              </w:rPr>
            </w:pPr>
          </w:p>
          <w:p w14:paraId="4A5AE6CA" w14:textId="77777777" w:rsidR="006033DA" w:rsidRPr="002E2365" w:rsidRDefault="00FD7787" w:rsidP="005377DC">
            <w:pPr>
              <w:rPr>
                <w:bCs/>
              </w:rPr>
            </w:pPr>
            <w:r w:rsidRPr="002E2365">
              <w:rPr>
                <w:bCs/>
              </w:rPr>
              <w:t>§ 27.14 (Performance showings for AWS-4</w:t>
            </w:r>
            <w:r w:rsidR="003069EF" w:rsidRPr="002E2365">
              <w:rPr>
                <w:bCs/>
              </w:rPr>
              <w:t xml:space="preserve"> </w:t>
            </w:r>
            <w:r w:rsidRPr="002E2365">
              <w:rPr>
                <w:bCs/>
              </w:rPr>
              <w:t>and AWS-3</w:t>
            </w:r>
            <w:r w:rsidR="003E7DA7" w:rsidRPr="002E2365">
              <w:rPr>
                <w:bCs/>
              </w:rPr>
              <w:t xml:space="preserve"> </w:t>
            </w:r>
            <w:r w:rsidR="00D73E2D" w:rsidRPr="002E2365">
              <w:rPr>
                <w:bCs/>
              </w:rPr>
              <w:t>licensees</w:t>
            </w:r>
            <w:r w:rsidRPr="002E2365">
              <w:rPr>
                <w:bCs/>
              </w:rPr>
              <w:t>)</w:t>
            </w:r>
            <w:r w:rsidR="00DF7581" w:rsidRPr="002E2365">
              <w:rPr>
                <w:rStyle w:val="FootnoteReference"/>
                <w:bCs/>
              </w:rPr>
              <w:t xml:space="preserve"> </w:t>
            </w:r>
            <w:r w:rsidR="00DF7581" w:rsidRPr="002E2365">
              <w:rPr>
                <w:rStyle w:val="FootnoteReference"/>
                <w:bCs/>
              </w:rPr>
              <w:footnoteReference w:id="15"/>
            </w:r>
          </w:p>
          <w:p w14:paraId="1C54B5EB" w14:textId="77777777" w:rsidR="00FD7787" w:rsidRPr="002E2365" w:rsidRDefault="00FD7787" w:rsidP="005377DC">
            <w:pPr>
              <w:rPr>
                <w:bCs/>
              </w:rPr>
            </w:pPr>
            <w:r w:rsidRPr="002E2365">
              <w:rPr>
                <w:bCs/>
              </w:rPr>
              <w:t xml:space="preserve">(AWS-4 R&amp;O and AWS-3 R&amp;O) </w:t>
            </w:r>
          </w:p>
          <w:p w14:paraId="78D3A660" w14:textId="77777777" w:rsidR="00FD7787" w:rsidRPr="002E2365" w:rsidRDefault="00FD7787" w:rsidP="005377DC">
            <w:pPr>
              <w:rPr>
                <w:bCs/>
              </w:rPr>
            </w:pPr>
          </w:p>
          <w:p w14:paraId="6AA29EF1" w14:textId="77777777" w:rsidR="00A07DBC" w:rsidRPr="002E2365" w:rsidRDefault="00A07DBC" w:rsidP="005377DC">
            <w:pPr>
              <w:rPr>
                <w:bCs/>
              </w:rPr>
            </w:pPr>
          </w:p>
          <w:p w14:paraId="7BB87D4E" w14:textId="77777777" w:rsidR="00FD7787" w:rsidRPr="002E2365" w:rsidRDefault="00FD7787" w:rsidP="005377DC">
            <w:pPr>
              <w:rPr>
                <w:bCs/>
              </w:rPr>
            </w:pPr>
            <w:r w:rsidRPr="002E2365">
              <w:rPr>
                <w:bCs/>
              </w:rPr>
              <w:t>§ 27.14 (License renewal criteria showings for AWS-4</w:t>
            </w:r>
            <w:r w:rsidR="003069EF" w:rsidRPr="002E2365">
              <w:rPr>
                <w:bCs/>
              </w:rPr>
              <w:t xml:space="preserve"> </w:t>
            </w:r>
            <w:r w:rsidRPr="002E2365">
              <w:rPr>
                <w:bCs/>
              </w:rPr>
              <w:t>and AWS-3</w:t>
            </w:r>
            <w:r w:rsidR="003069EF" w:rsidRPr="002E2365">
              <w:rPr>
                <w:bCs/>
              </w:rPr>
              <w:t xml:space="preserve"> </w:t>
            </w:r>
            <w:r w:rsidR="003103B6" w:rsidRPr="002E2365">
              <w:rPr>
                <w:bCs/>
              </w:rPr>
              <w:t>licensees</w:t>
            </w:r>
            <w:r w:rsidR="003069EF" w:rsidRPr="002E2365">
              <w:rPr>
                <w:bCs/>
              </w:rPr>
              <w:t>)</w:t>
            </w:r>
            <w:r w:rsidR="003103B6" w:rsidRPr="002E2365">
              <w:rPr>
                <w:rStyle w:val="FootnoteReference"/>
                <w:bCs/>
              </w:rPr>
              <w:footnoteReference w:id="16"/>
            </w:r>
            <w:r w:rsidR="003069EF" w:rsidRPr="002E2365">
              <w:rPr>
                <w:bCs/>
              </w:rPr>
              <w:t xml:space="preserve"> </w:t>
            </w:r>
            <w:r w:rsidRPr="002E2365">
              <w:rPr>
                <w:bCs/>
              </w:rPr>
              <w:t xml:space="preserve">(AWS-4 R&amp;O and AWS-3 R&amp;O) </w:t>
            </w:r>
          </w:p>
          <w:p w14:paraId="6FAC1FE8" w14:textId="77777777" w:rsidR="00FD7787" w:rsidRPr="002E2365" w:rsidRDefault="00FD7787" w:rsidP="007625B8">
            <w:pPr>
              <w:rPr>
                <w:bCs/>
              </w:rPr>
            </w:pPr>
          </w:p>
        </w:tc>
        <w:tc>
          <w:tcPr>
            <w:tcW w:w="648" w:type="pct"/>
            <w:tcBorders>
              <w:right w:val="double" w:sz="4" w:space="0" w:color="auto"/>
            </w:tcBorders>
            <w:shd w:val="clear" w:color="auto" w:fill="FFFFFF"/>
          </w:tcPr>
          <w:p w14:paraId="3950E9D0" w14:textId="77777777" w:rsidR="00FD7787" w:rsidRPr="002E2365" w:rsidRDefault="005E574E" w:rsidP="00EA300C">
            <w:pPr>
              <w:jc w:val="center"/>
              <w:rPr>
                <w:bCs/>
              </w:rPr>
            </w:pPr>
            <w:r w:rsidRPr="002E2365">
              <w:rPr>
                <w:bCs/>
              </w:rPr>
              <w:t>142</w:t>
            </w:r>
            <w:r w:rsidR="00EA300C" w:rsidRPr="002E2365">
              <w:rPr>
                <w:bCs/>
              </w:rPr>
              <w:t xml:space="preserve"> </w:t>
            </w:r>
            <w:r w:rsidR="008B4506" w:rsidRPr="002E2365">
              <w:rPr>
                <w:bCs/>
              </w:rPr>
              <w:t>(AWS-1)</w:t>
            </w:r>
          </w:p>
          <w:p w14:paraId="7026A501" w14:textId="77777777" w:rsidR="00FD7787" w:rsidRPr="002E2365" w:rsidRDefault="00FD7787" w:rsidP="007625B8">
            <w:pPr>
              <w:jc w:val="center"/>
              <w:rPr>
                <w:bCs/>
              </w:rPr>
            </w:pPr>
          </w:p>
          <w:p w14:paraId="15950C67" w14:textId="77777777" w:rsidR="00FD7787" w:rsidRPr="002E2365" w:rsidRDefault="00FD7787" w:rsidP="007625B8">
            <w:pPr>
              <w:jc w:val="center"/>
              <w:rPr>
                <w:bCs/>
              </w:rPr>
            </w:pPr>
          </w:p>
          <w:p w14:paraId="12099AC5" w14:textId="77777777" w:rsidR="00EA300C" w:rsidRPr="002E2365" w:rsidRDefault="00EA300C" w:rsidP="007625B8">
            <w:pPr>
              <w:jc w:val="center"/>
              <w:rPr>
                <w:bCs/>
              </w:rPr>
            </w:pPr>
          </w:p>
          <w:p w14:paraId="158338C2" w14:textId="77777777" w:rsidR="00EA300C" w:rsidRPr="002E2365" w:rsidRDefault="00EA300C" w:rsidP="007625B8">
            <w:pPr>
              <w:jc w:val="center"/>
              <w:rPr>
                <w:bCs/>
              </w:rPr>
            </w:pPr>
          </w:p>
          <w:p w14:paraId="66251F00" w14:textId="77777777" w:rsidR="00FD7787" w:rsidRPr="002E2365" w:rsidRDefault="000737CD" w:rsidP="007625B8">
            <w:pPr>
              <w:jc w:val="center"/>
              <w:rPr>
                <w:bCs/>
              </w:rPr>
            </w:pPr>
            <w:r w:rsidRPr="002E2365">
              <w:rPr>
                <w:bCs/>
              </w:rPr>
              <w:t>37</w:t>
            </w:r>
            <w:r w:rsidR="00EA300C" w:rsidRPr="002E2365">
              <w:rPr>
                <w:bCs/>
              </w:rPr>
              <w:t xml:space="preserve"> (AWS-3)</w:t>
            </w:r>
          </w:p>
          <w:p w14:paraId="39232981" w14:textId="77777777" w:rsidR="00A07DBC" w:rsidRPr="002E2365" w:rsidRDefault="00A07DBC" w:rsidP="007625B8">
            <w:pPr>
              <w:jc w:val="center"/>
              <w:rPr>
                <w:bCs/>
              </w:rPr>
            </w:pPr>
          </w:p>
          <w:p w14:paraId="14FBFFED" w14:textId="77777777" w:rsidR="00D73E2D" w:rsidRPr="002E2365" w:rsidRDefault="00D10D9B" w:rsidP="007625B8">
            <w:pPr>
              <w:jc w:val="center"/>
              <w:rPr>
                <w:bCs/>
              </w:rPr>
            </w:pPr>
            <w:r w:rsidRPr="002E2365">
              <w:rPr>
                <w:bCs/>
              </w:rPr>
              <w:t>2 (AWS-4)</w:t>
            </w:r>
          </w:p>
          <w:p w14:paraId="2295D435" w14:textId="77777777" w:rsidR="00FD7787" w:rsidRPr="002E2365" w:rsidRDefault="00FD7787" w:rsidP="007625B8">
            <w:pPr>
              <w:jc w:val="center"/>
              <w:rPr>
                <w:bCs/>
              </w:rPr>
            </w:pPr>
          </w:p>
          <w:p w14:paraId="68FAB611" w14:textId="77777777" w:rsidR="00FD7787" w:rsidRPr="002E2365" w:rsidRDefault="00FD7787" w:rsidP="007625B8">
            <w:pPr>
              <w:jc w:val="center"/>
              <w:rPr>
                <w:bCs/>
              </w:rPr>
            </w:pPr>
          </w:p>
          <w:p w14:paraId="75278895" w14:textId="77777777" w:rsidR="00A07DBC" w:rsidRPr="002E2365" w:rsidRDefault="00A07DBC" w:rsidP="00A07DBC">
            <w:pPr>
              <w:jc w:val="center"/>
              <w:rPr>
                <w:bCs/>
              </w:rPr>
            </w:pPr>
            <w:r w:rsidRPr="002E2365">
              <w:rPr>
                <w:bCs/>
              </w:rPr>
              <w:t>37 (AWS-3)</w:t>
            </w:r>
          </w:p>
          <w:p w14:paraId="08AFB73D" w14:textId="77777777" w:rsidR="00A07DBC" w:rsidRPr="002E2365" w:rsidRDefault="00A07DBC" w:rsidP="00A07DBC">
            <w:pPr>
              <w:jc w:val="center"/>
              <w:rPr>
                <w:bCs/>
              </w:rPr>
            </w:pPr>
          </w:p>
          <w:p w14:paraId="5815636B" w14:textId="77777777" w:rsidR="00FD7787" w:rsidRPr="002E2365" w:rsidRDefault="00A07DBC" w:rsidP="00B10B16">
            <w:pPr>
              <w:jc w:val="center"/>
              <w:rPr>
                <w:bCs/>
              </w:rPr>
            </w:pPr>
            <w:r w:rsidRPr="002E2365">
              <w:rPr>
                <w:bCs/>
              </w:rPr>
              <w:t>2 (AWS-4)</w:t>
            </w:r>
          </w:p>
        </w:tc>
        <w:tc>
          <w:tcPr>
            <w:tcW w:w="611" w:type="pct"/>
            <w:tcBorders>
              <w:left w:val="double" w:sz="4" w:space="0" w:color="auto"/>
            </w:tcBorders>
            <w:shd w:val="clear" w:color="auto" w:fill="FFFFFF"/>
          </w:tcPr>
          <w:p w14:paraId="4793EBEB" w14:textId="77777777" w:rsidR="00FD7787" w:rsidRPr="002E2365" w:rsidRDefault="0013192D" w:rsidP="007625B8">
            <w:pPr>
              <w:jc w:val="center"/>
              <w:rPr>
                <w:bCs/>
              </w:rPr>
            </w:pPr>
            <w:r w:rsidRPr="002E2365">
              <w:rPr>
                <w:bCs/>
              </w:rPr>
              <w:t>4†</w:t>
            </w:r>
          </w:p>
          <w:p w14:paraId="10CE6D5E" w14:textId="77777777" w:rsidR="00FD7787" w:rsidRPr="002E2365" w:rsidRDefault="00FD7787" w:rsidP="007625B8">
            <w:pPr>
              <w:jc w:val="center"/>
              <w:rPr>
                <w:bCs/>
              </w:rPr>
            </w:pPr>
          </w:p>
          <w:p w14:paraId="5A465E34" w14:textId="77777777" w:rsidR="00FD7787" w:rsidRPr="002E2365" w:rsidRDefault="00FD7787" w:rsidP="007625B8">
            <w:pPr>
              <w:jc w:val="center"/>
              <w:rPr>
                <w:bCs/>
              </w:rPr>
            </w:pPr>
          </w:p>
          <w:p w14:paraId="5898CD6D" w14:textId="77777777" w:rsidR="00FD7787" w:rsidRPr="002E2365" w:rsidRDefault="00FD7787" w:rsidP="007625B8">
            <w:pPr>
              <w:jc w:val="center"/>
              <w:rPr>
                <w:bCs/>
              </w:rPr>
            </w:pPr>
          </w:p>
          <w:p w14:paraId="790DB4F2" w14:textId="77777777" w:rsidR="00EA300C" w:rsidRPr="002E2365" w:rsidRDefault="00EA300C" w:rsidP="007625B8">
            <w:pPr>
              <w:jc w:val="center"/>
              <w:rPr>
                <w:bCs/>
              </w:rPr>
            </w:pPr>
          </w:p>
          <w:p w14:paraId="1DE3ACC4" w14:textId="77777777" w:rsidR="00FD7787" w:rsidRPr="002E2365" w:rsidRDefault="00D369D9" w:rsidP="007625B8">
            <w:pPr>
              <w:jc w:val="center"/>
              <w:rPr>
                <w:bCs/>
              </w:rPr>
            </w:pPr>
            <w:r w:rsidRPr="002E2365">
              <w:rPr>
                <w:bCs/>
              </w:rPr>
              <w:t>1</w:t>
            </w:r>
            <w:r w:rsidR="0013192D" w:rsidRPr="002E2365">
              <w:rPr>
                <w:bCs/>
              </w:rPr>
              <w:t>5</w:t>
            </w:r>
            <w:r w:rsidR="00277355" w:rsidRPr="002E2365">
              <w:rPr>
                <w:bCs/>
              </w:rPr>
              <w:t>†</w:t>
            </w:r>
          </w:p>
          <w:p w14:paraId="426790A1" w14:textId="77777777" w:rsidR="00A07DBC" w:rsidRPr="002E2365" w:rsidRDefault="00A07DBC" w:rsidP="007625B8">
            <w:pPr>
              <w:jc w:val="center"/>
              <w:rPr>
                <w:bCs/>
              </w:rPr>
            </w:pPr>
          </w:p>
          <w:p w14:paraId="1A243786" w14:textId="77777777" w:rsidR="00FD7787" w:rsidRPr="002E2365" w:rsidRDefault="00D10D9B" w:rsidP="007625B8">
            <w:pPr>
              <w:jc w:val="center"/>
              <w:rPr>
                <w:bCs/>
              </w:rPr>
            </w:pPr>
            <w:r w:rsidRPr="002E2365">
              <w:rPr>
                <w:bCs/>
              </w:rPr>
              <w:t>1†</w:t>
            </w:r>
          </w:p>
          <w:p w14:paraId="7A72CAA5" w14:textId="77777777" w:rsidR="00FD7787" w:rsidRPr="002E2365" w:rsidRDefault="00FD7787" w:rsidP="007625B8">
            <w:pPr>
              <w:jc w:val="center"/>
              <w:rPr>
                <w:bCs/>
              </w:rPr>
            </w:pPr>
          </w:p>
          <w:p w14:paraId="20D51A46" w14:textId="77777777" w:rsidR="00FD7787" w:rsidRPr="002E2365" w:rsidRDefault="00FD7787" w:rsidP="007625B8">
            <w:pPr>
              <w:jc w:val="center"/>
              <w:rPr>
                <w:bCs/>
              </w:rPr>
            </w:pPr>
          </w:p>
          <w:p w14:paraId="2A5DAC7F" w14:textId="77777777" w:rsidR="00FD7787" w:rsidRPr="002E2365" w:rsidRDefault="008C75F8" w:rsidP="00B10B16">
            <w:pPr>
              <w:jc w:val="center"/>
              <w:rPr>
                <w:bCs/>
              </w:rPr>
            </w:pPr>
            <w:r w:rsidRPr="002E2365">
              <w:rPr>
                <w:bCs/>
              </w:rPr>
              <w:t>0</w:t>
            </w:r>
          </w:p>
          <w:p w14:paraId="66AF5F66" w14:textId="77777777" w:rsidR="00D10D9B" w:rsidRPr="002E2365" w:rsidRDefault="00D10D9B" w:rsidP="00B10B16">
            <w:pPr>
              <w:jc w:val="center"/>
              <w:rPr>
                <w:bCs/>
              </w:rPr>
            </w:pPr>
          </w:p>
          <w:p w14:paraId="70EBAF08" w14:textId="77777777" w:rsidR="00D10D9B" w:rsidRPr="002E2365" w:rsidRDefault="00D10D9B" w:rsidP="00B10B16">
            <w:pPr>
              <w:jc w:val="center"/>
              <w:rPr>
                <w:bCs/>
              </w:rPr>
            </w:pPr>
            <w:r w:rsidRPr="002E2365">
              <w:rPr>
                <w:bCs/>
              </w:rPr>
              <w:t>0</w:t>
            </w:r>
          </w:p>
        </w:tc>
        <w:tc>
          <w:tcPr>
            <w:tcW w:w="569" w:type="pct"/>
            <w:shd w:val="clear" w:color="auto" w:fill="FFFFFF"/>
          </w:tcPr>
          <w:p w14:paraId="1CA6C417" w14:textId="77777777" w:rsidR="00FD7787" w:rsidRPr="002E2365" w:rsidRDefault="00C54BC0" w:rsidP="00C54BC0">
            <w:pPr>
              <w:jc w:val="center"/>
              <w:rPr>
                <w:bCs/>
              </w:rPr>
            </w:pPr>
            <w:r w:rsidRPr="002E2365">
              <w:rPr>
                <w:bCs/>
              </w:rPr>
              <w:t>568</w:t>
            </w:r>
          </w:p>
          <w:p w14:paraId="44BD5556" w14:textId="77777777" w:rsidR="00FD7787" w:rsidRPr="002E2365" w:rsidRDefault="00FD7787" w:rsidP="007625B8">
            <w:pPr>
              <w:jc w:val="center"/>
              <w:rPr>
                <w:bCs/>
              </w:rPr>
            </w:pPr>
          </w:p>
          <w:p w14:paraId="2E7F99D0" w14:textId="77777777" w:rsidR="00FD7787" w:rsidRPr="002E2365" w:rsidRDefault="00FD7787" w:rsidP="007625B8">
            <w:pPr>
              <w:jc w:val="center"/>
              <w:rPr>
                <w:bCs/>
              </w:rPr>
            </w:pPr>
          </w:p>
          <w:p w14:paraId="703C84AB" w14:textId="77777777" w:rsidR="00FD7787" w:rsidRPr="002E2365" w:rsidRDefault="00FD7787" w:rsidP="007625B8">
            <w:pPr>
              <w:jc w:val="center"/>
              <w:rPr>
                <w:bCs/>
              </w:rPr>
            </w:pPr>
          </w:p>
          <w:p w14:paraId="5CBA9898" w14:textId="77777777" w:rsidR="00EA300C" w:rsidRPr="002E2365" w:rsidRDefault="00EA300C" w:rsidP="007625B8">
            <w:pPr>
              <w:jc w:val="center"/>
              <w:rPr>
                <w:bCs/>
              </w:rPr>
            </w:pPr>
          </w:p>
          <w:p w14:paraId="7D7CDE73" w14:textId="77777777" w:rsidR="00FD7787" w:rsidRPr="002E2365" w:rsidRDefault="00C54BC0" w:rsidP="00C54BC0">
            <w:pPr>
              <w:jc w:val="center"/>
              <w:rPr>
                <w:bCs/>
              </w:rPr>
            </w:pPr>
            <w:r w:rsidRPr="002E2365">
              <w:rPr>
                <w:bCs/>
              </w:rPr>
              <w:t>555</w:t>
            </w:r>
          </w:p>
          <w:p w14:paraId="3A6EDCCF" w14:textId="77777777" w:rsidR="00A07DBC" w:rsidRPr="002E2365" w:rsidRDefault="00A07DBC" w:rsidP="007625B8">
            <w:pPr>
              <w:jc w:val="center"/>
              <w:rPr>
                <w:bCs/>
              </w:rPr>
            </w:pPr>
          </w:p>
          <w:p w14:paraId="4A19D4EE" w14:textId="77777777" w:rsidR="00FD7787" w:rsidRPr="002E2365" w:rsidRDefault="00D10D9B" w:rsidP="007625B8">
            <w:pPr>
              <w:jc w:val="center"/>
              <w:rPr>
                <w:bCs/>
              </w:rPr>
            </w:pPr>
            <w:r w:rsidRPr="002E2365">
              <w:rPr>
                <w:bCs/>
              </w:rPr>
              <w:t>2</w:t>
            </w:r>
          </w:p>
          <w:p w14:paraId="5C0A7F3B" w14:textId="77777777" w:rsidR="00FD7787" w:rsidRPr="002E2365" w:rsidRDefault="00FD7787" w:rsidP="007625B8">
            <w:pPr>
              <w:jc w:val="center"/>
              <w:rPr>
                <w:bCs/>
              </w:rPr>
            </w:pPr>
          </w:p>
          <w:p w14:paraId="19BFF34C" w14:textId="77777777" w:rsidR="00FD7787" w:rsidRPr="002E2365" w:rsidRDefault="00FD7787" w:rsidP="007625B8">
            <w:pPr>
              <w:jc w:val="center"/>
              <w:rPr>
                <w:bCs/>
              </w:rPr>
            </w:pPr>
          </w:p>
          <w:p w14:paraId="73E55D8F" w14:textId="77777777" w:rsidR="00FD7787" w:rsidRPr="002E2365" w:rsidRDefault="008C75F8" w:rsidP="007625B8">
            <w:pPr>
              <w:jc w:val="center"/>
              <w:rPr>
                <w:bCs/>
              </w:rPr>
            </w:pPr>
            <w:r w:rsidRPr="002E2365">
              <w:rPr>
                <w:bCs/>
              </w:rPr>
              <w:t>0</w:t>
            </w:r>
          </w:p>
          <w:p w14:paraId="41432492" w14:textId="77777777" w:rsidR="00D10D9B" w:rsidRPr="002E2365" w:rsidRDefault="00D10D9B" w:rsidP="007625B8">
            <w:pPr>
              <w:jc w:val="center"/>
              <w:rPr>
                <w:bCs/>
              </w:rPr>
            </w:pPr>
          </w:p>
          <w:p w14:paraId="47DEC4FD" w14:textId="77777777" w:rsidR="00D10D9B" w:rsidRPr="002E2365" w:rsidRDefault="00D10D9B" w:rsidP="007625B8">
            <w:pPr>
              <w:jc w:val="center"/>
              <w:rPr>
                <w:bCs/>
              </w:rPr>
            </w:pPr>
            <w:r w:rsidRPr="002E2365">
              <w:rPr>
                <w:bCs/>
              </w:rPr>
              <w:t>0</w:t>
            </w:r>
          </w:p>
        </w:tc>
        <w:tc>
          <w:tcPr>
            <w:tcW w:w="529" w:type="pct"/>
            <w:shd w:val="clear" w:color="auto" w:fill="FFFFFF"/>
          </w:tcPr>
          <w:p w14:paraId="4837F07B" w14:textId="77777777" w:rsidR="00FD7787" w:rsidRPr="002E2365" w:rsidRDefault="00D3308F" w:rsidP="007625B8">
            <w:pPr>
              <w:jc w:val="center"/>
              <w:rPr>
                <w:bCs/>
              </w:rPr>
            </w:pPr>
            <w:r w:rsidRPr="002E2365">
              <w:rPr>
                <w:bCs/>
              </w:rPr>
              <w:t>2</w:t>
            </w:r>
          </w:p>
          <w:p w14:paraId="25117EF8" w14:textId="77777777" w:rsidR="00FD7787" w:rsidRPr="002E2365" w:rsidRDefault="00FD7787" w:rsidP="007625B8">
            <w:pPr>
              <w:jc w:val="center"/>
              <w:rPr>
                <w:bCs/>
              </w:rPr>
            </w:pPr>
          </w:p>
          <w:p w14:paraId="2B40B33B" w14:textId="77777777" w:rsidR="00FD7787" w:rsidRPr="002E2365" w:rsidRDefault="00FD7787" w:rsidP="007625B8">
            <w:pPr>
              <w:jc w:val="center"/>
              <w:rPr>
                <w:bCs/>
              </w:rPr>
            </w:pPr>
          </w:p>
          <w:p w14:paraId="6C28AEAE" w14:textId="77777777" w:rsidR="00FD7787" w:rsidRPr="002E2365" w:rsidRDefault="00FD7787" w:rsidP="007625B8">
            <w:pPr>
              <w:jc w:val="center"/>
              <w:rPr>
                <w:bCs/>
              </w:rPr>
            </w:pPr>
          </w:p>
          <w:p w14:paraId="6FC237A7" w14:textId="77777777" w:rsidR="00EA300C" w:rsidRPr="002E2365" w:rsidRDefault="00EA300C" w:rsidP="007625B8">
            <w:pPr>
              <w:jc w:val="center"/>
              <w:rPr>
                <w:bCs/>
              </w:rPr>
            </w:pPr>
          </w:p>
          <w:p w14:paraId="08DDF7FC" w14:textId="77777777" w:rsidR="00FD7787" w:rsidRPr="002E2365" w:rsidRDefault="00FD7787" w:rsidP="007625B8">
            <w:pPr>
              <w:jc w:val="center"/>
              <w:rPr>
                <w:bCs/>
              </w:rPr>
            </w:pPr>
            <w:r w:rsidRPr="002E2365">
              <w:rPr>
                <w:bCs/>
              </w:rPr>
              <w:t>2</w:t>
            </w:r>
          </w:p>
          <w:p w14:paraId="467F2AD4" w14:textId="77777777" w:rsidR="00A07DBC" w:rsidRPr="002E2365" w:rsidRDefault="00A07DBC" w:rsidP="007625B8">
            <w:pPr>
              <w:jc w:val="center"/>
              <w:rPr>
                <w:bCs/>
              </w:rPr>
            </w:pPr>
          </w:p>
          <w:p w14:paraId="179AEE45" w14:textId="77777777" w:rsidR="00FD7787" w:rsidRPr="002E2365" w:rsidRDefault="00D10D9B" w:rsidP="007625B8">
            <w:pPr>
              <w:jc w:val="center"/>
              <w:rPr>
                <w:bCs/>
              </w:rPr>
            </w:pPr>
            <w:r w:rsidRPr="002E2365">
              <w:rPr>
                <w:bCs/>
              </w:rPr>
              <w:t>2</w:t>
            </w:r>
          </w:p>
          <w:p w14:paraId="2DB38C15" w14:textId="77777777" w:rsidR="00FD7787" w:rsidRPr="002E2365" w:rsidRDefault="00FD7787" w:rsidP="007625B8">
            <w:pPr>
              <w:jc w:val="center"/>
              <w:rPr>
                <w:bCs/>
              </w:rPr>
            </w:pPr>
          </w:p>
          <w:p w14:paraId="5C11D240" w14:textId="77777777" w:rsidR="00FD7787" w:rsidRPr="002E2365" w:rsidRDefault="00FD7787" w:rsidP="007625B8">
            <w:pPr>
              <w:jc w:val="center"/>
              <w:rPr>
                <w:bCs/>
              </w:rPr>
            </w:pPr>
          </w:p>
          <w:p w14:paraId="32BBCC2C" w14:textId="77777777" w:rsidR="00FD7787" w:rsidRPr="002E2365" w:rsidRDefault="008C75F8" w:rsidP="00B10B16">
            <w:pPr>
              <w:jc w:val="center"/>
              <w:rPr>
                <w:bCs/>
              </w:rPr>
            </w:pPr>
            <w:r w:rsidRPr="002E2365">
              <w:rPr>
                <w:bCs/>
              </w:rPr>
              <w:t>2</w:t>
            </w:r>
          </w:p>
          <w:p w14:paraId="6994958A" w14:textId="77777777" w:rsidR="00D10D9B" w:rsidRPr="002E2365" w:rsidRDefault="00D10D9B" w:rsidP="00B10B16">
            <w:pPr>
              <w:jc w:val="center"/>
              <w:rPr>
                <w:bCs/>
              </w:rPr>
            </w:pPr>
          </w:p>
          <w:p w14:paraId="0439BC02" w14:textId="77777777" w:rsidR="00D10D9B" w:rsidRPr="002E2365" w:rsidRDefault="00D10D9B" w:rsidP="00B10B16">
            <w:pPr>
              <w:jc w:val="center"/>
              <w:rPr>
                <w:bCs/>
              </w:rPr>
            </w:pPr>
            <w:r w:rsidRPr="002E2365">
              <w:rPr>
                <w:bCs/>
              </w:rPr>
              <w:t>2</w:t>
            </w:r>
          </w:p>
        </w:tc>
        <w:tc>
          <w:tcPr>
            <w:tcW w:w="658" w:type="pct"/>
            <w:shd w:val="clear" w:color="auto" w:fill="FFFFFF"/>
          </w:tcPr>
          <w:p w14:paraId="35EE4948" w14:textId="77777777" w:rsidR="00FD7787" w:rsidRPr="002E2365" w:rsidRDefault="0013192D" w:rsidP="007625B8">
            <w:pPr>
              <w:jc w:val="center"/>
              <w:rPr>
                <w:bCs/>
              </w:rPr>
            </w:pPr>
            <w:r w:rsidRPr="002E2365">
              <w:rPr>
                <w:bCs/>
              </w:rPr>
              <w:t>1,</w:t>
            </w:r>
            <w:r w:rsidR="00D369D9" w:rsidRPr="002E2365">
              <w:rPr>
                <w:bCs/>
              </w:rPr>
              <w:t>136</w:t>
            </w:r>
          </w:p>
          <w:p w14:paraId="117E1D9C" w14:textId="77777777" w:rsidR="00FD7787" w:rsidRPr="002E2365" w:rsidRDefault="00FD7787" w:rsidP="007625B8">
            <w:pPr>
              <w:jc w:val="center"/>
              <w:rPr>
                <w:bCs/>
              </w:rPr>
            </w:pPr>
          </w:p>
          <w:p w14:paraId="2E42A3F8" w14:textId="77777777" w:rsidR="00FD7787" w:rsidRPr="002E2365" w:rsidRDefault="00FD7787" w:rsidP="007625B8">
            <w:pPr>
              <w:jc w:val="center"/>
              <w:rPr>
                <w:bCs/>
              </w:rPr>
            </w:pPr>
          </w:p>
          <w:p w14:paraId="4D9920B5" w14:textId="77777777" w:rsidR="00FD7787" w:rsidRPr="002E2365" w:rsidRDefault="00FD7787" w:rsidP="007625B8">
            <w:pPr>
              <w:jc w:val="center"/>
              <w:rPr>
                <w:bCs/>
              </w:rPr>
            </w:pPr>
          </w:p>
          <w:p w14:paraId="0688A1C4" w14:textId="77777777" w:rsidR="00EA300C" w:rsidRPr="002E2365" w:rsidRDefault="00EA300C" w:rsidP="007625B8">
            <w:pPr>
              <w:jc w:val="center"/>
              <w:rPr>
                <w:bCs/>
              </w:rPr>
            </w:pPr>
          </w:p>
          <w:p w14:paraId="42B27FCB" w14:textId="77777777" w:rsidR="00FD7787" w:rsidRPr="002E2365" w:rsidRDefault="00A433E8" w:rsidP="007625B8">
            <w:pPr>
              <w:jc w:val="center"/>
              <w:rPr>
                <w:bCs/>
              </w:rPr>
            </w:pPr>
            <w:r w:rsidRPr="002E2365">
              <w:rPr>
                <w:bCs/>
              </w:rPr>
              <w:t>1,110</w:t>
            </w:r>
          </w:p>
          <w:p w14:paraId="54DD734D" w14:textId="77777777" w:rsidR="00A07DBC" w:rsidRPr="002E2365" w:rsidRDefault="00A07DBC" w:rsidP="007625B8">
            <w:pPr>
              <w:jc w:val="center"/>
              <w:rPr>
                <w:bCs/>
              </w:rPr>
            </w:pPr>
          </w:p>
          <w:p w14:paraId="4E9D21AB" w14:textId="77777777" w:rsidR="00FD7787" w:rsidRPr="002E2365" w:rsidRDefault="00D10D9B" w:rsidP="007625B8">
            <w:pPr>
              <w:jc w:val="center"/>
              <w:rPr>
                <w:bCs/>
              </w:rPr>
            </w:pPr>
            <w:r w:rsidRPr="002E2365">
              <w:rPr>
                <w:bCs/>
              </w:rPr>
              <w:t>4</w:t>
            </w:r>
          </w:p>
          <w:p w14:paraId="7D218F02" w14:textId="77777777" w:rsidR="00FD7787" w:rsidRPr="002E2365" w:rsidRDefault="00FD7787" w:rsidP="007625B8">
            <w:pPr>
              <w:jc w:val="center"/>
              <w:rPr>
                <w:bCs/>
              </w:rPr>
            </w:pPr>
          </w:p>
          <w:p w14:paraId="0B784387" w14:textId="77777777" w:rsidR="00A07DBC" w:rsidRPr="002E2365" w:rsidRDefault="00A07DBC" w:rsidP="007625B8">
            <w:pPr>
              <w:jc w:val="center"/>
              <w:rPr>
                <w:bCs/>
              </w:rPr>
            </w:pPr>
          </w:p>
          <w:p w14:paraId="1FC35901" w14:textId="77777777" w:rsidR="00FD7787" w:rsidRPr="002E2365" w:rsidRDefault="008C75F8" w:rsidP="00B10B16">
            <w:pPr>
              <w:jc w:val="center"/>
              <w:rPr>
                <w:bCs/>
              </w:rPr>
            </w:pPr>
            <w:r w:rsidRPr="002E2365">
              <w:rPr>
                <w:bCs/>
              </w:rPr>
              <w:t>0</w:t>
            </w:r>
          </w:p>
          <w:p w14:paraId="243A2F5E" w14:textId="77777777" w:rsidR="00D10D9B" w:rsidRPr="002E2365" w:rsidRDefault="00D10D9B" w:rsidP="00B10B16">
            <w:pPr>
              <w:jc w:val="center"/>
              <w:rPr>
                <w:bCs/>
              </w:rPr>
            </w:pPr>
          </w:p>
          <w:p w14:paraId="6737DEDF" w14:textId="77777777" w:rsidR="00D10D9B" w:rsidRPr="002E2365" w:rsidRDefault="00D10D9B" w:rsidP="00B10B16">
            <w:pPr>
              <w:jc w:val="center"/>
              <w:rPr>
                <w:bCs/>
              </w:rPr>
            </w:pPr>
            <w:r w:rsidRPr="002E2365">
              <w:rPr>
                <w:bCs/>
              </w:rPr>
              <w:t>0</w:t>
            </w:r>
          </w:p>
        </w:tc>
      </w:tr>
      <w:tr w:rsidR="00A41237" w:rsidRPr="002E2365" w14:paraId="0396E539" w14:textId="77777777" w:rsidTr="00D91141">
        <w:tc>
          <w:tcPr>
            <w:tcW w:w="240" w:type="pct"/>
            <w:shd w:val="clear" w:color="auto" w:fill="FFFFFF"/>
            <w:vAlign w:val="center"/>
          </w:tcPr>
          <w:p w14:paraId="46334F38" w14:textId="77777777" w:rsidR="00FD7787" w:rsidRPr="002E2365" w:rsidRDefault="00FD7787" w:rsidP="005377DC">
            <w:pPr>
              <w:jc w:val="center"/>
            </w:pPr>
            <w:r w:rsidRPr="002E2365">
              <w:t>c.</w:t>
            </w:r>
          </w:p>
        </w:tc>
        <w:tc>
          <w:tcPr>
            <w:tcW w:w="1745" w:type="pct"/>
            <w:shd w:val="clear" w:color="auto" w:fill="FFFFFF"/>
          </w:tcPr>
          <w:p w14:paraId="3972F0CF" w14:textId="77777777" w:rsidR="00FD7787" w:rsidRPr="002E2365" w:rsidRDefault="00FD7787">
            <w:r w:rsidRPr="002E2365">
              <w:t>§ 27.1131 (Protection of Part 101 operations) (</w:t>
            </w:r>
            <w:r w:rsidR="00606C2B" w:rsidRPr="002E2365">
              <w:t xml:space="preserve">AWS-1, AWS-4 </w:t>
            </w:r>
            <w:r w:rsidRPr="002E2365">
              <w:t>and AWS-3 R&amp;O)</w:t>
            </w:r>
          </w:p>
          <w:p w14:paraId="098D0A65" w14:textId="77777777" w:rsidR="00FD7787" w:rsidRPr="002E2365" w:rsidRDefault="00FD7787">
            <w:pPr>
              <w:rPr>
                <w:snapToGrid/>
              </w:rPr>
            </w:pPr>
          </w:p>
          <w:p w14:paraId="02D48C54" w14:textId="77777777" w:rsidR="00FD7787" w:rsidRPr="002E2365" w:rsidRDefault="00FD7787">
            <w:pPr>
              <w:rPr>
                <w:snapToGrid/>
              </w:rPr>
            </w:pPr>
            <w:r w:rsidRPr="002E2365">
              <w:t>§ 27.1132 (Protection of incumbent operations in the 2150-2160/62 MHz band) (</w:t>
            </w:r>
            <w:r w:rsidR="00EA5BB2" w:rsidRPr="002E2365">
              <w:t xml:space="preserve">AWS-1 </w:t>
            </w:r>
            <w:r w:rsidRPr="002E2365">
              <w:t>and AWS-3 R&amp;O)</w:t>
            </w:r>
          </w:p>
          <w:p w14:paraId="2F181881" w14:textId="77777777" w:rsidR="00FD7787" w:rsidRPr="002E2365" w:rsidRDefault="00FD7787">
            <w:pPr>
              <w:rPr>
                <w:snapToGrid/>
              </w:rPr>
            </w:pPr>
          </w:p>
          <w:p w14:paraId="4A70EA3A" w14:textId="77777777" w:rsidR="00FD7787" w:rsidRPr="002E2365" w:rsidRDefault="00FD7787">
            <w:pPr>
              <w:rPr>
                <w:snapToGrid/>
              </w:rPr>
            </w:pPr>
            <w:r w:rsidRPr="002E2365">
              <w:t>§ 27.1133 (Protection of Part 74 and Part</w:t>
            </w:r>
            <w:r w:rsidR="00C37BD0" w:rsidRPr="002E2365">
              <w:t> </w:t>
            </w:r>
            <w:r w:rsidRPr="002E2365">
              <w:t>78 operations) (</w:t>
            </w:r>
            <w:r w:rsidR="00EA5BB2" w:rsidRPr="002E2365">
              <w:t>AWS-1</w:t>
            </w:r>
            <w:r w:rsidR="00C37BD0" w:rsidRPr="002E2365">
              <w:t xml:space="preserve"> a</w:t>
            </w:r>
            <w:r w:rsidR="00314147" w:rsidRPr="002E2365">
              <w:t xml:space="preserve">nd </w:t>
            </w:r>
            <w:r w:rsidRPr="002E2365">
              <w:t>AWS-3 R&amp;O)</w:t>
            </w:r>
          </w:p>
          <w:p w14:paraId="68D689FC" w14:textId="77777777" w:rsidR="00FD7787" w:rsidRPr="002E2365" w:rsidRDefault="00FD7787">
            <w:pPr>
              <w:rPr>
                <w:bCs/>
                <w:snapToGrid/>
              </w:rPr>
            </w:pPr>
          </w:p>
        </w:tc>
        <w:tc>
          <w:tcPr>
            <w:tcW w:w="648" w:type="pct"/>
            <w:tcBorders>
              <w:right w:val="double" w:sz="4" w:space="0" w:color="auto"/>
            </w:tcBorders>
            <w:shd w:val="clear" w:color="auto" w:fill="FFFFFF"/>
          </w:tcPr>
          <w:p w14:paraId="09787D5D" w14:textId="77777777" w:rsidR="00A8443B" w:rsidRPr="002E2365" w:rsidRDefault="00A8443B" w:rsidP="00EA300C">
            <w:pPr>
              <w:jc w:val="center"/>
              <w:rPr>
                <w:bCs/>
              </w:rPr>
            </w:pPr>
            <w:r w:rsidRPr="002E2365">
              <w:rPr>
                <w:bCs/>
              </w:rPr>
              <w:t>30</w:t>
            </w:r>
            <w:r w:rsidR="00EA300C" w:rsidRPr="002E2365">
              <w:rPr>
                <w:bCs/>
              </w:rPr>
              <w:t xml:space="preserve"> </w:t>
            </w:r>
            <w:r w:rsidRPr="002E2365">
              <w:rPr>
                <w:bCs/>
              </w:rPr>
              <w:t>(AWS-1)</w:t>
            </w:r>
          </w:p>
          <w:p w14:paraId="6E6E1314" w14:textId="77777777" w:rsidR="00A8443B" w:rsidRPr="002E2365" w:rsidRDefault="00A8443B" w:rsidP="00062A26">
            <w:pPr>
              <w:jc w:val="center"/>
              <w:rPr>
                <w:bCs/>
              </w:rPr>
            </w:pPr>
          </w:p>
          <w:p w14:paraId="0FDECC3F" w14:textId="77777777" w:rsidR="00EA300C" w:rsidRPr="002E2365" w:rsidRDefault="00EA300C" w:rsidP="00EA300C">
            <w:pPr>
              <w:rPr>
                <w:bCs/>
              </w:rPr>
            </w:pPr>
            <w:r w:rsidRPr="002E2365">
              <w:rPr>
                <w:bCs/>
              </w:rPr>
              <w:t xml:space="preserve"> </w:t>
            </w:r>
          </w:p>
          <w:p w14:paraId="714E489A" w14:textId="77777777" w:rsidR="00FD7787" w:rsidRPr="002E2365" w:rsidRDefault="006673C3" w:rsidP="00EA300C">
            <w:pPr>
              <w:rPr>
                <w:bCs/>
              </w:rPr>
            </w:pPr>
            <w:r w:rsidRPr="002E2365">
              <w:rPr>
                <w:bCs/>
              </w:rPr>
              <w:t xml:space="preserve"> </w:t>
            </w:r>
            <w:r w:rsidR="00981759" w:rsidRPr="002E2365">
              <w:rPr>
                <w:bCs/>
              </w:rPr>
              <w:t>2</w:t>
            </w:r>
            <w:r w:rsidR="00EA300C" w:rsidRPr="002E2365">
              <w:rPr>
                <w:bCs/>
              </w:rPr>
              <w:t xml:space="preserve"> </w:t>
            </w:r>
            <w:r w:rsidR="005125D4" w:rsidRPr="002E2365">
              <w:rPr>
                <w:bCs/>
              </w:rPr>
              <w:t>(AWS-4)</w:t>
            </w:r>
          </w:p>
          <w:p w14:paraId="6344333B" w14:textId="77777777" w:rsidR="00FD7787" w:rsidRPr="002E2365" w:rsidRDefault="00FD7787" w:rsidP="00062A26">
            <w:pPr>
              <w:jc w:val="center"/>
              <w:rPr>
                <w:bCs/>
              </w:rPr>
            </w:pPr>
          </w:p>
          <w:p w14:paraId="4A6E3EDE" w14:textId="77777777" w:rsidR="005125D4" w:rsidRPr="002E2365" w:rsidRDefault="005125D4" w:rsidP="00062A26">
            <w:pPr>
              <w:jc w:val="center"/>
              <w:rPr>
                <w:bCs/>
              </w:rPr>
            </w:pPr>
          </w:p>
          <w:p w14:paraId="026E9BBA" w14:textId="77777777" w:rsidR="00A8443B" w:rsidRPr="002E2365" w:rsidRDefault="005125D4" w:rsidP="005125D4">
            <w:pPr>
              <w:rPr>
                <w:bCs/>
              </w:rPr>
            </w:pPr>
            <w:r w:rsidRPr="002E2365">
              <w:rPr>
                <w:bCs/>
              </w:rPr>
              <w:t xml:space="preserve">       </w:t>
            </w:r>
          </w:p>
          <w:p w14:paraId="6858D036" w14:textId="77777777" w:rsidR="00EA300C" w:rsidRPr="002E2365" w:rsidRDefault="00EA300C" w:rsidP="00EA300C">
            <w:pPr>
              <w:rPr>
                <w:bCs/>
              </w:rPr>
            </w:pPr>
          </w:p>
          <w:p w14:paraId="323896D0" w14:textId="77777777" w:rsidR="00FD7787" w:rsidRPr="002E2365" w:rsidRDefault="00307568" w:rsidP="00EA300C">
            <w:pPr>
              <w:rPr>
                <w:bCs/>
              </w:rPr>
            </w:pPr>
            <w:r w:rsidRPr="002E2365">
              <w:rPr>
                <w:bCs/>
              </w:rPr>
              <w:t>37</w:t>
            </w:r>
            <w:r w:rsidR="00981759" w:rsidRPr="002E2365">
              <w:rPr>
                <w:rStyle w:val="FootnoteReference"/>
                <w:bCs/>
              </w:rPr>
              <w:footnoteReference w:id="17"/>
            </w:r>
            <w:r w:rsidR="00846FED" w:rsidRPr="002E2365">
              <w:rPr>
                <w:bCs/>
              </w:rPr>
              <w:t>(</w:t>
            </w:r>
            <w:r w:rsidR="00314147" w:rsidRPr="002E2365">
              <w:rPr>
                <w:bCs/>
              </w:rPr>
              <w:t>AWS</w:t>
            </w:r>
            <w:r w:rsidR="005125D4" w:rsidRPr="002E2365">
              <w:rPr>
                <w:bCs/>
              </w:rPr>
              <w:t>-3</w:t>
            </w:r>
            <w:r w:rsidR="00314147" w:rsidRPr="002E2365">
              <w:rPr>
                <w:bCs/>
              </w:rPr>
              <w:t>)</w:t>
            </w:r>
          </w:p>
          <w:p w14:paraId="3FFE8952" w14:textId="77777777" w:rsidR="00FD7787" w:rsidRPr="002E2365" w:rsidRDefault="00FD7787" w:rsidP="004C5569">
            <w:pPr>
              <w:rPr>
                <w:bCs/>
                <w:snapToGrid/>
              </w:rPr>
            </w:pPr>
          </w:p>
          <w:p w14:paraId="22E6EDE0" w14:textId="77777777" w:rsidR="00FD7787" w:rsidRPr="002E2365" w:rsidRDefault="00FD7787" w:rsidP="007625B8">
            <w:pPr>
              <w:jc w:val="center"/>
              <w:rPr>
                <w:bCs/>
              </w:rPr>
            </w:pPr>
          </w:p>
        </w:tc>
        <w:tc>
          <w:tcPr>
            <w:tcW w:w="611" w:type="pct"/>
            <w:tcBorders>
              <w:left w:val="double" w:sz="4" w:space="0" w:color="auto"/>
            </w:tcBorders>
            <w:shd w:val="clear" w:color="auto" w:fill="FFFFFF"/>
          </w:tcPr>
          <w:p w14:paraId="1040711C" w14:textId="77777777" w:rsidR="00FD7787" w:rsidRPr="002E2365" w:rsidRDefault="00A8443B" w:rsidP="00062A26">
            <w:pPr>
              <w:jc w:val="center"/>
              <w:rPr>
                <w:bCs/>
              </w:rPr>
            </w:pPr>
            <w:r w:rsidRPr="002E2365">
              <w:rPr>
                <w:bCs/>
              </w:rPr>
              <w:t>2</w:t>
            </w:r>
          </w:p>
          <w:p w14:paraId="134004A2" w14:textId="77777777" w:rsidR="00A8443B" w:rsidRPr="002E2365" w:rsidRDefault="00A8443B" w:rsidP="00062A26">
            <w:pPr>
              <w:jc w:val="center"/>
              <w:rPr>
                <w:bCs/>
              </w:rPr>
            </w:pPr>
          </w:p>
          <w:p w14:paraId="19FE7CF1" w14:textId="77777777" w:rsidR="00A8443B" w:rsidRPr="002E2365" w:rsidRDefault="00A8443B" w:rsidP="00062A26">
            <w:pPr>
              <w:jc w:val="center"/>
              <w:rPr>
                <w:bCs/>
              </w:rPr>
            </w:pPr>
          </w:p>
          <w:p w14:paraId="530BE4F8" w14:textId="77777777" w:rsidR="00FD7787" w:rsidRPr="002E2365" w:rsidRDefault="00981759" w:rsidP="00062A26">
            <w:pPr>
              <w:jc w:val="center"/>
              <w:rPr>
                <w:bCs/>
              </w:rPr>
            </w:pPr>
            <w:r w:rsidRPr="002E2365">
              <w:rPr>
                <w:bCs/>
              </w:rPr>
              <w:t>176</w:t>
            </w:r>
            <w:r w:rsidR="00140E9F" w:rsidRPr="002E2365">
              <w:rPr>
                <w:bCs/>
              </w:rPr>
              <w:t xml:space="preserve"> </w:t>
            </w:r>
            <w:r w:rsidR="003922B2" w:rsidRPr="002E2365">
              <w:rPr>
                <w:bCs/>
              </w:rPr>
              <w:t xml:space="preserve">each </w:t>
            </w:r>
            <w:r w:rsidR="00B800BC" w:rsidRPr="002E2365">
              <w:rPr>
                <w:bCs/>
              </w:rPr>
              <w:t>(on</w:t>
            </w:r>
          </w:p>
          <w:p w14:paraId="0A5BD983" w14:textId="77777777" w:rsidR="00FD7787" w:rsidRPr="002E2365" w:rsidRDefault="00FD7787" w:rsidP="00062A26">
            <w:pPr>
              <w:jc w:val="center"/>
              <w:rPr>
                <w:bCs/>
              </w:rPr>
            </w:pPr>
            <w:r w:rsidRPr="002E2365">
              <w:rPr>
                <w:bCs/>
              </w:rPr>
              <w:t>occasion)</w:t>
            </w:r>
          </w:p>
          <w:p w14:paraId="00B41AC9" w14:textId="77777777" w:rsidR="00FD7787" w:rsidRPr="002E2365" w:rsidRDefault="00FD7787" w:rsidP="00062A26">
            <w:pPr>
              <w:jc w:val="center"/>
              <w:rPr>
                <w:bCs/>
              </w:rPr>
            </w:pPr>
          </w:p>
          <w:p w14:paraId="18743A3C" w14:textId="77777777" w:rsidR="006673C3" w:rsidRPr="002E2365" w:rsidRDefault="006673C3" w:rsidP="00062A26">
            <w:pPr>
              <w:jc w:val="center"/>
              <w:rPr>
                <w:bCs/>
              </w:rPr>
            </w:pPr>
          </w:p>
          <w:p w14:paraId="3DEABF87" w14:textId="77777777" w:rsidR="00FD7787" w:rsidRPr="002E2365" w:rsidRDefault="00981759" w:rsidP="00062A26">
            <w:pPr>
              <w:jc w:val="center"/>
              <w:rPr>
                <w:bCs/>
              </w:rPr>
            </w:pPr>
            <w:r w:rsidRPr="002E2365">
              <w:rPr>
                <w:bCs/>
              </w:rPr>
              <w:t xml:space="preserve">38† </w:t>
            </w:r>
            <w:r w:rsidR="00B800BC" w:rsidRPr="002E2365">
              <w:rPr>
                <w:bCs/>
              </w:rPr>
              <w:t>(on</w:t>
            </w:r>
            <w:r w:rsidR="00FD7787" w:rsidRPr="002E2365">
              <w:rPr>
                <w:bCs/>
              </w:rPr>
              <w:t xml:space="preserve"> occasion)</w:t>
            </w:r>
          </w:p>
          <w:p w14:paraId="71C27811" w14:textId="77777777" w:rsidR="00FD7787" w:rsidRPr="002E2365" w:rsidRDefault="00FD7787" w:rsidP="004C5569">
            <w:pPr>
              <w:rPr>
                <w:bCs/>
              </w:rPr>
            </w:pPr>
          </w:p>
          <w:p w14:paraId="4C851A6A" w14:textId="77777777" w:rsidR="00FD7787" w:rsidRPr="002E2365" w:rsidRDefault="00FD7787" w:rsidP="00062A26">
            <w:pPr>
              <w:jc w:val="center"/>
              <w:rPr>
                <w:bCs/>
              </w:rPr>
            </w:pPr>
          </w:p>
        </w:tc>
        <w:tc>
          <w:tcPr>
            <w:tcW w:w="569" w:type="pct"/>
            <w:shd w:val="clear" w:color="auto" w:fill="FFFFFF"/>
          </w:tcPr>
          <w:p w14:paraId="29532043" w14:textId="77777777" w:rsidR="00FD7787" w:rsidRPr="002E2365" w:rsidRDefault="00C54BC0" w:rsidP="00062A26">
            <w:pPr>
              <w:jc w:val="center"/>
              <w:rPr>
                <w:bCs/>
              </w:rPr>
            </w:pPr>
            <w:r w:rsidRPr="002E2365">
              <w:rPr>
                <w:bCs/>
              </w:rPr>
              <w:t>6</w:t>
            </w:r>
            <w:r w:rsidR="00A8443B" w:rsidRPr="002E2365">
              <w:rPr>
                <w:bCs/>
              </w:rPr>
              <w:t>0</w:t>
            </w:r>
          </w:p>
          <w:p w14:paraId="75097650" w14:textId="77777777" w:rsidR="00A8443B" w:rsidRPr="002E2365" w:rsidRDefault="00A8443B" w:rsidP="00062A26">
            <w:pPr>
              <w:jc w:val="center"/>
              <w:rPr>
                <w:bCs/>
              </w:rPr>
            </w:pPr>
          </w:p>
          <w:p w14:paraId="070CE250" w14:textId="77777777" w:rsidR="00A8443B" w:rsidRPr="002E2365" w:rsidRDefault="00A8443B" w:rsidP="00062A26">
            <w:pPr>
              <w:jc w:val="center"/>
              <w:rPr>
                <w:bCs/>
              </w:rPr>
            </w:pPr>
          </w:p>
          <w:p w14:paraId="1452C54C" w14:textId="77777777" w:rsidR="00FD7787" w:rsidRPr="002E2365" w:rsidRDefault="00981759" w:rsidP="00062A26">
            <w:pPr>
              <w:jc w:val="center"/>
              <w:rPr>
                <w:bCs/>
              </w:rPr>
            </w:pPr>
            <w:r w:rsidRPr="002E2365">
              <w:rPr>
                <w:bCs/>
              </w:rPr>
              <w:t>352</w:t>
            </w:r>
          </w:p>
          <w:p w14:paraId="4667AADB" w14:textId="77777777" w:rsidR="00FD7787" w:rsidRPr="002E2365" w:rsidRDefault="00FD7787" w:rsidP="00062A26">
            <w:pPr>
              <w:jc w:val="center"/>
              <w:rPr>
                <w:bCs/>
              </w:rPr>
            </w:pPr>
          </w:p>
          <w:p w14:paraId="121280E2" w14:textId="77777777" w:rsidR="00FD7787" w:rsidRPr="002E2365" w:rsidRDefault="00FD7787" w:rsidP="00062A26">
            <w:pPr>
              <w:jc w:val="center"/>
              <w:rPr>
                <w:bCs/>
              </w:rPr>
            </w:pPr>
          </w:p>
          <w:p w14:paraId="6AE71219" w14:textId="77777777" w:rsidR="006673C3" w:rsidRPr="002E2365" w:rsidRDefault="006673C3" w:rsidP="00062A26">
            <w:pPr>
              <w:jc w:val="center"/>
              <w:rPr>
                <w:bCs/>
              </w:rPr>
            </w:pPr>
          </w:p>
          <w:p w14:paraId="3DAE4B88" w14:textId="77777777" w:rsidR="00A8443B" w:rsidRPr="002E2365" w:rsidRDefault="00A8443B" w:rsidP="00062A26">
            <w:pPr>
              <w:jc w:val="center"/>
              <w:rPr>
                <w:bCs/>
              </w:rPr>
            </w:pPr>
          </w:p>
          <w:p w14:paraId="62948362" w14:textId="77777777" w:rsidR="00FD7787" w:rsidRPr="002E2365" w:rsidRDefault="00140E9F" w:rsidP="00062A26">
            <w:pPr>
              <w:jc w:val="center"/>
              <w:rPr>
                <w:bCs/>
              </w:rPr>
            </w:pPr>
            <w:r w:rsidRPr="002E2365">
              <w:rPr>
                <w:bCs/>
              </w:rPr>
              <w:t>1,40</w:t>
            </w:r>
            <w:r w:rsidR="00C54BC0" w:rsidRPr="002E2365">
              <w:rPr>
                <w:bCs/>
              </w:rPr>
              <w:t>6</w:t>
            </w:r>
          </w:p>
        </w:tc>
        <w:tc>
          <w:tcPr>
            <w:tcW w:w="529" w:type="pct"/>
            <w:shd w:val="clear" w:color="auto" w:fill="FFFFFF"/>
          </w:tcPr>
          <w:p w14:paraId="768144C7" w14:textId="77777777" w:rsidR="00FD7787" w:rsidRPr="002E2365" w:rsidRDefault="00A8443B" w:rsidP="00062A26">
            <w:pPr>
              <w:jc w:val="center"/>
              <w:rPr>
                <w:bCs/>
              </w:rPr>
            </w:pPr>
            <w:r w:rsidRPr="002E2365">
              <w:rPr>
                <w:bCs/>
              </w:rPr>
              <w:t>0.25</w:t>
            </w:r>
          </w:p>
          <w:p w14:paraId="58388200" w14:textId="77777777" w:rsidR="00A8443B" w:rsidRPr="002E2365" w:rsidRDefault="00A8443B" w:rsidP="00062A26">
            <w:pPr>
              <w:jc w:val="center"/>
              <w:rPr>
                <w:bCs/>
              </w:rPr>
            </w:pPr>
          </w:p>
          <w:p w14:paraId="0AE00FA6" w14:textId="77777777" w:rsidR="00A8443B" w:rsidRPr="002E2365" w:rsidRDefault="00A8443B" w:rsidP="00062A26">
            <w:pPr>
              <w:jc w:val="center"/>
              <w:rPr>
                <w:bCs/>
              </w:rPr>
            </w:pPr>
          </w:p>
          <w:p w14:paraId="50C4F805" w14:textId="77777777" w:rsidR="00FD7787" w:rsidRPr="002E2365" w:rsidRDefault="00FD7787" w:rsidP="00062A26">
            <w:pPr>
              <w:jc w:val="center"/>
              <w:rPr>
                <w:bCs/>
              </w:rPr>
            </w:pPr>
            <w:r w:rsidRPr="002E2365">
              <w:rPr>
                <w:bCs/>
              </w:rPr>
              <w:t>0.25</w:t>
            </w:r>
          </w:p>
          <w:p w14:paraId="2F6BB1CE" w14:textId="77777777" w:rsidR="00FD7787" w:rsidRPr="002E2365" w:rsidRDefault="00FD7787" w:rsidP="007625B8">
            <w:pPr>
              <w:jc w:val="center"/>
              <w:rPr>
                <w:bCs/>
              </w:rPr>
            </w:pPr>
          </w:p>
          <w:p w14:paraId="51910B72" w14:textId="77777777" w:rsidR="00FD7787" w:rsidRPr="002E2365" w:rsidRDefault="00FD7787" w:rsidP="00062A26">
            <w:pPr>
              <w:jc w:val="center"/>
              <w:rPr>
                <w:bCs/>
              </w:rPr>
            </w:pPr>
          </w:p>
          <w:p w14:paraId="4470E590" w14:textId="77777777" w:rsidR="00FD7787" w:rsidRPr="002E2365" w:rsidRDefault="00FD7787" w:rsidP="00062A26">
            <w:pPr>
              <w:jc w:val="center"/>
              <w:rPr>
                <w:bCs/>
              </w:rPr>
            </w:pPr>
          </w:p>
          <w:p w14:paraId="3A23944A" w14:textId="77777777" w:rsidR="00A8443B" w:rsidRPr="002E2365" w:rsidRDefault="00A8443B" w:rsidP="00062A26">
            <w:pPr>
              <w:jc w:val="center"/>
              <w:rPr>
                <w:bCs/>
              </w:rPr>
            </w:pPr>
          </w:p>
          <w:p w14:paraId="01FC9F99" w14:textId="77777777" w:rsidR="00FD7787" w:rsidRPr="002E2365" w:rsidRDefault="00FD7787" w:rsidP="00062A26">
            <w:pPr>
              <w:jc w:val="center"/>
              <w:rPr>
                <w:bCs/>
              </w:rPr>
            </w:pPr>
            <w:r w:rsidRPr="002E2365">
              <w:rPr>
                <w:bCs/>
              </w:rPr>
              <w:t>0.25</w:t>
            </w:r>
          </w:p>
          <w:p w14:paraId="53835359" w14:textId="77777777" w:rsidR="00FD7787" w:rsidRPr="002E2365" w:rsidRDefault="00FD7787" w:rsidP="004C5569">
            <w:pPr>
              <w:rPr>
                <w:bCs/>
              </w:rPr>
            </w:pPr>
          </w:p>
          <w:p w14:paraId="702161F6" w14:textId="77777777" w:rsidR="00FD7787" w:rsidRPr="002E2365" w:rsidRDefault="00FD7787" w:rsidP="007625B8">
            <w:pPr>
              <w:jc w:val="center"/>
              <w:rPr>
                <w:bCs/>
              </w:rPr>
            </w:pPr>
          </w:p>
        </w:tc>
        <w:tc>
          <w:tcPr>
            <w:tcW w:w="658" w:type="pct"/>
            <w:shd w:val="clear" w:color="auto" w:fill="FFFFFF"/>
          </w:tcPr>
          <w:p w14:paraId="4BB80909" w14:textId="77777777" w:rsidR="00FD7787" w:rsidRPr="002E2365" w:rsidRDefault="00A8443B" w:rsidP="00062A26">
            <w:pPr>
              <w:jc w:val="center"/>
              <w:rPr>
                <w:bCs/>
              </w:rPr>
            </w:pPr>
            <w:r w:rsidRPr="002E2365">
              <w:rPr>
                <w:bCs/>
              </w:rPr>
              <w:t>15</w:t>
            </w:r>
          </w:p>
          <w:p w14:paraId="6E3F830C" w14:textId="77777777" w:rsidR="00A8443B" w:rsidRPr="002E2365" w:rsidRDefault="00A8443B" w:rsidP="00062A26">
            <w:pPr>
              <w:jc w:val="center"/>
              <w:rPr>
                <w:bCs/>
              </w:rPr>
            </w:pPr>
          </w:p>
          <w:p w14:paraId="159348F7" w14:textId="77777777" w:rsidR="00A8443B" w:rsidRPr="002E2365" w:rsidRDefault="00A8443B" w:rsidP="00062A26">
            <w:pPr>
              <w:jc w:val="center"/>
              <w:rPr>
                <w:bCs/>
              </w:rPr>
            </w:pPr>
          </w:p>
          <w:p w14:paraId="4E62EAE5" w14:textId="77777777" w:rsidR="00FD7787" w:rsidRPr="002E2365" w:rsidRDefault="00981759" w:rsidP="00062A26">
            <w:pPr>
              <w:jc w:val="center"/>
              <w:rPr>
                <w:bCs/>
              </w:rPr>
            </w:pPr>
            <w:r w:rsidRPr="002E2365">
              <w:rPr>
                <w:bCs/>
              </w:rPr>
              <w:t>88</w:t>
            </w:r>
          </w:p>
          <w:p w14:paraId="43DA31C0" w14:textId="77777777" w:rsidR="00FD7787" w:rsidRPr="002E2365" w:rsidRDefault="00FD7787" w:rsidP="007625B8">
            <w:pPr>
              <w:jc w:val="center"/>
              <w:rPr>
                <w:bCs/>
              </w:rPr>
            </w:pPr>
          </w:p>
          <w:p w14:paraId="24B3756F" w14:textId="77777777" w:rsidR="00FD7787" w:rsidRPr="002E2365" w:rsidRDefault="00FD7787" w:rsidP="007625B8">
            <w:pPr>
              <w:jc w:val="center"/>
              <w:rPr>
                <w:bCs/>
              </w:rPr>
            </w:pPr>
          </w:p>
          <w:p w14:paraId="13ACDF45" w14:textId="77777777" w:rsidR="00FD7787" w:rsidRPr="002E2365" w:rsidRDefault="00FD7787" w:rsidP="007625B8">
            <w:pPr>
              <w:jc w:val="center"/>
              <w:rPr>
                <w:bCs/>
              </w:rPr>
            </w:pPr>
          </w:p>
          <w:p w14:paraId="69FE1987" w14:textId="77777777" w:rsidR="00A8443B" w:rsidRPr="002E2365" w:rsidRDefault="00A8443B" w:rsidP="007625B8">
            <w:pPr>
              <w:jc w:val="center"/>
              <w:rPr>
                <w:bCs/>
              </w:rPr>
            </w:pPr>
          </w:p>
          <w:p w14:paraId="54264A7A" w14:textId="77777777" w:rsidR="00FD7787" w:rsidRPr="002E2365" w:rsidRDefault="007529F6" w:rsidP="007625B8">
            <w:pPr>
              <w:jc w:val="center"/>
              <w:rPr>
                <w:bCs/>
              </w:rPr>
            </w:pPr>
            <w:r w:rsidRPr="002E2365">
              <w:rPr>
                <w:bCs/>
              </w:rPr>
              <w:t>3</w:t>
            </w:r>
            <w:r w:rsidR="00981759" w:rsidRPr="002E2365">
              <w:rPr>
                <w:bCs/>
              </w:rPr>
              <w:t>52</w:t>
            </w:r>
            <w:r w:rsidR="005125D4" w:rsidRPr="002E2365">
              <w:rPr>
                <w:bCs/>
              </w:rPr>
              <w:t xml:space="preserve">† </w:t>
            </w:r>
          </w:p>
          <w:p w14:paraId="5C03FC84" w14:textId="77777777" w:rsidR="00FD7787" w:rsidRPr="002E2365" w:rsidRDefault="00FD7787" w:rsidP="004C5569">
            <w:pPr>
              <w:rPr>
                <w:bCs/>
              </w:rPr>
            </w:pPr>
          </w:p>
          <w:p w14:paraId="1FFB37C3" w14:textId="77777777" w:rsidR="00FD7787" w:rsidRPr="002E2365" w:rsidRDefault="00FD7787" w:rsidP="007625B8">
            <w:pPr>
              <w:jc w:val="center"/>
              <w:rPr>
                <w:bCs/>
              </w:rPr>
            </w:pPr>
          </w:p>
        </w:tc>
      </w:tr>
      <w:tr w:rsidR="00A41237" w:rsidRPr="002E2365" w14:paraId="270BD191" w14:textId="77777777" w:rsidTr="00D91141">
        <w:tc>
          <w:tcPr>
            <w:tcW w:w="240" w:type="pct"/>
            <w:shd w:val="clear" w:color="auto" w:fill="FFFFFF"/>
            <w:vAlign w:val="center"/>
          </w:tcPr>
          <w:p w14:paraId="4EE463B8" w14:textId="77777777" w:rsidR="00FD7787" w:rsidRPr="002E2365" w:rsidRDefault="00FD7787" w:rsidP="00172DC9">
            <w:pPr>
              <w:keepNext/>
              <w:jc w:val="center"/>
            </w:pPr>
            <w:r w:rsidRPr="002E2365">
              <w:t>d.</w:t>
            </w:r>
          </w:p>
        </w:tc>
        <w:tc>
          <w:tcPr>
            <w:tcW w:w="1745" w:type="pct"/>
            <w:shd w:val="clear" w:color="auto" w:fill="FFFFFF"/>
            <w:vAlign w:val="center"/>
          </w:tcPr>
          <w:p w14:paraId="2AD26389" w14:textId="77777777" w:rsidR="00FD7787" w:rsidRPr="002E2365" w:rsidRDefault="00FD7787" w:rsidP="00172DC9">
            <w:pPr>
              <w:keepNext/>
              <w:rPr>
                <w:bCs/>
              </w:rPr>
            </w:pPr>
            <w:r w:rsidRPr="002E2365">
              <w:t>§§ 101.69, 101.73(d), 101.75(a) (disclosures related to negotiation and relocation of FS links)</w:t>
            </w:r>
            <w:r w:rsidR="00746CFE" w:rsidRPr="002E2365">
              <w:t xml:space="preserve"> (AWS-1</w:t>
            </w:r>
            <w:r w:rsidR="004F1688" w:rsidRPr="002E2365">
              <w:rPr>
                <w:rStyle w:val="FootnoteReference"/>
              </w:rPr>
              <w:footnoteReference w:id="18"/>
            </w:r>
            <w:r w:rsidR="00746CFE" w:rsidRPr="002E2365">
              <w:t>, AWS-4, AWS-3 R&amp;O)</w:t>
            </w:r>
            <w:r w:rsidR="00E45818" w:rsidRPr="002E2365">
              <w:t xml:space="preserve"> </w:t>
            </w:r>
          </w:p>
        </w:tc>
        <w:tc>
          <w:tcPr>
            <w:tcW w:w="648" w:type="pct"/>
            <w:tcBorders>
              <w:right w:val="double" w:sz="4" w:space="0" w:color="auto"/>
            </w:tcBorders>
            <w:shd w:val="clear" w:color="auto" w:fill="FFFFFF"/>
            <w:vAlign w:val="center"/>
          </w:tcPr>
          <w:p w14:paraId="64414281" w14:textId="77777777" w:rsidR="004F1688" w:rsidRPr="002E2365" w:rsidRDefault="0092052F" w:rsidP="009120C2">
            <w:pPr>
              <w:keepNext/>
              <w:jc w:val="center"/>
              <w:rPr>
                <w:bCs/>
              </w:rPr>
            </w:pPr>
            <w:r w:rsidRPr="002E2365">
              <w:rPr>
                <w:bCs/>
              </w:rPr>
              <w:t>43</w:t>
            </w:r>
          </w:p>
          <w:p w14:paraId="36A1307F" w14:textId="77777777" w:rsidR="00DB148F" w:rsidRPr="002E2365" w:rsidRDefault="00DB148F" w:rsidP="009120C2">
            <w:pPr>
              <w:keepNext/>
              <w:jc w:val="center"/>
              <w:rPr>
                <w:bCs/>
              </w:rPr>
            </w:pPr>
          </w:p>
          <w:p w14:paraId="60CE459C" w14:textId="77777777" w:rsidR="00DB148F" w:rsidRPr="002E2365" w:rsidRDefault="00DB148F" w:rsidP="009120C2">
            <w:pPr>
              <w:keepNext/>
              <w:jc w:val="center"/>
              <w:rPr>
                <w:bCs/>
              </w:rPr>
            </w:pPr>
            <w:r w:rsidRPr="002E2365">
              <w:rPr>
                <w:bCs/>
              </w:rPr>
              <w:t>43</w:t>
            </w:r>
          </w:p>
        </w:tc>
        <w:tc>
          <w:tcPr>
            <w:tcW w:w="611" w:type="pct"/>
            <w:tcBorders>
              <w:left w:val="double" w:sz="4" w:space="0" w:color="auto"/>
            </w:tcBorders>
            <w:shd w:val="clear" w:color="auto" w:fill="FFFFFF"/>
            <w:vAlign w:val="center"/>
          </w:tcPr>
          <w:p w14:paraId="64516AD4" w14:textId="77777777" w:rsidR="00FD7787" w:rsidRPr="002E2365" w:rsidRDefault="00DB148F" w:rsidP="00B800BC">
            <w:pPr>
              <w:keepNext/>
              <w:jc w:val="center"/>
              <w:rPr>
                <w:bCs/>
              </w:rPr>
            </w:pPr>
            <w:r w:rsidRPr="002E2365">
              <w:rPr>
                <w:bCs/>
              </w:rPr>
              <w:t>1</w:t>
            </w:r>
            <w:r w:rsidR="00A32A6F" w:rsidRPr="002E2365">
              <w:rPr>
                <w:bCs/>
              </w:rPr>
              <w:t>†</w:t>
            </w:r>
            <w:r w:rsidR="00B800BC" w:rsidRPr="002E2365">
              <w:rPr>
                <w:bCs/>
              </w:rPr>
              <w:t xml:space="preserve"> </w:t>
            </w:r>
            <w:r w:rsidR="00FD7787" w:rsidRPr="002E2365">
              <w:rPr>
                <w:bCs/>
              </w:rPr>
              <w:t>(on occasion)</w:t>
            </w:r>
          </w:p>
          <w:p w14:paraId="227C3C35" w14:textId="77777777" w:rsidR="00DB148F" w:rsidRPr="002E2365" w:rsidRDefault="00DB148F" w:rsidP="00B800BC">
            <w:pPr>
              <w:keepNext/>
              <w:jc w:val="center"/>
              <w:rPr>
                <w:bCs/>
              </w:rPr>
            </w:pPr>
          </w:p>
          <w:p w14:paraId="131E7408" w14:textId="77777777" w:rsidR="00DB148F" w:rsidRPr="002E2365" w:rsidRDefault="00DB148F" w:rsidP="00B800BC">
            <w:pPr>
              <w:keepNext/>
              <w:jc w:val="center"/>
              <w:rPr>
                <w:bCs/>
              </w:rPr>
            </w:pPr>
            <w:r w:rsidRPr="002E2365">
              <w:rPr>
                <w:bCs/>
              </w:rPr>
              <w:t>1† (on occasion)</w:t>
            </w:r>
          </w:p>
        </w:tc>
        <w:tc>
          <w:tcPr>
            <w:tcW w:w="569" w:type="pct"/>
            <w:shd w:val="clear" w:color="auto" w:fill="FFFFFF"/>
            <w:vAlign w:val="center"/>
          </w:tcPr>
          <w:p w14:paraId="125601EB" w14:textId="77777777" w:rsidR="00887724" w:rsidRPr="002E2365" w:rsidRDefault="00DB148F">
            <w:pPr>
              <w:keepNext/>
              <w:jc w:val="center"/>
              <w:rPr>
                <w:bCs/>
                <w:snapToGrid/>
              </w:rPr>
            </w:pPr>
            <w:r w:rsidRPr="002E2365">
              <w:rPr>
                <w:bCs/>
                <w:snapToGrid/>
              </w:rPr>
              <w:t>43</w:t>
            </w:r>
          </w:p>
          <w:p w14:paraId="089451E4" w14:textId="77777777" w:rsidR="00DB148F" w:rsidRPr="002E2365" w:rsidRDefault="00DB148F">
            <w:pPr>
              <w:keepNext/>
              <w:jc w:val="center"/>
              <w:rPr>
                <w:bCs/>
                <w:snapToGrid/>
              </w:rPr>
            </w:pPr>
          </w:p>
          <w:p w14:paraId="3D16502D" w14:textId="77777777" w:rsidR="00DB148F" w:rsidRPr="002E2365" w:rsidRDefault="00DB148F">
            <w:pPr>
              <w:keepNext/>
              <w:jc w:val="center"/>
              <w:rPr>
                <w:bCs/>
                <w:snapToGrid/>
              </w:rPr>
            </w:pPr>
          </w:p>
          <w:p w14:paraId="1C0E989B" w14:textId="77777777" w:rsidR="00DB148F" w:rsidRPr="002E2365" w:rsidRDefault="00DB148F">
            <w:pPr>
              <w:keepNext/>
              <w:jc w:val="center"/>
              <w:rPr>
                <w:bCs/>
                <w:snapToGrid/>
              </w:rPr>
            </w:pPr>
            <w:r w:rsidRPr="002E2365">
              <w:rPr>
                <w:bCs/>
                <w:snapToGrid/>
              </w:rPr>
              <w:t>43</w:t>
            </w:r>
          </w:p>
        </w:tc>
        <w:tc>
          <w:tcPr>
            <w:tcW w:w="529" w:type="pct"/>
            <w:shd w:val="clear" w:color="auto" w:fill="FFFFFF"/>
            <w:vAlign w:val="center"/>
          </w:tcPr>
          <w:p w14:paraId="77012602" w14:textId="77777777" w:rsidR="00FD7787" w:rsidRPr="002E2365" w:rsidRDefault="00DB148F" w:rsidP="00172DC9">
            <w:pPr>
              <w:keepNext/>
              <w:jc w:val="center"/>
              <w:rPr>
                <w:bCs/>
              </w:rPr>
            </w:pPr>
            <w:r w:rsidRPr="002E2365">
              <w:rPr>
                <w:bCs/>
              </w:rPr>
              <w:t>0.5</w:t>
            </w:r>
          </w:p>
          <w:p w14:paraId="021C014F" w14:textId="77777777" w:rsidR="00DB148F" w:rsidRPr="002E2365" w:rsidRDefault="00DB148F" w:rsidP="00172DC9">
            <w:pPr>
              <w:keepNext/>
              <w:jc w:val="center"/>
              <w:rPr>
                <w:bCs/>
              </w:rPr>
            </w:pPr>
          </w:p>
          <w:p w14:paraId="076ADA71" w14:textId="77777777" w:rsidR="00DB148F" w:rsidRPr="002E2365" w:rsidRDefault="00DB148F" w:rsidP="00172DC9">
            <w:pPr>
              <w:keepNext/>
              <w:jc w:val="center"/>
              <w:rPr>
                <w:bCs/>
              </w:rPr>
            </w:pPr>
          </w:p>
          <w:p w14:paraId="294AD102" w14:textId="77777777" w:rsidR="00DB148F" w:rsidRPr="002E2365" w:rsidRDefault="00DB148F" w:rsidP="00172DC9">
            <w:pPr>
              <w:keepNext/>
              <w:jc w:val="center"/>
              <w:rPr>
                <w:bCs/>
              </w:rPr>
            </w:pPr>
            <w:r w:rsidRPr="002E2365">
              <w:rPr>
                <w:bCs/>
              </w:rPr>
              <w:t>0.5</w:t>
            </w:r>
          </w:p>
        </w:tc>
        <w:tc>
          <w:tcPr>
            <w:tcW w:w="658" w:type="pct"/>
            <w:shd w:val="clear" w:color="auto" w:fill="FFFFFF"/>
            <w:vAlign w:val="center"/>
          </w:tcPr>
          <w:p w14:paraId="36410DCA" w14:textId="77777777" w:rsidR="00FD7787" w:rsidRPr="002E2365" w:rsidRDefault="00DB148F" w:rsidP="009120C2">
            <w:pPr>
              <w:keepNext/>
              <w:jc w:val="center"/>
              <w:rPr>
                <w:bCs/>
              </w:rPr>
            </w:pPr>
            <w:bookmarkStart w:id="3" w:name="_Hlk493854292"/>
            <w:r w:rsidRPr="002E2365">
              <w:rPr>
                <w:bCs/>
              </w:rPr>
              <w:t>22</w:t>
            </w:r>
            <w:r w:rsidR="00A8443B" w:rsidRPr="002E2365">
              <w:rPr>
                <w:bCs/>
              </w:rPr>
              <w:t>†</w:t>
            </w:r>
            <w:bookmarkEnd w:id="3"/>
          </w:p>
          <w:p w14:paraId="78BAC154" w14:textId="77777777" w:rsidR="00DB148F" w:rsidRPr="002E2365" w:rsidRDefault="00DB148F" w:rsidP="009120C2">
            <w:pPr>
              <w:keepNext/>
              <w:jc w:val="center"/>
              <w:rPr>
                <w:bCs/>
              </w:rPr>
            </w:pPr>
          </w:p>
          <w:p w14:paraId="2F97ABDA" w14:textId="77777777" w:rsidR="00DB148F" w:rsidRPr="002E2365" w:rsidRDefault="00DB148F" w:rsidP="009120C2">
            <w:pPr>
              <w:keepNext/>
              <w:jc w:val="center"/>
              <w:rPr>
                <w:bCs/>
              </w:rPr>
            </w:pPr>
          </w:p>
          <w:p w14:paraId="68A8993E" w14:textId="77777777" w:rsidR="00DB148F" w:rsidRPr="002E2365" w:rsidRDefault="00DB148F" w:rsidP="009120C2">
            <w:pPr>
              <w:keepNext/>
              <w:jc w:val="center"/>
              <w:rPr>
                <w:bCs/>
              </w:rPr>
            </w:pPr>
            <w:r w:rsidRPr="002E2365">
              <w:rPr>
                <w:bCs/>
              </w:rPr>
              <w:t>22†</w:t>
            </w:r>
          </w:p>
        </w:tc>
      </w:tr>
      <w:tr w:rsidR="00A41237" w:rsidRPr="002E2365" w14:paraId="4B5974A0" w14:textId="77777777" w:rsidTr="00D91141">
        <w:tc>
          <w:tcPr>
            <w:tcW w:w="240" w:type="pct"/>
            <w:shd w:val="clear" w:color="auto" w:fill="FFFFFF"/>
            <w:vAlign w:val="center"/>
          </w:tcPr>
          <w:p w14:paraId="0B736CB0" w14:textId="77777777" w:rsidR="00FD7787" w:rsidRPr="002E2365" w:rsidRDefault="00FD7787" w:rsidP="005377DC">
            <w:pPr>
              <w:jc w:val="center"/>
            </w:pPr>
            <w:r w:rsidRPr="002E2365">
              <w:t>e.</w:t>
            </w:r>
          </w:p>
        </w:tc>
        <w:tc>
          <w:tcPr>
            <w:tcW w:w="1745" w:type="pct"/>
            <w:shd w:val="clear" w:color="auto" w:fill="FFFFFF"/>
            <w:vAlign w:val="center"/>
          </w:tcPr>
          <w:p w14:paraId="661D5A93" w14:textId="77777777" w:rsidR="00FD7787" w:rsidRPr="002E2365" w:rsidRDefault="00FD7787" w:rsidP="005377DC">
            <w:pPr>
              <w:rPr>
                <w:bCs/>
              </w:rPr>
            </w:pPr>
            <w:r w:rsidRPr="002E2365">
              <w:t>§§ 27.1250, 27.1251, 27.1252, 27.1255(a) (disclosures related to negotiation and relocation of BRS systems)</w:t>
            </w:r>
            <w:r w:rsidR="001E5C4E" w:rsidRPr="002E2365">
              <w:t xml:space="preserve"> (AWS-1 and AWS-3 R&amp;O)</w:t>
            </w:r>
          </w:p>
        </w:tc>
        <w:tc>
          <w:tcPr>
            <w:tcW w:w="648" w:type="pct"/>
            <w:tcBorders>
              <w:right w:val="double" w:sz="4" w:space="0" w:color="auto"/>
            </w:tcBorders>
            <w:shd w:val="clear" w:color="auto" w:fill="FFFFFF"/>
            <w:vAlign w:val="center"/>
          </w:tcPr>
          <w:p w14:paraId="0F28B3EA" w14:textId="77777777" w:rsidR="00FD7787" w:rsidRPr="002E2365" w:rsidRDefault="003C232E" w:rsidP="00887724">
            <w:pPr>
              <w:jc w:val="center"/>
              <w:rPr>
                <w:bCs/>
              </w:rPr>
            </w:pPr>
            <w:r w:rsidRPr="002E2365">
              <w:rPr>
                <w:bCs/>
              </w:rPr>
              <w:t>4</w:t>
            </w:r>
            <w:r w:rsidR="00EA300C" w:rsidRPr="002E2365">
              <w:rPr>
                <w:bCs/>
              </w:rPr>
              <w:t xml:space="preserve"> </w:t>
            </w:r>
            <w:r w:rsidR="009701BE" w:rsidRPr="002E2365">
              <w:rPr>
                <w:bCs/>
              </w:rPr>
              <w:t>(BRS)</w:t>
            </w:r>
          </w:p>
          <w:p w14:paraId="278ACAD0" w14:textId="77777777" w:rsidR="00D50F8D" w:rsidRPr="002E2365" w:rsidRDefault="00D50F8D" w:rsidP="00887724">
            <w:pPr>
              <w:jc w:val="center"/>
              <w:rPr>
                <w:bCs/>
              </w:rPr>
            </w:pPr>
          </w:p>
          <w:p w14:paraId="129346E3" w14:textId="77777777" w:rsidR="00EA300C" w:rsidRPr="002E2365" w:rsidRDefault="00EA300C" w:rsidP="00887724">
            <w:pPr>
              <w:jc w:val="center"/>
              <w:rPr>
                <w:bCs/>
              </w:rPr>
            </w:pPr>
          </w:p>
          <w:p w14:paraId="37132438" w14:textId="77777777" w:rsidR="004B1471" w:rsidRPr="002E2365" w:rsidRDefault="003C232E" w:rsidP="00887724">
            <w:pPr>
              <w:jc w:val="center"/>
              <w:rPr>
                <w:bCs/>
              </w:rPr>
            </w:pPr>
            <w:r w:rsidRPr="002E2365">
              <w:rPr>
                <w:bCs/>
              </w:rPr>
              <w:t>24</w:t>
            </w:r>
            <w:r w:rsidR="00EA300C" w:rsidRPr="002E2365">
              <w:rPr>
                <w:bCs/>
              </w:rPr>
              <w:t xml:space="preserve"> </w:t>
            </w:r>
            <w:r w:rsidR="004B1471" w:rsidRPr="002E2365">
              <w:rPr>
                <w:bCs/>
              </w:rPr>
              <w:t>(AWS)</w:t>
            </w:r>
          </w:p>
          <w:p w14:paraId="74614332" w14:textId="77777777" w:rsidR="00887724" w:rsidRPr="002E2365" w:rsidRDefault="00887724" w:rsidP="0019254E">
            <w:pPr>
              <w:jc w:val="center"/>
              <w:rPr>
                <w:bCs/>
              </w:rPr>
            </w:pPr>
          </w:p>
        </w:tc>
        <w:tc>
          <w:tcPr>
            <w:tcW w:w="611" w:type="pct"/>
            <w:tcBorders>
              <w:left w:val="double" w:sz="4" w:space="0" w:color="auto"/>
            </w:tcBorders>
            <w:shd w:val="clear" w:color="auto" w:fill="FFFFFF"/>
            <w:vAlign w:val="center"/>
          </w:tcPr>
          <w:p w14:paraId="525BC09C" w14:textId="77777777" w:rsidR="00FD7787" w:rsidRPr="002E2365" w:rsidRDefault="003C232E" w:rsidP="005377DC">
            <w:pPr>
              <w:jc w:val="center"/>
              <w:rPr>
                <w:bCs/>
              </w:rPr>
            </w:pPr>
            <w:r w:rsidRPr="002E2365">
              <w:rPr>
                <w:bCs/>
              </w:rPr>
              <w:t>6</w:t>
            </w:r>
            <w:r w:rsidR="00B800BC" w:rsidRPr="002E2365">
              <w:rPr>
                <w:bCs/>
              </w:rPr>
              <w:t xml:space="preserve"> </w:t>
            </w:r>
            <w:r w:rsidR="00FD7787" w:rsidRPr="002E2365">
              <w:rPr>
                <w:bCs/>
              </w:rPr>
              <w:t>(on occasion)</w:t>
            </w:r>
          </w:p>
          <w:p w14:paraId="24F90CCC" w14:textId="77777777" w:rsidR="001E5C4E" w:rsidRPr="002E2365" w:rsidRDefault="001E5C4E" w:rsidP="005377DC">
            <w:pPr>
              <w:jc w:val="center"/>
              <w:rPr>
                <w:bCs/>
              </w:rPr>
            </w:pPr>
          </w:p>
          <w:p w14:paraId="016CA5B6" w14:textId="77777777" w:rsidR="00FD7787" w:rsidRPr="002E2365" w:rsidRDefault="003C232E" w:rsidP="00B800BC">
            <w:pPr>
              <w:jc w:val="center"/>
              <w:rPr>
                <w:bCs/>
              </w:rPr>
            </w:pPr>
            <w:r w:rsidRPr="002E2365">
              <w:rPr>
                <w:bCs/>
              </w:rPr>
              <w:t>1</w:t>
            </w:r>
            <w:r w:rsidR="00D50F8D" w:rsidRPr="002E2365">
              <w:rPr>
                <w:bCs/>
              </w:rPr>
              <w:t xml:space="preserve"> (on occasion)</w:t>
            </w:r>
          </w:p>
        </w:tc>
        <w:tc>
          <w:tcPr>
            <w:tcW w:w="569" w:type="pct"/>
            <w:shd w:val="clear" w:color="auto" w:fill="FFFFFF"/>
          </w:tcPr>
          <w:p w14:paraId="401DE20D" w14:textId="77777777" w:rsidR="00887724" w:rsidRPr="002E2365" w:rsidRDefault="00F25A7A" w:rsidP="005377DC">
            <w:pPr>
              <w:jc w:val="center"/>
              <w:rPr>
                <w:bCs/>
              </w:rPr>
            </w:pPr>
            <w:r w:rsidRPr="002E2365">
              <w:rPr>
                <w:bCs/>
              </w:rPr>
              <w:t>24</w:t>
            </w:r>
          </w:p>
          <w:p w14:paraId="5575E9A2" w14:textId="77777777" w:rsidR="00887724" w:rsidRPr="002E2365" w:rsidRDefault="00887724" w:rsidP="005377DC">
            <w:pPr>
              <w:jc w:val="center"/>
              <w:rPr>
                <w:bCs/>
              </w:rPr>
            </w:pPr>
          </w:p>
          <w:p w14:paraId="2790DA26" w14:textId="77777777" w:rsidR="00D50F8D" w:rsidRPr="002E2365" w:rsidRDefault="00D50F8D" w:rsidP="005377DC">
            <w:pPr>
              <w:jc w:val="center"/>
              <w:rPr>
                <w:bCs/>
              </w:rPr>
            </w:pPr>
          </w:p>
          <w:p w14:paraId="7B0DA5AA" w14:textId="77777777" w:rsidR="00887724" w:rsidRPr="002E2365" w:rsidRDefault="00E45818" w:rsidP="005377DC">
            <w:pPr>
              <w:jc w:val="center"/>
              <w:rPr>
                <w:bCs/>
              </w:rPr>
            </w:pPr>
            <w:r w:rsidRPr="002E2365">
              <w:rPr>
                <w:bCs/>
              </w:rPr>
              <w:t>24</w:t>
            </w:r>
          </w:p>
          <w:p w14:paraId="55995DFF" w14:textId="77777777" w:rsidR="00887724" w:rsidRPr="002E2365" w:rsidRDefault="00887724" w:rsidP="005377DC">
            <w:pPr>
              <w:jc w:val="center"/>
              <w:rPr>
                <w:bCs/>
              </w:rPr>
            </w:pPr>
          </w:p>
        </w:tc>
        <w:tc>
          <w:tcPr>
            <w:tcW w:w="529" w:type="pct"/>
            <w:shd w:val="clear" w:color="auto" w:fill="FFFFFF"/>
            <w:vAlign w:val="center"/>
          </w:tcPr>
          <w:p w14:paraId="77B7E78F" w14:textId="77777777" w:rsidR="00FD7787" w:rsidRPr="002E2365" w:rsidRDefault="003C232E" w:rsidP="005377DC">
            <w:pPr>
              <w:jc w:val="center"/>
              <w:rPr>
                <w:bCs/>
              </w:rPr>
            </w:pPr>
            <w:r w:rsidRPr="002E2365">
              <w:rPr>
                <w:bCs/>
              </w:rPr>
              <w:t>5</w:t>
            </w:r>
          </w:p>
          <w:p w14:paraId="653B56AD" w14:textId="77777777" w:rsidR="00FD7787" w:rsidRPr="002E2365" w:rsidRDefault="00FD7787" w:rsidP="005377DC">
            <w:pPr>
              <w:jc w:val="center"/>
              <w:rPr>
                <w:bCs/>
              </w:rPr>
            </w:pPr>
          </w:p>
          <w:p w14:paraId="30792342" w14:textId="77777777" w:rsidR="00D50F8D" w:rsidRPr="002E2365" w:rsidRDefault="00D50F8D" w:rsidP="005377DC">
            <w:pPr>
              <w:jc w:val="center"/>
              <w:rPr>
                <w:bCs/>
              </w:rPr>
            </w:pPr>
          </w:p>
          <w:p w14:paraId="324A70D8" w14:textId="77777777" w:rsidR="00887724" w:rsidRPr="002E2365" w:rsidRDefault="009324F3" w:rsidP="005377DC">
            <w:pPr>
              <w:jc w:val="center"/>
              <w:rPr>
                <w:bCs/>
              </w:rPr>
            </w:pPr>
            <w:r w:rsidRPr="002E2365">
              <w:rPr>
                <w:bCs/>
              </w:rPr>
              <w:t>2</w:t>
            </w:r>
          </w:p>
          <w:p w14:paraId="6CD7EE73" w14:textId="77777777" w:rsidR="00887724" w:rsidRPr="002E2365" w:rsidRDefault="00887724" w:rsidP="0019254E">
            <w:pPr>
              <w:jc w:val="center"/>
              <w:rPr>
                <w:bCs/>
              </w:rPr>
            </w:pPr>
          </w:p>
        </w:tc>
        <w:tc>
          <w:tcPr>
            <w:tcW w:w="658" w:type="pct"/>
            <w:shd w:val="clear" w:color="auto" w:fill="FFFFFF"/>
            <w:vAlign w:val="center"/>
          </w:tcPr>
          <w:p w14:paraId="32E3A5C4" w14:textId="77777777" w:rsidR="00FD7787" w:rsidRPr="002E2365" w:rsidRDefault="003C232E" w:rsidP="005377DC">
            <w:pPr>
              <w:jc w:val="center"/>
              <w:rPr>
                <w:bCs/>
              </w:rPr>
            </w:pPr>
            <w:r w:rsidRPr="002E2365">
              <w:rPr>
                <w:bCs/>
              </w:rPr>
              <w:t>120</w:t>
            </w:r>
          </w:p>
          <w:p w14:paraId="625B30EF" w14:textId="77777777" w:rsidR="00D50F8D" w:rsidRPr="002E2365" w:rsidRDefault="00D50F8D" w:rsidP="005377DC">
            <w:pPr>
              <w:jc w:val="center"/>
              <w:rPr>
                <w:bCs/>
              </w:rPr>
            </w:pPr>
          </w:p>
          <w:p w14:paraId="5F712DC5" w14:textId="77777777" w:rsidR="00887724" w:rsidRPr="002E2365" w:rsidRDefault="00887724" w:rsidP="005377DC">
            <w:pPr>
              <w:jc w:val="center"/>
              <w:rPr>
                <w:bCs/>
              </w:rPr>
            </w:pPr>
          </w:p>
          <w:p w14:paraId="13F5BC74" w14:textId="77777777" w:rsidR="00D50F8D" w:rsidRPr="002E2365" w:rsidRDefault="00D2767E" w:rsidP="005377DC">
            <w:pPr>
              <w:jc w:val="center"/>
              <w:rPr>
                <w:bCs/>
              </w:rPr>
            </w:pPr>
            <w:r w:rsidRPr="002E2365">
              <w:rPr>
                <w:bCs/>
              </w:rPr>
              <w:t>48</w:t>
            </w:r>
          </w:p>
          <w:p w14:paraId="554B7878" w14:textId="77777777" w:rsidR="00887724" w:rsidRPr="002E2365" w:rsidRDefault="00887724" w:rsidP="0019254E">
            <w:pPr>
              <w:jc w:val="center"/>
              <w:rPr>
                <w:bCs/>
              </w:rPr>
            </w:pPr>
          </w:p>
        </w:tc>
      </w:tr>
      <w:tr w:rsidR="00A41237" w:rsidRPr="002E2365" w14:paraId="6BCBE762" w14:textId="77777777" w:rsidTr="00D91141">
        <w:tc>
          <w:tcPr>
            <w:tcW w:w="240" w:type="pct"/>
            <w:shd w:val="clear" w:color="auto" w:fill="FFFFFF"/>
            <w:vAlign w:val="center"/>
          </w:tcPr>
          <w:p w14:paraId="41DC0095" w14:textId="77777777" w:rsidR="00FD7787" w:rsidRPr="002E2365" w:rsidRDefault="00FD7787" w:rsidP="00172DC9">
            <w:pPr>
              <w:jc w:val="center"/>
              <w:rPr>
                <w:bCs/>
              </w:rPr>
            </w:pPr>
            <w:r w:rsidRPr="002E2365">
              <w:rPr>
                <w:bCs/>
              </w:rPr>
              <w:t>f.</w:t>
            </w:r>
          </w:p>
        </w:tc>
        <w:tc>
          <w:tcPr>
            <w:tcW w:w="1745" w:type="pct"/>
            <w:shd w:val="clear" w:color="auto" w:fill="FFFFFF"/>
            <w:vAlign w:val="center"/>
          </w:tcPr>
          <w:p w14:paraId="300F2188" w14:textId="77777777" w:rsidR="00E86C88" w:rsidRPr="002E2365" w:rsidRDefault="00FD7787" w:rsidP="005377DC">
            <w:r w:rsidRPr="002E2365">
              <w:t>§§ 27.1166(a)(1)-(2), 27.1182(a)(1) (disclosures related to registration of FS or BRS relocations with a clearinghouse)</w:t>
            </w:r>
          </w:p>
          <w:p w14:paraId="4F862A3C" w14:textId="77777777" w:rsidR="00FD7787" w:rsidRPr="002E2365" w:rsidRDefault="00E86C88" w:rsidP="005377DC">
            <w:pPr>
              <w:rPr>
                <w:bCs/>
              </w:rPr>
            </w:pPr>
            <w:r w:rsidRPr="002E2365">
              <w:t>(AWS-1</w:t>
            </w:r>
            <w:r w:rsidR="00340117" w:rsidRPr="002E2365">
              <w:rPr>
                <w:rStyle w:val="FootnoteReference"/>
              </w:rPr>
              <w:footnoteReference w:id="19"/>
            </w:r>
            <w:r w:rsidRPr="002E2365">
              <w:t>, AWS-4 and AWS-3 R&amp;O)</w:t>
            </w:r>
            <w:r w:rsidR="00FD7787" w:rsidRPr="002E2365">
              <w:t xml:space="preserve"> </w:t>
            </w:r>
          </w:p>
        </w:tc>
        <w:tc>
          <w:tcPr>
            <w:tcW w:w="648" w:type="pct"/>
            <w:tcBorders>
              <w:right w:val="double" w:sz="4" w:space="0" w:color="auto"/>
            </w:tcBorders>
            <w:shd w:val="clear" w:color="auto" w:fill="FFFFFF"/>
            <w:vAlign w:val="center"/>
          </w:tcPr>
          <w:p w14:paraId="690F12BE" w14:textId="77777777" w:rsidR="00FD7787" w:rsidRPr="002E2365" w:rsidRDefault="006E36CC" w:rsidP="009120C2">
            <w:pPr>
              <w:jc w:val="center"/>
              <w:rPr>
                <w:bCs/>
              </w:rPr>
            </w:pPr>
            <w:r w:rsidRPr="002E2365">
              <w:rPr>
                <w:bCs/>
              </w:rPr>
              <w:t>241</w:t>
            </w:r>
          </w:p>
        </w:tc>
        <w:tc>
          <w:tcPr>
            <w:tcW w:w="611" w:type="pct"/>
            <w:tcBorders>
              <w:left w:val="double" w:sz="4" w:space="0" w:color="auto"/>
            </w:tcBorders>
            <w:shd w:val="clear" w:color="auto" w:fill="FFFFFF"/>
            <w:vAlign w:val="center"/>
          </w:tcPr>
          <w:p w14:paraId="024EDFCA" w14:textId="77777777" w:rsidR="00FD7787" w:rsidRPr="002E2365" w:rsidRDefault="006D28F8" w:rsidP="00DB3329">
            <w:pPr>
              <w:jc w:val="center"/>
              <w:rPr>
                <w:bCs/>
              </w:rPr>
            </w:pPr>
            <w:r w:rsidRPr="002E2365">
              <w:rPr>
                <w:bCs/>
              </w:rPr>
              <w:t>3</w:t>
            </w:r>
            <w:r w:rsidR="00B800BC" w:rsidRPr="002E2365">
              <w:rPr>
                <w:bCs/>
              </w:rPr>
              <w:t xml:space="preserve"> </w:t>
            </w:r>
            <w:r w:rsidR="00FD7787" w:rsidRPr="002E2365">
              <w:rPr>
                <w:bCs/>
              </w:rPr>
              <w:t>(on occasion</w:t>
            </w:r>
          </w:p>
          <w:p w14:paraId="26EBF6EA" w14:textId="77777777" w:rsidR="00FD7787" w:rsidRPr="002E2365" w:rsidRDefault="00FD7787" w:rsidP="005377DC">
            <w:pPr>
              <w:jc w:val="center"/>
              <w:rPr>
                <w:bCs/>
              </w:rPr>
            </w:pPr>
          </w:p>
        </w:tc>
        <w:tc>
          <w:tcPr>
            <w:tcW w:w="569" w:type="pct"/>
            <w:shd w:val="clear" w:color="auto" w:fill="FFFFFF"/>
            <w:vAlign w:val="center"/>
          </w:tcPr>
          <w:p w14:paraId="456C4122" w14:textId="77777777" w:rsidR="00887724" w:rsidRPr="002E2365" w:rsidRDefault="00E45818" w:rsidP="00E45818">
            <w:pPr>
              <w:jc w:val="center"/>
              <w:rPr>
                <w:bCs/>
              </w:rPr>
            </w:pPr>
            <w:r w:rsidRPr="002E2365">
              <w:rPr>
                <w:bCs/>
              </w:rPr>
              <w:t>723</w:t>
            </w:r>
          </w:p>
        </w:tc>
        <w:tc>
          <w:tcPr>
            <w:tcW w:w="529" w:type="pct"/>
            <w:shd w:val="clear" w:color="auto" w:fill="FFFFFF"/>
            <w:vAlign w:val="center"/>
          </w:tcPr>
          <w:p w14:paraId="650B82D3" w14:textId="77777777" w:rsidR="00FD7787" w:rsidRPr="002E2365" w:rsidRDefault="00FD7787" w:rsidP="005377DC">
            <w:pPr>
              <w:jc w:val="center"/>
              <w:rPr>
                <w:bCs/>
              </w:rPr>
            </w:pPr>
            <w:r w:rsidRPr="002E2365">
              <w:rPr>
                <w:bCs/>
              </w:rPr>
              <w:t>0.5</w:t>
            </w:r>
          </w:p>
        </w:tc>
        <w:tc>
          <w:tcPr>
            <w:tcW w:w="658" w:type="pct"/>
            <w:shd w:val="clear" w:color="auto" w:fill="FFFFFF"/>
            <w:vAlign w:val="center"/>
          </w:tcPr>
          <w:p w14:paraId="05A6D1D1" w14:textId="77777777" w:rsidR="00FD7787" w:rsidRPr="002E2365" w:rsidRDefault="006D28F8" w:rsidP="003A0A4A">
            <w:pPr>
              <w:jc w:val="center"/>
              <w:rPr>
                <w:bCs/>
              </w:rPr>
            </w:pPr>
            <w:r w:rsidRPr="002E2365">
              <w:rPr>
                <w:bCs/>
              </w:rPr>
              <w:t>362†</w:t>
            </w:r>
          </w:p>
        </w:tc>
      </w:tr>
      <w:tr w:rsidR="00A41237" w:rsidRPr="002E2365" w14:paraId="45F6D3F9" w14:textId="77777777" w:rsidTr="00D91141">
        <w:tc>
          <w:tcPr>
            <w:tcW w:w="240" w:type="pct"/>
            <w:shd w:val="clear" w:color="auto" w:fill="FFFFFF"/>
            <w:vAlign w:val="center"/>
          </w:tcPr>
          <w:p w14:paraId="08789E1B" w14:textId="77777777" w:rsidR="00FD7787" w:rsidRPr="002E2365" w:rsidRDefault="00FD7787" w:rsidP="00172DC9">
            <w:pPr>
              <w:jc w:val="center"/>
              <w:rPr>
                <w:bCs/>
              </w:rPr>
            </w:pPr>
            <w:r w:rsidRPr="002E2365">
              <w:rPr>
                <w:bCs/>
              </w:rPr>
              <w:t>g.</w:t>
            </w:r>
          </w:p>
        </w:tc>
        <w:tc>
          <w:tcPr>
            <w:tcW w:w="1745" w:type="pct"/>
            <w:shd w:val="clear" w:color="auto" w:fill="FFFFFF"/>
            <w:vAlign w:val="center"/>
          </w:tcPr>
          <w:p w14:paraId="16561CE5" w14:textId="77777777" w:rsidR="00FD7787" w:rsidRPr="002E2365" w:rsidRDefault="00FD7787" w:rsidP="005377DC">
            <w:pPr>
              <w:rPr>
                <w:bCs/>
              </w:rPr>
            </w:pPr>
            <w:r w:rsidRPr="002E2365">
              <w:t>§§ 27.1166(b), 27.1182(b) (disclosures to clearinghouses related to documentation of reimbursable costs for FS or BRS relocations)</w:t>
            </w:r>
            <w:r w:rsidR="00E86C88" w:rsidRPr="002E2365">
              <w:t xml:space="preserve"> (AWS-1, AWS-4 and AWS-3 R&amp;O)</w:t>
            </w:r>
          </w:p>
        </w:tc>
        <w:tc>
          <w:tcPr>
            <w:tcW w:w="648" w:type="pct"/>
            <w:tcBorders>
              <w:right w:val="double" w:sz="4" w:space="0" w:color="auto"/>
            </w:tcBorders>
            <w:shd w:val="clear" w:color="auto" w:fill="FFFFFF"/>
            <w:vAlign w:val="center"/>
          </w:tcPr>
          <w:p w14:paraId="009F41AE" w14:textId="77777777" w:rsidR="003F2D10" w:rsidRPr="002E2365" w:rsidRDefault="003F2D10" w:rsidP="005377DC">
            <w:pPr>
              <w:jc w:val="center"/>
              <w:rPr>
                <w:bCs/>
              </w:rPr>
            </w:pPr>
          </w:p>
          <w:p w14:paraId="78A7646F" w14:textId="77777777" w:rsidR="00DF2846" w:rsidRPr="002E2365" w:rsidRDefault="0096658B" w:rsidP="005377DC">
            <w:pPr>
              <w:jc w:val="center"/>
              <w:rPr>
                <w:bCs/>
              </w:rPr>
            </w:pPr>
            <w:r w:rsidRPr="002E2365">
              <w:rPr>
                <w:bCs/>
              </w:rPr>
              <w:t>241</w:t>
            </w:r>
            <w:r w:rsidR="00D2767E" w:rsidRPr="002E2365">
              <w:rPr>
                <w:bCs/>
              </w:rPr>
              <w:t xml:space="preserve"> </w:t>
            </w:r>
            <w:r w:rsidR="00DF2846" w:rsidRPr="002E2365">
              <w:rPr>
                <w:bCs/>
              </w:rPr>
              <w:t>(FS)</w:t>
            </w:r>
          </w:p>
          <w:p w14:paraId="48C4E751" w14:textId="77777777" w:rsidR="00DF2846" w:rsidRPr="002E2365" w:rsidRDefault="00DF2846" w:rsidP="005377DC">
            <w:pPr>
              <w:jc w:val="center"/>
              <w:rPr>
                <w:bCs/>
              </w:rPr>
            </w:pPr>
          </w:p>
          <w:p w14:paraId="44EAF082" w14:textId="77777777" w:rsidR="00D2767E" w:rsidRPr="002E2365" w:rsidRDefault="00D2767E" w:rsidP="005377DC">
            <w:pPr>
              <w:jc w:val="center"/>
              <w:rPr>
                <w:bCs/>
              </w:rPr>
            </w:pPr>
          </w:p>
          <w:p w14:paraId="04197C27" w14:textId="77777777" w:rsidR="00FD7787" w:rsidRPr="002E2365" w:rsidRDefault="001013B7" w:rsidP="005377DC">
            <w:pPr>
              <w:jc w:val="center"/>
              <w:rPr>
                <w:bCs/>
              </w:rPr>
            </w:pPr>
            <w:r w:rsidRPr="002E2365">
              <w:rPr>
                <w:bCs/>
              </w:rPr>
              <w:t>60</w:t>
            </w:r>
            <w:r w:rsidR="00D2767E" w:rsidRPr="002E2365">
              <w:rPr>
                <w:bCs/>
              </w:rPr>
              <w:t xml:space="preserve"> </w:t>
            </w:r>
            <w:r w:rsidR="00DF2846" w:rsidRPr="002E2365">
              <w:rPr>
                <w:bCs/>
              </w:rPr>
              <w:t>(BRS)</w:t>
            </w:r>
          </w:p>
          <w:p w14:paraId="60BC9E3C" w14:textId="77777777" w:rsidR="00887724" w:rsidRPr="002E2365" w:rsidRDefault="00887724" w:rsidP="005377DC">
            <w:pPr>
              <w:jc w:val="center"/>
              <w:rPr>
                <w:bCs/>
              </w:rPr>
            </w:pPr>
          </w:p>
          <w:p w14:paraId="3F0F5B3C" w14:textId="77777777" w:rsidR="00887724" w:rsidRPr="002E2365" w:rsidRDefault="00887724" w:rsidP="0019254E">
            <w:pPr>
              <w:jc w:val="center"/>
              <w:rPr>
                <w:bCs/>
              </w:rPr>
            </w:pPr>
          </w:p>
        </w:tc>
        <w:tc>
          <w:tcPr>
            <w:tcW w:w="611" w:type="pct"/>
            <w:tcBorders>
              <w:left w:val="double" w:sz="4" w:space="0" w:color="auto"/>
            </w:tcBorders>
            <w:shd w:val="clear" w:color="auto" w:fill="FFFFFF"/>
            <w:vAlign w:val="center"/>
          </w:tcPr>
          <w:p w14:paraId="4B2BD4CD" w14:textId="77777777" w:rsidR="00FD7787" w:rsidRPr="002E2365" w:rsidRDefault="001013B7" w:rsidP="00DF2846">
            <w:pPr>
              <w:rPr>
                <w:bCs/>
              </w:rPr>
            </w:pPr>
            <w:r w:rsidRPr="002E2365">
              <w:rPr>
                <w:bCs/>
              </w:rPr>
              <w:t xml:space="preserve">     </w:t>
            </w:r>
            <w:r w:rsidR="00DF2846" w:rsidRPr="002E2365">
              <w:rPr>
                <w:bCs/>
              </w:rPr>
              <w:t xml:space="preserve">1 </w:t>
            </w:r>
            <w:r w:rsidR="00FD7787" w:rsidRPr="002E2365">
              <w:rPr>
                <w:bCs/>
              </w:rPr>
              <w:t>(on occasion)</w:t>
            </w:r>
          </w:p>
          <w:p w14:paraId="6B8FABAA" w14:textId="77777777" w:rsidR="00F24FED" w:rsidRPr="002E2365" w:rsidRDefault="00F24FED" w:rsidP="005377DC">
            <w:pPr>
              <w:jc w:val="center"/>
              <w:rPr>
                <w:bCs/>
              </w:rPr>
            </w:pPr>
          </w:p>
          <w:p w14:paraId="01B987E1" w14:textId="77777777" w:rsidR="00FD7787" w:rsidRPr="002E2365" w:rsidRDefault="00DF2846" w:rsidP="003F2D10">
            <w:pPr>
              <w:jc w:val="center"/>
              <w:rPr>
                <w:bCs/>
              </w:rPr>
            </w:pPr>
            <w:r w:rsidRPr="002E2365">
              <w:rPr>
                <w:bCs/>
              </w:rPr>
              <w:t>1 (on occasion)</w:t>
            </w:r>
          </w:p>
        </w:tc>
        <w:tc>
          <w:tcPr>
            <w:tcW w:w="569" w:type="pct"/>
            <w:shd w:val="clear" w:color="auto" w:fill="FFFFFF"/>
          </w:tcPr>
          <w:p w14:paraId="459E849A" w14:textId="77777777" w:rsidR="00887724" w:rsidRPr="002E2365" w:rsidRDefault="00887724" w:rsidP="000430A9">
            <w:pPr>
              <w:rPr>
                <w:bCs/>
              </w:rPr>
            </w:pPr>
          </w:p>
          <w:p w14:paraId="6D51D4D2" w14:textId="77777777" w:rsidR="000430A9" w:rsidRPr="002E2365" w:rsidRDefault="000430A9" w:rsidP="000430A9">
            <w:pPr>
              <w:jc w:val="center"/>
              <w:rPr>
                <w:bCs/>
              </w:rPr>
            </w:pPr>
            <w:r w:rsidRPr="002E2365">
              <w:rPr>
                <w:bCs/>
              </w:rPr>
              <w:t>241</w:t>
            </w:r>
          </w:p>
          <w:p w14:paraId="775E7B11" w14:textId="77777777" w:rsidR="00887724" w:rsidRPr="002E2365" w:rsidRDefault="00887724" w:rsidP="000430A9">
            <w:pPr>
              <w:rPr>
                <w:bCs/>
              </w:rPr>
            </w:pPr>
          </w:p>
          <w:p w14:paraId="7EA421E6" w14:textId="77777777" w:rsidR="000430A9" w:rsidRPr="002E2365" w:rsidRDefault="000430A9" w:rsidP="000430A9">
            <w:pPr>
              <w:rPr>
                <w:bCs/>
              </w:rPr>
            </w:pPr>
          </w:p>
          <w:p w14:paraId="79B575F4" w14:textId="77777777" w:rsidR="000430A9" w:rsidRPr="002E2365" w:rsidRDefault="000430A9" w:rsidP="000430A9">
            <w:pPr>
              <w:jc w:val="center"/>
              <w:rPr>
                <w:bCs/>
              </w:rPr>
            </w:pPr>
            <w:r w:rsidRPr="002E2365">
              <w:rPr>
                <w:bCs/>
              </w:rPr>
              <w:t>60</w:t>
            </w:r>
          </w:p>
        </w:tc>
        <w:tc>
          <w:tcPr>
            <w:tcW w:w="529" w:type="pct"/>
            <w:shd w:val="clear" w:color="auto" w:fill="FFFFFF"/>
            <w:vAlign w:val="center"/>
          </w:tcPr>
          <w:p w14:paraId="417B0628" w14:textId="77777777" w:rsidR="003F2D10" w:rsidRPr="002E2365" w:rsidRDefault="00D2767E" w:rsidP="005377DC">
            <w:pPr>
              <w:jc w:val="center"/>
              <w:rPr>
                <w:bCs/>
              </w:rPr>
            </w:pPr>
            <w:r w:rsidRPr="002E2365">
              <w:rPr>
                <w:bCs/>
              </w:rPr>
              <w:t>1</w:t>
            </w:r>
          </w:p>
          <w:p w14:paraId="27A7F164" w14:textId="77777777" w:rsidR="00FD7787" w:rsidRPr="002E2365" w:rsidRDefault="00FD7787" w:rsidP="005377DC">
            <w:pPr>
              <w:jc w:val="center"/>
              <w:rPr>
                <w:bCs/>
              </w:rPr>
            </w:pPr>
          </w:p>
          <w:p w14:paraId="70E46064" w14:textId="77777777" w:rsidR="00FD7787" w:rsidRPr="002E2365" w:rsidRDefault="00FD7787" w:rsidP="005377DC">
            <w:pPr>
              <w:jc w:val="center"/>
              <w:rPr>
                <w:bCs/>
              </w:rPr>
            </w:pPr>
          </w:p>
          <w:p w14:paraId="0452DF15" w14:textId="77777777" w:rsidR="00887724" w:rsidRPr="002E2365" w:rsidRDefault="00DF2846" w:rsidP="005377DC">
            <w:pPr>
              <w:jc w:val="center"/>
              <w:rPr>
                <w:bCs/>
              </w:rPr>
            </w:pPr>
            <w:r w:rsidRPr="002E2365">
              <w:rPr>
                <w:bCs/>
              </w:rPr>
              <w:t>3</w:t>
            </w:r>
          </w:p>
          <w:p w14:paraId="7A44DAC1" w14:textId="77777777" w:rsidR="00887724" w:rsidRPr="002E2365" w:rsidRDefault="00887724" w:rsidP="0019254E">
            <w:pPr>
              <w:jc w:val="center"/>
              <w:rPr>
                <w:bCs/>
              </w:rPr>
            </w:pPr>
          </w:p>
        </w:tc>
        <w:tc>
          <w:tcPr>
            <w:tcW w:w="658" w:type="pct"/>
            <w:shd w:val="clear" w:color="auto" w:fill="FFFFFF"/>
            <w:vAlign w:val="center"/>
          </w:tcPr>
          <w:p w14:paraId="3E890BCF" w14:textId="77777777" w:rsidR="003F2D10" w:rsidRPr="002E2365" w:rsidRDefault="00D2767E" w:rsidP="005377DC">
            <w:pPr>
              <w:jc w:val="center"/>
              <w:rPr>
                <w:bCs/>
              </w:rPr>
            </w:pPr>
            <w:r w:rsidRPr="002E2365">
              <w:rPr>
                <w:bCs/>
              </w:rPr>
              <w:t>241</w:t>
            </w:r>
          </w:p>
          <w:p w14:paraId="2A96DB0B" w14:textId="77777777" w:rsidR="00FD7787" w:rsidRPr="002E2365" w:rsidRDefault="00FD7787" w:rsidP="00D2767E">
            <w:pPr>
              <w:rPr>
                <w:bCs/>
              </w:rPr>
            </w:pPr>
          </w:p>
          <w:p w14:paraId="785DFC79" w14:textId="77777777" w:rsidR="00FD7787" w:rsidRPr="002E2365" w:rsidRDefault="00FD7787" w:rsidP="005377DC">
            <w:pPr>
              <w:jc w:val="center"/>
              <w:rPr>
                <w:bCs/>
              </w:rPr>
            </w:pPr>
          </w:p>
          <w:p w14:paraId="48ABB919" w14:textId="77777777" w:rsidR="00887724" w:rsidRPr="002E2365" w:rsidRDefault="001013B7" w:rsidP="005377DC">
            <w:pPr>
              <w:jc w:val="center"/>
              <w:rPr>
                <w:bCs/>
              </w:rPr>
            </w:pPr>
            <w:r w:rsidRPr="002E2365">
              <w:rPr>
                <w:bCs/>
              </w:rPr>
              <w:t>180</w:t>
            </w:r>
          </w:p>
          <w:p w14:paraId="7EE8D9C2" w14:textId="77777777" w:rsidR="00887724" w:rsidRPr="002E2365" w:rsidRDefault="00887724" w:rsidP="0019254E">
            <w:pPr>
              <w:jc w:val="center"/>
              <w:rPr>
                <w:bCs/>
              </w:rPr>
            </w:pPr>
          </w:p>
        </w:tc>
      </w:tr>
      <w:tr w:rsidR="00A41237" w:rsidRPr="002E2365" w14:paraId="15AB3CDD" w14:textId="77777777" w:rsidTr="00D91141">
        <w:tc>
          <w:tcPr>
            <w:tcW w:w="240" w:type="pct"/>
            <w:shd w:val="clear" w:color="auto" w:fill="FFFFFF"/>
            <w:vAlign w:val="center"/>
          </w:tcPr>
          <w:p w14:paraId="292ED1E6" w14:textId="77777777" w:rsidR="00FD7787" w:rsidRPr="002E2365" w:rsidRDefault="00FD7787" w:rsidP="00172DC9">
            <w:pPr>
              <w:jc w:val="center"/>
              <w:rPr>
                <w:bCs/>
              </w:rPr>
            </w:pPr>
            <w:r w:rsidRPr="002E2365">
              <w:rPr>
                <w:bCs/>
              </w:rPr>
              <w:t>h.</w:t>
            </w:r>
          </w:p>
        </w:tc>
        <w:tc>
          <w:tcPr>
            <w:tcW w:w="1745" w:type="pct"/>
            <w:shd w:val="clear" w:color="auto" w:fill="FFFFFF"/>
            <w:vAlign w:val="center"/>
          </w:tcPr>
          <w:p w14:paraId="04372140" w14:textId="77777777" w:rsidR="00FD7787" w:rsidRPr="002E2365" w:rsidRDefault="00FD7787" w:rsidP="005377DC">
            <w:r w:rsidRPr="002E2365">
              <w:t>§§ 27.1166</w:t>
            </w:r>
            <w:r w:rsidR="00E86C88" w:rsidRPr="002E2365">
              <w:t>(a)</w:t>
            </w:r>
            <w:r w:rsidR="00EA6157" w:rsidRPr="002E2365">
              <w:t>,</w:t>
            </w:r>
            <w:r w:rsidRPr="002E2365">
              <w:t>(b),</w:t>
            </w:r>
            <w:r w:rsidR="00EA6157" w:rsidRPr="002E2365">
              <w:t>(f)</w:t>
            </w:r>
            <w:r w:rsidRPr="002E2365">
              <w:t xml:space="preserve"> 27.1182(b) (additional </w:t>
            </w:r>
            <w:r w:rsidR="00542E63" w:rsidRPr="002E2365">
              <w:t xml:space="preserve">recordkeeping, </w:t>
            </w:r>
            <w:r w:rsidRPr="002E2365">
              <w:t>disclosures of documentation to clearinghouse or other licensee(s)</w:t>
            </w:r>
            <w:r w:rsidR="00542E63" w:rsidRPr="002E2365">
              <w:t>, and reporting to FCC</w:t>
            </w:r>
            <w:r w:rsidRPr="002E2365">
              <w:t xml:space="preserve"> </w:t>
            </w:r>
            <w:r w:rsidR="00542E63" w:rsidRPr="002E2365">
              <w:t>(AWS</w:t>
            </w:r>
            <w:r w:rsidR="00542E63" w:rsidRPr="002E2365">
              <w:noBreakHyphen/>
            </w:r>
            <w:r w:rsidR="0021658F" w:rsidRPr="002E2365">
              <w:t xml:space="preserve">1, AWS-4 and AWS-3 R&amp;O) </w:t>
            </w:r>
          </w:p>
          <w:p w14:paraId="52034CAC" w14:textId="77777777" w:rsidR="003F2D10" w:rsidRPr="002E2365" w:rsidRDefault="003F2D10">
            <w:pPr>
              <w:rPr>
                <w:bCs/>
              </w:rPr>
            </w:pPr>
          </w:p>
        </w:tc>
        <w:tc>
          <w:tcPr>
            <w:tcW w:w="648" w:type="pct"/>
            <w:tcBorders>
              <w:right w:val="double" w:sz="4" w:space="0" w:color="auto"/>
            </w:tcBorders>
            <w:shd w:val="clear" w:color="auto" w:fill="FFFFFF"/>
            <w:vAlign w:val="center"/>
          </w:tcPr>
          <w:p w14:paraId="63A133B4" w14:textId="77777777" w:rsidR="00FD7787" w:rsidRPr="002E2365" w:rsidRDefault="00A547BF" w:rsidP="009120C2">
            <w:pPr>
              <w:jc w:val="center"/>
              <w:rPr>
                <w:bCs/>
              </w:rPr>
            </w:pPr>
            <w:r w:rsidRPr="002E2365">
              <w:rPr>
                <w:bCs/>
              </w:rPr>
              <w:t>60</w:t>
            </w:r>
          </w:p>
          <w:p w14:paraId="3A497CB3" w14:textId="77777777" w:rsidR="00887724" w:rsidRPr="002E2365" w:rsidRDefault="00887724" w:rsidP="009120C2">
            <w:pPr>
              <w:jc w:val="center"/>
              <w:rPr>
                <w:bCs/>
              </w:rPr>
            </w:pPr>
          </w:p>
        </w:tc>
        <w:tc>
          <w:tcPr>
            <w:tcW w:w="611" w:type="pct"/>
            <w:tcBorders>
              <w:left w:val="double" w:sz="4" w:space="0" w:color="auto"/>
            </w:tcBorders>
            <w:shd w:val="clear" w:color="auto" w:fill="FFFFFF"/>
            <w:vAlign w:val="center"/>
          </w:tcPr>
          <w:p w14:paraId="30419F9E" w14:textId="77777777" w:rsidR="00FD7787" w:rsidRPr="002E2365" w:rsidRDefault="00A547BF" w:rsidP="003F2D10">
            <w:pPr>
              <w:jc w:val="center"/>
              <w:rPr>
                <w:bCs/>
              </w:rPr>
            </w:pPr>
            <w:r w:rsidRPr="002E2365">
              <w:rPr>
                <w:bCs/>
              </w:rPr>
              <w:t>10</w:t>
            </w:r>
            <m:oMath>
              <m:r>
                <w:rPr>
                  <w:rFonts w:ascii="Cambria Math" w:hAnsi="Cambria Math"/>
                </w:rPr>
                <m:t>†</m:t>
              </m:r>
            </m:oMath>
            <w:r w:rsidR="003F2D10" w:rsidRPr="002E2365">
              <w:rPr>
                <w:bCs/>
              </w:rPr>
              <w:t xml:space="preserve"> </w:t>
            </w:r>
            <w:r w:rsidR="00FD7787" w:rsidRPr="002E2365">
              <w:rPr>
                <w:bCs/>
              </w:rPr>
              <w:t>(on occasion)</w:t>
            </w:r>
          </w:p>
        </w:tc>
        <w:tc>
          <w:tcPr>
            <w:tcW w:w="569" w:type="pct"/>
            <w:shd w:val="clear" w:color="auto" w:fill="FFFFFF"/>
          </w:tcPr>
          <w:p w14:paraId="609539E7" w14:textId="77777777" w:rsidR="00FD7787" w:rsidRPr="002E2365" w:rsidRDefault="00FD7787" w:rsidP="005377DC">
            <w:pPr>
              <w:jc w:val="center"/>
              <w:rPr>
                <w:bCs/>
              </w:rPr>
            </w:pPr>
          </w:p>
          <w:p w14:paraId="57DB3406" w14:textId="77777777" w:rsidR="00887724" w:rsidRPr="002E2365" w:rsidRDefault="00887724" w:rsidP="005377DC">
            <w:pPr>
              <w:jc w:val="center"/>
              <w:rPr>
                <w:bCs/>
              </w:rPr>
            </w:pPr>
          </w:p>
          <w:p w14:paraId="0F67B39B" w14:textId="77777777" w:rsidR="00887724" w:rsidRPr="002E2365" w:rsidRDefault="000430A9" w:rsidP="005377DC">
            <w:pPr>
              <w:jc w:val="center"/>
              <w:rPr>
                <w:bCs/>
              </w:rPr>
            </w:pPr>
            <w:r w:rsidRPr="002E2365">
              <w:rPr>
                <w:bCs/>
              </w:rPr>
              <w:t>600</w:t>
            </w:r>
          </w:p>
        </w:tc>
        <w:tc>
          <w:tcPr>
            <w:tcW w:w="529" w:type="pct"/>
            <w:shd w:val="clear" w:color="auto" w:fill="FFFFFF"/>
            <w:vAlign w:val="center"/>
          </w:tcPr>
          <w:p w14:paraId="18620A97" w14:textId="77777777" w:rsidR="00FD7787" w:rsidRPr="002E2365" w:rsidRDefault="00FD7787" w:rsidP="005377DC">
            <w:pPr>
              <w:jc w:val="center"/>
              <w:rPr>
                <w:bCs/>
              </w:rPr>
            </w:pPr>
            <w:r w:rsidRPr="002E2365">
              <w:rPr>
                <w:bCs/>
              </w:rPr>
              <w:t>1</w:t>
            </w:r>
          </w:p>
          <w:p w14:paraId="043D0F10" w14:textId="77777777" w:rsidR="00887724" w:rsidRPr="002E2365" w:rsidRDefault="00887724" w:rsidP="005377DC">
            <w:pPr>
              <w:jc w:val="center"/>
              <w:rPr>
                <w:bCs/>
              </w:rPr>
            </w:pPr>
          </w:p>
        </w:tc>
        <w:tc>
          <w:tcPr>
            <w:tcW w:w="658" w:type="pct"/>
            <w:shd w:val="clear" w:color="auto" w:fill="FFFFFF"/>
          </w:tcPr>
          <w:p w14:paraId="357781E0" w14:textId="77777777" w:rsidR="005D6470" w:rsidRPr="002E2365" w:rsidRDefault="005D6470">
            <w:pPr>
              <w:rPr>
                <w:bCs/>
              </w:rPr>
            </w:pPr>
          </w:p>
          <w:p w14:paraId="44BE3688" w14:textId="77777777" w:rsidR="005D6470" w:rsidRPr="002E2365" w:rsidRDefault="005D6470">
            <w:pPr>
              <w:rPr>
                <w:bCs/>
              </w:rPr>
            </w:pPr>
          </w:p>
          <w:p w14:paraId="503ED62C" w14:textId="77777777" w:rsidR="00887724" w:rsidRPr="002E2365" w:rsidRDefault="00A547BF" w:rsidP="00AA225B">
            <w:pPr>
              <w:jc w:val="center"/>
              <w:rPr>
                <w:bCs/>
                <w:snapToGrid/>
              </w:rPr>
            </w:pPr>
            <w:r w:rsidRPr="002E2365">
              <w:rPr>
                <w:bCs/>
              </w:rPr>
              <w:t>600</w:t>
            </w:r>
          </w:p>
        </w:tc>
      </w:tr>
      <w:tr w:rsidR="00A41237" w:rsidRPr="002E2365" w14:paraId="30D72C45" w14:textId="77777777" w:rsidTr="00D91141">
        <w:tc>
          <w:tcPr>
            <w:tcW w:w="240" w:type="pct"/>
            <w:shd w:val="clear" w:color="auto" w:fill="FFFFFF"/>
            <w:vAlign w:val="center"/>
          </w:tcPr>
          <w:p w14:paraId="654AACD2" w14:textId="77777777" w:rsidR="00FD7787" w:rsidRPr="002E2365" w:rsidRDefault="00FD7787" w:rsidP="00172DC9">
            <w:pPr>
              <w:jc w:val="center"/>
              <w:rPr>
                <w:bCs/>
              </w:rPr>
            </w:pPr>
            <w:r w:rsidRPr="002E2365">
              <w:rPr>
                <w:bCs/>
              </w:rPr>
              <w:t>i.</w:t>
            </w:r>
          </w:p>
        </w:tc>
        <w:tc>
          <w:tcPr>
            <w:tcW w:w="1745" w:type="pct"/>
            <w:shd w:val="clear" w:color="auto" w:fill="FFFFFF"/>
            <w:vAlign w:val="center"/>
          </w:tcPr>
          <w:p w14:paraId="7CD4D984" w14:textId="77777777" w:rsidR="00FD7787" w:rsidRPr="002E2365" w:rsidRDefault="00340117" w:rsidP="005377DC">
            <w:pPr>
              <w:rPr>
                <w:bCs/>
              </w:rPr>
            </w:pPr>
            <w:r w:rsidRPr="002E2365">
              <w:t>§§</w:t>
            </w:r>
            <w:r w:rsidR="00FD7787" w:rsidRPr="002E2365">
              <w:t xml:space="preserve"> 27.1170, </w:t>
            </w:r>
            <w:r w:rsidR="00FD7787" w:rsidRPr="002E2365">
              <w:rPr>
                <w:bCs/>
              </w:rPr>
              <w:t>27.1186 (d</w:t>
            </w:r>
            <w:r w:rsidR="00FD7787" w:rsidRPr="002E2365">
              <w:t xml:space="preserve">isclosures to clearinghouses related to AWS site-specific data (prior to initiating new or modified operations). </w:t>
            </w:r>
            <w:r w:rsidR="00467F73" w:rsidRPr="002E2365">
              <w:t xml:space="preserve"> (AWS</w:t>
            </w:r>
            <w:r w:rsidR="00467F73" w:rsidRPr="002E2365">
              <w:noBreakHyphen/>
              <w:t>1, AWS-4 and AWS-3 R&amp;O)</w:t>
            </w:r>
          </w:p>
        </w:tc>
        <w:tc>
          <w:tcPr>
            <w:tcW w:w="648" w:type="pct"/>
            <w:tcBorders>
              <w:right w:val="double" w:sz="4" w:space="0" w:color="auto"/>
            </w:tcBorders>
            <w:shd w:val="clear" w:color="auto" w:fill="FFFFFF"/>
            <w:vAlign w:val="center"/>
          </w:tcPr>
          <w:p w14:paraId="0CA98602" w14:textId="77777777" w:rsidR="00FD7787" w:rsidRPr="002E2365" w:rsidRDefault="006E36CC" w:rsidP="005377DC">
            <w:pPr>
              <w:jc w:val="center"/>
              <w:rPr>
                <w:bCs/>
              </w:rPr>
            </w:pPr>
            <w:r w:rsidRPr="002E2365">
              <w:rPr>
                <w:bCs/>
              </w:rPr>
              <w:t>181</w:t>
            </w:r>
          </w:p>
        </w:tc>
        <w:tc>
          <w:tcPr>
            <w:tcW w:w="611" w:type="pct"/>
            <w:tcBorders>
              <w:left w:val="double" w:sz="4" w:space="0" w:color="auto"/>
            </w:tcBorders>
            <w:shd w:val="clear" w:color="auto" w:fill="FFFFFF"/>
            <w:vAlign w:val="center"/>
          </w:tcPr>
          <w:p w14:paraId="5E86A150" w14:textId="77777777" w:rsidR="003F2D10" w:rsidRPr="002E2365" w:rsidRDefault="003F2D10" w:rsidP="005377DC">
            <w:pPr>
              <w:jc w:val="center"/>
              <w:rPr>
                <w:bCs/>
              </w:rPr>
            </w:pPr>
          </w:p>
          <w:p w14:paraId="6DE768CE" w14:textId="77777777" w:rsidR="00FD7787" w:rsidRPr="002E2365" w:rsidRDefault="006E36CC" w:rsidP="003F2D10">
            <w:pPr>
              <w:jc w:val="center"/>
              <w:rPr>
                <w:bCs/>
              </w:rPr>
            </w:pPr>
            <w:r w:rsidRPr="002E2365">
              <w:rPr>
                <w:bCs/>
              </w:rPr>
              <w:t>1</w:t>
            </w:r>
            <w:r w:rsidR="003F2D10" w:rsidRPr="002E2365">
              <w:rPr>
                <w:bCs/>
              </w:rPr>
              <w:t xml:space="preserve"> </w:t>
            </w:r>
            <w:r w:rsidR="00FD7787" w:rsidRPr="002E2365">
              <w:rPr>
                <w:bCs/>
              </w:rPr>
              <w:t>(on occasion)</w:t>
            </w:r>
          </w:p>
        </w:tc>
        <w:tc>
          <w:tcPr>
            <w:tcW w:w="569" w:type="pct"/>
            <w:shd w:val="clear" w:color="auto" w:fill="FFFFFF"/>
          </w:tcPr>
          <w:p w14:paraId="61AC9282" w14:textId="77777777" w:rsidR="00FD7787" w:rsidRPr="002E2365" w:rsidRDefault="00FD7787" w:rsidP="005377DC">
            <w:pPr>
              <w:jc w:val="center"/>
              <w:rPr>
                <w:bCs/>
              </w:rPr>
            </w:pPr>
          </w:p>
          <w:p w14:paraId="347D5FD1" w14:textId="77777777" w:rsidR="0098347A" w:rsidRPr="002E2365" w:rsidRDefault="0098347A" w:rsidP="005377DC">
            <w:pPr>
              <w:jc w:val="center"/>
              <w:rPr>
                <w:bCs/>
              </w:rPr>
            </w:pPr>
          </w:p>
          <w:p w14:paraId="48D19F8E" w14:textId="77777777" w:rsidR="0098347A" w:rsidRPr="002E2365" w:rsidRDefault="000430A9" w:rsidP="005377DC">
            <w:pPr>
              <w:jc w:val="center"/>
              <w:rPr>
                <w:bCs/>
              </w:rPr>
            </w:pPr>
            <w:r w:rsidRPr="002E2365">
              <w:rPr>
                <w:bCs/>
              </w:rPr>
              <w:t>181</w:t>
            </w:r>
          </w:p>
        </w:tc>
        <w:tc>
          <w:tcPr>
            <w:tcW w:w="529" w:type="pct"/>
            <w:shd w:val="clear" w:color="auto" w:fill="FFFFFF"/>
            <w:vAlign w:val="center"/>
          </w:tcPr>
          <w:p w14:paraId="2CE2E121" w14:textId="77777777" w:rsidR="00FD7787" w:rsidRPr="002E2365" w:rsidRDefault="00FD7787" w:rsidP="005377DC">
            <w:pPr>
              <w:jc w:val="center"/>
              <w:rPr>
                <w:bCs/>
              </w:rPr>
            </w:pPr>
            <w:r w:rsidRPr="002E2365">
              <w:rPr>
                <w:bCs/>
              </w:rPr>
              <w:t>0.25</w:t>
            </w:r>
          </w:p>
        </w:tc>
        <w:tc>
          <w:tcPr>
            <w:tcW w:w="658" w:type="pct"/>
            <w:shd w:val="clear" w:color="auto" w:fill="FFFFFF"/>
            <w:vAlign w:val="center"/>
          </w:tcPr>
          <w:p w14:paraId="16E380F6" w14:textId="77777777" w:rsidR="00FD7787" w:rsidRPr="002E2365" w:rsidRDefault="006E36CC" w:rsidP="005377DC">
            <w:pPr>
              <w:jc w:val="center"/>
              <w:rPr>
                <w:bCs/>
              </w:rPr>
            </w:pPr>
            <w:r w:rsidRPr="002E2365">
              <w:rPr>
                <w:bCs/>
              </w:rPr>
              <w:t>45†</w:t>
            </w:r>
          </w:p>
        </w:tc>
      </w:tr>
      <w:tr w:rsidR="00A41237" w:rsidRPr="002E2365" w14:paraId="7D7F7BAD" w14:textId="77777777" w:rsidTr="00D91141">
        <w:tc>
          <w:tcPr>
            <w:tcW w:w="240" w:type="pct"/>
            <w:shd w:val="clear" w:color="auto" w:fill="FFFFFF"/>
            <w:vAlign w:val="center"/>
          </w:tcPr>
          <w:p w14:paraId="49CA10CF" w14:textId="77777777" w:rsidR="00FD7787" w:rsidRPr="002E2365" w:rsidRDefault="00FD7787" w:rsidP="00172DC9">
            <w:pPr>
              <w:jc w:val="center"/>
              <w:rPr>
                <w:bCs/>
              </w:rPr>
            </w:pPr>
            <w:r w:rsidRPr="002E2365">
              <w:rPr>
                <w:bCs/>
              </w:rPr>
              <w:t>j.</w:t>
            </w:r>
          </w:p>
        </w:tc>
        <w:tc>
          <w:tcPr>
            <w:tcW w:w="1745" w:type="pct"/>
            <w:shd w:val="clear" w:color="auto" w:fill="FFFFFF"/>
            <w:vAlign w:val="center"/>
          </w:tcPr>
          <w:p w14:paraId="67F3A273" w14:textId="77777777" w:rsidR="00FD7787" w:rsidRPr="002E2365" w:rsidRDefault="00FD7787" w:rsidP="005377DC">
            <w:pPr>
              <w:rPr>
                <w:bCs/>
              </w:rPr>
            </w:pPr>
            <w:r w:rsidRPr="002E2365">
              <w:t xml:space="preserve">§§ 27.1168, 27.1170, </w:t>
            </w:r>
            <w:r w:rsidRPr="002E2365">
              <w:rPr>
                <w:bCs/>
              </w:rPr>
              <w:t xml:space="preserve">27.1184 (recordkeeping; disclosures from clearinghouses to licensees) </w:t>
            </w:r>
          </w:p>
          <w:p w14:paraId="08ABFA09" w14:textId="77777777" w:rsidR="00FD7787" w:rsidRPr="002E2365" w:rsidRDefault="0031288F" w:rsidP="005377DC">
            <w:pPr>
              <w:rPr>
                <w:bCs/>
              </w:rPr>
            </w:pPr>
            <w:r w:rsidRPr="002E2365">
              <w:t>(AWS</w:t>
            </w:r>
            <w:r w:rsidRPr="002E2365">
              <w:noBreakHyphen/>
              <w:t>1, AWS-4 and AWS-3 R&amp;O)</w:t>
            </w:r>
          </w:p>
          <w:p w14:paraId="48A3E018" w14:textId="77777777" w:rsidR="00FD7787" w:rsidRPr="002E2365" w:rsidRDefault="00FD7787" w:rsidP="005377DC">
            <w:pPr>
              <w:rPr>
                <w:bCs/>
              </w:rPr>
            </w:pPr>
          </w:p>
        </w:tc>
        <w:tc>
          <w:tcPr>
            <w:tcW w:w="648" w:type="pct"/>
            <w:tcBorders>
              <w:right w:val="double" w:sz="4" w:space="0" w:color="auto"/>
            </w:tcBorders>
            <w:shd w:val="clear" w:color="auto" w:fill="FFFFFF"/>
            <w:vAlign w:val="center"/>
          </w:tcPr>
          <w:p w14:paraId="51D8D4BB" w14:textId="77777777" w:rsidR="00FD7787" w:rsidRPr="002E2365" w:rsidRDefault="00FD7787">
            <w:pPr>
              <w:jc w:val="center"/>
              <w:rPr>
                <w:bCs/>
              </w:rPr>
            </w:pPr>
            <w:r w:rsidRPr="002E2365">
              <w:rPr>
                <w:bCs/>
              </w:rPr>
              <w:t>2</w:t>
            </w:r>
          </w:p>
        </w:tc>
        <w:tc>
          <w:tcPr>
            <w:tcW w:w="611" w:type="pct"/>
            <w:tcBorders>
              <w:left w:val="double" w:sz="4" w:space="0" w:color="auto"/>
            </w:tcBorders>
            <w:shd w:val="clear" w:color="auto" w:fill="FFFFFF"/>
            <w:vAlign w:val="center"/>
          </w:tcPr>
          <w:p w14:paraId="0665E5E0" w14:textId="77777777" w:rsidR="00FD7787" w:rsidRPr="002E2365" w:rsidRDefault="006E36CC">
            <w:pPr>
              <w:jc w:val="center"/>
              <w:rPr>
                <w:bCs/>
                <w:snapToGrid/>
              </w:rPr>
            </w:pPr>
            <w:r w:rsidRPr="002E2365">
              <w:rPr>
                <w:bCs/>
              </w:rPr>
              <w:t>100</w:t>
            </w:r>
            <w:r w:rsidR="003F2D10" w:rsidRPr="002E2365">
              <w:rPr>
                <w:bCs/>
              </w:rPr>
              <w:t xml:space="preserve"> </w:t>
            </w:r>
            <w:r w:rsidR="00FD7787" w:rsidRPr="002E2365">
              <w:rPr>
                <w:bCs/>
              </w:rPr>
              <w:t>(on occasion)</w:t>
            </w:r>
          </w:p>
        </w:tc>
        <w:tc>
          <w:tcPr>
            <w:tcW w:w="569" w:type="pct"/>
            <w:shd w:val="clear" w:color="auto" w:fill="FFFFFF"/>
            <w:vAlign w:val="center"/>
          </w:tcPr>
          <w:p w14:paraId="0E3070FC" w14:textId="77777777" w:rsidR="0098347A" w:rsidRPr="002E2365" w:rsidRDefault="000430A9">
            <w:pPr>
              <w:jc w:val="center"/>
              <w:rPr>
                <w:bCs/>
                <w:snapToGrid/>
              </w:rPr>
            </w:pPr>
            <w:r w:rsidRPr="002E2365">
              <w:rPr>
                <w:bCs/>
              </w:rPr>
              <w:t>200</w:t>
            </w:r>
          </w:p>
        </w:tc>
        <w:tc>
          <w:tcPr>
            <w:tcW w:w="529" w:type="pct"/>
            <w:shd w:val="clear" w:color="auto" w:fill="FFFFFF"/>
            <w:vAlign w:val="center"/>
          </w:tcPr>
          <w:p w14:paraId="736B2645" w14:textId="77777777" w:rsidR="00FD7787" w:rsidRPr="002E2365" w:rsidRDefault="00FD7787">
            <w:pPr>
              <w:jc w:val="center"/>
              <w:rPr>
                <w:bCs/>
              </w:rPr>
            </w:pPr>
            <w:r w:rsidRPr="002E2365">
              <w:rPr>
                <w:bCs/>
              </w:rPr>
              <w:t>0.25</w:t>
            </w:r>
          </w:p>
        </w:tc>
        <w:tc>
          <w:tcPr>
            <w:tcW w:w="658" w:type="pct"/>
            <w:shd w:val="clear" w:color="auto" w:fill="FFFFFF"/>
            <w:vAlign w:val="center"/>
          </w:tcPr>
          <w:p w14:paraId="70A82424" w14:textId="77777777" w:rsidR="00FD7787" w:rsidRPr="002E2365" w:rsidRDefault="00F238F4">
            <w:pPr>
              <w:jc w:val="center"/>
              <w:rPr>
                <w:bCs/>
              </w:rPr>
            </w:pPr>
            <w:r w:rsidRPr="002E2365">
              <w:rPr>
                <w:bCs/>
              </w:rPr>
              <w:t>50</w:t>
            </w:r>
          </w:p>
        </w:tc>
      </w:tr>
      <w:tr w:rsidR="00A41237" w:rsidRPr="002E2365" w14:paraId="1D56D130" w14:textId="77777777" w:rsidTr="00D91141">
        <w:tc>
          <w:tcPr>
            <w:tcW w:w="240" w:type="pct"/>
            <w:shd w:val="clear" w:color="auto" w:fill="FFFFFF"/>
            <w:vAlign w:val="center"/>
          </w:tcPr>
          <w:p w14:paraId="1EB88CC4" w14:textId="77777777" w:rsidR="00FD7787" w:rsidRPr="002E2365" w:rsidRDefault="00FD7787" w:rsidP="00172DC9">
            <w:pPr>
              <w:jc w:val="center"/>
              <w:rPr>
                <w:bCs/>
              </w:rPr>
            </w:pPr>
            <w:r w:rsidRPr="002E2365">
              <w:rPr>
                <w:bCs/>
              </w:rPr>
              <w:t>k.</w:t>
            </w:r>
          </w:p>
        </w:tc>
        <w:tc>
          <w:tcPr>
            <w:tcW w:w="1745" w:type="pct"/>
            <w:shd w:val="clear" w:color="auto" w:fill="FFFFFF"/>
            <w:vAlign w:val="center"/>
          </w:tcPr>
          <w:p w14:paraId="28FD0ADB" w14:textId="77777777" w:rsidR="00FD7787" w:rsidRPr="002E2365" w:rsidRDefault="00FD7787" w:rsidP="005377DC">
            <w:pPr>
              <w:rPr>
                <w:bCs/>
              </w:rPr>
            </w:pPr>
            <w:r w:rsidRPr="002E2365">
              <w:rPr>
                <w:bCs/>
              </w:rPr>
              <w:t>Reports by clearinghouses to FCC</w:t>
            </w:r>
          </w:p>
        </w:tc>
        <w:tc>
          <w:tcPr>
            <w:tcW w:w="648" w:type="pct"/>
            <w:tcBorders>
              <w:right w:val="double" w:sz="4" w:space="0" w:color="auto"/>
            </w:tcBorders>
            <w:shd w:val="clear" w:color="auto" w:fill="FFFFFF"/>
            <w:vAlign w:val="center"/>
          </w:tcPr>
          <w:p w14:paraId="0E962A42" w14:textId="77777777" w:rsidR="00FD7787" w:rsidRPr="002E2365" w:rsidRDefault="00FD7787" w:rsidP="005377DC">
            <w:pPr>
              <w:jc w:val="center"/>
              <w:rPr>
                <w:bCs/>
              </w:rPr>
            </w:pPr>
            <w:r w:rsidRPr="002E2365">
              <w:rPr>
                <w:bCs/>
              </w:rPr>
              <w:t>2</w:t>
            </w:r>
          </w:p>
        </w:tc>
        <w:tc>
          <w:tcPr>
            <w:tcW w:w="611" w:type="pct"/>
            <w:tcBorders>
              <w:left w:val="double" w:sz="4" w:space="0" w:color="auto"/>
            </w:tcBorders>
            <w:shd w:val="clear" w:color="auto" w:fill="FFFFFF"/>
            <w:vAlign w:val="center"/>
          </w:tcPr>
          <w:p w14:paraId="31DFF062" w14:textId="77777777" w:rsidR="00FD7787" w:rsidRPr="002E2365" w:rsidRDefault="00FD7787" w:rsidP="005377DC">
            <w:pPr>
              <w:jc w:val="center"/>
              <w:rPr>
                <w:bCs/>
              </w:rPr>
            </w:pPr>
            <w:r w:rsidRPr="002E2365">
              <w:rPr>
                <w:bCs/>
              </w:rPr>
              <w:t>5</w:t>
            </w:r>
          </w:p>
        </w:tc>
        <w:tc>
          <w:tcPr>
            <w:tcW w:w="569" w:type="pct"/>
            <w:shd w:val="clear" w:color="auto" w:fill="FFFFFF"/>
          </w:tcPr>
          <w:p w14:paraId="7715A13C" w14:textId="77777777" w:rsidR="00FD7787" w:rsidRPr="002E2365" w:rsidRDefault="0098347A" w:rsidP="005377DC">
            <w:pPr>
              <w:jc w:val="center"/>
              <w:rPr>
                <w:bCs/>
              </w:rPr>
            </w:pPr>
            <w:r w:rsidRPr="002E2365">
              <w:rPr>
                <w:bCs/>
              </w:rPr>
              <w:t>10</w:t>
            </w:r>
          </w:p>
        </w:tc>
        <w:tc>
          <w:tcPr>
            <w:tcW w:w="529" w:type="pct"/>
            <w:shd w:val="clear" w:color="auto" w:fill="FFFFFF"/>
            <w:vAlign w:val="center"/>
          </w:tcPr>
          <w:p w14:paraId="13D77F7F" w14:textId="77777777" w:rsidR="00FD7787" w:rsidRPr="002E2365" w:rsidRDefault="00FD7787" w:rsidP="005377DC">
            <w:pPr>
              <w:jc w:val="center"/>
              <w:rPr>
                <w:bCs/>
              </w:rPr>
            </w:pPr>
            <w:r w:rsidRPr="002E2365">
              <w:rPr>
                <w:bCs/>
              </w:rPr>
              <w:t>4</w:t>
            </w:r>
          </w:p>
        </w:tc>
        <w:tc>
          <w:tcPr>
            <w:tcW w:w="658" w:type="pct"/>
            <w:shd w:val="clear" w:color="auto" w:fill="FFFFFF"/>
            <w:vAlign w:val="center"/>
          </w:tcPr>
          <w:p w14:paraId="4D42F8FD" w14:textId="77777777" w:rsidR="00FD7787" w:rsidRPr="002E2365" w:rsidRDefault="00FD7787" w:rsidP="005377DC">
            <w:pPr>
              <w:jc w:val="center"/>
              <w:rPr>
                <w:bCs/>
              </w:rPr>
            </w:pPr>
            <w:r w:rsidRPr="002E2365">
              <w:rPr>
                <w:bCs/>
              </w:rPr>
              <w:t>40</w:t>
            </w:r>
          </w:p>
        </w:tc>
      </w:tr>
      <w:tr w:rsidR="00A41237" w:rsidRPr="002E2365" w14:paraId="6C4B3E0C" w14:textId="77777777" w:rsidTr="00D91141">
        <w:tc>
          <w:tcPr>
            <w:tcW w:w="240" w:type="pct"/>
            <w:shd w:val="clear" w:color="auto" w:fill="FFFFFF"/>
            <w:vAlign w:val="center"/>
          </w:tcPr>
          <w:p w14:paraId="26A3D8A9" w14:textId="77777777" w:rsidR="00FD7787" w:rsidRPr="002E2365" w:rsidRDefault="00FD7787" w:rsidP="00172DC9">
            <w:pPr>
              <w:jc w:val="center"/>
              <w:rPr>
                <w:bCs/>
              </w:rPr>
            </w:pPr>
            <w:r w:rsidRPr="002E2365">
              <w:rPr>
                <w:bCs/>
              </w:rPr>
              <w:t>l.</w:t>
            </w:r>
          </w:p>
        </w:tc>
        <w:tc>
          <w:tcPr>
            <w:tcW w:w="1745" w:type="pct"/>
            <w:shd w:val="clear" w:color="auto" w:fill="FFFFFF"/>
            <w:vAlign w:val="center"/>
          </w:tcPr>
          <w:p w14:paraId="76BB840A" w14:textId="77777777" w:rsidR="00FD7787" w:rsidRPr="002E2365" w:rsidRDefault="00FD7787" w:rsidP="005377DC">
            <w:pPr>
              <w:rPr>
                <w:bCs/>
              </w:rPr>
            </w:pPr>
            <w:r w:rsidRPr="002E2365">
              <w:rPr>
                <w:bCs/>
              </w:rPr>
              <w:t>Disclosures between the clearinghouses</w:t>
            </w:r>
          </w:p>
        </w:tc>
        <w:tc>
          <w:tcPr>
            <w:tcW w:w="648" w:type="pct"/>
            <w:tcBorders>
              <w:right w:val="double" w:sz="4" w:space="0" w:color="auto"/>
            </w:tcBorders>
            <w:shd w:val="clear" w:color="auto" w:fill="FFFFFF"/>
            <w:vAlign w:val="center"/>
          </w:tcPr>
          <w:p w14:paraId="12C559C3" w14:textId="77777777" w:rsidR="00FD7787" w:rsidRPr="002E2365" w:rsidRDefault="00FD7787" w:rsidP="005377DC">
            <w:pPr>
              <w:jc w:val="center"/>
              <w:rPr>
                <w:bCs/>
              </w:rPr>
            </w:pPr>
            <w:r w:rsidRPr="002E2365">
              <w:rPr>
                <w:bCs/>
              </w:rPr>
              <w:t>2</w:t>
            </w:r>
          </w:p>
        </w:tc>
        <w:tc>
          <w:tcPr>
            <w:tcW w:w="611" w:type="pct"/>
            <w:tcBorders>
              <w:left w:val="double" w:sz="4" w:space="0" w:color="auto"/>
            </w:tcBorders>
            <w:shd w:val="clear" w:color="auto" w:fill="FFFFFF"/>
            <w:vAlign w:val="center"/>
          </w:tcPr>
          <w:p w14:paraId="3811577F" w14:textId="77777777" w:rsidR="00FD7787" w:rsidRPr="002E2365" w:rsidRDefault="00FD7787" w:rsidP="005377DC">
            <w:pPr>
              <w:jc w:val="center"/>
              <w:rPr>
                <w:bCs/>
              </w:rPr>
            </w:pPr>
            <w:r w:rsidRPr="002E2365">
              <w:rPr>
                <w:bCs/>
              </w:rPr>
              <w:t>260</w:t>
            </w:r>
          </w:p>
        </w:tc>
        <w:tc>
          <w:tcPr>
            <w:tcW w:w="569" w:type="pct"/>
            <w:shd w:val="clear" w:color="auto" w:fill="FFFFFF"/>
          </w:tcPr>
          <w:p w14:paraId="0C566BD2" w14:textId="77777777" w:rsidR="00FD7787" w:rsidRPr="002E2365" w:rsidRDefault="0098347A" w:rsidP="005377DC">
            <w:pPr>
              <w:jc w:val="center"/>
              <w:rPr>
                <w:bCs/>
              </w:rPr>
            </w:pPr>
            <w:r w:rsidRPr="002E2365">
              <w:rPr>
                <w:bCs/>
              </w:rPr>
              <w:t>520</w:t>
            </w:r>
          </w:p>
        </w:tc>
        <w:tc>
          <w:tcPr>
            <w:tcW w:w="529" w:type="pct"/>
            <w:shd w:val="clear" w:color="auto" w:fill="FFFFFF"/>
            <w:vAlign w:val="center"/>
          </w:tcPr>
          <w:p w14:paraId="6A73121B" w14:textId="77777777" w:rsidR="00FD7787" w:rsidRPr="002E2365" w:rsidRDefault="00FD7787" w:rsidP="005377DC">
            <w:pPr>
              <w:jc w:val="center"/>
              <w:rPr>
                <w:bCs/>
              </w:rPr>
            </w:pPr>
            <w:r w:rsidRPr="002E2365">
              <w:rPr>
                <w:bCs/>
              </w:rPr>
              <w:t>0.25</w:t>
            </w:r>
          </w:p>
        </w:tc>
        <w:tc>
          <w:tcPr>
            <w:tcW w:w="658" w:type="pct"/>
            <w:shd w:val="clear" w:color="auto" w:fill="FFFFFF"/>
            <w:vAlign w:val="center"/>
          </w:tcPr>
          <w:p w14:paraId="5B8A8633" w14:textId="77777777" w:rsidR="00FD7787" w:rsidRPr="002E2365" w:rsidRDefault="00FD7787" w:rsidP="005377DC">
            <w:pPr>
              <w:jc w:val="center"/>
              <w:rPr>
                <w:bCs/>
              </w:rPr>
            </w:pPr>
            <w:r w:rsidRPr="002E2365">
              <w:rPr>
                <w:bCs/>
              </w:rPr>
              <w:t>130</w:t>
            </w:r>
          </w:p>
        </w:tc>
      </w:tr>
      <w:tr w:rsidR="00A41237" w:rsidRPr="002E2365" w14:paraId="1ECC6BDB" w14:textId="77777777" w:rsidTr="00D91141">
        <w:tc>
          <w:tcPr>
            <w:tcW w:w="240" w:type="pct"/>
            <w:shd w:val="clear" w:color="auto" w:fill="FFFFFF"/>
            <w:vAlign w:val="center"/>
          </w:tcPr>
          <w:p w14:paraId="1D98454D" w14:textId="77777777" w:rsidR="00FD7787" w:rsidRPr="002E2365" w:rsidRDefault="00FD7787" w:rsidP="00172DC9">
            <w:pPr>
              <w:jc w:val="center"/>
              <w:rPr>
                <w:bCs/>
              </w:rPr>
            </w:pPr>
            <w:r w:rsidRPr="002E2365">
              <w:rPr>
                <w:bCs/>
              </w:rPr>
              <w:t>m.</w:t>
            </w:r>
          </w:p>
        </w:tc>
        <w:tc>
          <w:tcPr>
            <w:tcW w:w="1745" w:type="pct"/>
            <w:shd w:val="clear" w:color="auto" w:fill="FFFFFF"/>
            <w:vAlign w:val="center"/>
          </w:tcPr>
          <w:p w14:paraId="75A76706" w14:textId="77777777" w:rsidR="001A5081" w:rsidRPr="002E2365" w:rsidRDefault="001A5081" w:rsidP="009C7447">
            <w:r w:rsidRPr="002E2365">
              <w:rPr>
                <w:bCs/>
              </w:rPr>
              <w:t>Disclosures by AWS to Federal incumbents operating in the 1.7 GHz</w:t>
            </w:r>
            <w:r w:rsidR="00210351" w:rsidRPr="002E2365">
              <w:rPr>
                <w:bCs/>
              </w:rPr>
              <w:t xml:space="preserve"> or 2.2 GHz</w:t>
            </w:r>
            <w:r w:rsidRPr="002E2365">
              <w:rPr>
                <w:bCs/>
              </w:rPr>
              <w:t xml:space="preserve"> band</w:t>
            </w:r>
            <w:r w:rsidR="00210351" w:rsidRPr="002E2365">
              <w:rPr>
                <w:bCs/>
              </w:rPr>
              <w:t>s</w:t>
            </w:r>
            <w:r w:rsidRPr="002E2365">
              <w:rPr>
                <w:bCs/>
              </w:rPr>
              <w:t xml:space="preserve">, and associated record keeping requirements </w:t>
            </w:r>
            <w:r w:rsidR="00210351" w:rsidRPr="002E2365">
              <w:rPr>
                <w:bCs/>
              </w:rPr>
              <w:br/>
            </w:r>
            <w:r w:rsidRPr="002E2365">
              <w:t>§ 27.1134(a) (AWS-1)</w:t>
            </w:r>
          </w:p>
          <w:p w14:paraId="32283908" w14:textId="77777777" w:rsidR="00FD7787" w:rsidRPr="002E2365" w:rsidRDefault="00FD7787">
            <w:pPr>
              <w:rPr>
                <w:bCs/>
                <w:snapToGrid/>
              </w:rPr>
            </w:pPr>
            <w:r w:rsidRPr="002E2365">
              <w:t>§ 27.1134</w:t>
            </w:r>
            <w:r w:rsidR="001435D3" w:rsidRPr="002E2365">
              <w:t>(e)(1) and (2)</w:t>
            </w:r>
            <w:r w:rsidRPr="002E2365">
              <w:t xml:space="preserve"> </w:t>
            </w:r>
            <w:r w:rsidR="001A5081" w:rsidRPr="002E2365">
              <w:t xml:space="preserve">(AWS-4) </w:t>
            </w:r>
            <w:r w:rsidR="00210351" w:rsidRPr="002E2365">
              <w:br/>
            </w:r>
            <w:r w:rsidR="001435D3" w:rsidRPr="002E2365">
              <w:t>§ 27.1134(c)(1), (4) and (5),</w:t>
            </w:r>
            <w:r w:rsidR="00EB23EE" w:rsidRPr="002E2365">
              <w:t xml:space="preserve"> and </w:t>
            </w:r>
            <w:r w:rsidR="001435D3" w:rsidRPr="002E2365">
              <w:t>(f)(1), (3) and (4) (</w:t>
            </w:r>
            <w:r w:rsidR="00210351" w:rsidRPr="002E2365">
              <w:t>AWS-3 R&amp;O)</w:t>
            </w:r>
          </w:p>
        </w:tc>
        <w:tc>
          <w:tcPr>
            <w:tcW w:w="648" w:type="pct"/>
            <w:tcBorders>
              <w:right w:val="double" w:sz="4" w:space="0" w:color="auto"/>
            </w:tcBorders>
            <w:shd w:val="clear" w:color="auto" w:fill="FFFFFF"/>
            <w:vAlign w:val="center"/>
          </w:tcPr>
          <w:p w14:paraId="4C20B874" w14:textId="77777777" w:rsidR="002141B4" w:rsidRPr="002E2365" w:rsidRDefault="002141B4">
            <w:pPr>
              <w:jc w:val="center"/>
              <w:rPr>
                <w:bCs/>
              </w:rPr>
            </w:pPr>
            <w:r w:rsidRPr="002E2365">
              <w:rPr>
                <w:bCs/>
              </w:rPr>
              <w:t>10</w:t>
            </w:r>
          </w:p>
          <w:p w14:paraId="1E511E19" w14:textId="77777777" w:rsidR="002141B4" w:rsidRPr="002E2365" w:rsidRDefault="002141B4">
            <w:pPr>
              <w:jc w:val="center"/>
              <w:rPr>
                <w:bCs/>
              </w:rPr>
            </w:pPr>
          </w:p>
          <w:p w14:paraId="28FC6466" w14:textId="77777777" w:rsidR="002141B4" w:rsidRPr="002E2365" w:rsidRDefault="002141B4">
            <w:pPr>
              <w:jc w:val="center"/>
              <w:rPr>
                <w:bCs/>
              </w:rPr>
            </w:pPr>
          </w:p>
          <w:p w14:paraId="75A4632F" w14:textId="77777777" w:rsidR="00FD7787" w:rsidRPr="002E2365" w:rsidRDefault="00C744BF">
            <w:pPr>
              <w:jc w:val="center"/>
              <w:rPr>
                <w:bCs/>
              </w:rPr>
            </w:pPr>
            <w:r w:rsidRPr="002E2365">
              <w:rPr>
                <w:bCs/>
              </w:rPr>
              <w:t>179</w:t>
            </w:r>
          </w:p>
        </w:tc>
        <w:tc>
          <w:tcPr>
            <w:tcW w:w="611" w:type="pct"/>
            <w:tcBorders>
              <w:left w:val="double" w:sz="4" w:space="0" w:color="auto"/>
            </w:tcBorders>
            <w:shd w:val="clear" w:color="auto" w:fill="FFFFFF"/>
            <w:vAlign w:val="center"/>
          </w:tcPr>
          <w:p w14:paraId="3E7E02E0" w14:textId="77777777" w:rsidR="002141B4" w:rsidRPr="002E2365" w:rsidRDefault="002141B4">
            <w:pPr>
              <w:jc w:val="center"/>
              <w:rPr>
                <w:bCs/>
              </w:rPr>
            </w:pPr>
            <w:r w:rsidRPr="002E2365">
              <w:rPr>
                <w:bCs/>
              </w:rPr>
              <w:t>1</w:t>
            </w:r>
          </w:p>
          <w:p w14:paraId="03412E82" w14:textId="77777777" w:rsidR="002141B4" w:rsidRPr="002E2365" w:rsidRDefault="002141B4">
            <w:pPr>
              <w:jc w:val="center"/>
              <w:rPr>
                <w:bCs/>
              </w:rPr>
            </w:pPr>
          </w:p>
          <w:p w14:paraId="76A1F09D" w14:textId="77777777" w:rsidR="002141B4" w:rsidRPr="002E2365" w:rsidRDefault="002141B4">
            <w:pPr>
              <w:jc w:val="center"/>
              <w:rPr>
                <w:bCs/>
              </w:rPr>
            </w:pPr>
          </w:p>
          <w:p w14:paraId="3D98AA81" w14:textId="77777777" w:rsidR="00FD7787" w:rsidRPr="002E2365" w:rsidRDefault="00FA15DF">
            <w:pPr>
              <w:jc w:val="center"/>
              <w:rPr>
                <w:bCs/>
              </w:rPr>
            </w:pPr>
            <w:r w:rsidRPr="002E2365">
              <w:rPr>
                <w:bCs/>
              </w:rPr>
              <w:t>6</w:t>
            </w:r>
            <w:r w:rsidR="00C744BF" w:rsidRPr="002E2365">
              <w:rPr>
                <w:bCs/>
              </w:rPr>
              <w:t>†</w:t>
            </w:r>
          </w:p>
        </w:tc>
        <w:tc>
          <w:tcPr>
            <w:tcW w:w="569" w:type="pct"/>
            <w:shd w:val="clear" w:color="auto" w:fill="FFFFFF"/>
            <w:vAlign w:val="center"/>
          </w:tcPr>
          <w:p w14:paraId="24D1DDD3" w14:textId="77777777" w:rsidR="002141B4" w:rsidRPr="002E2365" w:rsidRDefault="002141B4">
            <w:pPr>
              <w:jc w:val="center"/>
              <w:rPr>
                <w:bCs/>
              </w:rPr>
            </w:pPr>
            <w:r w:rsidRPr="002E2365">
              <w:rPr>
                <w:bCs/>
              </w:rPr>
              <w:t>10</w:t>
            </w:r>
          </w:p>
          <w:p w14:paraId="22379BA8" w14:textId="77777777" w:rsidR="002141B4" w:rsidRPr="002E2365" w:rsidRDefault="002141B4">
            <w:pPr>
              <w:jc w:val="center"/>
              <w:rPr>
                <w:bCs/>
              </w:rPr>
            </w:pPr>
          </w:p>
          <w:p w14:paraId="4A5B31C1" w14:textId="77777777" w:rsidR="002141B4" w:rsidRPr="002E2365" w:rsidRDefault="002141B4">
            <w:pPr>
              <w:jc w:val="center"/>
              <w:rPr>
                <w:bCs/>
              </w:rPr>
            </w:pPr>
          </w:p>
          <w:p w14:paraId="27909C05" w14:textId="77777777" w:rsidR="0098347A" w:rsidRPr="002E2365" w:rsidRDefault="000430A9">
            <w:pPr>
              <w:jc w:val="center"/>
              <w:rPr>
                <w:bCs/>
                <w:snapToGrid/>
              </w:rPr>
            </w:pPr>
            <w:r w:rsidRPr="002E2365">
              <w:rPr>
                <w:bCs/>
              </w:rPr>
              <w:t>1,074</w:t>
            </w:r>
          </w:p>
        </w:tc>
        <w:tc>
          <w:tcPr>
            <w:tcW w:w="529" w:type="pct"/>
            <w:shd w:val="clear" w:color="auto" w:fill="FFFFFF"/>
            <w:vAlign w:val="center"/>
          </w:tcPr>
          <w:p w14:paraId="71BE3CA9" w14:textId="77777777" w:rsidR="002141B4" w:rsidRPr="002E2365" w:rsidRDefault="002141B4">
            <w:pPr>
              <w:jc w:val="center"/>
              <w:rPr>
                <w:bCs/>
              </w:rPr>
            </w:pPr>
            <w:r w:rsidRPr="002E2365">
              <w:rPr>
                <w:bCs/>
              </w:rPr>
              <w:t>5</w:t>
            </w:r>
          </w:p>
          <w:p w14:paraId="2A2A1F39" w14:textId="77777777" w:rsidR="002141B4" w:rsidRPr="002E2365" w:rsidRDefault="002141B4">
            <w:pPr>
              <w:jc w:val="center"/>
              <w:rPr>
                <w:bCs/>
              </w:rPr>
            </w:pPr>
          </w:p>
          <w:p w14:paraId="2CFCA30D" w14:textId="77777777" w:rsidR="002141B4" w:rsidRPr="002E2365" w:rsidRDefault="002141B4">
            <w:pPr>
              <w:jc w:val="center"/>
              <w:rPr>
                <w:bCs/>
              </w:rPr>
            </w:pPr>
          </w:p>
          <w:p w14:paraId="7307FF4A" w14:textId="77777777" w:rsidR="00FD7787" w:rsidRPr="002E2365" w:rsidRDefault="00FD7787">
            <w:pPr>
              <w:jc w:val="center"/>
              <w:rPr>
                <w:bCs/>
              </w:rPr>
            </w:pPr>
            <w:r w:rsidRPr="002E2365">
              <w:rPr>
                <w:bCs/>
              </w:rPr>
              <w:t>5</w:t>
            </w:r>
          </w:p>
        </w:tc>
        <w:tc>
          <w:tcPr>
            <w:tcW w:w="658" w:type="pct"/>
            <w:shd w:val="clear" w:color="auto" w:fill="FFFFFF"/>
            <w:vAlign w:val="center"/>
          </w:tcPr>
          <w:p w14:paraId="14D9A45C" w14:textId="77777777" w:rsidR="002141B4" w:rsidRPr="002E2365" w:rsidRDefault="002141B4">
            <w:pPr>
              <w:jc w:val="center"/>
              <w:rPr>
                <w:bCs/>
              </w:rPr>
            </w:pPr>
            <w:r w:rsidRPr="002E2365">
              <w:rPr>
                <w:bCs/>
              </w:rPr>
              <w:t>50</w:t>
            </w:r>
          </w:p>
          <w:p w14:paraId="7C83153D" w14:textId="77777777" w:rsidR="002141B4" w:rsidRPr="002E2365" w:rsidRDefault="002141B4">
            <w:pPr>
              <w:jc w:val="center"/>
              <w:rPr>
                <w:bCs/>
              </w:rPr>
            </w:pPr>
          </w:p>
          <w:p w14:paraId="4BD2D1BA" w14:textId="77777777" w:rsidR="002141B4" w:rsidRPr="002E2365" w:rsidRDefault="002141B4">
            <w:pPr>
              <w:jc w:val="center"/>
              <w:rPr>
                <w:bCs/>
              </w:rPr>
            </w:pPr>
          </w:p>
          <w:p w14:paraId="71C49D1E" w14:textId="77777777" w:rsidR="00FD7787" w:rsidRPr="002E2365" w:rsidRDefault="00C744BF">
            <w:pPr>
              <w:jc w:val="center"/>
              <w:rPr>
                <w:bCs/>
              </w:rPr>
            </w:pPr>
            <w:r w:rsidRPr="002E2365">
              <w:rPr>
                <w:bCs/>
              </w:rPr>
              <w:t>5,370</w:t>
            </w:r>
          </w:p>
        </w:tc>
      </w:tr>
      <w:tr w:rsidR="00A41237" w:rsidRPr="002E2365" w14:paraId="4173E5BD" w14:textId="77777777" w:rsidTr="00D91141">
        <w:tc>
          <w:tcPr>
            <w:tcW w:w="240" w:type="pct"/>
            <w:shd w:val="clear" w:color="auto" w:fill="FFFFFF"/>
            <w:vAlign w:val="center"/>
          </w:tcPr>
          <w:p w14:paraId="23527006" w14:textId="77777777" w:rsidR="00FD7787" w:rsidRPr="002E2365" w:rsidRDefault="00FD7787" w:rsidP="00172DC9">
            <w:pPr>
              <w:jc w:val="center"/>
            </w:pPr>
            <w:r w:rsidRPr="002E2365">
              <w:t>n.</w:t>
            </w:r>
          </w:p>
        </w:tc>
        <w:tc>
          <w:tcPr>
            <w:tcW w:w="1745" w:type="pct"/>
            <w:shd w:val="clear" w:color="auto" w:fill="FFFFFF"/>
          </w:tcPr>
          <w:p w14:paraId="2CA06A40" w14:textId="77777777" w:rsidR="00FD7787" w:rsidRPr="002E2365" w:rsidRDefault="00FD7787">
            <w:r w:rsidRPr="002E2365">
              <w:t xml:space="preserve">§ 27.17 (Discontinuance of Service) (AWS-4 </w:t>
            </w:r>
            <w:r w:rsidR="00AF7EFE" w:rsidRPr="002E2365">
              <w:t>an</w:t>
            </w:r>
            <w:r w:rsidRPr="002E2365">
              <w:t>d AWS-3 R&amp;O)</w:t>
            </w:r>
          </w:p>
        </w:tc>
        <w:tc>
          <w:tcPr>
            <w:tcW w:w="648" w:type="pct"/>
            <w:tcBorders>
              <w:right w:val="double" w:sz="4" w:space="0" w:color="auto"/>
            </w:tcBorders>
            <w:shd w:val="clear" w:color="auto" w:fill="FFFFFF"/>
          </w:tcPr>
          <w:p w14:paraId="2118EB73" w14:textId="77777777" w:rsidR="00FD7787" w:rsidRPr="002E2365" w:rsidRDefault="008F14DD" w:rsidP="005377DC">
            <w:pPr>
              <w:jc w:val="center"/>
            </w:pPr>
            <w:r w:rsidRPr="002E2365">
              <w:t>0</w:t>
            </w:r>
          </w:p>
        </w:tc>
        <w:tc>
          <w:tcPr>
            <w:tcW w:w="611" w:type="pct"/>
            <w:tcBorders>
              <w:left w:val="double" w:sz="4" w:space="0" w:color="auto"/>
            </w:tcBorders>
            <w:shd w:val="clear" w:color="auto" w:fill="FFFFFF"/>
          </w:tcPr>
          <w:p w14:paraId="540D5838" w14:textId="77777777" w:rsidR="00FD7787" w:rsidRPr="002E2365" w:rsidRDefault="008F14DD" w:rsidP="005377DC">
            <w:pPr>
              <w:jc w:val="center"/>
            </w:pPr>
            <w:r w:rsidRPr="002E2365">
              <w:t>0</w:t>
            </w:r>
          </w:p>
          <w:p w14:paraId="1EFE3416" w14:textId="77777777" w:rsidR="00FD7787" w:rsidRPr="002E2365" w:rsidRDefault="00FD7787" w:rsidP="00D075E2">
            <w:pPr>
              <w:jc w:val="center"/>
            </w:pPr>
          </w:p>
        </w:tc>
        <w:tc>
          <w:tcPr>
            <w:tcW w:w="569" w:type="pct"/>
            <w:shd w:val="clear" w:color="auto" w:fill="FFFFFF"/>
          </w:tcPr>
          <w:p w14:paraId="1920FE5F" w14:textId="77777777" w:rsidR="00FD7787" w:rsidRPr="002E2365" w:rsidRDefault="008F14DD" w:rsidP="005377DC">
            <w:pPr>
              <w:jc w:val="center"/>
            </w:pPr>
            <w:r w:rsidRPr="002E2365">
              <w:t>0</w:t>
            </w:r>
          </w:p>
        </w:tc>
        <w:tc>
          <w:tcPr>
            <w:tcW w:w="529" w:type="pct"/>
            <w:shd w:val="clear" w:color="auto" w:fill="FFFFFF"/>
          </w:tcPr>
          <w:p w14:paraId="21CB35D7" w14:textId="77777777" w:rsidR="00FD7787" w:rsidRPr="002E2365" w:rsidRDefault="00FD7787" w:rsidP="005377DC">
            <w:pPr>
              <w:jc w:val="center"/>
            </w:pPr>
            <w:r w:rsidRPr="002E2365">
              <w:t>0.5</w:t>
            </w:r>
          </w:p>
        </w:tc>
        <w:tc>
          <w:tcPr>
            <w:tcW w:w="658" w:type="pct"/>
            <w:shd w:val="clear" w:color="auto" w:fill="FFFFFF"/>
          </w:tcPr>
          <w:p w14:paraId="0BDD3CD8" w14:textId="77777777" w:rsidR="00FD7787" w:rsidRPr="002E2365" w:rsidRDefault="008F14DD" w:rsidP="005377DC">
            <w:pPr>
              <w:jc w:val="center"/>
            </w:pPr>
            <w:r w:rsidRPr="002E2365">
              <w:t>0</w:t>
            </w:r>
          </w:p>
        </w:tc>
      </w:tr>
      <w:tr w:rsidR="00A41237" w:rsidRPr="002E2365" w14:paraId="380CE498" w14:textId="77777777" w:rsidTr="00D91141">
        <w:tc>
          <w:tcPr>
            <w:tcW w:w="240" w:type="pct"/>
            <w:shd w:val="clear" w:color="auto" w:fill="FFFFFF"/>
            <w:vAlign w:val="center"/>
          </w:tcPr>
          <w:p w14:paraId="16415124" w14:textId="77777777" w:rsidR="00FD7787" w:rsidRPr="002E2365" w:rsidRDefault="004E6B01" w:rsidP="00172DC9">
            <w:pPr>
              <w:jc w:val="center"/>
            </w:pPr>
            <w:r w:rsidRPr="002E2365">
              <w:t>o.</w:t>
            </w:r>
          </w:p>
        </w:tc>
        <w:tc>
          <w:tcPr>
            <w:tcW w:w="1745" w:type="pct"/>
            <w:shd w:val="clear" w:color="auto" w:fill="FFFFFF"/>
          </w:tcPr>
          <w:p w14:paraId="62D27E82" w14:textId="77777777" w:rsidR="00FD7787" w:rsidRPr="002E2365" w:rsidRDefault="00FD7787">
            <w:r w:rsidRPr="002E2365">
              <w:t>§ 27.1136 (AWS-4 protection of MSS) (AWS-4)</w:t>
            </w:r>
          </w:p>
        </w:tc>
        <w:tc>
          <w:tcPr>
            <w:tcW w:w="648" w:type="pct"/>
            <w:tcBorders>
              <w:right w:val="double" w:sz="4" w:space="0" w:color="auto"/>
            </w:tcBorders>
            <w:shd w:val="clear" w:color="auto" w:fill="FFFFFF"/>
          </w:tcPr>
          <w:p w14:paraId="404C366A" w14:textId="77777777" w:rsidR="00FD7787" w:rsidRPr="002E2365" w:rsidRDefault="008F14DD" w:rsidP="005377DC">
            <w:pPr>
              <w:jc w:val="center"/>
            </w:pPr>
            <w:r w:rsidRPr="002E2365">
              <w:t>0</w:t>
            </w:r>
          </w:p>
        </w:tc>
        <w:tc>
          <w:tcPr>
            <w:tcW w:w="611" w:type="pct"/>
            <w:tcBorders>
              <w:left w:val="double" w:sz="4" w:space="0" w:color="auto"/>
            </w:tcBorders>
            <w:shd w:val="clear" w:color="auto" w:fill="FFFFFF"/>
          </w:tcPr>
          <w:p w14:paraId="46D05DA5" w14:textId="77777777" w:rsidR="00FD7787" w:rsidRPr="002E2365" w:rsidRDefault="008F14DD" w:rsidP="005377DC">
            <w:pPr>
              <w:jc w:val="center"/>
            </w:pPr>
            <w:r w:rsidRPr="002E2365">
              <w:t>0</w:t>
            </w:r>
          </w:p>
        </w:tc>
        <w:tc>
          <w:tcPr>
            <w:tcW w:w="569" w:type="pct"/>
            <w:shd w:val="clear" w:color="auto" w:fill="FFFFFF"/>
          </w:tcPr>
          <w:p w14:paraId="42A55450" w14:textId="77777777" w:rsidR="00FD7787" w:rsidRPr="002E2365" w:rsidRDefault="008F14DD" w:rsidP="005377DC">
            <w:pPr>
              <w:jc w:val="center"/>
            </w:pPr>
            <w:r w:rsidRPr="002E2365">
              <w:t>0</w:t>
            </w:r>
          </w:p>
        </w:tc>
        <w:tc>
          <w:tcPr>
            <w:tcW w:w="529" w:type="pct"/>
            <w:shd w:val="clear" w:color="auto" w:fill="FFFFFF"/>
          </w:tcPr>
          <w:p w14:paraId="5BA064F1" w14:textId="77777777" w:rsidR="00FD7787" w:rsidRPr="002E2365" w:rsidRDefault="00FD7787" w:rsidP="005377DC">
            <w:pPr>
              <w:jc w:val="center"/>
            </w:pPr>
            <w:r w:rsidRPr="002E2365">
              <w:t>0.5</w:t>
            </w:r>
          </w:p>
        </w:tc>
        <w:tc>
          <w:tcPr>
            <w:tcW w:w="658" w:type="pct"/>
            <w:shd w:val="clear" w:color="auto" w:fill="FFFFFF"/>
          </w:tcPr>
          <w:p w14:paraId="334D5043" w14:textId="77777777" w:rsidR="00FD7787" w:rsidRPr="002E2365" w:rsidRDefault="008F14DD" w:rsidP="005377DC">
            <w:pPr>
              <w:jc w:val="center"/>
            </w:pPr>
            <w:r w:rsidRPr="002E2365">
              <w:t>0</w:t>
            </w:r>
          </w:p>
        </w:tc>
      </w:tr>
      <w:tr w:rsidR="00A41237" w:rsidRPr="002E2365" w14:paraId="02DE2D3C" w14:textId="77777777" w:rsidTr="00D91141">
        <w:tc>
          <w:tcPr>
            <w:tcW w:w="240" w:type="pct"/>
            <w:shd w:val="clear" w:color="auto" w:fill="FFFFFF"/>
            <w:vAlign w:val="center"/>
          </w:tcPr>
          <w:p w14:paraId="61AA7548" w14:textId="77777777" w:rsidR="00FD7787" w:rsidRPr="002E2365" w:rsidRDefault="00FD7787" w:rsidP="00172DC9">
            <w:pPr>
              <w:jc w:val="center"/>
            </w:pPr>
            <w:r w:rsidRPr="002E2365">
              <w:t>p.</w:t>
            </w:r>
          </w:p>
        </w:tc>
        <w:tc>
          <w:tcPr>
            <w:tcW w:w="1745" w:type="pct"/>
            <w:shd w:val="clear" w:color="auto" w:fill="FFFFFF"/>
          </w:tcPr>
          <w:p w14:paraId="636231BB" w14:textId="77777777" w:rsidR="007A0128" w:rsidRPr="002E2365" w:rsidRDefault="00FD7787" w:rsidP="00865723">
            <w:r w:rsidRPr="002E2365">
              <w:t>§ 27.53(h)(4)(iii) (An AWS licensee who is a party to a private agreement must maintain a copy of the agreement in its station files and disclose it, upon request, to prospective AWS assignees, transferees, or spectrum lessee</w:t>
            </w:r>
            <w:r w:rsidR="009E3393" w:rsidRPr="002E2365">
              <w:t>s and to the Commission.</w:t>
            </w:r>
            <w:r w:rsidRPr="002E2365">
              <w:t>) (AWS-4</w:t>
            </w:r>
            <w:r w:rsidR="009E3393" w:rsidRPr="002E2365">
              <w:t>)</w:t>
            </w:r>
          </w:p>
        </w:tc>
        <w:tc>
          <w:tcPr>
            <w:tcW w:w="648" w:type="pct"/>
            <w:tcBorders>
              <w:right w:val="double" w:sz="4" w:space="0" w:color="auto"/>
            </w:tcBorders>
            <w:shd w:val="clear" w:color="auto" w:fill="FFFFFF"/>
          </w:tcPr>
          <w:p w14:paraId="491AC653" w14:textId="77777777" w:rsidR="00FD7787" w:rsidRPr="002E2365" w:rsidRDefault="00FD7787" w:rsidP="005377DC">
            <w:pPr>
              <w:jc w:val="center"/>
            </w:pPr>
          </w:p>
          <w:p w14:paraId="23372D81" w14:textId="77777777" w:rsidR="00FD7787" w:rsidRPr="002E2365" w:rsidRDefault="00FD7787" w:rsidP="005377DC">
            <w:pPr>
              <w:jc w:val="center"/>
            </w:pPr>
          </w:p>
          <w:p w14:paraId="16D96F0E" w14:textId="77777777" w:rsidR="00FD7787" w:rsidRPr="002E2365" w:rsidRDefault="008F14DD" w:rsidP="00D075E2">
            <w:pPr>
              <w:jc w:val="center"/>
            </w:pPr>
            <w:r w:rsidRPr="002E2365">
              <w:t>0</w:t>
            </w:r>
          </w:p>
        </w:tc>
        <w:tc>
          <w:tcPr>
            <w:tcW w:w="611" w:type="pct"/>
            <w:tcBorders>
              <w:left w:val="double" w:sz="4" w:space="0" w:color="auto"/>
            </w:tcBorders>
            <w:shd w:val="clear" w:color="auto" w:fill="FFFFFF"/>
          </w:tcPr>
          <w:p w14:paraId="2E86209D" w14:textId="77777777" w:rsidR="00FD7787" w:rsidRPr="002E2365" w:rsidRDefault="00FD7787" w:rsidP="005377DC">
            <w:pPr>
              <w:jc w:val="center"/>
            </w:pPr>
          </w:p>
          <w:p w14:paraId="6A9DE72C" w14:textId="77777777" w:rsidR="00FD7787" w:rsidRPr="002E2365" w:rsidRDefault="00FD7787" w:rsidP="005377DC">
            <w:pPr>
              <w:jc w:val="center"/>
            </w:pPr>
          </w:p>
          <w:p w14:paraId="46BA6F68" w14:textId="77777777" w:rsidR="00FD7787" w:rsidRPr="002E2365" w:rsidRDefault="008F14DD" w:rsidP="00D075E2">
            <w:pPr>
              <w:jc w:val="center"/>
            </w:pPr>
            <w:r w:rsidRPr="002E2365">
              <w:t>0</w:t>
            </w:r>
          </w:p>
        </w:tc>
        <w:tc>
          <w:tcPr>
            <w:tcW w:w="569" w:type="pct"/>
            <w:shd w:val="clear" w:color="auto" w:fill="FFFFFF"/>
          </w:tcPr>
          <w:p w14:paraId="7950BC40" w14:textId="77777777" w:rsidR="00FD7787" w:rsidRPr="002E2365" w:rsidRDefault="00FD7787" w:rsidP="005377DC">
            <w:pPr>
              <w:jc w:val="center"/>
            </w:pPr>
          </w:p>
          <w:p w14:paraId="2952CA6E" w14:textId="77777777" w:rsidR="0098347A" w:rsidRPr="002E2365" w:rsidRDefault="0098347A" w:rsidP="005377DC">
            <w:pPr>
              <w:jc w:val="center"/>
            </w:pPr>
          </w:p>
          <w:p w14:paraId="682C9615" w14:textId="77777777" w:rsidR="0098347A" w:rsidRPr="002E2365" w:rsidRDefault="008F14DD" w:rsidP="005377DC">
            <w:pPr>
              <w:jc w:val="center"/>
            </w:pPr>
            <w:r w:rsidRPr="002E2365">
              <w:t>0</w:t>
            </w:r>
          </w:p>
        </w:tc>
        <w:tc>
          <w:tcPr>
            <w:tcW w:w="529" w:type="pct"/>
            <w:shd w:val="clear" w:color="auto" w:fill="FFFFFF"/>
          </w:tcPr>
          <w:p w14:paraId="11867F58" w14:textId="77777777" w:rsidR="00FD7787" w:rsidRPr="002E2365" w:rsidRDefault="00FD7787" w:rsidP="005377DC">
            <w:pPr>
              <w:jc w:val="center"/>
            </w:pPr>
          </w:p>
          <w:p w14:paraId="6FD01308" w14:textId="77777777" w:rsidR="00FD7787" w:rsidRPr="002E2365" w:rsidRDefault="00FD7787" w:rsidP="005377DC">
            <w:pPr>
              <w:jc w:val="center"/>
            </w:pPr>
          </w:p>
          <w:p w14:paraId="1C76FF5D" w14:textId="77777777" w:rsidR="00FD7787" w:rsidRPr="002E2365" w:rsidRDefault="00FD7787" w:rsidP="005377DC">
            <w:pPr>
              <w:jc w:val="center"/>
            </w:pPr>
            <w:r w:rsidRPr="002E2365">
              <w:t>0.5</w:t>
            </w:r>
          </w:p>
        </w:tc>
        <w:tc>
          <w:tcPr>
            <w:tcW w:w="658" w:type="pct"/>
            <w:shd w:val="clear" w:color="auto" w:fill="FFFFFF"/>
          </w:tcPr>
          <w:p w14:paraId="1C2F442A" w14:textId="77777777" w:rsidR="00FD7787" w:rsidRPr="002E2365" w:rsidRDefault="00FD7787" w:rsidP="005377DC">
            <w:pPr>
              <w:jc w:val="center"/>
            </w:pPr>
          </w:p>
          <w:p w14:paraId="5C56CDA2" w14:textId="77777777" w:rsidR="00FD7787" w:rsidRPr="002E2365" w:rsidRDefault="00FD7787" w:rsidP="005377DC">
            <w:pPr>
              <w:jc w:val="center"/>
            </w:pPr>
          </w:p>
          <w:p w14:paraId="091B998B" w14:textId="77777777" w:rsidR="00FD7787" w:rsidRPr="002E2365" w:rsidRDefault="008F14DD" w:rsidP="005377DC">
            <w:pPr>
              <w:jc w:val="center"/>
            </w:pPr>
            <w:r w:rsidRPr="002E2365">
              <w:t>0</w:t>
            </w:r>
          </w:p>
        </w:tc>
      </w:tr>
      <w:tr w:rsidR="00A41237" w:rsidRPr="002E2365" w14:paraId="571F1B6D" w14:textId="77777777" w:rsidTr="00D91141">
        <w:tc>
          <w:tcPr>
            <w:tcW w:w="240" w:type="pct"/>
            <w:shd w:val="clear" w:color="auto" w:fill="FFFFFF"/>
          </w:tcPr>
          <w:p w14:paraId="207A1211" w14:textId="77777777" w:rsidR="00FD7787" w:rsidRPr="002E2365" w:rsidRDefault="00FD7787" w:rsidP="004E459A">
            <w:pPr>
              <w:jc w:val="center"/>
            </w:pPr>
            <w:r w:rsidRPr="002E2365">
              <w:t>q.</w:t>
            </w:r>
          </w:p>
        </w:tc>
        <w:tc>
          <w:tcPr>
            <w:tcW w:w="1745" w:type="pct"/>
            <w:shd w:val="clear" w:color="auto" w:fill="FFFFFF"/>
            <w:vAlign w:val="center"/>
          </w:tcPr>
          <w:p w14:paraId="0613E3A8" w14:textId="77777777" w:rsidR="00FD7787" w:rsidRPr="002E2365" w:rsidRDefault="00FD7787" w:rsidP="007625B8">
            <w:r w:rsidRPr="002E2365">
              <w:t>§27.50(d)(3) (AWS</w:t>
            </w:r>
            <w:r w:rsidR="008B723B" w:rsidRPr="002E2365">
              <w:t xml:space="preserve"> </w:t>
            </w:r>
            <w:r w:rsidRPr="002E2365">
              <w:t>coordination of high-power operation with nearby licensees)</w:t>
            </w:r>
            <w:r w:rsidR="0062198D" w:rsidRPr="002E2365">
              <w:t xml:space="preserve"> (</w:t>
            </w:r>
            <w:r w:rsidR="00AA225B" w:rsidRPr="002E2365">
              <w:t xml:space="preserve">AWS-1, AWS-4 and </w:t>
            </w:r>
            <w:r w:rsidR="0062198D" w:rsidRPr="002E2365">
              <w:t>AWS-3 R&amp;O)</w:t>
            </w:r>
          </w:p>
        </w:tc>
        <w:tc>
          <w:tcPr>
            <w:tcW w:w="648" w:type="pct"/>
            <w:tcBorders>
              <w:right w:val="double" w:sz="4" w:space="0" w:color="auto"/>
            </w:tcBorders>
            <w:shd w:val="clear" w:color="auto" w:fill="FFFFFF"/>
          </w:tcPr>
          <w:p w14:paraId="44116777" w14:textId="77777777" w:rsidR="00FD7787" w:rsidRPr="002E2365" w:rsidRDefault="006972FE">
            <w:pPr>
              <w:jc w:val="center"/>
            </w:pPr>
            <w:r w:rsidRPr="002E2365">
              <w:t>5</w:t>
            </w:r>
            <w:r w:rsidR="004079B7" w:rsidRPr="002E2365">
              <w:t>2</w:t>
            </w:r>
          </w:p>
        </w:tc>
        <w:tc>
          <w:tcPr>
            <w:tcW w:w="611" w:type="pct"/>
            <w:tcBorders>
              <w:left w:val="double" w:sz="4" w:space="0" w:color="auto"/>
            </w:tcBorders>
            <w:shd w:val="clear" w:color="auto" w:fill="FFFFFF"/>
          </w:tcPr>
          <w:p w14:paraId="6ABB2C5A" w14:textId="77777777" w:rsidR="00FD7787" w:rsidRPr="002E2365" w:rsidRDefault="004079B7" w:rsidP="007A0128">
            <w:pPr>
              <w:jc w:val="center"/>
            </w:pPr>
            <w:r w:rsidRPr="002E2365">
              <w:t>21</w:t>
            </w:r>
            <w:r w:rsidR="00FD7787" w:rsidRPr="002E2365">
              <w:t>(on occasion)</w:t>
            </w:r>
          </w:p>
        </w:tc>
        <w:tc>
          <w:tcPr>
            <w:tcW w:w="569" w:type="pct"/>
            <w:shd w:val="clear" w:color="auto" w:fill="FFFFFF"/>
          </w:tcPr>
          <w:p w14:paraId="29A156A8" w14:textId="77777777" w:rsidR="00FD7787" w:rsidRPr="002E2365" w:rsidRDefault="000430A9" w:rsidP="00113161">
            <w:pPr>
              <w:jc w:val="center"/>
            </w:pPr>
            <w:r w:rsidRPr="002E2365">
              <w:t>1,092</w:t>
            </w:r>
          </w:p>
        </w:tc>
        <w:tc>
          <w:tcPr>
            <w:tcW w:w="529" w:type="pct"/>
            <w:shd w:val="clear" w:color="auto" w:fill="FFFFFF"/>
          </w:tcPr>
          <w:p w14:paraId="2D863C54" w14:textId="77777777" w:rsidR="00FD7787" w:rsidRPr="002E2365" w:rsidRDefault="00FD7787" w:rsidP="00113161">
            <w:pPr>
              <w:jc w:val="center"/>
            </w:pPr>
            <w:r w:rsidRPr="002E2365">
              <w:t>2x2</w:t>
            </w:r>
          </w:p>
        </w:tc>
        <w:tc>
          <w:tcPr>
            <w:tcW w:w="658" w:type="pct"/>
            <w:shd w:val="clear" w:color="auto" w:fill="FFFFFF"/>
          </w:tcPr>
          <w:p w14:paraId="11C53F6E" w14:textId="77777777" w:rsidR="00FD7787" w:rsidRPr="002E2365" w:rsidRDefault="004079B7" w:rsidP="00113161">
            <w:pPr>
              <w:jc w:val="center"/>
            </w:pPr>
            <w:r w:rsidRPr="002E2365">
              <w:t>4,368</w:t>
            </w:r>
          </w:p>
        </w:tc>
      </w:tr>
      <w:tr w:rsidR="00A41237" w:rsidRPr="002E2365" w14:paraId="549F949A" w14:textId="77777777" w:rsidTr="00D91141">
        <w:tc>
          <w:tcPr>
            <w:tcW w:w="240" w:type="pct"/>
            <w:shd w:val="clear" w:color="auto" w:fill="FFFFFF"/>
          </w:tcPr>
          <w:p w14:paraId="5F6C14D7" w14:textId="77777777" w:rsidR="006972FE" w:rsidRPr="002E2365" w:rsidRDefault="006972FE" w:rsidP="005377DC">
            <w:pPr>
              <w:jc w:val="right"/>
              <w:rPr>
                <w:b/>
              </w:rPr>
            </w:pPr>
          </w:p>
        </w:tc>
        <w:tc>
          <w:tcPr>
            <w:tcW w:w="1745" w:type="pct"/>
            <w:shd w:val="clear" w:color="auto" w:fill="FFFFFF"/>
          </w:tcPr>
          <w:p w14:paraId="506859B1" w14:textId="77777777" w:rsidR="00FD7787" w:rsidRPr="002E2365" w:rsidRDefault="00FD7787" w:rsidP="005377DC">
            <w:pPr>
              <w:jc w:val="right"/>
              <w:rPr>
                <w:b/>
              </w:rPr>
            </w:pPr>
            <w:r w:rsidRPr="002E2365">
              <w:rPr>
                <w:b/>
              </w:rPr>
              <w:t>Totals:</w:t>
            </w:r>
          </w:p>
        </w:tc>
        <w:tc>
          <w:tcPr>
            <w:tcW w:w="648" w:type="pct"/>
            <w:tcBorders>
              <w:right w:val="double" w:sz="4" w:space="0" w:color="auto"/>
            </w:tcBorders>
            <w:shd w:val="clear" w:color="auto" w:fill="FFFFFF"/>
          </w:tcPr>
          <w:p w14:paraId="4E45B01E" w14:textId="77777777" w:rsidR="00FD7787" w:rsidRPr="002E2365" w:rsidRDefault="00F66915" w:rsidP="00211E1C">
            <w:pPr>
              <w:jc w:val="center"/>
              <w:rPr>
                <w:b/>
              </w:rPr>
            </w:pPr>
            <w:r w:rsidRPr="002E2365">
              <w:rPr>
                <w:b/>
              </w:rPr>
              <w:t>254</w:t>
            </w:r>
          </w:p>
        </w:tc>
        <w:tc>
          <w:tcPr>
            <w:tcW w:w="611" w:type="pct"/>
            <w:tcBorders>
              <w:left w:val="double" w:sz="4" w:space="0" w:color="auto"/>
            </w:tcBorders>
            <w:shd w:val="clear" w:color="auto" w:fill="FFFFFF"/>
          </w:tcPr>
          <w:p w14:paraId="6282606A" w14:textId="77777777" w:rsidR="00FD7787" w:rsidRPr="002E2365" w:rsidRDefault="00FD7787" w:rsidP="00455968">
            <w:pPr>
              <w:rPr>
                <w:b/>
              </w:rPr>
            </w:pPr>
          </w:p>
        </w:tc>
        <w:tc>
          <w:tcPr>
            <w:tcW w:w="569" w:type="pct"/>
            <w:shd w:val="clear" w:color="auto" w:fill="FFFFFF"/>
          </w:tcPr>
          <w:p w14:paraId="3EB9A377" w14:textId="77777777" w:rsidR="00FD7787" w:rsidRPr="002E2365" w:rsidRDefault="002F71A9" w:rsidP="002F71A9">
            <w:pPr>
              <w:jc w:val="center"/>
              <w:rPr>
                <w:b/>
              </w:rPr>
            </w:pPr>
            <w:r w:rsidRPr="002E2365">
              <w:rPr>
                <w:b/>
              </w:rPr>
              <w:t>7,798</w:t>
            </w:r>
          </w:p>
        </w:tc>
        <w:tc>
          <w:tcPr>
            <w:tcW w:w="529" w:type="pct"/>
            <w:shd w:val="clear" w:color="auto" w:fill="FFFFFF"/>
          </w:tcPr>
          <w:p w14:paraId="72C0E7B7" w14:textId="77777777" w:rsidR="00FD7787" w:rsidRPr="002E2365" w:rsidRDefault="00634740" w:rsidP="00634740">
            <w:pPr>
              <w:jc w:val="center"/>
              <w:rPr>
                <w:b/>
              </w:rPr>
            </w:pPr>
            <w:r w:rsidRPr="002E2365">
              <w:rPr>
                <w:b/>
              </w:rPr>
              <w:t>0.25-5</w:t>
            </w:r>
            <w:r w:rsidR="00D81746" w:rsidRPr="002E2365">
              <w:rPr>
                <w:b/>
              </w:rPr>
              <w:t xml:space="preserve"> Hours</w:t>
            </w:r>
          </w:p>
        </w:tc>
        <w:tc>
          <w:tcPr>
            <w:tcW w:w="658" w:type="pct"/>
            <w:shd w:val="clear" w:color="auto" w:fill="FFFFFF"/>
          </w:tcPr>
          <w:p w14:paraId="6D864F5D" w14:textId="77777777" w:rsidR="00FD7787" w:rsidRPr="002E2365" w:rsidRDefault="00B31469" w:rsidP="00F86D4A">
            <w:pPr>
              <w:jc w:val="center"/>
              <w:rPr>
                <w:b/>
              </w:rPr>
            </w:pPr>
            <w:r w:rsidRPr="002E2365">
              <w:rPr>
                <w:b/>
              </w:rPr>
              <w:t>1</w:t>
            </w:r>
            <w:r w:rsidR="002F71A9" w:rsidRPr="002E2365">
              <w:rPr>
                <w:b/>
              </w:rPr>
              <w:t>4,358</w:t>
            </w:r>
            <w:r w:rsidR="00F86D4A" w:rsidRPr="002E2365">
              <w:rPr>
                <w:b/>
              </w:rPr>
              <w:t xml:space="preserve"> </w:t>
            </w:r>
            <w:r w:rsidR="00FD7787" w:rsidRPr="002E2365">
              <w:rPr>
                <w:b/>
              </w:rPr>
              <w:t>Hours</w:t>
            </w:r>
          </w:p>
        </w:tc>
      </w:tr>
    </w:tbl>
    <w:p w14:paraId="0914AE7E" w14:textId="77777777" w:rsidR="00433EAB" w:rsidRPr="002E2365" w:rsidRDefault="00433EAB" w:rsidP="00433EAB">
      <w:pPr>
        <w:widowControl/>
        <w:rPr>
          <w:b/>
        </w:rPr>
      </w:pPr>
    </w:p>
    <w:p w14:paraId="7976C361" w14:textId="77777777" w:rsidR="00337EAD" w:rsidRPr="002E2365" w:rsidRDefault="00337EAD" w:rsidP="00433EAB">
      <w:pPr>
        <w:widowControl/>
        <w:rPr>
          <w:b/>
        </w:rPr>
      </w:pPr>
      <w:r w:rsidRPr="002E2365">
        <w:rPr>
          <w:b/>
        </w:rPr>
        <w:t>12-a.</w:t>
      </w:r>
      <w:r w:rsidRPr="002E2365">
        <w:tab/>
      </w:r>
      <w:r w:rsidRPr="002E2365">
        <w:rPr>
          <w:i/>
        </w:rPr>
        <w:t>Reporting- Compliance with foreign ownership filing requirements for AWS-1</w:t>
      </w:r>
      <w:r w:rsidR="006137A8" w:rsidRPr="002E2365">
        <w:rPr>
          <w:i/>
        </w:rPr>
        <w:t>, AWS-3</w:t>
      </w:r>
      <w:r w:rsidRPr="002E2365">
        <w:rPr>
          <w:i/>
        </w:rPr>
        <w:t xml:space="preserve"> </w:t>
      </w:r>
      <w:r w:rsidR="005A27B0" w:rsidRPr="002E2365">
        <w:rPr>
          <w:i/>
        </w:rPr>
        <w:t xml:space="preserve">and AWS-4 </w:t>
      </w:r>
      <w:r w:rsidRPr="002E2365">
        <w:rPr>
          <w:i/>
        </w:rPr>
        <w:t>licensees.</w:t>
      </w:r>
      <w:r w:rsidRPr="002E2365">
        <w:t xml:space="preserve">  The Commission sought and received OMB approval for the estimated burden that it would take about 0.5 hours to complete this filing and that perhaps 10 licensees would make this occasional filin</w:t>
      </w:r>
      <w:r w:rsidR="00131963" w:rsidRPr="002E2365">
        <w:t>g</w:t>
      </w:r>
      <w:r w:rsidRPr="002E2365">
        <w:t xml:space="preserve"> per year</w:t>
      </w:r>
      <w:r w:rsidR="00131963" w:rsidRPr="002E2365">
        <w:t>,</w:t>
      </w:r>
      <w:r w:rsidRPr="002E2365">
        <w:t xml:space="preserve"> prepared by a licensee’s existing staff attorney</w:t>
      </w:r>
      <w:r w:rsidR="0080483D" w:rsidRPr="002E2365">
        <w:t>s (“in-house”) at approximately</w:t>
      </w:r>
      <w:r w:rsidRPr="002E2365">
        <w:t xml:space="preserve"> $</w:t>
      </w:r>
      <w:r w:rsidR="00AA4925" w:rsidRPr="002E2365">
        <w:t xml:space="preserve">69.97 </w:t>
      </w:r>
      <w:r w:rsidRPr="002E2365">
        <w:t>per hour</w:t>
      </w:r>
      <w:r w:rsidR="007D6401" w:rsidRPr="002E2365">
        <w:t>, the average hourly rate for an in-house attorney according to the Bureau of Labor Statistics</w:t>
      </w:r>
      <w:r w:rsidR="00291CC9" w:rsidRPr="002E2365">
        <w:rPr>
          <w:rStyle w:val="FootnoteReference"/>
        </w:rPr>
        <w:footnoteReference w:id="20"/>
      </w:r>
      <w:r w:rsidRPr="002E2365">
        <w:t>.</w:t>
      </w:r>
      <w:r w:rsidR="00061FEF" w:rsidRPr="002E2365">
        <w:t xml:space="preserve">  This information is collected on FCC forms that are separately approved by OMB.  In an abundance of caution, this entry covers any approval required </w:t>
      </w:r>
      <w:r w:rsidR="0072422F" w:rsidRPr="002E2365">
        <w:t xml:space="preserve">in addition to OMB approval of the relevant FCC forms.  </w:t>
      </w:r>
      <w:r w:rsidR="00061FEF" w:rsidRPr="002E2365">
        <w:t xml:space="preserve">  </w:t>
      </w:r>
    </w:p>
    <w:p w14:paraId="5C325580" w14:textId="77777777" w:rsidR="00211E1C" w:rsidRPr="002E2365" w:rsidRDefault="00337EAD" w:rsidP="00337EAD">
      <w:pPr>
        <w:pStyle w:val="ParaNum"/>
        <w:numPr>
          <w:ilvl w:val="0"/>
          <w:numId w:val="0"/>
        </w:numPr>
        <w:tabs>
          <w:tab w:val="left" w:pos="3600"/>
        </w:tabs>
        <w:spacing w:before="100" w:beforeAutospacing="1" w:after="100" w:afterAutospacing="1"/>
        <w:rPr>
          <w:b/>
        </w:rPr>
      </w:pPr>
      <w:r w:rsidRPr="002E2365">
        <w:t xml:space="preserve">10 respondents x 1 response x 0.5 hours per response </w:t>
      </w:r>
      <w:r w:rsidRPr="002E2365">
        <w:rPr>
          <w:b/>
        </w:rPr>
        <w:t>= 5 hours.</w:t>
      </w:r>
    </w:p>
    <w:p w14:paraId="1206F3AF" w14:textId="77777777" w:rsidR="00337EAD" w:rsidRPr="002E2365" w:rsidRDefault="005C0685" w:rsidP="00337EAD">
      <w:pPr>
        <w:pStyle w:val="ParaNum"/>
        <w:numPr>
          <w:ilvl w:val="0"/>
          <w:numId w:val="0"/>
        </w:numPr>
        <w:tabs>
          <w:tab w:val="left" w:pos="3600"/>
        </w:tabs>
        <w:spacing w:before="100" w:beforeAutospacing="1" w:after="100" w:afterAutospacing="1"/>
      </w:pPr>
      <w:r w:rsidRPr="002E2365">
        <w:t>Internal cost:</w:t>
      </w:r>
      <w:r w:rsidR="00B10B16" w:rsidRPr="002E2365">
        <w:t xml:space="preserve">  </w:t>
      </w:r>
      <w:r w:rsidRPr="002E2365">
        <w:t xml:space="preserve">$69.97 x 5 hours = </w:t>
      </w:r>
      <w:r w:rsidR="00337EAD" w:rsidRPr="002E2365">
        <w:t>$</w:t>
      </w:r>
      <w:r w:rsidR="00C65D73" w:rsidRPr="002E2365">
        <w:t>3</w:t>
      </w:r>
      <w:r w:rsidR="00B10B16" w:rsidRPr="002E2365">
        <w:t xml:space="preserve">50 </w:t>
      </w:r>
    </w:p>
    <w:p w14:paraId="2FBF2E6F" w14:textId="77777777" w:rsidR="00337EAD" w:rsidRPr="002E2365" w:rsidRDefault="00337EAD" w:rsidP="00337EAD">
      <w:pPr>
        <w:pStyle w:val="ParaNum"/>
        <w:numPr>
          <w:ilvl w:val="0"/>
          <w:numId w:val="0"/>
        </w:numPr>
        <w:tabs>
          <w:tab w:val="left" w:pos="720"/>
          <w:tab w:val="right" w:pos="9360"/>
        </w:tabs>
        <w:spacing w:before="100" w:beforeAutospacing="1" w:after="100" w:afterAutospacing="1"/>
      </w:pPr>
      <w:r w:rsidRPr="002E2365">
        <w:rPr>
          <w:b/>
        </w:rPr>
        <w:t>12-b.</w:t>
      </w:r>
      <w:r w:rsidRPr="002E2365">
        <w:tab/>
      </w:r>
      <w:r w:rsidRPr="002E2365">
        <w:rPr>
          <w:i/>
        </w:rPr>
        <w:t>Reporting</w:t>
      </w:r>
      <w:r w:rsidR="00300A26" w:rsidRPr="002E2365">
        <w:rPr>
          <w:i/>
        </w:rPr>
        <w:t xml:space="preserve"> </w:t>
      </w:r>
      <w:r w:rsidRPr="002E2365">
        <w:rPr>
          <w:i/>
        </w:rPr>
        <w:t>- Showing of compliance with subs</w:t>
      </w:r>
      <w:r w:rsidR="0080483D" w:rsidRPr="002E2365">
        <w:rPr>
          <w:i/>
        </w:rPr>
        <w:t>tantial service requirement for AWS-1 licensees</w:t>
      </w:r>
      <w:r w:rsidRPr="002E2365">
        <w:rPr>
          <w:i/>
        </w:rPr>
        <w:t>.</w:t>
      </w:r>
      <w:r w:rsidRPr="002E2365">
        <w:t xml:space="preserve">  </w:t>
      </w:r>
      <w:r w:rsidR="00CC6317" w:rsidRPr="002E2365">
        <w:rPr>
          <w:i/>
        </w:rPr>
        <w:t xml:space="preserve">See </w:t>
      </w:r>
      <w:r w:rsidR="00CC6317" w:rsidRPr="002E2365">
        <w:t>47 C.F.R. §§ 27.14</w:t>
      </w:r>
      <w:r w:rsidR="00300A26" w:rsidRPr="002E2365">
        <w:t>(a)</w:t>
      </w:r>
      <w:r w:rsidR="00CC6317" w:rsidRPr="002E2365">
        <w:t xml:space="preserve">.  </w:t>
      </w:r>
      <w:r w:rsidRPr="002E2365">
        <w:t>AWS</w:t>
      </w:r>
      <w:r w:rsidR="00BA5B08" w:rsidRPr="002E2365">
        <w:t>-1</w:t>
      </w:r>
      <w:r w:rsidRPr="002E2365">
        <w:t xml:space="preserve"> licensees must, as a performance requirement, make a showing of "substantial service" in their license area prior to the expiration of their license term.  </w:t>
      </w:r>
      <w:r w:rsidR="00BA5B08" w:rsidRPr="002E2365">
        <w:t>L</w:t>
      </w:r>
      <w:r w:rsidRPr="002E2365">
        <w:t xml:space="preserve">icensees can file their </w:t>
      </w:r>
      <w:r w:rsidR="00BA5B08" w:rsidRPr="002E2365">
        <w:t>showing</w:t>
      </w:r>
      <w:r w:rsidRPr="002E2365">
        <w:t>s any</w:t>
      </w:r>
      <w:r w:rsidR="0093224C" w:rsidRPr="002E2365">
        <w:t xml:space="preserve"> </w:t>
      </w:r>
      <w:r w:rsidRPr="002E2365">
        <w:t>time before the performance deadline</w:t>
      </w:r>
      <w:r w:rsidR="00300A26" w:rsidRPr="002E2365">
        <w:t>,</w:t>
      </w:r>
      <w:r w:rsidRPr="002E2365">
        <w:t xml:space="preserve"> but we estimate that most licensees will wait until the deadline approaches given that they will need to prepare a substantial service showing for their license renewal applications.  (AWS-1 licensees also have the right to a renewal expectancy under § 27.14</w:t>
      </w:r>
      <w:r w:rsidR="00300A26" w:rsidRPr="002E2365">
        <w:t>(b)</w:t>
      </w:r>
      <w:r w:rsidRPr="002E2365">
        <w:t xml:space="preserve"> if the</w:t>
      </w:r>
      <w:r w:rsidR="00BA5B08" w:rsidRPr="002E2365">
        <w:t>y have</w:t>
      </w:r>
      <w:r w:rsidRPr="002E2365">
        <w:t xml:space="preserve"> provided substantial service during t</w:t>
      </w:r>
      <w:r w:rsidR="00BA5B08" w:rsidRPr="002E2365">
        <w:t>heir</w:t>
      </w:r>
      <w:r w:rsidRPr="002E2365">
        <w:t xml:space="preserve"> past license term and ha</w:t>
      </w:r>
      <w:r w:rsidR="00BA5B08" w:rsidRPr="002E2365">
        <w:t>ve</w:t>
      </w:r>
      <w:r w:rsidRPr="002E2365">
        <w:t xml:space="preserve"> complied with the Communications Act and applicable FCC rules and policies.  As such, licensee</w:t>
      </w:r>
      <w:r w:rsidR="00BA5B08" w:rsidRPr="002E2365">
        <w:t>s</w:t>
      </w:r>
      <w:r w:rsidRPr="002E2365">
        <w:t xml:space="preserve"> will also have to file substantial service showing</w:t>
      </w:r>
      <w:r w:rsidR="00BA5B08" w:rsidRPr="002E2365">
        <w:t>s</w:t>
      </w:r>
      <w:r w:rsidRPr="002E2365">
        <w:t>, regarding the renewal expectancy under § 27.14, with t</w:t>
      </w:r>
      <w:r w:rsidR="00BA5B08" w:rsidRPr="002E2365">
        <w:t>heir</w:t>
      </w:r>
      <w:r w:rsidRPr="002E2365">
        <w:t xml:space="preserve"> renewal license application</w:t>
      </w:r>
      <w:r w:rsidR="00BA5B08" w:rsidRPr="002E2365">
        <w:t>s</w:t>
      </w:r>
      <w:r w:rsidRPr="002E2365">
        <w:t xml:space="preserve">.)  </w:t>
      </w:r>
      <w:r w:rsidR="00B10B16" w:rsidRPr="002E2365">
        <w:t>The first AWS-1 licenses were granted in 2006; t</w:t>
      </w:r>
      <w:r w:rsidRPr="002E2365">
        <w:t>hus, this is an occasional requirement likely to be performed at the end of the first 15-year license term and then every 10 y</w:t>
      </w:r>
      <w:r w:rsidR="00B10B16" w:rsidRPr="002E2365">
        <w:t>ears thereafter.</w:t>
      </w:r>
      <w:r w:rsidRPr="002E2365">
        <w:t xml:space="preserve"> </w:t>
      </w:r>
      <w:r w:rsidR="00234598" w:rsidRPr="002E2365">
        <w:t>When reports are required, we estimate 2 hours per response.</w:t>
      </w:r>
      <w:r w:rsidRPr="002E2365">
        <w:t xml:space="preserve">  </w:t>
      </w:r>
      <w:bookmarkStart w:id="4" w:name="_Hlk493761123"/>
      <w:r w:rsidR="0040770F" w:rsidRPr="002E2365">
        <w:t>We are also assuming an equal distribution of the 1,581 total number of responses among 142 AWS-1</w:t>
      </w:r>
      <w:bookmarkEnd w:id="4"/>
      <w:r w:rsidR="0040770F" w:rsidRPr="002E2365">
        <w:t xml:space="preserve">, which works out to an average 11.13 responses per respondent over the course of the three-year approval period, or 4 (3.71) per year.  </w:t>
      </w:r>
      <w:r w:rsidR="00CF63E6" w:rsidRPr="002E2365">
        <w:t>(</w:t>
      </w:r>
      <w:r w:rsidR="0040770F" w:rsidRPr="002E2365">
        <w:t>(1,581</w:t>
      </w:r>
      <m:oMath>
        <m:r>
          <w:rPr>
            <w:rFonts w:ascii="Cambria Math" w:hAnsi="Cambria Math"/>
          </w:rPr>
          <m:t>÷</m:t>
        </m:r>
      </m:oMath>
      <w:r w:rsidR="0040770F" w:rsidRPr="002E2365">
        <w:t xml:space="preserve">142) </w:t>
      </w:r>
      <m:oMath>
        <m:r>
          <w:rPr>
            <w:rFonts w:ascii="Cambria Math" w:hAnsi="Cambria Math"/>
          </w:rPr>
          <m:t>÷</m:t>
        </m:r>
      </m:oMath>
      <w:r w:rsidR="00CF63E6" w:rsidRPr="002E2365">
        <w:t xml:space="preserve"> 3 = 3.71)</w:t>
      </w:r>
      <w:r w:rsidR="008C75F8" w:rsidRPr="002E2365">
        <w:t>)</w:t>
      </w:r>
    </w:p>
    <w:p w14:paraId="54651218" w14:textId="77777777" w:rsidR="00B10B16" w:rsidRPr="002E2365" w:rsidRDefault="00B10B16" w:rsidP="00337EAD">
      <w:pPr>
        <w:pStyle w:val="ParaNum"/>
        <w:numPr>
          <w:ilvl w:val="0"/>
          <w:numId w:val="0"/>
        </w:numPr>
        <w:tabs>
          <w:tab w:val="left" w:pos="720"/>
          <w:tab w:val="right" w:pos="9360"/>
        </w:tabs>
        <w:spacing w:before="100" w:beforeAutospacing="1" w:after="100" w:afterAutospacing="1"/>
      </w:pPr>
      <w:r w:rsidRPr="002E2365">
        <w:t xml:space="preserve">142 respondents x </w:t>
      </w:r>
      <w:r w:rsidR="0040770F" w:rsidRPr="002E2365">
        <w:t>4</w:t>
      </w:r>
      <w:r w:rsidRPr="002E2365">
        <w:t xml:space="preserve"> response x 2 hours per response = </w:t>
      </w:r>
      <w:r w:rsidR="0040770F" w:rsidRPr="002E2365">
        <w:rPr>
          <w:b/>
        </w:rPr>
        <w:t>1,136</w:t>
      </w:r>
      <w:r w:rsidRPr="002E2365">
        <w:rPr>
          <w:b/>
        </w:rPr>
        <w:t xml:space="preserve"> hours</w:t>
      </w:r>
    </w:p>
    <w:p w14:paraId="4473FE48" w14:textId="77777777" w:rsidR="00337EAD" w:rsidRPr="002E2365" w:rsidRDefault="00B10B16" w:rsidP="00337EAD">
      <w:pPr>
        <w:pStyle w:val="ParaNum"/>
        <w:numPr>
          <w:ilvl w:val="0"/>
          <w:numId w:val="0"/>
        </w:numPr>
        <w:tabs>
          <w:tab w:val="left" w:pos="720"/>
          <w:tab w:val="right" w:pos="9360"/>
        </w:tabs>
        <w:spacing w:before="100" w:beforeAutospacing="1" w:after="100" w:afterAutospacing="1"/>
      </w:pPr>
      <w:r w:rsidRPr="002E2365">
        <w:t xml:space="preserve">Internal cost: $69.97 x </w:t>
      </w:r>
      <w:r w:rsidR="00207B6A" w:rsidRPr="002E2365">
        <w:t>1,</w:t>
      </w:r>
      <w:r w:rsidR="0040770F" w:rsidRPr="002E2365">
        <w:t>136</w:t>
      </w:r>
      <w:r w:rsidRPr="002E2365">
        <w:t xml:space="preserve"> hours = $</w:t>
      </w:r>
      <w:r w:rsidR="0040770F" w:rsidRPr="002E2365">
        <w:t>79,486</w:t>
      </w:r>
      <w:r w:rsidRPr="002E2365">
        <w:t xml:space="preserve"> </w:t>
      </w:r>
    </w:p>
    <w:p w14:paraId="30EEE8A6" w14:textId="77777777" w:rsidR="0040770F" w:rsidRPr="002E2365" w:rsidRDefault="004727B0" w:rsidP="0040770F">
      <w:pPr>
        <w:pStyle w:val="ParaNum"/>
        <w:numPr>
          <w:ilvl w:val="0"/>
          <w:numId w:val="0"/>
        </w:numPr>
        <w:tabs>
          <w:tab w:val="left" w:pos="720"/>
          <w:tab w:val="right" w:pos="9360"/>
        </w:tabs>
        <w:spacing w:before="100" w:beforeAutospacing="1" w:after="100" w:afterAutospacing="1"/>
      </w:pPr>
      <w:r w:rsidRPr="002E2365">
        <w:rPr>
          <w:i/>
        </w:rPr>
        <w:t>Reporting - Showing of compliance with performance requirement for AWS-4 and AWS-3 operators</w:t>
      </w:r>
      <w:r w:rsidRPr="002E2365">
        <w:t xml:space="preserve">.  </w:t>
      </w:r>
      <w:r w:rsidRPr="002E2365">
        <w:rPr>
          <w:i/>
        </w:rPr>
        <w:t>See</w:t>
      </w:r>
      <w:r w:rsidRPr="002E2365">
        <w:t xml:space="preserve"> 47 C.F.R. § 27.14(k), (q), (s).  During their initial license terms, AWS-4 and AWS-3 licensees are required to file aggregate performance data with the FCC at the end of specified buildout periods (4 and 7 years for AWS-4 licensees and 6 and 12 years for AWS-3).  Only the AWS-4 initial buildout deadline will fall within the next three-year approval period</w:t>
      </w:r>
      <w:r w:rsidR="00F828D5" w:rsidRPr="002E2365">
        <w:t>, so these licensees will have an average of 0.333 response</w:t>
      </w:r>
      <w:r w:rsidR="004E5469" w:rsidRPr="002E2365">
        <w:t>s</w:t>
      </w:r>
      <w:r w:rsidR="00F828D5" w:rsidRPr="002E2365">
        <w:t xml:space="preserve"> per year</w:t>
      </w:r>
      <w:r w:rsidRPr="002E2365">
        <w:t xml:space="preserve">; for all </w:t>
      </w:r>
      <w:r w:rsidR="00770CFD" w:rsidRPr="002E2365">
        <w:t>others,</w:t>
      </w:r>
      <w:r w:rsidRPr="002E2365">
        <w:t xml:space="preserve"> we do not anticipate any burden hours for this collection during the next three-year approval period.  The Commission estimates that licensees’ staff engineers ($</w:t>
      </w:r>
      <w:r w:rsidR="00613907" w:rsidRPr="002E2365">
        <w:t>37.85</w:t>
      </w:r>
      <w:r w:rsidRPr="002E2365">
        <w:t xml:space="preserve"> per hour)</w:t>
      </w:r>
      <w:r w:rsidR="00613907" w:rsidRPr="002E2365">
        <w:rPr>
          <w:rStyle w:val="FootnoteReference"/>
        </w:rPr>
        <w:footnoteReference w:id="21"/>
      </w:r>
      <w:r w:rsidR="00770CFD" w:rsidRPr="002E2365">
        <w:t xml:space="preserve"> </w:t>
      </w:r>
      <w:r w:rsidRPr="002E2365">
        <w:t>will take an average of two hours to prepare each disclosure.</w:t>
      </w:r>
      <w:r w:rsidR="0040770F" w:rsidRPr="002E2365">
        <w:t xml:space="preserve"> </w:t>
      </w:r>
      <w:r w:rsidR="00CF63E6" w:rsidRPr="002E2365">
        <w:t>We are also assuming an equal distribution of the 1,403 total number of responses among 37 AWS-</w:t>
      </w:r>
      <w:r w:rsidR="008C75F8" w:rsidRPr="002E2365">
        <w:t>3. We estimate that 40 percent will response that will average of 15 (15.16) responses.</w:t>
      </w:r>
      <w:r w:rsidR="00CF63E6" w:rsidRPr="002E2365">
        <w:t xml:space="preserve"> ((1,403 </w:t>
      </w:r>
      <m:oMath>
        <m:r>
          <w:rPr>
            <w:rFonts w:ascii="Cambria Math" w:hAnsi="Cambria Math"/>
          </w:rPr>
          <m:t xml:space="preserve">÷ </m:t>
        </m:r>
      </m:oMath>
      <w:r w:rsidR="00CF63E6" w:rsidRPr="002E2365">
        <w:t>37)</w:t>
      </w:r>
      <m:oMath>
        <m:r>
          <w:rPr>
            <w:rFonts w:ascii="Cambria Math" w:hAnsi="Cambria Math"/>
          </w:rPr>
          <m:t xml:space="preserve"> x</m:t>
        </m:r>
      </m:oMath>
      <w:r w:rsidR="00CF63E6" w:rsidRPr="002E2365">
        <w:t xml:space="preserve">  .40 = 15.16</w:t>
      </w:r>
      <w:r w:rsidR="008C75F8" w:rsidRPr="002E2365">
        <w:t>))</w:t>
      </w:r>
    </w:p>
    <w:p w14:paraId="585FEFA3" w14:textId="77777777" w:rsidR="004727B0" w:rsidRPr="002E2365" w:rsidRDefault="009F56C9" w:rsidP="004727B0">
      <w:pPr>
        <w:tabs>
          <w:tab w:val="left" w:pos="720"/>
          <w:tab w:val="right" w:pos="9360"/>
        </w:tabs>
        <w:spacing w:before="100" w:beforeAutospacing="1"/>
      </w:pPr>
      <w:bookmarkStart w:id="5" w:name="_Hlk494875967"/>
      <w:r w:rsidRPr="002E2365">
        <w:t>For AWS-3</w:t>
      </w:r>
      <w:r w:rsidR="004727B0" w:rsidRPr="002E2365">
        <w:t xml:space="preserve"> operators (initial buildout period):  </w:t>
      </w:r>
      <w:r w:rsidRPr="002E2365">
        <w:t>37</w:t>
      </w:r>
      <w:r w:rsidR="004727B0" w:rsidRPr="002E2365">
        <w:t xml:space="preserve"> respondents x </w:t>
      </w:r>
      <w:r w:rsidRPr="002E2365">
        <w:t xml:space="preserve">15 </w:t>
      </w:r>
      <w:r w:rsidR="004727B0" w:rsidRPr="002E2365">
        <w:t>response</w:t>
      </w:r>
      <w:r w:rsidR="004E5469" w:rsidRPr="002E2365">
        <w:t>s</w:t>
      </w:r>
      <w:r w:rsidR="004727B0" w:rsidRPr="002E2365">
        <w:t xml:space="preserve"> x 2 hours per response = </w:t>
      </w:r>
      <w:r w:rsidRPr="002E2365">
        <w:rPr>
          <w:b/>
        </w:rPr>
        <w:t>1,110</w:t>
      </w:r>
      <w:r w:rsidR="00F23F24" w:rsidRPr="002E2365">
        <w:rPr>
          <w:b/>
        </w:rPr>
        <w:t xml:space="preserve"> hours</w:t>
      </w:r>
      <w:r w:rsidR="004727B0" w:rsidRPr="002E2365">
        <w:t xml:space="preserve">. </w:t>
      </w:r>
    </w:p>
    <w:bookmarkEnd w:id="5"/>
    <w:p w14:paraId="7379170E" w14:textId="77777777" w:rsidR="00D10D9B" w:rsidRPr="002E2365" w:rsidRDefault="00D10D9B" w:rsidP="00D10D9B">
      <w:pPr>
        <w:tabs>
          <w:tab w:val="left" w:pos="720"/>
          <w:tab w:val="right" w:pos="9360"/>
        </w:tabs>
        <w:spacing w:before="100" w:beforeAutospacing="1"/>
      </w:pPr>
      <w:r w:rsidRPr="002E2365">
        <w:t>For AWS-4</w:t>
      </w:r>
      <w:r w:rsidR="00C3373F" w:rsidRPr="002E2365">
        <w:t xml:space="preserve"> operators: </w:t>
      </w:r>
      <w:r w:rsidRPr="002E2365">
        <w:t>2 respondents x 1</w:t>
      </w:r>
      <w:r w:rsidR="00C3373F" w:rsidRPr="002E2365">
        <w:t xml:space="preserve"> response </w:t>
      </w:r>
      <w:r w:rsidRPr="002E2365">
        <w:t xml:space="preserve">x 2 hours per response = </w:t>
      </w:r>
      <w:r w:rsidRPr="002E2365">
        <w:rPr>
          <w:b/>
        </w:rPr>
        <w:t>4 hours</w:t>
      </w:r>
      <w:r w:rsidRPr="002E2365">
        <w:t xml:space="preserve">. </w:t>
      </w:r>
    </w:p>
    <w:p w14:paraId="077661EF" w14:textId="77777777" w:rsidR="004F5E10" w:rsidRPr="002E2365" w:rsidRDefault="004F5E10" w:rsidP="004F5E10">
      <w:pPr>
        <w:tabs>
          <w:tab w:val="left" w:pos="720"/>
          <w:tab w:val="left" w:pos="3600"/>
          <w:tab w:val="right" w:pos="9360"/>
        </w:tabs>
      </w:pPr>
    </w:p>
    <w:p w14:paraId="6397CC63" w14:textId="77777777" w:rsidR="004F5E10" w:rsidRPr="002E2365" w:rsidRDefault="004F5E10" w:rsidP="004F5E10">
      <w:pPr>
        <w:tabs>
          <w:tab w:val="left" w:pos="720"/>
          <w:tab w:val="left" w:pos="3600"/>
          <w:tab w:val="right" w:pos="9360"/>
        </w:tabs>
      </w:pPr>
      <w:r w:rsidRPr="002E2365">
        <w:t xml:space="preserve">Internal cost: $37.85 x 1114 (1,110 +4) hours11 = $42,165 </w:t>
      </w:r>
    </w:p>
    <w:p w14:paraId="5188E581" w14:textId="77777777" w:rsidR="00BE6258" w:rsidRPr="002E2365" w:rsidRDefault="004727B0" w:rsidP="00BE6258">
      <w:pPr>
        <w:tabs>
          <w:tab w:val="left" w:pos="720"/>
          <w:tab w:val="right" w:pos="9360"/>
        </w:tabs>
        <w:spacing w:before="100" w:beforeAutospacing="1" w:after="100" w:afterAutospacing="1"/>
      </w:pPr>
      <w:r w:rsidRPr="002E2365">
        <w:rPr>
          <w:i/>
        </w:rPr>
        <w:t>Reporting - License renewal criteria showings for AWS-4 and AWS-3 licensees</w:t>
      </w:r>
      <w:r w:rsidRPr="002E2365">
        <w:t xml:space="preserve">.  </w:t>
      </w:r>
      <w:r w:rsidRPr="002E2365">
        <w:rPr>
          <w:i/>
        </w:rPr>
        <w:t>See</w:t>
      </w:r>
      <w:r w:rsidRPr="002E2365">
        <w:t xml:space="preserve"> 47 C.F.R. §27.14(q)(7), (s)(6).  AWS-4 and AWS-3 licensees are required to make renewal showings, independent of their performance requirements, as a condition of license renewal.</w:t>
      </w:r>
      <w:r w:rsidRPr="002E2365">
        <w:rPr>
          <w:sz w:val="20"/>
          <w:vertAlign w:val="superscript"/>
        </w:rPr>
        <w:footnoteReference w:id="22"/>
      </w:r>
      <w:r w:rsidRPr="002E2365">
        <w:t xml:space="preserve">  </w:t>
      </w:r>
      <w:r w:rsidR="00234598" w:rsidRPr="002E2365">
        <w:t xml:space="preserve">We estimate 2 hours per response.  </w:t>
      </w:r>
      <w:r w:rsidRPr="002E2365">
        <w:t xml:space="preserve">However, no AWS-4 licenses will come due for renewal during the next three-year approval period; </w:t>
      </w:r>
      <w:r w:rsidR="00770CFD" w:rsidRPr="002E2365">
        <w:t>thus,</w:t>
      </w:r>
      <w:r w:rsidRPr="002E2365">
        <w:t xml:space="preserve"> we do not anticipate any burden hours for </w:t>
      </w:r>
      <w:r w:rsidR="00BE6258" w:rsidRPr="002E2365">
        <w:t xml:space="preserve">AWS-3 in this </w:t>
      </w:r>
      <w:r w:rsidRPr="002E2365">
        <w:t xml:space="preserve">collection during the next three-year approval period. </w:t>
      </w:r>
      <w:r w:rsidR="00BE6258" w:rsidRPr="002E2365">
        <w:t xml:space="preserve">Only the AWS-4 initial buildout deadline will fall within the next three-year approval period, so these licensees will have an average of 0.333 responses per year; for all </w:t>
      </w:r>
      <w:r w:rsidR="00770CFD" w:rsidRPr="002E2365">
        <w:t>others,</w:t>
      </w:r>
      <w:r w:rsidR="00BE6258" w:rsidRPr="002E2365">
        <w:t xml:space="preserve"> we do not anticipate any burden hours for this collection during the next three-year approval period.  The Commission estimates that licensees’ staff engineers ($37.85 per hour)</w:t>
      </w:r>
      <w:r w:rsidR="00BE6258" w:rsidRPr="002E2365">
        <w:rPr>
          <w:rStyle w:val="FootnoteReference"/>
        </w:rPr>
        <w:footnoteReference w:id="23"/>
      </w:r>
      <w:r w:rsidR="00770CFD" w:rsidRPr="002E2365">
        <w:t xml:space="preserve"> </w:t>
      </w:r>
      <w:r w:rsidR="00BE6258" w:rsidRPr="002E2365">
        <w:t>will take an average of two hours to prepare each disclosure.</w:t>
      </w:r>
    </w:p>
    <w:p w14:paraId="0BD96327" w14:textId="77777777" w:rsidR="004727B0" w:rsidRPr="002E2365" w:rsidRDefault="009F56C9" w:rsidP="004727B0">
      <w:pPr>
        <w:tabs>
          <w:tab w:val="left" w:pos="720"/>
          <w:tab w:val="right" w:pos="9360"/>
        </w:tabs>
        <w:spacing w:before="100" w:beforeAutospacing="1" w:after="100" w:afterAutospacing="1"/>
      </w:pPr>
      <w:r w:rsidRPr="002E2365">
        <w:t xml:space="preserve">See </w:t>
      </w:r>
      <w:r w:rsidRPr="002E2365">
        <w:rPr>
          <w:i/>
        </w:rPr>
        <w:t>Reporting - Showing of compliance with performance requirement for AWS-4 and AWS-3 operators</w:t>
      </w:r>
      <w:r w:rsidRPr="002E2365">
        <w:t xml:space="preserve">.  </w:t>
      </w:r>
      <w:r w:rsidR="00770CFD" w:rsidRPr="002E2365">
        <w:t>The Commission believes that licensees will complete both requirements collectively; thus, w</w:t>
      </w:r>
      <w:r w:rsidRPr="002E2365">
        <w:t>e will not duplicate hourly and internal cost.</w:t>
      </w:r>
    </w:p>
    <w:p w14:paraId="2DBD881D" w14:textId="77777777" w:rsidR="00BE6258" w:rsidRPr="002E2365" w:rsidRDefault="00BE6258" w:rsidP="00BE6258">
      <w:pPr>
        <w:tabs>
          <w:tab w:val="left" w:pos="720"/>
          <w:tab w:val="right" w:pos="9360"/>
        </w:tabs>
        <w:spacing w:before="100" w:beforeAutospacing="1"/>
      </w:pPr>
      <w:r w:rsidRPr="002E2365">
        <w:t>For AWS-</w:t>
      </w:r>
      <w:r w:rsidR="009F56C9" w:rsidRPr="002E2365">
        <w:t>4</w:t>
      </w:r>
      <w:r w:rsidRPr="002E2365">
        <w:t xml:space="preserve"> operators:  </w:t>
      </w:r>
      <w:r w:rsidRPr="002E2365">
        <w:rPr>
          <w:b/>
        </w:rPr>
        <w:tab/>
        <w:t>= 0 hours</w:t>
      </w:r>
      <w:r w:rsidRPr="002E2365">
        <w:t xml:space="preserve"> (this entry is on the statement merely to remind FCC staff to reactivate it</w:t>
      </w:r>
    </w:p>
    <w:p w14:paraId="5B1B9C2C" w14:textId="77777777" w:rsidR="00285FA6" w:rsidRPr="002E2365" w:rsidRDefault="00285FA6" w:rsidP="00285FA6">
      <w:pPr>
        <w:pStyle w:val="ParaNum"/>
        <w:numPr>
          <w:ilvl w:val="0"/>
          <w:numId w:val="0"/>
        </w:numPr>
        <w:tabs>
          <w:tab w:val="left" w:pos="720"/>
        </w:tabs>
        <w:spacing w:before="100" w:beforeAutospacing="1" w:after="100" w:afterAutospacing="1"/>
        <w:rPr>
          <w:snapToGrid/>
          <w:kern w:val="0"/>
          <w:szCs w:val="22"/>
        </w:rPr>
      </w:pPr>
      <w:r w:rsidRPr="002E2365">
        <w:rPr>
          <w:b/>
          <w:bCs/>
        </w:rPr>
        <w:t>12-c.</w:t>
      </w:r>
      <w:r w:rsidRPr="002E2365">
        <w:t xml:space="preserve">       </w:t>
      </w:r>
      <w:r w:rsidRPr="002E2365">
        <w:rPr>
          <w:i/>
          <w:iCs/>
        </w:rPr>
        <w:t>Disclosures for interference coordination.</w:t>
      </w:r>
      <w:r w:rsidRPr="002E2365">
        <w:t xml:space="preserve">  </w:t>
      </w:r>
      <w:r w:rsidRPr="002E2365">
        <w:rPr>
          <w:i/>
          <w:iCs/>
        </w:rPr>
        <w:t xml:space="preserve">See </w:t>
      </w:r>
      <w:r w:rsidRPr="002E2365">
        <w:t xml:space="preserve">47 C.F.R. §§ 27.1131, 27.1132, 27.1133.   For AWS-1, licensees have coordination requirements to protect against interference to operations in co- or adjacent bands (BRS, Part 74/78 operations, and fixed microwave links).  The Commission believes that many cases of potential interference with in-band and out-of-band licensees requiring coordination have already been resolved with existing deployments of the AWS-1 band but we estimate that up to 30 AWS-1 licensees could send coordination notices to co-or adjacent band licensees.  For AWS-4 and AWS-3, we estimate that up to all 39 licensees (two AWS-4 and an estimated 37 AWS-3) will be affected by coordination requirements as those bands are deployed, and that each licensee will send 1,755 coordinations per year.  </w:t>
      </w:r>
      <w:r w:rsidRPr="002E2365">
        <w:rPr>
          <w:i/>
          <w:iCs/>
        </w:rPr>
        <w:t>See</w:t>
      </w:r>
      <w:r w:rsidRPr="002E2365">
        <w:t xml:space="preserve"> 47 C.F.R. §§ 27.1131 (Protection of Part 101 operations), 27.1132 (Protection of incumbent operations in the 2150-2160/62 MHz band), 27.1133 (Protection of Part 74 and Part 78 operations.  The Commission estimates that licensees’ staff engineers ($37.85 per hour) will take an average of 15 minutes to prepare §§ 27.1131, 27.1132, 27.1133 for AWS-3 licensees and 15 minutes for AWS-4 to prepare § 27.1131.  </w:t>
      </w:r>
    </w:p>
    <w:p w14:paraId="4D432371" w14:textId="77777777" w:rsidR="00285FA6" w:rsidRPr="002E2365" w:rsidRDefault="00285FA6" w:rsidP="00285FA6">
      <w:pPr>
        <w:pStyle w:val="ParaNum"/>
        <w:numPr>
          <w:ilvl w:val="0"/>
          <w:numId w:val="0"/>
        </w:numPr>
        <w:tabs>
          <w:tab w:val="left" w:pos="720"/>
        </w:tabs>
        <w:spacing w:after="0"/>
        <w:rPr>
          <w:sz w:val="20"/>
        </w:rPr>
      </w:pPr>
      <w:r w:rsidRPr="002E2365">
        <w:t xml:space="preserve">AWS-4:  2 respondents x 176 responses x 0.25 hours per response </w:t>
      </w:r>
      <w:r w:rsidRPr="002E2365">
        <w:rPr>
          <w:b/>
          <w:bCs/>
        </w:rPr>
        <w:t>= 88 hours.</w:t>
      </w:r>
    </w:p>
    <w:p w14:paraId="23B38FA0" w14:textId="77777777" w:rsidR="00285FA6" w:rsidRPr="002E2365" w:rsidRDefault="00285FA6" w:rsidP="00285FA6">
      <w:pPr>
        <w:pStyle w:val="ParaNum"/>
        <w:numPr>
          <w:ilvl w:val="0"/>
          <w:numId w:val="0"/>
        </w:numPr>
        <w:tabs>
          <w:tab w:val="left" w:pos="720"/>
        </w:tabs>
        <w:spacing w:after="0"/>
        <w:rPr>
          <w:b/>
          <w:bCs/>
        </w:rPr>
      </w:pPr>
      <w:r w:rsidRPr="002E2365">
        <w:t xml:space="preserve">AWS-3:  37 respondents x 38 responses x 0.25 hours per response = </w:t>
      </w:r>
      <w:r w:rsidRPr="002E2365">
        <w:rPr>
          <w:b/>
          <w:bCs/>
        </w:rPr>
        <w:t>352 hours.</w:t>
      </w:r>
    </w:p>
    <w:p w14:paraId="3A99C458" w14:textId="77777777" w:rsidR="00285FA6" w:rsidRPr="002E2365" w:rsidRDefault="00285FA6" w:rsidP="00285FA6">
      <w:pPr>
        <w:pStyle w:val="ParaNum"/>
        <w:numPr>
          <w:ilvl w:val="0"/>
          <w:numId w:val="0"/>
        </w:numPr>
        <w:tabs>
          <w:tab w:val="left" w:pos="720"/>
        </w:tabs>
        <w:spacing w:after="0"/>
      </w:pPr>
      <w:r w:rsidRPr="002E2365">
        <w:t xml:space="preserve">AWS-1:  30 respondents x   2 responses x 0.25 hours per response = </w:t>
      </w:r>
      <w:r w:rsidRPr="002E2365">
        <w:rPr>
          <w:b/>
        </w:rPr>
        <w:t>15 hours.</w:t>
      </w:r>
    </w:p>
    <w:p w14:paraId="380E27EE" w14:textId="77777777" w:rsidR="00285FA6" w:rsidRPr="002E2365" w:rsidRDefault="00285FA6" w:rsidP="00285FA6">
      <w:pPr>
        <w:pStyle w:val="ParaNum"/>
        <w:numPr>
          <w:ilvl w:val="0"/>
          <w:numId w:val="0"/>
        </w:numPr>
        <w:tabs>
          <w:tab w:val="left" w:pos="720"/>
        </w:tabs>
        <w:spacing w:after="0"/>
      </w:pPr>
    </w:p>
    <w:p w14:paraId="121EA5A3" w14:textId="77777777" w:rsidR="00285FA6" w:rsidRPr="002E2365" w:rsidRDefault="00285FA6" w:rsidP="00285FA6">
      <w:pPr>
        <w:pStyle w:val="ParaNum"/>
        <w:numPr>
          <w:ilvl w:val="0"/>
          <w:numId w:val="0"/>
        </w:numPr>
        <w:tabs>
          <w:tab w:val="left" w:pos="720"/>
        </w:tabs>
        <w:spacing w:after="0"/>
      </w:pPr>
      <w:r w:rsidRPr="002E2365">
        <w:t>Internal cost: (88 + 352 + 15 = 455) x</w:t>
      </w:r>
      <w:r w:rsidR="005933A7" w:rsidRPr="002E2365">
        <w:t xml:space="preserve"> $37.85 = $17,222</w:t>
      </w:r>
    </w:p>
    <w:p w14:paraId="3CC51F54" w14:textId="77777777" w:rsidR="00337EAD" w:rsidRPr="002E2365" w:rsidRDefault="00337EAD" w:rsidP="00233149">
      <w:pPr>
        <w:pStyle w:val="ParaNum"/>
        <w:numPr>
          <w:ilvl w:val="0"/>
          <w:numId w:val="0"/>
        </w:numPr>
        <w:spacing w:before="100" w:beforeAutospacing="1" w:after="100" w:afterAutospacing="1"/>
        <w:rPr>
          <w:strike/>
        </w:rPr>
      </w:pPr>
      <w:r w:rsidRPr="002E2365">
        <w:rPr>
          <w:b/>
        </w:rPr>
        <w:t>12-d.</w:t>
      </w:r>
      <w:r w:rsidRPr="002E2365">
        <w:tab/>
      </w:r>
      <w:r w:rsidRPr="002E2365">
        <w:rPr>
          <w:i/>
        </w:rPr>
        <w:t>Disclosures related to negotiation and relocation of FS links</w:t>
      </w:r>
      <w:r w:rsidRPr="002E2365">
        <w:t xml:space="preserve">.  </w:t>
      </w:r>
      <w:r w:rsidR="00CC6317" w:rsidRPr="002E2365">
        <w:rPr>
          <w:i/>
        </w:rPr>
        <w:t xml:space="preserve">See </w:t>
      </w:r>
      <w:r w:rsidRPr="002E2365">
        <w:t xml:space="preserve">47 C.F.R. §§ 101.69, 101.73(d), 101.75(a).  </w:t>
      </w:r>
      <w:r w:rsidR="005F7239" w:rsidRPr="002E2365">
        <w:t xml:space="preserve">There are approximately </w:t>
      </w:r>
      <w:r w:rsidR="00DB6A2E" w:rsidRPr="002E2365">
        <w:t>90</w:t>
      </w:r>
      <w:r w:rsidR="005F7239" w:rsidRPr="002E2365">
        <w:t xml:space="preserve"> FS links remaining in the 2110-2150 MHz and 2160-2200 MHz bands</w:t>
      </w:r>
      <w:r w:rsidR="009A1E9D" w:rsidRPr="002E2365">
        <w:t>, which overlap the AWS-1, -4 and -3 bands</w:t>
      </w:r>
      <w:r w:rsidR="00513762" w:rsidRPr="002E2365">
        <w:t xml:space="preserve"> and 60</w:t>
      </w:r>
      <w:r w:rsidRPr="002E2365">
        <w:t xml:space="preserve"> incumbent FS licensees</w:t>
      </w:r>
      <w:r w:rsidR="0063330B" w:rsidRPr="002E2365">
        <w:t>.</w:t>
      </w:r>
      <w:r w:rsidR="007F1BDC" w:rsidRPr="002E2365">
        <w:t xml:space="preserve"> </w:t>
      </w:r>
      <w:r w:rsidR="0063330B" w:rsidRPr="002E2365">
        <w:t>W</w:t>
      </w:r>
      <w:r w:rsidR="007F1BDC" w:rsidRPr="002E2365">
        <w:t xml:space="preserve">e expect </w:t>
      </w:r>
      <w:r w:rsidR="0063330B" w:rsidRPr="002E2365">
        <w:t>43</w:t>
      </w:r>
      <w:r w:rsidR="007F1BDC" w:rsidRPr="002E2365">
        <w:t xml:space="preserve"> licensees (</w:t>
      </w:r>
      <w:r w:rsidR="0063330B" w:rsidRPr="002E2365">
        <w:t xml:space="preserve">4 </w:t>
      </w:r>
      <w:r w:rsidR="007F1BDC" w:rsidRPr="002E2365">
        <w:t>AWS-</w:t>
      </w:r>
      <w:r w:rsidR="0063330B" w:rsidRPr="002E2365">
        <w:t>1</w:t>
      </w:r>
      <w:r w:rsidR="0063330B" w:rsidRPr="002E2365">
        <w:rPr>
          <w:rStyle w:val="FootnoteReference"/>
        </w:rPr>
        <w:footnoteReference w:id="24"/>
      </w:r>
      <w:r w:rsidR="0063330B" w:rsidRPr="002E2365">
        <w:t>, 37 AWS-</w:t>
      </w:r>
      <w:r w:rsidR="007F1BDC" w:rsidRPr="002E2365">
        <w:t xml:space="preserve">3 and </w:t>
      </w:r>
      <w:r w:rsidR="0063330B" w:rsidRPr="002E2365">
        <w:t>2 AWS</w:t>
      </w:r>
      <w:r w:rsidR="007F1BDC" w:rsidRPr="002E2365">
        <w:t xml:space="preserve">-4) to relocate in the next three years. </w:t>
      </w:r>
      <w:r w:rsidR="0063330B" w:rsidRPr="002E2365">
        <w:t xml:space="preserve">((90 </w:t>
      </w:r>
      <m:oMath>
        <m:r>
          <w:rPr>
            <w:rFonts w:ascii="Cambria Math" w:hAnsi="Cambria Math"/>
          </w:rPr>
          <m:t xml:space="preserve">÷ </m:t>
        </m:r>
      </m:oMath>
      <w:r w:rsidR="0063330B" w:rsidRPr="002E2365">
        <w:t xml:space="preserve">60) </w:t>
      </w:r>
      <m:oMath>
        <m:r>
          <w:rPr>
            <w:rFonts w:ascii="Cambria Math" w:hAnsi="Cambria Math"/>
          </w:rPr>
          <m:t>÷</m:t>
        </m:r>
      </m:oMath>
      <w:r w:rsidR="0063330B" w:rsidRPr="002E2365">
        <w:t xml:space="preserve"> 3 = 0.5 or 1)). </w:t>
      </w:r>
      <w:r w:rsidR="007F1BDC" w:rsidRPr="002E2365">
        <w:t xml:space="preserve">We expect that the </w:t>
      </w:r>
      <w:r w:rsidRPr="002E2365">
        <w:t xml:space="preserve">relocations will proceed via agreements between AWS licensees and FS incumbents negotiated </w:t>
      </w:r>
      <w:r w:rsidR="007F1BDC" w:rsidRPr="002E2365">
        <w:t xml:space="preserve">by </w:t>
      </w:r>
      <w:r w:rsidRPr="002E2365">
        <w:t>in-house by staff attorneys</w:t>
      </w:r>
      <w:r w:rsidR="004F72B0" w:rsidRPr="002E2365">
        <w:t xml:space="preserve"> ($69.97</w:t>
      </w:r>
      <w:r w:rsidR="007F1BDC" w:rsidRPr="002E2365">
        <w:t>)</w:t>
      </w:r>
      <w:r w:rsidRPr="002E2365">
        <w:t xml:space="preserve"> and engineers </w:t>
      </w:r>
      <w:r w:rsidR="007F1BDC" w:rsidRPr="002E2365">
        <w:t>($37.85)</w:t>
      </w:r>
      <w:r w:rsidRPr="002E2365">
        <w:t>.  We estimate that the required disclosures will take each party an average of 0.5 hours each per relocation</w:t>
      </w:r>
      <w:r w:rsidR="00A44187" w:rsidRPr="002E2365">
        <w:t xml:space="preserve"> (1</w:t>
      </w:r>
      <w:r w:rsidR="0063330B" w:rsidRPr="002E2365">
        <w:t xml:space="preserve"> </w:t>
      </w:r>
      <w:r w:rsidR="006C2131" w:rsidRPr="002E2365">
        <w:t>hour total per relocation)</w:t>
      </w:r>
      <w:r w:rsidR="007F1BDC" w:rsidRPr="002E2365">
        <w:t xml:space="preserve">. </w:t>
      </w:r>
    </w:p>
    <w:p w14:paraId="714FAD6F" w14:textId="77777777" w:rsidR="00211E1C" w:rsidRPr="002E2365" w:rsidRDefault="0063330B" w:rsidP="00961D3D">
      <w:pPr>
        <w:pStyle w:val="ParaNum"/>
        <w:numPr>
          <w:ilvl w:val="0"/>
          <w:numId w:val="0"/>
        </w:numPr>
        <w:tabs>
          <w:tab w:val="left" w:pos="720"/>
          <w:tab w:val="left" w:pos="3600"/>
          <w:tab w:val="right" w:pos="9360"/>
        </w:tabs>
        <w:spacing w:after="100" w:afterAutospacing="1"/>
      </w:pPr>
      <w:r w:rsidRPr="002E2365">
        <w:t xml:space="preserve">43 </w:t>
      </w:r>
      <w:r w:rsidR="00337EAD" w:rsidRPr="002E2365">
        <w:t>(</w:t>
      </w:r>
      <w:r w:rsidRPr="002E2365">
        <w:t xml:space="preserve">4 + </w:t>
      </w:r>
      <w:r w:rsidR="007F1BDC" w:rsidRPr="002E2365">
        <w:t>37</w:t>
      </w:r>
      <w:r w:rsidR="00337EAD" w:rsidRPr="002E2365">
        <w:t xml:space="preserve"> + </w:t>
      </w:r>
      <w:r w:rsidR="007F1BDC" w:rsidRPr="002E2365">
        <w:t>2</w:t>
      </w:r>
      <w:r w:rsidR="00337EAD" w:rsidRPr="002E2365">
        <w:t xml:space="preserve">) respondents x </w:t>
      </w:r>
      <w:r w:rsidR="00C504BF" w:rsidRPr="002E2365">
        <w:t>1</w:t>
      </w:r>
      <w:r w:rsidR="00337EAD" w:rsidRPr="002E2365">
        <w:t xml:space="preserve"> response</w:t>
      </w:r>
      <w:r w:rsidR="00D22D8C" w:rsidRPr="002E2365">
        <w:t>s</w:t>
      </w:r>
      <w:r w:rsidR="00337EAD" w:rsidRPr="002E2365">
        <w:t xml:space="preserve"> x 0.5 hours per response </w:t>
      </w:r>
      <w:r w:rsidR="00337EAD" w:rsidRPr="002E2365">
        <w:rPr>
          <w:b/>
        </w:rPr>
        <w:t xml:space="preserve">= </w:t>
      </w:r>
      <w:r w:rsidR="00C504BF" w:rsidRPr="002E2365">
        <w:t>2</w:t>
      </w:r>
      <w:r w:rsidR="0066540A" w:rsidRPr="002E2365">
        <w:t>2 (21.5)</w:t>
      </w:r>
      <w:r w:rsidR="00DD7352" w:rsidRPr="002E2365">
        <w:t xml:space="preserve"> </w:t>
      </w:r>
      <w:r w:rsidR="00337EAD" w:rsidRPr="002E2365">
        <w:t>hours</w:t>
      </w:r>
      <w:r w:rsidR="00C504BF" w:rsidRPr="002E2365">
        <w:t xml:space="preserve"> x $</w:t>
      </w:r>
      <w:r w:rsidR="00BF32E6" w:rsidRPr="002E2365">
        <w:t>69.97</w:t>
      </w:r>
      <w:r w:rsidR="00C504BF" w:rsidRPr="002E2365">
        <w:t xml:space="preserve"> (attorney) = $</w:t>
      </w:r>
      <w:bookmarkStart w:id="6" w:name="_Hlk493776974"/>
      <w:r w:rsidR="00C504BF" w:rsidRPr="002E2365">
        <w:t>1,</w:t>
      </w:r>
      <w:r w:rsidR="0066540A" w:rsidRPr="002E2365">
        <w:t>539.34</w:t>
      </w:r>
      <w:bookmarkEnd w:id="6"/>
    </w:p>
    <w:p w14:paraId="18BD65F3" w14:textId="77777777" w:rsidR="00C504BF" w:rsidRPr="002E2365" w:rsidRDefault="0063330B" w:rsidP="00C504BF">
      <w:pPr>
        <w:pStyle w:val="ParaNum"/>
        <w:numPr>
          <w:ilvl w:val="0"/>
          <w:numId w:val="0"/>
        </w:numPr>
        <w:tabs>
          <w:tab w:val="left" w:pos="720"/>
          <w:tab w:val="left" w:pos="3600"/>
          <w:tab w:val="right" w:pos="9360"/>
        </w:tabs>
        <w:spacing w:after="100" w:afterAutospacing="1"/>
      </w:pPr>
      <w:r w:rsidRPr="002E2365">
        <w:t>43</w:t>
      </w:r>
      <w:r w:rsidR="00C504BF" w:rsidRPr="002E2365">
        <w:t xml:space="preserve"> (</w:t>
      </w:r>
      <w:r w:rsidR="0066540A" w:rsidRPr="002E2365">
        <w:t xml:space="preserve">4+ </w:t>
      </w:r>
      <w:r w:rsidR="00C504BF" w:rsidRPr="002E2365">
        <w:t xml:space="preserve">37 + 2) respondents x 1 responses x 0.5 hours per response </w:t>
      </w:r>
      <w:r w:rsidR="00C504BF" w:rsidRPr="002E2365">
        <w:rPr>
          <w:b/>
        </w:rPr>
        <w:t xml:space="preserve">= </w:t>
      </w:r>
      <w:r w:rsidR="0066540A" w:rsidRPr="002E2365">
        <w:t xml:space="preserve">22 (21.5) hours </w:t>
      </w:r>
      <w:r w:rsidR="00C504BF" w:rsidRPr="002E2365">
        <w:t>x $37.85 (engineer) = $</w:t>
      </w:r>
      <w:r w:rsidR="0066540A" w:rsidRPr="002E2365">
        <w:t>832.7</w:t>
      </w:r>
      <w:r w:rsidR="00C504BF" w:rsidRPr="002E2365">
        <w:t>.</w:t>
      </w:r>
    </w:p>
    <w:p w14:paraId="34FCE109" w14:textId="77777777" w:rsidR="00C504BF" w:rsidRPr="002E2365" w:rsidRDefault="00337EAD" w:rsidP="00C504BF">
      <w:pPr>
        <w:pStyle w:val="ParaNum"/>
        <w:numPr>
          <w:ilvl w:val="0"/>
          <w:numId w:val="0"/>
        </w:numPr>
        <w:tabs>
          <w:tab w:val="left" w:pos="720"/>
          <w:tab w:val="left" w:pos="3600"/>
          <w:tab w:val="right" w:pos="9360"/>
        </w:tabs>
        <w:spacing w:after="100" w:afterAutospacing="1"/>
      </w:pPr>
      <w:r w:rsidRPr="002E2365">
        <w:t>Internal cost</w:t>
      </w:r>
      <w:r w:rsidR="00C504BF" w:rsidRPr="002E2365">
        <w:t>:</w:t>
      </w:r>
      <w:r w:rsidR="00E31FB6" w:rsidRPr="002E2365">
        <w:t xml:space="preserve"> </w:t>
      </w:r>
      <w:r w:rsidR="00C504BF" w:rsidRPr="002E2365">
        <w:t>$</w:t>
      </w:r>
      <w:r w:rsidR="0066540A" w:rsidRPr="002E2365">
        <w:t>1,539.34 + $832.7</w:t>
      </w:r>
      <w:r w:rsidR="00C504BF" w:rsidRPr="002E2365">
        <w:t xml:space="preserve"> = $2,</w:t>
      </w:r>
      <w:r w:rsidR="005933A7" w:rsidRPr="002E2365">
        <w:t>372</w:t>
      </w:r>
    </w:p>
    <w:p w14:paraId="6451F43A" w14:textId="77777777" w:rsidR="003C232E" w:rsidRPr="002E2365" w:rsidRDefault="003C232E" w:rsidP="003C232E">
      <w:pPr>
        <w:pStyle w:val="ParaNum"/>
        <w:numPr>
          <w:ilvl w:val="0"/>
          <w:numId w:val="0"/>
        </w:numPr>
        <w:tabs>
          <w:tab w:val="left" w:pos="720"/>
        </w:tabs>
        <w:spacing w:after="100" w:afterAutospacing="1"/>
        <w:rPr>
          <w:snapToGrid/>
          <w:kern w:val="0"/>
          <w:szCs w:val="22"/>
        </w:rPr>
      </w:pPr>
      <w:r w:rsidRPr="002E2365">
        <w:rPr>
          <w:b/>
          <w:bCs/>
        </w:rPr>
        <w:t>12-e.</w:t>
      </w:r>
      <w:r w:rsidRPr="002E2365">
        <w:t xml:space="preserve">    </w:t>
      </w:r>
      <w:r w:rsidRPr="002E2365">
        <w:rPr>
          <w:i/>
          <w:iCs/>
        </w:rPr>
        <w:t xml:space="preserve">Disclosures related to negotiation and relocation of BRS systems.  See </w:t>
      </w:r>
      <w:r w:rsidRPr="002E2365">
        <w:t xml:space="preserve">47 C.F.R. §§ 27.1250, 27.1251, 27.1252, 27.1255(a).  Approximately 4 licensees hold approximately 8 BRS licenses with a total of approximately 12 channels remaining in AWS spectrum.  In an abundance of caution, we are assuming over the next three-year approval period that up to 2 AWS licensees could negotiate with a BRS licensee to relocate one of the 12 BRS channels.  If 2 AWS licensees initiate negotiations for each of the 12 channels, one BRS licensee per channel must provide information about its system to the 2 AWS licensees.  Under this estimate, in the aggregate, 4 BRS licensees will make 24 responses to 24 AWS licensees (2 AWS per 12 BRS channels).  All parties must share necessary information and engage in good faith negotiation.  If no agreement is reached, the rules provide a process for involuntary relocation.  In an abundance of caution, we are assuming that all of the AWS licensees negotiating for relocation of the 12 BRS channels are unique.  For convenience, we are assuming an equal distribution of 24 potential negotiations among the 4 BRS licensees.  We estimate that the required disclosures will take each AWS respondent an average of 2 hours per relocation and each BRS respondent an average of 5 hours per relocation, and that the negotiations will probably be conducted in-house by staff engineers at $37.85.  Additional, external costs are shown in item 13.  </w:t>
      </w:r>
    </w:p>
    <w:p w14:paraId="37134CBB" w14:textId="77777777" w:rsidR="003C232E" w:rsidRPr="002E2365" w:rsidRDefault="003C232E" w:rsidP="003C232E">
      <w:pPr>
        <w:pStyle w:val="ParaNum"/>
        <w:numPr>
          <w:ilvl w:val="0"/>
          <w:numId w:val="0"/>
        </w:numPr>
        <w:tabs>
          <w:tab w:val="left" w:pos="720"/>
        </w:tabs>
        <w:spacing w:before="100" w:beforeAutospacing="1" w:after="100" w:afterAutospacing="1"/>
        <w:rPr>
          <w:sz w:val="20"/>
        </w:rPr>
      </w:pPr>
      <w:r w:rsidRPr="002E2365">
        <w:t xml:space="preserve">(24 AWS respondents x 1 response x 2 hrs.) + (4 BRS respondents x 6 responses x 5 hours) = </w:t>
      </w:r>
      <w:r w:rsidRPr="002E2365">
        <w:rPr>
          <w:b/>
        </w:rPr>
        <w:t>168 hours.</w:t>
      </w:r>
    </w:p>
    <w:p w14:paraId="7A737ED7" w14:textId="77777777" w:rsidR="003C232E" w:rsidRPr="002E2365" w:rsidRDefault="003C232E" w:rsidP="003C232E">
      <w:pPr>
        <w:pStyle w:val="ParaNum"/>
        <w:numPr>
          <w:ilvl w:val="0"/>
          <w:numId w:val="0"/>
        </w:numPr>
        <w:tabs>
          <w:tab w:val="left" w:pos="720"/>
        </w:tabs>
        <w:spacing w:before="100" w:beforeAutospacing="1" w:after="100" w:afterAutospacing="1"/>
        <w:rPr>
          <w:strike/>
        </w:rPr>
      </w:pPr>
      <w:r w:rsidRPr="002E2365">
        <w:t>Internal cos</w:t>
      </w:r>
      <w:r w:rsidR="007A0017" w:rsidRPr="002E2365">
        <w:t xml:space="preserve">t: 168 hours x $37.85 = </w:t>
      </w:r>
      <w:r w:rsidR="00AC0583" w:rsidRPr="002E2365">
        <w:t>$6,359</w:t>
      </w:r>
    </w:p>
    <w:p w14:paraId="3BD6074D" w14:textId="77777777" w:rsidR="00337EAD" w:rsidRPr="002E2365" w:rsidRDefault="00337EAD" w:rsidP="00337EAD">
      <w:pPr>
        <w:pStyle w:val="ParaNum"/>
        <w:numPr>
          <w:ilvl w:val="0"/>
          <w:numId w:val="0"/>
        </w:numPr>
        <w:spacing w:before="100" w:beforeAutospacing="1" w:after="100" w:afterAutospacing="1"/>
      </w:pPr>
      <w:r w:rsidRPr="002E2365">
        <w:rPr>
          <w:b/>
        </w:rPr>
        <w:t>12-f.</w:t>
      </w:r>
      <w:r w:rsidRPr="002E2365">
        <w:tab/>
      </w:r>
      <w:r w:rsidRPr="002E2365">
        <w:rPr>
          <w:i/>
        </w:rPr>
        <w:t xml:space="preserve">Disclosures related to registration of FS or BRS relocations with a clearinghouse.  See </w:t>
      </w:r>
      <w:r w:rsidRPr="002E2365">
        <w:t>47 C.F.R. §§ 27.1166(a)(1)-(2), 27.1182(a)(1).  Although relocators are not required to seek reimbursement via the FCC’s cost-sharing plan, th</w:t>
      </w:r>
      <w:r w:rsidR="00685C15" w:rsidRPr="002E2365">
        <w:t>ose who do seek reimbursement must</w:t>
      </w:r>
      <w:r w:rsidRPr="002E2365">
        <w:t xml:space="preserve"> register their reimbursement rights with a clearinghouse.  We are assuming</w:t>
      </w:r>
      <w:r w:rsidR="001D32C5" w:rsidRPr="002E2365">
        <w:t xml:space="preserve"> up to </w:t>
      </w:r>
      <w:r w:rsidR="004E223A" w:rsidRPr="002E2365">
        <w:t>68</w:t>
      </w:r>
      <w:r w:rsidR="001D32C5" w:rsidRPr="002E2365">
        <w:t xml:space="preserve"> </w:t>
      </w:r>
      <w:r w:rsidR="008F7E11" w:rsidRPr="002E2365">
        <w:t>(</w:t>
      </w:r>
      <w:r w:rsidR="00306CD7" w:rsidRPr="002E2365">
        <w:t>60</w:t>
      </w:r>
      <w:r w:rsidR="008F7E11" w:rsidRPr="002E2365">
        <w:t xml:space="preserve"> FS + </w:t>
      </w:r>
      <w:r w:rsidR="004E223A" w:rsidRPr="002E2365">
        <w:t>8</w:t>
      </w:r>
      <w:r w:rsidR="008F7E11" w:rsidRPr="002E2365">
        <w:t xml:space="preserve"> BRS)</w:t>
      </w:r>
      <w:r w:rsidR="00CD6D54" w:rsidRPr="002E2365">
        <w:t xml:space="preserve"> </w:t>
      </w:r>
      <w:r w:rsidR="001D32C5" w:rsidRPr="002E2365">
        <w:t xml:space="preserve">relocations </w:t>
      </w:r>
      <w:r w:rsidRPr="002E2365">
        <w:t xml:space="preserve">will be registered with a clearinghouse by </w:t>
      </w:r>
      <w:r w:rsidR="009E67A0" w:rsidRPr="002E2365">
        <w:t xml:space="preserve">up to </w:t>
      </w:r>
      <w:r w:rsidR="0067646C" w:rsidRPr="002E2365">
        <w:t>181</w:t>
      </w:r>
      <w:r w:rsidR="009E67A0" w:rsidRPr="002E2365">
        <w:t xml:space="preserve"> </w:t>
      </w:r>
      <w:r w:rsidR="00B97067" w:rsidRPr="002E2365">
        <w:t>(</w:t>
      </w:r>
      <w:r w:rsidR="00306CD7" w:rsidRPr="002E2365">
        <w:t>142</w:t>
      </w:r>
      <w:r w:rsidR="00B97067" w:rsidRPr="002E2365">
        <w:t xml:space="preserve"> + </w:t>
      </w:r>
      <w:r w:rsidR="0067646C" w:rsidRPr="002E2365">
        <w:t>37</w:t>
      </w:r>
      <w:r w:rsidR="0044724D" w:rsidRPr="002E2365">
        <w:t xml:space="preserve"> + 2</w:t>
      </w:r>
      <w:r w:rsidR="00B97067" w:rsidRPr="002E2365">
        <w:t xml:space="preserve">) </w:t>
      </w:r>
      <w:r w:rsidR="009E67A0" w:rsidRPr="002E2365">
        <w:t xml:space="preserve">AWS licensees.  </w:t>
      </w:r>
      <w:r w:rsidRPr="002E2365">
        <w:t xml:space="preserve">Additionally, we estimate that </w:t>
      </w:r>
      <w:r w:rsidR="008F7E11" w:rsidRPr="002E2365">
        <w:t>approximately 2</w:t>
      </w:r>
      <w:r w:rsidR="00306CD7" w:rsidRPr="002E2365">
        <w:t>0</w:t>
      </w:r>
      <w:r w:rsidR="008F7E11" w:rsidRPr="002E2365">
        <w:t xml:space="preserve"> links (</w:t>
      </w:r>
      <w:r w:rsidR="0044724D" w:rsidRPr="002E2365">
        <w:t>one-third of the</w:t>
      </w:r>
      <w:r w:rsidR="00721627" w:rsidRPr="002E2365">
        <w:t xml:space="preserve"> </w:t>
      </w:r>
      <w:r w:rsidR="008F7E11" w:rsidRPr="002E2365">
        <w:t xml:space="preserve">remaining FS links) will be voluntarily </w:t>
      </w:r>
      <w:r w:rsidRPr="002E2365">
        <w:t>“self</w:t>
      </w:r>
      <w:r w:rsidR="006F0DF0" w:rsidRPr="002E2365">
        <w:t>-</w:t>
      </w:r>
      <w:r w:rsidRPr="002E2365">
        <w:t>relocat</w:t>
      </w:r>
      <w:r w:rsidR="008F7E11" w:rsidRPr="002E2365">
        <w:t>ed</w:t>
      </w:r>
      <w:r w:rsidRPr="002E2365">
        <w:t xml:space="preserve">” by </w:t>
      </w:r>
      <w:r w:rsidR="0044724D" w:rsidRPr="002E2365">
        <w:t>FS</w:t>
      </w:r>
      <w:r w:rsidRPr="002E2365">
        <w:t xml:space="preserve"> incumbents </w:t>
      </w:r>
      <w:r w:rsidR="008F7E11" w:rsidRPr="002E2365">
        <w:t>who w</w:t>
      </w:r>
      <w:r w:rsidRPr="002E2365">
        <w:t>ill register</w:t>
      </w:r>
      <w:r w:rsidR="008F7E11" w:rsidRPr="002E2365">
        <w:t xml:space="preserve"> their costs for reimbursement</w:t>
      </w:r>
      <w:r w:rsidRPr="002E2365">
        <w:t xml:space="preserve">.  Accordingly, we estimate </w:t>
      </w:r>
      <w:r w:rsidR="00DF2C0D" w:rsidRPr="002E2365">
        <w:t xml:space="preserve">1,755 </w:t>
      </w:r>
      <w:r w:rsidRPr="002E2365">
        <w:t xml:space="preserve">responses by </w:t>
      </w:r>
      <w:r w:rsidR="003A3A71" w:rsidRPr="002E2365">
        <w:t>2</w:t>
      </w:r>
      <w:r w:rsidR="00306CD7" w:rsidRPr="002E2365">
        <w:t>25</w:t>
      </w:r>
      <w:r w:rsidR="00066749" w:rsidRPr="002E2365">
        <w:t xml:space="preserve"> (</w:t>
      </w:r>
      <w:r w:rsidR="004E223A" w:rsidRPr="002E2365">
        <w:t>181</w:t>
      </w:r>
      <w:r w:rsidR="00066749" w:rsidRPr="002E2365">
        <w:t xml:space="preserve"> AWS</w:t>
      </w:r>
      <w:r w:rsidR="00EB2982" w:rsidRPr="002E2365">
        <w:t xml:space="preserve"> +</w:t>
      </w:r>
      <w:r w:rsidR="00066749" w:rsidRPr="002E2365">
        <w:t xml:space="preserve"> </w:t>
      </w:r>
      <w:r w:rsidR="00306CD7" w:rsidRPr="002E2365">
        <w:t>60</w:t>
      </w:r>
      <w:r w:rsidR="00066749" w:rsidRPr="002E2365">
        <w:t xml:space="preserve"> FS) </w:t>
      </w:r>
      <w:r w:rsidRPr="002E2365">
        <w:t>respondents</w:t>
      </w:r>
      <w:r w:rsidR="0044724D" w:rsidRPr="002E2365">
        <w:t xml:space="preserve"> over the course of the three-year appr</w:t>
      </w:r>
      <w:r w:rsidR="00DF2C0D" w:rsidRPr="002E2365">
        <w:t>oval period, or an average of 3</w:t>
      </w:r>
      <w:r w:rsidR="00B52E7A" w:rsidRPr="002E2365">
        <w:t xml:space="preserve"> (2.6)</w:t>
      </w:r>
      <w:r w:rsidR="0044724D" w:rsidRPr="002E2365">
        <w:t xml:space="preserve"> per respondent annually</w:t>
      </w:r>
      <w:r w:rsidRPr="002E2365">
        <w:t xml:space="preserve">.  </w:t>
      </w:r>
      <w:r w:rsidR="005D5CC6" w:rsidRPr="002E2365">
        <w:t xml:space="preserve">((1,755 </w:t>
      </w:r>
      <m:oMath>
        <m:r>
          <w:rPr>
            <w:rFonts w:ascii="Cambria Math" w:hAnsi="Cambria Math"/>
          </w:rPr>
          <m:t>÷</m:t>
        </m:r>
      </m:oMath>
      <w:r w:rsidR="005D5CC6" w:rsidRPr="002E2365">
        <w:t xml:space="preserve">  225) </w:t>
      </w:r>
      <m:oMath>
        <m:r>
          <w:rPr>
            <w:rFonts w:ascii="Cambria Math" w:hAnsi="Cambria Math"/>
          </w:rPr>
          <m:t>÷</m:t>
        </m:r>
      </m:oMath>
      <w:r w:rsidR="005D5CC6" w:rsidRPr="002E2365">
        <w:t xml:space="preserve"> 3 = 2.6)) </w:t>
      </w:r>
      <w:r w:rsidRPr="002E2365">
        <w:t>We assume that respondents will use in-house personnel to file their registrations and that each registration will take a staff analyst an average of 0.5 hours to prepare and file</w:t>
      </w:r>
      <w:r w:rsidR="00685C15" w:rsidRPr="002E2365">
        <w:t>, at $</w:t>
      </w:r>
      <w:r w:rsidR="007A0017" w:rsidRPr="002E2365">
        <w:t>43.29</w:t>
      </w:r>
      <w:r w:rsidR="00685C15" w:rsidRPr="002E2365">
        <w:t>/</w:t>
      </w:r>
      <w:r w:rsidR="00C35EC3" w:rsidRPr="002E2365">
        <w:t>hr.</w:t>
      </w:r>
      <w:r w:rsidR="00685C15" w:rsidRPr="002E2365">
        <w:t>, the equivalent of a GS 12 Step 5 in the Federal pay scale</w:t>
      </w:r>
      <w:r w:rsidR="000101ED" w:rsidRPr="002E2365">
        <w:rPr>
          <w:rStyle w:val="FootnoteReference"/>
        </w:rPr>
        <w:footnoteReference w:id="25"/>
      </w:r>
      <w:r w:rsidR="0044724D" w:rsidRPr="002E2365">
        <w:t>.</w:t>
      </w:r>
    </w:p>
    <w:p w14:paraId="1CE2DEEE" w14:textId="77777777" w:rsidR="00337EAD" w:rsidRPr="002E2365" w:rsidRDefault="0067646C" w:rsidP="00211E1C">
      <w:pPr>
        <w:pStyle w:val="ParaNum"/>
        <w:numPr>
          <w:ilvl w:val="0"/>
          <w:numId w:val="0"/>
        </w:numPr>
        <w:tabs>
          <w:tab w:val="right" w:pos="9360"/>
        </w:tabs>
        <w:spacing w:before="100" w:beforeAutospacing="1" w:after="0" w:line="360" w:lineRule="auto"/>
      </w:pPr>
      <w:r w:rsidRPr="002E2365">
        <w:t>241</w:t>
      </w:r>
      <w:r w:rsidR="00337EAD" w:rsidRPr="002E2365">
        <w:t xml:space="preserve"> (</w:t>
      </w:r>
      <w:r w:rsidRPr="002E2365">
        <w:t>181</w:t>
      </w:r>
      <w:r w:rsidR="00337EAD" w:rsidRPr="002E2365">
        <w:t xml:space="preserve"> AWS + </w:t>
      </w:r>
      <w:r w:rsidRPr="002E2365">
        <w:t>60</w:t>
      </w:r>
      <w:r w:rsidR="00337EAD" w:rsidRPr="002E2365">
        <w:t xml:space="preserve"> FS) respondents x </w:t>
      </w:r>
      <w:r w:rsidR="00DF2C0D" w:rsidRPr="002E2365">
        <w:t>3</w:t>
      </w:r>
      <w:r w:rsidR="00337EAD" w:rsidRPr="002E2365">
        <w:t xml:space="preserve"> responses x 0.5 hrs. </w:t>
      </w:r>
      <w:r w:rsidR="00337EAD" w:rsidRPr="002E2365">
        <w:rPr>
          <w:b/>
        </w:rPr>
        <w:t xml:space="preserve">= </w:t>
      </w:r>
      <w:r w:rsidR="00DF2C0D" w:rsidRPr="002E2365">
        <w:rPr>
          <w:b/>
        </w:rPr>
        <w:t>362</w:t>
      </w:r>
      <w:r w:rsidRPr="002E2365">
        <w:rPr>
          <w:b/>
        </w:rPr>
        <w:t xml:space="preserve"> </w:t>
      </w:r>
      <w:r w:rsidR="00337EAD" w:rsidRPr="002E2365">
        <w:rPr>
          <w:b/>
        </w:rPr>
        <w:t>hours</w:t>
      </w:r>
      <w:r w:rsidR="00A126D2" w:rsidRPr="002E2365">
        <w:rPr>
          <w:b/>
        </w:rPr>
        <w:t>.</w:t>
      </w:r>
    </w:p>
    <w:p w14:paraId="468F0EA7" w14:textId="77777777" w:rsidR="00337EAD" w:rsidRPr="002E2365" w:rsidRDefault="0067646C" w:rsidP="00211E1C">
      <w:pPr>
        <w:pStyle w:val="ParaNum"/>
        <w:numPr>
          <w:ilvl w:val="0"/>
          <w:numId w:val="0"/>
        </w:numPr>
        <w:tabs>
          <w:tab w:val="left" w:pos="3600"/>
          <w:tab w:val="right" w:pos="9360"/>
        </w:tabs>
        <w:spacing w:after="100" w:afterAutospacing="1" w:line="360" w:lineRule="auto"/>
      </w:pPr>
      <w:r w:rsidRPr="002E2365">
        <w:t xml:space="preserve">Internal cost: </w:t>
      </w:r>
      <w:r w:rsidR="00DF2C0D" w:rsidRPr="002E2365">
        <w:t>362</w:t>
      </w:r>
      <w:r w:rsidRPr="002E2365">
        <w:t xml:space="preserve"> hours x $</w:t>
      </w:r>
      <w:r w:rsidR="007A0017" w:rsidRPr="002E2365">
        <w:t>43.29</w:t>
      </w:r>
      <w:r w:rsidR="000D53DF" w:rsidRPr="002E2365">
        <w:t xml:space="preserve"> =</w:t>
      </w:r>
      <w:r w:rsidR="00337EAD" w:rsidRPr="002E2365">
        <w:t xml:space="preserve"> $</w:t>
      </w:r>
      <w:r w:rsidR="00AC0583" w:rsidRPr="002E2365">
        <w:t>15,671</w:t>
      </w:r>
      <w:r w:rsidR="000D53DF" w:rsidRPr="002E2365">
        <w:t xml:space="preserve"> </w:t>
      </w:r>
    </w:p>
    <w:p w14:paraId="7931ED5D" w14:textId="77777777" w:rsidR="00337EAD" w:rsidRPr="002E2365" w:rsidRDefault="00337EAD" w:rsidP="00337EAD">
      <w:pPr>
        <w:pStyle w:val="ParaNum"/>
        <w:numPr>
          <w:ilvl w:val="0"/>
          <w:numId w:val="0"/>
        </w:numPr>
        <w:spacing w:before="100" w:beforeAutospacing="1" w:after="100" w:afterAutospacing="1"/>
      </w:pPr>
      <w:r w:rsidRPr="002E2365">
        <w:rPr>
          <w:b/>
        </w:rPr>
        <w:t>12-g</w:t>
      </w:r>
      <w:r w:rsidRPr="002E2365">
        <w:t>.</w:t>
      </w:r>
      <w:r w:rsidRPr="002E2365">
        <w:tab/>
      </w:r>
      <w:r w:rsidRPr="002E2365">
        <w:rPr>
          <w:i/>
        </w:rPr>
        <w:t xml:space="preserve">Disclosures to clearinghouses related to documentation of reimbursable costs for FS or BRS relocations.  See </w:t>
      </w:r>
      <w:r w:rsidRPr="002E2365">
        <w:t xml:space="preserve">47 C.F.R. §§ 27.1166(b), 27.1182(b).  As discussed in paragraph (f) above, </w:t>
      </w:r>
      <w:r w:rsidR="00527587" w:rsidRPr="002E2365">
        <w:t xml:space="preserve">over the course of the three-year approval period, we expect </w:t>
      </w:r>
      <w:r w:rsidR="00516531" w:rsidRPr="002E2365">
        <w:t xml:space="preserve">up to </w:t>
      </w:r>
      <w:r w:rsidR="00954930" w:rsidRPr="002E2365">
        <w:t>3</w:t>
      </w:r>
      <w:r w:rsidR="0096658B" w:rsidRPr="002E2365">
        <w:t>09</w:t>
      </w:r>
      <w:r w:rsidR="00954930" w:rsidRPr="002E2365">
        <w:t xml:space="preserve"> </w:t>
      </w:r>
      <w:r w:rsidRPr="002E2365">
        <w:t>relocations (</w:t>
      </w:r>
      <w:r w:rsidR="000D53DF" w:rsidRPr="002E2365">
        <w:t>241</w:t>
      </w:r>
      <w:r w:rsidR="004F6A21" w:rsidRPr="002E2365">
        <w:t xml:space="preserve"> FS</w:t>
      </w:r>
      <w:r w:rsidR="007469C9" w:rsidRPr="002E2365">
        <w:t>/AWS</w:t>
      </w:r>
      <w:r w:rsidR="004F6A21" w:rsidRPr="002E2365">
        <w:t xml:space="preserve"> </w:t>
      </w:r>
      <w:r w:rsidRPr="002E2365">
        <w:t xml:space="preserve">+ </w:t>
      </w:r>
      <w:r w:rsidR="0096658B" w:rsidRPr="002E2365">
        <w:t>8</w:t>
      </w:r>
      <w:r w:rsidR="004F6A21" w:rsidRPr="002E2365">
        <w:t xml:space="preserve"> BRS</w:t>
      </w:r>
      <w:r w:rsidR="00954930" w:rsidRPr="002E2365">
        <w:t xml:space="preserve"> + </w:t>
      </w:r>
      <w:r w:rsidR="000D53DF" w:rsidRPr="002E2365">
        <w:t>60</w:t>
      </w:r>
      <w:r w:rsidR="00954930" w:rsidRPr="002E2365">
        <w:t xml:space="preserve"> FS</w:t>
      </w:r>
      <w:r w:rsidRPr="002E2365">
        <w:t xml:space="preserve">) will be registered with a clearinghouse by </w:t>
      </w:r>
      <w:r w:rsidR="007469C9" w:rsidRPr="002E2365">
        <w:t xml:space="preserve">up to </w:t>
      </w:r>
      <w:r w:rsidR="000D53DF" w:rsidRPr="002E2365">
        <w:t>241</w:t>
      </w:r>
      <w:r w:rsidR="00EB2982" w:rsidRPr="002E2365">
        <w:t xml:space="preserve"> respondents (</w:t>
      </w:r>
      <w:r w:rsidR="000D53DF" w:rsidRPr="002E2365">
        <w:t>181</w:t>
      </w:r>
      <w:r w:rsidR="004F6A21" w:rsidRPr="002E2365">
        <w:t xml:space="preserve"> </w:t>
      </w:r>
      <w:r w:rsidRPr="002E2365">
        <w:t xml:space="preserve">AWS and </w:t>
      </w:r>
      <w:r w:rsidR="000D53DF" w:rsidRPr="002E2365">
        <w:t xml:space="preserve">60 </w:t>
      </w:r>
      <w:r w:rsidRPr="002E2365">
        <w:t>FS</w:t>
      </w:r>
      <w:r w:rsidR="00EB2982" w:rsidRPr="002E2365">
        <w:t>)</w:t>
      </w:r>
      <w:r w:rsidRPr="002E2365">
        <w:t xml:space="preserve">.  We are assuming an equal distribution of the </w:t>
      </w:r>
      <w:r w:rsidR="00552C16" w:rsidRPr="002E2365">
        <w:t>3</w:t>
      </w:r>
      <w:r w:rsidR="0096658B" w:rsidRPr="002E2365">
        <w:t>09</w:t>
      </w:r>
      <w:r w:rsidR="00B86BBF" w:rsidRPr="002E2365">
        <w:t xml:space="preserve"> </w:t>
      </w:r>
      <w:r w:rsidRPr="002E2365">
        <w:t xml:space="preserve">FS relocations among the </w:t>
      </w:r>
      <w:r w:rsidR="00520E8A" w:rsidRPr="002E2365">
        <w:t>2</w:t>
      </w:r>
      <w:r w:rsidR="0096658B" w:rsidRPr="002E2365">
        <w:t>41</w:t>
      </w:r>
      <w:r w:rsidR="00B86BBF" w:rsidRPr="002E2365">
        <w:t xml:space="preserve"> </w:t>
      </w:r>
      <w:r w:rsidRPr="002E2365">
        <w:t>respondents, which works out to approximately</w:t>
      </w:r>
      <w:r w:rsidR="005D5CC6" w:rsidRPr="002E2365">
        <w:t xml:space="preserve"> one (1.28)</w:t>
      </w:r>
      <w:r w:rsidR="00DF2846" w:rsidRPr="002E2365">
        <w:t xml:space="preserve"> </w:t>
      </w:r>
      <w:r w:rsidRPr="002E2365">
        <w:t>responses per respondent</w:t>
      </w:r>
      <w:r w:rsidR="00263286" w:rsidRPr="002E2365">
        <w:t xml:space="preserve"> annually</w:t>
      </w:r>
      <w:r w:rsidRPr="002E2365">
        <w:t xml:space="preserve">.  We are also assuming an equal distribution of the </w:t>
      </w:r>
      <w:r w:rsidR="0096658B" w:rsidRPr="002E2365">
        <w:t>8</w:t>
      </w:r>
      <w:r w:rsidR="00E9613B" w:rsidRPr="002E2365">
        <w:t xml:space="preserve"> </w:t>
      </w:r>
      <w:r w:rsidRPr="002E2365">
        <w:t xml:space="preserve">BRS relocations among the </w:t>
      </w:r>
      <w:r w:rsidR="0096658B" w:rsidRPr="002E2365">
        <w:t>2</w:t>
      </w:r>
      <w:r w:rsidR="00DF2846" w:rsidRPr="002E2365">
        <w:t xml:space="preserve"> </w:t>
      </w:r>
      <w:r w:rsidRPr="002E2365">
        <w:t xml:space="preserve">AWS respondents, which works out to approximately </w:t>
      </w:r>
      <w:r w:rsidR="00DF2846" w:rsidRPr="002E2365">
        <w:t>1</w:t>
      </w:r>
      <w:r w:rsidRPr="002E2365">
        <w:t xml:space="preserve"> responses per respondent</w:t>
      </w:r>
      <w:r w:rsidR="00263286" w:rsidRPr="002E2365">
        <w:t xml:space="preserve"> annually</w:t>
      </w:r>
      <w:r w:rsidRPr="002E2365">
        <w:t xml:space="preserve">.  </w:t>
      </w:r>
      <w:r w:rsidR="00263286" w:rsidRPr="002E2365">
        <w:t>We estimate that meeting the documentation requirement will average 1 hour per FS relocation and 3 hours per BRS system, and that relocators will use in-house staff ($</w:t>
      </w:r>
      <w:r w:rsidR="000D53DF" w:rsidRPr="002E2365">
        <w:t>34.06</w:t>
      </w:r>
      <w:r w:rsidR="00263286" w:rsidRPr="002E2365">
        <w:t xml:space="preserve">/hr.) to prepare, submit, and retain this documentation itemizing reimbursable costs.  (Appraisal costs are covered in Item 13.)  </w:t>
      </w:r>
    </w:p>
    <w:p w14:paraId="0B6BFAAE" w14:textId="77777777" w:rsidR="00500945" w:rsidRPr="002E2365" w:rsidRDefault="00E111AC" w:rsidP="00D076FA">
      <w:pPr>
        <w:pStyle w:val="ParaNum"/>
        <w:numPr>
          <w:ilvl w:val="0"/>
          <w:numId w:val="0"/>
        </w:numPr>
        <w:tabs>
          <w:tab w:val="right" w:pos="9360"/>
        </w:tabs>
        <w:spacing w:after="0" w:line="360" w:lineRule="auto"/>
        <w:rPr>
          <w:b/>
        </w:rPr>
      </w:pPr>
      <w:r w:rsidRPr="002E2365">
        <w:t xml:space="preserve">FS:  </w:t>
      </w:r>
      <w:r w:rsidR="00B71B00" w:rsidRPr="002E2365">
        <w:t>241</w:t>
      </w:r>
      <w:r w:rsidR="00337EAD" w:rsidRPr="002E2365">
        <w:t xml:space="preserve"> (</w:t>
      </w:r>
      <w:r w:rsidR="00B71B00" w:rsidRPr="002E2365">
        <w:t>181</w:t>
      </w:r>
      <w:r w:rsidR="00337EAD" w:rsidRPr="002E2365">
        <w:t xml:space="preserve"> </w:t>
      </w:r>
      <w:r w:rsidR="00552C16" w:rsidRPr="002E2365">
        <w:t xml:space="preserve">AWS </w:t>
      </w:r>
      <w:r w:rsidR="00337EAD" w:rsidRPr="002E2365">
        <w:t xml:space="preserve">+ </w:t>
      </w:r>
      <w:r w:rsidR="00B71B00" w:rsidRPr="002E2365">
        <w:t>60</w:t>
      </w:r>
      <w:r w:rsidR="00552C16" w:rsidRPr="002E2365">
        <w:t xml:space="preserve"> FS</w:t>
      </w:r>
      <w:r w:rsidR="00337EAD" w:rsidRPr="002E2365">
        <w:t xml:space="preserve">) respondents x </w:t>
      </w:r>
      <w:r w:rsidR="005D5CC6" w:rsidRPr="002E2365">
        <w:t>1</w:t>
      </w:r>
      <w:r w:rsidR="00337EAD" w:rsidRPr="002E2365">
        <w:t xml:space="preserve"> responses @ 1 hr. =</w:t>
      </w:r>
      <w:r w:rsidR="00337EAD" w:rsidRPr="002E2365">
        <w:rPr>
          <w:b/>
        </w:rPr>
        <w:t xml:space="preserve"> </w:t>
      </w:r>
      <w:r w:rsidR="005D5CC6" w:rsidRPr="002E2365">
        <w:rPr>
          <w:b/>
        </w:rPr>
        <w:t>241</w:t>
      </w:r>
      <w:r w:rsidR="00337EAD" w:rsidRPr="002E2365">
        <w:rPr>
          <w:b/>
        </w:rPr>
        <w:t xml:space="preserve"> h</w:t>
      </w:r>
      <w:r w:rsidR="00A65A14" w:rsidRPr="002E2365">
        <w:rPr>
          <w:b/>
        </w:rPr>
        <w:t>ou</w:t>
      </w:r>
      <w:r w:rsidR="00337EAD" w:rsidRPr="002E2365">
        <w:rPr>
          <w:b/>
        </w:rPr>
        <w:t>rs</w:t>
      </w:r>
    </w:p>
    <w:p w14:paraId="487C9C48" w14:textId="77777777" w:rsidR="00500945" w:rsidRPr="002E2365" w:rsidRDefault="00E111AC" w:rsidP="00D076FA">
      <w:pPr>
        <w:pStyle w:val="ParaNum"/>
        <w:numPr>
          <w:ilvl w:val="0"/>
          <w:numId w:val="0"/>
        </w:numPr>
        <w:tabs>
          <w:tab w:val="right" w:pos="9360"/>
        </w:tabs>
        <w:spacing w:after="0" w:line="360" w:lineRule="auto"/>
        <w:rPr>
          <w:b/>
        </w:rPr>
      </w:pPr>
      <w:r w:rsidRPr="002E2365">
        <w:t xml:space="preserve">BRS:  </w:t>
      </w:r>
      <w:r w:rsidR="00B71B00" w:rsidRPr="002E2365">
        <w:t>60</w:t>
      </w:r>
      <w:r w:rsidR="002B311F" w:rsidRPr="002E2365">
        <w:t xml:space="preserve"> </w:t>
      </w:r>
      <w:r w:rsidR="00A6692A" w:rsidRPr="002E2365">
        <w:t xml:space="preserve">respondents x </w:t>
      </w:r>
      <w:r w:rsidR="00B71B00" w:rsidRPr="002E2365">
        <w:t>1</w:t>
      </w:r>
      <w:r w:rsidR="00337EAD" w:rsidRPr="002E2365">
        <w:t xml:space="preserve"> responses @ 3 hrs. =</w:t>
      </w:r>
      <w:r w:rsidR="00337EAD" w:rsidRPr="002E2365">
        <w:rPr>
          <w:b/>
        </w:rPr>
        <w:t xml:space="preserve"> </w:t>
      </w:r>
      <w:r w:rsidR="00B71B00" w:rsidRPr="002E2365">
        <w:rPr>
          <w:b/>
        </w:rPr>
        <w:t>180</w:t>
      </w:r>
      <w:r w:rsidR="00DF2846" w:rsidRPr="002E2365">
        <w:rPr>
          <w:b/>
        </w:rPr>
        <w:t xml:space="preserve"> </w:t>
      </w:r>
      <w:r w:rsidR="00337EAD" w:rsidRPr="002E2365">
        <w:rPr>
          <w:b/>
        </w:rPr>
        <w:t>h</w:t>
      </w:r>
      <w:r w:rsidR="006E2757" w:rsidRPr="002E2365">
        <w:rPr>
          <w:b/>
        </w:rPr>
        <w:t>ours</w:t>
      </w:r>
      <w:r w:rsidR="00337EAD" w:rsidRPr="002E2365">
        <w:rPr>
          <w:b/>
        </w:rPr>
        <w:t xml:space="preserve"> </w:t>
      </w:r>
    </w:p>
    <w:p w14:paraId="6F846366" w14:textId="77777777" w:rsidR="00337EAD" w:rsidRPr="002E2365" w:rsidRDefault="00500945" w:rsidP="00211E1C">
      <w:pPr>
        <w:pStyle w:val="ParaNum"/>
        <w:numPr>
          <w:ilvl w:val="0"/>
          <w:numId w:val="0"/>
        </w:numPr>
        <w:tabs>
          <w:tab w:val="right" w:pos="9360"/>
        </w:tabs>
        <w:spacing w:after="0" w:line="360" w:lineRule="auto"/>
        <w:rPr>
          <w:b/>
        </w:rPr>
      </w:pPr>
      <w:r w:rsidRPr="002E2365">
        <w:t xml:space="preserve">Total </w:t>
      </w:r>
      <w:r w:rsidR="00337EAD" w:rsidRPr="002E2365">
        <w:t>=</w:t>
      </w:r>
      <w:r w:rsidR="00337EAD" w:rsidRPr="002E2365">
        <w:rPr>
          <w:b/>
        </w:rPr>
        <w:t xml:space="preserve"> </w:t>
      </w:r>
      <w:r w:rsidR="00B71B00" w:rsidRPr="002E2365">
        <w:rPr>
          <w:b/>
        </w:rPr>
        <w:t>421</w:t>
      </w:r>
      <w:r w:rsidR="00337EAD" w:rsidRPr="002E2365">
        <w:rPr>
          <w:b/>
        </w:rPr>
        <w:t xml:space="preserve"> hours.</w:t>
      </w:r>
    </w:p>
    <w:p w14:paraId="44E639D0" w14:textId="77777777" w:rsidR="00337EAD" w:rsidRPr="002E2365" w:rsidRDefault="00742821" w:rsidP="00211E1C">
      <w:pPr>
        <w:pStyle w:val="ParaNum"/>
        <w:numPr>
          <w:ilvl w:val="0"/>
          <w:numId w:val="0"/>
        </w:numPr>
        <w:tabs>
          <w:tab w:val="left" w:pos="3600"/>
          <w:tab w:val="right" w:pos="9360"/>
        </w:tabs>
        <w:spacing w:after="0"/>
      </w:pPr>
      <w:r w:rsidRPr="002E2365">
        <w:t xml:space="preserve">Total </w:t>
      </w:r>
      <w:r w:rsidR="00B71B00" w:rsidRPr="002E2365">
        <w:t xml:space="preserve">Internal cost: </w:t>
      </w:r>
      <w:r w:rsidR="005D5CC6" w:rsidRPr="002E2365">
        <w:t>421</w:t>
      </w:r>
      <w:r w:rsidR="00A125A6" w:rsidRPr="002E2365">
        <w:t xml:space="preserve"> </w:t>
      </w:r>
      <w:r w:rsidR="00B71B00" w:rsidRPr="002E2365">
        <w:t>hours x $34.06 = $</w:t>
      </w:r>
      <w:r w:rsidR="005933A7" w:rsidRPr="002E2365">
        <w:t>14,339</w:t>
      </w:r>
      <w:r w:rsidR="00B71B00" w:rsidRPr="002E2365">
        <w:t xml:space="preserve"> </w:t>
      </w:r>
    </w:p>
    <w:p w14:paraId="4F44C0D8" w14:textId="77777777" w:rsidR="008B3E29" w:rsidRPr="002E2365" w:rsidRDefault="00337EAD" w:rsidP="008B3E29">
      <w:pPr>
        <w:pStyle w:val="ParaNum"/>
        <w:numPr>
          <w:ilvl w:val="0"/>
          <w:numId w:val="0"/>
        </w:numPr>
        <w:spacing w:before="100" w:beforeAutospacing="1" w:after="100" w:afterAutospacing="1"/>
      </w:pPr>
      <w:r w:rsidRPr="002E2365">
        <w:rPr>
          <w:b/>
        </w:rPr>
        <w:t>12-h.</w:t>
      </w:r>
      <w:r w:rsidRPr="002E2365">
        <w:tab/>
      </w:r>
      <w:r w:rsidRPr="002E2365">
        <w:rPr>
          <w:i/>
        </w:rPr>
        <w:t xml:space="preserve">Additional reporting and disclosures of documentation to FCC, clearinghouse, or </w:t>
      </w:r>
      <w:r w:rsidR="004C1F05" w:rsidRPr="002E2365">
        <w:rPr>
          <w:i/>
        </w:rPr>
        <w:t>AWS</w:t>
      </w:r>
      <w:r w:rsidRPr="002E2365">
        <w:rPr>
          <w:i/>
        </w:rPr>
        <w:t xml:space="preserve"> licensee(s) when another new entrant triggers a cost-sharing obligation for a given, registered relocation.  See </w:t>
      </w:r>
      <w:r w:rsidRPr="002E2365">
        <w:t xml:space="preserve">47 C.F.R. §§ 27.1166(b), 27.1182(b).  All respondents must maintain documentation of cost-related issues until the applicable sunset date and provide such documentation, upon request, to a clearinghouse, the FCC, or an entrant that triggers a cost-sharing obligation.  Regarding the recordkeeping requirement, we believe this requirement imposes no annual burden because respondents already will retain these cost-related documents </w:t>
      </w:r>
      <w:r w:rsidRPr="002E2365">
        <w:rPr>
          <w:bCs/>
        </w:rPr>
        <w:t xml:space="preserve">as part of customary and usual business practices.  </w:t>
      </w:r>
      <w:r w:rsidRPr="002E2365">
        <w:t>Regarding the third-party disclosures, we estimate that up to</w:t>
      </w:r>
      <w:r w:rsidR="00607E97" w:rsidRPr="002E2365">
        <w:t xml:space="preserve"> 60</w:t>
      </w:r>
      <w:r w:rsidRPr="002E2365">
        <w:t xml:space="preserve"> relocations (25% of </w:t>
      </w:r>
      <w:r w:rsidR="00F03990" w:rsidRPr="002E2365">
        <w:t xml:space="preserve">the </w:t>
      </w:r>
      <w:r w:rsidR="00607E97" w:rsidRPr="002E2365">
        <w:t>241</w:t>
      </w:r>
      <w:r w:rsidRPr="002E2365">
        <w:t xml:space="preserve"> relocations</w:t>
      </w:r>
      <w:r w:rsidR="00B5177C" w:rsidRPr="002E2365">
        <w:t xml:space="preserve"> </w:t>
      </w:r>
      <w:r w:rsidR="00F03990" w:rsidRPr="002E2365">
        <w:t>registered with clearinghouses)</w:t>
      </w:r>
      <w:r w:rsidR="008B3E29" w:rsidRPr="002E2365">
        <w:t xml:space="preserve">.  We are assuming an equal distribution of the 1,755 responses among the 60 respondents, which works out to an average 29.25 responses per respondent per year, over the course of the three-year approval period, which works out to an average of 9.75 or 10 responses per respondent annually. </w:t>
      </w:r>
    </w:p>
    <w:p w14:paraId="1BA707F8" w14:textId="77777777" w:rsidR="00337EAD" w:rsidRPr="002E2365" w:rsidRDefault="00990537" w:rsidP="00211E1C">
      <w:pPr>
        <w:pStyle w:val="ParaNum"/>
        <w:numPr>
          <w:ilvl w:val="0"/>
          <w:numId w:val="0"/>
        </w:numPr>
        <w:tabs>
          <w:tab w:val="left" w:pos="3600"/>
        </w:tabs>
        <w:spacing w:before="100" w:beforeAutospacing="1" w:after="100" w:afterAutospacing="1" w:line="360" w:lineRule="auto"/>
      </w:pPr>
      <w:r w:rsidRPr="002E2365">
        <w:t>60</w:t>
      </w:r>
      <w:r w:rsidR="00AC0AC6" w:rsidRPr="002E2365">
        <w:t xml:space="preserve"> respondents x </w:t>
      </w:r>
      <w:r w:rsidR="008B3E29" w:rsidRPr="002E2365">
        <w:t>10</w:t>
      </w:r>
      <w:r w:rsidR="00904753" w:rsidRPr="002E2365">
        <w:t xml:space="preserve"> </w:t>
      </w:r>
      <w:r w:rsidR="007D4E4C" w:rsidRPr="002E2365">
        <w:t>responses x 1 hr.</w:t>
      </w:r>
      <w:r w:rsidR="00337EAD" w:rsidRPr="002E2365">
        <w:t xml:space="preserve"> </w:t>
      </w:r>
      <w:r w:rsidR="00AC0AC6" w:rsidRPr="002E2365">
        <w:rPr>
          <w:b/>
        </w:rPr>
        <w:t xml:space="preserve">= </w:t>
      </w:r>
      <w:r w:rsidR="00794CC8" w:rsidRPr="002E2365">
        <w:rPr>
          <w:b/>
        </w:rPr>
        <w:t>60</w:t>
      </w:r>
      <w:r w:rsidR="008B3E29" w:rsidRPr="002E2365">
        <w:rPr>
          <w:b/>
        </w:rPr>
        <w:t>0</w:t>
      </w:r>
      <w:r w:rsidR="00904753" w:rsidRPr="002E2365">
        <w:rPr>
          <w:b/>
        </w:rPr>
        <w:t xml:space="preserve"> </w:t>
      </w:r>
      <w:r w:rsidR="00337EAD" w:rsidRPr="002E2365">
        <w:rPr>
          <w:b/>
        </w:rPr>
        <w:t>hours.</w:t>
      </w:r>
      <w:r w:rsidR="00337EAD" w:rsidRPr="002E2365">
        <w:rPr>
          <w:b/>
        </w:rPr>
        <w:br/>
      </w:r>
      <w:r w:rsidR="00337EAD" w:rsidRPr="002E2365">
        <w:t xml:space="preserve">Internal </w:t>
      </w:r>
      <w:r w:rsidR="00AC0AC6" w:rsidRPr="002E2365">
        <w:t>cost</w:t>
      </w:r>
      <w:r w:rsidRPr="002E2365">
        <w:t xml:space="preserve">: </w:t>
      </w:r>
      <w:r w:rsidR="007D4E4C" w:rsidRPr="002E2365">
        <w:t>60</w:t>
      </w:r>
      <w:r w:rsidR="008B3E29" w:rsidRPr="002E2365">
        <w:t>0</w:t>
      </w:r>
      <w:r w:rsidRPr="002E2365">
        <w:t xml:space="preserve"> hours x $34.06 = </w:t>
      </w:r>
      <w:r w:rsidR="00F27271" w:rsidRPr="002E2365">
        <w:t>$</w:t>
      </w:r>
      <w:r w:rsidR="008B3E29" w:rsidRPr="002E2365">
        <w:t>2</w:t>
      </w:r>
      <w:r w:rsidR="007D4E4C" w:rsidRPr="002E2365">
        <w:t>0</w:t>
      </w:r>
      <w:r w:rsidR="00A547BF" w:rsidRPr="002E2365">
        <w:t>,</w:t>
      </w:r>
      <w:r w:rsidR="007D4E4C" w:rsidRPr="002E2365">
        <w:t>43</w:t>
      </w:r>
      <w:r w:rsidR="00A547BF" w:rsidRPr="002E2365">
        <w:t>6</w:t>
      </w:r>
    </w:p>
    <w:p w14:paraId="71E98557" w14:textId="77777777" w:rsidR="00337EAD" w:rsidRPr="002E2365" w:rsidRDefault="00337EAD" w:rsidP="00337EAD">
      <w:pPr>
        <w:pStyle w:val="ParaNum"/>
        <w:numPr>
          <w:ilvl w:val="0"/>
          <w:numId w:val="0"/>
        </w:numPr>
        <w:spacing w:before="100" w:beforeAutospacing="1" w:after="100" w:afterAutospacing="1"/>
      </w:pPr>
      <w:r w:rsidRPr="002E2365">
        <w:rPr>
          <w:b/>
        </w:rPr>
        <w:t>12-i.</w:t>
      </w:r>
      <w:r w:rsidRPr="002E2365">
        <w:tab/>
      </w:r>
      <w:r w:rsidRPr="002E2365">
        <w:rPr>
          <w:i/>
        </w:rPr>
        <w:t>Disclosures to clearinghouses related to AWS site-specific data (prior to initiating new or modified operations)</w:t>
      </w:r>
      <w:r w:rsidRPr="002E2365">
        <w:t xml:space="preserve">.  </w:t>
      </w:r>
      <w:r w:rsidRPr="002E2365">
        <w:rPr>
          <w:i/>
        </w:rPr>
        <w:t xml:space="preserve">See </w:t>
      </w:r>
      <w:r w:rsidR="00A93500" w:rsidRPr="002E2365">
        <w:t xml:space="preserve">47 C.F.R. §§ </w:t>
      </w:r>
      <w:r w:rsidRPr="002E2365">
        <w:t xml:space="preserve">27.1170, </w:t>
      </w:r>
      <w:r w:rsidRPr="002E2365">
        <w:rPr>
          <w:bCs/>
        </w:rPr>
        <w:t xml:space="preserve">27.1186.  We assume that </w:t>
      </w:r>
      <w:r w:rsidR="00990537" w:rsidRPr="002E2365">
        <w:rPr>
          <w:bCs/>
        </w:rPr>
        <w:t>181</w:t>
      </w:r>
      <w:r w:rsidR="001A3AB5" w:rsidRPr="002E2365">
        <w:rPr>
          <w:bCs/>
        </w:rPr>
        <w:t xml:space="preserve"> </w:t>
      </w:r>
      <w:r w:rsidR="00B5177C" w:rsidRPr="002E2365">
        <w:rPr>
          <w:bCs/>
        </w:rPr>
        <w:t>AWS licensee</w:t>
      </w:r>
      <w:r w:rsidRPr="002E2365">
        <w:rPr>
          <w:bCs/>
        </w:rPr>
        <w:t xml:space="preserve"> operators </w:t>
      </w:r>
      <w:r w:rsidR="00990537" w:rsidRPr="002E2365">
        <w:rPr>
          <w:bCs/>
        </w:rPr>
        <w:t>(142 + 37</w:t>
      </w:r>
      <w:r w:rsidR="00B5177C" w:rsidRPr="002E2365">
        <w:rPr>
          <w:bCs/>
        </w:rPr>
        <w:t xml:space="preserve"> + 2) </w:t>
      </w:r>
      <w:r w:rsidRPr="002E2365">
        <w:rPr>
          <w:bCs/>
        </w:rPr>
        <w:t xml:space="preserve">will file </w:t>
      </w:r>
      <w:r w:rsidR="00F03990" w:rsidRPr="002E2365">
        <w:rPr>
          <w:bCs/>
        </w:rPr>
        <w:t xml:space="preserve">with clearinghouses </w:t>
      </w:r>
      <w:r w:rsidRPr="002E2365">
        <w:rPr>
          <w:bCs/>
        </w:rPr>
        <w:t xml:space="preserve">a total </w:t>
      </w:r>
      <w:r w:rsidR="00F03990" w:rsidRPr="002E2365">
        <w:rPr>
          <w:bCs/>
        </w:rPr>
        <w:t xml:space="preserve">annual </w:t>
      </w:r>
      <w:r w:rsidRPr="002E2365">
        <w:rPr>
          <w:bCs/>
        </w:rPr>
        <w:t>average of 20,000 notices for new or modified facilities.  In many cases, new entrants will have to prepare and send a “prior-coordination notice” (</w:t>
      </w:r>
      <w:r w:rsidR="001152CD" w:rsidRPr="002E2365">
        <w:rPr>
          <w:bCs/>
        </w:rPr>
        <w:t>“</w:t>
      </w:r>
      <w:r w:rsidRPr="002E2365">
        <w:rPr>
          <w:bCs/>
        </w:rPr>
        <w:t>PCN</w:t>
      </w:r>
      <w:r w:rsidR="001152CD" w:rsidRPr="002E2365">
        <w:rPr>
          <w:bCs/>
        </w:rPr>
        <w:t>”</w:t>
      </w:r>
      <w:r w:rsidRPr="002E2365">
        <w:rPr>
          <w:bCs/>
        </w:rPr>
        <w:t>) that includes the relevant site data to FS licensees for relocation negotiation purposes</w:t>
      </w:r>
      <w:r w:rsidR="00DE10DE" w:rsidRPr="002E2365">
        <w:rPr>
          <w:bCs/>
        </w:rPr>
        <w:t xml:space="preserve"> (</w:t>
      </w:r>
      <w:r w:rsidRPr="002E2365">
        <w:rPr>
          <w:bCs/>
        </w:rPr>
        <w:t xml:space="preserve">see para. </w:t>
      </w:r>
      <w:r w:rsidR="00F03990" w:rsidRPr="002E2365">
        <w:rPr>
          <w:bCs/>
        </w:rPr>
        <w:t>12-</w:t>
      </w:r>
      <w:r w:rsidRPr="002E2365">
        <w:rPr>
          <w:bCs/>
        </w:rPr>
        <w:t>d above</w:t>
      </w:r>
      <w:r w:rsidR="00DE10DE" w:rsidRPr="002E2365">
        <w:rPr>
          <w:bCs/>
        </w:rPr>
        <w:t>)</w:t>
      </w:r>
      <w:r w:rsidRPr="002E2365">
        <w:rPr>
          <w:bCs/>
        </w:rPr>
        <w:t>, in which case the new entrant can send a copy of the PCN to a clearinghouse.  Furthermore, we believe that licensees will prepare and retain site data on their facilities</w:t>
      </w:r>
      <w:r w:rsidR="00F03990" w:rsidRPr="002E2365">
        <w:rPr>
          <w:bCs/>
        </w:rPr>
        <w:t xml:space="preserve"> (</w:t>
      </w:r>
      <w:r w:rsidRPr="002E2365">
        <w:rPr>
          <w:bCs/>
          <w:i/>
        </w:rPr>
        <w:t>i.e.</w:t>
      </w:r>
      <w:r w:rsidRPr="002E2365">
        <w:rPr>
          <w:bCs/>
        </w:rPr>
        <w:t>, assets</w:t>
      </w:r>
      <w:r w:rsidR="00F03990" w:rsidRPr="002E2365">
        <w:rPr>
          <w:bCs/>
        </w:rPr>
        <w:t>)</w:t>
      </w:r>
      <w:r w:rsidRPr="002E2365">
        <w:rPr>
          <w:bCs/>
        </w:rPr>
        <w:t xml:space="preserve"> as part of customary and usual business practices.  Our estimate of the disclosure burden is 15 minutes (0.25 hrs.) per submission to a clearinghouse at $</w:t>
      </w:r>
      <w:r w:rsidR="00990537" w:rsidRPr="002E2365">
        <w:rPr>
          <w:bCs/>
        </w:rPr>
        <w:t>34.06</w:t>
      </w:r>
      <w:r w:rsidRPr="002E2365">
        <w:rPr>
          <w:bCs/>
        </w:rPr>
        <w:t xml:space="preserve"> per hour.  </w:t>
      </w:r>
      <w:bookmarkStart w:id="7" w:name="_Hlk493854344"/>
      <w:r w:rsidRPr="002E2365">
        <w:t xml:space="preserve">We are assuming an equal distribution of the 20,000 responses among the </w:t>
      </w:r>
      <w:r w:rsidR="00990537" w:rsidRPr="002E2365">
        <w:t>181</w:t>
      </w:r>
      <w:r w:rsidRPr="002E2365">
        <w:t xml:space="preserve"> respondents, which works out to an average </w:t>
      </w:r>
      <w:r w:rsidR="00B346BB" w:rsidRPr="002E2365">
        <w:t>110.50</w:t>
      </w:r>
      <w:r w:rsidRPr="002E2365">
        <w:t xml:space="preserve"> responses per respondent</w:t>
      </w:r>
      <w:r w:rsidR="00143F12" w:rsidRPr="002E2365">
        <w:t xml:space="preserve"> per year</w:t>
      </w:r>
      <w:r w:rsidRPr="002E2365">
        <w:t xml:space="preserve">.  </w:t>
      </w:r>
    </w:p>
    <w:bookmarkEnd w:id="7"/>
    <w:p w14:paraId="26AD490D" w14:textId="77777777" w:rsidR="00B346BB" w:rsidRPr="002E2365" w:rsidRDefault="00990537" w:rsidP="00337EAD">
      <w:pPr>
        <w:pStyle w:val="ParaNum"/>
        <w:numPr>
          <w:ilvl w:val="0"/>
          <w:numId w:val="0"/>
        </w:numPr>
        <w:spacing w:before="100" w:beforeAutospacing="1" w:after="100" w:afterAutospacing="1"/>
        <w:rPr>
          <w:bCs/>
        </w:rPr>
      </w:pPr>
      <w:r w:rsidRPr="002E2365">
        <w:t>181</w:t>
      </w:r>
      <w:r w:rsidR="008F4E9B" w:rsidRPr="002E2365">
        <w:t xml:space="preserve"> </w:t>
      </w:r>
      <w:r w:rsidR="00337EAD" w:rsidRPr="002E2365">
        <w:t xml:space="preserve">respondents x </w:t>
      </w:r>
      <w:r w:rsidR="004F72B0" w:rsidRPr="002E2365">
        <w:t>1</w:t>
      </w:r>
      <w:r w:rsidR="00337EAD" w:rsidRPr="002E2365">
        <w:t xml:space="preserve"> responses x 0.25 hrs. </w:t>
      </w:r>
      <w:r w:rsidR="00337EAD" w:rsidRPr="002E2365">
        <w:rPr>
          <w:b/>
        </w:rPr>
        <w:t xml:space="preserve">= </w:t>
      </w:r>
      <w:r w:rsidR="004F72B0" w:rsidRPr="002E2365">
        <w:rPr>
          <w:b/>
        </w:rPr>
        <w:t>45</w:t>
      </w:r>
      <w:r w:rsidR="00337EAD" w:rsidRPr="002E2365">
        <w:rPr>
          <w:b/>
        </w:rPr>
        <w:t xml:space="preserve"> hours.</w:t>
      </w:r>
      <w:r w:rsidR="00337EAD" w:rsidRPr="002E2365">
        <w:rPr>
          <w:bCs/>
        </w:rPr>
        <w:tab/>
      </w:r>
      <w:r w:rsidR="00337EAD" w:rsidRPr="002E2365">
        <w:rPr>
          <w:bCs/>
        </w:rPr>
        <w:tab/>
      </w:r>
    </w:p>
    <w:p w14:paraId="60D847AB" w14:textId="77777777" w:rsidR="00337EAD" w:rsidRPr="002E2365" w:rsidRDefault="00B346BB" w:rsidP="00337EAD">
      <w:pPr>
        <w:pStyle w:val="ParaNum"/>
        <w:numPr>
          <w:ilvl w:val="0"/>
          <w:numId w:val="0"/>
        </w:numPr>
        <w:spacing w:before="100" w:beforeAutospacing="1" w:after="100" w:afterAutospacing="1"/>
        <w:rPr>
          <w:bCs/>
        </w:rPr>
      </w:pPr>
      <w:r w:rsidRPr="002E2365">
        <w:rPr>
          <w:bCs/>
        </w:rPr>
        <w:t xml:space="preserve">Internal cost: </w:t>
      </w:r>
      <w:r w:rsidR="004F72B0" w:rsidRPr="002E2365">
        <w:rPr>
          <w:bCs/>
        </w:rPr>
        <w:t>45</w:t>
      </w:r>
      <w:r w:rsidRPr="002E2365">
        <w:rPr>
          <w:bCs/>
        </w:rPr>
        <w:t xml:space="preserve"> hours x $34.06 = $</w:t>
      </w:r>
      <w:r w:rsidR="007A0017" w:rsidRPr="002E2365">
        <w:rPr>
          <w:bCs/>
        </w:rPr>
        <w:t>1,533</w:t>
      </w:r>
      <w:r w:rsidR="004F72B0" w:rsidRPr="002E2365">
        <w:rPr>
          <w:bCs/>
        </w:rPr>
        <w:t xml:space="preserve"> </w:t>
      </w:r>
    </w:p>
    <w:p w14:paraId="6442640E" w14:textId="77777777" w:rsidR="00337EAD" w:rsidRPr="002E2365" w:rsidRDefault="00337EAD" w:rsidP="00337EAD">
      <w:pPr>
        <w:pStyle w:val="ParaNum"/>
        <w:numPr>
          <w:ilvl w:val="0"/>
          <w:numId w:val="0"/>
        </w:numPr>
        <w:spacing w:before="100" w:beforeAutospacing="1" w:after="100" w:afterAutospacing="1"/>
      </w:pPr>
      <w:r w:rsidRPr="002E2365">
        <w:rPr>
          <w:b/>
          <w:bCs/>
        </w:rPr>
        <w:t>12-j.</w:t>
      </w:r>
      <w:r w:rsidRPr="002E2365">
        <w:rPr>
          <w:bCs/>
        </w:rPr>
        <w:tab/>
        <w:t>R</w:t>
      </w:r>
      <w:r w:rsidRPr="002E2365">
        <w:rPr>
          <w:bCs/>
          <w:i/>
        </w:rPr>
        <w:t xml:space="preserve">ecordkeeping; disclosures from clearinghouses to licensees.  </w:t>
      </w:r>
      <w:r w:rsidR="00632148" w:rsidRPr="002E2365">
        <w:rPr>
          <w:bCs/>
          <w:i/>
        </w:rPr>
        <w:t xml:space="preserve">See </w:t>
      </w:r>
      <w:r w:rsidRPr="002E2365">
        <w:t xml:space="preserve">47 C.F.R. §§ 27.1168, 27.1170, </w:t>
      </w:r>
      <w:r w:rsidRPr="002E2365">
        <w:rPr>
          <w:bCs/>
        </w:rPr>
        <w:t>27.1184.  Clearinghouses are not-for-profit entities voluntarily formed by private-sector entities to keep track of cost-sharing obligations among AWS and MSS</w:t>
      </w:r>
      <w:r w:rsidR="00A55AC6" w:rsidRPr="002E2365">
        <w:rPr>
          <w:bCs/>
        </w:rPr>
        <w:t xml:space="preserve"> (Mobile Satellite Service)</w:t>
      </w:r>
      <w:r w:rsidRPr="002E2365">
        <w:rPr>
          <w:bCs/>
        </w:rPr>
        <w:t xml:space="preserve"> operators over the next 10-15 years.  The clearinghouses will charge fees for their services, which include retaining records of relocation registrations and then analyzing </w:t>
      </w:r>
      <w:r w:rsidRPr="002E2365">
        <w:t xml:space="preserve">site-specific data submitted by new entrants to determine whether any cost-sharing obligations exist under criteria set forth by FCC rules.  When a cost-sharing obligation is triggered, the clearinghouse </w:t>
      </w:r>
      <w:r w:rsidR="006A7237" w:rsidRPr="002E2365">
        <w:t>must notify the relevant entit</w:t>
      </w:r>
      <w:r w:rsidR="008F4E9B" w:rsidRPr="002E2365">
        <w:t>ies</w:t>
      </w:r>
      <w:r w:rsidRPr="002E2365">
        <w:t xml:space="preserve"> of the total amount of its reimbursement obligation.  Because the core business of a clearinghouse is directly related to recordkeeping and third party disclosures for which the clearinghouses receive fees, we believe that any burdens associated with these recordkeeping and disclosure requirements are undertaken by the clearinghouses for reasons other than to provide information or keep records for the government and/or are part of customary and usual business or private practices of a clearinghouse.  Alternatively, if OMB views these burdens as within the scope of the Paperwork Act, we estimate that each clearinghouse will send an average of 100 cost-sharing notices per year</w:t>
      </w:r>
      <w:r w:rsidR="00046715" w:rsidRPr="002E2365">
        <w:t>,</w:t>
      </w:r>
      <w:r w:rsidRPr="002E2365">
        <w:t xml:space="preserve"> and that each notice will take an in-house staff analyst ($</w:t>
      </w:r>
      <w:r w:rsidR="00B346BB" w:rsidRPr="002E2365">
        <w:t>34.06</w:t>
      </w:r>
      <w:r w:rsidRPr="002E2365">
        <w:t xml:space="preserve">/hr.) approximately 0.25 hours to prepare and send.    </w:t>
      </w:r>
    </w:p>
    <w:p w14:paraId="62054D5E" w14:textId="77777777" w:rsidR="00337EAD" w:rsidRPr="002E2365" w:rsidRDefault="00337EAD" w:rsidP="00337EAD">
      <w:pPr>
        <w:pStyle w:val="ParaNum"/>
        <w:numPr>
          <w:ilvl w:val="0"/>
          <w:numId w:val="0"/>
        </w:numPr>
        <w:tabs>
          <w:tab w:val="left" w:pos="3600"/>
        </w:tabs>
        <w:spacing w:before="100" w:beforeAutospacing="1" w:after="100" w:afterAutospacing="1"/>
      </w:pPr>
      <w:r w:rsidRPr="002E2365">
        <w:t xml:space="preserve">2 respondents x 100 responses x 0.25 hrs. </w:t>
      </w:r>
      <w:r w:rsidRPr="002E2365">
        <w:rPr>
          <w:b/>
        </w:rPr>
        <w:t>= 50 hours.</w:t>
      </w:r>
      <w:r w:rsidRPr="002E2365">
        <w:tab/>
        <w:t xml:space="preserve">Internal cost:  </w:t>
      </w:r>
      <w:r w:rsidR="00B346BB" w:rsidRPr="002E2365">
        <w:t xml:space="preserve">50 hours x $34.06 = </w:t>
      </w:r>
      <w:r w:rsidRPr="002E2365">
        <w:t>$</w:t>
      </w:r>
      <w:r w:rsidR="00B346BB" w:rsidRPr="002E2365">
        <w:t>1,703</w:t>
      </w:r>
    </w:p>
    <w:p w14:paraId="0075F8A7" w14:textId="77777777" w:rsidR="00337EAD" w:rsidRPr="002E2365" w:rsidRDefault="00337EAD" w:rsidP="00337EAD">
      <w:pPr>
        <w:pStyle w:val="ParaNum"/>
        <w:numPr>
          <w:ilvl w:val="0"/>
          <w:numId w:val="0"/>
        </w:numPr>
        <w:spacing w:before="100" w:beforeAutospacing="1" w:after="100" w:afterAutospacing="1"/>
        <w:rPr>
          <w:bCs/>
        </w:rPr>
      </w:pPr>
      <w:r w:rsidRPr="002E2365">
        <w:rPr>
          <w:b/>
          <w:bCs/>
        </w:rPr>
        <w:t>12-k.</w:t>
      </w:r>
      <w:r w:rsidRPr="002E2365">
        <w:rPr>
          <w:bCs/>
        </w:rPr>
        <w:tab/>
      </w:r>
      <w:bookmarkStart w:id="8" w:name="OLE_LINK3"/>
      <w:bookmarkStart w:id="9" w:name="OLE_LINK4"/>
      <w:r w:rsidRPr="002E2365">
        <w:rPr>
          <w:bCs/>
          <w:i/>
        </w:rPr>
        <w:t>Reports by clearinghouses to FCC</w:t>
      </w:r>
      <w:r w:rsidRPr="002E2365">
        <w:rPr>
          <w:bCs/>
        </w:rPr>
        <w:t xml:space="preserve">.  </w:t>
      </w:r>
      <w:bookmarkEnd w:id="8"/>
      <w:bookmarkEnd w:id="9"/>
      <w:r w:rsidRPr="002E2365">
        <w:t>Each clearinghouse must file reports with the FCC every six months, upon specific FCC request, and occasionally (</w:t>
      </w:r>
      <w:r w:rsidRPr="002E2365">
        <w:rPr>
          <w:i/>
        </w:rPr>
        <w:t>e.g</w:t>
      </w:r>
      <w:r w:rsidRPr="002E2365">
        <w:t xml:space="preserve">., when referring a dispute to the FCC).  The biannual reports must include an update on the number of links relocated, the amounts paid to relocate these links, updated cost and revenue projections, and any adjustments to existing fee structures.  We have also reserved the right at any time to inspect the records of or require additional information or reports from a clearinghouse.  We estimate that each clearinghouse will file five reports per year </w:t>
      </w:r>
      <w:r w:rsidRPr="002E2365">
        <w:rPr>
          <w:bCs/>
        </w:rPr>
        <w:t>(2 semi-annual and 3 occasional reports) and take an average of 4 hours per report (2 hrs. in-house staff attorney at $</w:t>
      </w:r>
      <w:r w:rsidR="0047322C" w:rsidRPr="002E2365">
        <w:rPr>
          <w:bCs/>
        </w:rPr>
        <w:t>62</w:t>
      </w:r>
      <w:r w:rsidR="00F26A9E" w:rsidRPr="002E2365">
        <w:rPr>
          <w:bCs/>
        </w:rPr>
        <w:t>.</w:t>
      </w:r>
      <w:r w:rsidR="0047322C" w:rsidRPr="002E2365">
        <w:rPr>
          <w:bCs/>
        </w:rPr>
        <w:t>93</w:t>
      </w:r>
      <w:r w:rsidRPr="002E2365">
        <w:rPr>
          <w:bCs/>
        </w:rPr>
        <w:t>/hr.) and 2 hrs. in-house staff analyst at $</w:t>
      </w:r>
      <w:r w:rsidR="00B346BB" w:rsidRPr="002E2365">
        <w:rPr>
          <w:bCs/>
        </w:rPr>
        <w:t>34.06</w:t>
      </w:r>
      <w:r w:rsidRPr="002E2365">
        <w:rPr>
          <w:bCs/>
        </w:rPr>
        <w:t>/</w:t>
      </w:r>
      <w:r w:rsidR="00C35EC3" w:rsidRPr="002E2365">
        <w:rPr>
          <w:bCs/>
        </w:rPr>
        <w:t>hr.</w:t>
      </w:r>
      <w:r w:rsidRPr="002E2365">
        <w:rPr>
          <w:bCs/>
        </w:rPr>
        <w:t xml:space="preserve">).  </w:t>
      </w:r>
    </w:p>
    <w:p w14:paraId="48D0C88D" w14:textId="77777777" w:rsidR="00B346BB" w:rsidRPr="002E2365" w:rsidRDefault="00337EAD" w:rsidP="00337EAD">
      <w:pPr>
        <w:pStyle w:val="ParaNum"/>
        <w:numPr>
          <w:ilvl w:val="0"/>
          <w:numId w:val="0"/>
        </w:numPr>
        <w:tabs>
          <w:tab w:val="left" w:pos="3600"/>
        </w:tabs>
        <w:spacing w:before="100" w:beforeAutospacing="1" w:after="100" w:afterAutospacing="1"/>
        <w:rPr>
          <w:bCs/>
        </w:rPr>
      </w:pPr>
      <w:r w:rsidRPr="002E2365">
        <w:t xml:space="preserve">2 respondents x 5 responses x 4 hrs. </w:t>
      </w:r>
      <w:r w:rsidRPr="002E2365">
        <w:rPr>
          <w:b/>
        </w:rPr>
        <w:t>= 40 hours.</w:t>
      </w:r>
      <w:r w:rsidR="006832D9" w:rsidRPr="002E2365">
        <w:rPr>
          <w:bCs/>
        </w:rPr>
        <w:t xml:space="preserve">            </w:t>
      </w:r>
    </w:p>
    <w:p w14:paraId="0CAAB7AC" w14:textId="77777777" w:rsidR="00B346BB" w:rsidRPr="002E2365" w:rsidRDefault="00337EAD" w:rsidP="00337EAD">
      <w:pPr>
        <w:pStyle w:val="ParaNum"/>
        <w:numPr>
          <w:ilvl w:val="0"/>
          <w:numId w:val="0"/>
        </w:numPr>
        <w:tabs>
          <w:tab w:val="left" w:pos="3600"/>
        </w:tabs>
        <w:spacing w:before="100" w:beforeAutospacing="1" w:after="100" w:afterAutospacing="1"/>
        <w:rPr>
          <w:b/>
          <w:bCs/>
        </w:rPr>
      </w:pPr>
      <w:r w:rsidRPr="002E2365">
        <w:rPr>
          <w:bCs/>
        </w:rPr>
        <w:t>Internal cost</w:t>
      </w:r>
      <w:r w:rsidR="00B346BB" w:rsidRPr="002E2365">
        <w:rPr>
          <w:bCs/>
        </w:rPr>
        <w:t>:</w:t>
      </w:r>
      <w:r w:rsidR="005933A7" w:rsidRPr="002E2365">
        <w:rPr>
          <w:bCs/>
        </w:rPr>
        <w:t xml:space="preserve"> </w:t>
      </w:r>
      <w:r w:rsidR="004F72B0" w:rsidRPr="002E2365">
        <w:rPr>
          <w:bCs/>
        </w:rPr>
        <w:t xml:space="preserve"> $2,080</w:t>
      </w:r>
      <w:r w:rsidR="005933A7" w:rsidRPr="002E2365">
        <w:rPr>
          <w:bCs/>
        </w:rPr>
        <w:t xml:space="preserve"> = </w:t>
      </w:r>
      <w:r w:rsidR="0058234D" w:rsidRPr="002E2365">
        <w:rPr>
          <w:bCs/>
        </w:rPr>
        <w:t>(</w:t>
      </w:r>
      <w:r w:rsidR="004F72B0" w:rsidRPr="002E2365">
        <w:rPr>
          <w:bCs/>
        </w:rPr>
        <w:t>$69.97 x 20 = $1,399</w:t>
      </w:r>
      <w:r w:rsidR="0058234D" w:rsidRPr="002E2365">
        <w:rPr>
          <w:bCs/>
        </w:rPr>
        <w:t>) + (</w:t>
      </w:r>
      <w:r w:rsidR="004F72B0" w:rsidRPr="002E2365">
        <w:rPr>
          <w:bCs/>
        </w:rPr>
        <w:t>$34.06 x 20 = $681</w:t>
      </w:r>
      <w:r w:rsidR="0058234D" w:rsidRPr="002E2365">
        <w:rPr>
          <w:bCs/>
        </w:rPr>
        <w:t>)</w:t>
      </w:r>
    </w:p>
    <w:p w14:paraId="0C54F663" w14:textId="77777777" w:rsidR="00337EAD" w:rsidRPr="002E2365" w:rsidRDefault="00337EAD" w:rsidP="00337EAD">
      <w:pPr>
        <w:pStyle w:val="ParaNum"/>
        <w:numPr>
          <w:ilvl w:val="0"/>
          <w:numId w:val="0"/>
        </w:numPr>
        <w:spacing w:before="100" w:beforeAutospacing="1" w:after="100" w:afterAutospacing="1"/>
      </w:pPr>
      <w:r w:rsidRPr="002E2365">
        <w:rPr>
          <w:b/>
          <w:bCs/>
        </w:rPr>
        <w:t>12-l.</w:t>
      </w:r>
      <w:r w:rsidRPr="002E2365">
        <w:rPr>
          <w:bCs/>
        </w:rPr>
        <w:tab/>
      </w:r>
      <w:r w:rsidRPr="002E2365">
        <w:rPr>
          <w:bCs/>
          <w:i/>
        </w:rPr>
        <w:t>Disclosures between the clearinghouses</w:t>
      </w:r>
      <w:r w:rsidRPr="002E2365">
        <w:rPr>
          <w:bCs/>
        </w:rPr>
        <w:t xml:space="preserve">.  Having multiple clearinghouses </w:t>
      </w:r>
      <w:r w:rsidRPr="002E2365">
        <w:t xml:space="preserve">offers participants a choice, thereby increasing the incentive for each clearinghouse to operate in an efficient manner, thus benefiting the consumers of these services.  However, with multiple clearinghouses, we must either require participants to file data with both clearinghouses or require </w:t>
      </w:r>
      <w:r w:rsidR="004C1F05" w:rsidRPr="002E2365">
        <w:t>the</w:t>
      </w:r>
      <w:r w:rsidRPr="002E2365">
        <w:t xml:space="preserve"> clearinghouse</w:t>
      </w:r>
      <w:r w:rsidR="004C1F05" w:rsidRPr="002E2365">
        <w:t>s</w:t>
      </w:r>
      <w:r w:rsidRPr="002E2365">
        <w:t xml:space="preserve"> to exchange data with </w:t>
      </w:r>
      <w:r w:rsidR="004C1F05" w:rsidRPr="002E2365">
        <w:t>each</w:t>
      </w:r>
      <w:r w:rsidRPr="002E2365">
        <w:t xml:space="preserve"> other.  Two entities submitted clearinghouse proposals and each stated that it is capable and willing to work with other clearinghouse managers, if we designated multiple clearinghouses.  In this connection, we will require each clearinghouse to exchange data that participants file with the clearinghouse of their choosing.  We anticipate that the clearinghouses will exchange data electronically and that this disclosure will take an average of 0.25 hours on each of 260 business days </w:t>
      </w:r>
      <w:r w:rsidR="00440FA6" w:rsidRPr="002E2365">
        <w:t xml:space="preserve">annually </w:t>
      </w:r>
      <w:r w:rsidRPr="002E2365">
        <w:t>(in-house staff analyst at $</w:t>
      </w:r>
      <w:r w:rsidR="0058234D" w:rsidRPr="002E2365">
        <w:t>34.06</w:t>
      </w:r>
      <w:r w:rsidRPr="002E2365">
        <w:t xml:space="preserve">/hr.). </w:t>
      </w:r>
    </w:p>
    <w:p w14:paraId="327CF095" w14:textId="77777777" w:rsidR="00337EAD" w:rsidRPr="002E2365" w:rsidRDefault="00337EAD" w:rsidP="00211E1C">
      <w:pPr>
        <w:pStyle w:val="ParaNum"/>
        <w:numPr>
          <w:ilvl w:val="0"/>
          <w:numId w:val="0"/>
        </w:numPr>
        <w:tabs>
          <w:tab w:val="left" w:pos="720"/>
          <w:tab w:val="left" w:pos="3600"/>
          <w:tab w:val="right" w:pos="9360"/>
        </w:tabs>
        <w:spacing w:before="100" w:beforeAutospacing="1" w:after="100" w:afterAutospacing="1" w:line="360" w:lineRule="auto"/>
      </w:pPr>
      <w:r w:rsidRPr="002E2365">
        <w:t xml:space="preserve">2 respondents x 260 responses x 0.25 hrs. </w:t>
      </w:r>
      <w:r w:rsidRPr="002E2365">
        <w:rPr>
          <w:b/>
        </w:rPr>
        <w:t>= 130 hours</w:t>
      </w:r>
      <w:r w:rsidRPr="002E2365">
        <w:t>.</w:t>
      </w:r>
      <w:r w:rsidRPr="002E2365">
        <w:br/>
        <w:t>Internal cost</w:t>
      </w:r>
      <w:r w:rsidR="00381E7E" w:rsidRPr="002E2365">
        <w:t>: 130 hours x $34.06</w:t>
      </w:r>
      <w:r w:rsidRPr="002E2365">
        <w:t xml:space="preserve"> = $</w:t>
      </w:r>
      <w:r w:rsidR="00C02D47" w:rsidRPr="002E2365">
        <w:t>4</w:t>
      </w:r>
      <w:r w:rsidRPr="002E2365">
        <w:t>,</w:t>
      </w:r>
      <w:r w:rsidR="00C02D47" w:rsidRPr="002E2365">
        <w:t xml:space="preserve">428 </w:t>
      </w:r>
    </w:p>
    <w:p w14:paraId="7E265BF1" w14:textId="77777777" w:rsidR="0083514C" w:rsidRPr="002E2365" w:rsidRDefault="0083514C" w:rsidP="0083514C">
      <w:pPr>
        <w:pStyle w:val="ParaNum"/>
        <w:numPr>
          <w:ilvl w:val="0"/>
          <w:numId w:val="0"/>
        </w:numPr>
        <w:tabs>
          <w:tab w:val="left" w:pos="720"/>
        </w:tabs>
        <w:spacing w:before="100" w:beforeAutospacing="1" w:after="100" w:afterAutospacing="1"/>
        <w:rPr>
          <w:snapToGrid/>
          <w:kern w:val="0"/>
          <w:szCs w:val="22"/>
        </w:rPr>
      </w:pPr>
      <w:r w:rsidRPr="002E2365">
        <w:rPr>
          <w:b/>
          <w:bCs/>
        </w:rPr>
        <w:t>12-m.</w:t>
      </w:r>
      <w:r w:rsidRPr="002E2365">
        <w:t xml:space="preserve">     </w:t>
      </w:r>
      <w:r w:rsidRPr="002E2365">
        <w:rPr>
          <w:i/>
          <w:iCs/>
        </w:rPr>
        <w:t>Disclosures for interference coordination by AWS-1 and AWS-3 to Federal incumbents operating in the 1.7 GHz band.  See license condition, 2006 NTIA/FCC Public Notice and 2014 NTIA/FCC Public Notice.</w:t>
      </w:r>
      <w:r w:rsidRPr="002E2365">
        <w:t xml:space="preserve">  </w:t>
      </w:r>
      <w:r w:rsidRPr="002E2365">
        <w:rPr>
          <w:i/>
          <w:iCs/>
        </w:rPr>
        <w:t xml:space="preserve">See generally </w:t>
      </w:r>
      <w:r w:rsidRPr="002E2365">
        <w:t xml:space="preserve">47 C.F.R. § 27.1134.  AWS-1 and AWS-3 licensees must coordinate spectrum use with incumbent Federal operations in the 1.7 GHz band.  The transition of federal operations out of the AWS-1 band is complete but we estimate that up to 10 AWS-1 licensees could have to coordinate new or modified operations within specified distances from Federal facilities areas set forth in 47 C.F.R. § 27.1134.  Additionally, we estimate that up to all 37 AWS-3 licenses (because all the AWS-3 licenses are contained in bands that include federal incumbents) will have to be coordinated.  </w:t>
      </w:r>
      <w:bookmarkStart w:id="10" w:name="_Hlk493760740"/>
      <w:bookmarkStart w:id="11" w:name="_Hlk493692877"/>
      <w:r w:rsidRPr="002E2365">
        <w:t xml:space="preserve">We are assuming an equal distribution of the 2,984 coordinations among 179 AWS-1 and AWS-3 licensees, which works out to an average 16.67 responses per respondent over the course of the three-year approval period, or 6 (5.6) per year. ((2,984 </w:t>
      </w:r>
      <m:oMath>
        <m:r>
          <w:rPr>
            <w:rFonts w:ascii="Cambria Math" w:hAnsi="Cambria Math"/>
          </w:rPr>
          <m:t>÷</m:t>
        </m:r>
      </m:oMath>
      <w:r w:rsidRPr="002E2365">
        <w:t xml:space="preserve"> </w:t>
      </w:r>
      <w:bookmarkEnd w:id="10"/>
      <w:r w:rsidRPr="002E2365">
        <w:t xml:space="preserve">179) </w:t>
      </w:r>
      <m:oMath>
        <m:r>
          <w:rPr>
            <w:rFonts w:ascii="Cambria Math" w:hAnsi="Cambria Math"/>
          </w:rPr>
          <m:t xml:space="preserve">÷ </m:t>
        </m:r>
      </m:oMath>
      <w:r w:rsidRPr="002E2365">
        <w:t>3 = 5.6)). On average, we estimate that the disclosures required for each coordination will take an average of 5 hours (in-house staff engineer at $37.85/hr.).  A</w:t>
      </w:r>
      <w:bookmarkEnd w:id="11"/>
      <w:r w:rsidRPr="002E2365">
        <w:t xml:space="preserve">dditional external costs are discussed in item 13.  </w:t>
      </w:r>
    </w:p>
    <w:p w14:paraId="20A22842" w14:textId="77777777" w:rsidR="0083514C" w:rsidRPr="002E2365" w:rsidRDefault="0083514C" w:rsidP="0083514C">
      <w:pPr>
        <w:pStyle w:val="ParaNum"/>
        <w:numPr>
          <w:ilvl w:val="0"/>
          <w:numId w:val="0"/>
        </w:numPr>
        <w:tabs>
          <w:tab w:val="left" w:pos="720"/>
        </w:tabs>
        <w:spacing w:before="100" w:beforeAutospacing="1" w:after="100" w:afterAutospacing="1"/>
        <w:rPr>
          <w:sz w:val="20"/>
        </w:rPr>
      </w:pPr>
      <w:r w:rsidRPr="002E2365">
        <w:t xml:space="preserve">10 </w:t>
      </w:r>
      <w:r w:rsidR="00704D84" w:rsidRPr="002E2365">
        <w:t>(</w:t>
      </w:r>
      <w:r w:rsidR="002141B4" w:rsidRPr="002E2365">
        <w:t>AWS-1</w:t>
      </w:r>
      <w:r w:rsidR="00704D84" w:rsidRPr="002E2365">
        <w:t>)</w:t>
      </w:r>
      <w:r w:rsidR="002141B4" w:rsidRPr="002E2365">
        <w:t xml:space="preserve"> </w:t>
      </w:r>
      <w:r w:rsidRPr="002E2365">
        <w:t xml:space="preserve">respondents x 1 response x 5 hrs. = </w:t>
      </w:r>
      <w:r w:rsidR="00480E7C" w:rsidRPr="002E2365">
        <w:t>50 hours</w:t>
      </w:r>
    </w:p>
    <w:p w14:paraId="07EF41A0" w14:textId="77777777" w:rsidR="0083514C" w:rsidRPr="002E2365" w:rsidRDefault="0083514C" w:rsidP="0083514C">
      <w:pPr>
        <w:pStyle w:val="ParaNum"/>
        <w:numPr>
          <w:ilvl w:val="0"/>
          <w:numId w:val="0"/>
        </w:numPr>
        <w:tabs>
          <w:tab w:val="left" w:pos="720"/>
        </w:tabs>
        <w:spacing w:before="100" w:beforeAutospacing="1" w:after="100" w:afterAutospacing="1"/>
        <w:rPr>
          <w:b/>
          <w:bCs/>
        </w:rPr>
      </w:pPr>
      <w:r w:rsidRPr="002E2365">
        <w:t xml:space="preserve">179 </w:t>
      </w:r>
      <w:r w:rsidR="00704D84" w:rsidRPr="002E2365">
        <w:t>(</w:t>
      </w:r>
      <w:r w:rsidR="002141B4" w:rsidRPr="002E2365">
        <w:t>AWS-1, -3</w:t>
      </w:r>
      <w:r w:rsidR="00704D84" w:rsidRPr="002E2365">
        <w:t>)</w:t>
      </w:r>
      <w:r w:rsidR="002141B4" w:rsidRPr="002E2365">
        <w:t xml:space="preserve"> </w:t>
      </w:r>
      <w:r w:rsidRPr="002E2365">
        <w:t xml:space="preserve">respondents x 6 responses x 5 hrs. </w:t>
      </w:r>
      <w:r w:rsidRPr="002E2365">
        <w:rPr>
          <w:b/>
          <w:bCs/>
        </w:rPr>
        <w:t xml:space="preserve">= 5,370 hours. </w:t>
      </w:r>
    </w:p>
    <w:p w14:paraId="00B53BD8" w14:textId="77777777" w:rsidR="0083514C" w:rsidRPr="002E2365" w:rsidRDefault="0083514C" w:rsidP="0083514C">
      <w:pPr>
        <w:pStyle w:val="ParaNum"/>
        <w:numPr>
          <w:ilvl w:val="0"/>
          <w:numId w:val="0"/>
        </w:numPr>
        <w:tabs>
          <w:tab w:val="left" w:pos="720"/>
        </w:tabs>
        <w:spacing w:before="100" w:beforeAutospacing="1" w:after="100" w:afterAutospacing="1"/>
      </w:pPr>
      <w:r w:rsidRPr="002E2365">
        <w:t xml:space="preserve">Internal cost: </w:t>
      </w:r>
      <w:r w:rsidR="00480E7C" w:rsidRPr="002E2365">
        <w:t>(</w:t>
      </w:r>
      <w:r w:rsidRPr="002E2365">
        <w:t>5,370</w:t>
      </w:r>
      <w:r w:rsidR="00480E7C" w:rsidRPr="002E2365">
        <w:t xml:space="preserve"> + 50 = 5,420</w:t>
      </w:r>
      <w:r w:rsidRPr="002E2365">
        <w:t xml:space="preserve"> hours</w:t>
      </w:r>
      <w:r w:rsidR="00480E7C" w:rsidRPr="002E2365">
        <w:t>) x $37.85 = $205,147.</w:t>
      </w:r>
      <w:r w:rsidRPr="002E2365">
        <w:t xml:space="preserve"> </w:t>
      </w:r>
    </w:p>
    <w:p w14:paraId="43C58118" w14:textId="77777777" w:rsidR="00185264" w:rsidRPr="002E2365" w:rsidRDefault="00185264" w:rsidP="00832BF1">
      <w:r w:rsidRPr="002E2365">
        <w:rPr>
          <w:b/>
          <w:bCs/>
        </w:rPr>
        <w:t>12-n.</w:t>
      </w:r>
      <w:r w:rsidR="009544E9" w:rsidRPr="002E2365">
        <w:rPr>
          <w:b/>
          <w:bCs/>
        </w:rPr>
        <w:t xml:space="preserve">  </w:t>
      </w:r>
      <w:r w:rsidR="00B81A9D" w:rsidRPr="002E2365">
        <w:rPr>
          <w:bCs/>
          <w:i/>
        </w:rPr>
        <w:t xml:space="preserve"> </w:t>
      </w:r>
      <w:r w:rsidR="00832BF1" w:rsidRPr="002E2365">
        <w:rPr>
          <w:i/>
        </w:rPr>
        <w:t xml:space="preserve">Discontinuance of service in the </w:t>
      </w:r>
      <w:r w:rsidR="00EC6415" w:rsidRPr="002E2365">
        <w:rPr>
          <w:i/>
        </w:rPr>
        <w:t>1695-1710 MHz, 1755-1780 MHz, 2000-2020 MHz, 2155-2180 MHz, and 2180-2200 MHz bands.</w:t>
      </w:r>
      <w:r w:rsidR="00B03D40" w:rsidRPr="002E2365">
        <w:rPr>
          <w:bCs/>
        </w:rPr>
        <w:t xml:space="preserve">  </w:t>
      </w:r>
      <w:r w:rsidR="00BB49A9" w:rsidRPr="002E2365">
        <w:rPr>
          <w:bCs/>
          <w:i/>
        </w:rPr>
        <w:t xml:space="preserve">See </w:t>
      </w:r>
      <w:r w:rsidR="00BB49A9" w:rsidRPr="002E2365">
        <w:rPr>
          <w:bCs/>
        </w:rPr>
        <w:t>47 C.F.R. § 27.17(</w:t>
      </w:r>
      <w:r w:rsidR="00EC6415" w:rsidRPr="002E2365">
        <w:rPr>
          <w:bCs/>
        </w:rPr>
        <w:t>c</w:t>
      </w:r>
      <w:r w:rsidR="00BB49A9" w:rsidRPr="002E2365">
        <w:rPr>
          <w:bCs/>
        </w:rPr>
        <w:t xml:space="preserve">).  </w:t>
      </w:r>
      <w:r w:rsidR="00B03D40" w:rsidRPr="002E2365">
        <w:rPr>
          <w:bCs/>
        </w:rPr>
        <w:t xml:space="preserve">AWS-4 </w:t>
      </w:r>
      <w:r w:rsidR="00BB49A9" w:rsidRPr="002E2365">
        <w:rPr>
          <w:bCs/>
        </w:rPr>
        <w:t xml:space="preserve">and AWS-3 </w:t>
      </w:r>
      <w:r w:rsidR="00B03D40" w:rsidRPr="002E2365">
        <w:rPr>
          <w:bCs/>
        </w:rPr>
        <w:t xml:space="preserve">licensees must notify the Commission </w:t>
      </w:r>
      <w:r w:rsidR="002A5587" w:rsidRPr="002E2365">
        <w:rPr>
          <w:bCs/>
        </w:rPr>
        <w:t>if</w:t>
      </w:r>
      <w:r w:rsidR="00B03D40" w:rsidRPr="002E2365">
        <w:rPr>
          <w:bCs/>
        </w:rPr>
        <w:t xml:space="preserve"> they permanently discontinue service.  </w:t>
      </w:r>
      <w:r w:rsidR="004C1F05" w:rsidRPr="002E2365">
        <w:rPr>
          <w:bCs/>
        </w:rPr>
        <w:t xml:space="preserve">We estimate 0.5 hours per response.  </w:t>
      </w:r>
      <w:r w:rsidR="00F86D4A" w:rsidRPr="002E2365">
        <w:rPr>
          <w:bCs/>
        </w:rPr>
        <w:t xml:space="preserve">Since no construction deadlines will fall in this three-year approval period, </w:t>
      </w:r>
      <w:r w:rsidR="004C1F05" w:rsidRPr="002E2365">
        <w:rPr>
          <w:bCs/>
        </w:rPr>
        <w:t xml:space="preserve">however, </w:t>
      </w:r>
      <w:r w:rsidR="00F86D4A" w:rsidRPr="002E2365">
        <w:rPr>
          <w:bCs/>
        </w:rPr>
        <w:t xml:space="preserve">we anticipate no discontinuance notices </w:t>
      </w:r>
      <w:r w:rsidR="00485076" w:rsidRPr="002E2365">
        <w:rPr>
          <w:bCs/>
        </w:rPr>
        <w:t xml:space="preserve">  </w:t>
      </w:r>
    </w:p>
    <w:p w14:paraId="0AF65555" w14:textId="77777777" w:rsidR="007E2F9D" w:rsidRPr="002E2365" w:rsidRDefault="00F86D4A" w:rsidP="002E31EB">
      <w:pPr>
        <w:pStyle w:val="ParaNum"/>
        <w:numPr>
          <w:ilvl w:val="0"/>
          <w:numId w:val="0"/>
        </w:numPr>
        <w:tabs>
          <w:tab w:val="left" w:pos="720"/>
          <w:tab w:val="left" w:pos="3600"/>
          <w:tab w:val="right" w:pos="9360"/>
        </w:tabs>
        <w:spacing w:before="100" w:beforeAutospacing="1" w:after="100" w:afterAutospacing="1"/>
      </w:pPr>
      <w:r w:rsidRPr="002E2365">
        <w:t xml:space="preserve">0 </w:t>
      </w:r>
      <w:r w:rsidR="005A27B0" w:rsidRPr="002E2365">
        <w:t>respondent</w:t>
      </w:r>
      <w:r w:rsidR="0093354E" w:rsidRPr="002E2365">
        <w:t>s</w:t>
      </w:r>
      <w:r w:rsidR="005A27B0" w:rsidRPr="002E2365">
        <w:t xml:space="preserve"> x </w:t>
      </w:r>
      <w:r w:rsidRPr="002E2365">
        <w:t xml:space="preserve">0 </w:t>
      </w:r>
      <w:r w:rsidR="005A27B0" w:rsidRPr="002E2365">
        <w:t xml:space="preserve">response x </w:t>
      </w:r>
      <w:r w:rsidR="005D3B38" w:rsidRPr="002E2365">
        <w:t>0</w:t>
      </w:r>
      <w:r w:rsidR="005A27B0" w:rsidRPr="002E2365">
        <w:t xml:space="preserve">.5 </w:t>
      </w:r>
      <w:r w:rsidR="00C35EC3" w:rsidRPr="002E2365">
        <w:t>hrs.</w:t>
      </w:r>
      <w:r w:rsidR="005A27B0" w:rsidRPr="002E2365">
        <w:t xml:space="preserve"> = </w:t>
      </w:r>
      <w:r w:rsidRPr="002E2365">
        <w:rPr>
          <w:b/>
        </w:rPr>
        <w:t xml:space="preserve">0 </w:t>
      </w:r>
      <w:r w:rsidR="005A27B0" w:rsidRPr="002E2365">
        <w:rPr>
          <w:b/>
        </w:rPr>
        <w:t>h</w:t>
      </w:r>
      <w:r w:rsidR="00525732" w:rsidRPr="002E2365">
        <w:rPr>
          <w:b/>
        </w:rPr>
        <w:t>ou</w:t>
      </w:r>
      <w:r w:rsidR="005A27B0" w:rsidRPr="002E2365">
        <w:rPr>
          <w:b/>
        </w:rPr>
        <w:t>r</w:t>
      </w:r>
      <w:r w:rsidR="00525732" w:rsidRPr="002E2365">
        <w:rPr>
          <w:b/>
        </w:rPr>
        <w:t>.</w:t>
      </w:r>
      <w:r w:rsidR="004C1F05" w:rsidRPr="002E2365">
        <w:rPr>
          <w:b/>
        </w:rPr>
        <w:t xml:space="preserve">  (</w:t>
      </w:r>
      <w:r w:rsidR="004C1F05" w:rsidRPr="002E2365">
        <w:rPr>
          <w:bCs/>
        </w:rPr>
        <w:t>This entry is on the statement to remind FCC staff to reactivate it in the future and to act as a place holder for this requirement.)</w:t>
      </w:r>
    </w:p>
    <w:p w14:paraId="27345421" w14:textId="77777777" w:rsidR="007E2F9D" w:rsidRPr="002E2365" w:rsidRDefault="005A27B0" w:rsidP="002E31EB">
      <w:pPr>
        <w:pStyle w:val="ParaNum"/>
        <w:numPr>
          <w:ilvl w:val="0"/>
          <w:numId w:val="0"/>
        </w:numPr>
        <w:tabs>
          <w:tab w:val="left" w:pos="720"/>
          <w:tab w:val="left" w:pos="3600"/>
          <w:tab w:val="right" w:pos="9360"/>
        </w:tabs>
        <w:spacing w:before="100" w:beforeAutospacing="1" w:after="100" w:afterAutospacing="1"/>
      </w:pPr>
      <w:r w:rsidRPr="002E2365">
        <w:t>Internal cost = $</w:t>
      </w:r>
      <w:r w:rsidR="00F86D4A" w:rsidRPr="002E2365">
        <w:t>0</w:t>
      </w:r>
    </w:p>
    <w:p w14:paraId="1D8C3CF3" w14:textId="77777777" w:rsidR="00B81A9D" w:rsidRPr="002E2365" w:rsidRDefault="00185264" w:rsidP="00B81A9D">
      <w:r w:rsidRPr="002E2365">
        <w:rPr>
          <w:b/>
          <w:bCs/>
        </w:rPr>
        <w:t>12-o.</w:t>
      </w:r>
      <w:r w:rsidR="006F015B" w:rsidRPr="002E2365">
        <w:rPr>
          <w:b/>
          <w:bCs/>
        </w:rPr>
        <w:t xml:space="preserve">  </w:t>
      </w:r>
      <w:r w:rsidR="00B81A9D" w:rsidRPr="002E2365">
        <w:rPr>
          <w:i/>
        </w:rPr>
        <w:t>Protection of Mobile Satellite Services in the 2000-2020 MHz and 2180-2200 MHz bands.</w:t>
      </w:r>
      <w:r w:rsidR="004E0D81" w:rsidRPr="002E2365">
        <w:t xml:space="preserve"> (placeholder)</w:t>
      </w:r>
    </w:p>
    <w:p w14:paraId="280AEA48" w14:textId="77777777" w:rsidR="00C33ABC" w:rsidRPr="002E2365" w:rsidRDefault="00F86D4A" w:rsidP="00C33ABC">
      <w:pPr>
        <w:pStyle w:val="ParaNum"/>
        <w:numPr>
          <w:ilvl w:val="0"/>
          <w:numId w:val="0"/>
        </w:numPr>
        <w:tabs>
          <w:tab w:val="left" w:pos="720"/>
          <w:tab w:val="left" w:pos="3600"/>
        </w:tabs>
        <w:spacing w:before="100" w:beforeAutospacing="1" w:after="100" w:afterAutospacing="1"/>
        <w:rPr>
          <w:b/>
          <w:bCs/>
        </w:rPr>
      </w:pPr>
      <w:r w:rsidRPr="002E2365">
        <w:rPr>
          <w:bCs/>
        </w:rPr>
        <w:t xml:space="preserve">0 </w:t>
      </w:r>
      <w:r w:rsidR="00C33ABC" w:rsidRPr="002E2365">
        <w:rPr>
          <w:bCs/>
        </w:rPr>
        <w:t xml:space="preserve">respondent x </w:t>
      </w:r>
      <w:r w:rsidRPr="002E2365">
        <w:rPr>
          <w:bCs/>
        </w:rPr>
        <w:t xml:space="preserve">0 </w:t>
      </w:r>
      <w:r w:rsidR="00C33ABC" w:rsidRPr="002E2365">
        <w:rPr>
          <w:bCs/>
        </w:rPr>
        <w:t xml:space="preserve">response x </w:t>
      </w:r>
      <w:r w:rsidR="00485076" w:rsidRPr="002E2365">
        <w:rPr>
          <w:bCs/>
        </w:rPr>
        <w:t>0</w:t>
      </w:r>
      <w:r w:rsidR="00C33ABC" w:rsidRPr="002E2365">
        <w:rPr>
          <w:bCs/>
        </w:rPr>
        <w:t xml:space="preserve">.5 </w:t>
      </w:r>
      <w:r w:rsidR="00C35EC3" w:rsidRPr="002E2365">
        <w:rPr>
          <w:bCs/>
        </w:rPr>
        <w:t>hrs.</w:t>
      </w:r>
      <w:r w:rsidR="00C33ABC" w:rsidRPr="002E2365">
        <w:rPr>
          <w:bCs/>
        </w:rPr>
        <w:t xml:space="preserve"> = </w:t>
      </w:r>
      <w:r w:rsidRPr="002E2365">
        <w:rPr>
          <w:b/>
          <w:bCs/>
        </w:rPr>
        <w:t xml:space="preserve">0 </w:t>
      </w:r>
      <w:r w:rsidR="00C33ABC" w:rsidRPr="002E2365">
        <w:rPr>
          <w:b/>
          <w:bCs/>
        </w:rPr>
        <w:t>h</w:t>
      </w:r>
      <w:r w:rsidR="00525732" w:rsidRPr="002E2365">
        <w:rPr>
          <w:b/>
          <w:bCs/>
        </w:rPr>
        <w:t>ou</w:t>
      </w:r>
      <w:r w:rsidR="00C33ABC" w:rsidRPr="002E2365">
        <w:rPr>
          <w:b/>
          <w:bCs/>
        </w:rPr>
        <w:t>r</w:t>
      </w:r>
      <w:r w:rsidR="00525732" w:rsidRPr="002E2365">
        <w:rPr>
          <w:b/>
          <w:bCs/>
        </w:rPr>
        <w:t>.</w:t>
      </w:r>
    </w:p>
    <w:p w14:paraId="45CA81E1" w14:textId="77777777" w:rsidR="00185264" w:rsidRPr="002E2365" w:rsidRDefault="00C33ABC" w:rsidP="00467305">
      <w:pPr>
        <w:rPr>
          <w:i/>
        </w:rPr>
      </w:pPr>
      <w:r w:rsidRPr="002E2365">
        <w:rPr>
          <w:bCs/>
        </w:rPr>
        <w:t>Internal cost = $</w:t>
      </w:r>
      <w:r w:rsidR="001E1818" w:rsidRPr="002E2365">
        <w:rPr>
          <w:bCs/>
        </w:rPr>
        <w:t>0</w:t>
      </w:r>
      <w:r w:rsidR="00A65A14" w:rsidRPr="002E2365">
        <w:rPr>
          <w:bCs/>
        </w:rPr>
        <w:t>.</w:t>
      </w:r>
      <w:r w:rsidRPr="002E2365">
        <w:rPr>
          <w:i/>
        </w:rPr>
        <w:t xml:space="preserve"> </w:t>
      </w:r>
    </w:p>
    <w:p w14:paraId="04E577A6" w14:textId="77777777" w:rsidR="00467305" w:rsidRPr="002E2365" w:rsidRDefault="00467305" w:rsidP="00467305"/>
    <w:p w14:paraId="722BC5C9" w14:textId="77777777" w:rsidR="004C46BA" w:rsidRPr="002E2365" w:rsidRDefault="00185264" w:rsidP="004C46BA">
      <w:r w:rsidRPr="002E2365">
        <w:rPr>
          <w:b/>
          <w:bCs/>
        </w:rPr>
        <w:t>12-p.</w:t>
      </w:r>
      <w:r w:rsidR="008A1107" w:rsidRPr="002E2365">
        <w:rPr>
          <w:b/>
          <w:bCs/>
        </w:rPr>
        <w:t xml:space="preserve">  </w:t>
      </w:r>
      <w:r w:rsidR="004E0D81" w:rsidRPr="002E2365">
        <w:rPr>
          <w:bCs/>
          <w:i/>
        </w:rPr>
        <w:t>Private Agreements</w:t>
      </w:r>
      <w:r w:rsidR="004E0D81" w:rsidRPr="002E2365">
        <w:rPr>
          <w:bCs/>
        </w:rPr>
        <w:t xml:space="preserve">.  </w:t>
      </w:r>
      <w:r w:rsidR="001E1818" w:rsidRPr="002E2365">
        <w:rPr>
          <w:bCs/>
        </w:rPr>
        <w:t>(placeholder)</w:t>
      </w:r>
      <w:r w:rsidR="004E0D81" w:rsidRPr="002E2365">
        <w:rPr>
          <w:bCs/>
        </w:rPr>
        <w:t xml:space="preserve"> </w:t>
      </w:r>
    </w:p>
    <w:p w14:paraId="144FAFDA" w14:textId="77777777" w:rsidR="00C33ABC" w:rsidRPr="002E2365" w:rsidRDefault="00F86D4A" w:rsidP="00337EAD">
      <w:pPr>
        <w:pStyle w:val="ParaNum"/>
        <w:numPr>
          <w:ilvl w:val="0"/>
          <w:numId w:val="0"/>
        </w:numPr>
        <w:tabs>
          <w:tab w:val="left" w:pos="720"/>
          <w:tab w:val="left" w:pos="3600"/>
        </w:tabs>
        <w:spacing w:before="100" w:beforeAutospacing="1" w:after="100" w:afterAutospacing="1"/>
        <w:rPr>
          <w:b/>
          <w:bCs/>
        </w:rPr>
      </w:pPr>
      <w:r w:rsidRPr="002E2365">
        <w:rPr>
          <w:bCs/>
        </w:rPr>
        <w:t xml:space="preserve">0 </w:t>
      </w:r>
      <w:r w:rsidR="00C33ABC" w:rsidRPr="002E2365">
        <w:rPr>
          <w:bCs/>
        </w:rPr>
        <w:t xml:space="preserve">respondent x </w:t>
      </w:r>
      <w:r w:rsidRPr="002E2365">
        <w:rPr>
          <w:bCs/>
        </w:rPr>
        <w:t xml:space="preserve">0 </w:t>
      </w:r>
      <w:r w:rsidR="00C33ABC" w:rsidRPr="002E2365">
        <w:rPr>
          <w:bCs/>
        </w:rPr>
        <w:t xml:space="preserve">response x </w:t>
      </w:r>
      <w:r w:rsidR="00485076" w:rsidRPr="002E2365">
        <w:rPr>
          <w:bCs/>
        </w:rPr>
        <w:t>0</w:t>
      </w:r>
      <w:r w:rsidR="001E1818" w:rsidRPr="002E2365">
        <w:rPr>
          <w:bCs/>
        </w:rPr>
        <w:t>.5</w:t>
      </w:r>
      <w:r w:rsidR="00C33ABC" w:rsidRPr="002E2365">
        <w:rPr>
          <w:bCs/>
        </w:rPr>
        <w:t xml:space="preserve"> </w:t>
      </w:r>
      <w:r w:rsidR="00C35EC3" w:rsidRPr="002E2365">
        <w:rPr>
          <w:bCs/>
        </w:rPr>
        <w:t>hrs.</w:t>
      </w:r>
      <w:r w:rsidR="00C33ABC" w:rsidRPr="002E2365">
        <w:rPr>
          <w:bCs/>
        </w:rPr>
        <w:t xml:space="preserve"> = </w:t>
      </w:r>
      <w:r w:rsidRPr="002E2365">
        <w:rPr>
          <w:b/>
          <w:bCs/>
        </w:rPr>
        <w:t xml:space="preserve">0 </w:t>
      </w:r>
      <w:r w:rsidR="00C33ABC" w:rsidRPr="002E2365">
        <w:rPr>
          <w:b/>
          <w:bCs/>
        </w:rPr>
        <w:t>h</w:t>
      </w:r>
      <w:r w:rsidR="00A65A14" w:rsidRPr="002E2365">
        <w:rPr>
          <w:b/>
          <w:bCs/>
        </w:rPr>
        <w:t>ou</w:t>
      </w:r>
      <w:r w:rsidR="00C33ABC" w:rsidRPr="002E2365">
        <w:rPr>
          <w:b/>
          <w:bCs/>
        </w:rPr>
        <w:t>r</w:t>
      </w:r>
      <w:r w:rsidR="00525732" w:rsidRPr="002E2365">
        <w:rPr>
          <w:b/>
          <w:bCs/>
        </w:rPr>
        <w:t>.</w:t>
      </w:r>
    </w:p>
    <w:p w14:paraId="5019ED2D" w14:textId="77777777" w:rsidR="00185264" w:rsidRPr="002E2365" w:rsidRDefault="00C33ABC" w:rsidP="00337EAD">
      <w:pPr>
        <w:pStyle w:val="ParaNum"/>
        <w:numPr>
          <w:ilvl w:val="0"/>
          <w:numId w:val="0"/>
        </w:numPr>
        <w:tabs>
          <w:tab w:val="left" w:pos="720"/>
          <w:tab w:val="left" w:pos="3600"/>
        </w:tabs>
        <w:spacing w:before="100" w:beforeAutospacing="1" w:after="100" w:afterAutospacing="1"/>
        <w:rPr>
          <w:bCs/>
        </w:rPr>
      </w:pPr>
      <w:r w:rsidRPr="002E2365">
        <w:rPr>
          <w:bCs/>
        </w:rPr>
        <w:t>Internal cost = $0</w:t>
      </w:r>
    </w:p>
    <w:p w14:paraId="0DACACEB" w14:textId="77777777" w:rsidR="00072ECD" w:rsidRPr="002E2365" w:rsidRDefault="00000D34" w:rsidP="00355D6E">
      <w:r w:rsidRPr="002E2365">
        <w:rPr>
          <w:b/>
          <w:bCs/>
        </w:rPr>
        <w:t>12-q</w:t>
      </w:r>
      <w:r w:rsidR="0093354E" w:rsidRPr="002E2365">
        <w:rPr>
          <w:b/>
          <w:bCs/>
        </w:rPr>
        <w:t>.</w:t>
      </w:r>
      <w:r w:rsidR="003C34B8" w:rsidRPr="002E2365">
        <w:rPr>
          <w:b/>
          <w:bCs/>
        </w:rPr>
        <w:t xml:space="preserve"> </w:t>
      </w:r>
      <w:r w:rsidR="0093354E" w:rsidRPr="002E2365">
        <w:rPr>
          <w:b/>
          <w:bCs/>
        </w:rPr>
        <w:t xml:space="preserve"> </w:t>
      </w:r>
      <w:r w:rsidR="003C34B8" w:rsidRPr="002E2365">
        <w:rPr>
          <w:bCs/>
          <w:i/>
        </w:rPr>
        <w:t xml:space="preserve">Coordination for use of </w:t>
      </w:r>
      <w:r w:rsidR="0093354E" w:rsidRPr="002E2365">
        <w:rPr>
          <w:bCs/>
          <w:i/>
        </w:rPr>
        <w:t>high</w:t>
      </w:r>
      <w:r w:rsidR="003C34B8" w:rsidRPr="002E2365">
        <w:rPr>
          <w:bCs/>
          <w:i/>
        </w:rPr>
        <w:t xml:space="preserve"> power.  </w:t>
      </w:r>
      <w:r w:rsidR="00E62F4E" w:rsidRPr="002E2365">
        <w:rPr>
          <w:bCs/>
          <w:i/>
        </w:rPr>
        <w:t xml:space="preserve">See </w:t>
      </w:r>
      <w:r w:rsidR="00E62F4E" w:rsidRPr="002E2365">
        <w:rPr>
          <w:bCs/>
        </w:rPr>
        <w:t xml:space="preserve">47 C.F.R. § 27.50(d)(3), (8).  </w:t>
      </w:r>
      <w:r w:rsidR="004E459A" w:rsidRPr="002E2365">
        <w:t>AWS</w:t>
      </w:r>
      <w:r w:rsidR="0093354E" w:rsidRPr="002E2365">
        <w:t>-1</w:t>
      </w:r>
      <w:r w:rsidR="00E62F4E" w:rsidRPr="002E2365">
        <w:t>, -4 and -3</w:t>
      </w:r>
      <w:r w:rsidR="003C34B8" w:rsidRPr="002E2365">
        <w:t xml:space="preserve"> licensees </w:t>
      </w:r>
      <w:r w:rsidR="004E459A" w:rsidRPr="002E2365">
        <w:t xml:space="preserve">utilizing a power greater than 1640 watts EIRP </w:t>
      </w:r>
      <w:r w:rsidR="0093354E" w:rsidRPr="002E2365">
        <w:t>or</w:t>
      </w:r>
      <w:r w:rsidR="004E459A" w:rsidRPr="002E2365">
        <w:t xml:space="preserve"> 1640 watts/MHz EIRP </w:t>
      </w:r>
      <w:r w:rsidR="002102C3" w:rsidRPr="002E2365">
        <w:t xml:space="preserve">(“high power”) </w:t>
      </w:r>
      <w:r w:rsidR="004E459A" w:rsidRPr="002E2365">
        <w:t xml:space="preserve">must coordinate such operations in advance with </w:t>
      </w:r>
      <w:r w:rsidR="00E62F4E" w:rsidRPr="002E2365">
        <w:t xml:space="preserve">certain AWS and BRS licensees and </w:t>
      </w:r>
      <w:r w:rsidR="004E459A" w:rsidRPr="002E2365">
        <w:t>satellite entities.</w:t>
      </w:r>
      <w:r w:rsidR="00A717B7" w:rsidRPr="002E2365">
        <w:t xml:space="preserve"> </w:t>
      </w:r>
      <w:r w:rsidR="003A4952" w:rsidRPr="002E2365">
        <w:t xml:space="preserve"> </w:t>
      </w:r>
      <w:r w:rsidR="00E722F5" w:rsidRPr="002E2365">
        <w:t>W</w:t>
      </w:r>
      <w:r w:rsidR="003A4952" w:rsidRPr="002E2365">
        <w:t xml:space="preserve">e expect </w:t>
      </w:r>
      <w:r w:rsidR="00ED6EFD" w:rsidRPr="002E2365">
        <w:t xml:space="preserve">about </w:t>
      </w:r>
      <w:r w:rsidR="00AD5B64" w:rsidRPr="002E2365">
        <w:t>3,336</w:t>
      </w:r>
      <w:r w:rsidR="00ED6EFD" w:rsidRPr="002E2365">
        <w:t xml:space="preserve"> coordinations annually by</w:t>
      </w:r>
      <w:r w:rsidR="003A4952" w:rsidRPr="002E2365">
        <w:t xml:space="preserve"> </w:t>
      </w:r>
      <w:r w:rsidR="00072ECD" w:rsidRPr="002E2365">
        <w:t xml:space="preserve">52 </w:t>
      </w:r>
      <w:r w:rsidR="003A4952" w:rsidRPr="002E2365">
        <w:t>AWS-1</w:t>
      </w:r>
      <w:r w:rsidR="00E62F4E" w:rsidRPr="002E2365">
        <w:t xml:space="preserve">, -4 and </w:t>
      </w:r>
      <w:r w:rsidR="003A4952" w:rsidRPr="002E2365">
        <w:t xml:space="preserve">-3 respondents </w:t>
      </w:r>
      <w:r w:rsidR="00ED6EFD" w:rsidRPr="002E2365">
        <w:t xml:space="preserve">coordinating </w:t>
      </w:r>
      <w:r w:rsidR="003A4952" w:rsidRPr="002E2365">
        <w:t xml:space="preserve">with </w:t>
      </w:r>
      <w:r w:rsidR="00ED6EFD" w:rsidRPr="002E2365">
        <w:t xml:space="preserve">up to </w:t>
      </w:r>
      <w:r w:rsidR="00D150B8" w:rsidRPr="002E2365">
        <w:t xml:space="preserve">4 </w:t>
      </w:r>
      <w:r w:rsidR="003A4952" w:rsidRPr="002E2365">
        <w:t>BRS incumbent</w:t>
      </w:r>
      <w:r w:rsidR="00E62F4E" w:rsidRPr="002E2365">
        <w:t>s</w:t>
      </w:r>
      <w:r w:rsidR="003A4952" w:rsidRPr="002E2365">
        <w:t xml:space="preserve">, </w:t>
      </w:r>
      <w:r w:rsidR="00E62F4E" w:rsidRPr="002E2365">
        <w:t>7</w:t>
      </w:r>
      <w:r w:rsidR="003A4952" w:rsidRPr="002E2365">
        <w:t xml:space="preserve"> satellite entit</w:t>
      </w:r>
      <w:r w:rsidR="00355D6E" w:rsidRPr="002E2365">
        <w:t>ies</w:t>
      </w:r>
      <w:r w:rsidR="00E62F4E" w:rsidRPr="002E2365">
        <w:t xml:space="preserve"> and </w:t>
      </w:r>
      <w:r w:rsidR="00F435ED" w:rsidRPr="002E2365">
        <w:t xml:space="preserve">perhaps </w:t>
      </w:r>
      <w:r w:rsidR="00E722F5" w:rsidRPr="002E2365">
        <w:t>2</w:t>
      </w:r>
      <w:r w:rsidR="00E62F4E" w:rsidRPr="002E2365">
        <w:t xml:space="preserve"> other AWS licensees</w:t>
      </w:r>
      <w:r w:rsidR="00072ECD" w:rsidRPr="002E2365">
        <w:t>, which works out to an average 64.15 responses per respondent over the course of the three-year approval period, or 21 or 21.38 per year</w:t>
      </w:r>
      <w:r w:rsidR="003A4952" w:rsidRPr="002E2365">
        <w:t xml:space="preserve">.  We assume such </w:t>
      </w:r>
      <w:r w:rsidR="002102C3" w:rsidRPr="002E2365">
        <w:t>high</w:t>
      </w:r>
      <w:r w:rsidR="00355D6E" w:rsidRPr="002E2365">
        <w:t xml:space="preserve">-power </w:t>
      </w:r>
      <w:r w:rsidR="003A4952" w:rsidRPr="002E2365">
        <w:t xml:space="preserve">operations will occur pursuant to agreements </w:t>
      </w:r>
      <w:r w:rsidR="00355D6E" w:rsidRPr="002E2365">
        <w:t>negotiated in-house by staff attorneys</w:t>
      </w:r>
      <w:r w:rsidR="005D009A" w:rsidRPr="002E2365">
        <w:t xml:space="preserve"> ($62.93/</w:t>
      </w:r>
      <w:r w:rsidR="00C35EC3" w:rsidRPr="002E2365">
        <w:t>hr.</w:t>
      </w:r>
      <w:r w:rsidR="005D009A" w:rsidRPr="002E2365">
        <w:t>) and engineers ($37.85</w:t>
      </w:r>
      <w:r w:rsidR="00355D6E" w:rsidRPr="002E2365">
        <w:t>/</w:t>
      </w:r>
      <w:r w:rsidR="00C35EC3" w:rsidRPr="002E2365">
        <w:t>hr.</w:t>
      </w:r>
      <w:r w:rsidR="005D009A" w:rsidRPr="002E2365">
        <w:t>)</w:t>
      </w:r>
      <w:r w:rsidR="00355D6E" w:rsidRPr="002E2365">
        <w:t>. We estimate that the required disclosures will take each party an average of 2 hours per agreement</w:t>
      </w:r>
      <w:r w:rsidR="00E62F4E" w:rsidRPr="002E2365">
        <w:t>,</w:t>
      </w:r>
      <w:r w:rsidR="00355D6E" w:rsidRPr="002E2365">
        <w:t xml:space="preserve"> and we are assuming an equal distribution of the disclosures or responses among the </w:t>
      </w:r>
      <w:r w:rsidR="00ED6EFD" w:rsidRPr="002E2365">
        <w:t>5</w:t>
      </w:r>
      <w:r w:rsidR="00A840F6" w:rsidRPr="002E2365">
        <w:t>9</w:t>
      </w:r>
      <w:r w:rsidR="00355D6E" w:rsidRPr="002E2365">
        <w:t xml:space="preserve"> respondents</w:t>
      </w:r>
      <w:r w:rsidR="00ED6EFD" w:rsidRPr="002E2365">
        <w:t xml:space="preserve"> (</w:t>
      </w:r>
      <w:r w:rsidR="00A840F6" w:rsidRPr="002E2365">
        <w:t>37</w:t>
      </w:r>
      <w:r w:rsidR="00ED6EFD" w:rsidRPr="002E2365">
        <w:t xml:space="preserve"> AWS</w:t>
      </w:r>
      <w:r w:rsidR="00A840F6" w:rsidRPr="002E2365">
        <w:t>-3</w:t>
      </w:r>
      <w:r w:rsidR="00ED6EFD" w:rsidRPr="002E2365">
        <w:t xml:space="preserve"> + </w:t>
      </w:r>
      <w:r w:rsidR="00D150B8" w:rsidRPr="002E2365">
        <w:t>4</w:t>
      </w:r>
      <w:r w:rsidR="00ED6EFD" w:rsidRPr="002E2365">
        <w:t xml:space="preserve"> BRS + 7 </w:t>
      </w:r>
      <w:r w:rsidR="00E722F5" w:rsidRPr="002E2365">
        <w:t>satellites</w:t>
      </w:r>
      <w:r w:rsidR="00ED6EFD" w:rsidRPr="002E2365">
        <w:t xml:space="preserve"> + </w:t>
      </w:r>
      <w:r w:rsidR="00A840F6" w:rsidRPr="002E2365">
        <w:t>2</w:t>
      </w:r>
      <w:r w:rsidR="00ED6EFD" w:rsidRPr="002E2365">
        <w:t xml:space="preserve"> AWS</w:t>
      </w:r>
      <w:r w:rsidR="00A840F6" w:rsidRPr="002E2365">
        <w:t>-4</w:t>
      </w:r>
      <w:r w:rsidR="00ED6EFD" w:rsidRPr="002E2365">
        <w:t>)</w:t>
      </w:r>
      <w:r w:rsidR="00355D6E" w:rsidRPr="002E2365">
        <w:t xml:space="preserve">, which works out to approximately </w:t>
      </w:r>
      <w:r w:rsidR="00E722F5" w:rsidRPr="002E2365">
        <w:t>21</w:t>
      </w:r>
      <w:r w:rsidR="00355D6E" w:rsidRPr="002E2365">
        <w:t xml:space="preserve"> coordinations per respondent.  </w:t>
      </w:r>
    </w:p>
    <w:p w14:paraId="3472777B" w14:textId="77777777" w:rsidR="00355D6E" w:rsidRPr="002E2365" w:rsidRDefault="00D150B8" w:rsidP="00355D6E">
      <w:pPr>
        <w:pStyle w:val="ParaNum"/>
        <w:numPr>
          <w:ilvl w:val="0"/>
          <w:numId w:val="0"/>
        </w:numPr>
        <w:tabs>
          <w:tab w:val="right" w:pos="9360"/>
        </w:tabs>
        <w:spacing w:before="100" w:beforeAutospacing="1" w:after="100" w:afterAutospacing="1"/>
      </w:pPr>
      <w:r w:rsidRPr="002E2365">
        <w:t>52</w:t>
      </w:r>
      <w:r w:rsidR="00355D6E" w:rsidRPr="002E2365">
        <w:t xml:space="preserve"> respondents </w:t>
      </w:r>
      <w:r w:rsidRPr="002E2365">
        <w:t xml:space="preserve">(2 AWS-1, 37 AWS-3, 2 AWS-4, 4 BRS, and 7 satellite entities) </w:t>
      </w:r>
      <w:r w:rsidR="00355D6E" w:rsidRPr="002E2365">
        <w:t xml:space="preserve">x </w:t>
      </w:r>
      <w:r w:rsidR="00E722F5" w:rsidRPr="002E2365">
        <w:t xml:space="preserve">21 </w:t>
      </w:r>
      <w:r w:rsidR="00C97BFB" w:rsidRPr="002E2365">
        <w:t xml:space="preserve">responses x </w:t>
      </w:r>
      <w:r w:rsidR="00ED6EFD" w:rsidRPr="002E2365">
        <w:t xml:space="preserve">2 parties per coordination x </w:t>
      </w:r>
      <w:r w:rsidR="00C97BFB" w:rsidRPr="002E2365">
        <w:t>2</w:t>
      </w:r>
      <w:r w:rsidR="00355D6E" w:rsidRPr="002E2365">
        <w:t xml:space="preserve"> hr. = </w:t>
      </w:r>
      <w:r w:rsidR="00347569" w:rsidRPr="002E2365">
        <w:rPr>
          <w:b/>
        </w:rPr>
        <w:t xml:space="preserve">4,368 </w:t>
      </w:r>
      <w:r w:rsidR="00355D6E" w:rsidRPr="002E2365">
        <w:rPr>
          <w:b/>
        </w:rPr>
        <w:t>hours</w:t>
      </w:r>
    </w:p>
    <w:p w14:paraId="265E87CC" w14:textId="77777777" w:rsidR="00A840F6" w:rsidRPr="002E2365" w:rsidRDefault="002927EC" w:rsidP="00C97BFB">
      <w:pPr>
        <w:pStyle w:val="ParaNum"/>
        <w:numPr>
          <w:ilvl w:val="0"/>
          <w:numId w:val="0"/>
        </w:numPr>
        <w:tabs>
          <w:tab w:val="right" w:pos="9360"/>
        </w:tabs>
        <w:spacing w:before="100" w:beforeAutospacing="1" w:after="100" w:afterAutospacing="1"/>
      </w:pPr>
      <w:r w:rsidRPr="002E2365">
        <w:t>Internal cost</w:t>
      </w:r>
      <w:r w:rsidR="005933A7" w:rsidRPr="002E2365">
        <w:t xml:space="preserve">: </w:t>
      </w:r>
      <w:r w:rsidR="00A840F6" w:rsidRPr="002E2365">
        <w:t xml:space="preserve"> $</w:t>
      </w:r>
      <w:r w:rsidR="00347569" w:rsidRPr="002E2365">
        <w:t>235,478</w:t>
      </w:r>
      <w:r w:rsidR="005933A7" w:rsidRPr="002E2365">
        <w:t xml:space="preserve"> = </w:t>
      </w:r>
      <w:r w:rsidR="004F72B0" w:rsidRPr="002E2365">
        <w:t>(</w:t>
      </w:r>
      <w:r w:rsidR="00347569" w:rsidRPr="002E2365">
        <w:t>2,184</w:t>
      </w:r>
      <w:r w:rsidR="004F72B0" w:rsidRPr="002E2365">
        <w:t xml:space="preserve"> hours x $69.97</w:t>
      </w:r>
      <w:r w:rsidR="00A840F6" w:rsidRPr="002E2365">
        <w:t xml:space="preserve"> attorney </w:t>
      </w:r>
      <w:r w:rsidRPr="002E2365">
        <w:t>= $</w:t>
      </w:r>
      <w:r w:rsidR="00347569" w:rsidRPr="002E2365">
        <w:t>152,814</w:t>
      </w:r>
      <w:r w:rsidR="004F72B0" w:rsidRPr="002E2365">
        <w:t>)</w:t>
      </w:r>
      <w:r w:rsidR="00A840F6" w:rsidRPr="002E2365">
        <w:t xml:space="preserve"> + (</w:t>
      </w:r>
      <w:r w:rsidR="00347569" w:rsidRPr="002E2365">
        <w:t>2,184</w:t>
      </w:r>
      <w:r w:rsidR="00A840F6" w:rsidRPr="002E2365">
        <w:t xml:space="preserve"> ho</w:t>
      </w:r>
      <w:r w:rsidR="004F72B0" w:rsidRPr="002E2365">
        <w:t>urs x $37.85 engineer = $</w:t>
      </w:r>
      <w:r w:rsidR="00347569" w:rsidRPr="002E2365">
        <w:t>82,664</w:t>
      </w:r>
      <w:r w:rsidR="004F72B0" w:rsidRPr="002E2365">
        <w:t>)</w:t>
      </w:r>
    </w:p>
    <w:p w14:paraId="138C55FC" w14:textId="77777777" w:rsidR="00821D14" w:rsidRPr="002E2365" w:rsidRDefault="00821D14" w:rsidP="00C97BFB">
      <w:pPr>
        <w:pStyle w:val="ParaNum"/>
        <w:numPr>
          <w:ilvl w:val="0"/>
          <w:numId w:val="0"/>
        </w:numPr>
        <w:tabs>
          <w:tab w:val="right" w:pos="9360"/>
        </w:tabs>
        <w:spacing w:before="100" w:beforeAutospacing="1" w:after="100" w:afterAutospacing="1"/>
        <w:rPr>
          <w:b/>
        </w:rPr>
      </w:pPr>
      <w:r w:rsidRPr="002E2365">
        <w:rPr>
          <w:b/>
        </w:rPr>
        <w:t>TOTAL NUMBER OF RESPONDENTS:</w:t>
      </w:r>
      <w:r w:rsidR="00E151F7" w:rsidRPr="002E2365">
        <w:rPr>
          <w:b/>
        </w:rPr>
        <w:t xml:space="preserve">  </w:t>
      </w:r>
      <w:r w:rsidR="00F66915" w:rsidRPr="002E2365">
        <w:rPr>
          <w:b/>
        </w:rPr>
        <w:t>254</w:t>
      </w:r>
      <w:r w:rsidR="00C95542" w:rsidRPr="002E2365">
        <w:rPr>
          <w:rStyle w:val="FootnoteReference"/>
          <w:b/>
        </w:rPr>
        <w:footnoteReference w:id="26"/>
      </w:r>
      <w:r w:rsidR="00C95542" w:rsidRPr="002E2365">
        <w:rPr>
          <w:b/>
        </w:rPr>
        <w:t xml:space="preserve"> </w:t>
      </w:r>
    </w:p>
    <w:p w14:paraId="09CB52DB" w14:textId="77777777" w:rsidR="00AC0583" w:rsidRPr="002E2365" w:rsidRDefault="00AC0583" w:rsidP="00C97BFB">
      <w:pPr>
        <w:pStyle w:val="ParaNum"/>
        <w:numPr>
          <w:ilvl w:val="0"/>
          <w:numId w:val="0"/>
        </w:numPr>
        <w:tabs>
          <w:tab w:val="right" w:pos="9360"/>
        </w:tabs>
        <w:spacing w:before="100" w:beforeAutospacing="1" w:after="100" w:afterAutospacing="1"/>
        <w:rPr>
          <w:b/>
        </w:rPr>
      </w:pPr>
      <w:r w:rsidRPr="002E2365">
        <w:rPr>
          <w:b/>
        </w:rPr>
        <w:t xml:space="preserve">TOTAL NUMBER OF RESPONSES:  </w:t>
      </w:r>
      <w:r w:rsidR="002F71A9" w:rsidRPr="002E2365">
        <w:rPr>
          <w:b/>
        </w:rPr>
        <w:t>7,798</w:t>
      </w:r>
    </w:p>
    <w:p w14:paraId="583658C6" w14:textId="77777777" w:rsidR="00DC1524" w:rsidRPr="002E2365" w:rsidRDefault="004F5E10" w:rsidP="00C97BFB">
      <w:pPr>
        <w:pStyle w:val="ParaNum"/>
        <w:numPr>
          <w:ilvl w:val="0"/>
          <w:numId w:val="0"/>
        </w:numPr>
        <w:tabs>
          <w:tab w:val="right" w:pos="9360"/>
        </w:tabs>
        <w:spacing w:before="100" w:beforeAutospacing="1" w:after="100" w:afterAutospacing="1"/>
        <w:rPr>
          <w:b/>
        </w:rPr>
      </w:pPr>
      <w:r w:rsidRPr="002E2365">
        <w:rPr>
          <w:b/>
        </w:rPr>
        <w:t>352+</w:t>
      </w:r>
      <w:r w:rsidR="001158C1" w:rsidRPr="002E2365">
        <w:rPr>
          <w:b/>
        </w:rPr>
        <w:t>T</w:t>
      </w:r>
      <w:r w:rsidR="00AC0583" w:rsidRPr="002E2365">
        <w:rPr>
          <w:b/>
        </w:rPr>
        <w:t>OTAL ANNUAL BURDEN HOURS: 14,35</w:t>
      </w:r>
      <w:r w:rsidR="00C3373F" w:rsidRPr="002E2365">
        <w:rPr>
          <w:b/>
        </w:rPr>
        <w:t>8</w:t>
      </w:r>
      <w:r w:rsidR="00AC0583" w:rsidRPr="002E2365">
        <w:rPr>
          <w:b/>
        </w:rPr>
        <w:t xml:space="preserve"> HOURS</w:t>
      </w:r>
    </w:p>
    <w:p w14:paraId="37F88D21" w14:textId="77777777" w:rsidR="00821D14" w:rsidRPr="002E2365" w:rsidRDefault="002F71A9" w:rsidP="00337EAD">
      <w:pPr>
        <w:pStyle w:val="ParaNum"/>
        <w:numPr>
          <w:ilvl w:val="0"/>
          <w:numId w:val="0"/>
        </w:numPr>
        <w:tabs>
          <w:tab w:val="left" w:pos="720"/>
          <w:tab w:val="left" w:pos="3600"/>
        </w:tabs>
        <w:spacing w:before="100" w:beforeAutospacing="1" w:after="100" w:afterAutospacing="1"/>
        <w:rPr>
          <w:b/>
          <w:bCs/>
        </w:rPr>
      </w:pPr>
      <w:r w:rsidRPr="002E2365">
        <w:rPr>
          <w:b/>
          <w:bCs/>
        </w:rPr>
        <w:t>TOTAL ANNUAL IN-HOUSE/INTERNAL COST</w:t>
      </w:r>
      <w:r w:rsidR="00821D14" w:rsidRPr="002E2365">
        <w:rPr>
          <w:b/>
          <w:bCs/>
        </w:rPr>
        <w:t>:</w:t>
      </w:r>
      <w:r w:rsidR="0008242A" w:rsidRPr="002E2365">
        <w:rPr>
          <w:b/>
          <w:bCs/>
        </w:rPr>
        <w:t xml:space="preserve"> $</w:t>
      </w:r>
      <w:r w:rsidR="00AC0583" w:rsidRPr="002E2365">
        <w:rPr>
          <w:b/>
          <w:bCs/>
        </w:rPr>
        <w:t>648,</w:t>
      </w:r>
      <w:r w:rsidR="00C3373F" w:rsidRPr="002E2365">
        <w:rPr>
          <w:b/>
          <w:bCs/>
        </w:rPr>
        <w:t>769</w:t>
      </w:r>
    </w:p>
    <w:p w14:paraId="554B05BA" w14:textId="77777777" w:rsidR="00337EAD" w:rsidRPr="002E2365" w:rsidRDefault="00337EAD" w:rsidP="00467305">
      <w:pPr>
        <w:pStyle w:val="ParaNum"/>
        <w:keepNext/>
        <w:numPr>
          <w:ilvl w:val="0"/>
          <w:numId w:val="0"/>
        </w:numPr>
        <w:spacing w:before="100" w:beforeAutospacing="1" w:after="100" w:afterAutospacing="1"/>
        <w:rPr>
          <w:b/>
        </w:rPr>
      </w:pPr>
      <w:r w:rsidRPr="002E2365">
        <w:rPr>
          <w:b/>
        </w:rPr>
        <w:t>13.</w:t>
      </w:r>
      <w:r w:rsidRPr="002E2365">
        <w:tab/>
      </w:r>
      <w:r w:rsidRPr="002E2365">
        <w:rPr>
          <w:b/>
        </w:rPr>
        <w:t>Annual Costs to the Respondent:</w:t>
      </w:r>
    </w:p>
    <w:p w14:paraId="3A278923" w14:textId="77777777" w:rsidR="00337EAD" w:rsidRPr="002E2365" w:rsidRDefault="00337EAD" w:rsidP="009A79C3">
      <w:pPr>
        <w:pStyle w:val="ParaNum"/>
        <w:keepNext/>
        <w:numPr>
          <w:ilvl w:val="0"/>
          <w:numId w:val="0"/>
        </w:numPr>
        <w:spacing w:before="100" w:beforeAutospacing="1" w:after="100" w:afterAutospacing="1"/>
        <w:rPr>
          <w:i/>
        </w:rPr>
      </w:pPr>
      <w:r w:rsidRPr="002E2365">
        <w:rPr>
          <w:b/>
        </w:rPr>
        <w:t>13-a.</w:t>
      </w:r>
      <w:r w:rsidRPr="002E2365">
        <w:tab/>
      </w:r>
      <w:r w:rsidRPr="002E2365">
        <w:rPr>
          <w:i/>
        </w:rPr>
        <w:t xml:space="preserve">Appraisals required under 47 C.F.R. §§ 27.1166(b)(1), 27.1182(a)(3) to register certain relocations with a clearinghouse.  </w:t>
      </w:r>
    </w:p>
    <w:p w14:paraId="19C4D204" w14:textId="77777777" w:rsidR="00337EAD" w:rsidRPr="002E2365" w:rsidRDefault="00337EAD" w:rsidP="00337EAD">
      <w:pPr>
        <w:pStyle w:val="ParaNum"/>
        <w:numPr>
          <w:ilvl w:val="0"/>
          <w:numId w:val="0"/>
        </w:numPr>
        <w:spacing w:before="100" w:beforeAutospacing="1" w:after="100" w:afterAutospacing="1"/>
      </w:pPr>
      <w:r w:rsidRPr="002E2365">
        <w:tab/>
        <w:t xml:space="preserve">-  </w:t>
      </w:r>
      <w:r w:rsidRPr="002E2365">
        <w:rPr>
          <w:i/>
          <w:u w:val="single"/>
        </w:rPr>
        <w:t>Appraisal for FS self-relocations</w:t>
      </w:r>
      <w:r w:rsidR="000C4756" w:rsidRPr="002E2365">
        <w:rPr>
          <w:u w:val="single"/>
        </w:rPr>
        <w:t>:</w:t>
      </w:r>
      <w:r w:rsidRPr="002E2365">
        <w:t xml:space="preserve">  We estimate that </w:t>
      </w:r>
      <w:r w:rsidR="00A75F3C" w:rsidRPr="002E2365">
        <w:t>60</w:t>
      </w:r>
      <w:r w:rsidRPr="002E2365">
        <w:t xml:space="preserve"> incumbent FS licensees will self-relocate </w:t>
      </w:r>
      <w:r w:rsidR="00A75F3C" w:rsidRPr="002E2365">
        <w:t>90</w:t>
      </w:r>
      <w:r w:rsidRPr="002E2365">
        <w:t xml:space="preserve"> FS links</w:t>
      </w:r>
      <w:r w:rsidR="009450EF" w:rsidRPr="002E2365">
        <w:t xml:space="preserve"> (see item 12-f)</w:t>
      </w:r>
      <w:r w:rsidRPr="002E2365">
        <w:t>.  When registering these relocations with a clearinghouse, self-relocators must include an appraisal, which we estimate will cost an average of $</w:t>
      </w:r>
      <w:r w:rsidR="00116785" w:rsidRPr="002E2365">
        <w:t>750</w:t>
      </w:r>
      <w:r w:rsidRPr="002E2365">
        <w:t xml:space="preserve"> (engineer/economist at 3 hrs. x $</w:t>
      </w:r>
      <w:r w:rsidR="00116785" w:rsidRPr="002E2365">
        <w:t>250</w:t>
      </w:r>
      <w:r w:rsidRPr="002E2365">
        <w:t xml:space="preserve">/hr.) for each of the self-relocations.  We are assuming an equal distribution of the </w:t>
      </w:r>
      <w:r w:rsidR="00A75F3C" w:rsidRPr="002E2365">
        <w:t>90</w:t>
      </w:r>
      <w:r w:rsidRPr="002E2365">
        <w:t xml:space="preserve"> FS appraisals among </w:t>
      </w:r>
      <w:r w:rsidR="00A75F3C" w:rsidRPr="002E2365">
        <w:t>60</w:t>
      </w:r>
      <w:r w:rsidRPr="002E2365">
        <w:t xml:space="preserve"> FS respondents, which works out to an average of </w:t>
      </w:r>
      <w:r w:rsidR="00A75F3C" w:rsidRPr="002E2365">
        <w:t>0.666</w:t>
      </w:r>
      <w:r w:rsidRPr="002E2365">
        <w:t xml:space="preserve"> appraisal per FS respondent</w:t>
      </w:r>
      <w:r w:rsidR="00C345DB" w:rsidRPr="002E2365">
        <w:t xml:space="preserve"> over the course of the</w:t>
      </w:r>
      <w:r w:rsidR="00A75F3C" w:rsidRPr="002E2365">
        <w:t xml:space="preserve"> three-year approval period, or 0.222</w:t>
      </w:r>
      <w:r w:rsidR="00C345DB" w:rsidRPr="002E2365">
        <w:t xml:space="preserve"> per year</w:t>
      </w:r>
      <w:r w:rsidRPr="002E2365">
        <w:t xml:space="preserve">.  </w:t>
      </w:r>
    </w:p>
    <w:p w14:paraId="2EB9B62D" w14:textId="77777777" w:rsidR="00337EAD" w:rsidRPr="002E2365" w:rsidRDefault="00337EAD" w:rsidP="00337EAD">
      <w:pPr>
        <w:pStyle w:val="ParaNum"/>
        <w:numPr>
          <w:ilvl w:val="0"/>
          <w:numId w:val="0"/>
        </w:numPr>
        <w:spacing w:before="100" w:beforeAutospacing="1" w:after="100" w:afterAutospacing="1"/>
      </w:pPr>
      <w:r w:rsidRPr="002E2365">
        <w:tab/>
      </w:r>
      <w:r w:rsidRPr="002E2365">
        <w:tab/>
      </w:r>
      <w:r w:rsidR="00A75F3C" w:rsidRPr="002E2365">
        <w:t>60</w:t>
      </w:r>
      <w:r w:rsidRPr="002E2365">
        <w:t xml:space="preserve"> respondents x </w:t>
      </w:r>
      <w:r w:rsidR="00A75F3C" w:rsidRPr="002E2365">
        <w:t>0.222</w:t>
      </w:r>
      <w:r w:rsidRPr="002E2365">
        <w:t xml:space="preserve"> appraisals each @ $</w:t>
      </w:r>
      <w:r w:rsidR="00116785" w:rsidRPr="002E2365">
        <w:t>750</w:t>
      </w:r>
      <w:r w:rsidRPr="002E2365">
        <w:t xml:space="preserve"> =</w:t>
      </w:r>
      <w:r w:rsidRPr="002E2365">
        <w:rPr>
          <w:b/>
        </w:rPr>
        <w:t xml:space="preserve"> $</w:t>
      </w:r>
      <w:r w:rsidR="00A75F3C" w:rsidRPr="002E2365">
        <w:rPr>
          <w:b/>
        </w:rPr>
        <w:t>9,990</w:t>
      </w:r>
    </w:p>
    <w:p w14:paraId="258EA435" w14:textId="77777777" w:rsidR="00337EAD" w:rsidRPr="002E2365" w:rsidRDefault="00337EAD" w:rsidP="00337EAD">
      <w:pPr>
        <w:pStyle w:val="ParaNum"/>
        <w:numPr>
          <w:ilvl w:val="0"/>
          <w:numId w:val="0"/>
        </w:numPr>
        <w:spacing w:before="100" w:beforeAutospacing="1" w:after="100" w:afterAutospacing="1"/>
      </w:pPr>
      <w:r w:rsidRPr="002E2365">
        <w:tab/>
        <w:t xml:space="preserve">-  </w:t>
      </w:r>
      <w:r w:rsidRPr="002E2365">
        <w:rPr>
          <w:i/>
          <w:u w:val="single"/>
        </w:rPr>
        <w:t xml:space="preserve">Appraisal for BRS </w:t>
      </w:r>
      <w:r w:rsidR="00A83963" w:rsidRPr="002E2365">
        <w:rPr>
          <w:i/>
          <w:u w:val="single"/>
        </w:rPr>
        <w:t>relocations</w:t>
      </w:r>
      <w:r w:rsidR="00A83963" w:rsidRPr="002E2365">
        <w:t xml:space="preserve"> BRS</w:t>
      </w:r>
      <w:r w:rsidRPr="002E2365">
        <w:t xml:space="preserve"> relocations can be registered without an appraisal if the AWS registrant agrees to certain conditions.  However, we are assuming that the relocators (AWS licensees) will submit appraisals for all </w:t>
      </w:r>
      <w:r w:rsidR="00A75F3C" w:rsidRPr="002E2365">
        <w:t>8</w:t>
      </w:r>
      <w:r w:rsidRPr="002E2365">
        <w:t xml:space="preserve"> BRS relocations and that each appraisal will cost an average of $</w:t>
      </w:r>
      <w:r w:rsidR="00116785" w:rsidRPr="002E2365">
        <w:t>1,500</w:t>
      </w:r>
      <w:r w:rsidRPr="002E2365">
        <w:t xml:space="preserve"> (engineer/economist at 6 hrs. x $</w:t>
      </w:r>
      <w:r w:rsidR="00116785" w:rsidRPr="002E2365">
        <w:t>250</w:t>
      </w:r>
      <w:r w:rsidRPr="002E2365">
        <w:t xml:space="preserve">/hr.).  We are assuming an equal distribution of the </w:t>
      </w:r>
      <w:r w:rsidR="00A75F3C" w:rsidRPr="002E2365">
        <w:t>8</w:t>
      </w:r>
      <w:r w:rsidR="00967A14" w:rsidRPr="002E2365">
        <w:t xml:space="preserve"> </w:t>
      </w:r>
      <w:r w:rsidRPr="002E2365">
        <w:t xml:space="preserve">BRS appraisals among the </w:t>
      </w:r>
      <w:r w:rsidR="00A75F3C" w:rsidRPr="002E2365">
        <w:t>4</w:t>
      </w:r>
      <w:r w:rsidR="00116785" w:rsidRPr="002E2365">
        <w:t xml:space="preserve"> </w:t>
      </w:r>
      <w:r w:rsidRPr="002E2365">
        <w:t xml:space="preserve">AWS licensees, which works out to an average of </w:t>
      </w:r>
      <w:r w:rsidR="00A75F3C" w:rsidRPr="002E2365">
        <w:t>2</w:t>
      </w:r>
      <w:r w:rsidRPr="002E2365">
        <w:t xml:space="preserve"> appraisals per respondent</w:t>
      </w:r>
      <w:r w:rsidR="00802AD4" w:rsidRPr="002E2365">
        <w:t xml:space="preserve"> </w:t>
      </w:r>
      <w:r w:rsidR="00A75F3C" w:rsidRPr="002E2365">
        <w:t>over the course of the three-year approval period, or 0.666 per year.</w:t>
      </w:r>
    </w:p>
    <w:p w14:paraId="6C3E4025" w14:textId="77777777" w:rsidR="00337EAD" w:rsidRPr="002E2365" w:rsidRDefault="00337EAD" w:rsidP="00337EAD">
      <w:pPr>
        <w:pStyle w:val="ParaNum"/>
        <w:numPr>
          <w:ilvl w:val="0"/>
          <w:numId w:val="0"/>
        </w:numPr>
        <w:spacing w:before="100" w:beforeAutospacing="1" w:after="100" w:afterAutospacing="1"/>
      </w:pPr>
      <w:r w:rsidRPr="002E2365">
        <w:tab/>
      </w:r>
      <w:r w:rsidRPr="002E2365">
        <w:tab/>
      </w:r>
      <w:r w:rsidR="00A75F3C" w:rsidRPr="002E2365">
        <w:t>4</w:t>
      </w:r>
      <w:r w:rsidRPr="002E2365">
        <w:t xml:space="preserve"> respondents x 0.</w:t>
      </w:r>
      <w:r w:rsidR="00A75F3C" w:rsidRPr="002E2365">
        <w:t>666</w:t>
      </w:r>
      <w:r w:rsidRPr="002E2365">
        <w:t xml:space="preserve"> responses</w:t>
      </w:r>
      <w:r w:rsidR="007F2F64" w:rsidRPr="002E2365">
        <w:t>/respondent/year</w:t>
      </w:r>
      <w:r w:rsidRPr="002E2365">
        <w:t xml:space="preserve"> x $</w:t>
      </w:r>
      <w:r w:rsidR="00116785" w:rsidRPr="002E2365">
        <w:t xml:space="preserve">1,500 </w:t>
      </w:r>
      <w:r w:rsidRPr="002E2365">
        <w:t>per response =</w:t>
      </w:r>
      <w:r w:rsidRPr="002E2365">
        <w:rPr>
          <w:b/>
        </w:rPr>
        <w:t xml:space="preserve"> $</w:t>
      </w:r>
      <w:r w:rsidR="00A75F3C" w:rsidRPr="002E2365">
        <w:rPr>
          <w:b/>
        </w:rPr>
        <w:t>3,996</w:t>
      </w:r>
    </w:p>
    <w:p w14:paraId="2B2FC2CE" w14:textId="77777777" w:rsidR="00337EAD" w:rsidRPr="002E2365" w:rsidRDefault="00337EAD" w:rsidP="00337EAD">
      <w:pPr>
        <w:pStyle w:val="ParaNum"/>
        <w:numPr>
          <w:ilvl w:val="0"/>
          <w:numId w:val="0"/>
        </w:numPr>
        <w:spacing w:before="100" w:beforeAutospacing="1" w:after="100" w:afterAutospacing="1"/>
      </w:pPr>
      <w:r w:rsidRPr="002E2365">
        <w:rPr>
          <w:b/>
        </w:rPr>
        <w:t>13-b.</w:t>
      </w:r>
      <w:r w:rsidRPr="002E2365">
        <w:tab/>
      </w:r>
      <w:r w:rsidRPr="002E2365">
        <w:rPr>
          <w:i/>
        </w:rPr>
        <w:t xml:space="preserve">Disclosures related to negotiation and relocation of BRS systems.  </w:t>
      </w:r>
      <w:r w:rsidRPr="002E2365">
        <w:t xml:space="preserve">In addition to the burdens discussed in paragraph 12-e, we estimate that </w:t>
      </w:r>
      <w:r w:rsidR="00A5144C" w:rsidRPr="002E2365">
        <w:t>2</w:t>
      </w:r>
      <w:r w:rsidRPr="002E2365">
        <w:t xml:space="preserve"> </w:t>
      </w:r>
      <w:r w:rsidR="00A5144C" w:rsidRPr="002E2365">
        <w:t xml:space="preserve">of the </w:t>
      </w:r>
      <w:r w:rsidR="00D65572" w:rsidRPr="002E2365">
        <w:t>4</w:t>
      </w:r>
      <w:r w:rsidR="00A5144C" w:rsidRPr="002E2365">
        <w:t xml:space="preserve"> </w:t>
      </w:r>
      <w:r w:rsidRPr="002E2365">
        <w:t>of the BRS respondents will retain legal counsel to assist in the negotiations</w:t>
      </w:r>
      <w:r w:rsidR="000C74DF" w:rsidRPr="002E2365">
        <w:t>,</w:t>
      </w:r>
      <w:r w:rsidRPr="002E2365">
        <w:t xml:space="preserve"> and that some of these costs will be attributable to the disclosure requirements.  We estimate these costs at up to $</w:t>
      </w:r>
      <w:r w:rsidR="00A5144C" w:rsidRPr="002E2365">
        <w:t>3</w:t>
      </w:r>
      <w:r w:rsidR="005C2E1A" w:rsidRPr="002E2365">
        <w:t>,</w:t>
      </w:r>
      <w:r w:rsidRPr="002E2365">
        <w:t>000 (attorney @ $</w:t>
      </w:r>
      <w:r w:rsidR="00A5144C" w:rsidRPr="002E2365">
        <w:t>300</w:t>
      </w:r>
      <w:r w:rsidRPr="002E2365">
        <w:t xml:space="preserve">/hr. x 10 </w:t>
      </w:r>
      <w:r w:rsidR="00C35EC3" w:rsidRPr="002E2365">
        <w:t>hrs.</w:t>
      </w:r>
      <w:r w:rsidRPr="002E2365">
        <w:t xml:space="preserve">) for each of </w:t>
      </w:r>
      <w:r w:rsidR="00D65572" w:rsidRPr="002E2365">
        <w:t>8</w:t>
      </w:r>
      <w:r w:rsidR="00A72F9D" w:rsidRPr="002E2365">
        <w:t xml:space="preserve"> </w:t>
      </w:r>
      <w:r w:rsidRPr="002E2365">
        <w:t>BRS systems subject to relocation</w:t>
      </w:r>
      <w:r w:rsidR="000C74DF" w:rsidRPr="002E2365">
        <w:t xml:space="preserve">. </w:t>
      </w:r>
      <w:r w:rsidR="000A7809" w:rsidRPr="002E2365">
        <w:t xml:space="preserve"> (</w:t>
      </w:r>
      <w:r w:rsidR="000C74DF" w:rsidRPr="002E2365">
        <w:t>B</w:t>
      </w:r>
      <w:r w:rsidR="000A7809" w:rsidRPr="002E2365">
        <w:t>ecause there are</w:t>
      </w:r>
      <w:r w:rsidR="002627A6" w:rsidRPr="002E2365">
        <w:t xml:space="preserve"> </w:t>
      </w:r>
      <w:r w:rsidR="00D65572" w:rsidRPr="002E2365">
        <w:t>8</w:t>
      </w:r>
      <w:r w:rsidR="000A7809" w:rsidRPr="002E2365">
        <w:t xml:space="preserve"> BRS licenses for </w:t>
      </w:r>
      <w:r w:rsidR="00D65572" w:rsidRPr="002E2365">
        <w:t>4</w:t>
      </w:r>
      <w:r w:rsidR="000A7809" w:rsidRPr="002E2365">
        <w:t xml:space="preserve"> licensees, with </w:t>
      </w:r>
      <w:r w:rsidR="00D65572" w:rsidRPr="002E2365">
        <w:t>six</w:t>
      </w:r>
      <w:r w:rsidR="000A7809" w:rsidRPr="002E2365">
        <w:t xml:space="preserve"> he</w:t>
      </w:r>
      <w:r w:rsidR="00D65572" w:rsidRPr="002E2365">
        <w:t>ld by one respondent alone and 2 held by the remaining three, we have taken the six</w:t>
      </w:r>
      <w:r w:rsidR="000A7809" w:rsidRPr="002E2365">
        <w:t xml:space="preserve"> licenses held by one BRS licensee and 1 license held by another licensee to arrive at </w:t>
      </w:r>
      <w:r w:rsidR="00D65572" w:rsidRPr="002E2365">
        <w:t>4</w:t>
      </w:r>
      <w:r w:rsidR="000A7809" w:rsidRPr="002E2365">
        <w:t xml:space="preserve"> licensees </w:t>
      </w:r>
      <w:r w:rsidR="009A0981" w:rsidRPr="002E2365">
        <w:t>and</w:t>
      </w:r>
      <w:r w:rsidR="000A7809" w:rsidRPr="002E2365">
        <w:t xml:space="preserve"> </w:t>
      </w:r>
      <w:r w:rsidR="00D65572" w:rsidRPr="002E2365">
        <w:t>8</w:t>
      </w:r>
      <w:r w:rsidR="000A7809" w:rsidRPr="002E2365">
        <w:t xml:space="preserve"> licenses</w:t>
      </w:r>
      <w:r w:rsidR="009A79C3" w:rsidRPr="002E2365">
        <w:t xml:space="preserve">, </w:t>
      </w:r>
      <w:r w:rsidR="00E75FEC" w:rsidRPr="002E2365">
        <w:t>an average of 0.5</w:t>
      </w:r>
      <w:r w:rsidR="009A79C3" w:rsidRPr="002E2365">
        <w:t xml:space="preserve"> licenses each</w:t>
      </w:r>
      <w:r w:rsidR="000C74DF" w:rsidRPr="002E2365">
        <w:t>.</w:t>
      </w:r>
      <w:r w:rsidR="000A7809" w:rsidRPr="002E2365">
        <w:t>)</w:t>
      </w:r>
      <w:r w:rsidRPr="002E2365">
        <w:t xml:space="preserve"> </w:t>
      </w:r>
      <w:r w:rsidR="000C74DF" w:rsidRPr="002E2365">
        <w:t xml:space="preserve"> </w:t>
      </w:r>
      <w:r w:rsidR="000A7809" w:rsidRPr="002E2365">
        <w:t>These values a</w:t>
      </w:r>
      <w:r w:rsidR="00802AD4" w:rsidRPr="002E2365">
        <w:t>verage</w:t>
      </w:r>
      <w:r w:rsidR="000A7809" w:rsidRPr="002E2365">
        <w:t xml:space="preserve"> to </w:t>
      </w:r>
      <w:r w:rsidR="0060420A" w:rsidRPr="002E2365">
        <w:t>0.</w:t>
      </w:r>
      <w:r w:rsidR="00D65572" w:rsidRPr="002E2365">
        <w:t>1666</w:t>
      </w:r>
      <w:r w:rsidR="000A7809" w:rsidRPr="002E2365">
        <w:t xml:space="preserve"> response per respondent</w:t>
      </w:r>
      <w:r w:rsidR="00802AD4" w:rsidRPr="002E2365">
        <w:t xml:space="preserve"> per year</w:t>
      </w:r>
      <w:r w:rsidR="009A79C3" w:rsidRPr="002E2365">
        <w:t xml:space="preserve"> (</w:t>
      </w:r>
      <w:r w:rsidR="00E75FEC" w:rsidRPr="002E2365">
        <w:t>0.5</w:t>
      </w:r>
      <w:r w:rsidR="009A79C3" w:rsidRPr="002E2365">
        <w:t xml:space="preserve"> licenses </w:t>
      </w:r>
      <w:r w:rsidR="004F62D9" w:rsidRPr="002E2365">
        <w:t xml:space="preserve">per licensee </w:t>
      </w:r>
      <w:r w:rsidR="009A79C3" w:rsidRPr="002E2365">
        <w:t>/ 3 years = 0.</w:t>
      </w:r>
      <w:r w:rsidR="00E75FEC" w:rsidRPr="002E2365">
        <w:t>1666</w:t>
      </w:r>
      <w:r w:rsidR="009A79C3" w:rsidRPr="002E2365">
        <w:t xml:space="preserve"> per year)</w:t>
      </w:r>
      <w:r w:rsidR="000A7809" w:rsidRPr="002E2365">
        <w:t>.</w:t>
      </w:r>
      <w:r w:rsidRPr="002E2365">
        <w:t xml:space="preserve"> </w:t>
      </w:r>
    </w:p>
    <w:p w14:paraId="625119F2" w14:textId="77777777" w:rsidR="00337EAD" w:rsidRPr="002E2365" w:rsidRDefault="00337EAD" w:rsidP="00337EAD">
      <w:pPr>
        <w:pStyle w:val="ParaNum"/>
        <w:numPr>
          <w:ilvl w:val="0"/>
          <w:numId w:val="0"/>
        </w:numPr>
        <w:spacing w:before="100" w:beforeAutospacing="1" w:after="100" w:afterAutospacing="1"/>
        <w:rPr>
          <w:b/>
        </w:rPr>
      </w:pPr>
      <w:r w:rsidRPr="002E2365">
        <w:tab/>
      </w:r>
      <w:r w:rsidRPr="002E2365">
        <w:tab/>
      </w:r>
      <w:r w:rsidR="00D65572" w:rsidRPr="002E2365">
        <w:t>4</w:t>
      </w:r>
      <w:r w:rsidRPr="002E2365">
        <w:t xml:space="preserve"> respondents x </w:t>
      </w:r>
      <w:r w:rsidR="0060420A" w:rsidRPr="002E2365">
        <w:t>0.</w:t>
      </w:r>
      <w:r w:rsidR="00E75FEC" w:rsidRPr="002E2365">
        <w:t>1666</w:t>
      </w:r>
      <w:r w:rsidRPr="002E2365">
        <w:t xml:space="preserve"> response</w:t>
      </w:r>
      <w:r w:rsidR="0060420A" w:rsidRPr="002E2365">
        <w:t>s</w:t>
      </w:r>
      <w:r w:rsidR="000A7809" w:rsidRPr="002E2365">
        <w:t>/respondent</w:t>
      </w:r>
      <w:r w:rsidR="000C74DF" w:rsidRPr="002E2365">
        <w:t>/year</w:t>
      </w:r>
      <w:r w:rsidRPr="002E2365">
        <w:t xml:space="preserve"> x $ </w:t>
      </w:r>
      <w:r w:rsidR="000A7809" w:rsidRPr="002E2365">
        <w:t>3</w:t>
      </w:r>
      <w:r w:rsidR="005C2E1A" w:rsidRPr="002E2365">
        <w:t>,</w:t>
      </w:r>
      <w:r w:rsidRPr="002E2365">
        <w:t xml:space="preserve">000 per response </w:t>
      </w:r>
      <w:r w:rsidRPr="002E2365">
        <w:rPr>
          <w:b/>
        </w:rPr>
        <w:t>= $</w:t>
      </w:r>
      <w:r w:rsidR="00E75FEC" w:rsidRPr="002E2365">
        <w:rPr>
          <w:b/>
        </w:rPr>
        <w:t>1,999</w:t>
      </w:r>
    </w:p>
    <w:p w14:paraId="5C5D5332" w14:textId="77777777" w:rsidR="00337EAD" w:rsidRPr="002E2365" w:rsidRDefault="00337EAD" w:rsidP="00337EAD">
      <w:pPr>
        <w:pStyle w:val="ParaNum"/>
        <w:numPr>
          <w:ilvl w:val="0"/>
          <w:numId w:val="0"/>
        </w:numPr>
        <w:spacing w:before="100" w:beforeAutospacing="1" w:after="100" w:afterAutospacing="1"/>
        <w:rPr>
          <w:bCs/>
          <w:i/>
        </w:rPr>
      </w:pPr>
      <w:r w:rsidRPr="002E2365">
        <w:rPr>
          <w:b/>
        </w:rPr>
        <w:t>13-</w:t>
      </w:r>
      <w:r w:rsidR="00B57FF2" w:rsidRPr="002E2365">
        <w:rPr>
          <w:b/>
        </w:rPr>
        <w:t>c</w:t>
      </w:r>
      <w:r w:rsidRPr="002E2365">
        <w:rPr>
          <w:b/>
        </w:rPr>
        <w:t>.</w:t>
      </w:r>
      <w:r w:rsidRPr="002E2365">
        <w:tab/>
      </w:r>
      <w:r w:rsidRPr="002E2365">
        <w:rPr>
          <w:bCs/>
          <w:i/>
        </w:rPr>
        <w:t xml:space="preserve">Disclosures by AWS-1 to Federal incumbents operating in the 1.7 GHz band.  </w:t>
      </w:r>
      <w:r w:rsidRPr="002E2365">
        <w:rPr>
          <w:bCs/>
        </w:rPr>
        <w:t>I</w:t>
      </w:r>
      <w:r w:rsidRPr="002E2365">
        <w:t xml:space="preserve">n addition to the burdens discussed in </w:t>
      </w:r>
      <w:r w:rsidR="00B57FF2" w:rsidRPr="002E2365">
        <w:t>item</w:t>
      </w:r>
      <w:r w:rsidRPr="002E2365">
        <w:t xml:space="preserve"> 12-m, we estimate that for </w:t>
      </w:r>
      <w:r w:rsidR="003425E5" w:rsidRPr="002E2365">
        <w:t>2,984</w:t>
      </w:r>
      <w:r w:rsidR="005B0736" w:rsidRPr="002E2365">
        <w:t xml:space="preserve"> </w:t>
      </w:r>
      <w:r w:rsidR="00733682" w:rsidRPr="002E2365">
        <w:t>AWS</w:t>
      </w:r>
      <w:r w:rsidR="00A72F9D" w:rsidRPr="002E2365">
        <w:t xml:space="preserve"> licenses</w:t>
      </w:r>
      <w:r w:rsidR="00D9705D" w:rsidRPr="002E2365">
        <w:t xml:space="preserve"> coordinated</w:t>
      </w:r>
      <w:r w:rsidR="00733682" w:rsidRPr="002E2365">
        <w:t>,</w:t>
      </w:r>
      <w:r w:rsidR="00A72F9D" w:rsidRPr="002E2365">
        <w:t xml:space="preserve"> </w:t>
      </w:r>
      <w:r w:rsidR="003425E5" w:rsidRPr="002E2365">
        <w:t>142</w:t>
      </w:r>
      <w:r w:rsidR="00733682" w:rsidRPr="002E2365">
        <w:t xml:space="preserve"> </w:t>
      </w:r>
      <w:r w:rsidRPr="002E2365">
        <w:t>AWS</w:t>
      </w:r>
      <w:r w:rsidR="000F693E" w:rsidRPr="002E2365">
        <w:t>-1</w:t>
      </w:r>
      <w:r w:rsidRPr="002E2365">
        <w:t xml:space="preserve"> </w:t>
      </w:r>
      <w:r w:rsidR="00D9705D" w:rsidRPr="002E2365">
        <w:t xml:space="preserve">and </w:t>
      </w:r>
      <w:r w:rsidR="003425E5" w:rsidRPr="002E2365">
        <w:t xml:space="preserve">37 </w:t>
      </w:r>
      <w:r w:rsidR="00D9705D" w:rsidRPr="002E2365">
        <w:t xml:space="preserve">AWS-3 </w:t>
      </w:r>
      <w:r w:rsidRPr="002E2365">
        <w:t xml:space="preserve">licensees will hire a consultant </w:t>
      </w:r>
      <w:r w:rsidR="00D9705D" w:rsidRPr="002E2365">
        <w:t xml:space="preserve">for up to </w:t>
      </w:r>
      <w:r w:rsidRPr="002E2365">
        <w:t>$</w:t>
      </w:r>
      <w:r w:rsidR="005B0736" w:rsidRPr="002E2365">
        <w:t>750</w:t>
      </w:r>
      <w:r w:rsidRPr="002E2365">
        <w:t xml:space="preserve"> (3 hrs. x $2</w:t>
      </w:r>
      <w:r w:rsidR="005B0736" w:rsidRPr="002E2365">
        <w:t>50</w:t>
      </w:r>
      <w:r w:rsidRPr="002E2365">
        <w:t xml:space="preserve"> per hr.) to assist in the coordination with Federal incumbents.  We are assuming an equal distribution of the </w:t>
      </w:r>
      <w:r w:rsidR="003425E5" w:rsidRPr="002E2365">
        <w:t>2,984</w:t>
      </w:r>
      <w:r w:rsidR="005B0736" w:rsidRPr="002E2365">
        <w:t xml:space="preserve"> </w:t>
      </w:r>
      <w:r w:rsidRPr="002E2365">
        <w:t xml:space="preserve">licenses among the </w:t>
      </w:r>
      <w:r w:rsidR="003425E5" w:rsidRPr="002E2365">
        <w:t>179</w:t>
      </w:r>
      <w:r w:rsidRPr="002E2365">
        <w:t xml:space="preserve"> licensees, which works out to an average of approximately </w:t>
      </w:r>
      <w:r w:rsidR="007B49A3" w:rsidRPr="002E2365">
        <w:t>16.67</w:t>
      </w:r>
      <w:r w:rsidR="00D9705D" w:rsidRPr="002E2365">
        <w:t xml:space="preserve"> responses per respondent, or </w:t>
      </w:r>
      <w:r w:rsidR="007B49A3" w:rsidRPr="002E2365">
        <w:t>5.6</w:t>
      </w:r>
      <w:r w:rsidR="00D9705D" w:rsidRPr="002E2365">
        <w:t xml:space="preserve"> per year</w:t>
      </w:r>
      <w:r w:rsidR="00ED5BAE" w:rsidRPr="002E2365">
        <w:t>.</w:t>
      </w:r>
    </w:p>
    <w:p w14:paraId="034D8FCB" w14:textId="77777777" w:rsidR="005663D8" w:rsidRPr="002E2365" w:rsidRDefault="007B49A3" w:rsidP="00337EAD">
      <w:pPr>
        <w:pStyle w:val="ParaNum"/>
        <w:numPr>
          <w:ilvl w:val="0"/>
          <w:numId w:val="0"/>
        </w:numPr>
        <w:tabs>
          <w:tab w:val="left" w:pos="1170"/>
          <w:tab w:val="right" w:pos="9360"/>
        </w:tabs>
        <w:spacing w:before="100" w:beforeAutospacing="1" w:after="100" w:afterAutospacing="1"/>
        <w:rPr>
          <w:b/>
        </w:rPr>
      </w:pPr>
      <w:r w:rsidRPr="002E2365">
        <w:t>179</w:t>
      </w:r>
      <w:r w:rsidR="00337EAD" w:rsidRPr="002E2365">
        <w:t xml:space="preserve"> respondents x </w:t>
      </w:r>
      <w:r w:rsidRPr="002E2365">
        <w:t>5.6</w:t>
      </w:r>
      <w:r w:rsidR="00337EAD" w:rsidRPr="002E2365">
        <w:t xml:space="preserve"> responses x $</w:t>
      </w:r>
      <w:r w:rsidR="005B0736" w:rsidRPr="002E2365">
        <w:t>750</w:t>
      </w:r>
      <w:r w:rsidR="00337EAD" w:rsidRPr="002E2365">
        <w:t xml:space="preserve"> per response </w:t>
      </w:r>
      <w:r w:rsidR="00337EAD" w:rsidRPr="002E2365">
        <w:rPr>
          <w:b/>
        </w:rPr>
        <w:t xml:space="preserve">= $ </w:t>
      </w:r>
      <w:r w:rsidRPr="002E2365">
        <w:rPr>
          <w:b/>
        </w:rPr>
        <w:t>751,800</w:t>
      </w:r>
    </w:p>
    <w:p w14:paraId="5191FE11" w14:textId="77777777" w:rsidR="003C0A8A" w:rsidRPr="002E2365" w:rsidRDefault="00337EAD" w:rsidP="00337EAD">
      <w:pPr>
        <w:pStyle w:val="ParaNum"/>
        <w:numPr>
          <w:ilvl w:val="0"/>
          <w:numId w:val="0"/>
        </w:numPr>
        <w:tabs>
          <w:tab w:val="left" w:pos="1170"/>
          <w:tab w:val="right" w:pos="9360"/>
        </w:tabs>
        <w:spacing w:before="100" w:beforeAutospacing="1" w:after="100" w:afterAutospacing="1"/>
        <w:rPr>
          <w:b/>
        </w:rPr>
      </w:pPr>
      <w:r w:rsidRPr="002E2365">
        <w:rPr>
          <w:b/>
        </w:rPr>
        <w:t xml:space="preserve">TOTAL ANNUAL (External) RESPONDENT COST:  </w:t>
      </w:r>
    </w:p>
    <w:p w14:paraId="68CCA92B" w14:textId="77777777" w:rsidR="00337EAD" w:rsidRPr="002E2365" w:rsidRDefault="00337EAD" w:rsidP="00337EAD">
      <w:pPr>
        <w:pStyle w:val="ParaNum"/>
        <w:numPr>
          <w:ilvl w:val="0"/>
          <w:numId w:val="0"/>
        </w:numPr>
        <w:tabs>
          <w:tab w:val="left" w:pos="1170"/>
          <w:tab w:val="right" w:pos="9360"/>
        </w:tabs>
        <w:spacing w:before="100" w:beforeAutospacing="1" w:after="100" w:afterAutospacing="1"/>
        <w:rPr>
          <w:b/>
        </w:rPr>
      </w:pPr>
      <w:r w:rsidRPr="002E2365">
        <w:rPr>
          <w:b/>
        </w:rPr>
        <w:t>$</w:t>
      </w:r>
      <w:r w:rsidR="003C0A8A" w:rsidRPr="002E2365">
        <w:rPr>
          <w:b/>
        </w:rPr>
        <w:t>9,990</w:t>
      </w:r>
      <w:r w:rsidRPr="002E2365">
        <w:rPr>
          <w:b/>
        </w:rPr>
        <w:t xml:space="preserve"> + $</w:t>
      </w:r>
      <w:r w:rsidR="003C0A8A" w:rsidRPr="002E2365">
        <w:rPr>
          <w:b/>
        </w:rPr>
        <w:t>3,996</w:t>
      </w:r>
      <w:r w:rsidRPr="002E2365">
        <w:rPr>
          <w:b/>
        </w:rPr>
        <w:t xml:space="preserve"> + $</w:t>
      </w:r>
      <w:r w:rsidR="003C0A8A" w:rsidRPr="002E2365">
        <w:rPr>
          <w:b/>
        </w:rPr>
        <w:t>1,999</w:t>
      </w:r>
      <w:r w:rsidRPr="002E2365">
        <w:rPr>
          <w:b/>
        </w:rPr>
        <w:t xml:space="preserve"> + $</w:t>
      </w:r>
      <w:r w:rsidR="004D3494" w:rsidRPr="002E2365">
        <w:rPr>
          <w:b/>
        </w:rPr>
        <w:t xml:space="preserve">751,800 </w:t>
      </w:r>
      <w:r w:rsidRPr="002E2365">
        <w:rPr>
          <w:b/>
        </w:rPr>
        <w:t>= $</w:t>
      </w:r>
      <w:r w:rsidR="003C0A8A" w:rsidRPr="002E2365">
        <w:rPr>
          <w:b/>
        </w:rPr>
        <w:t>767,785</w:t>
      </w:r>
      <w:r w:rsidRPr="002E2365">
        <w:rPr>
          <w:b/>
        </w:rPr>
        <w:t>.</w:t>
      </w:r>
    </w:p>
    <w:p w14:paraId="0E82C30C" w14:textId="77777777" w:rsidR="00337EAD" w:rsidRPr="002E2365" w:rsidRDefault="00337EAD" w:rsidP="00337EAD">
      <w:pPr>
        <w:pStyle w:val="ParaNum"/>
        <w:numPr>
          <w:ilvl w:val="0"/>
          <w:numId w:val="0"/>
        </w:numPr>
        <w:spacing w:before="100" w:beforeAutospacing="1" w:after="100" w:afterAutospacing="1"/>
      </w:pPr>
      <w:r w:rsidRPr="002E2365">
        <w:rPr>
          <w:b/>
        </w:rPr>
        <w:t>14.</w:t>
      </w:r>
      <w:r w:rsidRPr="002E2365">
        <w:tab/>
      </w:r>
      <w:r w:rsidRPr="002E2365">
        <w:rPr>
          <w:b/>
        </w:rPr>
        <w:t>Government Costs:</w:t>
      </w:r>
    </w:p>
    <w:p w14:paraId="49815077" w14:textId="77777777" w:rsidR="00337EAD" w:rsidRPr="002E2365" w:rsidRDefault="00337EAD" w:rsidP="00337EAD">
      <w:pPr>
        <w:pStyle w:val="ParaNum"/>
        <w:numPr>
          <w:ilvl w:val="0"/>
          <w:numId w:val="0"/>
        </w:numPr>
        <w:spacing w:before="100" w:beforeAutospacing="1" w:after="100" w:afterAutospacing="1"/>
      </w:pPr>
      <w:r w:rsidRPr="002E2365">
        <w:rPr>
          <w:b/>
        </w:rPr>
        <w:t>14-a.</w:t>
      </w:r>
      <w:r w:rsidRPr="002E2365">
        <w:tab/>
      </w:r>
      <w:r w:rsidRPr="002E2365">
        <w:rPr>
          <w:i/>
        </w:rPr>
        <w:t>Foreign ownership notifications</w:t>
      </w:r>
      <w:r w:rsidRPr="002E2365">
        <w:t xml:space="preserve">.  We estimate that the cost to the Commission is for a GS 7 </w:t>
      </w:r>
      <w:r w:rsidR="005B0736" w:rsidRPr="002E2365">
        <w:t>Step 5</w:t>
      </w:r>
      <w:r w:rsidR="007B49A3" w:rsidRPr="002E2365">
        <w:rPr>
          <w:rStyle w:val="FootnoteReference"/>
        </w:rPr>
        <w:footnoteReference w:id="27"/>
      </w:r>
      <w:r w:rsidR="005B0736" w:rsidRPr="002E2365">
        <w:t xml:space="preserve"> </w:t>
      </w:r>
      <w:r w:rsidRPr="002E2365">
        <w:t>legal instrument examiner at $</w:t>
      </w:r>
      <w:r w:rsidR="007B49A3" w:rsidRPr="002E2365">
        <w:t>24.41</w:t>
      </w:r>
      <w:r w:rsidRPr="002E2365">
        <w:t xml:space="preserve"> per hour to take 0.25 hrs. to review each of the 10 foreign ownership change submissions that might be filed</w:t>
      </w:r>
      <w:r w:rsidR="00ED5BAE" w:rsidRPr="002E2365">
        <w:t xml:space="preserve"> annually</w:t>
      </w:r>
      <w:r w:rsidRPr="002E2365">
        <w:t xml:space="preserve">.   </w:t>
      </w:r>
    </w:p>
    <w:p w14:paraId="00F8CC69" w14:textId="77777777" w:rsidR="00337EAD" w:rsidRPr="002E2365" w:rsidRDefault="00337EAD" w:rsidP="00337EAD">
      <w:pPr>
        <w:pStyle w:val="ParaNum"/>
        <w:numPr>
          <w:ilvl w:val="0"/>
          <w:numId w:val="0"/>
        </w:numPr>
        <w:spacing w:before="100" w:beforeAutospacing="1" w:after="100" w:afterAutospacing="1"/>
        <w:rPr>
          <w:b/>
        </w:rPr>
      </w:pPr>
      <w:r w:rsidRPr="002E2365">
        <w:rPr>
          <w:b/>
        </w:rPr>
        <w:tab/>
      </w:r>
      <w:r w:rsidRPr="002E2365">
        <w:t>Annual cost:  $</w:t>
      </w:r>
      <w:r w:rsidR="007B49A3" w:rsidRPr="002E2365">
        <w:t>24.41</w:t>
      </w:r>
      <w:r w:rsidRPr="002E2365">
        <w:t xml:space="preserve"> x </w:t>
      </w:r>
      <w:r w:rsidR="004C1F05" w:rsidRPr="002E2365">
        <w:t>0</w:t>
      </w:r>
      <w:r w:rsidRPr="002E2365">
        <w:t xml:space="preserve">.25 </w:t>
      </w:r>
      <w:r w:rsidR="00C35EC3" w:rsidRPr="002E2365">
        <w:t>hrs.</w:t>
      </w:r>
      <w:r w:rsidRPr="002E2365">
        <w:t xml:space="preserve"> x 10 foreign ownership change submissions = </w:t>
      </w:r>
      <w:r w:rsidRPr="002E2365">
        <w:rPr>
          <w:b/>
        </w:rPr>
        <w:t>$</w:t>
      </w:r>
      <w:r w:rsidR="00816CA3" w:rsidRPr="002E2365">
        <w:rPr>
          <w:b/>
        </w:rPr>
        <w:t>61</w:t>
      </w:r>
      <w:r w:rsidRPr="002E2365">
        <w:t>.</w:t>
      </w:r>
    </w:p>
    <w:p w14:paraId="63C69030" w14:textId="77777777" w:rsidR="00337EAD" w:rsidRPr="002E2365" w:rsidRDefault="00337EAD" w:rsidP="00337EAD">
      <w:pPr>
        <w:pStyle w:val="ParaNum"/>
        <w:numPr>
          <w:ilvl w:val="0"/>
          <w:numId w:val="0"/>
        </w:numPr>
        <w:spacing w:before="100" w:beforeAutospacing="1" w:after="100" w:afterAutospacing="1"/>
        <w:rPr>
          <w:b/>
          <w:u w:val="single"/>
        </w:rPr>
      </w:pPr>
      <w:r w:rsidRPr="002E2365">
        <w:rPr>
          <w:b/>
        </w:rPr>
        <w:t>14-b.</w:t>
      </w:r>
      <w:r w:rsidRPr="002E2365">
        <w:tab/>
      </w:r>
      <w:r w:rsidR="00FC035C" w:rsidRPr="002E2365">
        <w:rPr>
          <w:i/>
        </w:rPr>
        <w:t>Buildout</w:t>
      </w:r>
      <w:r w:rsidRPr="002E2365">
        <w:rPr>
          <w:i/>
        </w:rPr>
        <w:t xml:space="preserve"> showings</w:t>
      </w:r>
      <w:r w:rsidR="00FC035C" w:rsidRPr="002E2365">
        <w:rPr>
          <w:i/>
        </w:rPr>
        <w:t xml:space="preserve">.  </w:t>
      </w:r>
      <w:r w:rsidRPr="002E2365">
        <w:t xml:space="preserve">We estimate that the Commission would assign a GS 12 </w:t>
      </w:r>
      <w:r w:rsidR="005B0736" w:rsidRPr="002E2365">
        <w:t xml:space="preserve">Step 5 </w:t>
      </w:r>
      <w:r w:rsidRPr="002E2365">
        <w:t>engineer at $</w:t>
      </w:r>
      <w:r w:rsidR="00D66D41" w:rsidRPr="002E2365">
        <w:t>43.29</w:t>
      </w:r>
      <w:r w:rsidRPr="002E2365">
        <w:t xml:space="preserve"> per hour to review </w:t>
      </w:r>
      <w:r w:rsidR="00FC035C" w:rsidRPr="002E2365">
        <w:t>the interim buildout</w:t>
      </w:r>
      <w:r w:rsidRPr="002E2365">
        <w:t xml:space="preserve"> showings filed by </w:t>
      </w:r>
      <w:r w:rsidR="004C77FD" w:rsidRPr="002E2365">
        <w:t>the 142</w:t>
      </w:r>
      <w:r w:rsidRPr="002E2365">
        <w:t xml:space="preserve"> AWS-</w:t>
      </w:r>
      <w:r w:rsidR="004C77FD" w:rsidRPr="002E2365">
        <w:t>1 and 37 AWS-3</w:t>
      </w:r>
      <w:r w:rsidRPr="002E2365">
        <w:t xml:space="preserve"> licensees </w:t>
      </w:r>
      <w:r w:rsidR="00FC035C" w:rsidRPr="002E2365">
        <w:t>(</w:t>
      </w:r>
      <w:r w:rsidR="00FC035C" w:rsidRPr="002E2365">
        <w:rPr>
          <w:i/>
        </w:rPr>
        <w:t>i.e.</w:t>
      </w:r>
      <w:r w:rsidR="004C77FD" w:rsidRPr="002E2365">
        <w:t>, 19</w:t>
      </w:r>
      <w:r w:rsidR="00FC035C" w:rsidRPr="002E2365">
        <w:t xml:space="preserve"> per year</w:t>
      </w:r>
      <w:r w:rsidR="00ED5BAE" w:rsidRPr="002E2365">
        <w:t>; see item 12-b</w:t>
      </w:r>
      <w:r w:rsidR="00FC035C" w:rsidRPr="002E2365">
        <w:t xml:space="preserve">), </w:t>
      </w:r>
      <w:r w:rsidRPr="002E2365">
        <w:t xml:space="preserve">and that each review would take an average of about two hours.  </w:t>
      </w:r>
      <w:r w:rsidRPr="002E2365">
        <w:tab/>
        <w:t xml:space="preserve"> </w:t>
      </w:r>
    </w:p>
    <w:p w14:paraId="53967C8C" w14:textId="77777777" w:rsidR="00337EAD" w:rsidRPr="002E2365" w:rsidRDefault="00337EAD" w:rsidP="00337EAD">
      <w:pPr>
        <w:pStyle w:val="ParaNum"/>
        <w:numPr>
          <w:ilvl w:val="0"/>
          <w:numId w:val="0"/>
        </w:numPr>
        <w:spacing w:before="100" w:beforeAutospacing="1" w:after="100" w:afterAutospacing="1"/>
      </w:pPr>
      <w:r w:rsidRPr="002E2365">
        <w:tab/>
        <w:t>Annual cost:  $</w:t>
      </w:r>
      <w:r w:rsidR="00D66D41" w:rsidRPr="002E2365">
        <w:t>43.29</w:t>
      </w:r>
      <w:r w:rsidRPr="002E2365">
        <w:t xml:space="preserve"> x 2 hrs. per review x </w:t>
      </w:r>
      <w:r w:rsidR="004C77FD" w:rsidRPr="002E2365">
        <w:t>19</w:t>
      </w:r>
      <w:r w:rsidRPr="002E2365">
        <w:t xml:space="preserve"> showings = $</w:t>
      </w:r>
      <w:r w:rsidR="004C77FD" w:rsidRPr="002E2365">
        <w:rPr>
          <w:b/>
        </w:rPr>
        <w:t>1,645</w:t>
      </w:r>
    </w:p>
    <w:p w14:paraId="4F34D682" w14:textId="77777777" w:rsidR="00337EAD" w:rsidRPr="002E2365" w:rsidRDefault="00337EAD" w:rsidP="00337EAD">
      <w:pPr>
        <w:pStyle w:val="ParaNum"/>
        <w:numPr>
          <w:ilvl w:val="0"/>
          <w:numId w:val="0"/>
        </w:numPr>
        <w:spacing w:before="100" w:beforeAutospacing="1" w:after="100" w:afterAutospacing="1"/>
        <w:rPr>
          <w:strike/>
        </w:rPr>
      </w:pPr>
      <w:r w:rsidRPr="002E2365">
        <w:rPr>
          <w:b/>
        </w:rPr>
        <w:t>14-c.</w:t>
      </w:r>
      <w:r w:rsidRPr="002E2365">
        <w:tab/>
      </w:r>
      <w:r w:rsidRPr="002E2365">
        <w:rPr>
          <w:i/>
        </w:rPr>
        <w:t xml:space="preserve">Clearinghouses.  </w:t>
      </w:r>
      <w:r w:rsidRPr="002E2365">
        <w:t>The FCC will incur costs for review of plans, periodic and special reports, and other submissions made by the clearinghouses</w:t>
      </w:r>
      <w:r w:rsidR="00FC035C" w:rsidRPr="002E2365">
        <w:t xml:space="preserve"> (see item 12-k)</w:t>
      </w:r>
      <w:r w:rsidRPr="002E2365">
        <w:t xml:space="preserve">. For these reports, we estimate that the cost to the Commission will be as follows:  GS-12 </w:t>
      </w:r>
      <w:r w:rsidR="00094622" w:rsidRPr="002E2365">
        <w:t xml:space="preserve">Step 5 </w:t>
      </w:r>
      <w:r w:rsidRPr="002E2365">
        <w:t>analyst at $</w:t>
      </w:r>
      <w:r w:rsidR="00D66D41" w:rsidRPr="002E2365">
        <w:t>43.29</w:t>
      </w:r>
      <w:r w:rsidRPr="002E2365">
        <w:t xml:space="preserve"> per hour to take one hour per report with </w:t>
      </w:r>
      <w:r w:rsidR="00E9203F" w:rsidRPr="002E2365">
        <w:t>10</w:t>
      </w:r>
      <w:r w:rsidRPr="002E2365">
        <w:t xml:space="preserve"> reports per year (</w:t>
      </w:r>
      <w:r w:rsidR="00FC035C" w:rsidRPr="002E2365">
        <w:t>5</w:t>
      </w:r>
      <w:r w:rsidRPr="002E2365">
        <w:t xml:space="preserve"> reports filed by </w:t>
      </w:r>
      <w:r w:rsidR="00FC035C" w:rsidRPr="002E2365">
        <w:t>2</w:t>
      </w:r>
      <w:r w:rsidRPr="002E2365">
        <w:t xml:space="preserve"> clearinghouses).  </w:t>
      </w:r>
      <w:r w:rsidRPr="002E2365">
        <w:tab/>
      </w:r>
    </w:p>
    <w:p w14:paraId="3916164A" w14:textId="77777777" w:rsidR="00337EAD" w:rsidRPr="002E2365" w:rsidRDefault="00337EAD" w:rsidP="00337EAD">
      <w:pPr>
        <w:pStyle w:val="ParaNum"/>
        <w:numPr>
          <w:ilvl w:val="0"/>
          <w:numId w:val="0"/>
        </w:numPr>
        <w:spacing w:before="100" w:beforeAutospacing="1" w:after="100" w:afterAutospacing="1"/>
      </w:pPr>
      <w:r w:rsidRPr="002E2365">
        <w:tab/>
        <w:t>Annual cost:   $</w:t>
      </w:r>
      <w:r w:rsidR="00D66D41" w:rsidRPr="002E2365">
        <w:t>43.29</w:t>
      </w:r>
      <w:r w:rsidRPr="002E2365">
        <w:t xml:space="preserve"> x 1 hr. per report x </w:t>
      </w:r>
      <w:r w:rsidR="00FC035C" w:rsidRPr="002E2365">
        <w:t>10</w:t>
      </w:r>
      <w:r w:rsidRPr="002E2365">
        <w:t xml:space="preserve"> reports per year = $</w:t>
      </w:r>
      <w:r w:rsidR="00D66D41" w:rsidRPr="002E2365">
        <w:rPr>
          <w:b/>
        </w:rPr>
        <w:t>433</w:t>
      </w:r>
      <w:r w:rsidRPr="002E2365">
        <w:t xml:space="preserve">. </w:t>
      </w:r>
    </w:p>
    <w:p w14:paraId="1F61DF4A" w14:textId="77777777" w:rsidR="00337EAD" w:rsidRPr="002E2365" w:rsidRDefault="00337EAD" w:rsidP="00337EAD">
      <w:pPr>
        <w:pStyle w:val="ParaNum"/>
        <w:numPr>
          <w:ilvl w:val="0"/>
          <w:numId w:val="0"/>
        </w:numPr>
        <w:spacing w:before="100" w:beforeAutospacing="1" w:after="100" w:afterAutospacing="1"/>
        <w:rPr>
          <w:b/>
          <w:u w:val="single"/>
        </w:rPr>
      </w:pPr>
      <w:r w:rsidRPr="002E2365">
        <w:rPr>
          <w:b/>
        </w:rPr>
        <w:t>Total cost to the government:  $</w:t>
      </w:r>
      <w:r w:rsidR="00D66D41" w:rsidRPr="002E2365">
        <w:rPr>
          <w:b/>
        </w:rPr>
        <w:t>61</w:t>
      </w:r>
      <w:r w:rsidRPr="002E2365">
        <w:rPr>
          <w:b/>
        </w:rPr>
        <w:t xml:space="preserve"> + </w:t>
      </w:r>
      <w:r w:rsidR="00A73870" w:rsidRPr="002E2365">
        <w:rPr>
          <w:b/>
        </w:rPr>
        <w:t>$</w:t>
      </w:r>
      <w:r w:rsidR="004C77FD" w:rsidRPr="002E2365">
        <w:rPr>
          <w:b/>
        </w:rPr>
        <w:t>1,645</w:t>
      </w:r>
      <w:r w:rsidRPr="002E2365">
        <w:rPr>
          <w:b/>
        </w:rPr>
        <w:t xml:space="preserve"> + </w:t>
      </w:r>
      <w:r w:rsidR="00A73870" w:rsidRPr="002E2365">
        <w:rPr>
          <w:b/>
        </w:rPr>
        <w:t>$</w:t>
      </w:r>
      <w:r w:rsidR="00FC035C" w:rsidRPr="002E2365">
        <w:rPr>
          <w:b/>
        </w:rPr>
        <w:t>4</w:t>
      </w:r>
      <w:r w:rsidR="00D66D41" w:rsidRPr="002E2365">
        <w:rPr>
          <w:b/>
        </w:rPr>
        <w:t>33</w:t>
      </w:r>
      <w:r w:rsidR="00EE26B2" w:rsidRPr="002E2365">
        <w:rPr>
          <w:b/>
        </w:rPr>
        <w:t xml:space="preserve"> </w:t>
      </w:r>
      <w:r w:rsidRPr="002E2365">
        <w:rPr>
          <w:b/>
        </w:rPr>
        <w:t>= $</w:t>
      </w:r>
      <w:r w:rsidR="004C77FD" w:rsidRPr="002E2365">
        <w:rPr>
          <w:b/>
        </w:rPr>
        <w:t>2,139</w:t>
      </w:r>
      <w:r w:rsidRPr="002E2365">
        <w:rPr>
          <w:b/>
        </w:rPr>
        <w:t>.</w:t>
      </w:r>
    </w:p>
    <w:p w14:paraId="08BFDB86" w14:textId="0C1CA029" w:rsidR="00FA5150" w:rsidRPr="002E2365" w:rsidRDefault="00337EAD" w:rsidP="00337EAD">
      <w:pPr>
        <w:pStyle w:val="ParaNum"/>
        <w:numPr>
          <w:ilvl w:val="0"/>
          <w:numId w:val="0"/>
        </w:numPr>
        <w:spacing w:before="100" w:beforeAutospacing="1" w:after="100" w:afterAutospacing="1"/>
      </w:pPr>
      <w:r w:rsidRPr="002E2365">
        <w:rPr>
          <w:b/>
        </w:rPr>
        <w:t xml:space="preserve">15.  </w:t>
      </w:r>
      <w:r w:rsidR="00A57DCA" w:rsidRPr="002E2365">
        <w:t>The</w:t>
      </w:r>
      <w:r w:rsidR="00A57DCA" w:rsidRPr="002E2365">
        <w:rPr>
          <w:b/>
        </w:rPr>
        <w:t xml:space="preserve"> </w:t>
      </w:r>
      <w:r w:rsidR="00FA5150" w:rsidRPr="002E2365">
        <w:t>Commission ha</w:t>
      </w:r>
      <w:r w:rsidR="000F18ED" w:rsidRPr="002E2365">
        <w:t>s</w:t>
      </w:r>
      <w:r w:rsidR="00FA5150" w:rsidRPr="002E2365">
        <w:t xml:space="preserve"> adjustments to this collection which are due </w:t>
      </w:r>
      <w:r w:rsidR="000F18ED" w:rsidRPr="002E2365">
        <w:t xml:space="preserve">the Commission </w:t>
      </w:r>
      <w:r w:rsidR="009A473F" w:rsidRPr="002E2365">
        <w:t>adjusting estimates of the currently approved information collection to more accurately reflect our current estimates by decreasing some estimates and adding estimates for previously reported, periodic collections that will be active during the three-year approval period.  Therefore, the adjustments are as follows:</w:t>
      </w:r>
      <w:r w:rsidR="00FA5150" w:rsidRPr="002E2365">
        <w:t xml:space="preserve">  </w:t>
      </w:r>
      <w:r w:rsidR="00A7588B" w:rsidRPr="002E2365">
        <w:t>de</w:t>
      </w:r>
      <w:r w:rsidR="00FA5150" w:rsidRPr="002E2365">
        <w:t>crease</w:t>
      </w:r>
      <w:r w:rsidR="000F18ED" w:rsidRPr="002E2365">
        <w:t>s</w:t>
      </w:r>
      <w:r w:rsidR="00FA5150" w:rsidRPr="002E2365">
        <w:t xml:space="preserve"> of </w:t>
      </w:r>
      <w:r w:rsidR="00A7588B" w:rsidRPr="002E2365">
        <w:t>139</w:t>
      </w:r>
      <w:r w:rsidR="00FA5150" w:rsidRPr="002E2365">
        <w:t xml:space="preserve"> to the </w:t>
      </w:r>
      <w:r w:rsidR="00A7588B" w:rsidRPr="002E2365">
        <w:t xml:space="preserve">number of </w:t>
      </w:r>
      <w:r w:rsidR="005E2603" w:rsidRPr="002E2365">
        <w:t>respondents, decreases of 75,707</w:t>
      </w:r>
      <w:r w:rsidR="00A7588B" w:rsidRPr="002E2365">
        <w:t xml:space="preserve"> to the </w:t>
      </w:r>
      <w:r w:rsidR="00FA5150" w:rsidRPr="002E2365">
        <w:t>annual number of responses, decrease</w:t>
      </w:r>
      <w:r w:rsidR="000F18ED" w:rsidRPr="002E2365">
        <w:t>s</w:t>
      </w:r>
      <w:r w:rsidR="00FA5150" w:rsidRPr="002E2365">
        <w:t xml:space="preserve"> of </w:t>
      </w:r>
      <w:r w:rsidR="005E2603" w:rsidRPr="002E2365">
        <w:t>10,059</w:t>
      </w:r>
      <w:r w:rsidR="00FA5150" w:rsidRPr="002E2365">
        <w:t xml:space="preserve"> t</w:t>
      </w:r>
      <w:r w:rsidR="00A7588B" w:rsidRPr="002E2365">
        <w:t>o the annual burden hours and in</w:t>
      </w:r>
      <w:r w:rsidR="00FA5150" w:rsidRPr="002E2365">
        <w:t>crease</w:t>
      </w:r>
      <w:r w:rsidR="000F18ED" w:rsidRPr="002E2365">
        <w:t>s</w:t>
      </w:r>
      <w:r w:rsidR="00FA5150" w:rsidRPr="002E2365">
        <w:t xml:space="preserve"> of $</w:t>
      </w:r>
      <w:r w:rsidR="00A7588B" w:rsidRPr="002E2365">
        <w:t>259,665</w:t>
      </w:r>
      <w:r w:rsidR="00C75A8C" w:rsidRPr="002E2365">
        <w:t xml:space="preserve"> to the annual cost burden</w:t>
      </w:r>
      <w:r w:rsidR="00FA5150" w:rsidRPr="002E2365">
        <w:t>.</w:t>
      </w:r>
    </w:p>
    <w:p w14:paraId="43555BA7" w14:textId="77777777" w:rsidR="00337EAD" w:rsidRPr="002E2365" w:rsidRDefault="00337EAD" w:rsidP="00337EAD">
      <w:pPr>
        <w:pStyle w:val="ParaNum"/>
        <w:numPr>
          <w:ilvl w:val="0"/>
          <w:numId w:val="0"/>
        </w:numPr>
        <w:spacing w:before="100" w:beforeAutospacing="1" w:after="100" w:afterAutospacing="1"/>
      </w:pPr>
      <w:r w:rsidRPr="002E2365">
        <w:rPr>
          <w:b/>
        </w:rPr>
        <w:t>16.</w:t>
      </w:r>
      <w:r w:rsidRPr="002E2365">
        <w:t xml:space="preserve">  </w:t>
      </w:r>
      <w:r w:rsidRPr="002E2365">
        <w:tab/>
        <w:t>The data will not be published for statistical use.</w:t>
      </w:r>
    </w:p>
    <w:p w14:paraId="3CA9E372" w14:textId="77777777" w:rsidR="00E012CA" w:rsidRPr="002E2365" w:rsidRDefault="00337EAD" w:rsidP="00337EAD">
      <w:pPr>
        <w:pStyle w:val="ParaNum"/>
        <w:numPr>
          <w:ilvl w:val="0"/>
          <w:numId w:val="0"/>
        </w:numPr>
        <w:spacing w:before="100" w:beforeAutospacing="1" w:after="100" w:afterAutospacing="1"/>
      </w:pPr>
      <w:r w:rsidRPr="002E2365">
        <w:rPr>
          <w:b/>
        </w:rPr>
        <w:t>17.</w:t>
      </w:r>
      <w:r w:rsidRPr="002E2365">
        <w:t xml:space="preserve">  </w:t>
      </w:r>
      <w:r w:rsidRPr="002E2365">
        <w:tab/>
        <w:t xml:space="preserve">We </w:t>
      </w:r>
      <w:r w:rsidR="00E012CA" w:rsidRPr="002E2365">
        <w:t xml:space="preserve">are </w:t>
      </w:r>
      <w:r w:rsidR="000C4756" w:rsidRPr="002E2365">
        <w:t xml:space="preserve">not </w:t>
      </w:r>
      <w:r w:rsidR="00E012CA" w:rsidRPr="002E2365">
        <w:t xml:space="preserve">requesting </w:t>
      </w:r>
      <w:r w:rsidRPr="002E2365">
        <w:t xml:space="preserve">OMB approval to not display the </w:t>
      </w:r>
      <w:r w:rsidR="0059573D" w:rsidRPr="002E2365">
        <w:t xml:space="preserve">OMB </w:t>
      </w:r>
      <w:r w:rsidRPr="002E2365">
        <w:t>expiration date</w:t>
      </w:r>
      <w:r w:rsidR="000C4756" w:rsidRPr="002E2365">
        <w:t xml:space="preserve"> as the requirements are contained in FCC rules</w:t>
      </w:r>
      <w:r w:rsidR="00E012CA" w:rsidRPr="002E2365">
        <w:t xml:space="preserve">.  </w:t>
      </w:r>
    </w:p>
    <w:p w14:paraId="5C8754B8" w14:textId="77777777" w:rsidR="00337EAD" w:rsidRPr="002E2365" w:rsidRDefault="00337EAD" w:rsidP="00337EAD">
      <w:pPr>
        <w:pStyle w:val="ParaNum"/>
        <w:numPr>
          <w:ilvl w:val="0"/>
          <w:numId w:val="0"/>
        </w:numPr>
        <w:spacing w:before="100" w:beforeAutospacing="1" w:after="100" w:afterAutospacing="1"/>
      </w:pPr>
      <w:r w:rsidRPr="002E2365">
        <w:t xml:space="preserve">The Commission publishes a comprehensive listing of all OMB approved information collections in 47 C.F.R. § 0.408.  This listing “displays” the title of the collection, its OMB control number and </w:t>
      </w:r>
      <w:r w:rsidR="00DB7E78" w:rsidRPr="002E2365">
        <w:t xml:space="preserve">OMB </w:t>
      </w:r>
      <w:r w:rsidRPr="002E2365">
        <w:t xml:space="preserve">expiration date.  </w:t>
      </w:r>
    </w:p>
    <w:p w14:paraId="4EC9FB8C" w14:textId="77777777" w:rsidR="00A605FD" w:rsidRPr="00A83963" w:rsidRDefault="00337EAD" w:rsidP="00337EAD">
      <w:pPr>
        <w:pStyle w:val="ParaNum"/>
        <w:numPr>
          <w:ilvl w:val="0"/>
          <w:numId w:val="0"/>
        </w:numPr>
        <w:spacing w:before="100" w:beforeAutospacing="1" w:after="100" w:afterAutospacing="1"/>
        <w:rPr>
          <w:b/>
        </w:rPr>
      </w:pPr>
      <w:r w:rsidRPr="002E2365">
        <w:rPr>
          <w:b/>
        </w:rPr>
        <w:t xml:space="preserve">18.   </w:t>
      </w:r>
      <w:r w:rsidR="001C7327" w:rsidRPr="002E2365">
        <w:rPr>
          <w:b/>
        </w:rPr>
        <w:tab/>
      </w:r>
      <w:r w:rsidR="00525732" w:rsidRPr="002E2365">
        <w:t xml:space="preserve">There are </w:t>
      </w:r>
      <w:r w:rsidR="005663D8" w:rsidRPr="002E2365">
        <w:t>no</w:t>
      </w:r>
      <w:r w:rsidR="0018163F" w:rsidRPr="002E2365">
        <w:t xml:space="preserve"> </w:t>
      </w:r>
      <w:r w:rsidR="00525732" w:rsidRPr="002E2365">
        <w:t>exceptions to the Certification</w:t>
      </w:r>
      <w:r w:rsidR="00A605FD" w:rsidRPr="002E2365">
        <w:t xml:space="preserve"> Statement</w:t>
      </w:r>
      <w:r w:rsidR="005663D8" w:rsidRPr="002E2365">
        <w:t>.</w:t>
      </w:r>
      <w:r w:rsidR="00525732" w:rsidRPr="00A83963">
        <w:t xml:space="preserve">  </w:t>
      </w:r>
    </w:p>
    <w:p w14:paraId="35C4087F" w14:textId="77777777" w:rsidR="00337EAD" w:rsidRPr="00A83963" w:rsidRDefault="00337EAD" w:rsidP="00337EAD">
      <w:pPr>
        <w:pStyle w:val="ParaNum"/>
        <w:numPr>
          <w:ilvl w:val="0"/>
          <w:numId w:val="0"/>
        </w:numPr>
        <w:spacing w:before="100" w:beforeAutospacing="1" w:after="100" w:afterAutospacing="1"/>
        <w:rPr>
          <w:b/>
          <w:u w:val="single"/>
        </w:rPr>
      </w:pPr>
      <w:r w:rsidRPr="00A83963">
        <w:rPr>
          <w:b/>
        </w:rPr>
        <w:t>B.</w:t>
      </w:r>
      <w:r w:rsidRPr="00A83963">
        <w:rPr>
          <w:b/>
        </w:rPr>
        <w:tab/>
      </w:r>
      <w:r w:rsidRPr="00A83963">
        <w:rPr>
          <w:b/>
          <w:u w:val="single"/>
        </w:rPr>
        <w:t>Collections of Information Employing Statistical Methods:</w:t>
      </w:r>
    </w:p>
    <w:p w14:paraId="3C86B36C" w14:textId="77777777" w:rsidR="008A1AE0" w:rsidRPr="00A83963" w:rsidRDefault="00337EAD" w:rsidP="004C77FD">
      <w:pPr>
        <w:pStyle w:val="Heading1"/>
        <w:numPr>
          <w:ilvl w:val="0"/>
          <w:numId w:val="0"/>
        </w:numPr>
        <w:ind w:left="720"/>
      </w:pPr>
      <w:r w:rsidRPr="00A83963">
        <w:t>No statistical methods are employed.</w:t>
      </w:r>
    </w:p>
    <w:p w14:paraId="169E146C" w14:textId="77777777" w:rsidR="003A0A4A" w:rsidRPr="00A83963" w:rsidRDefault="00DB0D05">
      <w:pPr>
        <w:widowControl/>
        <w:rPr>
          <w:sz w:val="24"/>
          <w:szCs w:val="24"/>
        </w:rPr>
      </w:pPr>
      <w:r w:rsidRPr="00A83963">
        <w:rPr>
          <w:sz w:val="24"/>
          <w:szCs w:val="24"/>
        </w:rPr>
        <w:t xml:space="preserve"> </w:t>
      </w:r>
    </w:p>
    <w:sectPr w:rsidR="003A0A4A" w:rsidRPr="00A83963" w:rsidSect="00D10D9B">
      <w:footerReference w:type="even" r:id="rId9"/>
      <w:footerReference w:type="default" r:id="rId10"/>
      <w:headerReference w:type="first" r:id="rId11"/>
      <w:pgSz w:w="12240" w:h="15840" w:code="1"/>
      <w:pgMar w:top="1008"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415FD" w14:textId="77777777" w:rsidR="001A5604" w:rsidRDefault="001A5604">
      <w:r>
        <w:separator/>
      </w:r>
    </w:p>
  </w:endnote>
  <w:endnote w:type="continuationSeparator" w:id="0">
    <w:p w14:paraId="6F193701" w14:textId="77777777" w:rsidR="001A5604" w:rsidRDefault="001A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9F05" w14:textId="77777777" w:rsidR="00D10D9B" w:rsidRDefault="00D10D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204C18" w14:textId="77777777" w:rsidR="00D10D9B" w:rsidRDefault="00D10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3EAF2" w14:textId="0C9C6857" w:rsidR="00D10D9B" w:rsidRDefault="00D10D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1807">
      <w:rPr>
        <w:rStyle w:val="PageNumber"/>
        <w:noProof/>
      </w:rPr>
      <w:t>2</w:t>
    </w:r>
    <w:r>
      <w:rPr>
        <w:rStyle w:val="PageNumber"/>
      </w:rPr>
      <w:fldChar w:fldCharType="end"/>
    </w:r>
  </w:p>
  <w:p w14:paraId="23C90E12" w14:textId="77777777" w:rsidR="00D10D9B" w:rsidRDefault="00D10D9B" w:rsidP="00A46E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49310" w14:textId="77777777" w:rsidR="001A5604" w:rsidRDefault="001A5604">
      <w:r>
        <w:separator/>
      </w:r>
    </w:p>
  </w:footnote>
  <w:footnote w:type="continuationSeparator" w:id="0">
    <w:p w14:paraId="6DA9F8A5" w14:textId="77777777" w:rsidR="001A5604" w:rsidRDefault="001A5604">
      <w:r>
        <w:continuationSeparator/>
      </w:r>
    </w:p>
  </w:footnote>
  <w:footnote w:id="1">
    <w:p w14:paraId="6BB41DD7" w14:textId="77777777" w:rsidR="00D10D9B" w:rsidRPr="005C2815" w:rsidRDefault="00D10D9B" w:rsidP="00D226FD">
      <w:pPr>
        <w:pStyle w:val="FootnoteText"/>
      </w:pPr>
      <w:r>
        <w:rPr>
          <w:rStyle w:val="FootnoteReference"/>
        </w:rPr>
        <w:footnoteRef/>
      </w:r>
      <w:r>
        <w:t xml:space="preserve"> </w:t>
      </w:r>
      <w:r>
        <w:rPr>
          <w:i/>
        </w:rPr>
        <w:t>See</w:t>
      </w:r>
      <w:r>
        <w:t xml:space="preserve"> ICR Reference No. 201302-3060-009, submitted May 31, 2013 and approved by OMB July 31, 2013.</w:t>
      </w:r>
    </w:p>
  </w:footnote>
  <w:footnote w:id="2">
    <w:p w14:paraId="77E9C4E7" w14:textId="77777777" w:rsidR="00D10D9B" w:rsidRDefault="00D10D9B" w:rsidP="00D226FD">
      <w:pPr>
        <w:pStyle w:val="FootnoteText"/>
      </w:pPr>
      <w:r>
        <w:rPr>
          <w:rStyle w:val="FootnoteReference"/>
        </w:rPr>
        <w:footnoteRef/>
      </w:r>
      <w:r>
        <w:t xml:space="preserve"> </w:t>
      </w:r>
      <w:r w:rsidRPr="00964A27">
        <w:t>In 2005, the Office of Management and Budget (</w:t>
      </w:r>
      <w:r>
        <w:t>“</w:t>
      </w:r>
      <w:r w:rsidRPr="00964A27">
        <w:t>OMB</w:t>
      </w:r>
      <w:r>
        <w:t>”</w:t>
      </w:r>
      <w:r w:rsidRPr="00964A27">
        <w:t xml:space="preserve">) approved </w:t>
      </w:r>
      <w:r w:rsidRPr="00584F18">
        <w:t xml:space="preserve">Control No. 3060-1030 based on service rules that the FCC adopted for Advanced Wireless Services (“2005 submission”).  </w:t>
      </w:r>
      <w:r w:rsidRPr="00584F18">
        <w:rPr>
          <w:i/>
        </w:rPr>
        <w:t>See</w:t>
      </w:r>
      <w:r w:rsidRPr="00584F18">
        <w:t xml:space="preserve"> Service Rules for Advanced Wireless Services in the 1.7 GHz and 2.1 GHz Bands, 69 FR 5711 (Feb</w:t>
      </w:r>
      <w:r>
        <w:t>.</w:t>
      </w:r>
      <w:r w:rsidRPr="00584F18">
        <w:t xml:space="preserve"> 6, 2004) (</w:t>
      </w:r>
      <w:r w:rsidRPr="001C77A6">
        <w:rPr>
          <w:i/>
        </w:rPr>
        <w:t>AWS-1 Report and Order</w:t>
      </w:r>
      <w:r w:rsidRPr="00584F18">
        <w:t>).</w:t>
      </w:r>
      <w:r>
        <w:t xml:space="preserve"> </w:t>
      </w:r>
      <w:r w:rsidRPr="001F0835">
        <w:t xml:space="preserve">The license application requirements and the disaggregation and partitioning burdens contained in the </w:t>
      </w:r>
      <w:r w:rsidRPr="001F0835">
        <w:rPr>
          <w:i/>
        </w:rPr>
        <w:t>AWS-1 Report and Order</w:t>
      </w:r>
      <w:r w:rsidRPr="001F0835">
        <w:t xml:space="preserve"> were approved by OMB as part of the Commission’s Universal Licensing Service (ULS) system, OMB Control No. 3060-0798, which also contains approval for </w:t>
      </w:r>
      <w:r w:rsidRPr="00520786">
        <w:t xml:space="preserve">requiring </w:t>
      </w:r>
      <w:r w:rsidRPr="001F0835">
        <w:t xml:space="preserve">all licensees in the 1710-1755 MHz and 2110-2155 MHz </w:t>
      </w:r>
      <w:r>
        <w:t xml:space="preserve">bands </w:t>
      </w:r>
      <w:r w:rsidRPr="001F0835">
        <w:t xml:space="preserve">to report to the FCC any change in their foreign ownership status, as discussed in paragraph 61 of the </w:t>
      </w:r>
      <w:r w:rsidRPr="001F0835">
        <w:rPr>
          <w:i/>
        </w:rPr>
        <w:t>AWS-1 Report and Order</w:t>
      </w:r>
      <w:r w:rsidRPr="001F0835">
        <w:t>.  However, this approval (3060-0798) co</w:t>
      </w:r>
      <w:r w:rsidRPr="00520786">
        <w:t>vered</w:t>
      </w:r>
      <w:r w:rsidRPr="001F0835">
        <w:t xml:space="preserve"> only initial foreign ownership reporting requirements</w:t>
      </w:r>
      <w:r>
        <w:t>; subsequent foreign ownership filings for AWS licensees are covered by Control No. 3060-1030.</w:t>
      </w:r>
    </w:p>
  </w:footnote>
  <w:footnote w:id="3">
    <w:p w14:paraId="5E33BF3D" w14:textId="77777777" w:rsidR="00D10D9B" w:rsidRDefault="00D10D9B" w:rsidP="00D226FD">
      <w:pPr>
        <w:pStyle w:val="FootnoteText"/>
      </w:pPr>
      <w:r>
        <w:rPr>
          <w:rStyle w:val="FootnoteReference"/>
        </w:rPr>
        <w:footnoteRef/>
      </w:r>
      <w:r>
        <w:t xml:space="preserve"> </w:t>
      </w:r>
      <w:r w:rsidRPr="00584F18">
        <w:t>In 2007, the Commission received OM</w:t>
      </w:r>
      <w:r>
        <w:t>B approval for revisions to this</w:t>
      </w:r>
      <w:r w:rsidRPr="00584F18">
        <w:t xml:space="preserve"> </w:t>
      </w:r>
      <w:r>
        <w:t>information collection made by the</w:t>
      </w:r>
      <w:r w:rsidRPr="00584F18">
        <w:t xml:space="preserve"> </w:t>
      </w:r>
      <w:r w:rsidRPr="00584F18">
        <w:rPr>
          <w:i/>
        </w:rPr>
        <w:t>Ninth R&amp;O</w:t>
      </w:r>
      <w:r>
        <w:rPr>
          <w:i/>
        </w:rPr>
        <w:t>,</w:t>
      </w:r>
      <w:r w:rsidRPr="00584F18">
        <w:t xml:space="preserve"> 71 FR 29818</w:t>
      </w:r>
      <w:r>
        <w:t xml:space="preserve"> (</w:t>
      </w:r>
      <w:r w:rsidRPr="00584F18">
        <w:t xml:space="preserve">May 24, 2006), a </w:t>
      </w:r>
      <w:r w:rsidRPr="00584F18">
        <w:rPr>
          <w:i/>
        </w:rPr>
        <w:t>Clearinghouse Order</w:t>
      </w:r>
      <w:r>
        <w:rPr>
          <w:i/>
        </w:rPr>
        <w:t>,</w:t>
      </w:r>
      <w:r w:rsidRPr="00584F18">
        <w:t xml:space="preserve"> 72 FR 41940</w:t>
      </w:r>
      <w:r>
        <w:t xml:space="preserve"> (</w:t>
      </w:r>
      <w:r w:rsidRPr="00584F18">
        <w:t>Aug</w:t>
      </w:r>
      <w:r>
        <w:t>.</w:t>
      </w:r>
      <w:r w:rsidRPr="00584F18">
        <w:t xml:space="preserve"> 1, 2007), and a </w:t>
      </w:r>
      <w:r w:rsidRPr="00584F18">
        <w:rPr>
          <w:i/>
        </w:rPr>
        <w:t>Public Notice</w:t>
      </w:r>
      <w:r w:rsidRPr="00584F18">
        <w:t xml:space="preserve"> issued jointly with the National Telecommunications and Information Administration (</w:t>
      </w:r>
      <w:r>
        <w:t>“</w:t>
      </w:r>
      <w:r w:rsidRPr="00584F18">
        <w:t>NTIA</w:t>
      </w:r>
      <w:r>
        <w:t>”</w:t>
      </w:r>
      <w:r w:rsidRPr="00584F18">
        <w:t>)</w:t>
      </w:r>
      <w:r>
        <w:t>,</w:t>
      </w:r>
      <w:r w:rsidRPr="00584F18">
        <w:t xml:space="preserve"> 71 FR 28696</w:t>
      </w:r>
      <w:r>
        <w:t xml:space="preserve"> (</w:t>
      </w:r>
      <w:r w:rsidRPr="00584F18">
        <w:t xml:space="preserve">May 17, 2006) (“2007 submission”).  </w:t>
      </w:r>
      <w:r>
        <w:t>Furthermore, i</w:t>
      </w:r>
      <w:r w:rsidRPr="00584F18">
        <w:t>n 2010, the Commission submitted and received OMB approval extend</w:t>
      </w:r>
      <w:r>
        <w:t>ing this information collection.</w:t>
      </w:r>
    </w:p>
  </w:footnote>
  <w:footnote w:id="4">
    <w:p w14:paraId="023C619A" w14:textId="77777777" w:rsidR="00D10D9B" w:rsidRDefault="00D10D9B" w:rsidP="00D226FD">
      <w:pPr>
        <w:pStyle w:val="FootnoteText"/>
      </w:pPr>
      <w:r>
        <w:rPr>
          <w:rStyle w:val="FootnoteReference"/>
        </w:rPr>
        <w:footnoteRef/>
      </w:r>
      <w:r>
        <w:t xml:space="preserve"> In 2013, the Commission received OMB approval for the extension and revisions to this information collection as a result of the </w:t>
      </w:r>
      <w:r w:rsidRPr="001F0835">
        <w:rPr>
          <w:i/>
        </w:rPr>
        <w:t>AWS-4 Report and Order</w:t>
      </w:r>
      <w:r>
        <w:t xml:space="preserve">.  </w:t>
      </w:r>
      <w:r>
        <w:rPr>
          <w:i/>
        </w:rPr>
        <w:t xml:space="preserve">See </w:t>
      </w:r>
      <w:r w:rsidRPr="00584F18">
        <w:t>Service Rules for Advanced Wireless Services in the 2000-2020 MHz and 2180-2200 MHz Bands</w:t>
      </w:r>
      <w:r>
        <w:t>, 78 FR 8230 (Feb. 5, 2013).</w:t>
      </w:r>
    </w:p>
  </w:footnote>
  <w:footnote w:id="5">
    <w:p w14:paraId="61790DA3" w14:textId="77777777" w:rsidR="00D10D9B" w:rsidRPr="008C6B89" w:rsidRDefault="00D10D9B" w:rsidP="00D226FD">
      <w:pPr>
        <w:pStyle w:val="FootnoteText"/>
      </w:pPr>
      <w:r w:rsidRPr="006779E9">
        <w:rPr>
          <w:rStyle w:val="FootnoteReference"/>
        </w:rPr>
        <w:footnoteRef/>
      </w:r>
      <w:r w:rsidRPr="008C6B89">
        <w:t xml:space="preserve"> </w:t>
      </w:r>
      <w:r w:rsidRPr="00584F18">
        <w:t>Middle Class Tax Relief and Job Creation Act of 2012, Pub. L. No. 112-96</w:t>
      </w:r>
      <w:r>
        <w:t xml:space="preserve"> (2012).</w:t>
      </w:r>
    </w:p>
  </w:footnote>
  <w:footnote w:id="6">
    <w:p w14:paraId="7C0D0500" w14:textId="77777777" w:rsidR="00D10D9B" w:rsidRDefault="00D10D9B" w:rsidP="00D226FD">
      <w:pPr>
        <w:pStyle w:val="FootnoteText"/>
      </w:pPr>
      <w:r>
        <w:rPr>
          <w:rStyle w:val="FootnoteReference"/>
        </w:rPr>
        <w:footnoteRef/>
      </w:r>
      <w:r>
        <w:t xml:space="preserve"> </w:t>
      </w:r>
      <w:r w:rsidRPr="00584F18">
        <w:t>Middle Class Tax Relief and Job Creation Act of 2012, Pub. L. No. 112-96, §§ 6402 (codified at 47 U.S.C. § 309(j)(8)(G)), 6403 (codified at 47 U.S.C. § 1452), 126 Stat. 156 (2012)</w:t>
      </w:r>
      <w:r>
        <w:t>.</w:t>
      </w:r>
    </w:p>
  </w:footnote>
  <w:footnote w:id="7">
    <w:p w14:paraId="1A85B93A" w14:textId="77777777" w:rsidR="00D10D9B" w:rsidRPr="008C6B89" w:rsidRDefault="00D10D9B" w:rsidP="00D226FD">
      <w:pPr>
        <w:pStyle w:val="FootnoteText"/>
      </w:pPr>
      <w:r w:rsidRPr="006779E9">
        <w:rPr>
          <w:rStyle w:val="FootnoteReference"/>
        </w:rPr>
        <w:footnoteRef/>
      </w:r>
      <w:r w:rsidRPr="008C6B89">
        <w:t xml:space="preserve"> </w:t>
      </w:r>
      <w:r w:rsidRPr="008C6B89">
        <w:rPr>
          <w:i/>
        </w:rPr>
        <w:t>See generally id</w:t>
      </w:r>
      <w:r w:rsidRPr="008C6B89">
        <w:t>.</w:t>
      </w:r>
      <w:r w:rsidRPr="008C6B89">
        <w:rPr>
          <w:i/>
        </w:rPr>
        <w:t xml:space="preserve"> </w:t>
      </w:r>
    </w:p>
  </w:footnote>
  <w:footnote w:id="8">
    <w:p w14:paraId="171FB306" w14:textId="77777777" w:rsidR="00D10D9B" w:rsidRDefault="00D10D9B" w:rsidP="00D226FD">
      <w:pPr>
        <w:pStyle w:val="FootnoteText"/>
      </w:pPr>
      <w:r>
        <w:rPr>
          <w:rStyle w:val="FootnoteReference"/>
        </w:rPr>
        <w:footnoteRef/>
      </w:r>
      <w:r>
        <w:t xml:space="preserve"> </w:t>
      </w:r>
      <w:r w:rsidRPr="00BD7181">
        <w:t xml:space="preserve">To </w:t>
      </w:r>
      <w:r>
        <w:t>facilitate</w:t>
      </w:r>
      <w:r w:rsidRPr="00BD7181">
        <w:t xml:space="preserve"> relocation, NTIA will publicize certain transition plans provided by the </w:t>
      </w:r>
      <w:r>
        <w:t>F</w:t>
      </w:r>
      <w:r w:rsidRPr="00BD7181">
        <w:t>ederal users.  These transition plans will disclose Federal users</w:t>
      </w:r>
      <w:r>
        <w:t>’</w:t>
      </w:r>
      <w:r w:rsidRPr="00BD7181">
        <w:t xml:space="preserve"> frequencies, emission bandwidth, system use, service area, timeline for sharing and transition</w:t>
      </w:r>
      <w:r>
        <w:t>,</w:t>
      </w:r>
      <w:r w:rsidRPr="00BD7181">
        <w:t xml:space="preserve"> and estimated costs for relocation or sharing.  Short-form bidders/applicants must complete a certification acknowledging the potential for interference to AWS-3 from Federal systems.</w:t>
      </w:r>
    </w:p>
  </w:footnote>
  <w:footnote w:id="9">
    <w:p w14:paraId="3623B590" w14:textId="77777777" w:rsidR="00D10D9B" w:rsidRDefault="00D10D9B" w:rsidP="00D226FD">
      <w:pPr>
        <w:pStyle w:val="FootnoteText"/>
      </w:pPr>
      <w:r>
        <w:rPr>
          <w:rStyle w:val="FootnoteReference"/>
        </w:rPr>
        <w:footnoteRef/>
      </w:r>
      <w:r>
        <w:t xml:space="preserve"> </w:t>
      </w:r>
      <w:r w:rsidRPr="009E5945">
        <w:rPr>
          <w:i/>
        </w:rPr>
        <w:t>See</w:t>
      </w:r>
      <w:r w:rsidRPr="004E2851">
        <w:rPr>
          <w:i/>
        </w:rPr>
        <w:t xml:space="preserve"> AWS-3 Report and Order</w:t>
      </w:r>
      <w:r>
        <w:t xml:space="preserve"> at para. 114.</w:t>
      </w:r>
    </w:p>
  </w:footnote>
  <w:footnote w:id="10">
    <w:p w14:paraId="12F91AA0" w14:textId="77777777" w:rsidR="00D10D9B" w:rsidRPr="00F3512A" w:rsidRDefault="00D10D9B" w:rsidP="00D226FD">
      <w:pPr>
        <w:pStyle w:val="FootnoteText"/>
      </w:pPr>
      <w:r>
        <w:rPr>
          <w:rStyle w:val="FootnoteReference"/>
        </w:rPr>
        <w:footnoteRef/>
      </w:r>
      <w:r>
        <w:t xml:space="preserve"> On January 13, 2015, the Commission received OMB approval for the revisions to this information collection as a result of the </w:t>
      </w:r>
      <w:r w:rsidRPr="001F0835">
        <w:rPr>
          <w:i/>
        </w:rPr>
        <w:t>AWS-</w:t>
      </w:r>
      <w:r>
        <w:rPr>
          <w:i/>
        </w:rPr>
        <w:t>3</w:t>
      </w:r>
      <w:r w:rsidRPr="001F0835">
        <w:rPr>
          <w:i/>
        </w:rPr>
        <w:t xml:space="preserve"> Report and Order</w:t>
      </w:r>
      <w:r>
        <w:t xml:space="preserve"> and related public notices.  </w:t>
      </w:r>
      <w:r>
        <w:rPr>
          <w:i/>
        </w:rPr>
        <w:t xml:space="preserve">See </w:t>
      </w:r>
      <w:r>
        <w:t xml:space="preserve">OMB Control No. </w:t>
      </w:r>
      <w:r w:rsidRPr="00F3512A">
        <w:t>3060-1030</w:t>
      </w:r>
      <w:r>
        <w:t xml:space="preserve">, </w:t>
      </w:r>
      <w:r w:rsidRPr="00F3512A">
        <w:rPr>
          <w:i/>
        </w:rPr>
        <w:t>Notice of Office of Management and Budget Action</w:t>
      </w:r>
      <w:r w:rsidRPr="00F3512A">
        <w:t xml:space="preserve"> dated 1/1/3/2015.</w:t>
      </w:r>
    </w:p>
  </w:footnote>
  <w:footnote w:id="11">
    <w:p w14:paraId="797F2046" w14:textId="77777777" w:rsidR="00D10D9B" w:rsidRDefault="00D10D9B" w:rsidP="00D226FD">
      <w:pPr>
        <w:pStyle w:val="FootnoteText"/>
      </w:pPr>
      <w:r w:rsidRPr="00321284">
        <w:rPr>
          <w:rStyle w:val="FootnoteReference"/>
        </w:rPr>
        <w:footnoteRef/>
      </w:r>
      <w:r w:rsidRPr="00321284">
        <w:t xml:space="preserve"> The information collection requirements that are involved with this rule section are coordination requirements</w:t>
      </w:r>
      <w:r>
        <w:t>.</w:t>
      </w:r>
    </w:p>
  </w:footnote>
  <w:footnote w:id="12">
    <w:p w14:paraId="1D060775" w14:textId="77777777" w:rsidR="00D10D9B" w:rsidRDefault="00D10D9B" w:rsidP="00D226FD">
      <w:pPr>
        <w:pStyle w:val="FootnoteText"/>
      </w:pPr>
      <w:r>
        <w:rPr>
          <w:rStyle w:val="FootnoteReference"/>
        </w:rPr>
        <w:footnoteRef/>
      </w:r>
      <w:r>
        <w:t xml:space="preserve"> </w:t>
      </w:r>
      <w:r>
        <w:rPr>
          <w:i/>
        </w:rPr>
        <w:t xml:space="preserve">See </w:t>
      </w:r>
      <w:r>
        <w:t xml:space="preserve">The Federal Communications Commission and the National Telecommunications and Information Administration:  Coordination Procedures in the 1695-1710 MHz and 1755-1780 MHz Bands, GN Docket No. 13-185, </w:t>
      </w:r>
      <w:r>
        <w:rPr>
          <w:i/>
        </w:rPr>
        <w:t>Public Notice</w:t>
      </w:r>
      <w:r>
        <w:t>, DA 14-1023 (rel. Jul. 18</w:t>
      </w:r>
      <w:r w:rsidRPr="006B1421">
        <w:t>,</w:t>
      </w:r>
      <w:r>
        <w:t xml:space="preserve"> 2014) (“2014 Joint PN”).  </w:t>
      </w:r>
    </w:p>
  </w:footnote>
  <w:footnote w:id="13">
    <w:p w14:paraId="0B58C7E2" w14:textId="77777777" w:rsidR="00D10D9B" w:rsidRDefault="00D10D9B" w:rsidP="00D226FD">
      <w:pPr>
        <w:pStyle w:val="FootnoteText"/>
      </w:pPr>
      <w:r>
        <w:rPr>
          <w:rStyle w:val="FootnoteReference"/>
        </w:rPr>
        <w:footnoteRef/>
      </w:r>
      <w:r>
        <w:t xml:space="preserve"> Commercial Spectrum Enhancement Act, Pub. L. No. 108-494, 118 Stat. 3986, Title II (2004) (codified in various sections of Title 47 of the United States Code).</w:t>
      </w:r>
    </w:p>
  </w:footnote>
  <w:footnote w:id="14">
    <w:p w14:paraId="67F8DB4D" w14:textId="77777777" w:rsidR="00D10D9B" w:rsidRDefault="00D10D9B" w:rsidP="00D10D9B">
      <w:pPr>
        <w:spacing w:after="120"/>
      </w:pPr>
      <w:r w:rsidRPr="00D369D9">
        <w:rPr>
          <w:rStyle w:val="FootnoteReference"/>
        </w:rPr>
        <w:footnoteRef/>
      </w:r>
      <w:r w:rsidRPr="00D369D9">
        <w:rPr>
          <w:sz w:val="20"/>
        </w:rPr>
        <w:t xml:space="preserve"> Foreign ownership reports refer to an applicant</w:t>
      </w:r>
      <w:r w:rsidRPr="00D369D9">
        <w:rPr>
          <w:bCs/>
          <w:sz w:val="20"/>
        </w:rPr>
        <w:t xml:space="preserve"> initial review of possible foreign ownership; and all AWS-1, AWS-4 and AWS-3 licensees must report change in foreign ownership</w:t>
      </w:r>
      <w:r>
        <w:rPr>
          <w:bCs/>
        </w:rPr>
        <w:t>.</w:t>
      </w:r>
    </w:p>
  </w:footnote>
  <w:footnote w:id="15">
    <w:p w14:paraId="51020DA3" w14:textId="77777777" w:rsidR="00D10D9B" w:rsidRDefault="00D10D9B" w:rsidP="004932C3">
      <w:pPr>
        <w:pStyle w:val="FootnoteText"/>
      </w:pPr>
      <w:r>
        <w:rPr>
          <w:rStyle w:val="FootnoteReference"/>
        </w:rPr>
        <w:footnoteRef/>
      </w:r>
      <w:r>
        <w:t xml:space="preserve"> In an abundance of caution, we estimate that all AWS-4 and AWS-3 licensees will have to complete the requirements for performance during the next three-year OMB approval period.  </w:t>
      </w:r>
    </w:p>
  </w:footnote>
  <w:footnote w:id="16">
    <w:p w14:paraId="56D1F8EF" w14:textId="77777777" w:rsidR="00D10D9B" w:rsidRDefault="00D10D9B" w:rsidP="004932C3">
      <w:pPr>
        <w:pStyle w:val="FootnoteText"/>
      </w:pPr>
      <w:r>
        <w:rPr>
          <w:rStyle w:val="FootnoteReference"/>
        </w:rPr>
        <w:footnoteRef/>
      </w:r>
      <w:r>
        <w:t xml:space="preserve"> AWS-4 and AWS-3 licenses will not be up for renewal in the next three years.</w:t>
      </w:r>
    </w:p>
  </w:footnote>
  <w:footnote w:id="17">
    <w:p w14:paraId="5047D70B" w14:textId="77777777" w:rsidR="00D10D9B" w:rsidRDefault="00D10D9B" w:rsidP="004932C3">
      <w:pPr>
        <w:pStyle w:val="FootnoteText"/>
      </w:pPr>
      <w:r>
        <w:rPr>
          <w:rStyle w:val="FootnoteReference"/>
        </w:rPr>
        <w:footnoteRef/>
      </w:r>
      <w:r>
        <w:t xml:space="preserve"> AWS-3 licensees will complete all § 27.1131, 1132 and 1133 at the same time</w:t>
      </w:r>
      <w:bookmarkStart w:id="2" w:name="_Hlk494814062"/>
      <w:r>
        <w:t>, as applicable, when planning a new or modified base station..</w:t>
      </w:r>
    </w:p>
    <w:bookmarkEnd w:id="2"/>
  </w:footnote>
  <w:footnote w:id="18">
    <w:p w14:paraId="6F11A240" w14:textId="77777777" w:rsidR="00D10D9B" w:rsidRDefault="00D10D9B" w:rsidP="004932C3">
      <w:pPr>
        <w:pStyle w:val="FootnoteText"/>
      </w:pPr>
      <w:r>
        <w:rPr>
          <w:rStyle w:val="FootnoteReference"/>
        </w:rPr>
        <w:footnoteRef/>
      </w:r>
      <w:r>
        <w:t xml:space="preserve"> AWS-1: Four licensees hold 8 BRS licenses, and the 8 licenses are a total of 12 BRS channels. We assume that 2 AWS licensees could engage in negotiations with one of the four BRS licensees to coordinate with or relocate each of the 12 BRS channels and that each of the 12 channels. The total number of AWS respondents is 24 (2 AWS licensees x 12 BRS channels).</w:t>
      </w:r>
    </w:p>
  </w:footnote>
  <w:footnote w:id="19">
    <w:p w14:paraId="128A689D" w14:textId="77777777" w:rsidR="00D10D9B" w:rsidRDefault="00D10D9B" w:rsidP="004932C3">
      <w:pPr>
        <w:pStyle w:val="FootnoteText"/>
      </w:pPr>
    </w:p>
  </w:footnote>
  <w:footnote w:id="20">
    <w:p w14:paraId="62DC1025" w14:textId="77777777" w:rsidR="00D10D9B" w:rsidRDefault="00D10D9B" w:rsidP="004932C3">
      <w:pPr>
        <w:pStyle w:val="FootnoteText"/>
      </w:pPr>
      <w:r>
        <w:rPr>
          <w:rStyle w:val="FootnoteReference"/>
        </w:rPr>
        <w:footnoteRef/>
      </w:r>
      <w:r>
        <w:t xml:space="preserve"> </w:t>
      </w:r>
      <w:r w:rsidRPr="008A0E22">
        <w:t>U.S. Bureau of Labor Statistics, Occupationa</w:t>
      </w:r>
      <w:r>
        <w:t>l Employment and Wages, May 2016</w:t>
      </w:r>
      <w:r w:rsidRPr="008A0E22">
        <w:t>, Att</w:t>
      </w:r>
      <w:r>
        <w:t>orney, Hourly Mean</w:t>
      </w:r>
      <w:r w:rsidRPr="008A0E22">
        <w:t xml:space="preserve"> Wage</w:t>
      </w:r>
      <w:r>
        <w:t>.</w:t>
      </w:r>
    </w:p>
  </w:footnote>
  <w:footnote w:id="21">
    <w:p w14:paraId="2F6455BA" w14:textId="77777777" w:rsidR="00D10D9B" w:rsidRDefault="00D10D9B" w:rsidP="004932C3">
      <w:pPr>
        <w:pStyle w:val="FootnoteText"/>
      </w:pPr>
      <w:r>
        <w:rPr>
          <w:rStyle w:val="FootnoteReference"/>
        </w:rPr>
        <w:footnoteRef/>
      </w:r>
      <w:r>
        <w:t xml:space="preserve"> </w:t>
      </w:r>
      <w:r w:rsidRPr="008A0E22">
        <w:t>U.S. Bureau of Labor Statistics, Occupationa</w:t>
      </w:r>
      <w:r>
        <w:t>l Employment and Wages, May 2016</w:t>
      </w:r>
      <w:r w:rsidRPr="008A0E22">
        <w:t xml:space="preserve">, </w:t>
      </w:r>
      <w:r>
        <w:t>Engineer, Hourly Mean</w:t>
      </w:r>
      <w:r w:rsidRPr="008A0E22">
        <w:t xml:space="preserve"> Wage</w:t>
      </w:r>
      <w:r>
        <w:t>.</w:t>
      </w:r>
    </w:p>
  </w:footnote>
  <w:footnote w:id="22">
    <w:p w14:paraId="373984D5" w14:textId="77777777" w:rsidR="00D10D9B" w:rsidRDefault="00D10D9B" w:rsidP="004932C3">
      <w:pPr>
        <w:pStyle w:val="FootnoteText"/>
      </w:pPr>
      <w:r>
        <w:rPr>
          <w:rStyle w:val="FootnoteReference"/>
        </w:rPr>
        <w:footnoteRef/>
      </w:r>
      <w:r>
        <w:t xml:space="preserve"> The requirement that AWS-4 licensees file renewal criteria showings was originally codified in 47 C.F.R. § 1.949(c).  The </w:t>
      </w:r>
      <w:r w:rsidRPr="004E5469">
        <w:rPr>
          <w:i/>
        </w:rPr>
        <w:t>AWS-3 Report and Order</w:t>
      </w:r>
      <w:r>
        <w:t xml:space="preserve"> recodified this requirement in 47 C.F.R. § 27.14(q)(7), with no substantive change.   The requirement to file license renewal applications is covered by Control No. 3060-0798.</w:t>
      </w:r>
    </w:p>
  </w:footnote>
  <w:footnote w:id="23">
    <w:p w14:paraId="34A9A510" w14:textId="77777777" w:rsidR="00D10D9B" w:rsidRDefault="00D10D9B" w:rsidP="004932C3">
      <w:pPr>
        <w:pStyle w:val="FootnoteText"/>
      </w:pPr>
      <w:r>
        <w:rPr>
          <w:rStyle w:val="FootnoteReference"/>
        </w:rPr>
        <w:footnoteRef/>
      </w:r>
      <w:r>
        <w:t xml:space="preserve"> </w:t>
      </w:r>
      <w:r w:rsidRPr="008A0E22">
        <w:t>U.S. Bureau of Labor Statistics, Occupationa</w:t>
      </w:r>
      <w:r>
        <w:t>l Employment and Wages, May 2016</w:t>
      </w:r>
      <w:r w:rsidRPr="008A0E22">
        <w:t xml:space="preserve">, </w:t>
      </w:r>
      <w:r>
        <w:t>Engineer, Hourly Mean</w:t>
      </w:r>
      <w:r w:rsidRPr="008A0E22">
        <w:t xml:space="preserve"> Wage</w:t>
      </w:r>
      <w:r>
        <w:t>.</w:t>
      </w:r>
    </w:p>
  </w:footnote>
  <w:footnote w:id="24">
    <w:p w14:paraId="6B2E2DCD" w14:textId="77777777" w:rsidR="00D10D9B" w:rsidRDefault="00D10D9B" w:rsidP="004932C3">
      <w:pPr>
        <w:pStyle w:val="FootnoteText"/>
      </w:pPr>
      <w:r>
        <w:rPr>
          <w:rStyle w:val="FootnoteReference"/>
        </w:rPr>
        <w:footnoteRef/>
      </w:r>
      <w:r>
        <w:t xml:space="preserve"> See 19.</w:t>
      </w:r>
    </w:p>
  </w:footnote>
  <w:footnote w:id="25">
    <w:p w14:paraId="65A00D41" w14:textId="77777777" w:rsidR="00D10D9B" w:rsidRDefault="00D10D9B" w:rsidP="004932C3">
      <w:pPr>
        <w:pStyle w:val="FootnoteText"/>
      </w:pPr>
      <w:r>
        <w:rPr>
          <w:rStyle w:val="FootnoteReference"/>
        </w:rPr>
        <w:footnoteRef/>
      </w:r>
      <w:r>
        <w:t xml:space="preserve">2017 General Schedule (Base); 2017 GS Pay Tables; General Schedule &amp; Locality Pay Tables; Salaries &amp; Wages; Pay &amp; Leave; Policy; Office of Personnel Management; website: </w:t>
      </w:r>
      <w:r w:rsidRPr="00372BFC">
        <w:t>https://www.opm.gov/policy-data-oversight/pay-leave/salaries-wages/2017/general-schedule/</w:t>
      </w:r>
      <w:r>
        <w:t>.</w:t>
      </w:r>
    </w:p>
  </w:footnote>
  <w:footnote w:id="26">
    <w:p w14:paraId="48295326" w14:textId="77777777" w:rsidR="00D10D9B" w:rsidRPr="00C95542" w:rsidRDefault="00D10D9B" w:rsidP="00D10D9B">
      <w:pPr>
        <w:pStyle w:val="ParaNum"/>
        <w:numPr>
          <w:ilvl w:val="0"/>
          <w:numId w:val="0"/>
        </w:numPr>
        <w:tabs>
          <w:tab w:val="left" w:pos="720"/>
        </w:tabs>
        <w:rPr>
          <w:snapToGrid/>
          <w:kern w:val="0"/>
          <w:sz w:val="20"/>
          <w:szCs w:val="24"/>
        </w:rPr>
      </w:pPr>
      <w:r>
        <w:rPr>
          <w:rStyle w:val="FootnoteReference"/>
        </w:rPr>
        <w:footnoteRef/>
      </w:r>
      <w:r>
        <w:t xml:space="preserve"> </w:t>
      </w:r>
      <w:r w:rsidRPr="00C95542">
        <w:rPr>
          <w:sz w:val="20"/>
        </w:rPr>
        <w:t xml:space="preserve">The total number of respondents was calculated as follows: </w:t>
      </w:r>
      <w:r w:rsidRPr="00C95542">
        <w:rPr>
          <w:rFonts w:eastAsia="Calibri"/>
          <w:snapToGrid/>
          <w:kern w:val="0"/>
          <w:sz w:val="20"/>
        </w:rPr>
        <w:t xml:space="preserve">FS: 60 licensees, BRS: 4 licensees, Satellite: 7 licensees, Clearinghouse: 2, </w:t>
      </w:r>
      <w:r w:rsidRPr="00C95542">
        <w:rPr>
          <w:snapToGrid/>
          <w:kern w:val="0"/>
          <w:sz w:val="20"/>
        </w:rPr>
        <w:t>AWS-1: 142 Licensees, AWS-3: 37 Licensees and AWS-4: 2 Licensees</w:t>
      </w:r>
      <w:r>
        <w:rPr>
          <w:snapToGrid/>
          <w:kern w:val="0"/>
          <w:sz w:val="20"/>
        </w:rPr>
        <w:t xml:space="preserve"> for a total of 254 respondents.</w:t>
      </w:r>
    </w:p>
    <w:p w14:paraId="7467BF27" w14:textId="77777777" w:rsidR="00D10D9B" w:rsidRPr="00C95542" w:rsidRDefault="00D10D9B" w:rsidP="00D10D9B">
      <w:pPr>
        <w:spacing w:after="120"/>
        <w:rPr>
          <w:rFonts w:ascii="Calibri" w:eastAsia="Calibri" w:hAnsi="Calibri" w:cs="Calibri"/>
          <w:snapToGrid/>
          <w:kern w:val="0"/>
          <w:szCs w:val="22"/>
        </w:rPr>
      </w:pPr>
    </w:p>
    <w:p w14:paraId="4B1D4004" w14:textId="77777777" w:rsidR="00D10D9B" w:rsidRDefault="00D10D9B" w:rsidP="004932C3">
      <w:pPr>
        <w:pStyle w:val="FootnoteText"/>
      </w:pPr>
      <w:r>
        <w:t xml:space="preserve"> </w:t>
      </w:r>
    </w:p>
  </w:footnote>
  <w:footnote w:id="27">
    <w:p w14:paraId="3C2DB53E" w14:textId="77777777" w:rsidR="00D10D9B" w:rsidRDefault="00D10D9B" w:rsidP="004932C3">
      <w:pPr>
        <w:pStyle w:val="FootnoteText"/>
      </w:pPr>
      <w:r>
        <w:rPr>
          <w:rStyle w:val="FootnoteReference"/>
        </w:rPr>
        <w:footnoteRef/>
      </w:r>
      <w:r>
        <w:t xml:space="preserve"> WASHINGTON-BALTIMORE-ARLINGTON, DC-MD-VA-WV-PA; Salaries &amp; Wages; Pay &amp; Leave; OPM; website: </w:t>
      </w:r>
      <w:r w:rsidRPr="007B49A3">
        <w:t>https://www.opm.gov/policy-data-oversight/pay-leave/salaries-wages/2017/general-schedule/</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55A37" w14:textId="77777777" w:rsidR="00D10D9B" w:rsidRPr="00AF4FBE" w:rsidRDefault="00D10D9B" w:rsidP="00AF4FBE">
    <w:pPr>
      <w:pStyle w:val="Header"/>
    </w:pPr>
    <w:r w:rsidRPr="00AF4FBE">
      <w:t xml:space="preserve">Service Rules for Advanced Wireless Services (AWS) </w:t>
    </w:r>
    <w:r>
      <w:tab/>
    </w:r>
    <w:r w:rsidRPr="00AF4FBE">
      <w:t>3060-1030</w:t>
    </w:r>
  </w:p>
  <w:p w14:paraId="57A2B297" w14:textId="34D28D48" w:rsidR="00D10D9B" w:rsidRDefault="00D10D9B" w:rsidP="00A602C5">
    <w:pPr>
      <w:pStyle w:val="Header"/>
      <w:jc w:val="center"/>
    </w:pPr>
    <w:r w:rsidRPr="00AF4FBE">
      <w:t>in the 1.7 GHz and 2.1 GHz Bands</w:t>
    </w:r>
    <w:r>
      <w:tab/>
    </w:r>
    <w:r>
      <w:tab/>
    </w:r>
    <w:r w:rsidR="004B6169">
      <w:t>January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5F8"/>
    <w:multiLevelType w:val="hybridMultilevel"/>
    <w:tmpl w:val="C38A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E8C5D51"/>
    <w:multiLevelType w:val="hybridMultilevel"/>
    <w:tmpl w:val="5B843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8">
    <w:nsid w:val="77EF4E58"/>
    <w:multiLevelType w:val="hybridMultilevel"/>
    <w:tmpl w:val="A1F0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5"/>
  </w:num>
  <w:num w:numId="6">
    <w:abstractNumId w:val="2"/>
  </w:num>
  <w:num w:numId="7">
    <w:abstractNumId w:val="6"/>
  </w:num>
  <w:num w:numId="8">
    <w:abstractNumId w:val="3"/>
  </w:num>
  <w:num w:numId="9">
    <w:abstractNumId w:val="1"/>
  </w:num>
  <w:num w:numId="10">
    <w:abstractNumId w:val="7"/>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57"/>
    <w:rsid w:val="00000D34"/>
    <w:rsid w:val="000017B2"/>
    <w:rsid w:val="00001C35"/>
    <w:rsid w:val="00001D58"/>
    <w:rsid w:val="00001FC7"/>
    <w:rsid w:val="00005D3F"/>
    <w:rsid w:val="00005F95"/>
    <w:rsid w:val="00006215"/>
    <w:rsid w:val="0000734B"/>
    <w:rsid w:val="000101ED"/>
    <w:rsid w:val="000165D1"/>
    <w:rsid w:val="00020CE2"/>
    <w:rsid w:val="000218F9"/>
    <w:rsid w:val="00021FAC"/>
    <w:rsid w:val="00023523"/>
    <w:rsid w:val="00025BC7"/>
    <w:rsid w:val="0003334B"/>
    <w:rsid w:val="00034335"/>
    <w:rsid w:val="00035067"/>
    <w:rsid w:val="0003676C"/>
    <w:rsid w:val="00041A42"/>
    <w:rsid w:val="000430A9"/>
    <w:rsid w:val="00044964"/>
    <w:rsid w:val="00044AEE"/>
    <w:rsid w:val="00046715"/>
    <w:rsid w:val="00052235"/>
    <w:rsid w:val="00056C85"/>
    <w:rsid w:val="000602B8"/>
    <w:rsid w:val="000607AC"/>
    <w:rsid w:val="00061063"/>
    <w:rsid w:val="00061FEF"/>
    <w:rsid w:val="00062A26"/>
    <w:rsid w:val="00066749"/>
    <w:rsid w:val="00066A1E"/>
    <w:rsid w:val="00072ECD"/>
    <w:rsid w:val="000737CD"/>
    <w:rsid w:val="00074A7E"/>
    <w:rsid w:val="00076978"/>
    <w:rsid w:val="00077236"/>
    <w:rsid w:val="000773EF"/>
    <w:rsid w:val="00077833"/>
    <w:rsid w:val="0008242A"/>
    <w:rsid w:val="0008361E"/>
    <w:rsid w:val="00083A9E"/>
    <w:rsid w:val="00085409"/>
    <w:rsid w:val="000865A2"/>
    <w:rsid w:val="000904D1"/>
    <w:rsid w:val="00090F9D"/>
    <w:rsid w:val="00091177"/>
    <w:rsid w:val="00091466"/>
    <w:rsid w:val="00092509"/>
    <w:rsid w:val="00094622"/>
    <w:rsid w:val="00095E6B"/>
    <w:rsid w:val="00096DF1"/>
    <w:rsid w:val="00097D5E"/>
    <w:rsid w:val="000A0EF0"/>
    <w:rsid w:val="000A3E6B"/>
    <w:rsid w:val="000A65E6"/>
    <w:rsid w:val="000A65E7"/>
    <w:rsid w:val="000A7809"/>
    <w:rsid w:val="000B4EBE"/>
    <w:rsid w:val="000B65C4"/>
    <w:rsid w:val="000C31DE"/>
    <w:rsid w:val="000C4756"/>
    <w:rsid w:val="000C4F9C"/>
    <w:rsid w:val="000C5D89"/>
    <w:rsid w:val="000C7288"/>
    <w:rsid w:val="000C74DF"/>
    <w:rsid w:val="000D0D47"/>
    <w:rsid w:val="000D364D"/>
    <w:rsid w:val="000D3C08"/>
    <w:rsid w:val="000D3D2D"/>
    <w:rsid w:val="000D416A"/>
    <w:rsid w:val="000D53DF"/>
    <w:rsid w:val="000D5540"/>
    <w:rsid w:val="000E1014"/>
    <w:rsid w:val="000E142E"/>
    <w:rsid w:val="000E1659"/>
    <w:rsid w:val="000E27CD"/>
    <w:rsid w:val="000E707D"/>
    <w:rsid w:val="000E7E06"/>
    <w:rsid w:val="000E7F66"/>
    <w:rsid w:val="000F076E"/>
    <w:rsid w:val="000F0E4D"/>
    <w:rsid w:val="000F158C"/>
    <w:rsid w:val="000F18ED"/>
    <w:rsid w:val="000F1A9E"/>
    <w:rsid w:val="000F2770"/>
    <w:rsid w:val="000F30D3"/>
    <w:rsid w:val="000F5EA2"/>
    <w:rsid w:val="000F693E"/>
    <w:rsid w:val="001013B7"/>
    <w:rsid w:val="00101ED7"/>
    <w:rsid w:val="00104132"/>
    <w:rsid w:val="001048F7"/>
    <w:rsid w:val="001066B2"/>
    <w:rsid w:val="00110404"/>
    <w:rsid w:val="00113161"/>
    <w:rsid w:val="00113EAF"/>
    <w:rsid w:val="001152CD"/>
    <w:rsid w:val="001158C1"/>
    <w:rsid w:val="00116785"/>
    <w:rsid w:val="0013192D"/>
    <w:rsid w:val="00131963"/>
    <w:rsid w:val="00132C5C"/>
    <w:rsid w:val="00133B37"/>
    <w:rsid w:val="00134E0C"/>
    <w:rsid w:val="00135070"/>
    <w:rsid w:val="00135CB9"/>
    <w:rsid w:val="001369A8"/>
    <w:rsid w:val="0013732B"/>
    <w:rsid w:val="00137474"/>
    <w:rsid w:val="00140E9F"/>
    <w:rsid w:val="001435D3"/>
    <w:rsid w:val="00143F12"/>
    <w:rsid w:val="00146242"/>
    <w:rsid w:val="001469FD"/>
    <w:rsid w:val="00151B4B"/>
    <w:rsid w:val="00151CAB"/>
    <w:rsid w:val="0015672C"/>
    <w:rsid w:val="00156F49"/>
    <w:rsid w:val="00157946"/>
    <w:rsid w:val="00161019"/>
    <w:rsid w:val="00161CFC"/>
    <w:rsid w:val="00162C25"/>
    <w:rsid w:val="00162FAC"/>
    <w:rsid w:val="00164A69"/>
    <w:rsid w:val="00165AAA"/>
    <w:rsid w:val="00167224"/>
    <w:rsid w:val="00167DC0"/>
    <w:rsid w:val="00172436"/>
    <w:rsid w:val="001725E8"/>
    <w:rsid w:val="00172DC9"/>
    <w:rsid w:val="00176C33"/>
    <w:rsid w:val="0017726A"/>
    <w:rsid w:val="00180F88"/>
    <w:rsid w:val="0018163F"/>
    <w:rsid w:val="00183CEF"/>
    <w:rsid w:val="00185264"/>
    <w:rsid w:val="00187D7C"/>
    <w:rsid w:val="00190A4D"/>
    <w:rsid w:val="00190D2C"/>
    <w:rsid w:val="00190D87"/>
    <w:rsid w:val="001923DC"/>
    <w:rsid w:val="0019254E"/>
    <w:rsid w:val="00192C1F"/>
    <w:rsid w:val="00194A2C"/>
    <w:rsid w:val="001A05CC"/>
    <w:rsid w:val="001A1A9A"/>
    <w:rsid w:val="001A3AB5"/>
    <w:rsid w:val="001A4F76"/>
    <w:rsid w:val="001A5081"/>
    <w:rsid w:val="001A5201"/>
    <w:rsid w:val="001A5604"/>
    <w:rsid w:val="001A5D90"/>
    <w:rsid w:val="001B3A2B"/>
    <w:rsid w:val="001C0A3B"/>
    <w:rsid w:val="001C1FB6"/>
    <w:rsid w:val="001C3BDC"/>
    <w:rsid w:val="001C45F2"/>
    <w:rsid w:val="001C5796"/>
    <w:rsid w:val="001C59AA"/>
    <w:rsid w:val="001C7327"/>
    <w:rsid w:val="001C77A6"/>
    <w:rsid w:val="001D02CC"/>
    <w:rsid w:val="001D1404"/>
    <w:rsid w:val="001D32C5"/>
    <w:rsid w:val="001D35F2"/>
    <w:rsid w:val="001D4CCB"/>
    <w:rsid w:val="001D4ED3"/>
    <w:rsid w:val="001D4F2D"/>
    <w:rsid w:val="001D529A"/>
    <w:rsid w:val="001D7B5C"/>
    <w:rsid w:val="001E024D"/>
    <w:rsid w:val="001E1818"/>
    <w:rsid w:val="001E257D"/>
    <w:rsid w:val="001E3597"/>
    <w:rsid w:val="001E4551"/>
    <w:rsid w:val="001E5C4E"/>
    <w:rsid w:val="001F0088"/>
    <w:rsid w:val="001F0835"/>
    <w:rsid w:val="001F0D72"/>
    <w:rsid w:val="001F1059"/>
    <w:rsid w:val="001F2256"/>
    <w:rsid w:val="001F5375"/>
    <w:rsid w:val="0020062B"/>
    <w:rsid w:val="00204218"/>
    <w:rsid w:val="00205049"/>
    <w:rsid w:val="00207B6A"/>
    <w:rsid w:val="00207ECD"/>
    <w:rsid w:val="002102C3"/>
    <w:rsid w:val="00210351"/>
    <w:rsid w:val="00210EF9"/>
    <w:rsid w:val="00211E1C"/>
    <w:rsid w:val="002141B4"/>
    <w:rsid w:val="002154D3"/>
    <w:rsid w:val="0021658F"/>
    <w:rsid w:val="00220691"/>
    <w:rsid w:val="00222394"/>
    <w:rsid w:val="002227BC"/>
    <w:rsid w:val="00225001"/>
    <w:rsid w:val="00226608"/>
    <w:rsid w:val="00230C1F"/>
    <w:rsid w:val="00230F16"/>
    <w:rsid w:val="0023137C"/>
    <w:rsid w:val="00233149"/>
    <w:rsid w:val="00233B44"/>
    <w:rsid w:val="00234598"/>
    <w:rsid w:val="00236201"/>
    <w:rsid w:val="00241D32"/>
    <w:rsid w:val="00245116"/>
    <w:rsid w:val="00246C2C"/>
    <w:rsid w:val="00247EFD"/>
    <w:rsid w:val="0025091C"/>
    <w:rsid w:val="00252170"/>
    <w:rsid w:val="002543EC"/>
    <w:rsid w:val="0025468F"/>
    <w:rsid w:val="0025660D"/>
    <w:rsid w:val="0025724C"/>
    <w:rsid w:val="002627A6"/>
    <w:rsid w:val="00262EF2"/>
    <w:rsid w:val="00262FA0"/>
    <w:rsid w:val="00263286"/>
    <w:rsid w:val="002633C4"/>
    <w:rsid w:val="00265208"/>
    <w:rsid w:val="002663BE"/>
    <w:rsid w:val="002678B5"/>
    <w:rsid w:val="00270F77"/>
    <w:rsid w:val="0027271C"/>
    <w:rsid w:val="0027394F"/>
    <w:rsid w:val="0027451A"/>
    <w:rsid w:val="00275381"/>
    <w:rsid w:val="00275F3E"/>
    <w:rsid w:val="00277075"/>
    <w:rsid w:val="00277355"/>
    <w:rsid w:val="00280118"/>
    <w:rsid w:val="0028125A"/>
    <w:rsid w:val="00281D86"/>
    <w:rsid w:val="00282E5F"/>
    <w:rsid w:val="00284521"/>
    <w:rsid w:val="00285FA6"/>
    <w:rsid w:val="0028629C"/>
    <w:rsid w:val="00286D64"/>
    <w:rsid w:val="00291CC9"/>
    <w:rsid w:val="002921E6"/>
    <w:rsid w:val="00292663"/>
    <w:rsid w:val="002927EC"/>
    <w:rsid w:val="00295311"/>
    <w:rsid w:val="002954C0"/>
    <w:rsid w:val="00296608"/>
    <w:rsid w:val="00296707"/>
    <w:rsid w:val="002A098B"/>
    <w:rsid w:val="002A0D3E"/>
    <w:rsid w:val="002A48AB"/>
    <w:rsid w:val="002A4CE8"/>
    <w:rsid w:val="002A543F"/>
    <w:rsid w:val="002A5587"/>
    <w:rsid w:val="002A5F9E"/>
    <w:rsid w:val="002A664F"/>
    <w:rsid w:val="002B0797"/>
    <w:rsid w:val="002B1E69"/>
    <w:rsid w:val="002B2217"/>
    <w:rsid w:val="002B311F"/>
    <w:rsid w:val="002B66FE"/>
    <w:rsid w:val="002C0B1C"/>
    <w:rsid w:val="002C183D"/>
    <w:rsid w:val="002C3404"/>
    <w:rsid w:val="002C43FB"/>
    <w:rsid w:val="002C4926"/>
    <w:rsid w:val="002C6CB1"/>
    <w:rsid w:val="002D0028"/>
    <w:rsid w:val="002D0569"/>
    <w:rsid w:val="002D0651"/>
    <w:rsid w:val="002D1564"/>
    <w:rsid w:val="002D30F4"/>
    <w:rsid w:val="002D3273"/>
    <w:rsid w:val="002D6773"/>
    <w:rsid w:val="002D6FCE"/>
    <w:rsid w:val="002D7534"/>
    <w:rsid w:val="002E0D5C"/>
    <w:rsid w:val="002E2365"/>
    <w:rsid w:val="002E2C63"/>
    <w:rsid w:val="002E31EB"/>
    <w:rsid w:val="002E4804"/>
    <w:rsid w:val="002E52E9"/>
    <w:rsid w:val="002E5FDB"/>
    <w:rsid w:val="002E7D49"/>
    <w:rsid w:val="002E7EE4"/>
    <w:rsid w:val="002F091C"/>
    <w:rsid w:val="002F0EFA"/>
    <w:rsid w:val="002F223A"/>
    <w:rsid w:val="002F29EF"/>
    <w:rsid w:val="002F71A9"/>
    <w:rsid w:val="00300A26"/>
    <w:rsid w:val="00301209"/>
    <w:rsid w:val="0030168E"/>
    <w:rsid w:val="00301DD5"/>
    <w:rsid w:val="00301E74"/>
    <w:rsid w:val="003069EF"/>
    <w:rsid w:val="00306CD7"/>
    <w:rsid w:val="00307568"/>
    <w:rsid w:val="003103B6"/>
    <w:rsid w:val="00311D8F"/>
    <w:rsid w:val="0031288F"/>
    <w:rsid w:val="00313DD1"/>
    <w:rsid w:val="00314147"/>
    <w:rsid w:val="00314829"/>
    <w:rsid w:val="00321284"/>
    <w:rsid w:val="0032270E"/>
    <w:rsid w:val="00323068"/>
    <w:rsid w:val="003234B6"/>
    <w:rsid w:val="00323656"/>
    <w:rsid w:val="00323E77"/>
    <w:rsid w:val="0032505A"/>
    <w:rsid w:val="003315A8"/>
    <w:rsid w:val="003323D0"/>
    <w:rsid w:val="0033242D"/>
    <w:rsid w:val="00333DD5"/>
    <w:rsid w:val="003345D9"/>
    <w:rsid w:val="003346FA"/>
    <w:rsid w:val="00334D27"/>
    <w:rsid w:val="00334EC4"/>
    <w:rsid w:val="00337EAD"/>
    <w:rsid w:val="00340117"/>
    <w:rsid w:val="0034031E"/>
    <w:rsid w:val="003425E5"/>
    <w:rsid w:val="00342D68"/>
    <w:rsid w:val="00343614"/>
    <w:rsid w:val="00343F0D"/>
    <w:rsid w:val="00344B91"/>
    <w:rsid w:val="00344D4A"/>
    <w:rsid w:val="00347569"/>
    <w:rsid w:val="00353461"/>
    <w:rsid w:val="0035376E"/>
    <w:rsid w:val="00354094"/>
    <w:rsid w:val="00355A8B"/>
    <w:rsid w:val="00355D6E"/>
    <w:rsid w:val="00360441"/>
    <w:rsid w:val="00362287"/>
    <w:rsid w:val="00366F7E"/>
    <w:rsid w:val="00370D32"/>
    <w:rsid w:val="00371892"/>
    <w:rsid w:val="00372BFC"/>
    <w:rsid w:val="00372E0A"/>
    <w:rsid w:val="00380821"/>
    <w:rsid w:val="00381330"/>
    <w:rsid w:val="00381E7E"/>
    <w:rsid w:val="003861CC"/>
    <w:rsid w:val="003922B2"/>
    <w:rsid w:val="00393189"/>
    <w:rsid w:val="003938AB"/>
    <w:rsid w:val="00394619"/>
    <w:rsid w:val="00395692"/>
    <w:rsid w:val="003964E1"/>
    <w:rsid w:val="003A0A4A"/>
    <w:rsid w:val="003A27B1"/>
    <w:rsid w:val="003A3A71"/>
    <w:rsid w:val="003A4952"/>
    <w:rsid w:val="003A562E"/>
    <w:rsid w:val="003A5870"/>
    <w:rsid w:val="003A68DC"/>
    <w:rsid w:val="003A6BD9"/>
    <w:rsid w:val="003B1AEF"/>
    <w:rsid w:val="003B1E74"/>
    <w:rsid w:val="003B4798"/>
    <w:rsid w:val="003B67A3"/>
    <w:rsid w:val="003B6F1C"/>
    <w:rsid w:val="003B7176"/>
    <w:rsid w:val="003B7962"/>
    <w:rsid w:val="003C0A8A"/>
    <w:rsid w:val="003C232E"/>
    <w:rsid w:val="003C34B8"/>
    <w:rsid w:val="003C599E"/>
    <w:rsid w:val="003C68AF"/>
    <w:rsid w:val="003C73D4"/>
    <w:rsid w:val="003C7689"/>
    <w:rsid w:val="003D0819"/>
    <w:rsid w:val="003D35E4"/>
    <w:rsid w:val="003D4B64"/>
    <w:rsid w:val="003D4C57"/>
    <w:rsid w:val="003D695A"/>
    <w:rsid w:val="003E0A9D"/>
    <w:rsid w:val="003E3EB3"/>
    <w:rsid w:val="003E73EC"/>
    <w:rsid w:val="003E7DA7"/>
    <w:rsid w:val="003F036A"/>
    <w:rsid w:val="003F0457"/>
    <w:rsid w:val="003F135F"/>
    <w:rsid w:val="003F20FC"/>
    <w:rsid w:val="003F2663"/>
    <w:rsid w:val="003F2D10"/>
    <w:rsid w:val="003F4F79"/>
    <w:rsid w:val="003F7700"/>
    <w:rsid w:val="00400C8E"/>
    <w:rsid w:val="00402C32"/>
    <w:rsid w:val="00403DA1"/>
    <w:rsid w:val="00404113"/>
    <w:rsid w:val="00405871"/>
    <w:rsid w:val="00405D92"/>
    <w:rsid w:val="0040770F"/>
    <w:rsid w:val="004079B7"/>
    <w:rsid w:val="004101CE"/>
    <w:rsid w:val="0041139B"/>
    <w:rsid w:val="00413490"/>
    <w:rsid w:val="00420571"/>
    <w:rsid w:val="00421368"/>
    <w:rsid w:val="00421A09"/>
    <w:rsid w:val="00423AAC"/>
    <w:rsid w:val="00425304"/>
    <w:rsid w:val="0043030F"/>
    <w:rsid w:val="004310D4"/>
    <w:rsid w:val="00432812"/>
    <w:rsid w:val="00433EAB"/>
    <w:rsid w:val="004348D3"/>
    <w:rsid w:val="00440601"/>
    <w:rsid w:val="00440FA6"/>
    <w:rsid w:val="0044207C"/>
    <w:rsid w:val="00442F58"/>
    <w:rsid w:val="004455AE"/>
    <w:rsid w:val="0044724D"/>
    <w:rsid w:val="00450483"/>
    <w:rsid w:val="00451123"/>
    <w:rsid w:val="004526A1"/>
    <w:rsid w:val="00453DCD"/>
    <w:rsid w:val="00455968"/>
    <w:rsid w:val="0046000B"/>
    <w:rsid w:val="00460D89"/>
    <w:rsid w:val="00464615"/>
    <w:rsid w:val="0046550F"/>
    <w:rsid w:val="00466743"/>
    <w:rsid w:val="00466F11"/>
    <w:rsid w:val="00467305"/>
    <w:rsid w:val="00467F73"/>
    <w:rsid w:val="004714BD"/>
    <w:rsid w:val="004727B0"/>
    <w:rsid w:val="0047322C"/>
    <w:rsid w:val="00473788"/>
    <w:rsid w:val="00473D97"/>
    <w:rsid w:val="004756D0"/>
    <w:rsid w:val="00475B03"/>
    <w:rsid w:val="00477E5C"/>
    <w:rsid w:val="00477F25"/>
    <w:rsid w:val="004801BD"/>
    <w:rsid w:val="00480E7C"/>
    <w:rsid w:val="0048358C"/>
    <w:rsid w:val="00483719"/>
    <w:rsid w:val="00484BBB"/>
    <w:rsid w:val="00485076"/>
    <w:rsid w:val="00486300"/>
    <w:rsid w:val="004865F8"/>
    <w:rsid w:val="004932C3"/>
    <w:rsid w:val="0049555E"/>
    <w:rsid w:val="0049556E"/>
    <w:rsid w:val="00496950"/>
    <w:rsid w:val="00497198"/>
    <w:rsid w:val="004A4901"/>
    <w:rsid w:val="004A604F"/>
    <w:rsid w:val="004A66AC"/>
    <w:rsid w:val="004A67A0"/>
    <w:rsid w:val="004A6F7E"/>
    <w:rsid w:val="004B09E3"/>
    <w:rsid w:val="004B1471"/>
    <w:rsid w:val="004B6169"/>
    <w:rsid w:val="004B7028"/>
    <w:rsid w:val="004B773F"/>
    <w:rsid w:val="004C0569"/>
    <w:rsid w:val="004C1F05"/>
    <w:rsid w:val="004C2670"/>
    <w:rsid w:val="004C40AC"/>
    <w:rsid w:val="004C46BA"/>
    <w:rsid w:val="004C5569"/>
    <w:rsid w:val="004C565B"/>
    <w:rsid w:val="004C77FD"/>
    <w:rsid w:val="004D3494"/>
    <w:rsid w:val="004D3D1E"/>
    <w:rsid w:val="004D40E5"/>
    <w:rsid w:val="004D44E1"/>
    <w:rsid w:val="004D5988"/>
    <w:rsid w:val="004E0D81"/>
    <w:rsid w:val="004E223A"/>
    <w:rsid w:val="004E266D"/>
    <w:rsid w:val="004E2851"/>
    <w:rsid w:val="004E3E8B"/>
    <w:rsid w:val="004E459A"/>
    <w:rsid w:val="004E5469"/>
    <w:rsid w:val="004E5D3C"/>
    <w:rsid w:val="004E6B01"/>
    <w:rsid w:val="004F074A"/>
    <w:rsid w:val="004F0A09"/>
    <w:rsid w:val="004F1208"/>
    <w:rsid w:val="004F1688"/>
    <w:rsid w:val="004F25B3"/>
    <w:rsid w:val="004F25CA"/>
    <w:rsid w:val="004F5B41"/>
    <w:rsid w:val="004F5E10"/>
    <w:rsid w:val="004F62D9"/>
    <w:rsid w:val="004F6A21"/>
    <w:rsid w:val="004F72B0"/>
    <w:rsid w:val="005003B0"/>
    <w:rsid w:val="00500945"/>
    <w:rsid w:val="005125D4"/>
    <w:rsid w:val="005134EF"/>
    <w:rsid w:val="00513762"/>
    <w:rsid w:val="005152A4"/>
    <w:rsid w:val="00516531"/>
    <w:rsid w:val="00517259"/>
    <w:rsid w:val="005172C6"/>
    <w:rsid w:val="00520786"/>
    <w:rsid w:val="00520E8A"/>
    <w:rsid w:val="00525732"/>
    <w:rsid w:val="00527587"/>
    <w:rsid w:val="00527D31"/>
    <w:rsid w:val="00530AF1"/>
    <w:rsid w:val="00530D59"/>
    <w:rsid w:val="0053296A"/>
    <w:rsid w:val="00534BA7"/>
    <w:rsid w:val="00536B59"/>
    <w:rsid w:val="005377DC"/>
    <w:rsid w:val="00542E63"/>
    <w:rsid w:val="00542E91"/>
    <w:rsid w:val="005437B9"/>
    <w:rsid w:val="00544B37"/>
    <w:rsid w:val="00545126"/>
    <w:rsid w:val="005459E7"/>
    <w:rsid w:val="005507F9"/>
    <w:rsid w:val="00552C16"/>
    <w:rsid w:val="00552F37"/>
    <w:rsid w:val="00553707"/>
    <w:rsid w:val="0055391F"/>
    <w:rsid w:val="00553A80"/>
    <w:rsid w:val="0056028C"/>
    <w:rsid w:val="00560DE8"/>
    <w:rsid w:val="00562014"/>
    <w:rsid w:val="005624FD"/>
    <w:rsid w:val="005635F0"/>
    <w:rsid w:val="0056479D"/>
    <w:rsid w:val="00564DF6"/>
    <w:rsid w:val="00564E33"/>
    <w:rsid w:val="005663D8"/>
    <w:rsid w:val="005718C4"/>
    <w:rsid w:val="00571CE4"/>
    <w:rsid w:val="0057266E"/>
    <w:rsid w:val="005726E6"/>
    <w:rsid w:val="00575715"/>
    <w:rsid w:val="0058234D"/>
    <w:rsid w:val="0058458B"/>
    <w:rsid w:val="00584F18"/>
    <w:rsid w:val="0058731B"/>
    <w:rsid w:val="0059125B"/>
    <w:rsid w:val="00591C63"/>
    <w:rsid w:val="005920E5"/>
    <w:rsid w:val="005933A7"/>
    <w:rsid w:val="005949EF"/>
    <w:rsid w:val="005954E2"/>
    <w:rsid w:val="0059573D"/>
    <w:rsid w:val="00595F14"/>
    <w:rsid w:val="005A27B0"/>
    <w:rsid w:val="005A2F6A"/>
    <w:rsid w:val="005A349E"/>
    <w:rsid w:val="005A4EC4"/>
    <w:rsid w:val="005A5195"/>
    <w:rsid w:val="005A64E4"/>
    <w:rsid w:val="005A6712"/>
    <w:rsid w:val="005B0736"/>
    <w:rsid w:val="005B0C36"/>
    <w:rsid w:val="005B0E34"/>
    <w:rsid w:val="005B1638"/>
    <w:rsid w:val="005B460F"/>
    <w:rsid w:val="005B7AC9"/>
    <w:rsid w:val="005C0685"/>
    <w:rsid w:val="005C23E1"/>
    <w:rsid w:val="005C2815"/>
    <w:rsid w:val="005C2E1A"/>
    <w:rsid w:val="005C34BC"/>
    <w:rsid w:val="005C56EC"/>
    <w:rsid w:val="005D009A"/>
    <w:rsid w:val="005D0515"/>
    <w:rsid w:val="005D1051"/>
    <w:rsid w:val="005D336C"/>
    <w:rsid w:val="005D3B38"/>
    <w:rsid w:val="005D4135"/>
    <w:rsid w:val="005D5CC6"/>
    <w:rsid w:val="005D6470"/>
    <w:rsid w:val="005D75A7"/>
    <w:rsid w:val="005E19B3"/>
    <w:rsid w:val="005E2603"/>
    <w:rsid w:val="005E48EC"/>
    <w:rsid w:val="005E50D5"/>
    <w:rsid w:val="005E574E"/>
    <w:rsid w:val="005E5D9C"/>
    <w:rsid w:val="005E6392"/>
    <w:rsid w:val="005E6704"/>
    <w:rsid w:val="005F15E8"/>
    <w:rsid w:val="005F520B"/>
    <w:rsid w:val="005F7239"/>
    <w:rsid w:val="005F7240"/>
    <w:rsid w:val="00601827"/>
    <w:rsid w:val="006033DA"/>
    <w:rsid w:val="006034E3"/>
    <w:rsid w:val="0060420A"/>
    <w:rsid w:val="00606473"/>
    <w:rsid w:val="00606C2B"/>
    <w:rsid w:val="00607E97"/>
    <w:rsid w:val="006127E5"/>
    <w:rsid w:val="00612FB2"/>
    <w:rsid w:val="006137A8"/>
    <w:rsid w:val="00613907"/>
    <w:rsid w:val="006154D4"/>
    <w:rsid w:val="006158AE"/>
    <w:rsid w:val="00617E2A"/>
    <w:rsid w:val="0062198D"/>
    <w:rsid w:val="00625818"/>
    <w:rsid w:val="00630178"/>
    <w:rsid w:val="006301D8"/>
    <w:rsid w:val="00632148"/>
    <w:rsid w:val="00632228"/>
    <w:rsid w:val="0063330B"/>
    <w:rsid w:val="00633A85"/>
    <w:rsid w:val="006344AF"/>
    <w:rsid w:val="00634740"/>
    <w:rsid w:val="0063624A"/>
    <w:rsid w:val="00637B79"/>
    <w:rsid w:val="00640341"/>
    <w:rsid w:val="00642C4B"/>
    <w:rsid w:val="00642D46"/>
    <w:rsid w:val="00644168"/>
    <w:rsid w:val="006469BD"/>
    <w:rsid w:val="00650A91"/>
    <w:rsid w:val="00650BC7"/>
    <w:rsid w:val="00651182"/>
    <w:rsid w:val="00651550"/>
    <w:rsid w:val="006548A6"/>
    <w:rsid w:val="00654C78"/>
    <w:rsid w:val="00656FD2"/>
    <w:rsid w:val="006572A8"/>
    <w:rsid w:val="006579B2"/>
    <w:rsid w:val="00657B91"/>
    <w:rsid w:val="0066106F"/>
    <w:rsid w:val="006613C5"/>
    <w:rsid w:val="00662A5B"/>
    <w:rsid w:val="00664113"/>
    <w:rsid w:val="0066540A"/>
    <w:rsid w:val="00665A5C"/>
    <w:rsid w:val="00666538"/>
    <w:rsid w:val="006673C3"/>
    <w:rsid w:val="0067322F"/>
    <w:rsid w:val="006739BC"/>
    <w:rsid w:val="0067646C"/>
    <w:rsid w:val="0067730F"/>
    <w:rsid w:val="006779E9"/>
    <w:rsid w:val="00680B6E"/>
    <w:rsid w:val="00680EDF"/>
    <w:rsid w:val="006810BB"/>
    <w:rsid w:val="006832D9"/>
    <w:rsid w:val="00685679"/>
    <w:rsid w:val="00685C15"/>
    <w:rsid w:val="0069040A"/>
    <w:rsid w:val="006925A7"/>
    <w:rsid w:val="00692D4C"/>
    <w:rsid w:val="00693A82"/>
    <w:rsid w:val="006943ED"/>
    <w:rsid w:val="0069440E"/>
    <w:rsid w:val="00694C7D"/>
    <w:rsid w:val="00696682"/>
    <w:rsid w:val="00696CA8"/>
    <w:rsid w:val="0069712A"/>
    <w:rsid w:val="00697191"/>
    <w:rsid w:val="006972FE"/>
    <w:rsid w:val="006A1AF4"/>
    <w:rsid w:val="006A3471"/>
    <w:rsid w:val="006A3787"/>
    <w:rsid w:val="006A5923"/>
    <w:rsid w:val="006A599F"/>
    <w:rsid w:val="006A5C51"/>
    <w:rsid w:val="006A688B"/>
    <w:rsid w:val="006A7237"/>
    <w:rsid w:val="006B1BB9"/>
    <w:rsid w:val="006B4104"/>
    <w:rsid w:val="006B74C5"/>
    <w:rsid w:val="006C073E"/>
    <w:rsid w:val="006C2131"/>
    <w:rsid w:val="006C26B4"/>
    <w:rsid w:val="006D28F8"/>
    <w:rsid w:val="006D5018"/>
    <w:rsid w:val="006D6355"/>
    <w:rsid w:val="006D6F73"/>
    <w:rsid w:val="006D72B3"/>
    <w:rsid w:val="006D7399"/>
    <w:rsid w:val="006D7D88"/>
    <w:rsid w:val="006E037B"/>
    <w:rsid w:val="006E1978"/>
    <w:rsid w:val="006E2757"/>
    <w:rsid w:val="006E36CC"/>
    <w:rsid w:val="006F015B"/>
    <w:rsid w:val="006F0DF0"/>
    <w:rsid w:val="006F2EFD"/>
    <w:rsid w:val="006F4D48"/>
    <w:rsid w:val="006F642B"/>
    <w:rsid w:val="00701C6B"/>
    <w:rsid w:val="0070306B"/>
    <w:rsid w:val="00704D84"/>
    <w:rsid w:val="007079CD"/>
    <w:rsid w:val="00707B27"/>
    <w:rsid w:val="00707C5B"/>
    <w:rsid w:val="00707D9F"/>
    <w:rsid w:val="00710A47"/>
    <w:rsid w:val="0071193F"/>
    <w:rsid w:val="00712EEA"/>
    <w:rsid w:val="0071362D"/>
    <w:rsid w:val="0071386F"/>
    <w:rsid w:val="0071632A"/>
    <w:rsid w:val="00720262"/>
    <w:rsid w:val="00721627"/>
    <w:rsid w:val="00721699"/>
    <w:rsid w:val="00723AEC"/>
    <w:rsid w:val="0072422F"/>
    <w:rsid w:val="007258C9"/>
    <w:rsid w:val="00725AC2"/>
    <w:rsid w:val="007310AC"/>
    <w:rsid w:val="00733682"/>
    <w:rsid w:val="00734527"/>
    <w:rsid w:val="00734E36"/>
    <w:rsid w:val="00735330"/>
    <w:rsid w:val="00737B2F"/>
    <w:rsid w:val="0074074F"/>
    <w:rsid w:val="00740F53"/>
    <w:rsid w:val="00742821"/>
    <w:rsid w:val="0074423D"/>
    <w:rsid w:val="00745340"/>
    <w:rsid w:val="007469C9"/>
    <w:rsid w:val="00746AC4"/>
    <w:rsid w:val="00746CFE"/>
    <w:rsid w:val="00750FFD"/>
    <w:rsid w:val="007529F6"/>
    <w:rsid w:val="007625B8"/>
    <w:rsid w:val="0076331D"/>
    <w:rsid w:val="00765178"/>
    <w:rsid w:val="0076527D"/>
    <w:rsid w:val="00765421"/>
    <w:rsid w:val="007654D1"/>
    <w:rsid w:val="007669A7"/>
    <w:rsid w:val="00770C3F"/>
    <w:rsid w:val="00770CFD"/>
    <w:rsid w:val="007745F8"/>
    <w:rsid w:val="00774639"/>
    <w:rsid w:val="007748D8"/>
    <w:rsid w:val="007760F2"/>
    <w:rsid w:val="00781690"/>
    <w:rsid w:val="00781903"/>
    <w:rsid w:val="00782B39"/>
    <w:rsid w:val="007843D7"/>
    <w:rsid w:val="00784BF1"/>
    <w:rsid w:val="007860C6"/>
    <w:rsid w:val="00787531"/>
    <w:rsid w:val="00790591"/>
    <w:rsid w:val="00791C9E"/>
    <w:rsid w:val="00794CC8"/>
    <w:rsid w:val="0079621F"/>
    <w:rsid w:val="007966AE"/>
    <w:rsid w:val="007A0017"/>
    <w:rsid w:val="007A0128"/>
    <w:rsid w:val="007A44E2"/>
    <w:rsid w:val="007A4858"/>
    <w:rsid w:val="007A48C3"/>
    <w:rsid w:val="007A7422"/>
    <w:rsid w:val="007B2DF6"/>
    <w:rsid w:val="007B3CEA"/>
    <w:rsid w:val="007B49A3"/>
    <w:rsid w:val="007B5C35"/>
    <w:rsid w:val="007C1266"/>
    <w:rsid w:val="007C1AFA"/>
    <w:rsid w:val="007C1CFD"/>
    <w:rsid w:val="007C4199"/>
    <w:rsid w:val="007C4DB2"/>
    <w:rsid w:val="007C7140"/>
    <w:rsid w:val="007C7BB4"/>
    <w:rsid w:val="007D0A7B"/>
    <w:rsid w:val="007D438B"/>
    <w:rsid w:val="007D4397"/>
    <w:rsid w:val="007D4E4C"/>
    <w:rsid w:val="007D53B1"/>
    <w:rsid w:val="007D6401"/>
    <w:rsid w:val="007E086E"/>
    <w:rsid w:val="007E1283"/>
    <w:rsid w:val="007E1DEC"/>
    <w:rsid w:val="007E2330"/>
    <w:rsid w:val="007E2F9D"/>
    <w:rsid w:val="007E3AEB"/>
    <w:rsid w:val="007E45D5"/>
    <w:rsid w:val="007E5F8B"/>
    <w:rsid w:val="007F1BDC"/>
    <w:rsid w:val="007F2F64"/>
    <w:rsid w:val="007F42A4"/>
    <w:rsid w:val="007F6862"/>
    <w:rsid w:val="00801B45"/>
    <w:rsid w:val="00802482"/>
    <w:rsid w:val="00802AD4"/>
    <w:rsid w:val="008030B6"/>
    <w:rsid w:val="00803B6D"/>
    <w:rsid w:val="0080483D"/>
    <w:rsid w:val="008065B1"/>
    <w:rsid w:val="00806B53"/>
    <w:rsid w:val="00810448"/>
    <w:rsid w:val="0081062D"/>
    <w:rsid w:val="008109D3"/>
    <w:rsid w:val="00811F95"/>
    <w:rsid w:val="008167AC"/>
    <w:rsid w:val="00816CA3"/>
    <w:rsid w:val="00821D14"/>
    <w:rsid w:val="00823324"/>
    <w:rsid w:val="00823952"/>
    <w:rsid w:val="00825117"/>
    <w:rsid w:val="008253B7"/>
    <w:rsid w:val="00825445"/>
    <w:rsid w:val="00826993"/>
    <w:rsid w:val="008274F2"/>
    <w:rsid w:val="00830935"/>
    <w:rsid w:val="00831E9F"/>
    <w:rsid w:val="00832BF1"/>
    <w:rsid w:val="00833C5E"/>
    <w:rsid w:val="00834A59"/>
    <w:rsid w:val="0083514C"/>
    <w:rsid w:val="00840B60"/>
    <w:rsid w:val="00841A71"/>
    <w:rsid w:val="0084636A"/>
    <w:rsid w:val="00846FED"/>
    <w:rsid w:val="00847249"/>
    <w:rsid w:val="008533EA"/>
    <w:rsid w:val="008633AB"/>
    <w:rsid w:val="008652CC"/>
    <w:rsid w:val="00865344"/>
    <w:rsid w:val="00865723"/>
    <w:rsid w:val="00866C16"/>
    <w:rsid w:val="00874D44"/>
    <w:rsid w:val="00874D66"/>
    <w:rsid w:val="0087742F"/>
    <w:rsid w:val="008809DA"/>
    <w:rsid w:val="00881829"/>
    <w:rsid w:val="00885F9E"/>
    <w:rsid w:val="00887724"/>
    <w:rsid w:val="00891C27"/>
    <w:rsid w:val="00892826"/>
    <w:rsid w:val="00892E6C"/>
    <w:rsid w:val="00895204"/>
    <w:rsid w:val="008A1107"/>
    <w:rsid w:val="008A1AE0"/>
    <w:rsid w:val="008A2693"/>
    <w:rsid w:val="008A3DC4"/>
    <w:rsid w:val="008A3F6B"/>
    <w:rsid w:val="008A5DED"/>
    <w:rsid w:val="008A6CFD"/>
    <w:rsid w:val="008A7E3B"/>
    <w:rsid w:val="008B1806"/>
    <w:rsid w:val="008B3E29"/>
    <w:rsid w:val="008B4506"/>
    <w:rsid w:val="008B4718"/>
    <w:rsid w:val="008B4724"/>
    <w:rsid w:val="008B4881"/>
    <w:rsid w:val="008B60D0"/>
    <w:rsid w:val="008B701F"/>
    <w:rsid w:val="008B723B"/>
    <w:rsid w:val="008C07DF"/>
    <w:rsid w:val="008C0DE3"/>
    <w:rsid w:val="008C2057"/>
    <w:rsid w:val="008C28E8"/>
    <w:rsid w:val="008C2BD4"/>
    <w:rsid w:val="008C463C"/>
    <w:rsid w:val="008C47B1"/>
    <w:rsid w:val="008C6101"/>
    <w:rsid w:val="008C6880"/>
    <w:rsid w:val="008C6903"/>
    <w:rsid w:val="008C6B89"/>
    <w:rsid w:val="008C6C53"/>
    <w:rsid w:val="008C7062"/>
    <w:rsid w:val="008C75F8"/>
    <w:rsid w:val="008C784F"/>
    <w:rsid w:val="008D05C9"/>
    <w:rsid w:val="008D0959"/>
    <w:rsid w:val="008D1128"/>
    <w:rsid w:val="008D64DD"/>
    <w:rsid w:val="008D66A6"/>
    <w:rsid w:val="008D6910"/>
    <w:rsid w:val="008E0304"/>
    <w:rsid w:val="008E501F"/>
    <w:rsid w:val="008E6998"/>
    <w:rsid w:val="008F08E8"/>
    <w:rsid w:val="008F14DD"/>
    <w:rsid w:val="008F4E9B"/>
    <w:rsid w:val="008F56AA"/>
    <w:rsid w:val="008F6610"/>
    <w:rsid w:val="008F770F"/>
    <w:rsid w:val="008F7E11"/>
    <w:rsid w:val="009001E7"/>
    <w:rsid w:val="00901FA9"/>
    <w:rsid w:val="00902CB9"/>
    <w:rsid w:val="00903504"/>
    <w:rsid w:val="00903532"/>
    <w:rsid w:val="00904717"/>
    <w:rsid w:val="00904753"/>
    <w:rsid w:val="00904DCD"/>
    <w:rsid w:val="009064CC"/>
    <w:rsid w:val="009073BD"/>
    <w:rsid w:val="00910370"/>
    <w:rsid w:val="009120C2"/>
    <w:rsid w:val="00912F7C"/>
    <w:rsid w:val="009134E0"/>
    <w:rsid w:val="00915721"/>
    <w:rsid w:val="0092052F"/>
    <w:rsid w:val="0092462A"/>
    <w:rsid w:val="00924A57"/>
    <w:rsid w:val="00924AAE"/>
    <w:rsid w:val="0092519E"/>
    <w:rsid w:val="00927420"/>
    <w:rsid w:val="0093224C"/>
    <w:rsid w:val="009324F3"/>
    <w:rsid w:val="0093354E"/>
    <w:rsid w:val="009336D0"/>
    <w:rsid w:val="00933CBD"/>
    <w:rsid w:val="00935375"/>
    <w:rsid w:val="009372AF"/>
    <w:rsid w:val="00937F0E"/>
    <w:rsid w:val="009450EF"/>
    <w:rsid w:val="009522BB"/>
    <w:rsid w:val="00952FD7"/>
    <w:rsid w:val="00953BB6"/>
    <w:rsid w:val="009544E9"/>
    <w:rsid w:val="00954930"/>
    <w:rsid w:val="009560E7"/>
    <w:rsid w:val="0095641D"/>
    <w:rsid w:val="00961D3D"/>
    <w:rsid w:val="00962273"/>
    <w:rsid w:val="00962E57"/>
    <w:rsid w:val="00962E73"/>
    <w:rsid w:val="00964A27"/>
    <w:rsid w:val="00965D51"/>
    <w:rsid w:val="0096658B"/>
    <w:rsid w:val="00967A14"/>
    <w:rsid w:val="009701BE"/>
    <w:rsid w:val="009706F7"/>
    <w:rsid w:val="00970A0B"/>
    <w:rsid w:val="00971266"/>
    <w:rsid w:val="0097211E"/>
    <w:rsid w:val="00972DBB"/>
    <w:rsid w:val="009732E0"/>
    <w:rsid w:val="00981759"/>
    <w:rsid w:val="0098347A"/>
    <w:rsid w:val="00983925"/>
    <w:rsid w:val="00984705"/>
    <w:rsid w:val="00985FE3"/>
    <w:rsid w:val="00986406"/>
    <w:rsid w:val="00986C75"/>
    <w:rsid w:val="0098720C"/>
    <w:rsid w:val="00987C0C"/>
    <w:rsid w:val="00990537"/>
    <w:rsid w:val="009914B0"/>
    <w:rsid w:val="0099204C"/>
    <w:rsid w:val="00994595"/>
    <w:rsid w:val="009954DF"/>
    <w:rsid w:val="009973D8"/>
    <w:rsid w:val="009A0459"/>
    <w:rsid w:val="009A0981"/>
    <w:rsid w:val="009A1E9D"/>
    <w:rsid w:val="009A220B"/>
    <w:rsid w:val="009A2405"/>
    <w:rsid w:val="009A3B00"/>
    <w:rsid w:val="009A473F"/>
    <w:rsid w:val="009A5B40"/>
    <w:rsid w:val="009A79C3"/>
    <w:rsid w:val="009B34F0"/>
    <w:rsid w:val="009B657A"/>
    <w:rsid w:val="009B6CBA"/>
    <w:rsid w:val="009C31FE"/>
    <w:rsid w:val="009C40C6"/>
    <w:rsid w:val="009C488F"/>
    <w:rsid w:val="009C4958"/>
    <w:rsid w:val="009C7447"/>
    <w:rsid w:val="009C7480"/>
    <w:rsid w:val="009D15C7"/>
    <w:rsid w:val="009D3614"/>
    <w:rsid w:val="009D36A1"/>
    <w:rsid w:val="009D4144"/>
    <w:rsid w:val="009D5C6A"/>
    <w:rsid w:val="009D6D0D"/>
    <w:rsid w:val="009E15BE"/>
    <w:rsid w:val="009E3393"/>
    <w:rsid w:val="009E459A"/>
    <w:rsid w:val="009E51F9"/>
    <w:rsid w:val="009E5945"/>
    <w:rsid w:val="009E66C3"/>
    <w:rsid w:val="009E67A0"/>
    <w:rsid w:val="009F0335"/>
    <w:rsid w:val="009F0C50"/>
    <w:rsid w:val="009F16D5"/>
    <w:rsid w:val="009F2BC6"/>
    <w:rsid w:val="009F395D"/>
    <w:rsid w:val="009F56C9"/>
    <w:rsid w:val="009F5945"/>
    <w:rsid w:val="009F59E7"/>
    <w:rsid w:val="009F5F21"/>
    <w:rsid w:val="00A025D4"/>
    <w:rsid w:val="00A0382A"/>
    <w:rsid w:val="00A049E2"/>
    <w:rsid w:val="00A07619"/>
    <w:rsid w:val="00A07DBC"/>
    <w:rsid w:val="00A125A6"/>
    <w:rsid w:val="00A126D2"/>
    <w:rsid w:val="00A12A02"/>
    <w:rsid w:val="00A1441E"/>
    <w:rsid w:val="00A1525E"/>
    <w:rsid w:val="00A1625A"/>
    <w:rsid w:val="00A22079"/>
    <w:rsid w:val="00A23E91"/>
    <w:rsid w:val="00A24DB0"/>
    <w:rsid w:val="00A255D8"/>
    <w:rsid w:val="00A30FB2"/>
    <w:rsid w:val="00A3238A"/>
    <w:rsid w:val="00A324AF"/>
    <w:rsid w:val="00A32A6F"/>
    <w:rsid w:val="00A3439F"/>
    <w:rsid w:val="00A34963"/>
    <w:rsid w:val="00A36CB1"/>
    <w:rsid w:val="00A40377"/>
    <w:rsid w:val="00A41237"/>
    <w:rsid w:val="00A433E8"/>
    <w:rsid w:val="00A43561"/>
    <w:rsid w:val="00A44187"/>
    <w:rsid w:val="00A44D5C"/>
    <w:rsid w:val="00A4503F"/>
    <w:rsid w:val="00A461EF"/>
    <w:rsid w:val="00A46C9E"/>
    <w:rsid w:val="00A46EAB"/>
    <w:rsid w:val="00A473F7"/>
    <w:rsid w:val="00A5144C"/>
    <w:rsid w:val="00A518C8"/>
    <w:rsid w:val="00A51BC0"/>
    <w:rsid w:val="00A547BF"/>
    <w:rsid w:val="00A55AC6"/>
    <w:rsid w:val="00A55AD0"/>
    <w:rsid w:val="00A5716B"/>
    <w:rsid w:val="00A57936"/>
    <w:rsid w:val="00A57DCA"/>
    <w:rsid w:val="00A602C5"/>
    <w:rsid w:val="00A605FD"/>
    <w:rsid w:val="00A60BF5"/>
    <w:rsid w:val="00A61B10"/>
    <w:rsid w:val="00A65A14"/>
    <w:rsid w:val="00A66049"/>
    <w:rsid w:val="00A6692A"/>
    <w:rsid w:val="00A66AF3"/>
    <w:rsid w:val="00A703AB"/>
    <w:rsid w:val="00A70879"/>
    <w:rsid w:val="00A708F3"/>
    <w:rsid w:val="00A717B7"/>
    <w:rsid w:val="00A72F9D"/>
    <w:rsid w:val="00A73870"/>
    <w:rsid w:val="00A7588B"/>
    <w:rsid w:val="00A75F3C"/>
    <w:rsid w:val="00A76FC5"/>
    <w:rsid w:val="00A77A05"/>
    <w:rsid w:val="00A804E8"/>
    <w:rsid w:val="00A83963"/>
    <w:rsid w:val="00A840F6"/>
    <w:rsid w:val="00A8443B"/>
    <w:rsid w:val="00A84ED3"/>
    <w:rsid w:val="00A907D8"/>
    <w:rsid w:val="00A913B9"/>
    <w:rsid w:val="00A93500"/>
    <w:rsid w:val="00A95402"/>
    <w:rsid w:val="00A9674C"/>
    <w:rsid w:val="00A96F55"/>
    <w:rsid w:val="00A97D35"/>
    <w:rsid w:val="00AA0D93"/>
    <w:rsid w:val="00AA225B"/>
    <w:rsid w:val="00AA3FFF"/>
    <w:rsid w:val="00AA4925"/>
    <w:rsid w:val="00AA5695"/>
    <w:rsid w:val="00AA5FFC"/>
    <w:rsid w:val="00AA73CB"/>
    <w:rsid w:val="00AB17E8"/>
    <w:rsid w:val="00AB1E78"/>
    <w:rsid w:val="00AB2979"/>
    <w:rsid w:val="00AB56F3"/>
    <w:rsid w:val="00AB57E3"/>
    <w:rsid w:val="00AB6C88"/>
    <w:rsid w:val="00AB75CC"/>
    <w:rsid w:val="00AC0583"/>
    <w:rsid w:val="00AC0AC6"/>
    <w:rsid w:val="00AC1748"/>
    <w:rsid w:val="00AC2634"/>
    <w:rsid w:val="00AC5DB0"/>
    <w:rsid w:val="00AC698C"/>
    <w:rsid w:val="00AC6BFD"/>
    <w:rsid w:val="00AC7D58"/>
    <w:rsid w:val="00AD0014"/>
    <w:rsid w:val="00AD3973"/>
    <w:rsid w:val="00AD501B"/>
    <w:rsid w:val="00AD5B64"/>
    <w:rsid w:val="00AD7544"/>
    <w:rsid w:val="00AD7BB5"/>
    <w:rsid w:val="00AD7CBA"/>
    <w:rsid w:val="00AE26F8"/>
    <w:rsid w:val="00AE5C01"/>
    <w:rsid w:val="00AE64DB"/>
    <w:rsid w:val="00AF010C"/>
    <w:rsid w:val="00AF0BF0"/>
    <w:rsid w:val="00AF202F"/>
    <w:rsid w:val="00AF2D33"/>
    <w:rsid w:val="00AF4691"/>
    <w:rsid w:val="00AF499D"/>
    <w:rsid w:val="00AF4FBE"/>
    <w:rsid w:val="00AF7EFE"/>
    <w:rsid w:val="00B00546"/>
    <w:rsid w:val="00B024A3"/>
    <w:rsid w:val="00B03D40"/>
    <w:rsid w:val="00B0447E"/>
    <w:rsid w:val="00B05611"/>
    <w:rsid w:val="00B05673"/>
    <w:rsid w:val="00B07672"/>
    <w:rsid w:val="00B0779E"/>
    <w:rsid w:val="00B10B16"/>
    <w:rsid w:val="00B11807"/>
    <w:rsid w:val="00B11A56"/>
    <w:rsid w:val="00B12F23"/>
    <w:rsid w:val="00B148FE"/>
    <w:rsid w:val="00B161EB"/>
    <w:rsid w:val="00B162ED"/>
    <w:rsid w:val="00B17E57"/>
    <w:rsid w:val="00B20C3C"/>
    <w:rsid w:val="00B21485"/>
    <w:rsid w:val="00B23398"/>
    <w:rsid w:val="00B31469"/>
    <w:rsid w:val="00B31FC8"/>
    <w:rsid w:val="00B346BB"/>
    <w:rsid w:val="00B35199"/>
    <w:rsid w:val="00B35948"/>
    <w:rsid w:val="00B379F6"/>
    <w:rsid w:val="00B41711"/>
    <w:rsid w:val="00B4614F"/>
    <w:rsid w:val="00B503DC"/>
    <w:rsid w:val="00B5051B"/>
    <w:rsid w:val="00B5177C"/>
    <w:rsid w:val="00B52E7A"/>
    <w:rsid w:val="00B54A99"/>
    <w:rsid w:val="00B55673"/>
    <w:rsid w:val="00B56C3B"/>
    <w:rsid w:val="00B57F3C"/>
    <w:rsid w:val="00B57FF2"/>
    <w:rsid w:val="00B6189A"/>
    <w:rsid w:val="00B61F0A"/>
    <w:rsid w:val="00B67484"/>
    <w:rsid w:val="00B71B00"/>
    <w:rsid w:val="00B71F23"/>
    <w:rsid w:val="00B75F07"/>
    <w:rsid w:val="00B800BC"/>
    <w:rsid w:val="00B81A9D"/>
    <w:rsid w:val="00B821F7"/>
    <w:rsid w:val="00B82204"/>
    <w:rsid w:val="00B83BBD"/>
    <w:rsid w:val="00B8423D"/>
    <w:rsid w:val="00B85866"/>
    <w:rsid w:val="00B86BBF"/>
    <w:rsid w:val="00B91019"/>
    <w:rsid w:val="00B91E69"/>
    <w:rsid w:val="00B952A0"/>
    <w:rsid w:val="00B96040"/>
    <w:rsid w:val="00B97067"/>
    <w:rsid w:val="00BA0C74"/>
    <w:rsid w:val="00BA1DDD"/>
    <w:rsid w:val="00BA21E3"/>
    <w:rsid w:val="00BA3145"/>
    <w:rsid w:val="00BA35B8"/>
    <w:rsid w:val="00BA4FE7"/>
    <w:rsid w:val="00BA5B08"/>
    <w:rsid w:val="00BB0B11"/>
    <w:rsid w:val="00BB120D"/>
    <w:rsid w:val="00BB38EC"/>
    <w:rsid w:val="00BB3A49"/>
    <w:rsid w:val="00BB49A9"/>
    <w:rsid w:val="00BC36EE"/>
    <w:rsid w:val="00BC41EC"/>
    <w:rsid w:val="00BC7319"/>
    <w:rsid w:val="00BD10A3"/>
    <w:rsid w:val="00BD145B"/>
    <w:rsid w:val="00BD4459"/>
    <w:rsid w:val="00BD4671"/>
    <w:rsid w:val="00BD7181"/>
    <w:rsid w:val="00BE1A1F"/>
    <w:rsid w:val="00BE3BAE"/>
    <w:rsid w:val="00BE6258"/>
    <w:rsid w:val="00BE685F"/>
    <w:rsid w:val="00BE7398"/>
    <w:rsid w:val="00BE78FF"/>
    <w:rsid w:val="00BF168B"/>
    <w:rsid w:val="00BF1CC9"/>
    <w:rsid w:val="00BF2C1B"/>
    <w:rsid w:val="00BF2F3B"/>
    <w:rsid w:val="00BF32E6"/>
    <w:rsid w:val="00BF4FB8"/>
    <w:rsid w:val="00BF57DA"/>
    <w:rsid w:val="00BF7C56"/>
    <w:rsid w:val="00C02D47"/>
    <w:rsid w:val="00C035A8"/>
    <w:rsid w:val="00C03E19"/>
    <w:rsid w:val="00C048DC"/>
    <w:rsid w:val="00C04D24"/>
    <w:rsid w:val="00C04F20"/>
    <w:rsid w:val="00C07E7B"/>
    <w:rsid w:val="00C14E08"/>
    <w:rsid w:val="00C155C9"/>
    <w:rsid w:val="00C161F5"/>
    <w:rsid w:val="00C179E2"/>
    <w:rsid w:val="00C2322E"/>
    <w:rsid w:val="00C259EE"/>
    <w:rsid w:val="00C25C44"/>
    <w:rsid w:val="00C26B0B"/>
    <w:rsid w:val="00C32186"/>
    <w:rsid w:val="00C3313A"/>
    <w:rsid w:val="00C3373F"/>
    <w:rsid w:val="00C33A9D"/>
    <w:rsid w:val="00C33ABC"/>
    <w:rsid w:val="00C345DB"/>
    <w:rsid w:val="00C3464A"/>
    <w:rsid w:val="00C35EC3"/>
    <w:rsid w:val="00C361FD"/>
    <w:rsid w:val="00C37BD0"/>
    <w:rsid w:val="00C40161"/>
    <w:rsid w:val="00C41E80"/>
    <w:rsid w:val="00C432D3"/>
    <w:rsid w:val="00C4549A"/>
    <w:rsid w:val="00C47AF2"/>
    <w:rsid w:val="00C504BF"/>
    <w:rsid w:val="00C50F67"/>
    <w:rsid w:val="00C53387"/>
    <w:rsid w:val="00C54BC0"/>
    <w:rsid w:val="00C60FB1"/>
    <w:rsid w:val="00C61EAC"/>
    <w:rsid w:val="00C63ABC"/>
    <w:rsid w:val="00C63B67"/>
    <w:rsid w:val="00C64921"/>
    <w:rsid w:val="00C65D73"/>
    <w:rsid w:val="00C70E58"/>
    <w:rsid w:val="00C71104"/>
    <w:rsid w:val="00C71A47"/>
    <w:rsid w:val="00C727A0"/>
    <w:rsid w:val="00C729C8"/>
    <w:rsid w:val="00C744BF"/>
    <w:rsid w:val="00C746E7"/>
    <w:rsid w:val="00C752DC"/>
    <w:rsid w:val="00C75A8C"/>
    <w:rsid w:val="00C75BA7"/>
    <w:rsid w:val="00C8105C"/>
    <w:rsid w:val="00C85185"/>
    <w:rsid w:val="00C86A75"/>
    <w:rsid w:val="00C90A8F"/>
    <w:rsid w:val="00C90C05"/>
    <w:rsid w:val="00C94668"/>
    <w:rsid w:val="00C95542"/>
    <w:rsid w:val="00C97493"/>
    <w:rsid w:val="00C9775E"/>
    <w:rsid w:val="00C97BFB"/>
    <w:rsid w:val="00C97D0B"/>
    <w:rsid w:val="00CA63B8"/>
    <w:rsid w:val="00CB0317"/>
    <w:rsid w:val="00CB0EAA"/>
    <w:rsid w:val="00CB1E60"/>
    <w:rsid w:val="00CB23FE"/>
    <w:rsid w:val="00CB2B6D"/>
    <w:rsid w:val="00CB3F0C"/>
    <w:rsid w:val="00CB4B82"/>
    <w:rsid w:val="00CB5C11"/>
    <w:rsid w:val="00CB6936"/>
    <w:rsid w:val="00CB723D"/>
    <w:rsid w:val="00CB72C9"/>
    <w:rsid w:val="00CB76B8"/>
    <w:rsid w:val="00CC28F3"/>
    <w:rsid w:val="00CC2CB0"/>
    <w:rsid w:val="00CC6317"/>
    <w:rsid w:val="00CC67A9"/>
    <w:rsid w:val="00CD22C8"/>
    <w:rsid w:val="00CD2941"/>
    <w:rsid w:val="00CD3AD3"/>
    <w:rsid w:val="00CD60D0"/>
    <w:rsid w:val="00CD6D54"/>
    <w:rsid w:val="00CE0997"/>
    <w:rsid w:val="00CE32D6"/>
    <w:rsid w:val="00CE3DC4"/>
    <w:rsid w:val="00CE74DB"/>
    <w:rsid w:val="00CF0036"/>
    <w:rsid w:val="00CF1A87"/>
    <w:rsid w:val="00CF3A97"/>
    <w:rsid w:val="00CF63E6"/>
    <w:rsid w:val="00CF6C21"/>
    <w:rsid w:val="00D0144C"/>
    <w:rsid w:val="00D0175A"/>
    <w:rsid w:val="00D01B9A"/>
    <w:rsid w:val="00D0232E"/>
    <w:rsid w:val="00D0338D"/>
    <w:rsid w:val="00D03EA2"/>
    <w:rsid w:val="00D06F7C"/>
    <w:rsid w:val="00D075E2"/>
    <w:rsid w:val="00D076FA"/>
    <w:rsid w:val="00D10D9B"/>
    <w:rsid w:val="00D150B8"/>
    <w:rsid w:val="00D17167"/>
    <w:rsid w:val="00D17EA0"/>
    <w:rsid w:val="00D226FD"/>
    <w:rsid w:val="00D22D8C"/>
    <w:rsid w:val="00D243B3"/>
    <w:rsid w:val="00D25C9F"/>
    <w:rsid w:val="00D2752C"/>
    <w:rsid w:val="00D2767E"/>
    <w:rsid w:val="00D313B5"/>
    <w:rsid w:val="00D31691"/>
    <w:rsid w:val="00D32CAC"/>
    <w:rsid w:val="00D3308F"/>
    <w:rsid w:val="00D36868"/>
    <w:rsid w:val="00D369D9"/>
    <w:rsid w:val="00D37895"/>
    <w:rsid w:val="00D40486"/>
    <w:rsid w:val="00D41F12"/>
    <w:rsid w:val="00D42030"/>
    <w:rsid w:val="00D4594E"/>
    <w:rsid w:val="00D45D85"/>
    <w:rsid w:val="00D460F4"/>
    <w:rsid w:val="00D46F69"/>
    <w:rsid w:val="00D47DCD"/>
    <w:rsid w:val="00D502A5"/>
    <w:rsid w:val="00D50F8D"/>
    <w:rsid w:val="00D52043"/>
    <w:rsid w:val="00D53CE0"/>
    <w:rsid w:val="00D60F24"/>
    <w:rsid w:val="00D64F44"/>
    <w:rsid w:val="00D65572"/>
    <w:rsid w:val="00D6581D"/>
    <w:rsid w:val="00D66D41"/>
    <w:rsid w:val="00D71903"/>
    <w:rsid w:val="00D71F0A"/>
    <w:rsid w:val="00D72931"/>
    <w:rsid w:val="00D73AF9"/>
    <w:rsid w:val="00D73E2D"/>
    <w:rsid w:val="00D7465C"/>
    <w:rsid w:val="00D75C31"/>
    <w:rsid w:val="00D81746"/>
    <w:rsid w:val="00D82702"/>
    <w:rsid w:val="00D864E8"/>
    <w:rsid w:val="00D9061A"/>
    <w:rsid w:val="00D91141"/>
    <w:rsid w:val="00D92DF2"/>
    <w:rsid w:val="00D9484A"/>
    <w:rsid w:val="00D9705D"/>
    <w:rsid w:val="00DA0DEF"/>
    <w:rsid w:val="00DA52E1"/>
    <w:rsid w:val="00DA5ADE"/>
    <w:rsid w:val="00DA6176"/>
    <w:rsid w:val="00DA6F79"/>
    <w:rsid w:val="00DA7E51"/>
    <w:rsid w:val="00DB0D05"/>
    <w:rsid w:val="00DB117E"/>
    <w:rsid w:val="00DB148F"/>
    <w:rsid w:val="00DB3329"/>
    <w:rsid w:val="00DB51A4"/>
    <w:rsid w:val="00DB5B0A"/>
    <w:rsid w:val="00DB64F6"/>
    <w:rsid w:val="00DB6A2E"/>
    <w:rsid w:val="00DB7810"/>
    <w:rsid w:val="00DB7E78"/>
    <w:rsid w:val="00DC1524"/>
    <w:rsid w:val="00DC1696"/>
    <w:rsid w:val="00DC1FDC"/>
    <w:rsid w:val="00DC4F60"/>
    <w:rsid w:val="00DC58D8"/>
    <w:rsid w:val="00DD1508"/>
    <w:rsid w:val="00DD3872"/>
    <w:rsid w:val="00DD51F6"/>
    <w:rsid w:val="00DD5C6B"/>
    <w:rsid w:val="00DD5D27"/>
    <w:rsid w:val="00DD7352"/>
    <w:rsid w:val="00DE10DE"/>
    <w:rsid w:val="00DE4E09"/>
    <w:rsid w:val="00DE58C7"/>
    <w:rsid w:val="00DE6BA2"/>
    <w:rsid w:val="00DF2846"/>
    <w:rsid w:val="00DF2C0D"/>
    <w:rsid w:val="00DF7581"/>
    <w:rsid w:val="00E012CA"/>
    <w:rsid w:val="00E03BEA"/>
    <w:rsid w:val="00E04185"/>
    <w:rsid w:val="00E05561"/>
    <w:rsid w:val="00E068CE"/>
    <w:rsid w:val="00E076AD"/>
    <w:rsid w:val="00E10601"/>
    <w:rsid w:val="00E111AC"/>
    <w:rsid w:val="00E14EA4"/>
    <w:rsid w:val="00E151F7"/>
    <w:rsid w:val="00E1538C"/>
    <w:rsid w:val="00E214A1"/>
    <w:rsid w:val="00E21A20"/>
    <w:rsid w:val="00E21B08"/>
    <w:rsid w:val="00E22225"/>
    <w:rsid w:val="00E235DC"/>
    <w:rsid w:val="00E25D80"/>
    <w:rsid w:val="00E3097C"/>
    <w:rsid w:val="00E30CD1"/>
    <w:rsid w:val="00E31FB6"/>
    <w:rsid w:val="00E348F5"/>
    <w:rsid w:val="00E365DD"/>
    <w:rsid w:val="00E36808"/>
    <w:rsid w:val="00E409DD"/>
    <w:rsid w:val="00E40A7B"/>
    <w:rsid w:val="00E42F4B"/>
    <w:rsid w:val="00E44E97"/>
    <w:rsid w:val="00E457B5"/>
    <w:rsid w:val="00E45818"/>
    <w:rsid w:val="00E4645D"/>
    <w:rsid w:val="00E46C02"/>
    <w:rsid w:val="00E50760"/>
    <w:rsid w:val="00E52A0E"/>
    <w:rsid w:val="00E5369E"/>
    <w:rsid w:val="00E537C2"/>
    <w:rsid w:val="00E53AC1"/>
    <w:rsid w:val="00E545C0"/>
    <w:rsid w:val="00E54DFA"/>
    <w:rsid w:val="00E57F3E"/>
    <w:rsid w:val="00E61975"/>
    <w:rsid w:val="00E62F4E"/>
    <w:rsid w:val="00E637C8"/>
    <w:rsid w:val="00E66CC5"/>
    <w:rsid w:val="00E66F45"/>
    <w:rsid w:val="00E722F5"/>
    <w:rsid w:val="00E756EB"/>
    <w:rsid w:val="00E75FEC"/>
    <w:rsid w:val="00E7669D"/>
    <w:rsid w:val="00E7685B"/>
    <w:rsid w:val="00E76E5C"/>
    <w:rsid w:val="00E77073"/>
    <w:rsid w:val="00E816E5"/>
    <w:rsid w:val="00E82224"/>
    <w:rsid w:val="00E825B1"/>
    <w:rsid w:val="00E839B9"/>
    <w:rsid w:val="00E85011"/>
    <w:rsid w:val="00E85525"/>
    <w:rsid w:val="00E8592B"/>
    <w:rsid w:val="00E85EB0"/>
    <w:rsid w:val="00E86C88"/>
    <w:rsid w:val="00E9203F"/>
    <w:rsid w:val="00E92EA8"/>
    <w:rsid w:val="00E930C1"/>
    <w:rsid w:val="00E93F3F"/>
    <w:rsid w:val="00E94BFF"/>
    <w:rsid w:val="00E95F82"/>
    <w:rsid w:val="00E9613B"/>
    <w:rsid w:val="00E968D0"/>
    <w:rsid w:val="00E97712"/>
    <w:rsid w:val="00E97BB5"/>
    <w:rsid w:val="00E97EBD"/>
    <w:rsid w:val="00EA11DC"/>
    <w:rsid w:val="00EA183C"/>
    <w:rsid w:val="00EA1C18"/>
    <w:rsid w:val="00EA300C"/>
    <w:rsid w:val="00EA4628"/>
    <w:rsid w:val="00EA5AE4"/>
    <w:rsid w:val="00EA5BB2"/>
    <w:rsid w:val="00EA6157"/>
    <w:rsid w:val="00EA6276"/>
    <w:rsid w:val="00EA7406"/>
    <w:rsid w:val="00EB1A8A"/>
    <w:rsid w:val="00EB1BAF"/>
    <w:rsid w:val="00EB23EE"/>
    <w:rsid w:val="00EB2982"/>
    <w:rsid w:val="00EB48E2"/>
    <w:rsid w:val="00EB60E1"/>
    <w:rsid w:val="00EB69EB"/>
    <w:rsid w:val="00EC14B4"/>
    <w:rsid w:val="00EC18CE"/>
    <w:rsid w:val="00EC2A7C"/>
    <w:rsid w:val="00EC4D2B"/>
    <w:rsid w:val="00EC6415"/>
    <w:rsid w:val="00EC6AE1"/>
    <w:rsid w:val="00EC781E"/>
    <w:rsid w:val="00ED0B2C"/>
    <w:rsid w:val="00ED1801"/>
    <w:rsid w:val="00ED27AC"/>
    <w:rsid w:val="00ED5BAE"/>
    <w:rsid w:val="00ED69D6"/>
    <w:rsid w:val="00ED6EFD"/>
    <w:rsid w:val="00EE26B2"/>
    <w:rsid w:val="00EE2932"/>
    <w:rsid w:val="00EE2B96"/>
    <w:rsid w:val="00EE2DD5"/>
    <w:rsid w:val="00EE6254"/>
    <w:rsid w:val="00EF0BB5"/>
    <w:rsid w:val="00EF1594"/>
    <w:rsid w:val="00EF20EA"/>
    <w:rsid w:val="00EF3E8C"/>
    <w:rsid w:val="00EF4A85"/>
    <w:rsid w:val="00EF58D0"/>
    <w:rsid w:val="00EF7A63"/>
    <w:rsid w:val="00F015AB"/>
    <w:rsid w:val="00F03990"/>
    <w:rsid w:val="00F041CF"/>
    <w:rsid w:val="00F05D90"/>
    <w:rsid w:val="00F106F1"/>
    <w:rsid w:val="00F10D17"/>
    <w:rsid w:val="00F113A6"/>
    <w:rsid w:val="00F15E10"/>
    <w:rsid w:val="00F15EA7"/>
    <w:rsid w:val="00F16700"/>
    <w:rsid w:val="00F238F4"/>
    <w:rsid w:val="00F23F24"/>
    <w:rsid w:val="00F2400D"/>
    <w:rsid w:val="00F24FED"/>
    <w:rsid w:val="00F25A7A"/>
    <w:rsid w:val="00F26A9E"/>
    <w:rsid w:val="00F27271"/>
    <w:rsid w:val="00F3011C"/>
    <w:rsid w:val="00F31D56"/>
    <w:rsid w:val="00F33B84"/>
    <w:rsid w:val="00F35054"/>
    <w:rsid w:val="00F35F7E"/>
    <w:rsid w:val="00F368AE"/>
    <w:rsid w:val="00F40A11"/>
    <w:rsid w:val="00F435ED"/>
    <w:rsid w:val="00F44075"/>
    <w:rsid w:val="00F441C7"/>
    <w:rsid w:val="00F44F18"/>
    <w:rsid w:val="00F454B8"/>
    <w:rsid w:val="00F47830"/>
    <w:rsid w:val="00F47AAA"/>
    <w:rsid w:val="00F502D3"/>
    <w:rsid w:val="00F50FF8"/>
    <w:rsid w:val="00F51232"/>
    <w:rsid w:val="00F52801"/>
    <w:rsid w:val="00F53EA6"/>
    <w:rsid w:val="00F5471D"/>
    <w:rsid w:val="00F54C11"/>
    <w:rsid w:val="00F62F55"/>
    <w:rsid w:val="00F63D04"/>
    <w:rsid w:val="00F64BED"/>
    <w:rsid w:val="00F657CE"/>
    <w:rsid w:val="00F66915"/>
    <w:rsid w:val="00F66BF8"/>
    <w:rsid w:val="00F673EE"/>
    <w:rsid w:val="00F704F7"/>
    <w:rsid w:val="00F754CB"/>
    <w:rsid w:val="00F7577D"/>
    <w:rsid w:val="00F76085"/>
    <w:rsid w:val="00F76660"/>
    <w:rsid w:val="00F77CC5"/>
    <w:rsid w:val="00F828D5"/>
    <w:rsid w:val="00F82E5A"/>
    <w:rsid w:val="00F8458B"/>
    <w:rsid w:val="00F84A5E"/>
    <w:rsid w:val="00F85BB0"/>
    <w:rsid w:val="00F86D4A"/>
    <w:rsid w:val="00F920FA"/>
    <w:rsid w:val="00F92844"/>
    <w:rsid w:val="00F935A4"/>
    <w:rsid w:val="00F94A2E"/>
    <w:rsid w:val="00F958C6"/>
    <w:rsid w:val="00F95AFB"/>
    <w:rsid w:val="00FA0EAF"/>
    <w:rsid w:val="00FA0F91"/>
    <w:rsid w:val="00FA15DF"/>
    <w:rsid w:val="00FA2A00"/>
    <w:rsid w:val="00FA5150"/>
    <w:rsid w:val="00FB4B15"/>
    <w:rsid w:val="00FB65D5"/>
    <w:rsid w:val="00FB6B56"/>
    <w:rsid w:val="00FC035C"/>
    <w:rsid w:val="00FC1BAC"/>
    <w:rsid w:val="00FC3699"/>
    <w:rsid w:val="00FC73E8"/>
    <w:rsid w:val="00FD388E"/>
    <w:rsid w:val="00FD5C03"/>
    <w:rsid w:val="00FD66E4"/>
    <w:rsid w:val="00FD7410"/>
    <w:rsid w:val="00FD7787"/>
    <w:rsid w:val="00FE0E50"/>
    <w:rsid w:val="00FE5CF5"/>
    <w:rsid w:val="00FE5D9E"/>
    <w:rsid w:val="00FF305C"/>
    <w:rsid w:val="00FF678C"/>
    <w:rsid w:val="00FF70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AF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69"/>
    <w:pPr>
      <w:widowControl w:val="0"/>
    </w:pPr>
    <w:rPr>
      <w:snapToGrid w:val="0"/>
      <w:kern w:val="28"/>
      <w:sz w:val="22"/>
      <w:szCs w:val="20"/>
    </w:rPr>
  </w:style>
  <w:style w:type="paragraph" w:styleId="Heading1">
    <w:name w:val="heading 1"/>
    <w:basedOn w:val="Normal"/>
    <w:next w:val="ParaNum"/>
    <w:link w:val="Heading1Char"/>
    <w:qFormat/>
    <w:rsid w:val="004B6169"/>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B6169"/>
    <w:pPr>
      <w:keepNext/>
      <w:numPr>
        <w:ilvl w:val="1"/>
        <w:numId w:val="2"/>
      </w:numPr>
      <w:spacing w:after="120"/>
      <w:outlineLvl w:val="1"/>
    </w:pPr>
    <w:rPr>
      <w:b/>
    </w:rPr>
  </w:style>
  <w:style w:type="paragraph" w:styleId="Heading3">
    <w:name w:val="heading 3"/>
    <w:basedOn w:val="Normal"/>
    <w:next w:val="ParaNum"/>
    <w:link w:val="Heading3Char"/>
    <w:qFormat/>
    <w:rsid w:val="004B6169"/>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4B6169"/>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4B6169"/>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4B6169"/>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4B6169"/>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4B6169"/>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B6169"/>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180F88"/>
    <w:rPr>
      <w:rFonts w:ascii="Tahoma" w:hAnsi="Tahoma" w:cs="Tahoma"/>
      <w:sz w:val="16"/>
      <w:szCs w:val="16"/>
    </w:rPr>
  </w:style>
  <w:style w:type="character" w:customStyle="1" w:styleId="BalloonTextChar">
    <w:name w:val="Balloon Text Char"/>
    <w:basedOn w:val="DefaultParagraphFont"/>
    <w:uiPriority w:val="99"/>
    <w:semiHidden/>
    <w:rsid w:val="00565D30"/>
    <w:rPr>
      <w:rFonts w:ascii="Lucida Grande" w:hAnsi="Lucida Grande"/>
      <w:sz w:val="18"/>
      <w:szCs w:val="18"/>
    </w:rPr>
  </w:style>
  <w:style w:type="character" w:customStyle="1" w:styleId="BalloonTextChar3">
    <w:name w:val="Balloon Text Char3"/>
    <w:basedOn w:val="DefaultParagraphFont"/>
    <w:uiPriority w:val="99"/>
    <w:semiHidden/>
    <w:rsid w:val="00565D30"/>
    <w:rPr>
      <w:rFonts w:ascii="Lucida Grande" w:hAnsi="Lucida Grande"/>
      <w:sz w:val="18"/>
      <w:szCs w:val="18"/>
    </w:rPr>
  </w:style>
  <w:style w:type="character" w:customStyle="1" w:styleId="BalloonTextChar2">
    <w:name w:val="Balloon Text Char2"/>
    <w:basedOn w:val="DefaultParagraphFont"/>
    <w:semiHidden/>
    <w:rsid w:val="00565D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5D30"/>
    <w:rPr>
      <w:rFonts w:ascii="Lucida Grande" w:hAnsi="Lucida Grande"/>
      <w:sz w:val="18"/>
      <w:szCs w:val="18"/>
    </w:rPr>
  </w:style>
  <w:style w:type="paragraph" w:customStyle="1" w:styleId="ParaNum">
    <w:name w:val="ParaNum"/>
    <w:basedOn w:val="Normal"/>
    <w:link w:val="ParaNumChar"/>
    <w:rsid w:val="004B6169"/>
    <w:pPr>
      <w:numPr>
        <w:numId w:val="1"/>
      </w:numPr>
      <w:tabs>
        <w:tab w:val="clear" w:pos="1080"/>
        <w:tab w:val="num" w:pos="1440"/>
      </w:tabs>
      <w:spacing w:after="120"/>
    </w:pPr>
  </w:style>
  <w:style w:type="paragraph" w:styleId="Footer">
    <w:name w:val="footer"/>
    <w:basedOn w:val="Normal"/>
    <w:link w:val="FooterChar"/>
    <w:rsid w:val="004B6169"/>
    <w:pPr>
      <w:tabs>
        <w:tab w:val="center" w:pos="4320"/>
        <w:tab w:val="right" w:pos="8640"/>
      </w:tabs>
    </w:pPr>
  </w:style>
  <w:style w:type="character" w:styleId="PageNumber">
    <w:name w:val="page number"/>
    <w:basedOn w:val="DefaultParagraphFont"/>
    <w:rsid w:val="004B6169"/>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rsid w:val="004B6169"/>
    <w:pPr>
      <w:spacing w:after="120"/>
    </w:pPr>
    <w:rPr>
      <w:sz w:val="20"/>
      <w:szCs w:val="20"/>
    </w:rPr>
  </w:style>
  <w:style w:type="character" w:styleId="FootnoteReference">
    <w:name w:val="footnote reference"/>
    <w:aliases w:val="Appel note de bas de p,Style 124,Style 12,(NECG) Footnote Reference,o,fr,Style 3,Style 17,FR,Style 13,Footnote Reference/,Style 6,Style 4"/>
    <w:rsid w:val="004B6169"/>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sid w:val="00180F88"/>
    <w:rPr>
      <w:sz w:val="20"/>
      <w:szCs w:val="20"/>
    </w:rPr>
  </w:style>
  <w:style w:type="paragraph" w:styleId="Header">
    <w:name w:val="header"/>
    <w:basedOn w:val="Normal"/>
    <w:link w:val="HeaderChar"/>
    <w:autoRedefine/>
    <w:rsid w:val="004B6169"/>
    <w:pPr>
      <w:tabs>
        <w:tab w:val="center" w:pos="4680"/>
        <w:tab w:val="right" w:pos="9360"/>
      </w:tabs>
    </w:pPr>
    <w:rPr>
      <w:b/>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sid w:val="00180F88"/>
    <w:rPr>
      <w:lang w:val="en-US" w:eastAsia="en-US" w:bidi="ar-SA"/>
    </w:rPr>
  </w:style>
  <w:style w:type="paragraph" w:customStyle="1" w:styleId="ParaNumCharCharCharChar">
    <w:name w:val="ParaNum Char Char Char Char"/>
    <w:basedOn w:val="Normal"/>
    <w:link w:val="ParaNumCharCharCharCharChar"/>
    <w:rsid w:val="00180F88"/>
    <w:pPr>
      <w:tabs>
        <w:tab w:val="num" w:pos="1440"/>
      </w:tabs>
      <w:spacing w:after="120"/>
      <w:ind w:firstLine="720"/>
    </w:pPr>
    <w:rPr>
      <w:snapToGrid/>
    </w:rPr>
  </w:style>
  <w:style w:type="character" w:customStyle="1" w:styleId="ParaNumCharCharCharCharChar">
    <w:name w:val="ParaNum Char Char Char Char Char"/>
    <w:link w:val="ParaNumCharCharCharChar"/>
    <w:rsid w:val="00180F88"/>
    <w:rPr>
      <w:kern w:val="28"/>
      <w:sz w:val="22"/>
      <w:szCs w:val="20"/>
    </w:rPr>
  </w:style>
  <w:style w:type="paragraph" w:customStyle="1" w:styleId="ParaNumCharChar">
    <w:name w:val="ParaNum Char Char"/>
    <w:basedOn w:val="Normal"/>
    <w:rsid w:val="00180F88"/>
    <w:pPr>
      <w:tabs>
        <w:tab w:val="num" w:pos="1440"/>
      </w:tabs>
      <w:spacing w:after="120"/>
      <w:ind w:firstLine="720"/>
    </w:pPr>
    <w:rPr>
      <w:snapToGrid/>
    </w:rPr>
  </w:style>
  <w:style w:type="character" w:styleId="CommentReference">
    <w:name w:val="annotation reference"/>
    <w:semiHidden/>
    <w:rsid w:val="00180F88"/>
    <w:rPr>
      <w:sz w:val="16"/>
      <w:szCs w:val="16"/>
    </w:rPr>
  </w:style>
  <w:style w:type="paragraph" w:styleId="CommentText">
    <w:name w:val="annotation text"/>
    <w:basedOn w:val="Normal"/>
    <w:link w:val="CommentTextChar"/>
    <w:semiHidden/>
    <w:rsid w:val="00180F88"/>
    <w:rPr>
      <w:snapToGrid/>
      <w:sz w:val="20"/>
    </w:rPr>
  </w:style>
  <w:style w:type="paragraph" w:styleId="CommentSubject">
    <w:name w:val="annotation subject"/>
    <w:basedOn w:val="CommentText"/>
    <w:next w:val="CommentText"/>
    <w:link w:val="CommentSubjectChar"/>
    <w:semiHidden/>
    <w:rsid w:val="00180F88"/>
    <w:pPr>
      <w:widowControl/>
    </w:pPr>
    <w:rPr>
      <w:b/>
      <w:bCs/>
      <w:snapToGrid w:val="0"/>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napToGrid w:val="0"/>
      <w:kern w:val="28"/>
      <w:sz w:val="22"/>
      <w:szCs w:val="20"/>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4B6169"/>
    <w:pPr>
      <w:tabs>
        <w:tab w:val="left" w:pos="2160"/>
      </w:tabs>
      <w:spacing w:after="220"/>
      <w:ind w:left="2160" w:hanging="720"/>
    </w:p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 w:type="character" w:customStyle="1" w:styleId="Heading1Char">
    <w:name w:val="Heading 1 Char"/>
    <w:basedOn w:val="DefaultParagraphFont"/>
    <w:link w:val="Heading1"/>
    <w:rsid w:val="007625B8"/>
    <w:rPr>
      <w:rFonts w:ascii="Times New Roman Bold" w:hAnsi="Times New Roman Bold"/>
      <w:b/>
      <w:caps/>
      <w:snapToGrid w:val="0"/>
      <w:kern w:val="28"/>
      <w:sz w:val="22"/>
      <w:szCs w:val="20"/>
    </w:rPr>
  </w:style>
  <w:style w:type="character" w:customStyle="1" w:styleId="Heading2Char">
    <w:name w:val="Heading 2 Char"/>
    <w:basedOn w:val="DefaultParagraphFont"/>
    <w:link w:val="Heading2"/>
    <w:rsid w:val="004C77FD"/>
    <w:rPr>
      <w:b/>
      <w:snapToGrid w:val="0"/>
      <w:kern w:val="28"/>
      <w:sz w:val="22"/>
      <w:szCs w:val="20"/>
    </w:rPr>
  </w:style>
  <w:style w:type="character" w:customStyle="1" w:styleId="Heading3Char">
    <w:name w:val="Heading 3 Char"/>
    <w:basedOn w:val="DefaultParagraphFont"/>
    <w:link w:val="Heading3"/>
    <w:rsid w:val="007625B8"/>
    <w:rPr>
      <w:b/>
      <w:snapToGrid w:val="0"/>
      <w:kern w:val="28"/>
      <w:sz w:val="22"/>
      <w:szCs w:val="20"/>
    </w:rPr>
  </w:style>
  <w:style w:type="character" w:customStyle="1" w:styleId="Heading4Char">
    <w:name w:val="Heading 4 Char"/>
    <w:basedOn w:val="DefaultParagraphFont"/>
    <w:link w:val="Heading4"/>
    <w:rsid w:val="007625B8"/>
    <w:rPr>
      <w:b/>
      <w:snapToGrid w:val="0"/>
      <w:kern w:val="28"/>
      <w:sz w:val="22"/>
      <w:szCs w:val="20"/>
    </w:rPr>
  </w:style>
  <w:style w:type="character" w:customStyle="1" w:styleId="Heading5Char">
    <w:name w:val="Heading 5 Char"/>
    <w:basedOn w:val="DefaultParagraphFont"/>
    <w:link w:val="Heading5"/>
    <w:rsid w:val="007625B8"/>
    <w:rPr>
      <w:b/>
      <w:snapToGrid w:val="0"/>
      <w:kern w:val="28"/>
      <w:sz w:val="22"/>
      <w:szCs w:val="20"/>
    </w:rPr>
  </w:style>
  <w:style w:type="character" w:customStyle="1" w:styleId="Heading6Char">
    <w:name w:val="Heading 6 Char"/>
    <w:basedOn w:val="DefaultParagraphFont"/>
    <w:link w:val="Heading6"/>
    <w:rsid w:val="007625B8"/>
    <w:rPr>
      <w:b/>
      <w:snapToGrid w:val="0"/>
      <w:kern w:val="28"/>
      <w:sz w:val="22"/>
      <w:szCs w:val="20"/>
    </w:rPr>
  </w:style>
  <w:style w:type="character" w:customStyle="1" w:styleId="Heading7Char">
    <w:name w:val="Heading 7 Char"/>
    <w:basedOn w:val="DefaultParagraphFont"/>
    <w:link w:val="Heading7"/>
    <w:rsid w:val="007625B8"/>
    <w:rPr>
      <w:b/>
      <w:snapToGrid w:val="0"/>
      <w:kern w:val="28"/>
      <w:sz w:val="22"/>
      <w:szCs w:val="20"/>
    </w:rPr>
  </w:style>
  <w:style w:type="character" w:customStyle="1" w:styleId="Heading8Char">
    <w:name w:val="Heading 8 Char"/>
    <w:basedOn w:val="DefaultParagraphFont"/>
    <w:link w:val="Heading8"/>
    <w:rsid w:val="007625B8"/>
    <w:rPr>
      <w:b/>
      <w:snapToGrid w:val="0"/>
      <w:kern w:val="28"/>
      <w:sz w:val="22"/>
      <w:szCs w:val="20"/>
    </w:rPr>
  </w:style>
  <w:style w:type="character" w:customStyle="1" w:styleId="Heading9Char">
    <w:name w:val="Heading 9 Char"/>
    <w:basedOn w:val="DefaultParagraphFont"/>
    <w:link w:val="Heading9"/>
    <w:rsid w:val="007625B8"/>
    <w:rPr>
      <w:b/>
      <w:snapToGrid w:val="0"/>
      <w:kern w:val="28"/>
      <w:sz w:val="22"/>
      <w:szCs w:val="20"/>
    </w:rPr>
  </w:style>
  <w:style w:type="character" w:customStyle="1" w:styleId="FooterChar">
    <w:name w:val="Footer Char"/>
    <w:basedOn w:val="DefaultParagraphFont"/>
    <w:link w:val="Footer"/>
    <w:rsid w:val="007625B8"/>
    <w:rPr>
      <w:snapToGrid w:val="0"/>
      <w:kern w:val="28"/>
      <w:sz w:val="22"/>
      <w:szCs w:val="20"/>
    </w:rPr>
  </w:style>
  <w:style w:type="character" w:customStyle="1" w:styleId="HeaderChar">
    <w:name w:val="Header Char"/>
    <w:basedOn w:val="DefaultParagraphFont"/>
    <w:link w:val="Header"/>
    <w:rsid w:val="00AF4FBE"/>
    <w:rPr>
      <w:b/>
      <w:snapToGrid w:val="0"/>
      <w:kern w:val="28"/>
      <w:sz w:val="22"/>
      <w:szCs w:val="20"/>
    </w:rPr>
  </w:style>
  <w:style w:type="character" w:customStyle="1" w:styleId="CommentTextChar">
    <w:name w:val="Comment Text Char"/>
    <w:basedOn w:val="DefaultParagraphFont"/>
    <w:link w:val="CommentText"/>
    <w:semiHidden/>
    <w:rsid w:val="007625B8"/>
    <w:rPr>
      <w:snapToGrid w:val="0"/>
      <w:kern w:val="28"/>
    </w:rPr>
  </w:style>
  <w:style w:type="character" w:customStyle="1" w:styleId="CommentSubjectChar">
    <w:name w:val="Comment Subject Char"/>
    <w:basedOn w:val="CommentTextChar"/>
    <w:link w:val="CommentSubject"/>
    <w:semiHidden/>
    <w:rsid w:val="007625B8"/>
    <w:rPr>
      <w:b/>
      <w:bCs/>
      <w:snapToGrid w:val="0"/>
      <w:kern w:val="28"/>
    </w:rPr>
  </w:style>
  <w:style w:type="paragraph" w:styleId="ListParagraph">
    <w:name w:val="List Paragraph"/>
    <w:basedOn w:val="Normal"/>
    <w:uiPriority w:val="34"/>
    <w:qFormat/>
    <w:rsid w:val="00662A5B"/>
    <w:pPr>
      <w:ind w:left="720"/>
      <w:contextualSpacing/>
    </w:pPr>
  </w:style>
  <w:style w:type="paragraph" w:styleId="EndnoteText">
    <w:name w:val="endnote text"/>
    <w:basedOn w:val="Normal"/>
    <w:link w:val="EndnoteTextChar"/>
    <w:semiHidden/>
    <w:rsid w:val="004B6169"/>
    <w:rPr>
      <w:sz w:val="20"/>
    </w:rPr>
  </w:style>
  <w:style w:type="character" w:customStyle="1" w:styleId="EndnoteTextChar">
    <w:name w:val="Endnote Text Char"/>
    <w:basedOn w:val="DefaultParagraphFont"/>
    <w:link w:val="EndnoteText"/>
    <w:semiHidden/>
    <w:rsid w:val="00D243B3"/>
    <w:rPr>
      <w:snapToGrid w:val="0"/>
      <w:kern w:val="28"/>
      <w:sz w:val="20"/>
      <w:szCs w:val="20"/>
    </w:rPr>
  </w:style>
  <w:style w:type="character" w:styleId="EndnoteReference">
    <w:name w:val="endnote reference"/>
    <w:semiHidden/>
    <w:rsid w:val="004B6169"/>
    <w:rPr>
      <w:vertAlign w:val="superscript"/>
    </w:rPr>
  </w:style>
  <w:style w:type="paragraph" w:styleId="TOC1">
    <w:name w:val="toc 1"/>
    <w:basedOn w:val="Normal"/>
    <w:next w:val="Normal"/>
    <w:semiHidden/>
    <w:rsid w:val="004B616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B6169"/>
    <w:pPr>
      <w:tabs>
        <w:tab w:val="left" w:pos="720"/>
        <w:tab w:val="right" w:leader="dot" w:pos="9360"/>
      </w:tabs>
      <w:suppressAutoHyphens/>
      <w:ind w:left="720" w:right="720" w:hanging="360"/>
    </w:pPr>
    <w:rPr>
      <w:noProof/>
    </w:rPr>
  </w:style>
  <w:style w:type="paragraph" w:styleId="TOC3">
    <w:name w:val="toc 3"/>
    <w:basedOn w:val="Normal"/>
    <w:next w:val="Normal"/>
    <w:semiHidden/>
    <w:rsid w:val="004B616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B616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B616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B616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B616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B616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B616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B6169"/>
    <w:pPr>
      <w:tabs>
        <w:tab w:val="right" w:pos="9360"/>
      </w:tabs>
      <w:suppressAutoHyphens/>
    </w:pPr>
  </w:style>
  <w:style w:type="character" w:customStyle="1" w:styleId="EquationCaption">
    <w:name w:val="_Equation Caption"/>
    <w:rsid w:val="004B6169"/>
  </w:style>
  <w:style w:type="paragraph" w:styleId="BlockText">
    <w:name w:val="Block Text"/>
    <w:basedOn w:val="Normal"/>
    <w:rsid w:val="004B6169"/>
    <w:pPr>
      <w:spacing w:after="240"/>
      <w:ind w:left="1440" w:right="1440"/>
    </w:pPr>
  </w:style>
  <w:style w:type="paragraph" w:customStyle="1" w:styleId="Paratitle">
    <w:name w:val="Para title"/>
    <w:basedOn w:val="Normal"/>
    <w:rsid w:val="004B6169"/>
    <w:pPr>
      <w:tabs>
        <w:tab w:val="center" w:pos="9270"/>
      </w:tabs>
      <w:spacing w:after="240"/>
    </w:pPr>
    <w:rPr>
      <w:spacing w:val="-2"/>
    </w:rPr>
  </w:style>
  <w:style w:type="paragraph" w:customStyle="1" w:styleId="TableFormat">
    <w:name w:val="TableFormat"/>
    <w:basedOn w:val="Bullet"/>
    <w:rsid w:val="004B6169"/>
    <w:pPr>
      <w:tabs>
        <w:tab w:val="clear" w:pos="2160"/>
        <w:tab w:val="left" w:pos="5040"/>
      </w:tabs>
      <w:ind w:left="5040" w:hanging="3600"/>
    </w:pPr>
  </w:style>
  <w:style w:type="paragraph" w:customStyle="1" w:styleId="TOCTitle">
    <w:name w:val="TOC Title"/>
    <w:basedOn w:val="Normal"/>
    <w:rsid w:val="004B616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B6169"/>
    <w:pPr>
      <w:jc w:val="center"/>
    </w:pPr>
    <w:rPr>
      <w:rFonts w:ascii="Times New Roman Bold" w:hAnsi="Times New Roman Bold"/>
      <w:b/>
      <w:bCs/>
      <w:caps/>
      <w:szCs w:val="22"/>
    </w:rPr>
  </w:style>
  <w:style w:type="character" w:styleId="Hyperlink">
    <w:name w:val="Hyperlink"/>
    <w:rsid w:val="004B6169"/>
    <w:rPr>
      <w:color w:val="0000FF"/>
      <w:u w:val="single"/>
    </w:rPr>
  </w:style>
  <w:style w:type="table" w:styleId="TableGrid">
    <w:name w:val="Table Grid"/>
    <w:basedOn w:val="TableNormal"/>
    <w:uiPriority w:val="59"/>
    <w:rsid w:val="00C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63E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169"/>
    <w:pPr>
      <w:widowControl w:val="0"/>
    </w:pPr>
    <w:rPr>
      <w:snapToGrid w:val="0"/>
      <w:kern w:val="28"/>
      <w:sz w:val="22"/>
      <w:szCs w:val="20"/>
    </w:rPr>
  </w:style>
  <w:style w:type="paragraph" w:styleId="Heading1">
    <w:name w:val="heading 1"/>
    <w:basedOn w:val="Normal"/>
    <w:next w:val="ParaNum"/>
    <w:link w:val="Heading1Char"/>
    <w:qFormat/>
    <w:rsid w:val="004B6169"/>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4B6169"/>
    <w:pPr>
      <w:keepNext/>
      <w:numPr>
        <w:ilvl w:val="1"/>
        <w:numId w:val="2"/>
      </w:numPr>
      <w:spacing w:after="120"/>
      <w:outlineLvl w:val="1"/>
    </w:pPr>
    <w:rPr>
      <w:b/>
    </w:rPr>
  </w:style>
  <w:style w:type="paragraph" w:styleId="Heading3">
    <w:name w:val="heading 3"/>
    <w:basedOn w:val="Normal"/>
    <w:next w:val="ParaNum"/>
    <w:link w:val="Heading3Char"/>
    <w:qFormat/>
    <w:rsid w:val="004B6169"/>
    <w:pPr>
      <w:keepNext/>
      <w:numPr>
        <w:ilvl w:val="2"/>
        <w:numId w:val="2"/>
      </w:numPr>
      <w:tabs>
        <w:tab w:val="left" w:pos="2160"/>
      </w:tabs>
      <w:spacing w:after="120"/>
      <w:outlineLvl w:val="2"/>
    </w:pPr>
    <w:rPr>
      <w:b/>
    </w:rPr>
  </w:style>
  <w:style w:type="paragraph" w:styleId="Heading4">
    <w:name w:val="heading 4"/>
    <w:basedOn w:val="Normal"/>
    <w:next w:val="ParaNum"/>
    <w:link w:val="Heading4Char"/>
    <w:qFormat/>
    <w:rsid w:val="004B6169"/>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4B6169"/>
    <w:pPr>
      <w:keepNext/>
      <w:numPr>
        <w:ilvl w:val="4"/>
        <w:numId w:val="2"/>
      </w:numPr>
      <w:tabs>
        <w:tab w:val="left" w:pos="3600"/>
      </w:tabs>
      <w:suppressAutoHyphens/>
      <w:spacing w:after="120"/>
      <w:outlineLvl w:val="4"/>
    </w:pPr>
    <w:rPr>
      <w:b/>
    </w:rPr>
  </w:style>
  <w:style w:type="paragraph" w:styleId="Heading6">
    <w:name w:val="heading 6"/>
    <w:basedOn w:val="Normal"/>
    <w:next w:val="ParaNum"/>
    <w:link w:val="Heading6Char"/>
    <w:qFormat/>
    <w:rsid w:val="004B6169"/>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4B6169"/>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4B6169"/>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4B6169"/>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180F88"/>
    <w:rPr>
      <w:rFonts w:ascii="Tahoma" w:hAnsi="Tahoma" w:cs="Tahoma"/>
      <w:sz w:val="16"/>
      <w:szCs w:val="16"/>
    </w:rPr>
  </w:style>
  <w:style w:type="character" w:customStyle="1" w:styleId="BalloonTextChar">
    <w:name w:val="Balloon Text Char"/>
    <w:basedOn w:val="DefaultParagraphFont"/>
    <w:uiPriority w:val="99"/>
    <w:semiHidden/>
    <w:rsid w:val="00565D30"/>
    <w:rPr>
      <w:rFonts w:ascii="Lucida Grande" w:hAnsi="Lucida Grande"/>
      <w:sz w:val="18"/>
      <w:szCs w:val="18"/>
    </w:rPr>
  </w:style>
  <w:style w:type="character" w:customStyle="1" w:styleId="BalloonTextChar3">
    <w:name w:val="Balloon Text Char3"/>
    <w:basedOn w:val="DefaultParagraphFont"/>
    <w:uiPriority w:val="99"/>
    <w:semiHidden/>
    <w:rsid w:val="00565D30"/>
    <w:rPr>
      <w:rFonts w:ascii="Lucida Grande" w:hAnsi="Lucida Grande"/>
      <w:sz w:val="18"/>
      <w:szCs w:val="18"/>
    </w:rPr>
  </w:style>
  <w:style w:type="character" w:customStyle="1" w:styleId="BalloonTextChar2">
    <w:name w:val="Balloon Text Char2"/>
    <w:basedOn w:val="DefaultParagraphFont"/>
    <w:semiHidden/>
    <w:rsid w:val="00565D30"/>
    <w:rPr>
      <w:rFonts w:ascii="Lucida Grande" w:hAnsi="Lucida Grande"/>
      <w:sz w:val="18"/>
      <w:szCs w:val="18"/>
    </w:rPr>
  </w:style>
  <w:style w:type="character" w:customStyle="1" w:styleId="BalloonTextChar1">
    <w:name w:val="Balloon Text Char1"/>
    <w:basedOn w:val="DefaultParagraphFont"/>
    <w:link w:val="BalloonText"/>
    <w:uiPriority w:val="99"/>
    <w:semiHidden/>
    <w:rsid w:val="00565D30"/>
    <w:rPr>
      <w:rFonts w:ascii="Lucida Grande" w:hAnsi="Lucida Grande"/>
      <w:sz w:val="18"/>
      <w:szCs w:val="18"/>
    </w:rPr>
  </w:style>
  <w:style w:type="paragraph" w:customStyle="1" w:styleId="ParaNum">
    <w:name w:val="ParaNum"/>
    <w:basedOn w:val="Normal"/>
    <w:link w:val="ParaNumChar"/>
    <w:rsid w:val="004B6169"/>
    <w:pPr>
      <w:numPr>
        <w:numId w:val="1"/>
      </w:numPr>
      <w:tabs>
        <w:tab w:val="clear" w:pos="1080"/>
        <w:tab w:val="num" w:pos="1440"/>
      </w:tabs>
      <w:spacing w:after="120"/>
    </w:pPr>
  </w:style>
  <w:style w:type="paragraph" w:styleId="Footer">
    <w:name w:val="footer"/>
    <w:basedOn w:val="Normal"/>
    <w:link w:val="FooterChar"/>
    <w:rsid w:val="004B6169"/>
    <w:pPr>
      <w:tabs>
        <w:tab w:val="center" w:pos="4320"/>
        <w:tab w:val="right" w:pos="8640"/>
      </w:tabs>
    </w:pPr>
  </w:style>
  <w:style w:type="character" w:styleId="PageNumber">
    <w:name w:val="page number"/>
    <w:basedOn w:val="DefaultParagraphFont"/>
    <w:rsid w:val="004B6169"/>
  </w:style>
  <w:style w:type="paragraph" w:styleId="FootnoteText">
    <w:name w:val="footnote text"/>
    <w:aliases w:val="Footnote Text Char1,Footnote Text Char Char,Footnote Text Char1 Char Char,Footnote Text Char Char Char Char,Footnote Text Char4 Char Char Char Char,Footnote Text Char Char Char2 Char Char Char,Footnote Text Char2 Char3,fn,ALTS FOOTNOTE"/>
    <w:link w:val="FootnoteTextChar"/>
    <w:rsid w:val="004B6169"/>
    <w:pPr>
      <w:spacing w:after="120"/>
    </w:pPr>
    <w:rPr>
      <w:sz w:val="20"/>
      <w:szCs w:val="20"/>
    </w:rPr>
  </w:style>
  <w:style w:type="character" w:styleId="FootnoteReference">
    <w:name w:val="footnote reference"/>
    <w:aliases w:val="Appel note de bas de p,Style 124,Style 12,(NECG) Footnote Reference,o,fr,Style 3,Style 17,FR,Style 13,Footnote Reference/,Style 6,Style 4"/>
    <w:rsid w:val="004B6169"/>
    <w:rPr>
      <w:rFonts w:ascii="Times New Roman" w:hAnsi="Times New Roman"/>
      <w:dstrike w:val="0"/>
      <w:color w:val="auto"/>
      <w:sz w:val="20"/>
      <w:vertAlign w:val="superscript"/>
    </w:rPr>
  </w:style>
  <w:style w:type="character" w:customStyle="1" w:styleId="FootnoteTextChar">
    <w:name w:val="Footnote Text Char"/>
    <w:aliases w:val="Footnote Text Char1 Char,Footnote Text Char Char Char,Footnote Text Char1 Char Char Char,Footnote Text Char Char Char Char Char,Footnote Text Char4 Char Char Char Char Char,Footnote Text Char Char Char2 Char Char Char Char,fn Char"/>
    <w:link w:val="FootnoteText"/>
    <w:rsid w:val="00180F88"/>
    <w:rPr>
      <w:sz w:val="20"/>
      <w:szCs w:val="20"/>
    </w:rPr>
  </w:style>
  <w:style w:type="paragraph" w:styleId="Header">
    <w:name w:val="header"/>
    <w:basedOn w:val="Normal"/>
    <w:link w:val="HeaderChar"/>
    <w:autoRedefine/>
    <w:rsid w:val="004B6169"/>
    <w:pPr>
      <w:tabs>
        <w:tab w:val="center" w:pos="4680"/>
        <w:tab w:val="right" w:pos="9360"/>
      </w:tabs>
    </w:pPr>
    <w:rPr>
      <w:b/>
    </w:rPr>
  </w:style>
  <w:style w:type="character" w:customStyle="1" w:styleId="FootnoteTextCharChar1">
    <w:name w:val="Footnote Text Char Char1"/>
    <w:aliases w:val="Footnote Text Char4 Char Char Char1,Footnote Text Char Char Char2 Char Char1,Footnote Text Char2 Char Char Char1 Char Char1,Footnote Text Char Char1 Char Char Char Char Char1,fn Char Char Char Char,fn Char Char Char1"/>
    <w:rsid w:val="00180F88"/>
    <w:rPr>
      <w:lang w:val="en-US" w:eastAsia="en-US" w:bidi="ar-SA"/>
    </w:rPr>
  </w:style>
  <w:style w:type="paragraph" w:customStyle="1" w:styleId="ParaNumCharCharCharChar">
    <w:name w:val="ParaNum Char Char Char Char"/>
    <w:basedOn w:val="Normal"/>
    <w:link w:val="ParaNumCharCharCharCharChar"/>
    <w:rsid w:val="00180F88"/>
    <w:pPr>
      <w:tabs>
        <w:tab w:val="num" w:pos="1440"/>
      </w:tabs>
      <w:spacing w:after="120"/>
      <w:ind w:firstLine="720"/>
    </w:pPr>
    <w:rPr>
      <w:snapToGrid/>
    </w:rPr>
  </w:style>
  <w:style w:type="character" w:customStyle="1" w:styleId="ParaNumCharCharCharCharChar">
    <w:name w:val="ParaNum Char Char Char Char Char"/>
    <w:link w:val="ParaNumCharCharCharChar"/>
    <w:rsid w:val="00180F88"/>
    <w:rPr>
      <w:kern w:val="28"/>
      <w:sz w:val="22"/>
      <w:szCs w:val="20"/>
    </w:rPr>
  </w:style>
  <w:style w:type="paragraph" w:customStyle="1" w:styleId="ParaNumCharChar">
    <w:name w:val="ParaNum Char Char"/>
    <w:basedOn w:val="Normal"/>
    <w:rsid w:val="00180F88"/>
    <w:pPr>
      <w:tabs>
        <w:tab w:val="num" w:pos="1440"/>
      </w:tabs>
      <w:spacing w:after="120"/>
      <w:ind w:firstLine="720"/>
    </w:pPr>
    <w:rPr>
      <w:snapToGrid/>
    </w:rPr>
  </w:style>
  <w:style w:type="character" w:styleId="CommentReference">
    <w:name w:val="annotation reference"/>
    <w:semiHidden/>
    <w:rsid w:val="00180F88"/>
    <w:rPr>
      <w:sz w:val="16"/>
      <w:szCs w:val="16"/>
    </w:rPr>
  </w:style>
  <w:style w:type="paragraph" w:styleId="CommentText">
    <w:name w:val="annotation text"/>
    <w:basedOn w:val="Normal"/>
    <w:link w:val="CommentTextChar"/>
    <w:semiHidden/>
    <w:rsid w:val="00180F88"/>
    <w:rPr>
      <w:snapToGrid/>
      <w:sz w:val="20"/>
    </w:rPr>
  </w:style>
  <w:style w:type="paragraph" w:styleId="CommentSubject">
    <w:name w:val="annotation subject"/>
    <w:basedOn w:val="CommentText"/>
    <w:next w:val="CommentText"/>
    <w:link w:val="CommentSubjectChar"/>
    <w:semiHidden/>
    <w:rsid w:val="00180F88"/>
    <w:pPr>
      <w:widowControl/>
    </w:pPr>
    <w:rPr>
      <w:b/>
      <w:bCs/>
      <w:snapToGrid w:val="0"/>
      <w:kern w:val="0"/>
    </w:rPr>
  </w:style>
  <w:style w:type="paragraph" w:styleId="Revision">
    <w:name w:val="Revision"/>
    <w:hidden/>
    <w:uiPriority w:val="99"/>
    <w:semiHidden/>
    <w:rsid w:val="001C3B04"/>
    <w:rPr>
      <w:sz w:val="22"/>
      <w:szCs w:val="22"/>
    </w:rPr>
  </w:style>
  <w:style w:type="character" w:customStyle="1" w:styleId="ParaNumChar">
    <w:name w:val="ParaNum Char"/>
    <w:link w:val="ParaNum"/>
    <w:rsid w:val="005B0E34"/>
    <w:rPr>
      <w:snapToGrid w:val="0"/>
      <w:kern w:val="28"/>
      <w:sz w:val="22"/>
      <w:szCs w:val="20"/>
    </w:rPr>
  </w:style>
  <w:style w:type="character" w:customStyle="1" w:styleId="FootnoteTextCharChar2">
    <w:name w:val="Footnote Text Char Char2"/>
    <w:aliases w:val="Footnote Text Char2 Char3 Char,Footnote Text Char Char6 Char Char,Footnote Text Char6 Char Char Char Char,Footnote Text Char Char6 Char Char1 Char1 Char,Footnote Text Char4 Char2 Char Char Char Char Char"/>
    <w:rsid w:val="005B0E34"/>
  </w:style>
  <w:style w:type="paragraph" w:customStyle="1" w:styleId="Bullet">
    <w:name w:val="Bullet"/>
    <w:basedOn w:val="Normal"/>
    <w:rsid w:val="004B6169"/>
    <w:pPr>
      <w:tabs>
        <w:tab w:val="left" w:pos="2160"/>
      </w:tabs>
      <w:spacing w:after="220"/>
      <w:ind w:left="2160" w:hanging="720"/>
    </w:pPr>
  </w:style>
  <w:style w:type="character" w:customStyle="1" w:styleId="documentbody1">
    <w:name w:val="documentbody1"/>
    <w:rsid w:val="00EC2A7C"/>
    <w:rPr>
      <w:rFonts w:ascii="Verdana" w:hAnsi="Verdana" w:hint="default"/>
      <w:sz w:val="19"/>
      <w:szCs w:val="19"/>
    </w:rPr>
  </w:style>
  <w:style w:type="paragraph" w:styleId="NormalWeb">
    <w:name w:val="Normal (Web)"/>
    <w:basedOn w:val="Normal"/>
    <w:rsid w:val="00EC2A7C"/>
    <w:pPr>
      <w:spacing w:before="100" w:beforeAutospacing="1" w:after="100" w:afterAutospacing="1"/>
    </w:pPr>
    <w:rPr>
      <w:sz w:val="24"/>
      <w:szCs w:val="24"/>
    </w:rPr>
  </w:style>
  <w:style w:type="character" w:customStyle="1" w:styleId="Heading1Char">
    <w:name w:val="Heading 1 Char"/>
    <w:basedOn w:val="DefaultParagraphFont"/>
    <w:link w:val="Heading1"/>
    <w:rsid w:val="007625B8"/>
    <w:rPr>
      <w:rFonts w:ascii="Times New Roman Bold" w:hAnsi="Times New Roman Bold"/>
      <w:b/>
      <w:caps/>
      <w:snapToGrid w:val="0"/>
      <w:kern w:val="28"/>
      <w:sz w:val="22"/>
      <w:szCs w:val="20"/>
    </w:rPr>
  </w:style>
  <w:style w:type="character" w:customStyle="1" w:styleId="Heading2Char">
    <w:name w:val="Heading 2 Char"/>
    <w:basedOn w:val="DefaultParagraphFont"/>
    <w:link w:val="Heading2"/>
    <w:rsid w:val="004C77FD"/>
    <w:rPr>
      <w:b/>
      <w:snapToGrid w:val="0"/>
      <w:kern w:val="28"/>
      <w:sz w:val="22"/>
      <w:szCs w:val="20"/>
    </w:rPr>
  </w:style>
  <w:style w:type="character" w:customStyle="1" w:styleId="Heading3Char">
    <w:name w:val="Heading 3 Char"/>
    <w:basedOn w:val="DefaultParagraphFont"/>
    <w:link w:val="Heading3"/>
    <w:rsid w:val="007625B8"/>
    <w:rPr>
      <w:b/>
      <w:snapToGrid w:val="0"/>
      <w:kern w:val="28"/>
      <w:sz w:val="22"/>
      <w:szCs w:val="20"/>
    </w:rPr>
  </w:style>
  <w:style w:type="character" w:customStyle="1" w:styleId="Heading4Char">
    <w:name w:val="Heading 4 Char"/>
    <w:basedOn w:val="DefaultParagraphFont"/>
    <w:link w:val="Heading4"/>
    <w:rsid w:val="007625B8"/>
    <w:rPr>
      <w:b/>
      <w:snapToGrid w:val="0"/>
      <w:kern w:val="28"/>
      <w:sz w:val="22"/>
      <w:szCs w:val="20"/>
    </w:rPr>
  </w:style>
  <w:style w:type="character" w:customStyle="1" w:styleId="Heading5Char">
    <w:name w:val="Heading 5 Char"/>
    <w:basedOn w:val="DefaultParagraphFont"/>
    <w:link w:val="Heading5"/>
    <w:rsid w:val="007625B8"/>
    <w:rPr>
      <w:b/>
      <w:snapToGrid w:val="0"/>
      <w:kern w:val="28"/>
      <w:sz w:val="22"/>
      <w:szCs w:val="20"/>
    </w:rPr>
  </w:style>
  <w:style w:type="character" w:customStyle="1" w:styleId="Heading6Char">
    <w:name w:val="Heading 6 Char"/>
    <w:basedOn w:val="DefaultParagraphFont"/>
    <w:link w:val="Heading6"/>
    <w:rsid w:val="007625B8"/>
    <w:rPr>
      <w:b/>
      <w:snapToGrid w:val="0"/>
      <w:kern w:val="28"/>
      <w:sz w:val="22"/>
      <w:szCs w:val="20"/>
    </w:rPr>
  </w:style>
  <w:style w:type="character" w:customStyle="1" w:styleId="Heading7Char">
    <w:name w:val="Heading 7 Char"/>
    <w:basedOn w:val="DefaultParagraphFont"/>
    <w:link w:val="Heading7"/>
    <w:rsid w:val="007625B8"/>
    <w:rPr>
      <w:b/>
      <w:snapToGrid w:val="0"/>
      <w:kern w:val="28"/>
      <w:sz w:val="22"/>
      <w:szCs w:val="20"/>
    </w:rPr>
  </w:style>
  <w:style w:type="character" w:customStyle="1" w:styleId="Heading8Char">
    <w:name w:val="Heading 8 Char"/>
    <w:basedOn w:val="DefaultParagraphFont"/>
    <w:link w:val="Heading8"/>
    <w:rsid w:val="007625B8"/>
    <w:rPr>
      <w:b/>
      <w:snapToGrid w:val="0"/>
      <w:kern w:val="28"/>
      <w:sz w:val="22"/>
      <w:szCs w:val="20"/>
    </w:rPr>
  </w:style>
  <w:style w:type="character" w:customStyle="1" w:styleId="Heading9Char">
    <w:name w:val="Heading 9 Char"/>
    <w:basedOn w:val="DefaultParagraphFont"/>
    <w:link w:val="Heading9"/>
    <w:rsid w:val="007625B8"/>
    <w:rPr>
      <w:b/>
      <w:snapToGrid w:val="0"/>
      <w:kern w:val="28"/>
      <w:sz w:val="22"/>
      <w:szCs w:val="20"/>
    </w:rPr>
  </w:style>
  <w:style w:type="character" w:customStyle="1" w:styleId="FooterChar">
    <w:name w:val="Footer Char"/>
    <w:basedOn w:val="DefaultParagraphFont"/>
    <w:link w:val="Footer"/>
    <w:rsid w:val="007625B8"/>
    <w:rPr>
      <w:snapToGrid w:val="0"/>
      <w:kern w:val="28"/>
      <w:sz w:val="22"/>
      <w:szCs w:val="20"/>
    </w:rPr>
  </w:style>
  <w:style w:type="character" w:customStyle="1" w:styleId="HeaderChar">
    <w:name w:val="Header Char"/>
    <w:basedOn w:val="DefaultParagraphFont"/>
    <w:link w:val="Header"/>
    <w:rsid w:val="00AF4FBE"/>
    <w:rPr>
      <w:b/>
      <w:snapToGrid w:val="0"/>
      <w:kern w:val="28"/>
      <w:sz w:val="22"/>
      <w:szCs w:val="20"/>
    </w:rPr>
  </w:style>
  <w:style w:type="character" w:customStyle="1" w:styleId="CommentTextChar">
    <w:name w:val="Comment Text Char"/>
    <w:basedOn w:val="DefaultParagraphFont"/>
    <w:link w:val="CommentText"/>
    <w:semiHidden/>
    <w:rsid w:val="007625B8"/>
    <w:rPr>
      <w:snapToGrid w:val="0"/>
      <w:kern w:val="28"/>
    </w:rPr>
  </w:style>
  <w:style w:type="character" w:customStyle="1" w:styleId="CommentSubjectChar">
    <w:name w:val="Comment Subject Char"/>
    <w:basedOn w:val="CommentTextChar"/>
    <w:link w:val="CommentSubject"/>
    <w:semiHidden/>
    <w:rsid w:val="007625B8"/>
    <w:rPr>
      <w:b/>
      <w:bCs/>
      <w:snapToGrid w:val="0"/>
      <w:kern w:val="28"/>
    </w:rPr>
  </w:style>
  <w:style w:type="paragraph" w:styleId="ListParagraph">
    <w:name w:val="List Paragraph"/>
    <w:basedOn w:val="Normal"/>
    <w:uiPriority w:val="34"/>
    <w:qFormat/>
    <w:rsid w:val="00662A5B"/>
    <w:pPr>
      <w:ind w:left="720"/>
      <w:contextualSpacing/>
    </w:pPr>
  </w:style>
  <w:style w:type="paragraph" w:styleId="EndnoteText">
    <w:name w:val="endnote text"/>
    <w:basedOn w:val="Normal"/>
    <w:link w:val="EndnoteTextChar"/>
    <w:semiHidden/>
    <w:rsid w:val="004B6169"/>
    <w:rPr>
      <w:sz w:val="20"/>
    </w:rPr>
  </w:style>
  <w:style w:type="character" w:customStyle="1" w:styleId="EndnoteTextChar">
    <w:name w:val="Endnote Text Char"/>
    <w:basedOn w:val="DefaultParagraphFont"/>
    <w:link w:val="EndnoteText"/>
    <w:semiHidden/>
    <w:rsid w:val="00D243B3"/>
    <w:rPr>
      <w:snapToGrid w:val="0"/>
      <w:kern w:val="28"/>
      <w:sz w:val="20"/>
      <w:szCs w:val="20"/>
    </w:rPr>
  </w:style>
  <w:style w:type="character" w:styleId="EndnoteReference">
    <w:name w:val="endnote reference"/>
    <w:semiHidden/>
    <w:rsid w:val="004B6169"/>
    <w:rPr>
      <w:vertAlign w:val="superscript"/>
    </w:rPr>
  </w:style>
  <w:style w:type="paragraph" w:styleId="TOC1">
    <w:name w:val="toc 1"/>
    <w:basedOn w:val="Normal"/>
    <w:next w:val="Normal"/>
    <w:semiHidden/>
    <w:rsid w:val="004B6169"/>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4B6169"/>
    <w:pPr>
      <w:tabs>
        <w:tab w:val="left" w:pos="720"/>
        <w:tab w:val="right" w:leader="dot" w:pos="9360"/>
      </w:tabs>
      <w:suppressAutoHyphens/>
      <w:ind w:left="720" w:right="720" w:hanging="360"/>
    </w:pPr>
    <w:rPr>
      <w:noProof/>
    </w:rPr>
  </w:style>
  <w:style w:type="paragraph" w:styleId="TOC3">
    <w:name w:val="toc 3"/>
    <w:basedOn w:val="Normal"/>
    <w:next w:val="Normal"/>
    <w:semiHidden/>
    <w:rsid w:val="004B6169"/>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4B6169"/>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4B6169"/>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4B6169"/>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4B6169"/>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4B6169"/>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4B6169"/>
    <w:pPr>
      <w:tabs>
        <w:tab w:val="left" w:pos="3240"/>
        <w:tab w:val="right" w:leader="dot" w:pos="9360"/>
      </w:tabs>
      <w:suppressAutoHyphens/>
      <w:ind w:left="3240" w:hanging="360"/>
    </w:pPr>
    <w:rPr>
      <w:noProof/>
    </w:rPr>
  </w:style>
  <w:style w:type="paragraph" w:styleId="TOAHeading">
    <w:name w:val="toa heading"/>
    <w:basedOn w:val="Normal"/>
    <w:next w:val="Normal"/>
    <w:semiHidden/>
    <w:rsid w:val="004B6169"/>
    <w:pPr>
      <w:tabs>
        <w:tab w:val="right" w:pos="9360"/>
      </w:tabs>
      <w:suppressAutoHyphens/>
    </w:pPr>
  </w:style>
  <w:style w:type="character" w:customStyle="1" w:styleId="EquationCaption">
    <w:name w:val="_Equation Caption"/>
    <w:rsid w:val="004B6169"/>
  </w:style>
  <w:style w:type="paragraph" w:styleId="BlockText">
    <w:name w:val="Block Text"/>
    <w:basedOn w:val="Normal"/>
    <w:rsid w:val="004B6169"/>
    <w:pPr>
      <w:spacing w:after="240"/>
      <w:ind w:left="1440" w:right="1440"/>
    </w:pPr>
  </w:style>
  <w:style w:type="paragraph" w:customStyle="1" w:styleId="Paratitle">
    <w:name w:val="Para title"/>
    <w:basedOn w:val="Normal"/>
    <w:rsid w:val="004B6169"/>
    <w:pPr>
      <w:tabs>
        <w:tab w:val="center" w:pos="9270"/>
      </w:tabs>
      <w:spacing w:after="240"/>
    </w:pPr>
    <w:rPr>
      <w:spacing w:val="-2"/>
    </w:rPr>
  </w:style>
  <w:style w:type="paragraph" w:customStyle="1" w:styleId="TableFormat">
    <w:name w:val="TableFormat"/>
    <w:basedOn w:val="Bullet"/>
    <w:rsid w:val="004B6169"/>
    <w:pPr>
      <w:tabs>
        <w:tab w:val="clear" w:pos="2160"/>
        <w:tab w:val="left" w:pos="5040"/>
      </w:tabs>
      <w:ind w:left="5040" w:hanging="3600"/>
    </w:pPr>
  </w:style>
  <w:style w:type="paragraph" w:customStyle="1" w:styleId="TOCTitle">
    <w:name w:val="TOC Title"/>
    <w:basedOn w:val="Normal"/>
    <w:rsid w:val="004B6169"/>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4B6169"/>
    <w:pPr>
      <w:jc w:val="center"/>
    </w:pPr>
    <w:rPr>
      <w:rFonts w:ascii="Times New Roman Bold" w:hAnsi="Times New Roman Bold"/>
      <w:b/>
      <w:bCs/>
      <w:caps/>
      <w:szCs w:val="22"/>
    </w:rPr>
  </w:style>
  <w:style w:type="character" w:styleId="Hyperlink">
    <w:name w:val="Hyperlink"/>
    <w:rsid w:val="004B6169"/>
    <w:rPr>
      <w:color w:val="0000FF"/>
      <w:u w:val="single"/>
    </w:rPr>
  </w:style>
  <w:style w:type="table" w:styleId="TableGrid">
    <w:name w:val="Table Grid"/>
    <w:basedOn w:val="TableNormal"/>
    <w:uiPriority w:val="59"/>
    <w:rsid w:val="00C90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F63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9974">
      <w:bodyDiv w:val="1"/>
      <w:marLeft w:val="0"/>
      <w:marRight w:val="0"/>
      <w:marTop w:val="0"/>
      <w:marBottom w:val="0"/>
      <w:divBdr>
        <w:top w:val="none" w:sz="0" w:space="0" w:color="auto"/>
        <w:left w:val="none" w:sz="0" w:space="0" w:color="auto"/>
        <w:bottom w:val="none" w:sz="0" w:space="0" w:color="auto"/>
        <w:right w:val="none" w:sz="0" w:space="0" w:color="auto"/>
      </w:divBdr>
    </w:div>
    <w:div w:id="998966818">
      <w:bodyDiv w:val="1"/>
      <w:marLeft w:val="0"/>
      <w:marRight w:val="0"/>
      <w:marTop w:val="0"/>
      <w:marBottom w:val="0"/>
      <w:divBdr>
        <w:top w:val="none" w:sz="0" w:space="0" w:color="auto"/>
        <w:left w:val="none" w:sz="0" w:space="0" w:color="auto"/>
        <w:bottom w:val="none" w:sz="0" w:space="0" w:color="auto"/>
        <w:right w:val="none" w:sz="0" w:space="0" w:color="auto"/>
      </w:divBdr>
    </w:div>
    <w:div w:id="1123037723">
      <w:bodyDiv w:val="1"/>
      <w:marLeft w:val="0"/>
      <w:marRight w:val="0"/>
      <w:marTop w:val="0"/>
      <w:marBottom w:val="0"/>
      <w:divBdr>
        <w:top w:val="none" w:sz="0" w:space="0" w:color="auto"/>
        <w:left w:val="none" w:sz="0" w:space="0" w:color="auto"/>
        <w:bottom w:val="none" w:sz="0" w:space="0" w:color="auto"/>
        <w:right w:val="none" w:sz="0" w:space="0" w:color="auto"/>
      </w:divBdr>
    </w:div>
    <w:div w:id="1361511266">
      <w:bodyDiv w:val="1"/>
      <w:marLeft w:val="0"/>
      <w:marRight w:val="0"/>
      <w:marTop w:val="0"/>
      <w:marBottom w:val="0"/>
      <w:divBdr>
        <w:top w:val="none" w:sz="0" w:space="0" w:color="auto"/>
        <w:left w:val="none" w:sz="0" w:space="0" w:color="auto"/>
        <w:bottom w:val="none" w:sz="0" w:space="0" w:color="auto"/>
        <w:right w:val="none" w:sz="0" w:space="0" w:color="auto"/>
      </w:divBdr>
      <w:divsChild>
        <w:div w:id="1264262738">
          <w:marLeft w:val="0"/>
          <w:marRight w:val="0"/>
          <w:marTop w:val="0"/>
          <w:marBottom w:val="0"/>
          <w:divBdr>
            <w:top w:val="none" w:sz="0" w:space="0" w:color="auto"/>
            <w:left w:val="none" w:sz="0" w:space="0" w:color="auto"/>
            <w:bottom w:val="none" w:sz="0" w:space="0" w:color="auto"/>
            <w:right w:val="none" w:sz="0" w:space="0" w:color="auto"/>
          </w:divBdr>
        </w:div>
      </w:divsChild>
    </w:div>
    <w:div w:id="1497459904">
      <w:bodyDiv w:val="1"/>
      <w:marLeft w:val="0"/>
      <w:marRight w:val="0"/>
      <w:marTop w:val="0"/>
      <w:marBottom w:val="0"/>
      <w:divBdr>
        <w:top w:val="none" w:sz="0" w:space="0" w:color="auto"/>
        <w:left w:val="none" w:sz="0" w:space="0" w:color="auto"/>
        <w:bottom w:val="none" w:sz="0" w:space="0" w:color="auto"/>
        <w:right w:val="none" w:sz="0" w:space="0" w:color="auto"/>
      </w:divBdr>
    </w:div>
    <w:div w:id="1545944305">
      <w:bodyDiv w:val="1"/>
      <w:marLeft w:val="0"/>
      <w:marRight w:val="0"/>
      <w:marTop w:val="30"/>
      <w:marBottom w:val="750"/>
      <w:divBdr>
        <w:top w:val="none" w:sz="0" w:space="0" w:color="auto"/>
        <w:left w:val="none" w:sz="0" w:space="0" w:color="auto"/>
        <w:bottom w:val="none" w:sz="0" w:space="0" w:color="auto"/>
        <w:right w:val="none" w:sz="0" w:space="0" w:color="auto"/>
      </w:divBdr>
      <w:divsChild>
        <w:div w:id="1675262522">
          <w:marLeft w:val="0"/>
          <w:marRight w:val="0"/>
          <w:marTop w:val="0"/>
          <w:marBottom w:val="0"/>
          <w:divBdr>
            <w:top w:val="none" w:sz="0" w:space="0" w:color="auto"/>
            <w:left w:val="none" w:sz="0" w:space="0" w:color="auto"/>
            <w:bottom w:val="none" w:sz="0" w:space="0" w:color="auto"/>
            <w:right w:val="none" w:sz="0" w:space="0" w:color="auto"/>
          </w:divBdr>
        </w:div>
      </w:divsChild>
    </w:div>
    <w:div w:id="1569608053">
      <w:bodyDiv w:val="1"/>
      <w:marLeft w:val="0"/>
      <w:marRight w:val="0"/>
      <w:marTop w:val="0"/>
      <w:marBottom w:val="0"/>
      <w:divBdr>
        <w:top w:val="none" w:sz="0" w:space="0" w:color="auto"/>
        <w:left w:val="none" w:sz="0" w:space="0" w:color="auto"/>
        <w:bottom w:val="none" w:sz="0" w:space="0" w:color="auto"/>
        <w:right w:val="none" w:sz="0" w:space="0" w:color="auto"/>
      </w:divBdr>
    </w:div>
    <w:div w:id="1987195835">
      <w:bodyDiv w:val="1"/>
      <w:marLeft w:val="0"/>
      <w:marRight w:val="0"/>
      <w:marTop w:val="0"/>
      <w:marBottom w:val="0"/>
      <w:divBdr>
        <w:top w:val="none" w:sz="0" w:space="0" w:color="auto"/>
        <w:left w:val="none" w:sz="0" w:space="0" w:color="auto"/>
        <w:bottom w:val="none" w:sz="0" w:space="0" w:color="auto"/>
        <w:right w:val="none" w:sz="0" w:space="0" w:color="auto"/>
      </w:divBdr>
      <w:divsChild>
        <w:div w:id="1628848539">
          <w:marLeft w:val="0"/>
          <w:marRight w:val="0"/>
          <w:marTop w:val="0"/>
          <w:marBottom w:val="0"/>
          <w:divBdr>
            <w:top w:val="none" w:sz="0" w:space="0" w:color="auto"/>
            <w:left w:val="none" w:sz="0" w:space="0" w:color="auto"/>
            <w:bottom w:val="none" w:sz="0" w:space="0" w:color="auto"/>
            <w:right w:val="none" w:sz="0" w:space="0" w:color="auto"/>
          </w:divBdr>
          <w:divsChild>
            <w:div w:id="130024634">
              <w:marLeft w:val="0"/>
              <w:marRight w:val="0"/>
              <w:marTop w:val="0"/>
              <w:marBottom w:val="0"/>
              <w:divBdr>
                <w:top w:val="none" w:sz="0" w:space="0" w:color="auto"/>
                <w:left w:val="none" w:sz="0" w:space="0" w:color="auto"/>
                <w:bottom w:val="none" w:sz="0" w:space="0" w:color="auto"/>
                <w:right w:val="none" w:sz="0" w:space="0" w:color="auto"/>
              </w:divBdr>
              <w:divsChild>
                <w:div w:id="1848330348">
                  <w:marLeft w:val="0"/>
                  <w:marRight w:val="0"/>
                  <w:marTop w:val="0"/>
                  <w:marBottom w:val="0"/>
                  <w:divBdr>
                    <w:top w:val="none" w:sz="0" w:space="0" w:color="auto"/>
                    <w:left w:val="none" w:sz="0" w:space="0" w:color="auto"/>
                    <w:bottom w:val="none" w:sz="0" w:space="0" w:color="auto"/>
                    <w:right w:val="none" w:sz="0" w:space="0" w:color="auto"/>
                  </w:divBdr>
                  <w:divsChild>
                    <w:div w:id="856696277">
                      <w:marLeft w:val="0"/>
                      <w:marRight w:val="0"/>
                      <w:marTop w:val="0"/>
                      <w:marBottom w:val="0"/>
                      <w:divBdr>
                        <w:top w:val="none" w:sz="0" w:space="0" w:color="auto"/>
                        <w:left w:val="none" w:sz="0" w:space="0" w:color="auto"/>
                        <w:bottom w:val="none" w:sz="0" w:space="0" w:color="auto"/>
                        <w:right w:val="none" w:sz="0" w:space="0" w:color="auto"/>
                      </w:divBdr>
                      <w:divsChild>
                        <w:div w:id="2147040341">
                          <w:marLeft w:val="0"/>
                          <w:marRight w:val="0"/>
                          <w:marTop w:val="0"/>
                          <w:marBottom w:val="0"/>
                          <w:divBdr>
                            <w:top w:val="none" w:sz="0" w:space="0" w:color="auto"/>
                            <w:left w:val="none" w:sz="0" w:space="0" w:color="auto"/>
                            <w:bottom w:val="none" w:sz="0" w:space="0" w:color="auto"/>
                            <w:right w:val="none" w:sz="0" w:space="0" w:color="auto"/>
                          </w:divBdr>
                          <w:divsChild>
                            <w:div w:id="48204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78282">
      <w:bodyDiv w:val="1"/>
      <w:marLeft w:val="0"/>
      <w:marRight w:val="0"/>
      <w:marTop w:val="0"/>
      <w:marBottom w:val="0"/>
      <w:divBdr>
        <w:top w:val="none" w:sz="0" w:space="0" w:color="auto"/>
        <w:left w:val="none" w:sz="0" w:space="0" w:color="auto"/>
        <w:bottom w:val="none" w:sz="0" w:space="0" w:color="auto"/>
        <w:right w:val="none" w:sz="0" w:space="0" w:color="auto"/>
      </w:divBdr>
      <w:divsChild>
        <w:div w:id="1935238177">
          <w:marLeft w:val="0"/>
          <w:marRight w:val="0"/>
          <w:marTop w:val="0"/>
          <w:marBottom w:val="0"/>
          <w:divBdr>
            <w:top w:val="none" w:sz="0" w:space="0" w:color="auto"/>
            <w:left w:val="none" w:sz="0" w:space="0" w:color="auto"/>
            <w:bottom w:val="none" w:sz="0" w:space="0" w:color="auto"/>
            <w:right w:val="none" w:sz="0" w:space="0" w:color="auto"/>
          </w:divBdr>
          <w:divsChild>
            <w:div w:id="162555807">
              <w:marLeft w:val="0"/>
              <w:marRight w:val="0"/>
              <w:marTop w:val="0"/>
              <w:marBottom w:val="0"/>
              <w:divBdr>
                <w:top w:val="none" w:sz="0" w:space="0" w:color="auto"/>
                <w:left w:val="none" w:sz="0" w:space="0" w:color="auto"/>
                <w:bottom w:val="none" w:sz="0" w:space="0" w:color="auto"/>
                <w:right w:val="none" w:sz="0" w:space="0" w:color="auto"/>
              </w:divBdr>
              <w:divsChild>
                <w:div w:id="1907834354">
                  <w:marLeft w:val="0"/>
                  <w:marRight w:val="0"/>
                  <w:marTop w:val="0"/>
                  <w:marBottom w:val="0"/>
                  <w:divBdr>
                    <w:top w:val="none" w:sz="0" w:space="0" w:color="auto"/>
                    <w:left w:val="none" w:sz="0" w:space="0" w:color="auto"/>
                    <w:bottom w:val="none" w:sz="0" w:space="0" w:color="auto"/>
                    <w:right w:val="none" w:sz="0" w:space="0" w:color="auto"/>
                  </w:divBdr>
                  <w:divsChild>
                    <w:div w:id="11701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61CA3-DF04-4915-BB84-0AE3850B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7677</Words>
  <Characters>43760</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OMB No</vt:lpstr>
    </vt:vector>
  </TitlesOfParts>
  <Company>Federal Communications Commission</Company>
  <LinksUpToDate>false</LinksUpToDate>
  <CharactersWithSpaces>51335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Jennifer.Mock</dc:creator>
  <cp:lastModifiedBy>SYSTEM</cp:lastModifiedBy>
  <cp:revision>2</cp:revision>
  <cp:lastPrinted>2017-10-03T14:00:00Z</cp:lastPrinted>
  <dcterms:created xsi:type="dcterms:W3CDTF">2018-01-02T12:05:00Z</dcterms:created>
  <dcterms:modified xsi:type="dcterms:W3CDTF">2018-01-02T12:05:00Z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