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77" w:rsidRPr="00150B86" w:rsidRDefault="00715877" w:rsidP="00715877">
      <w:pPr>
        <w:pStyle w:val="Style1"/>
        <w:jc w:val="center"/>
        <w:rPr>
          <w:b/>
        </w:rPr>
      </w:pPr>
      <w:bookmarkStart w:id="0" w:name="_GoBack"/>
      <w:bookmarkEnd w:id="0"/>
      <w:r w:rsidRPr="00150B86">
        <w:rPr>
          <w:b/>
        </w:rPr>
        <w:t>Supporting Statement for Paperwork Reduction Act Submission</w:t>
      </w:r>
    </w:p>
    <w:p w:rsidR="00715877" w:rsidRPr="00150B86" w:rsidRDefault="00715877" w:rsidP="00715877">
      <w:pPr>
        <w:pStyle w:val="Style1"/>
        <w:jc w:val="center"/>
        <w:rPr>
          <w:b/>
        </w:rPr>
      </w:pPr>
      <w:r>
        <w:rPr>
          <w:b/>
        </w:rPr>
        <w:t>Rent Reform Demonstration: Long-Term Follow-Up Survey</w:t>
      </w:r>
    </w:p>
    <w:p w:rsidR="00715877" w:rsidRPr="00150B86" w:rsidRDefault="00715877" w:rsidP="00715877">
      <w:pPr>
        <w:pStyle w:val="Style1"/>
        <w:jc w:val="center"/>
        <w:rPr>
          <w:b/>
        </w:rPr>
      </w:pPr>
      <w:r w:rsidRPr="00150B86">
        <w:rPr>
          <w:b/>
        </w:rPr>
        <w:t>OMB # 2528-</w:t>
      </w:r>
      <w:r>
        <w:rPr>
          <w:b/>
        </w:rPr>
        <w:t>0306</w:t>
      </w:r>
    </w:p>
    <w:p w:rsidR="000C1860" w:rsidRDefault="000C1860" w:rsidP="000554A3">
      <w:pPr>
        <w:widowControl w:val="0"/>
        <w:tabs>
          <w:tab w:val="clear" w:pos="432"/>
        </w:tabs>
        <w:suppressAutoHyphens/>
        <w:spacing w:line="240" w:lineRule="auto"/>
        <w:ind w:firstLine="0"/>
        <w:jc w:val="left"/>
        <w:rPr>
          <w:rFonts w:ascii="Times New Roman" w:hAnsi="Times New Roman"/>
          <w:b/>
          <w:bCs/>
          <w:u w:val="single"/>
        </w:rPr>
      </w:pPr>
    </w:p>
    <w:p w:rsidR="00D84C8E" w:rsidRPr="00D96C85" w:rsidRDefault="00D84C8E" w:rsidP="0064554E">
      <w:pPr>
        <w:widowControl w:val="0"/>
        <w:tabs>
          <w:tab w:val="clear" w:pos="432"/>
        </w:tabs>
        <w:suppressAutoHyphens/>
        <w:spacing w:line="240" w:lineRule="auto"/>
        <w:ind w:left="540" w:hanging="540"/>
        <w:jc w:val="left"/>
        <w:rPr>
          <w:rFonts w:ascii="Helvetica" w:hAnsi="Helvetica"/>
          <w:b/>
          <w:bCs/>
        </w:rPr>
      </w:pPr>
      <w:r w:rsidRPr="00D96C85">
        <w:rPr>
          <w:rFonts w:ascii="Helvetica" w:hAnsi="Helvetica"/>
          <w:b/>
          <w:bCs/>
        </w:rPr>
        <w:t>A</w:t>
      </w:r>
      <w:r w:rsidR="00D96C85" w:rsidRPr="00D96C85">
        <w:rPr>
          <w:rFonts w:ascii="Helvetica" w:hAnsi="Helvetica"/>
          <w:b/>
          <w:bCs/>
        </w:rPr>
        <w:t xml:space="preserve">. </w:t>
      </w:r>
      <w:r w:rsidR="0064554E">
        <w:rPr>
          <w:rFonts w:ascii="Helvetica" w:hAnsi="Helvetica"/>
          <w:b/>
          <w:bCs/>
        </w:rPr>
        <w:tab/>
      </w:r>
      <w:r w:rsidRPr="00D96C85">
        <w:rPr>
          <w:rFonts w:ascii="Helvetica" w:hAnsi="Helvetica"/>
          <w:b/>
          <w:bCs/>
        </w:rPr>
        <w:t>Justification</w:t>
      </w:r>
    </w:p>
    <w:p w:rsidR="003E36A4" w:rsidRPr="003E36A4" w:rsidRDefault="003E36A4" w:rsidP="000554A3">
      <w:pPr>
        <w:widowControl w:val="0"/>
        <w:tabs>
          <w:tab w:val="clear" w:pos="432"/>
        </w:tabs>
        <w:suppressAutoHyphens/>
        <w:spacing w:line="240" w:lineRule="auto"/>
        <w:ind w:firstLine="0"/>
        <w:jc w:val="left"/>
        <w:rPr>
          <w:rFonts w:ascii="Arial" w:hAnsi="Arial" w:cs="Arial"/>
          <w:b/>
          <w:bCs/>
          <w:u w:val="single"/>
        </w:rPr>
      </w:pPr>
    </w:p>
    <w:p w:rsidR="001D47CF" w:rsidRPr="006302F4" w:rsidRDefault="003E36A4" w:rsidP="0051182F">
      <w:pPr>
        <w:tabs>
          <w:tab w:val="clear" w:pos="432"/>
        </w:tabs>
        <w:spacing w:line="240" w:lineRule="auto"/>
        <w:ind w:firstLine="0"/>
        <w:jc w:val="left"/>
        <w:rPr>
          <w:rFonts w:ascii="Times New Roman" w:hAnsi="Times New Roman"/>
        </w:rPr>
      </w:pPr>
      <w:r w:rsidRPr="00542556">
        <w:rPr>
          <w:rFonts w:ascii="Times New Roman" w:hAnsi="Times New Roman"/>
        </w:rPr>
        <w:t xml:space="preserve">This </w:t>
      </w:r>
      <w:r w:rsidR="00DB5E86">
        <w:rPr>
          <w:rFonts w:ascii="Times New Roman" w:hAnsi="Times New Roman"/>
        </w:rPr>
        <w:t>s</w:t>
      </w:r>
      <w:r w:rsidRPr="00542556">
        <w:rPr>
          <w:rFonts w:ascii="Times New Roman" w:hAnsi="Times New Roman"/>
        </w:rPr>
        <w:t xml:space="preserve">upporting </w:t>
      </w:r>
      <w:r w:rsidR="00DB5E86">
        <w:rPr>
          <w:rFonts w:ascii="Times New Roman" w:hAnsi="Times New Roman"/>
        </w:rPr>
        <w:t>s</w:t>
      </w:r>
      <w:r w:rsidRPr="00542556">
        <w:rPr>
          <w:rFonts w:ascii="Times New Roman" w:hAnsi="Times New Roman"/>
        </w:rPr>
        <w:t xml:space="preserve">tatement provides information </w:t>
      </w:r>
      <w:r>
        <w:rPr>
          <w:rFonts w:ascii="Times New Roman" w:hAnsi="Times New Roman"/>
        </w:rPr>
        <w:t xml:space="preserve">on the </w:t>
      </w:r>
      <w:r w:rsidR="00657103">
        <w:rPr>
          <w:rFonts w:ascii="Times New Roman" w:hAnsi="Times New Roman"/>
        </w:rPr>
        <w:t xml:space="preserve">next phase of </w:t>
      </w:r>
      <w:r w:rsidRPr="00542556">
        <w:rPr>
          <w:rFonts w:ascii="Times New Roman" w:hAnsi="Times New Roman"/>
        </w:rPr>
        <w:t xml:space="preserve">data collection </w:t>
      </w:r>
      <w:r>
        <w:rPr>
          <w:rFonts w:ascii="Times New Roman" w:hAnsi="Times New Roman"/>
        </w:rPr>
        <w:t xml:space="preserve">activities associated with the </w:t>
      </w:r>
      <w:r w:rsidR="007D58BF">
        <w:rPr>
          <w:rFonts w:ascii="Times New Roman" w:hAnsi="Times New Roman"/>
        </w:rPr>
        <w:t xml:space="preserve">Rent Reform </w:t>
      </w:r>
      <w:r w:rsidR="003C7857">
        <w:rPr>
          <w:rFonts w:ascii="Times New Roman" w:hAnsi="Times New Roman"/>
        </w:rPr>
        <w:t>Demonstration</w:t>
      </w:r>
      <w:r w:rsidR="003C7857" w:rsidRPr="00542556">
        <w:rPr>
          <w:rFonts w:ascii="Times New Roman" w:hAnsi="Times New Roman"/>
        </w:rPr>
        <w:t xml:space="preserve"> </w:t>
      </w:r>
      <w:r w:rsidR="00657103">
        <w:rPr>
          <w:rFonts w:ascii="Times New Roman" w:hAnsi="Times New Roman"/>
        </w:rPr>
        <w:t xml:space="preserve">evaluation </w:t>
      </w:r>
      <w:r>
        <w:rPr>
          <w:rFonts w:ascii="Times New Roman" w:hAnsi="Times New Roman"/>
        </w:rPr>
        <w:t xml:space="preserve">administered </w:t>
      </w:r>
      <w:r w:rsidRPr="00542556">
        <w:rPr>
          <w:rFonts w:ascii="Times New Roman" w:hAnsi="Times New Roman"/>
        </w:rPr>
        <w:t xml:space="preserve">by the </w:t>
      </w:r>
      <w:r w:rsidRPr="00542556">
        <w:rPr>
          <w:rFonts w:ascii="Times New Roman" w:hAnsi="Times New Roman"/>
          <w:lang w:val="yo-NG"/>
        </w:rPr>
        <w:t xml:space="preserve">U.S. </w:t>
      </w:r>
      <w:r w:rsidRPr="00542556">
        <w:rPr>
          <w:rFonts w:ascii="Times New Roman" w:hAnsi="Times New Roman"/>
        </w:rPr>
        <w:t>Department of Housing and Urban Development (HUD</w:t>
      </w:r>
      <w:r w:rsidRPr="0051182F">
        <w:rPr>
          <w:rFonts w:ascii="Times New Roman" w:hAnsi="Times New Roman"/>
        </w:rPr>
        <w:t xml:space="preserve">). </w:t>
      </w:r>
      <w:r w:rsidR="0051182F" w:rsidRPr="0051182F">
        <w:rPr>
          <w:rFonts w:ascii="Times New Roman" w:hAnsi="Times New Roman"/>
        </w:rPr>
        <w:t>T</w:t>
      </w:r>
      <w:r w:rsidR="0051182F" w:rsidRPr="00B622E3">
        <w:rPr>
          <w:rFonts w:ascii="Times New Roman" w:hAnsi="Times New Roman"/>
        </w:rPr>
        <w:t xml:space="preserve">he alternative rent policy was developed by a design team, which includes: MDRC and </w:t>
      </w:r>
      <w:r w:rsidR="0039217D" w:rsidRPr="0051182F">
        <w:rPr>
          <w:rFonts w:ascii="Times New Roman" w:hAnsi="Times New Roman"/>
        </w:rPr>
        <w:t>its subcontractors at the Urban Institute, Quadel Consulting, the Bronner Group, and independent and academic consultants</w:t>
      </w:r>
      <w:r w:rsidR="0051182F" w:rsidRPr="0051182F">
        <w:rPr>
          <w:rFonts w:ascii="Times New Roman" w:hAnsi="Times New Roman"/>
        </w:rPr>
        <w:t>; HUD; and participating housing agencies.</w:t>
      </w:r>
      <w:r w:rsidR="0051182F">
        <w:rPr>
          <w:rFonts w:ascii="Times New Roman" w:hAnsi="Times New Roman"/>
        </w:rPr>
        <w:t xml:space="preserve"> </w:t>
      </w:r>
      <w:r w:rsidR="00B622E3" w:rsidRPr="006302F4">
        <w:rPr>
          <w:rFonts w:ascii="Times New Roman" w:hAnsi="Times New Roman"/>
        </w:rPr>
        <w:t xml:space="preserve">MDRC is leading the </w:t>
      </w:r>
      <w:r w:rsidR="006302F4">
        <w:rPr>
          <w:rFonts w:ascii="Times New Roman" w:hAnsi="Times New Roman"/>
        </w:rPr>
        <w:t xml:space="preserve">demonstration </w:t>
      </w:r>
      <w:r w:rsidR="00B622E3" w:rsidRPr="006302F4">
        <w:rPr>
          <w:rFonts w:ascii="Times New Roman" w:hAnsi="Times New Roman"/>
        </w:rPr>
        <w:t xml:space="preserve">evaluation effort. </w:t>
      </w:r>
    </w:p>
    <w:p w:rsidR="00D84C8E" w:rsidRPr="006302F4" w:rsidRDefault="003E36A4" w:rsidP="005317DD">
      <w:pPr>
        <w:spacing w:line="240" w:lineRule="auto"/>
        <w:ind w:firstLine="0"/>
        <w:jc w:val="left"/>
        <w:rPr>
          <w:rFonts w:ascii="Arial" w:hAnsi="Arial" w:cs="Arial"/>
          <w:b/>
          <w:bCs/>
        </w:rPr>
      </w:pPr>
      <w:r w:rsidRPr="006302F4">
        <w:rPr>
          <w:rFonts w:ascii="Times New Roman" w:hAnsi="Times New Roman"/>
        </w:rPr>
        <w:t xml:space="preserve"> </w:t>
      </w:r>
    </w:p>
    <w:p w:rsidR="00B17BCF" w:rsidRDefault="00657103" w:rsidP="006302F4">
      <w:pPr>
        <w:spacing w:line="240" w:lineRule="auto"/>
        <w:ind w:firstLine="0"/>
        <w:jc w:val="left"/>
        <w:rPr>
          <w:rFonts w:ascii="Times New Roman" w:hAnsi="Times New Roman"/>
        </w:rPr>
      </w:pPr>
      <w:r>
        <w:rPr>
          <w:rFonts w:ascii="Times New Roman" w:hAnsi="Times New Roman"/>
        </w:rPr>
        <w:t xml:space="preserve">This Supporting Statement provides information on the proposed </w:t>
      </w:r>
      <w:r w:rsidR="001C058A">
        <w:rPr>
          <w:rFonts w:ascii="Times New Roman" w:hAnsi="Times New Roman"/>
        </w:rPr>
        <w:t>long-term</w:t>
      </w:r>
      <w:r>
        <w:rPr>
          <w:rFonts w:ascii="Times New Roman" w:hAnsi="Times New Roman"/>
        </w:rPr>
        <w:t xml:space="preserve"> follow-up survey </w:t>
      </w:r>
      <w:r w:rsidR="006302F4" w:rsidRPr="006302F4">
        <w:rPr>
          <w:rFonts w:ascii="Times New Roman" w:hAnsi="Times New Roman"/>
        </w:rPr>
        <w:t xml:space="preserve">of participants enrolled in the Rent Reform Demonstration.  </w:t>
      </w:r>
      <w:r w:rsidR="00FD1869">
        <w:rPr>
          <w:rFonts w:ascii="Times New Roman" w:hAnsi="Times New Roman"/>
        </w:rPr>
        <w:t xml:space="preserve">It builds upon the baseline data </w:t>
      </w:r>
      <w:r w:rsidR="00816ABD">
        <w:rPr>
          <w:rFonts w:ascii="Times New Roman" w:hAnsi="Times New Roman"/>
        </w:rPr>
        <w:t>collected under Task Order 1 (TO1)</w:t>
      </w:r>
      <w:r w:rsidR="00423B77">
        <w:rPr>
          <w:rFonts w:ascii="Times New Roman" w:hAnsi="Times New Roman"/>
        </w:rPr>
        <w:t>,</w:t>
      </w:r>
      <w:r w:rsidR="00816ABD">
        <w:rPr>
          <w:rFonts w:ascii="Times New Roman" w:hAnsi="Times New Roman"/>
        </w:rPr>
        <w:t xml:space="preserve"> the collection of staff and participant interviews, administrative records, cost data </w:t>
      </w:r>
      <w:r w:rsidR="00423B77">
        <w:rPr>
          <w:rFonts w:ascii="Times New Roman" w:hAnsi="Times New Roman"/>
        </w:rPr>
        <w:t>and administrative data</w:t>
      </w:r>
      <w:r w:rsidR="00FD1869">
        <w:rPr>
          <w:rFonts w:ascii="Times New Roman" w:hAnsi="Times New Roman"/>
        </w:rPr>
        <w:t xml:space="preserve"> </w:t>
      </w:r>
      <w:r w:rsidR="000C1860">
        <w:rPr>
          <w:rFonts w:ascii="Times New Roman" w:hAnsi="Times New Roman"/>
        </w:rPr>
        <w:t xml:space="preserve">authorized </w:t>
      </w:r>
      <w:r w:rsidR="00423B77">
        <w:rPr>
          <w:rFonts w:ascii="Times New Roman" w:hAnsi="Times New Roman"/>
        </w:rPr>
        <w:t xml:space="preserve">under </w:t>
      </w:r>
      <w:r w:rsidR="00816ABD">
        <w:rPr>
          <w:rFonts w:ascii="Times New Roman" w:hAnsi="Times New Roman"/>
        </w:rPr>
        <w:t>Task Order 2 (TO</w:t>
      </w:r>
      <w:r w:rsidR="009535C7">
        <w:rPr>
          <w:rFonts w:ascii="Times New Roman" w:hAnsi="Times New Roman"/>
        </w:rPr>
        <w:t>2</w:t>
      </w:r>
      <w:r w:rsidR="00816ABD">
        <w:rPr>
          <w:rFonts w:ascii="Times New Roman" w:hAnsi="Times New Roman"/>
        </w:rPr>
        <w:t xml:space="preserve">) </w:t>
      </w:r>
      <w:r w:rsidR="00FD1869">
        <w:rPr>
          <w:rFonts w:ascii="Times New Roman" w:hAnsi="Times New Roman"/>
        </w:rPr>
        <w:t xml:space="preserve">under </w:t>
      </w:r>
      <w:r w:rsidR="00B33AC1">
        <w:rPr>
          <w:rFonts w:ascii="Times New Roman" w:hAnsi="Times New Roman"/>
        </w:rPr>
        <w:t>the Office of Management and Budget (</w:t>
      </w:r>
      <w:r w:rsidR="00FD1869" w:rsidRPr="006302F4">
        <w:rPr>
          <w:rFonts w:ascii="Times New Roman" w:hAnsi="Times New Roman"/>
        </w:rPr>
        <w:t>OMB</w:t>
      </w:r>
      <w:r w:rsidR="00B33AC1">
        <w:rPr>
          <w:rFonts w:ascii="Times New Roman" w:hAnsi="Times New Roman"/>
        </w:rPr>
        <w:t>)</w:t>
      </w:r>
      <w:r w:rsidR="00FD1869" w:rsidRPr="006302F4">
        <w:rPr>
          <w:rFonts w:ascii="Times New Roman" w:hAnsi="Times New Roman"/>
        </w:rPr>
        <w:t xml:space="preserve"> </w:t>
      </w:r>
      <w:r w:rsidR="00FD1869">
        <w:rPr>
          <w:rFonts w:ascii="Times New Roman" w:hAnsi="Times New Roman"/>
        </w:rPr>
        <w:t xml:space="preserve">control number </w:t>
      </w:r>
      <w:r w:rsidR="00FD1869" w:rsidRPr="006302F4">
        <w:rPr>
          <w:rFonts w:ascii="Times New Roman" w:hAnsi="Times New Roman"/>
        </w:rPr>
        <w:t>2528-0306</w:t>
      </w:r>
      <w:r w:rsidR="00816ABD">
        <w:rPr>
          <w:rFonts w:ascii="Times New Roman" w:hAnsi="Times New Roman"/>
        </w:rPr>
        <w:t>, expiration date 10/31/2018</w:t>
      </w:r>
      <w:r w:rsidR="00FD1869" w:rsidRPr="006302F4">
        <w:rPr>
          <w:rFonts w:ascii="Times New Roman" w:hAnsi="Times New Roman"/>
        </w:rPr>
        <w:t xml:space="preserve">. </w:t>
      </w:r>
    </w:p>
    <w:p w:rsidR="00B17BCF" w:rsidRDefault="00B17BCF" w:rsidP="000554A3">
      <w:pPr>
        <w:widowControl w:val="0"/>
        <w:tabs>
          <w:tab w:val="clear" w:pos="432"/>
        </w:tabs>
        <w:suppressAutoHyphens/>
        <w:spacing w:line="240" w:lineRule="auto"/>
        <w:ind w:firstLine="0"/>
        <w:jc w:val="left"/>
        <w:rPr>
          <w:rFonts w:ascii="Arial" w:hAnsi="Arial" w:cs="Arial"/>
          <w:b/>
          <w:bCs/>
        </w:rPr>
      </w:pPr>
    </w:p>
    <w:p w:rsidR="00715877" w:rsidRPr="003D6DD0" w:rsidRDefault="00715877" w:rsidP="008D1BD2">
      <w:pPr>
        <w:pStyle w:val="OMBNumberBullets"/>
        <w:spacing w:after="0"/>
      </w:pPr>
      <w:r w:rsidRPr="003D6DD0">
        <w:t xml:space="preserve">Explain the circumstances that make the collection of information necessary. </w:t>
      </w:r>
    </w:p>
    <w:p w:rsidR="00F620A0" w:rsidRPr="00933DA0" w:rsidRDefault="00F620A0" w:rsidP="000554A3">
      <w:pPr>
        <w:widowControl w:val="0"/>
        <w:tabs>
          <w:tab w:val="clear" w:pos="432"/>
        </w:tabs>
        <w:suppressAutoHyphens/>
        <w:spacing w:line="240" w:lineRule="auto"/>
        <w:ind w:firstLine="0"/>
        <w:jc w:val="left"/>
        <w:rPr>
          <w:rFonts w:ascii="Arial" w:hAnsi="Arial" w:cs="Arial"/>
          <w:b/>
          <w:bCs/>
        </w:rPr>
      </w:pPr>
    </w:p>
    <w:p w:rsidR="00F959C1" w:rsidRDefault="00F620A0" w:rsidP="008D1BD2">
      <w:pPr>
        <w:pStyle w:val="NumberedBullet"/>
        <w:numPr>
          <w:ilvl w:val="0"/>
          <w:numId w:val="0"/>
        </w:numPr>
        <w:spacing w:after="0"/>
        <w:jc w:val="left"/>
        <w:rPr>
          <w:rFonts w:ascii="Times New Roman" w:hAnsi="Times New Roman"/>
        </w:rPr>
      </w:pPr>
      <w:r w:rsidRPr="00542556">
        <w:rPr>
          <w:rFonts w:ascii="Times New Roman" w:hAnsi="Times New Roman"/>
        </w:rPr>
        <w:t xml:space="preserve">The primary goal of the </w:t>
      </w:r>
      <w:r w:rsidR="00F959C1">
        <w:rPr>
          <w:rFonts w:ascii="Times New Roman" w:hAnsi="Times New Roman"/>
        </w:rPr>
        <w:t>Rent Reform Demonstration</w:t>
      </w:r>
      <w:r w:rsidR="00F959C1" w:rsidRPr="00542556">
        <w:rPr>
          <w:rFonts w:ascii="Times New Roman" w:hAnsi="Times New Roman"/>
        </w:rPr>
        <w:t xml:space="preserve"> </w:t>
      </w:r>
      <w:r w:rsidRPr="00542556">
        <w:rPr>
          <w:rFonts w:ascii="Times New Roman" w:hAnsi="Times New Roman"/>
        </w:rPr>
        <w:t xml:space="preserve">is to </w:t>
      </w:r>
      <w:r w:rsidR="007D58BF">
        <w:rPr>
          <w:rFonts w:ascii="Times New Roman" w:hAnsi="Times New Roman"/>
        </w:rPr>
        <w:t xml:space="preserve">test the effects of an alternative rent policy on voucher holders and housing authorities that issue them. </w:t>
      </w:r>
      <w:r w:rsidR="00F959C1">
        <w:rPr>
          <w:rFonts w:ascii="Times New Roman" w:hAnsi="Times New Roman"/>
        </w:rPr>
        <w:t xml:space="preserve"> HUD’s Office of Policy Development and Research (PD&amp;R) awarded a contract to MDRC in September 2012 to design and implement the Rent Reform Demonstration. </w:t>
      </w:r>
      <w:r w:rsidR="006C7100">
        <w:rPr>
          <w:rFonts w:ascii="Times New Roman" w:hAnsi="Times New Roman"/>
        </w:rPr>
        <w:t>While design and implementation took longer than anticipated, over 6,600 Housing Choice Voucher (HCV) program participants were enrolled in the Demonstration from June 2015 through March 2016</w:t>
      </w:r>
      <w:r w:rsidR="0010775E">
        <w:rPr>
          <w:rFonts w:ascii="Times New Roman" w:hAnsi="Times New Roman"/>
        </w:rPr>
        <w:t xml:space="preserve"> (</w:t>
      </w:r>
      <w:r w:rsidR="00CA1BBB">
        <w:rPr>
          <w:rFonts w:ascii="Times New Roman" w:hAnsi="Times New Roman"/>
        </w:rPr>
        <w:t>TO</w:t>
      </w:r>
      <w:r w:rsidR="0010775E">
        <w:rPr>
          <w:rFonts w:ascii="Times New Roman" w:hAnsi="Times New Roman"/>
        </w:rPr>
        <w:t xml:space="preserve"> 1)</w:t>
      </w:r>
      <w:r w:rsidR="006C7100">
        <w:rPr>
          <w:rFonts w:ascii="Times New Roman" w:hAnsi="Times New Roman"/>
        </w:rPr>
        <w:t>. A baseline survey was administered at the HCV participants’ recertification just after random assignment. While the original Demonstration called for a long-term follow-up survey</w:t>
      </w:r>
      <w:r w:rsidR="0010775E">
        <w:rPr>
          <w:rFonts w:ascii="Times New Roman" w:hAnsi="Times New Roman"/>
        </w:rPr>
        <w:t xml:space="preserve"> to occur as part of </w:t>
      </w:r>
      <w:r w:rsidR="00CA1BBB">
        <w:rPr>
          <w:rFonts w:ascii="Times New Roman" w:hAnsi="Times New Roman"/>
        </w:rPr>
        <w:t>TO</w:t>
      </w:r>
      <w:r w:rsidR="0010775E">
        <w:rPr>
          <w:rFonts w:ascii="Times New Roman" w:hAnsi="Times New Roman"/>
        </w:rPr>
        <w:t xml:space="preserve"> 2</w:t>
      </w:r>
      <w:r w:rsidR="006C7100">
        <w:rPr>
          <w:rFonts w:ascii="Times New Roman" w:hAnsi="Times New Roman"/>
        </w:rPr>
        <w:t>, PD&amp;R did not have the funds to award the survey contract until March 2018. (</w:t>
      </w:r>
      <w:r w:rsidR="0010775E">
        <w:rPr>
          <w:rFonts w:ascii="Times New Roman" w:hAnsi="Times New Roman"/>
        </w:rPr>
        <w:t xml:space="preserve">A new </w:t>
      </w:r>
      <w:r w:rsidR="006C7100">
        <w:rPr>
          <w:rFonts w:ascii="Times New Roman" w:hAnsi="Times New Roman"/>
        </w:rPr>
        <w:t xml:space="preserve">contract was awarded to Decision Information Resources, Inc, </w:t>
      </w:r>
      <w:r w:rsidR="0010775E">
        <w:rPr>
          <w:rFonts w:ascii="Times New Roman" w:hAnsi="Times New Roman"/>
        </w:rPr>
        <w:t xml:space="preserve">to conduct the long-term follow-up survey, </w:t>
      </w:r>
      <w:r w:rsidR="006C7100">
        <w:rPr>
          <w:rFonts w:ascii="Times New Roman" w:hAnsi="Times New Roman"/>
        </w:rPr>
        <w:t xml:space="preserve">with a </w:t>
      </w:r>
      <w:r w:rsidR="0010775E">
        <w:rPr>
          <w:rFonts w:ascii="Times New Roman" w:hAnsi="Times New Roman"/>
        </w:rPr>
        <w:t>subsequent</w:t>
      </w:r>
      <w:r w:rsidR="006C7100">
        <w:rPr>
          <w:rFonts w:ascii="Times New Roman" w:hAnsi="Times New Roman"/>
        </w:rPr>
        <w:t xml:space="preserve"> contract awarded to MDRC to conduct the comprehensive impact analysis of the long-term follow-up survey and administrative data.) While MDRC is currently conducting the short-term</w:t>
      </w:r>
      <w:r w:rsidR="000C1860">
        <w:rPr>
          <w:rFonts w:ascii="Times New Roman" w:hAnsi="Times New Roman"/>
        </w:rPr>
        <w:t xml:space="preserve"> analysis</w:t>
      </w:r>
      <w:r w:rsidR="006C7100">
        <w:rPr>
          <w:rFonts w:ascii="Times New Roman" w:hAnsi="Times New Roman"/>
        </w:rPr>
        <w:t xml:space="preserve"> and will be conducting the long-term impact analysis in the next year using administrative data and a small number of study participant interviews, the long-term follow-up survey is necessary to contextualize any findings from the administrative data.</w:t>
      </w:r>
    </w:p>
    <w:p w:rsidR="00F959C1" w:rsidRDefault="00F959C1" w:rsidP="00617C58">
      <w:pPr>
        <w:pStyle w:val="NumberedBullet"/>
        <w:numPr>
          <w:ilvl w:val="0"/>
          <w:numId w:val="0"/>
        </w:numPr>
        <w:jc w:val="left"/>
        <w:rPr>
          <w:rFonts w:ascii="Times New Roman" w:eastAsia="Calibri" w:hAnsi="Times New Roman"/>
        </w:rPr>
      </w:pPr>
    </w:p>
    <w:p w:rsidR="006A35E1" w:rsidRPr="008E1E3E" w:rsidRDefault="00A82AAC" w:rsidP="008E1E3E">
      <w:pPr>
        <w:widowControl w:val="0"/>
        <w:tabs>
          <w:tab w:val="clear" w:pos="432"/>
          <w:tab w:val="left" w:pos="540"/>
        </w:tabs>
        <w:spacing w:line="240" w:lineRule="auto"/>
        <w:ind w:firstLine="0"/>
        <w:jc w:val="left"/>
        <w:rPr>
          <w:rFonts w:ascii="Helvetica" w:hAnsi="Helvetica" w:cs="Arial"/>
          <w:b/>
        </w:rPr>
      </w:pPr>
      <w:r w:rsidRPr="008E1E3E">
        <w:rPr>
          <w:rFonts w:ascii="Helvetica" w:hAnsi="Helvetica" w:cs="Arial"/>
          <w:b/>
        </w:rPr>
        <w:t>1.</w:t>
      </w:r>
      <w:r w:rsidR="00AC1D49" w:rsidRPr="008E1E3E">
        <w:rPr>
          <w:rFonts w:ascii="Helvetica" w:hAnsi="Helvetica" w:cs="Arial"/>
          <w:b/>
        </w:rPr>
        <w:t>1</w:t>
      </w:r>
      <w:r w:rsidRPr="008E1E3E">
        <w:rPr>
          <w:rFonts w:ascii="Helvetica" w:hAnsi="Helvetica" w:cs="Arial"/>
          <w:b/>
        </w:rPr>
        <w:t xml:space="preserve"> </w:t>
      </w:r>
      <w:r w:rsidR="00835FD2" w:rsidRPr="008E1E3E">
        <w:rPr>
          <w:rFonts w:ascii="Helvetica" w:hAnsi="Helvetica" w:cs="Arial"/>
          <w:b/>
        </w:rPr>
        <w:tab/>
      </w:r>
      <w:r w:rsidRPr="008E1E3E">
        <w:rPr>
          <w:rFonts w:ascii="Helvetica" w:hAnsi="Helvetica" w:cs="Arial"/>
          <w:b/>
        </w:rPr>
        <w:t xml:space="preserve">Overview of the </w:t>
      </w:r>
      <w:r w:rsidR="00A016BD" w:rsidRPr="008E1E3E">
        <w:rPr>
          <w:rFonts w:ascii="Helvetica" w:hAnsi="Helvetica" w:cs="Arial"/>
          <w:b/>
        </w:rPr>
        <w:t xml:space="preserve">Rent Reform </w:t>
      </w:r>
      <w:r w:rsidR="00F645D6" w:rsidRPr="008E1E3E">
        <w:rPr>
          <w:rFonts w:ascii="Helvetica" w:hAnsi="Helvetica" w:cs="Arial"/>
          <w:b/>
        </w:rPr>
        <w:t xml:space="preserve">Demonstration </w:t>
      </w:r>
    </w:p>
    <w:p w:rsidR="00E07A41" w:rsidRDefault="00E07A41" w:rsidP="00E07A41">
      <w:pPr>
        <w:spacing w:line="240" w:lineRule="auto"/>
        <w:ind w:firstLine="0"/>
        <w:jc w:val="left"/>
        <w:rPr>
          <w:rFonts w:ascii="Times New Roman" w:hAnsi="Times New Roman"/>
        </w:rPr>
      </w:pPr>
    </w:p>
    <w:p w:rsidR="000042A8" w:rsidRPr="008E1E3E" w:rsidRDefault="000042A8" w:rsidP="008E1E3E">
      <w:pPr>
        <w:tabs>
          <w:tab w:val="clear" w:pos="432"/>
        </w:tabs>
        <w:spacing w:line="240" w:lineRule="auto"/>
        <w:ind w:firstLine="540"/>
        <w:jc w:val="left"/>
        <w:rPr>
          <w:rFonts w:ascii="Helvetica" w:hAnsi="Helvetica" w:cs="Arial"/>
          <w:b/>
        </w:rPr>
      </w:pPr>
      <w:r w:rsidRPr="008E1E3E">
        <w:rPr>
          <w:rFonts w:ascii="Helvetica" w:hAnsi="Helvetica" w:cs="Arial"/>
          <w:b/>
        </w:rPr>
        <w:t>Features of the Alternative Rent Model</w:t>
      </w:r>
    </w:p>
    <w:p w:rsidR="00DF1275" w:rsidRPr="001D47CF" w:rsidRDefault="00DF1275" w:rsidP="000042A8">
      <w:pPr>
        <w:tabs>
          <w:tab w:val="clear" w:pos="432"/>
        </w:tabs>
        <w:spacing w:line="240" w:lineRule="auto"/>
        <w:ind w:firstLine="0"/>
        <w:jc w:val="left"/>
        <w:rPr>
          <w:rFonts w:ascii="Times New Roman" w:hAnsi="Times New Roman"/>
        </w:rPr>
      </w:pPr>
    </w:p>
    <w:p w:rsidR="000042A8" w:rsidRPr="001D47CF" w:rsidRDefault="000042A8" w:rsidP="00400C5C">
      <w:pPr>
        <w:tabs>
          <w:tab w:val="clear" w:pos="432"/>
        </w:tabs>
        <w:spacing w:before="240" w:line="240" w:lineRule="auto"/>
        <w:ind w:firstLine="0"/>
        <w:contextualSpacing/>
        <w:jc w:val="left"/>
        <w:rPr>
          <w:rFonts w:ascii="Times New Roman" w:eastAsia="Calibri" w:hAnsi="Times New Roman"/>
        </w:rPr>
      </w:pPr>
      <w:r w:rsidRPr="001D47CF">
        <w:rPr>
          <w:rFonts w:ascii="Times New Roman" w:eastAsia="Calibri" w:hAnsi="Times New Roman"/>
        </w:rPr>
        <w:t xml:space="preserve">The MDRC team consulted extensively with HUD program and research </w:t>
      </w:r>
      <w:r w:rsidR="00DF1275">
        <w:rPr>
          <w:rFonts w:ascii="Times New Roman" w:eastAsia="Calibri" w:hAnsi="Times New Roman"/>
        </w:rPr>
        <w:t xml:space="preserve">staff, </w:t>
      </w:r>
      <w:r w:rsidRPr="001D47CF">
        <w:rPr>
          <w:rFonts w:ascii="Times New Roman" w:eastAsia="Calibri" w:hAnsi="Times New Roman"/>
        </w:rPr>
        <w:t xml:space="preserve">advocacy organizations, Moving to Work (MTW) </w:t>
      </w:r>
      <w:r w:rsidR="00CA1BBB">
        <w:rPr>
          <w:rFonts w:ascii="Times New Roman" w:eastAsia="Calibri" w:hAnsi="Times New Roman"/>
        </w:rPr>
        <w:t>Public H</w:t>
      </w:r>
      <w:r w:rsidRPr="001D47CF">
        <w:rPr>
          <w:rFonts w:ascii="Times New Roman" w:eastAsia="Calibri" w:hAnsi="Times New Roman"/>
        </w:rPr>
        <w:t xml:space="preserve">ousing </w:t>
      </w:r>
      <w:r w:rsidR="00CA1BBB">
        <w:rPr>
          <w:rFonts w:ascii="Times New Roman" w:eastAsia="Calibri" w:hAnsi="Times New Roman"/>
        </w:rPr>
        <w:t>A</w:t>
      </w:r>
      <w:r w:rsidRPr="001D47CF">
        <w:rPr>
          <w:rFonts w:ascii="Times New Roman" w:eastAsia="Calibri" w:hAnsi="Times New Roman"/>
        </w:rPr>
        <w:t>gencies (</w:t>
      </w:r>
      <w:r w:rsidR="00A658DA">
        <w:rPr>
          <w:rFonts w:ascii="Times New Roman" w:eastAsia="Calibri" w:hAnsi="Times New Roman"/>
        </w:rPr>
        <w:t>PHAs</w:t>
      </w:r>
      <w:r w:rsidRPr="001D47CF">
        <w:rPr>
          <w:rFonts w:ascii="Times New Roman" w:eastAsia="Calibri" w:hAnsi="Times New Roman"/>
        </w:rPr>
        <w:t xml:space="preserve">), and consulting organizations that support the activities of </w:t>
      </w:r>
      <w:r w:rsidR="00A658DA">
        <w:rPr>
          <w:rFonts w:ascii="Times New Roman" w:eastAsia="Calibri" w:hAnsi="Times New Roman"/>
        </w:rPr>
        <w:t>PHAs</w:t>
      </w:r>
      <w:r w:rsidR="00AC1D49">
        <w:rPr>
          <w:rFonts w:ascii="Times New Roman" w:eastAsia="Calibri" w:hAnsi="Times New Roman"/>
        </w:rPr>
        <w:t xml:space="preserve"> to develop the </w:t>
      </w:r>
      <w:r w:rsidR="00993CD9" w:rsidRPr="001D47CF">
        <w:rPr>
          <w:rFonts w:ascii="Times New Roman" w:eastAsia="Calibri" w:hAnsi="Times New Roman"/>
        </w:rPr>
        <w:t>alternative rent model</w:t>
      </w:r>
      <w:r w:rsidR="00AC1D49">
        <w:rPr>
          <w:rFonts w:ascii="Times New Roman" w:eastAsia="Calibri" w:hAnsi="Times New Roman"/>
        </w:rPr>
        <w:t xml:space="preserve">. The </w:t>
      </w:r>
      <w:r w:rsidR="00AC1D49">
        <w:rPr>
          <w:rFonts w:ascii="Times New Roman" w:eastAsia="Calibri" w:hAnsi="Times New Roman"/>
        </w:rPr>
        <w:lastRenderedPageBreak/>
        <w:t xml:space="preserve">resulting framework includes </w:t>
      </w:r>
      <w:r w:rsidR="00993CD9" w:rsidRPr="001D47CF">
        <w:rPr>
          <w:rFonts w:ascii="Times New Roman" w:eastAsia="Calibri" w:hAnsi="Times New Roman"/>
        </w:rPr>
        <w:t xml:space="preserve">several fundamental features while leaving some room for </w:t>
      </w:r>
      <w:r w:rsidR="002E7597">
        <w:rPr>
          <w:rFonts w:ascii="Times New Roman" w:eastAsia="Calibri" w:hAnsi="Times New Roman"/>
        </w:rPr>
        <w:t>P</w:t>
      </w:r>
      <w:r w:rsidR="00993CD9" w:rsidRPr="001D47CF">
        <w:rPr>
          <w:rFonts w:ascii="Times New Roman" w:eastAsia="Calibri" w:hAnsi="Times New Roman"/>
        </w:rPr>
        <w:t>HA discretion in adapting those features to local conditions.</w:t>
      </w:r>
    </w:p>
    <w:p w:rsidR="000042A8" w:rsidRPr="001D47CF" w:rsidRDefault="000042A8" w:rsidP="00400C5C">
      <w:pPr>
        <w:tabs>
          <w:tab w:val="clear" w:pos="432"/>
        </w:tabs>
        <w:spacing w:before="240" w:line="240" w:lineRule="auto"/>
        <w:ind w:firstLine="0"/>
        <w:contextualSpacing/>
        <w:jc w:val="left"/>
        <w:rPr>
          <w:rFonts w:ascii="Times New Roman" w:eastAsia="Calibri" w:hAnsi="Times New Roman"/>
        </w:rPr>
      </w:pPr>
    </w:p>
    <w:p w:rsidR="0086435D" w:rsidRPr="0086435D" w:rsidRDefault="0086435D" w:rsidP="00400C5C">
      <w:pPr>
        <w:tabs>
          <w:tab w:val="clear" w:pos="432"/>
        </w:tabs>
        <w:spacing w:line="240" w:lineRule="auto"/>
        <w:ind w:firstLine="0"/>
        <w:contextualSpacing/>
        <w:jc w:val="left"/>
        <w:rPr>
          <w:rFonts w:ascii="Times New Roman" w:eastAsia="Calibri" w:hAnsi="Times New Roman"/>
        </w:rPr>
      </w:pPr>
      <w:r w:rsidRPr="0086435D">
        <w:rPr>
          <w:rFonts w:ascii="Times New Roman" w:eastAsia="Calibri" w:hAnsi="Times New Roman"/>
        </w:rPr>
        <w:t xml:space="preserve">The alternative rent policy </w:t>
      </w:r>
      <w:r w:rsidR="00AC1D49">
        <w:rPr>
          <w:rFonts w:ascii="Times New Roman" w:eastAsia="Calibri" w:hAnsi="Times New Roman"/>
        </w:rPr>
        <w:t>applies</w:t>
      </w:r>
      <w:r w:rsidRPr="0086435D">
        <w:rPr>
          <w:rFonts w:ascii="Times New Roman" w:eastAsia="Calibri" w:hAnsi="Times New Roman"/>
        </w:rPr>
        <w:t xml:space="preserve"> only to H</w:t>
      </w:r>
      <w:r w:rsidR="00B33AC1">
        <w:rPr>
          <w:rFonts w:ascii="Times New Roman" w:eastAsia="Calibri" w:hAnsi="Times New Roman"/>
        </w:rPr>
        <w:t>ousing Choice Voucher (H</w:t>
      </w:r>
      <w:r w:rsidRPr="0086435D">
        <w:rPr>
          <w:rFonts w:ascii="Times New Roman" w:eastAsia="Calibri" w:hAnsi="Times New Roman"/>
        </w:rPr>
        <w:t>CV</w:t>
      </w:r>
      <w:r w:rsidR="00B33AC1">
        <w:rPr>
          <w:rFonts w:ascii="Times New Roman" w:eastAsia="Calibri" w:hAnsi="Times New Roman"/>
        </w:rPr>
        <w:t>)</w:t>
      </w:r>
      <w:r w:rsidRPr="0086435D">
        <w:rPr>
          <w:rFonts w:ascii="Times New Roman" w:eastAsia="Calibri" w:hAnsi="Times New Roman"/>
        </w:rPr>
        <w:t xml:space="preserve"> </w:t>
      </w:r>
      <w:r w:rsidR="006C7100">
        <w:rPr>
          <w:rFonts w:ascii="Times New Roman" w:eastAsia="Calibri" w:hAnsi="Times New Roman"/>
        </w:rPr>
        <w:t xml:space="preserve">program </w:t>
      </w:r>
      <w:r w:rsidRPr="0086435D">
        <w:rPr>
          <w:rFonts w:ascii="Times New Roman" w:eastAsia="Calibri" w:hAnsi="Times New Roman"/>
        </w:rPr>
        <w:t>recipients</w:t>
      </w:r>
      <w:r w:rsidRPr="0086435D">
        <w:rPr>
          <w:rFonts w:ascii="Times New Roman" w:eastAsia="Calibri" w:hAnsi="Times New Roman"/>
          <w:vertAlign w:val="superscript"/>
        </w:rPr>
        <w:footnoteReference w:id="1"/>
      </w:r>
      <w:r w:rsidRPr="0086435D">
        <w:rPr>
          <w:rFonts w:ascii="Times New Roman" w:eastAsia="Calibri" w:hAnsi="Times New Roman"/>
        </w:rPr>
        <w:t xml:space="preserve"> and include</w:t>
      </w:r>
      <w:r w:rsidR="00AC1D49">
        <w:rPr>
          <w:rFonts w:ascii="Times New Roman" w:eastAsia="Calibri" w:hAnsi="Times New Roman"/>
        </w:rPr>
        <w:t>s</w:t>
      </w:r>
      <w:r w:rsidRPr="0086435D">
        <w:rPr>
          <w:rFonts w:ascii="Times New Roman" w:eastAsia="Calibri" w:hAnsi="Times New Roman"/>
        </w:rPr>
        <w:t xml:space="preserve"> the following key features: </w:t>
      </w:r>
    </w:p>
    <w:p w:rsidR="0086435D" w:rsidRPr="0086435D" w:rsidRDefault="0086435D" w:rsidP="00400C5C">
      <w:pPr>
        <w:tabs>
          <w:tab w:val="clear" w:pos="432"/>
        </w:tabs>
        <w:spacing w:line="240" w:lineRule="auto"/>
        <w:ind w:left="720" w:firstLine="0"/>
        <w:contextualSpacing/>
        <w:jc w:val="left"/>
        <w:rPr>
          <w:rFonts w:ascii="Times New Roman" w:eastAsia="Calibri" w:hAnsi="Times New Roman"/>
        </w:rPr>
      </w:pPr>
    </w:p>
    <w:p w:rsidR="0086435D" w:rsidRDefault="0086435D" w:rsidP="008E1E3E">
      <w:pPr>
        <w:numPr>
          <w:ilvl w:val="0"/>
          <w:numId w:val="7"/>
        </w:numPr>
        <w:tabs>
          <w:tab w:val="clear" w:pos="432"/>
        </w:tabs>
        <w:spacing w:line="240" w:lineRule="auto"/>
        <w:ind w:left="900"/>
        <w:contextualSpacing/>
        <w:jc w:val="left"/>
        <w:rPr>
          <w:rFonts w:ascii="Times New Roman" w:eastAsia="Calibri" w:hAnsi="Times New Roman"/>
          <w:b/>
        </w:rPr>
      </w:pPr>
      <w:r w:rsidRPr="0086435D">
        <w:rPr>
          <w:rFonts w:ascii="Times New Roman" w:eastAsia="Calibri" w:hAnsi="Times New Roman"/>
          <w:b/>
        </w:rPr>
        <w:t>Simplifying the calculation of the household’s total tenant payment (TTP) and subsidy amount by:</w:t>
      </w:r>
    </w:p>
    <w:p w:rsidR="00400C5C" w:rsidRPr="0086435D" w:rsidRDefault="00400C5C" w:rsidP="008E1E3E">
      <w:pPr>
        <w:tabs>
          <w:tab w:val="clear" w:pos="432"/>
        </w:tabs>
        <w:spacing w:line="240" w:lineRule="auto"/>
        <w:ind w:left="900" w:hanging="360"/>
        <w:contextualSpacing/>
        <w:jc w:val="left"/>
        <w:rPr>
          <w:rFonts w:ascii="Times New Roman" w:eastAsia="Calibri" w:hAnsi="Times New Roman"/>
          <w:b/>
        </w:rPr>
      </w:pPr>
    </w:p>
    <w:p w:rsidR="0086435D" w:rsidRPr="0086435D" w:rsidRDefault="0086435D" w:rsidP="008E1E3E">
      <w:pPr>
        <w:numPr>
          <w:ilvl w:val="1"/>
          <w:numId w:val="7"/>
        </w:numPr>
        <w:tabs>
          <w:tab w:val="clear" w:pos="432"/>
        </w:tabs>
        <w:spacing w:line="240" w:lineRule="auto"/>
        <w:ind w:left="1440" w:hanging="450"/>
        <w:contextualSpacing/>
        <w:jc w:val="left"/>
        <w:rPr>
          <w:rFonts w:ascii="Times New Roman" w:eastAsia="Calibri" w:hAnsi="Times New Roman"/>
        </w:rPr>
      </w:pPr>
      <w:r w:rsidRPr="0086435D">
        <w:rPr>
          <w:rFonts w:ascii="Times New Roman" w:eastAsia="Calibri" w:hAnsi="Times New Roman"/>
        </w:rPr>
        <w:t>Eliminating deductions and allowances,</w:t>
      </w:r>
    </w:p>
    <w:p w:rsidR="0086435D" w:rsidRPr="0086435D" w:rsidRDefault="0086435D" w:rsidP="008E1E3E">
      <w:pPr>
        <w:numPr>
          <w:ilvl w:val="1"/>
          <w:numId w:val="7"/>
        </w:numPr>
        <w:tabs>
          <w:tab w:val="clear" w:pos="432"/>
        </w:tabs>
        <w:spacing w:line="240" w:lineRule="auto"/>
        <w:ind w:left="1440" w:hanging="450"/>
        <w:contextualSpacing/>
        <w:jc w:val="left"/>
        <w:rPr>
          <w:rFonts w:ascii="Times New Roman" w:eastAsia="Calibri" w:hAnsi="Times New Roman"/>
        </w:rPr>
      </w:pPr>
      <w:r w:rsidRPr="0086435D">
        <w:rPr>
          <w:rFonts w:ascii="Times New Roman" w:eastAsia="Calibri" w:hAnsi="Times New Roman"/>
        </w:rPr>
        <w:t xml:space="preserve">Changing the percent of income that a household pays for its share, from 30 </w:t>
      </w:r>
      <w:r w:rsidR="008A5370">
        <w:rPr>
          <w:rFonts w:ascii="Times New Roman" w:eastAsia="Calibri" w:hAnsi="Times New Roman"/>
        </w:rPr>
        <w:t>p</w:t>
      </w:r>
      <w:r w:rsidRPr="0086435D">
        <w:rPr>
          <w:rFonts w:ascii="Times New Roman" w:eastAsia="Calibri" w:hAnsi="Times New Roman"/>
        </w:rPr>
        <w:t xml:space="preserve">ercent of </w:t>
      </w:r>
      <w:r w:rsidRPr="0086435D">
        <w:rPr>
          <w:rFonts w:ascii="Times New Roman" w:eastAsia="Calibri" w:hAnsi="Times New Roman"/>
          <w:i/>
        </w:rPr>
        <w:t>adjusted income</w:t>
      </w:r>
      <w:r w:rsidRPr="0086435D">
        <w:rPr>
          <w:rFonts w:ascii="Times New Roman" w:eastAsia="Calibri" w:hAnsi="Times New Roman"/>
        </w:rPr>
        <w:t xml:space="preserve"> to 28 percent of </w:t>
      </w:r>
      <w:r w:rsidRPr="0086435D">
        <w:rPr>
          <w:rFonts w:ascii="Times New Roman" w:eastAsia="Calibri" w:hAnsi="Times New Roman"/>
          <w:i/>
        </w:rPr>
        <w:t>gross income,</w:t>
      </w:r>
      <w:r w:rsidRPr="0086435D">
        <w:rPr>
          <w:rFonts w:ascii="Times New Roman" w:eastAsia="Calibri" w:hAnsi="Times New Roman"/>
        </w:rPr>
        <w:t xml:space="preserve">  </w:t>
      </w:r>
    </w:p>
    <w:p w:rsidR="0086435D" w:rsidRPr="0086435D" w:rsidRDefault="0086435D" w:rsidP="008E1E3E">
      <w:pPr>
        <w:numPr>
          <w:ilvl w:val="1"/>
          <w:numId w:val="7"/>
        </w:numPr>
        <w:tabs>
          <w:tab w:val="clear" w:pos="432"/>
        </w:tabs>
        <w:spacing w:line="240" w:lineRule="auto"/>
        <w:ind w:left="1440" w:hanging="450"/>
        <w:contextualSpacing/>
        <w:jc w:val="left"/>
        <w:rPr>
          <w:rFonts w:ascii="Times New Roman" w:eastAsia="Calibri" w:hAnsi="Times New Roman"/>
        </w:rPr>
      </w:pPr>
      <w:r w:rsidRPr="0086435D">
        <w:rPr>
          <w:rFonts w:ascii="Times New Roman" w:eastAsia="Calibri" w:hAnsi="Times New Roman"/>
        </w:rPr>
        <w:t>Ignoring a household’s income from assets when the total value of its assets is $25,000</w:t>
      </w:r>
      <w:r w:rsidR="00B54408">
        <w:rPr>
          <w:rFonts w:ascii="Times New Roman" w:eastAsia="Calibri" w:hAnsi="Times New Roman"/>
        </w:rPr>
        <w:t xml:space="preserve"> or less</w:t>
      </w:r>
      <w:r w:rsidRPr="0086435D">
        <w:rPr>
          <w:rFonts w:ascii="Times New Roman" w:eastAsia="Calibri" w:hAnsi="Times New Roman"/>
        </w:rPr>
        <w:t>, and</w:t>
      </w:r>
    </w:p>
    <w:p w:rsidR="0086435D" w:rsidRPr="0086435D" w:rsidDel="00F11389" w:rsidRDefault="0086435D" w:rsidP="008E1E3E">
      <w:pPr>
        <w:numPr>
          <w:ilvl w:val="1"/>
          <w:numId w:val="7"/>
        </w:numPr>
        <w:tabs>
          <w:tab w:val="clear" w:pos="432"/>
        </w:tabs>
        <w:spacing w:line="240" w:lineRule="auto"/>
        <w:ind w:left="1440" w:hanging="450"/>
        <w:contextualSpacing/>
        <w:jc w:val="left"/>
        <w:rPr>
          <w:rFonts w:ascii="Times New Roman" w:eastAsia="Calibri" w:hAnsi="Times New Roman"/>
        </w:rPr>
      </w:pPr>
      <w:r w:rsidRPr="0086435D">
        <w:rPr>
          <w:rFonts w:ascii="Times New Roman" w:eastAsia="Calibri" w:hAnsi="Times New Roman"/>
        </w:rPr>
        <w:t>Simplifying the policy for determining utility allowances</w:t>
      </w:r>
      <w:r w:rsidR="00D26C00">
        <w:rPr>
          <w:rFonts w:ascii="Times New Roman" w:eastAsia="Calibri" w:hAnsi="Times New Roman"/>
        </w:rPr>
        <w:t>.</w:t>
      </w:r>
    </w:p>
    <w:p w:rsidR="0086435D" w:rsidRPr="0086435D" w:rsidRDefault="0086435D" w:rsidP="008E1E3E">
      <w:pPr>
        <w:tabs>
          <w:tab w:val="clear" w:pos="432"/>
        </w:tabs>
        <w:spacing w:line="240" w:lineRule="auto"/>
        <w:ind w:left="900" w:hanging="360"/>
        <w:contextualSpacing/>
        <w:jc w:val="left"/>
        <w:rPr>
          <w:rFonts w:ascii="Times New Roman" w:eastAsia="Calibri" w:hAnsi="Times New Roman"/>
        </w:rPr>
      </w:pPr>
    </w:p>
    <w:p w:rsidR="0086435D" w:rsidRPr="0086435D" w:rsidRDefault="00E91A64" w:rsidP="008E1E3E">
      <w:pPr>
        <w:numPr>
          <w:ilvl w:val="0"/>
          <w:numId w:val="7"/>
        </w:numPr>
        <w:tabs>
          <w:tab w:val="clear" w:pos="432"/>
        </w:tabs>
        <w:spacing w:line="240" w:lineRule="auto"/>
        <w:ind w:left="900"/>
        <w:contextualSpacing/>
        <w:jc w:val="left"/>
        <w:rPr>
          <w:rFonts w:ascii="Times New Roman" w:eastAsia="Calibri" w:hAnsi="Times New Roman"/>
        </w:rPr>
      </w:pPr>
      <w:r>
        <w:rPr>
          <w:rFonts w:ascii="Times New Roman" w:eastAsia="Calibri" w:hAnsi="Times New Roman"/>
          <w:b/>
        </w:rPr>
        <w:t>Using</w:t>
      </w:r>
      <w:r w:rsidRPr="0086435D">
        <w:rPr>
          <w:rFonts w:ascii="Times New Roman" w:eastAsia="Calibri" w:hAnsi="Times New Roman"/>
          <w:b/>
        </w:rPr>
        <w:t xml:space="preserve"> </w:t>
      </w:r>
      <w:r w:rsidR="0086435D" w:rsidRPr="0086435D">
        <w:rPr>
          <w:rFonts w:ascii="Times New Roman" w:eastAsia="Calibri" w:hAnsi="Times New Roman"/>
          <w:b/>
          <w:i/>
        </w:rPr>
        <w:t>retrospective</w:t>
      </w:r>
      <w:r w:rsidR="0086435D" w:rsidRPr="0086435D">
        <w:rPr>
          <w:rFonts w:ascii="Times New Roman" w:eastAsia="Calibri" w:hAnsi="Times New Roman"/>
          <w:b/>
        </w:rPr>
        <w:t xml:space="preserve"> income in setting a household’s TTP and housing subsidy</w:t>
      </w:r>
      <w:r w:rsidR="0086435D" w:rsidRPr="0086435D">
        <w:rPr>
          <w:rFonts w:ascii="Times New Roman" w:eastAsia="Calibri" w:hAnsi="Times New Roman"/>
        </w:rPr>
        <w:t xml:space="preserve"> (to discourage intention</w:t>
      </w:r>
      <w:r w:rsidR="00D26C00">
        <w:rPr>
          <w:rFonts w:ascii="Times New Roman" w:eastAsia="Calibri" w:hAnsi="Times New Roman"/>
        </w:rPr>
        <w:t>al</w:t>
      </w:r>
      <w:r w:rsidR="0086435D" w:rsidRPr="0086435D">
        <w:rPr>
          <w:rFonts w:ascii="Times New Roman" w:eastAsia="Calibri" w:hAnsi="Times New Roman"/>
        </w:rPr>
        <w:t xml:space="preserve"> reductions in income)</w:t>
      </w:r>
    </w:p>
    <w:p w:rsidR="0086435D" w:rsidRPr="0086435D" w:rsidRDefault="0086435D" w:rsidP="008E1E3E">
      <w:pPr>
        <w:tabs>
          <w:tab w:val="clear" w:pos="432"/>
        </w:tabs>
        <w:spacing w:line="240" w:lineRule="auto"/>
        <w:ind w:left="900" w:hanging="360"/>
        <w:contextualSpacing/>
        <w:jc w:val="left"/>
        <w:rPr>
          <w:rFonts w:ascii="Times New Roman" w:eastAsia="Calibri" w:hAnsi="Times New Roman"/>
          <w:highlight w:val="yellow"/>
        </w:rPr>
      </w:pPr>
      <w:r w:rsidRPr="0086435D">
        <w:rPr>
          <w:rFonts w:ascii="Times New Roman" w:eastAsia="Calibri" w:hAnsi="Times New Roman"/>
          <w:highlight w:val="yellow"/>
        </w:rPr>
        <w:t xml:space="preserve"> </w:t>
      </w:r>
    </w:p>
    <w:p w:rsidR="0086435D" w:rsidRPr="0086435D" w:rsidRDefault="0086435D" w:rsidP="008E1E3E">
      <w:pPr>
        <w:numPr>
          <w:ilvl w:val="0"/>
          <w:numId w:val="7"/>
        </w:numPr>
        <w:tabs>
          <w:tab w:val="clear" w:pos="432"/>
        </w:tabs>
        <w:spacing w:line="240" w:lineRule="auto"/>
        <w:ind w:left="900"/>
        <w:contextualSpacing/>
        <w:jc w:val="left"/>
        <w:rPr>
          <w:rFonts w:ascii="Times New Roman" w:eastAsia="Calibri" w:hAnsi="Times New Roman"/>
        </w:rPr>
      </w:pPr>
      <w:r w:rsidRPr="0086435D">
        <w:rPr>
          <w:rFonts w:ascii="Times New Roman" w:eastAsia="Calibri" w:hAnsi="Times New Roman"/>
          <w:b/>
        </w:rPr>
        <w:t>Establishing a minimum TTP of at least $</w:t>
      </w:r>
      <w:r w:rsidR="001E4175">
        <w:rPr>
          <w:rFonts w:ascii="Times New Roman" w:eastAsia="Calibri" w:hAnsi="Times New Roman"/>
          <w:b/>
        </w:rPr>
        <w:t>50</w:t>
      </w:r>
      <w:r w:rsidR="001E4175" w:rsidRPr="0086435D">
        <w:rPr>
          <w:rFonts w:ascii="Times New Roman" w:eastAsia="Calibri" w:hAnsi="Times New Roman"/>
          <w:b/>
        </w:rPr>
        <w:t xml:space="preserve"> </w:t>
      </w:r>
      <w:r w:rsidRPr="0086435D">
        <w:rPr>
          <w:rFonts w:ascii="Times New Roman" w:eastAsia="Calibri" w:hAnsi="Times New Roman"/>
          <w:b/>
        </w:rPr>
        <w:t xml:space="preserve">and requiring that all households pay a minimum amount of rent directly to the landlord, </w:t>
      </w:r>
      <w:r w:rsidRPr="0086435D">
        <w:rPr>
          <w:rFonts w:ascii="Times New Roman" w:eastAsia="Calibri" w:hAnsi="Times New Roman"/>
        </w:rPr>
        <w:t>to mirror the landlord-tenant relationship in the non-subsidized rental market</w:t>
      </w:r>
    </w:p>
    <w:p w:rsidR="0086435D" w:rsidRPr="0086435D" w:rsidRDefault="0086435D" w:rsidP="008E1E3E">
      <w:pPr>
        <w:tabs>
          <w:tab w:val="clear" w:pos="432"/>
        </w:tabs>
        <w:spacing w:line="240" w:lineRule="auto"/>
        <w:ind w:left="900" w:hanging="360"/>
        <w:contextualSpacing/>
        <w:jc w:val="left"/>
        <w:rPr>
          <w:rFonts w:ascii="Times New Roman" w:eastAsia="Calibri" w:hAnsi="Times New Roman"/>
        </w:rPr>
      </w:pPr>
    </w:p>
    <w:p w:rsidR="0086435D" w:rsidRPr="0086435D" w:rsidRDefault="0086435D" w:rsidP="008E1E3E">
      <w:pPr>
        <w:numPr>
          <w:ilvl w:val="0"/>
          <w:numId w:val="7"/>
        </w:numPr>
        <w:tabs>
          <w:tab w:val="clear" w:pos="432"/>
        </w:tabs>
        <w:spacing w:line="240" w:lineRule="auto"/>
        <w:ind w:left="900"/>
        <w:contextualSpacing/>
        <w:jc w:val="left"/>
        <w:rPr>
          <w:rFonts w:ascii="Times New Roman" w:eastAsia="Calibri" w:hAnsi="Times New Roman"/>
        </w:rPr>
      </w:pPr>
      <w:r w:rsidRPr="0086435D">
        <w:rPr>
          <w:rFonts w:ascii="Times New Roman" w:eastAsia="Calibri" w:hAnsi="Times New Roman"/>
          <w:b/>
        </w:rPr>
        <w:t>Conducting income recertifications triennially rather than annually</w:t>
      </w:r>
      <w:r w:rsidR="0040474F">
        <w:rPr>
          <w:rFonts w:ascii="Times New Roman" w:eastAsia="Calibri" w:hAnsi="Times New Roman"/>
          <w:b/>
        </w:rPr>
        <w:t xml:space="preserve"> (or biannually as in the case of one PHA)</w:t>
      </w:r>
      <w:r w:rsidRPr="0086435D">
        <w:rPr>
          <w:rFonts w:ascii="Times New Roman" w:eastAsia="Calibri" w:hAnsi="Times New Roman"/>
          <w:b/>
        </w:rPr>
        <w:t>,</w:t>
      </w:r>
      <w:r w:rsidRPr="0086435D">
        <w:rPr>
          <w:rFonts w:ascii="Times New Roman" w:eastAsia="Calibri" w:hAnsi="Times New Roman"/>
        </w:rPr>
        <w:t xml:space="preserve"> so that earnings gains do not increase TTP for three years (thus creating a strong work incentive by eliminating, for an extended period, the implicit housing-subsidy-related “tax” on increased </w:t>
      </w:r>
      <w:r w:rsidR="00423B77" w:rsidRPr="0086435D">
        <w:rPr>
          <w:rFonts w:ascii="Times New Roman" w:eastAsia="Calibri" w:hAnsi="Times New Roman"/>
        </w:rPr>
        <w:t>earnings)</w:t>
      </w:r>
      <w:r w:rsidRPr="0086435D">
        <w:rPr>
          <w:rFonts w:ascii="Times New Roman" w:eastAsia="Calibri" w:hAnsi="Times New Roman"/>
        </w:rPr>
        <w:t xml:space="preserve"> </w:t>
      </w:r>
    </w:p>
    <w:p w:rsidR="0086435D" w:rsidRPr="0086435D" w:rsidRDefault="0086435D" w:rsidP="008E1E3E">
      <w:pPr>
        <w:tabs>
          <w:tab w:val="clear" w:pos="432"/>
        </w:tabs>
        <w:spacing w:line="240" w:lineRule="auto"/>
        <w:ind w:left="900" w:hanging="360"/>
        <w:contextualSpacing/>
        <w:jc w:val="left"/>
        <w:rPr>
          <w:rFonts w:ascii="Times New Roman" w:eastAsia="Calibri" w:hAnsi="Times New Roman"/>
        </w:rPr>
      </w:pPr>
    </w:p>
    <w:p w:rsidR="0086435D" w:rsidRPr="0086435D" w:rsidRDefault="0086435D" w:rsidP="008E1E3E">
      <w:pPr>
        <w:numPr>
          <w:ilvl w:val="0"/>
          <w:numId w:val="7"/>
        </w:numPr>
        <w:tabs>
          <w:tab w:val="clear" w:pos="432"/>
        </w:tabs>
        <w:spacing w:line="240" w:lineRule="auto"/>
        <w:ind w:left="900"/>
        <w:contextualSpacing/>
        <w:jc w:val="left"/>
        <w:rPr>
          <w:rFonts w:ascii="Times New Roman" w:eastAsia="Calibri" w:hAnsi="Times New Roman"/>
        </w:rPr>
      </w:pPr>
      <w:r w:rsidRPr="0086435D">
        <w:rPr>
          <w:rFonts w:ascii="Times New Roman" w:eastAsia="Calibri" w:hAnsi="Times New Roman"/>
          <w:b/>
        </w:rPr>
        <w:t xml:space="preserve">Limiting </w:t>
      </w:r>
      <w:r w:rsidR="00D26C00">
        <w:rPr>
          <w:rFonts w:ascii="Times New Roman" w:eastAsia="Calibri" w:hAnsi="Times New Roman"/>
          <w:b/>
        </w:rPr>
        <w:t xml:space="preserve">household-requested </w:t>
      </w:r>
      <w:r w:rsidRPr="0086435D">
        <w:rPr>
          <w:rFonts w:ascii="Times New Roman" w:eastAsia="Calibri" w:hAnsi="Times New Roman"/>
          <w:b/>
        </w:rPr>
        <w:t>interim recertifications to a maximum of one per year</w:t>
      </w:r>
      <w:r w:rsidRPr="0086435D">
        <w:rPr>
          <w:rFonts w:ascii="Times New Roman" w:eastAsia="Calibri" w:hAnsi="Times New Roman"/>
        </w:rPr>
        <w:t xml:space="preserve">, to protect households when their income drops while limiting the burden to the housing agency </w:t>
      </w:r>
    </w:p>
    <w:p w:rsidR="0086435D" w:rsidRPr="0086435D" w:rsidRDefault="0086435D" w:rsidP="008E1E3E">
      <w:pPr>
        <w:tabs>
          <w:tab w:val="clear" w:pos="432"/>
        </w:tabs>
        <w:spacing w:line="276" w:lineRule="auto"/>
        <w:ind w:left="900" w:hanging="360"/>
        <w:contextualSpacing/>
        <w:jc w:val="left"/>
        <w:rPr>
          <w:rFonts w:ascii="Times New Roman" w:eastAsia="Calibri" w:hAnsi="Times New Roman"/>
        </w:rPr>
      </w:pPr>
    </w:p>
    <w:p w:rsidR="0086435D" w:rsidRPr="0086435D" w:rsidRDefault="0086435D" w:rsidP="008E1E3E">
      <w:pPr>
        <w:numPr>
          <w:ilvl w:val="0"/>
          <w:numId w:val="7"/>
        </w:numPr>
        <w:tabs>
          <w:tab w:val="clear" w:pos="432"/>
        </w:tabs>
        <w:spacing w:line="240" w:lineRule="auto"/>
        <w:ind w:left="900"/>
        <w:contextualSpacing/>
        <w:jc w:val="left"/>
        <w:rPr>
          <w:rFonts w:ascii="Times New Roman" w:eastAsia="Calibri" w:hAnsi="Times New Roman"/>
        </w:rPr>
      </w:pPr>
      <w:r w:rsidRPr="0086435D">
        <w:rPr>
          <w:rFonts w:ascii="Times New Roman" w:eastAsia="Calibri" w:hAnsi="Times New Roman"/>
          <w:b/>
        </w:rPr>
        <w:t>Establishing a suitable hardship policy</w:t>
      </w:r>
      <w:r w:rsidRPr="0086435D">
        <w:rPr>
          <w:rFonts w:ascii="Times New Roman" w:eastAsia="Calibri" w:hAnsi="Times New Roman"/>
        </w:rPr>
        <w:t xml:space="preserve"> that identifies a standard set of hardship conditions and remedies to protect households from excessive rent burdens.  </w:t>
      </w:r>
    </w:p>
    <w:p w:rsidR="0086435D" w:rsidRPr="0086435D" w:rsidRDefault="0086435D" w:rsidP="00400C5C">
      <w:pPr>
        <w:tabs>
          <w:tab w:val="clear" w:pos="432"/>
        </w:tabs>
        <w:spacing w:line="240" w:lineRule="auto"/>
        <w:ind w:left="720" w:firstLine="0"/>
        <w:contextualSpacing/>
        <w:jc w:val="left"/>
        <w:rPr>
          <w:rFonts w:ascii="Times New Roman" w:eastAsia="Calibri" w:hAnsi="Times New Roman"/>
        </w:rPr>
      </w:pPr>
    </w:p>
    <w:p w:rsidR="0086435D" w:rsidRPr="0086435D" w:rsidRDefault="00400C5C" w:rsidP="00400C5C">
      <w:pPr>
        <w:tabs>
          <w:tab w:val="clear" w:pos="432"/>
        </w:tabs>
        <w:spacing w:line="240" w:lineRule="auto"/>
        <w:ind w:firstLine="0"/>
        <w:jc w:val="left"/>
        <w:rPr>
          <w:rFonts w:ascii="Times New Roman" w:eastAsia="Calibri" w:hAnsi="Times New Roman"/>
        </w:rPr>
      </w:pPr>
      <w:r>
        <w:rPr>
          <w:rFonts w:ascii="Times New Roman" w:eastAsia="Calibri" w:hAnsi="Times New Roman"/>
        </w:rPr>
        <w:t>T</w:t>
      </w:r>
      <w:r w:rsidR="0086435D" w:rsidRPr="0086435D">
        <w:rPr>
          <w:rFonts w:ascii="Times New Roman" w:eastAsia="Calibri" w:hAnsi="Times New Roman"/>
        </w:rPr>
        <w:t xml:space="preserve">o increase the likelihood that the alternative rent policy encourages tenants to increase their work efforts, it </w:t>
      </w:r>
      <w:r w:rsidR="00601CC6">
        <w:rPr>
          <w:rFonts w:ascii="Times New Roman" w:eastAsia="Calibri" w:hAnsi="Times New Roman"/>
        </w:rPr>
        <w:t xml:space="preserve">is </w:t>
      </w:r>
      <w:r w:rsidR="0086435D" w:rsidRPr="0086435D">
        <w:rPr>
          <w:rFonts w:ascii="Times New Roman" w:eastAsia="Calibri" w:hAnsi="Times New Roman"/>
        </w:rPr>
        <w:t xml:space="preserve">important to </w:t>
      </w:r>
      <w:r w:rsidR="001C058A" w:rsidRPr="0086435D">
        <w:rPr>
          <w:rFonts w:ascii="Times New Roman" w:eastAsia="Calibri" w:hAnsi="Times New Roman"/>
        </w:rPr>
        <w:t xml:space="preserve">clearly and periodically </w:t>
      </w:r>
      <w:r w:rsidR="0086435D" w:rsidRPr="0086435D">
        <w:rPr>
          <w:rFonts w:ascii="Times New Roman" w:eastAsia="Calibri" w:hAnsi="Times New Roman"/>
        </w:rPr>
        <w:t xml:space="preserve">inform </w:t>
      </w:r>
      <w:r w:rsidR="001C058A">
        <w:rPr>
          <w:rFonts w:ascii="Times New Roman" w:eastAsia="Calibri" w:hAnsi="Times New Roman"/>
        </w:rPr>
        <w:t xml:space="preserve">them </w:t>
      </w:r>
      <w:r w:rsidR="0086435D" w:rsidRPr="0086435D">
        <w:rPr>
          <w:rFonts w:ascii="Times New Roman" w:eastAsia="Calibri" w:hAnsi="Times New Roman"/>
        </w:rPr>
        <w:t xml:space="preserve">of the implicit incentives associated with not having to report any earnings gains for three years. They must also understand the safeguards in place to protect them from excessive rent burdens if their incomes fall. The MDRC team, as part of its technical assistance role, </w:t>
      </w:r>
      <w:r w:rsidR="00601CC6">
        <w:rPr>
          <w:rFonts w:ascii="Times New Roman" w:eastAsia="Calibri" w:hAnsi="Times New Roman"/>
        </w:rPr>
        <w:t>has helped</w:t>
      </w:r>
      <w:r w:rsidR="0086435D" w:rsidRPr="0086435D">
        <w:rPr>
          <w:rFonts w:ascii="Times New Roman" w:eastAsia="Calibri" w:hAnsi="Times New Roman"/>
        </w:rPr>
        <w:t xml:space="preserve"> housing authorities develop appropriate materials and strategies for communicating these incentives and safeguards. </w:t>
      </w:r>
    </w:p>
    <w:p w:rsidR="00B622E3" w:rsidRDefault="00B622E3" w:rsidP="00400C5C">
      <w:pPr>
        <w:tabs>
          <w:tab w:val="clear" w:pos="432"/>
        </w:tabs>
        <w:spacing w:before="240" w:line="240" w:lineRule="auto"/>
        <w:ind w:firstLine="0"/>
        <w:contextualSpacing/>
        <w:jc w:val="left"/>
        <w:rPr>
          <w:rFonts w:ascii="Times New Roman" w:eastAsia="Calibri" w:hAnsi="Times New Roman"/>
        </w:rPr>
      </w:pPr>
    </w:p>
    <w:p w:rsidR="008D1BD2" w:rsidRDefault="008D1BD2" w:rsidP="00302868">
      <w:pPr>
        <w:tabs>
          <w:tab w:val="clear" w:pos="432"/>
        </w:tabs>
        <w:spacing w:before="240" w:line="240" w:lineRule="auto"/>
        <w:ind w:firstLine="720"/>
        <w:contextualSpacing/>
        <w:jc w:val="left"/>
        <w:rPr>
          <w:rFonts w:ascii="Times New Roman" w:eastAsia="Calibri" w:hAnsi="Times New Roman"/>
          <w:i/>
        </w:rPr>
      </w:pPr>
    </w:p>
    <w:p w:rsidR="00302868" w:rsidRPr="0086435D" w:rsidRDefault="00302868" w:rsidP="00302868">
      <w:pPr>
        <w:tabs>
          <w:tab w:val="clear" w:pos="432"/>
        </w:tabs>
        <w:spacing w:before="240" w:line="240" w:lineRule="auto"/>
        <w:ind w:firstLine="720"/>
        <w:contextualSpacing/>
        <w:jc w:val="left"/>
        <w:rPr>
          <w:rFonts w:ascii="Times New Roman" w:eastAsia="Calibri" w:hAnsi="Times New Roman"/>
          <w:i/>
        </w:rPr>
      </w:pPr>
      <w:r>
        <w:rPr>
          <w:rFonts w:ascii="Times New Roman" w:eastAsia="Calibri" w:hAnsi="Times New Roman"/>
          <w:i/>
        </w:rPr>
        <w:lastRenderedPageBreak/>
        <w:t xml:space="preserve">Eligibility </w:t>
      </w:r>
    </w:p>
    <w:p w:rsidR="00302868" w:rsidRDefault="00302868" w:rsidP="00302868">
      <w:pPr>
        <w:tabs>
          <w:tab w:val="clear" w:pos="432"/>
        </w:tabs>
        <w:spacing w:line="240" w:lineRule="auto"/>
        <w:ind w:firstLine="0"/>
        <w:contextualSpacing/>
        <w:jc w:val="left"/>
        <w:rPr>
          <w:rFonts w:ascii="Times New Roman" w:eastAsia="Calibri" w:hAnsi="Times New Roman"/>
        </w:rPr>
      </w:pPr>
    </w:p>
    <w:p w:rsidR="00302868" w:rsidRPr="00187FBB" w:rsidRDefault="00302868" w:rsidP="00302868">
      <w:pPr>
        <w:tabs>
          <w:tab w:val="clear" w:pos="432"/>
        </w:tabs>
        <w:spacing w:line="240" w:lineRule="auto"/>
        <w:ind w:firstLine="0"/>
        <w:contextualSpacing/>
        <w:jc w:val="left"/>
        <w:rPr>
          <w:rFonts w:ascii="Times New Roman" w:eastAsia="Calibri" w:hAnsi="Times New Roman"/>
        </w:rPr>
      </w:pPr>
      <w:r w:rsidRPr="00302868">
        <w:rPr>
          <w:rFonts w:ascii="Times New Roman" w:eastAsia="Calibri" w:hAnsi="Times New Roman"/>
        </w:rPr>
        <w:t xml:space="preserve">The alternative rent policy </w:t>
      </w:r>
      <w:r w:rsidR="00AC1D49">
        <w:rPr>
          <w:rFonts w:ascii="Times New Roman" w:eastAsia="Calibri" w:hAnsi="Times New Roman"/>
        </w:rPr>
        <w:t>applies</w:t>
      </w:r>
      <w:r w:rsidRPr="00302868">
        <w:rPr>
          <w:rFonts w:ascii="Times New Roman" w:eastAsia="Calibri" w:hAnsi="Times New Roman"/>
        </w:rPr>
        <w:t xml:space="preserve"> only to HCV recipients. </w:t>
      </w:r>
      <w:r w:rsidRPr="00302868">
        <w:rPr>
          <w:rFonts w:ascii="Times New Roman" w:hAnsi="Times New Roman"/>
        </w:rPr>
        <w:t xml:space="preserve">Eligible sample members include voucher holders with vouchers that are administered under the MTW demonstration. Non-MTW Vouchers (i.e., Veterans Assisted Special Housing, Moderate Rehabilitation, and Shelter Plus Care), Enhanced Vouchers, </w:t>
      </w:r>
      <w:r w:rsidR="00A84F09">
        <w:rPr>
          <w:rFonts w:ascii="Times New Roman" w:hAnsi="Times New Roman"/>
        </w:rPr>
        <w:t xml:space="preserve">and </w:t>
      </w:r>
      <w:r w:rsidRPr="00302868">
        <w:rPr>
          <w:rFonts w:ascii="Times New Roman" w:hAnsi="Times New Roman"/>
        </w:rPr>
        <w:t xml:space="preserve">Project-Based Vouchers </w:t>
      </w:r>
      <w:r w:rsidR="00AC1D49">
        <w:rPr>
          <w:rFonts w:ascii="Times New Roman" w:hAnsi="Times New Roman"/>
        </w:rPr>
        <w:t>were</w:t>
      </w:r>
      <w:r w:rsidRPr="00302868">
        <w:rPr>
          <w:rFonts w:ascii="Times New Roman" w:hAnsi="Times New Roman"/>
        </w:rPr>
        <w:t xml:space="preserve"> excluded from the study.  </w:t>
      </w:r>
      <w:r w:rsidR="00A755F0">
        <w:rPr>
          <w:rFonts w:ascii="Times New Roman" w:hAnsi="Times New Roman"/>
        </w:rPr>
        <w:t xml:space="preserve">Households that have ported out </w:t>
      </w:r>
      <w:r w:rsidR="00AC1D49">
        <w:rPr>
          <w:rFonts w:ascii="Times New Roman" w:hAnsi="Times New Roman"/>
        </w:rPr>
        <w:t>were</w:t>
      </w:r>
      <w:r w:rsidR="00A755F0">
        <w:rPr>
          <w:rFonts w:ascii="Times New Roman" w:hAnsi="Times New Roman"/>
        </w:rPr>
        <w:t xml:space="preserve"> excluded. </w:t>
      </w:r>
      <w:r w:rsidRPr="00302868">
        <w:rPr>
          <w:rFonts w:ascii="Times New Roman" w:hAnsi="Times New Roman"/>
        </w:rPr>
        <w:t xml:space="preserve">Additionally, the study is focused on work-able populations and </w:t>
      </w:r>
      <w:r w:rsidR="00AC1D49">
        <w:rPr>
          <w:rFonts w:ascii="Times New Roman" w:hAnsi="Times New Roman"/>
        </w:rPr>
        <w:t>does</w:t>
      </w:r>
      <w:r w:rsidRPr="00302868">
        <w:rPr>
          <w:rFonts w:ascii="Times New Roman" w:hAnsi="Times New Roman"/>
        </w:rPr>
        <w:t xml:space="preserve"> not include elderly households, disabled households, </w:t>
      </w:r>
      <w:r w:rsidR="00447C89" w:rsidRPr="00447C89">
        <w:rPr>
          <w:rFonts w:ascii="Times New Roman" w:hAnsi="Times New Roman"/>
        </w:rPr>
        <w:t xml:space="preserve">households that will become elderly during the course of the long-term study, </w:t>
      </w:r>
      <w:r w:rsidR="00447C89">
        <w:rPr>
          <w:rFonts w:ascii="Times New Roman" w:hAnsi="Times New Roman"/>
        </w:rPr>
        <w:t>or</w:t>
      </w:r>
      <w:r w:rsidR="00447C89" w:rsidRPr="00447C89">
        <w:rPr>
          <w:rFonts w:ascii="Times New Roman" w:hAnsi="Times New Roman"/>
        </w:rPr>
        <w:t xml:space="preserve"> households</w:t>
      </w:r>
      <w:r w:rsidR="00447C89">
        <w:rPr>
          <w:rFonts w:ascii="Times New Roman" w:hAnsi="Times New Roman"/>
        </w:rPr>
        <w:t xml:space="preserve"> where</w:t>
      </w:r>
      <w:r w:rsidR="00447C89" w:rsidRPr="00447C89">
        <w:rPr>
          <w:rFonts w:ascii="Times New Roman" w:hAnsi="Times New Roman"/>
        </w:rPr>
        <w:t xml:space="preserve"> at least one member does not have legal status in the U.S</w:t>
      </w:r>
      <w:r w:rsidRPr="00302868">
        <w:rPr>
          <w:rFonts w:ascii="Times New Roman" w:hAnsi="Times New Roman"/>
        </w:rPr>
        <w:t xml:space="preserve">.  Households receiving a child care deduction at the time of random assignment </w:t>
      </w:r>
      <w:r w:rsidR="00AC1D49">
        <w:rPr>
          <w:rFonts w:ascii="Times New Roman" w:hAnsi="Times New Roman"/>
        </w:rPr>
        <w:t>were</w:t>
      </w:r>
      <w:r w:rsidRPr="00302868">
        <w:rPr>
          <w:rFonts w:ascii="Times New Roman" w:hAnsi="Times New Roman"/>
        </w:rPr>
        <w:t xml:space="preserve"> also excluded from the study.  </w:t>
      </w:r>
      <w:r w:rsidR="00567A6D">
        <w:rPr>
          <w:rFonts w:ascii="Times New Roman" w:hAnsi="Times New Roman"/>
        </w:rPr>
        <w:t>H</w:t>
      </w:r>
      <w:r w:rsidRPr="00302868">
        <w:rPr>
          <w:rFonts w:ascii="Times New Roman" w:hAnsi="Times New Roman"/>
        </w:rPr>
        <w:t xml:space="preserve">ouseholds participating in </w:t>
      </w:r>
      <w:r>
        <w:rPr>
          <w:rFonts w:ascii="Times New Roman" w:hAnsi="Times New Roman"/>
        </w:rPr>
        <w:t xml:space="preserve">the PHA’s </w:t>
      </w:r>
      <w:r w:rsidRPr="00302868">
        <w:rPr>
          <w:rFonts w:ascii="Times New Roman" w:hAnsi="Times New Roman"/>
        </w:rPr>
        <w:t>Family Self-Sufficiency</w:t>
      </w:r>
      <w:r w:rsidR="00A755F0">
        <w:rPr>
          <w:rFonts w:ascii="Times New Roman" w:hAnsi="Times New Roman"/>
        </w:rPr>
        <w:t>,</w:t>
      </w:r>
      <w:r w:rsidRPr="00302868">
        <w:rPr>
          <w:rFonts w:ascii="Times New Roman" w:hAnsi="Times New Roman"/>
        </w:rPr>
        <w:t xml:space="preserve"> homeownership programs</w:t>
      </w:r>
      <w:r w:rsidR="00A755F0">
        <w:rPr>
          <w:rFonts w:ascii="Times New Roman" w:hAnsi="Times New Roman"/>
        </w:rPr>
        <w:t>, or any of the PHA’s special programs with partner agencies</w:t>
      </w:r>
      <w:r w:rsidRPr="00302868">
        <w:rPr>
          <w:rFonts w:ascii="Times New Roman" w:hAnsi="Times New Roman"/>
        </w:rPr>
        <w:t xml:space="preserve"> </w:t>
      </w:r>
      <w:r w:rsidR="00AC1D49">
        <w:rPr>
          <w:rFonts w:ascii="Times New Roman" w:hAnsi="Times New Roman"/>
        </w:rPr>
        <w:t>were not</w:t>
      </w:r>
      <w:r w:rsidRPr="00302868">
        <w:rPr>
          <w:rFonts w:ascii="Times New Roman" w:hAnsi="Times New Roman"/>
        </w:rPr>
        <w:t xml:space="preserve"> included in the study.</w:t>
      </w:r>
      <w:r w:rsidR="00447C89" w:rsidRPr="00447C89">
        <w:t xml:space="preserve"> </w:t>
      </w:r>
      <w:r w:rsidR="00567A6D">
        <w:rPr>
          <w:rFonts w:ascii="Times New Roman" w:hAnsi="Times New Roman"/>
        </w:rPr>
        <w:t>Lastly</w:t>
      </w:r>
      <w:r w:rsidR="00447C89" w:rsidRPr="00447C89">
        <w:rPr>
          <w:rFonts w:ascii="Times New Roman" w:hAnsi="Times New Roman"/>
        </w:rPr>
        <w:t xml:space="preserve">, households who </w:t>
      </w:r>
      <w:r w:rsidR="00AC1D49">
        <w:rPr>
          <w:rFonts w:ascii="Times New Roman" w:hAnsi="Times New Roman"/>
        </w:rPr>
        <w:t>had</w:t>
      </w:r>
      <w:r w:rsidR="00447C89" w:rsidRPr="00447C89">
        <w:rPr>
          <w:rFonts w:ascii="Times New Roman" w:hAnsi="Times New Roman"/>
        </w:rPr>
        <w:t xml:space="preserve"> 0 </w:t>
      </w:r>
      <w:r w:rsidR="00DF5ED3">
        <w:rPr>
          <w:rFonts w:ascii="Times New Roman" w:hAnsi="Times New Roman"/>
        </w:rPr>
        <w:t>Housing Assistance Payments (</w:t>
      </w:r>
      <w:r w:rsidR="00447C89" w:rsidRPr="00447C89">
        <w:rPr>
          <w:rFonts w:ascii="Times New Roman" w:hAnsi="Times New Roman"/>
        </w:rPr>
        <w:t>HAP</w:t>
      </w:r>
      <w:r w:rsidR="00DF5ED3">
        <w:rPr>
          <w:rFonts w:ascii="Times New Roman" w:hAnsi="Times New Roman"/>
        </w:rPr>
        <w:t>)</w:t>
      </w:r>
      <w:r w:rsidR="00447C89" w:rsidRPr="00447C89">
        <w:rPr>
          <w:rFonts w:ascii="Times New Roman" w:hAnsi="Times New Roman"/>
        </w:rPr>
        <w:t xml:space="preserve"> at the time of random assignment </w:t>
      </w:r>
      <w:r w:rsidR="00AC1D49">
        <w:rPr>
          <w:rFonts w:ascii="Times New Roman" w:hAnsi="Times New Roman"/>
        </w:rPr>
        <w:t>were not</w:t>
      </w:r>
      <w:r w:rsidR="00447C89" w:rsidRPr="00447C89">
        <w:rPr>
          <w:rFonts w:ascii="Times New Roman" w:hAnsi="Times New Roman"/>
        </w:rPr>
        <w:t xml:space="preserve"> included in the study.</w:t>
      </w:r>
    </w:p>
    <w:p w:rsidR="00474174" w:rsidRDefault="00474174" w:rsidP="00595FCB">
      <w:pPr>
        <w:tabs>
          <w:tab w:val="clear" w:pos="432"/>
        </w:tabs>
        <w:spacing w:line="240" w:lineRule="auto"/>
        <w:ind w:firstLine="720"/>
        <w:jc w:val="left"/>
        <w:rPr>
          <w:rFonts w:ascii="Arial" w:hAnsi="Arial" w:cs="Arial"/>
          <w:b/>
        </w:rPr>
      </w:pPr>
    </w:p>
    <w:p w:rsidR="000042A8" w:rsidRPr="008E1E3E" w:rsidRDefault="000042A8" w:rsidP="008E1E3E">
      <w:pPr>
        <w:tabs>
          <w:tab w:val="clear" w:pos="432"/>
        </w:tabs>
        <w:spacing w:line="240" w:lineRule="auto"/>
        <w:ind w:firstLine="540"/>
        <w:jc w:val="left"/>
        <w:rPr>
          <w:rFonts w:ascii="Helvetica" w:hAnsi="Helvetica" w:cs="Arial"/>
          <w:b/>
        </w:rPr>
      </w:pPr>
      <w:r w:rsidRPr="008E1E3E">
        <w:rPr>
          <w:rFonts w:ascii="Helvetica" w:hAnsi="Helvetica" w:cs="Arial"/>
          <w:b/>
        </w:rPr>
        <w:t>Evaluation design and components</w:t>
      </w:r>
    </w:p>
    <w:p w:rsidR="000042A8" w:rsidRDefault="000042A8" w:rsidP="00E80F50">
      <w:pPr>
        <w:tabs>
          <w:tab w:val="clear" w:pos="432"/>
        </w:tabs>
        <w:spacing w:line="240" w:lineRule="auto"/>
        <w:ind w:firstLine="0"/>
        <w:jc w:val="left"/>
        <w:rPr>
          <w:rFonts w:ascii="Times New Roman" w:hAnsi="Times New Roman"/>
        </w:rPr>
      </w:pPr>
    </w:p>
    <w:p w:rsidR="000E1899" w:rsidRDefault="00993CD9" w:rsidP="00993CD9">
      <w:pPr>
        <w:spacing w:line="240" w:lineRule="auto"/>
        <w:ind w:firstLine="0"/>
        <w:jc w:val="left"/>
        <w:rPr>
          <w:rFonts w:ascii="Times New Roman" w:hAnsi="Times New Roman"/>
        </w:rPr>
      </w:pPr>
      <w:r w:rsidRPr="001D47CF">
        <w:rPr>
          <w:rFonts w:ascii="Times New Roman" w:hAnsi="Times New Roman"/>
        </w:rPr>
        <w:t xml:space="preserve">The demonstration </w:t>
      </w:r>
      <w:r w:rsidR="00AC1D49">
        <w:rPr>
          <w:rFonts w:ascii="Times New Roman" w:hAnsi="Times New Roman"/>
        </w:rPr>
        <w:t xml:space="preserve">is using </w:t>
      </w:r>
      <w:r w:rsidRPr="001D47CF">
        <w:rPr>
          <w:rFonts w:ascii="Times New Roman" w:hAnsi="Times New Roman"/>
        </w:rPr>
        <w:t>a randomized controlled experiment to compare the current rent</w:t>
      </w:r>
      <w:r>
        <w:rPr>
          <w:rFonts w:ascii="Times New Roman" w:hAnsi="Times New Roman"/>
        </w:rPr>
        <w:t xml:space="preserve"> subsidy</w:t>
      </w:r>
      <w:r w:rsidRPr="001D47CF">
        <w:rPr>
          <w:rFonts w:ascii="Times New Roman" w:hAnsi="Times New Roman"/>
        </w:rPr>
        <w:t xml:space="preserve"> </w:t>
      </w:r>
      <w:r>
        <w:rPr>
          <w:rFonts w:ascii="Times New Roman" w:hAnsi="Times New Roman"/>
        </w:rPr>
        <w:t>policy</w:t>
      </w:r>
      <w:r w:rsidRPr="001D47CF">
        <w:rPr>
          <w:rFonts w:ascii="Times New Roman" w:hAnsi="Times New Roman"/>
        </w:rPr>
        <w:t xml:space="preserve"> </w:t>
      </w:r>
      <w:r>
        <w:rPr>
          <w:rFonts w:ascii="Times New Roman" w:hAnsi="Times New Roman"/>
        </w:rPr>
        <w:t xml:space="preserve">for </w:t>
      </w:r>
      <w:r w:rsidR="00CA1BBB">
        <w:rPr>
          <w:rFonts w:ascii="Times New Roman" w:hAnsi="Times New Roman"/>
        </w:rPr>
        <w:t>HCVs</w:t>
      </w:r>
      <w:r w:rsidRPr="001D47CF">
        <w:rPr>
          <w:rFonts w:ascii="Times New Roman" w:hAnsi="Times New Roman"/>
        </w:rPr>
        <w:t xml:space="preserve"> to </w:t>
      </w:r>
      <w:r>
        <w:rPr>
          <w:rFonts w:ascii="Times New Roman" w:hAnsi="Times New Roman"/>
        </w:rPr>
        <w:t xml:space="preserve">an </w:t>
      </w:r>
      <w:r w:rsidRPr="001D47CF">
        <w:rPr>
          <w:rFonts w:ascii="Times New Roman" w:hAnsi="Times New Roman"/>
        </w:rPr>
        <w:t>alternat</w:t>
      </w:r>
      <w:r>
        <w:rPr>
          <w:rFonts w:ascii="Times New Roman" w:hAnsi="Times New Roman"/>
        </w:rPr>
        <w:t xml:space="preserve">ive rent policy.  </w:t>
      </w:r>
      <w:r w:rsidRPr="00400C5C">
        <w:rPr>
          <w:rFonts w:ascii="Times New Roman" w:hAnsi="Times New Roman"/>
        </w:rPr>
        <w:t>F</w:t>
      </w:r>
      <w:r w:rsidR="00F811FD" w:rsidRPr="00400C5C">
        <w:rPr>
          <w:rFonts w:ascii="Times New Roman" w:hAnsi="Times New Roman"/>
        </w:rPr>
        <w:t xml:space="preserve">our </w:t>
      </w:r>
      <w:r w:rsidR="00A658DA">
        <w:rPr>
          <w:rFonts w:ascii="Times New Roman" w:hAnsi="Times New Roman"/>
        </w:rPr>
        <w:t>MTW PHAs</w:t>
      </w:r>
      <w:r w:rsidRPr="001D47CF">
        <w:rPr>
          <w:rFonts w:ascii="Times New Roman" w:hAnsi="Times New Roman"/>
        </w:rPr>
        <w:t xml:space="preserve"> </w:t>
      </w:r>
      <w:r w:rsidR="00601CC6">
        <w:rPr>
          <w:rFonts w:ascii="Times New Roman" w:hAnsi="Times New Roman"/>
        </w:rPr>
        <w:t xml:space="preserve">are </w:t>
      </w:r>
      <w:r w:rsidRPr="001D47CF">
        <w:rPr>
          <w:rFonts w:ascii="Times New Roman" w:hAnsi="Times New Roman"/>
        </w:rPr>
        <w:t>participa</w:t>
      </w:r>
      <w:r>
        <w:rPr>
          <w:rFonts w:ascii="Times New Roman" w:hAnsi="Times New Roman"/>
        </w:rPr>
        <w:t>t</w:t>
      </w:r>
      <w:r w:rsidR="00601CC6">
        <w:rPr>
          <w:rFonts w:ascii="Times New Roman" w:hAnsi="Times New Roman"/>
        </w:rPr>
        <w:t>in</w:t>
      </w:r>
      <w:r w:rsidR="007E284A">
        <w:rPr>
          <w:rFonts w:ascii="Times New Roman" w:hAnsi="Times New Roman"/>
        </w:rPr>
        <w:t>g</w:t>
      </w:r>
      <w:r>
        <w:rPr>
          <w:rFonts w:ascii="Times New Roman" w:hAnsi="Times New Roman"/>
        </w:rPr>
        <w:t xml:space="preserve"> in the study. </w:t>
      </w:r>
      <w:r w:rsidRPr="001D47CF">
        <w:rPr>
          <w:rFonts w:ascii="Times New Roman" w:hAnsi="Times New Roman"/>
        </w:rPr>
        <w:t>The demonstration is being guided by a comprehensive research agenda structured around three study components: impacts, implementation processes, and cost</w:t>
      </w:r>
      <w:r w:rsidR="008A0ACE">
        <w:rPr>
          <w:rFonts w:ascii="Times New Roman" w:hAnsi="Times New Roman"/>
        </w:rPr>
        <w:t xml:space="preserve"> analysis</w:t>
      </w:r>
      <w:r w:rsidRPr="001D47CF">
        <w:rPr>
          <w:rFonts w:ascii="Times New Roman" w:hAnsi="Times New Roman"/>
        </w:rPr>
        <w:t>.</w:t>
      </w:r>
      <w:r>
        <w:rPr>
          <w:rFonts w:ascii="Times New Roman" w:hAnsi="Times New Roman"/>
        </w:rPr>
        <w:t xml:space="preserve"> </w:t>
      </w:r>
    </w:p>
    <w:p w:rsidR="000E1899" w:rsidRDefault="000E1899" w:rsidP="00993CD9">
      <w:pPr>
        <w:spacing w:line="240" w:lineRule="auto"/>
        <w:ind w:firstLine="0"/>
        <w:jc w:val="left"/>
        <w:rPr>
          <w:rFonts w:ascii="Times New Roman" w:hAnsi="Times New Roman"/>
        </w:rPr>
      </w:pPr>
    </w:p>
    <w:p w:rsidR="006C0F21" w:rsidRDefault="000E1899" w:rsidP="00302868">
      <w:pPr>
        <w:tabs>
          <w:tab w:val="clear" w:pos="432"/>
        </w:tabs>
        <w:spacing w:line="240" w:lineRule="auto"/>
        <w:ind w:firstLine="0"/>
        <w:jc w:val="left"/>
        <w:rPr>
          <w:rFonts w:ascii="Times New Roman" w:hAnsi="Times New Roman"/>
        </w:rPr>
      </w:pPr>
      <w:r w:rsidRPr="000E1899">
        <w:rPr>
          <w:rFonts w:ascii="Times New Roman" w:hAnsi="Times New Roman"/>
        </w:rPr>
        <w:t xml:space="preserve">In order to evaluate the impacts of the alternative rent policy, all households that met the eligibility requirements for the demonstration </w:t>
      </w:r>
      <w:r w:rsidR="00601CC6">
        <w:rPr>
          <w:rFonts w:ascii="Times New Roman" w:hAnsi="Times New Roman"/>
        </w:rPr>
        <w:t>were</w:t>
      </w:r>
      <w:r w:rsidR="00DE49B4">
        <w:rPr>
          <w:rFonts w:ascii="Times New Roman" w:hAnsi="Times New Roman"/>
        </w:rPr>
        <w:t xml:space="preserve"> </w:t>
      </w:r>
      <w:r w:rsidRPr="000E1899">
        <w:rPr>
          <w:rFonts w:ascii="Times New Roman" w:hAnsi="Times New Roman"/>
        </w:rPr>
        <w:t xml:space="preserve">randomly assigned to either a new policy group or an existing rent policy group (i.e., the control group). </w:t>
      </w:r>
      <w:r w:rsidRPr="004C0534">
        <w:rPr>
          <w:rFonts w:ascii="Times New Roman" w:hAnsi="Times New Roman"/>
        </w:rPr>
        <w:t xml:space="preserve">Households </w:t>
      </w:r>
      <w:r w:rsidR="00601CC6" w:rsidRPr="004C0534">
        <w:rPr>
          <w:rFonts w:ascii="Times New Roman" w:hAnsi="Times New Roman"/>
        </w:rPr>
        <w:t xml:space="preserve">did </w:t>
      </w:r>
      <w:r w:rsidRPr="004C0534">
        <w:rPr>
          <w:rFonts w:ascii="Times New Roman" w:hAnsi="Times New Roman"/>
        </w:rPr>
        <w:t>not have an opportunity to switch their assignment from one rent policy group to the other.</w:t>
      </w:r>
      <w:r w:rsidRPr="000E1899">
        <w:rPr>
          <w:rFonts w:ascii="Times New Roman" w:hAnsi="Times New Roman"/>
        </w:rPr>
        <w:t xml:space="preserve">  This approach is consistent with the MTW Demonstration’s policy of authorizing PHAs to implement and test innovative rent policies to try to help voucher holders become self-sufficient and to reduce administrative costs.  When MTW PHAs that are not part of the Rent Reform Demonstration have implemented their own rent reforms, they have not been expected to limit these new policies to tenants who volunteer for them.   </w:t>
      </w:r>
    </w:p>
    <w:p w:rsidR="000E1899" w:rsidRPr="000E1899" w:rsidRDefault="000E1899" w:rsidP="000E1899">
      <w:pPr>
        <w:spacing w:line="240" w:lineRule="auto"/>
        <w:ind w:firstLine="0"/>
        <w:jc w:val="left"/>
        <w:rPr>
          <w:rFonts w:ascii="Times New Roman" w:hAnsi="Times New Roman"/>
        </w:rPr>
      </w:pPr>
      <w:r w:rsidRPr="000E1899">
        <w:rPr>
          <w:rFonts w:ascii="Times New Roman" w:hAnsi="Times New Roman"/>
        </w:rPr>
        <w:t xml:space="preserve"> </w:t>
      </w:r>
    </w:p>
    <w:p w:rsidR="000E1899" w:rsidRPr="000E1899" w:rsidRDefault="000E1899" w:rsidP="000E1899">
      <w:pPr>
        <w:spacing w:line="240" w:lineRule="auto"/>
        <w:ind w:firstLine="0"/>
        <w:jc w:val="left"/>
        <w:rPr>
          <w:rFonts w:ascii="Times New Roman" w:hAnsi="Times New Roman"/>
        </w:rPr>
      </w:pPr>
      <w:r w:rsidRPr="000E1899">
        <w:rPr>
          <w:rFonts w:ascii="Times New Roman" w:hAnsi="Times New Roman"/>
        </w:rPr>
        <w:t>A research design that includes the broader eligible population fits the compelling need for HUD and Congress to understand the effectiveness of the new rent policy for the full eligible population, not just for a subset of volunteers recruited for a special demonstration project. For a variety of reasons, volunteers may not adequately represent the full eligible population. The new rent policy itself offer</w:t>
      </w:r>
      <w:r w:rsidR="008040F0">
        <w:rPr>
          <w:rFonts w:ascii="Times New Roman" w:hAnsi="Times New Roman"/>
        </w:rPr>
        <w:t>ed</w:t>
      </w:r>
      <w:r w:rsidRPr="000E1899">
        <w:rPr>
          <w:rFonts w:ascii="Times New Roman" w:hAnsi="Times New Roman"/>
        </w:rPr>
        <w:t xml:space="preserve"> all tenants the possibility of becoming economically better off, while also including a number of safeguards intended to help prevent them from becoming </w:t>
      </w:r>
      <w:r w:rsidR="006C0F21">
        <w:rPr>
          <w:rFonts w:ascii="Times New Roman" w:hAnsi="Times New Roman"/>
        </w:rPr>
        <w:t xml:space="preserve">economically </w:t>
      </w:r>
      <w:r w:rsidRPr="000E1899">
        <w:rPr>
          <w:rFonts w:ascii="Times New Roman" w:hAnsi="Times New Roman"/>
        </w:rPr>
        <w:t xml:space="preserve">worse off. </w:t>
      </w:r>
      <w:r w:rsidR="007E284A">
        <w:rPr>
          <w:rFonts w:ascii="Times New Roman" w:hAnsi="Times New Roman"/>
        </w:rPr>
        <w:t>A</w:t>
      </w:r>
      <w:r w:rsidR="006C0F21">
        <w:rPr>
          <w:rFonts w:ascii="Times New Roman" w:hAnsi="Times New Roman"/>
        </w:rPr>
        <w:t xml:space="preserve">ll tenants </w:t>
      </w:r>
      <w:r w:rsidR="008040F0">
        <w:rPr>
          <w:rFonts w:ascii="Times New Roman" w:hAnsi="Times New Roman"/>
        </w:rPr>
        <w:t>were</w:t>
      </w:r>
      <w:r w:rsidR="006C0F21">
        <w:rPr>
          <w:rFonts w:ascii="Times New Roman" w:hAnsi="Times New Roman"/>
        </w:rPr>
        <w:t xml:space="preserve"> given an opportunity to </w:t>
      </w:r>
      <w:r w:rsidR="00A84F09">
        <w:rPr>
          <w:rFonts w:ascii="Times New Roman" w:hAnsi="Times New Roman"/>
        </w:rPr>
        <w:t xml:space="preserve">withdraw from </w:t>
      </w:r>
      <w:r w:rsidR="006C0F21">
        <w:rPr>
          <w:rFonts w:ascii="Times New Roman" w:hAnsi="Times New Roman"/>
        </w:rPr>
        <w:t>having their personally identifiable data shared with the researchers if they wish</w:t>
      </w:r>
      <w:r w:rsidR="008040F0">
        <w:rPr>
          <w:rFonts w:ascii="Times New Roman" w:hAnsi="Times New Roman"/>
        </w:rPr>
        <w:t>ed</w:t>
      </w:r>
      <w:r w:rsidR="006C0F21">
        <w:rPr>
          <w:rFonts w:ascii="Times New Roman" w:hAnsi="Times New Roman"/>
        </w:rPr>
        <w:t xml:space="preserve"> that it not be disclosed.  </w:t>
      </w:r>
    </w:p>
    <w:p w:rsidR="006C0F21" w:rsidRDefault="006C0F21" w:rsidP="000E1899">
      <w:pPr>
        <w:spacing w:line="240" w:lineRule="auto"/>
        <w:ind w:firstLine="0"/>
        <w:jc w:val="left"/>
        <w:rPr>
          <w:rFonts w:ascii="Times New Roman" w:hAnsi="Times New Roman"/>
        </w:rPr>
      </w:pPr>
    </w:p>
    <w:p w:rsidR="000E1899" w:rsidRPr="000E1899" w:rsidRDefault="006C0F21" w:rsidP="000E1899">
      <w:pPr>
        <w:spacing w:line="240" w:lineRule="auto"/>
        <w:ind w:firstLine="0"/>
        <w:jc w:val="left"/>
        <w:rPr>
          <w:rFonts w:ascii="Times New Roman" w:hAnsi="Times New Roman"/>
        </w:rPr>
      </w:pPr>
      <w:r>
        <w:rPr>
          <w:rFonts w:ascii="Times New Roman" w:hAnsi="Times New Roman"/>
        </w:rPr>
        <w:t>The evaluation plan includes</w:t>
      </w:r>
      <w:r w:rsidR="000E1899" w:rsidRPr="000E1899">
        <w:rPr>
          <w:rFonts w:ascii="Times New Roman" w:hAnsi="Times New Roman"/>
        </w:rPr>
        <w:t xml:space="preserve"> an exception for one of its sites, the Louisville Metropolitan Housing Authority (LMHA).  Households in this PHA that </w:t>
      </w:r>
      <w:r w:rsidR="008040F0">
        <w:rPr>
          <w:rFonts w:ascii="Times New Roman" w:hAnsi="Times New Roman"/>
        </w:rPr>
        <w:t>were</w:t>
      </w:r>
      <w:r w:rsidR="000E1899" w:rsidRPr="000E1899">
        <w:rPr>
          <w:rFonts w:ascii="Times New Roman" w:hAnsi="Times New Roman"/>
        </w:rPr>
        <w:t xml:space="preserve"> randomly assigned to the new policy </w:t>
      </w:r>
      <w:r w:rsidR="008040F0">
        <w:rPr>
          <w:rFonts w:ascii="Times New Roman" w:hAnsi="Times New Roman"/>
        </w:rPr>
        <w:t>were</w:t>
      </w:r>
      <w:r w:rsidR="000E1899" w:rsidRPr="000E1899">
        <w:rPr>
          <w:rFonts w:ascii="Times New Roman" w:hAnsi="Times New Roman"/>
        </w:rPr>
        <w:t xml:space="preserve"> given the option to opt out of the new rent policy group in addition to </w:t>
      </w:r>
      <w:r w:rsidR="00A84F09">
        <w:rPr>
          <w:rFonts w:ascii="Times New Roman" w:hAnsi="Times New Roman"/>
        </w:rPr>
        <w:t>withdrawing from</w:t>
      </w:r>
      <w:r w:rsidR="000E1899" w:rsidRPr="000E1899">
        <w:rPr>
          <w:rFonts w:ascii="Times New Roman" w:hAnsi="Times New Roman"/>
        </w:rPr>
        <w:t xml:space="preserve"> having their data disclosed to the researchers.  HUD agreed to this exception to be responsive to concerns raised by LMHA and the local community.</w:t>
      </w:r>
      <w:r w:rsidR="00E26FBC">
        <w:rPr>
          <w:rFonts w:ascii="Times New Roman" w:hAnsi="Times New Roman"/>
        </w:rPr>
        <w:t xml:space="preserve"> Twenty-two percent of families chose to opt out of the new policy in Louisville.  </w:t>
      </w:r>
    </w:p>
    <w:p w:rsidR="000E1899" w:rsidRPr="000E1899" w:rsidRDefault="000E1899" w:rsidP="000E1899">
      <w:pPr>
        <w:spacing w:line="240" w:lineRule="auto"/>
        <w:ind w:firstLine="0"/>
        <w:jc w:val="left"/>
        <w:rPr>
          <w:rFonts w:ascii="Times New Roman" w:hAnsi="Times New Roman"/>
        </w:rPr>
      </w:pPr>
    </w:p>
    <w:p w:rsidR="000E1899" w:rsidRDefault="00993CD9" w:rsidP="00993CD9">
      <w:pPr>
        <w:spacing w:line="240" w:lineRule="auto"/>
        <w:ind w:firstLine="0"/>
        <w:jc w:val="left"/>
        <w:rPr>
          <w:rFonts w:ascii="Times New Roman" w:hAnsi="Times New Roman"/>
        </w:rPr>
      </w:pPr>
      <w:r>
        <w:rPr>
          <w:rFonts w:ascii="Times New Roman" w:hAnsi="Times New Roman"/>
        </w:rPr>
        <w:t xml:space="preserve">The study will examine the effects of the alternative policy from </w:t>
      </w:r>
      <w:r w:rsidRPr="00364A8A">
        <w:rPr>
          <w:rFonts w:ascii="Times New Roman" w:hAnsi="Times New Roman"/>
        </w:rPr>
        <w:t>two perspectives: that of the housing a</w:t>
      </w:r>
      <w:r w:rsidR="002E7597">
        <w:rPr>
          <w:rFonts w:ascii="Times New Roman" w:hAnsi="Times New Roman"/>
        </w:rPr>
        <w:t xml:space="preserve">gencies </w:t>
      </w:r>
      <w:r w:rsidRPr="00364A8A">
        <w:rPr>
          <w:rFonts w:ascii="Times New Roman" w:hAnsi="Times New Roman"/>
        </w:rPr>
        <w:t>and that of the voucher holders</w:t>
      </w:r>
      <w:r w:rsidRPr="00AD1687">
        <w:rPr>
          <w:rFonts w:ascii="Times New Roman" w:hAnsi="Times New Roman"/>
        </w:rPr>
        <w:t>.</w:t>
      </w:r>
      <w:r w:rsidRPr="00364A8A">
        <w:rPr>
          <w:rFonts w:ascii="Times New Roman" w:hAnsi="Times New Roman"/>
        </w:rPr>
        <w:t xml:space="preserve"> </w:t>
      </w:r>
    </w:p>
    <w:p w:rsidR="00993CD9" w:rsidRPr="00364A8A" w:rsidRDefault="00993CD9" w:rsidP="0039217D">
      <w:pPr>
        <w:spacing w:line="240" w:lineRule="auto"/>
        <w:ind w:firstLine="0"/>
        <w:jc w:val="left"/>
        <w:rPr>
          <w:rFonts w:ascii="Times New Roman" w:hAnsi="Times New Roman"/>
        </w:rPr>
      </w:pPr>
    </w:p>
    <w:p w:rsidR="00993CD9" w:rsidRPr="008E1E3E" w:rsidRDefault="00993CD9" w:rsidP="008E1E3E">
      <w:pPr>
        <w:pStyle w:val="ListParagraph"/>
        <w:ind w:left="540"/>
        <w:rPr>
          <w:rFonts w:ascii="Helvetica" w:hAnsi="Helvetica"/>
          <w:b/>
        </w:rPr>
      </w:pPr>
      <w:r w:rsidRPr="008E1E3E">
        <w:rPr>
          <w:rFonts w:ascii="Helvetica" w:hAnsi="Helvetica"/>
          <w:b/>
        </w:rPr>
        <w:t xml:space="preserve">A.  Research questions concerning </w:t>
      </w:r>
      <w:r w:rsidR="00A658DA" w:rsidRPr="008E1E3E">
        <w:rPr>
          <w:rFonts w:ascii="Helvetica" w:hAnsi="Helvetica"/>
          <w:b/>
        </w:rPr>
        <w:t>PHAs</w:t>
      </w:r>
      <w:r w:rsidRPr="008E1E3E">
        <w:rPr>
          <w:rFonts w:ascii="Helvetica" w:hAnsi="Helvetica"/>
          <w:b/>
        </w:rPr>
        <w:t xml:space="preserve">   </w:t>
      </w:r>
    </w:p>
    <w:p w:rsidR="00993CD9" w:rsidRPr="007F1D4D" w:rsidRDefault="00993CD9" w:rsidP="00993CD9">
      <w:pPr>
        <w:pStyle w:val="ListParagraph"/>
        <w:ind w:left="360"/>
        <w:rPr>
          <w:b/>
          <w:color w:val="C00000"/>
        </w:rPr>
      </w:pPr>
      <w:r w:rsidRPr="007F1D4D">
        <w:rPr>
          <w:b/>
        </w:rPr>
        <w:t xml:space="preserve"> </w:t>
      </w:r>
    </w:p>
    <w:p w:rsidR="00993CD9" w:rsidRPr="00364A8A" w:rsidRDefault="00993CD9" w:rsidP="00993CD9">
      <w:pPr>
        <w:spacing w:line="240" w:lineRule="auto"/>
        <w:ind w:firstLine="0"/>
        <w:jc w:val="left"/>
        <w:rPr>
          <w:rFonts w:ascii="Times New Roman" w:hAnsi="Times New Roman"/>
        </w:rPr>
      </w:pPr>
      <w:r>
        <w:rPr>
          <w:rFonts w:ascii="Times New Roman" w:hAnsi="Times New Roman"/>
        </w:rPr>
        <w:t>T</w:t>
      </w:r>
      <w:r w:rsidRPr="00364A8A">
        <w:rPr>
          <w:rFonts w:ascii="Times New Roman" w:hAnsi="Times New Roman"/>
        </w:rPr>
        <w:t xml:space="preserve">he goal of reducing the burden and costs that </w:t>
      </w:r>
      <w:r w:rsidR="00A658DA">
        <w:rPr>
          <w:rFonts w:ascii="Times New Roman" w:hAnsi="Times New Roman"/>
        </w:rPr>
        <w:t>PHAs</w:t>
      </w:r>
      <w:r w:rsidRPr="00364A8A">
        <w:rPr>
          <w:rFonts w:ascii="Times New Roman" w:hAnsi="Times New Roman"/>
        </w:rPr>
        <w:t xml:space="preserve"> incur in administering the current rent rules is one of the primary motivations in rent reform. Indeed, it was a major reason why the MTW </w:t>
      </w:r>
      <w:r w:rsidR="00A658DA">
        <w:rPr>
          <w:rFonts w:ascii="Times New Roman" w:hAnsi="Times New Roman"/>
        </w:rPr>
        <w:t>PHAs</w:t>
      </w:r>
      <w:r w:rsidRPr="00364A8A">
        <w:rPr>
          <w:rFonts w:ascii="Times New Roman" w:hAnsi="Times New Roman"/>
        </w:rPr>
        <w:t xml:space="preserve"> wanted to join MTW in the first place. </w:t>
      </w:r>
      <w:r w:rsidR="00A27AB8">
        <w:rPr>
          <w:rFonts w:ascii="Times New Roman" w:hAnsi="Times New Roman"/>
        </w:rPr>
        <w:t>As such</w:t>
      </w:r>
      <w:r w:rsidRPr="00364A8A">
        <w:rPr>
          <w:rFonts w:ascii="Times New Roman" w:hAnsi="Times New Roman"/>
        </w:rPr>
        <w:t xml:space="preserve">, the demonstration will assess to what extent the alternative rent model actually </w:t>
      </w:r>
      <w:r w:rsidRPr="00364A8A">
        <w:rPr>
          <w:rFonts w:ascii="Times New Roman" w:hAnsi="Times New Roman"/>
          <w:i/>
        </w:rPr>
        <w:t>simplifies</w:t>
      </w:r>
      <w:r w:rsidRPr="00364A8A">
        <w:rPr>
          <w:rFonts w:ascii="Times New Roman" w:hAnsi="Times New Roman"/>
        </w:rPr>
        <w:t xml:space="preserve"> the administration of rent subsidies, and improves </w:t>
      </w:r>
      <w:r w:rsidR="00A658DA" w:rsidRPr="0091798D">
        <w:rPr>
          <w:rFonts w:ascii="Times New Roman" w:hAnsi="Times New Roman"/>
          <w:i/>
        </w:rPr>
        <w:t>P</w:t>
      </w:r>
      <w:r>
        <w:rPr>
          <w:rFonts w:ascii="Times New Roman" w:hAnsi="Times New Roman"/>
          <w:i/>
        </w:rPr>
        <w:t>HA</w:t>
      </w:r>
      <w:r w:rsidRPr="00364A8A">
        <w:rPr>
          <w:rFonts w:ascii="Times New Roman" w:hAnsi="Times New Roman"/>
          <w:i/>
        </w:rPr>
        <w:t xml:space="preserve"> finances</w:t>
      </w:r>
      <w:r w:rsidRPr="00364A8A">
        <w:rPr>
          <w:rFonts w:ascii="Times New Roman" w:hAnsi="Times New Roman"/>
        </w:rPr>
        <w:t xml:space="preserve">, without placing undue burdens on residents. Related goals concern </w:t>
      </w:r>
      <w:r w:rsidR="00A658DA">
        <w:rPr>
          <w:rFonts w:ascii="Times New Roman" w:hAnsi="Times New Roman"/>
        </w:rPr>
        <w:t>PHAs</w:t>
      </w:r>
      <w:r w:rsidRPr="00364A8A">
        <w:rPr>
          <w:rFonts w:ascii="Times New Roman" w:hAnsi="Times New Roman"/>
        </w:rPr>
        <w:t xml:space="preserve">’ ability to stretch their budgets to serve more residents in need of housing assistance, such as by reducing average subsidy levels and the duration of subsidy receipt. </w:t>
      </w:r>
    </w:p>
    <w:p w:rsidR="00993CD9" w:rsidRPr="00364A8A" w:rsidRDefault="00993CD9" w:rsidP="00993CD9">
      <w:pPr>
        <w:spacing w:line="240" w:lineRule="auto"/>
        <w:jc w:val="left"/>
        <w:rPr>
          <w:rFonts w:ascii="Times New Roman" w:hAnsi="Times New Roman"/>
        </w:rPr>
      </w:pPr>
    </w:p>
    <w:p w:rsidR="00E80F50" w:rsidRPr="00364A8A" w:rsidRDefault="00E80F50" w:rsidP="008F2555">
      <w:pPr>
        <w:spacing w:line="240" w:lineRule="auto"/>
        <w:ind w:firstLine="0"/>
        <w:jc w:val="left"/>
        <w:rPr>
          <w:rFonts w:ascii="Times New Roman" w:hAnsi="Times New Roman"/>
        </w:rPr>
      </w:pPr>
      <w:r w:rsidRPr="00364A8A">
        <w:rPr>
          <w:rFonts w:ascii="Times New Roman" w:hAnsi="Times New Roman"/>
        </w:rPr>
        <w:t xml:space="preserve">The evaluation will address these important issues in the following ways:  </w:t>
      </w:r>
    </w:p>
    <w:p w:rsidR="00E80F50" w:rsidRPr="00364A8A" w:rsidRDefault="00E80F50" w:rsidP="00617C58">
      <w:pPr>
        <w:spacing w:line="240" w:lineRule="auto"/>
        <w:ind w:firstLine="720"/>
        <w:jc w:val="left"/>
        <w:rPr>
          <w:rFonts w:ascii="Times New Roman" w:hAnsi="Times New Roman"/>
          <w:b/>
        </w:rPr>
      </w:pPr>
    </w:p>
    <w:p w:rsidR="00E80F50" w:rsidRPr="0040474F" w:rsidRDefault="00E80F50" w:rsidP="008E1E3E">
      <w:pPr>
        <w:pStyle w:val="ListParagraph"/>
        <w:numPr>
          <w:ilvl w:val="0"/>
          <w:numId w:val="5"/>
        </w:numPr>
        <w:ind w:left="900"/>
      </w:pPr>
      <w:r w:rsidRPr="0040474F">
        <w:rPr>
          <w:b/>
        </w:rPr>
        <w:t xml:space="preserve">Document the alternative rent model </w:t>
      </w:r>
      <w:r w:rsidRPr="0040474F">
        <w:rPr>
          <w:b/>
          <w:i/>
        </w:rPr>
        <w:t>as implemented</w:t>
      </w:r>
      <w:r w:rsidRPr="0040474F">
        <w:rPr>
          <w:b/>
        </w:rPr>
        <w:t xml:space="preserve"> in practice. </w:t>
      </w:r>
      <w:r w:rsidR="0040474F">
        <w:t>The</w:t>
      </w:r>
      <w:r w:rsidRPr="00C96F58">
        <w:t xml:space="preserve"> alternative rent model </w:t>
      </w:r>
      <w:r w:rsidR="00A658DA">
        <w:t xml:space="preserve">and implementation strategy </w:t>
      </w:r>
      <w:r w:rsidR="0040474F">
        <w:t xml:space="preserve">were </w:t>
      </w:r>
      <w:r w:rsidR="00F811FD">
        <w:t xml:space="preserve">developed </w:t>
      </w:r>
      <w:r w:rsidR="0040474F">
        <w:t xml:space="preserve">and implemented at the </w:t>
      </w:r>
      <w:r w:rsidR="00A658DA">
        <w:t>four</w:t>
      </w:r>
      <w:r w:rsidR="00A658DA" w:rsidRPr="00C96F58">
        <w:t xml:space="preserve"> </w:t>
      </w:r>
      <w:r w:rsidRPr="00C96F58">
        <w:t xml:space="preserve">participating </w:t>
      </w:r>
      <w:r w:rsidR="00A658DA">
        <w:t>PHAs</w:t>
      </w:r>
      <w:r w:rsidR="0040474F">
        <w:t xml:space="preserve"> (District of Columbia Housing Authority, Lexington Housing Authority, </w:t>
      </w:r>
      <w:r w:rsidR="00CA1BBB">
        <w:t>LMHA</w:t>
      </w:r>
      <w:r w:rsidR="0040474F">
        <w:t>, and San Antonio Housing Authority)</w:t>
      </w:r>
      <w:r w:rsidR="00A658DA">
        <w:t>,</w:t>
      </w:r>
      <w:r w:rsidRPr="00C96F58">
        <w:t xml:space="preserve"> </w:t>
      </w:r>
      <w:r w:rsidR="00A658DA">
        <w:t xml:space="preserve">including any </w:t>
      </w:r>
      <w:r w:rsidRPr="00C96F58">
        <w:t>adapt</w:t>
      </w:r>
      <w:r w:rsidR="00A658DA">
        <w:t>ations of</w:t>
      </w:r>
      <w:r w:rsidRPr="00C96F58">
        <w:t xml:space="preserve"> the model to </w:t>
      </w:r>
      <w:r w:rsidR="00A658DA">
        <w:t>their</w:t>
      </w:r>
      <w:r w:rsidR="00A658DA" w:rsidRPr="00C96F58">
        <w:t xml:space="preserve"> </w:t>
      </w:r>
      <w:r w:rsidRPr="00C96F58">
        <w:t xml:space="preserve">local circumstances. The </w:t>
      </w:r>
      <w:r w:rsidR="00A658DA">
        <w:t>PHAs</w:t>
      </w:r>
      <w:r w:rsidRPr="00C96F58">
        <w:t xml:space="preserve">’ experiences in operating the model </w:t>
      </w:r>
      <w:r w:rsidR="0040474F">
        <w:t>varied</w:t>
      </w:r>
      <w:r w:rsidRPr="00C96F58">
        <w:t>, given their different administrative systems, organizational capacities, and local contexts</w:t>
      </w:r>
      <w:r w:rsidR="0040474F">
        <w:t>, but the main features of the model and implementation were consistent across all of the PHAs</w:t>
      </w:r>
      <w:r w:rsidR="00186B3B">
        <w:t>.</w:t>
      </w:r>
    </w:p>
    <w:p w:rsidR="00186B3B" w:rsidRDefault="00186B3B" w:rsidP="008E1E3E">
      <w:pPr>
        <w:spacing w:line="240" w:lineRule="auto"/>
        <w:ind w:left="900" w:hanging="360"/>
        <w:jc w:val="left"/>
        <w:rPr>
          <w:rFonts w:ascii="Times New Roman" w:hAnsi="Times New Roman"/>
        </w:rPr>
      </w:pPr>
    </w:p>
    <w:p w:rsidR="00E80F50" w:rsidRPr="00364A8A" w:rsidRDefault="00E80F50" w:rsidP="008E1E3E">
      <w:pPr>
        <w:tabs>
          <w:tab w:val="clear" w:pos="432"/>
        </w:tabs>
        <w:spacing w:line="240" w:lineRule="auto"/>
        <w:ind w:left="900" w:firstLine="0"/>
        <w:jc w:val="left"/>
        <w:rPr>
          <w:rFonts w:ascii="Times New Roman" w:hAnsi="Times New Roman"/>
        </w:rPr>
      </w:pPr>
      <w:r w:rsidRPr="00364A8A">
        <w:rPr>
          <w:rFonts w:ascii="Times New Roman" w:hAnsi="Times New Roman"/>
        </w:rPr>
        <w:t xml:space="preserve">Three components of the evaluation will document how the new rent policy is operationalized in each </w:t>
      </w:r>
      <w:r w:rsidR="00DF5ED3">
        <w:rPr>
          <w:rFonts w:ascii="Times New Roman" w:hAnsi="Times New Roman"/>
        </w:rPr>
        <w:t>P</w:t>
      </w:r>
      <w:r w:rsidR="007F1D4D">
        <w:rPr>
          <w:rFonts w:ascii="Times New Roman" w:hAnsi="Times New Roman"/>
        </w:rPr>
        <w:t>HA</w:t>
      </w:r>
      <w:r w:rsidRPr="00364A8A">
        <w:rPr>
          <w:rFonts w:ascii="Times New Roman" w:hAnsi="Times New Roman"/>
        </w:rPr>
        <w:t xml:space="preserve">: (1) </w:t>
      </w:r>
      <w:r w:rsidR="00A27AB8">
        <w:rPr>
          <w:rFonts w:ascii="Times New Roman" w:hAnsi="Times New Roman"/>
        </w:rPr>
        <w:t xml:space="preserve">research on the </w:t>
      </w:r>
      <w:r w:rsidR="004D172C" w:rsidRPr="00364A8A">
        <w:rPr>
          <w:rFonts w:ascii="Times New Roman" w:hAnsi="Times New Roman"/>
        </w:rPr>
        <w:t xml:space="preserve">implementation </w:t>
      </w:r>
      <w:r w:rsidR="00A27AB8">
        <w:rPr>
          <w:rFonts w:ascii="Times New Roman" w:hAnsi="Times New Roman"/>
        </w:rPr>
        <w:t>of the model</w:t>
      </w:r>
      <w:r w:rsidR="004D172C">
        <w:rPr>
          <w:rFonts w:ascii="Times New Roman" w:hAnsi="Times New Roman"/>
        </w:rPr>
        <w:t xml:space="preserve">; </w:t>
      </w:r>
      <w:r w:rsidRPr="00364A8A">
        <w:rPr>
          <w:rFonts w:ascii="Times New Roman" w:hAnsi="Times New Roman"/>
        </w:rPr>
        <w:t xml:space="preserve">(2) ongoing technical assistance </w:t>
      </w:r>
      <w:r w:rsidR="00A27AB8">
        <w:rPr>
          <w:rFonts w:ascii="Times New Roman" w:hAnsi="Times New Roman"/>
        </w:rPr>
        <w:t xml:space="preserve">and </w:t>
      </w:r>
      <w:r w:rsidRPr="00364A8A">
        <w:rPr>
          <w:rFonts w:ascii="Times New Roman" w:hAnsi="Times New Roman"/>
        </w:rPr>
        <w:t xml:space="preserve">monitoring efforts that </w:t>
      </w:r>
      <w:r w:rsidR="004001DE">
        <w:rPr>
          <w:rFonts w:ascii="Times New Roman" w:hAnsi="Times New Roman"/>
        </w:rPr>
        <w:t>began</w:t>
      </w:r>
      <w:r w:rsidRPr="00364A8A">
        <w:rPr>
          <w:rFonts w:ascii="Times New Roman" w:hAnsi="Times New Roman"/>
        </w:rPr>
        <w:t xml:space="preserve"> as part of TO1</w:t>
      </w:r>
      <w:r w:rsidR="0040474F">
        <w:rPr>
          <w:rFonts w:ascii="Times New Roman" w:hAnsi="Times New Roman"/>
        </w:rPr>
        <w:t xml:space="preserve"> and continued into TO2</w:t>
      </w:r>
      <w:r w:rsidRPr="00364A8A">
        <w:rPr>
          <w:rFonts w:ascii="Times New Roman" w:hAnsi="Times New Roman"/>
        </w:rPr>
        <w:t>; and</w:t>
      </w:r>
      <w:r w:rsidR="004D172C">
        <w:rPr>
          <w:rFonts w:ascii="Times New Roman" w:hAnsi="Times New Roman"/>
        </w:rPr>
        <w:t xml:space="preserve"> </w:t>
      </w:r>
      <w:r w:rsidR="002E7597">
        <w:rPr>
          <w:rFonts w:ascii="Times New Roman" w:hAnsi="Times New Roman"/>
        </w:rPr>
        <w:t xml:space="preserve">(3) </w:t>
      </w:r>
      <w:r w:rsidR="004D172C">
        <w:rPr>
          <w:rFonts w:ascii="Times New Roman" w:hAnsi="Times New Roman"/>
        </w:rPr>
        <w:t>a cost study</w:t>
      </w:r>
      <w:r w:rsidR="002E7597">
        <w:rPr>
          <w:rFonts w:ascii="Times New Roman" w:hAnsi="Times New Roman"/>
        </w:rPr>
        <w:t xml:space="preserve">. </w:t>
      </w:r>
      <w:r w:rsidRPr="00364A8A">
        <w:rPr>
          <w:rFonts w:ascii="Times New Roman" w:hAnsi="Times New Roman"/>
        </w:rPr>
        <w:t xml:space="preserve"> Data collected through these methods </w:t>
      </w:r>
      <w:r w:rsidR="00F811FD">
        <w:rPr>
          <w:rFonts w:ascii="Times New Roman" w:hAnsi="Times New Roman"/>
        </w:rPr>
        <w:t>(</w:t>
      </w:r>
      <w:r w:rsidRPr="00364A8A">
        <w:rPr>
          <w:rFonts w:ascii="Times New Roman" w:hAnsi="Times New Roman"/>
        </w:rPr>
        <w:t>which combine direct observations, interviews, and more standardized measurement</w:t>
      </w:r>
      <w:r w:rsidR="00F811FD">
        <w:rPr>
          <w:rFonts w:ascii="Times New Roman" w:hAnsi="Times New Roman"/>
        </w:rPr>
        <w:t>)</w:t>
      </w:r>
      <w:r w:rsidR="004001DE">
        <w:rPr>
          <w:rFonts w:ascii="Times New Roman" w:hAnsi="Times New Roman"/>
        </w:rPr>
        <w:t xml:space="preserve"> </w:t>
      </w:r>
      <w:r w:rsidR="00A27AB8">
        <w:rPr>
          <w:rFonts w:ascii="Times New Roman" w:hAnsi="Times New Roman"/>
        </w:rPr>
        <w:t>will</w:t>
      </w:r>
      <w:r w:rsidR="00A27AB8" w:rsidRPr="00364A8A">
        <w:rPr>
          <w:rFonts w:ascii="Times New Roman" w:hAnsi="Times New Roman"/>
        </w:rPr>
        <w:t xml:space="preserve"> </w:t>
      </w:r>
      <w:r w:rsidRPr="00364A8A">
        <w:rPr>
          <w:rFonts w:ascii="Times New Roman" w:hAnsi="Times New Roman"/>
        </w:rPr>
        <w:t xml:space="preserve">be used </w:t>
      </w:r>
      <w:r w:rsidR="00A27AB8">
        <w:rPr>
          <w:rFonts w:ascii="Times New Roman" w:hAnsi="Times New Roman"/>
        </w:rPr>
        <w:t xml:space="preserve">to </w:t>
      </w:r>
      <w:r w:rsidRPr="00364A8A">
        <w:rPr>
          <w:rFonts w:ascii="Times New Roman" w:hAnsi="Times New Roman"/>
        </w:rPr>
        <w:t>comput</w:t>
      </w:r>
      <w:r w:rsidR="00A27AB8">
        <w:rPr>
          <w:rFonts w:ascii="Times New Roman" w:hAnsi="Times New Roman"/>
        </w:rPr>
        <w:t>e</w:t>
      </w:r>
      <w:r w:rsidRPr="00364A8A">
        <w:rPr>
          <w:rFonts w:ascii="Times New Roman" w:hAnsi="Times New Roman"/>
        </w:rPr>
        <w:t xml:space="preserve"> the costs of operating the rent systems and in determining whether and how much the alternative system yielded costs savings. The data collection </w:t>
      </w:r>
      <w:r w:rsidR="00A27AB8">
        <w:rPr>
          <w:rFonts w:ascii="Times New Roman" w:hAnsi="Times New Roman"/>
        </w:rPr>
        <w:t>will</w:t>
      </w:r>
      <w:r w:rsidR="00A27AB8" w:rsidRPr="00364A8A">
        <w:rPr>
          <w:rFonts w:ascii="Times New Roman" w:hAnsi="Times New Roman"/>
        </w:rPr>
        <w:t xml:space="preserve"> </w:t>
      </w:r>
      <w:r w:rsidRPr="00364A8A">
        <w:rPr>
          <w:rFonts w:ascii="Times New Roman" w:hAnsi="Times New Roman"/>
        </w:rPr>
        <w:t xml:space="preserve">also include explorations of the choices </w:t>
      </w:r>
      <w:r w:rsidR="00A658DA">
        <w:rPr>
          <w:rFonts w:ascii="Times New Roman" w:hAnsi="Times New Roman"/>
        </w:rPr>
        <w:t>PHAs</w:t>
      </w:r>
      <w:r w:rsidRPr="00364A8A">
        <w:rPr>
          <w:rFonts w:ascii="Times New Roman" w:hAnsi="Times New Roman"/>
        </w:rPr>
        <w:t xml:space="preserve"> make, for example, with regard to hardship exemptions, and what procedures they establish to approve or deny exemption requests. The research will document the kinds of changes in administrative processes, including data management systems and software, income verification procedures, and staff deployment, all of which are crucial for understanding whether the new policies simplify or complicate rent administration for the </w:t>
      </w:r>
      <w:r w:rsidR="00A658DA">
        <w:rPr>
          <w:rFonts w:ascii="Times New Roman" w:hAnsi="Times New Roman"/>
        </w:rPr>
        <w:t>PHAs</w:t>
      </w:r>
      <w:r w:rsidRPr="00364A8A">
        <w:rPr>
          <w:rFonts w:ascii="Times New Roman" w:hAnsi="Times New Roman"/>
        </w:rPr>
        <w:t xml:space="preserve">, and whether strategies adopted by some </w:t>
      </w:r>
      <w:r w:rsidR="00A658DA">
        <w:rPr>
          <w:rFonts w:ascii="Times New Roman" w:hAnsi="Times New Roman"/>
        </w:rPr>
        <w:t>PHAs</w:t>
      </w:r>
      <w:r w:rsidRPr="00364A8A">
        <w:rPr>
          <w:rFonts w:ascii="Times New Roman" w:hAnsi="Times New Roman"/>
        </w:rPr>
        <w:t xml:space="preserve"> are more efficient and accurate than others and worthy of emulation. This documentation </w:t>
      </w:r>
      <w:r w:rsidR="004001DE">
        <w:rPr>
          <w:rFonts w:ascii="Times New Roman" w:hAnsi="Times New Roman"/>
        </w:rPr>
        <w:t>began</w:t>
      </w:r>
      <w:r w:rsidRPr="00364A8A">
        <w:rPr>
          <w:rFonts w:ascii="Times New Roman" w:hAnsi="Times New Roman"/>
        </w:rPr>
        <w:t xml:space="preserve"> under TO1</w:t>
      </w:r>
      <w:r w:rsidR="006D21C2">
        <w:rPr>
          <w:rFonts w:ascii="Times New Roman" w:hAnsi="Times New Roman"/>
        </w:rPr>
        <w:t xml:space="preserve"> and continues under TO2</w:t>
      </w:r>
      <w:r w:rsidR="00A27AB8">
        <w:rPr>
          <w:rFonts w:ascii="Times New Roman" w:hAnsi="Times New Roman"/>
        </w:rPr>
        <w:t xml:space="preserve"> using </w:t>
      </w:r>
      <w:r w:rsidRPr="00364A8A">
        <w:rPr>
          <w:rFonts w:ascii="Times New Roman" w:hAnsi="Times New Roman"/>
        </w:rPr>
        <w:t xml:space="preserve">the information we </w:t>
      </w:r>
      <w:r w:rsidR="004001DE">
        <w:rPr>
          <w:rFonts w:ascii="Times New Roman" w:hAnsi="Times New Roman"/>
        </w:rPr>
        <w:t xml:space="preserve">are </w:t>
      </w:r>
      <w:r w:rsidRPr="00364A8A">
        <w:rPr>
          <w:rFonts w:ascii="Times New Roman" w:hAnsi="Times New Roman"/>
        </w:rPr>
        <w:t>collect</w:t>
      </w:r>
      <w:r w:rsidR="004001DE">
        <w:rPr>
          <w:rFonts w:ascii="Times New Roman" w:hAnsi="Times New Roman"/>
        </w:rPr>
        <w:t>ing</w:t>
      </w:r>
      <w:r w:rsidRPr="00364A8A">
        <w:rPr>
          <w:rFonts w:ascii="Times New Roman" w:hAnsi="Times New Roman"/>
        </w:rPr>
        <w:t xml:space="preserve"> through our technical assistance to help </w:t>
      </w:r>
      <w:r w:rsidR="00A658DA">
        <w:rPr>
          <w:rFonts w:ascii="Times New Roman" w:hAnsi="Times New Roman"/>
        </w:rPr>
        <w:t>PHAs</w:t>
      </w:r>
      <w:r w:rsidRPr="00364A8A">
        <w:rPr>
          <w:rFonts w:ascii="Times New Roman" w:hAnsi="Times New Roman"/>
        </w:rPr>
        <w:t xml:space="preserve"> implement the new policies and set up random assignment. Future data collection efforts will be expected to generate richer data for systematic comparisons of site implementation experiences and practices. </w:t>
      </w:r>
    </w:p>
    <w:p w:rsidR="00E80F50" w:rsidRPr="00364A8A" w:rsidRDefault="00E80F50" w:rsidP="008E1E3E">
      <w:pPr>
        <w:spacing w:line="240" w:lineRule="auto"/>
        <w:ind w:left="900" w:hanging="360"/>
        <w:jc w:val="left"/>
        <w:rPr>
          <w:rFonts w:ascii="Times New Roman" w:hAnsi="Times New Roman"/>
        </w:rPr>
      </w:pPr>
      <w:r w:rsidRPr="00364A8A">
        <w:rPr>
          <w:rFonts w:ascii="Times New Roman" w:hAnsi="Times New Roman"/>
        </w:rPr>
        <w:t xml:space="preserve"> </w:t>
      </w:r>
    </w:p>
    <w:p w:rsidR="00E80F50" w:rsidRPr="00364A8A" w:rsidRDefault="00E80F50" w:rsidP="008E1E3E">
      <w:pPr>
        <w:numPr>
          <w:ilvl w:val="0"/>
          <w:numId w:val="4"/>
        </w:numPr>
        <w:tabs>
          <w:tab w:val="clear" w:pos="432"/>
        </w:tabs>
        <w:spacing w:line="240" w:lineRule="auto"/>
        <w:ind w:left="900"/>
        <w:jc w:val="left"/>
        <w:rPr>
          <w:rFonts w:ascii="Times New Roman" w:hAnsi="Times New Roman"/>
        </w:rPr>
      </w:pPr>
      <w:r w:rsidRPr="00364A8A">
        <w:rPr>
          <w:rFonts w:ascii="Times New Roman" w:hAnsi="Times New Roman"/>
          <w:b/>
          <w:bCs/>
        </w:rPr>
        <w:t xml:space="preserve">Measuring effects on tenant turnover and the availability of vouchers. </w:t>
      </w:r>
      <w:r w:rsidRPr="00364A8A">
        <w:rPr>
          <w:rFonts w:ascii="Times New Roman" w:hAnsi="Times New Roman"/>
        </w:rPr>
        <w:t xml:space="preserve">Changes in the rent rules could change tenant turnover in a number of ways. First, they may increase earnings and income and, in turn, </w:t>
      </w:r>
      <w:r w:rsidRPr="00364A8A">
        <w:rPr>
          <w:rFonts w:ascii="Times New Roman" w:hAnsi="Times New Roman"/>
          <w:i/>
        </w:rPr>
        <w:t>increase</w:t>
      </w:r>
      <w:r w:rsidRPr="00364A8A">
        <w:rPr>
          <w:rFonts w:ascii="Times New Roman" w:hAnsi="Times New Roman"/>
        </w:rPr>
        <w:t xml:space="preserve"> or hasten exits from vouchers. But, second, and in contrast, the new rent policy could </w:t>
      </w:r>
      <w:r w:rsidRPr="00364A8A">
        <w:rPr>
          <w:rFonts w:ascii="Times New Roman" w:hAnsi="Times New Roman"/>
          <w:i/>
        </w:rPr>
        <w:t>reduce</w:t>
      </w:r>
      <w:r w:rsidRPr="00364A8A">
        <w:rPr>
          <w:rFonts w:ascii="Times New Roman" w:hAnsi="Times New Roman"/>
        </w:rPr>
        <w:t xml:space="preserve"> tenant turnover if more voucher holders come to view voucher receipt as more </w:t>
      </w:r>
      <w:r w:rsidRPr="00601C87">
        <w:rPr>
          <w:rFonts w:ascii="Times New Roman" w:hAnsi="Times New Roman"/>
        </w:rPr>
        <w:t>attractive than unsubsidized housing on the private market than they would otherwise view it</w:t>
      </w:r>
      <w:r w:rsidR="006D21C2" w:rsidRPr="00601C87">
        <w:rPr>
          <w:rFonts w:ascii="Times New Roman" w:hAnsi="Times New Roman"/>
        </w:rPr>
        <w:t xml:space="preserve"> or because the triennial recertification reduces household contact with the PHA and, therefore, could lead to less turnover</w:t>
      </w:r>
      <w:r w:rsidRPr="00601C87">
        <w:rPr>
          <w:rFonts w:ascii="Times New Roman" w:hAnsi="Times New Roman"/>
        </w:rPr>
        <w:t>.</w:t>
      </w:r>
      <w:r w:rsidRPr="00364A8A">
        <w:rPr>
          <w:rFonts w:ascii="Times New Roman" w:hAnsi="Times New Roman"/>
        </w:rPr>
        <w:t xml:space="preserve"> As described later, we w</w:t>
      </w:r>
      <w:r w:rsidR="006D21C2">
        <w:rPr>
          <w:rFonts w:ascii="Times New Roman" w:hAnsi="Times New Roman"/>
        </w:rPr>
        <w:t>ill</w:t>
      </w:r>
      <w:r w:rsidRPr="00364A8A">
        <w:rPr>
          <w:rFonts w:ascii="Times New Roman" w:hAnsi="Times New Roman"/>
        </w:rPr>
        <w:t xml:space="preserve"> compare lengths of stay and reasons for exit for the program and control groups, and we </w:t>
      </w:r>
      <w:r w:rsidR="006D21C2" w:rsidRPr="00364A8A">
        <w:rPr>
          <w:rFonts w:ascii="Times New Roman" w:hAnsi="Times New Roman"/>
        </w:rPr>
        <w:t>w</w:t>
      </w:r>
      <w:r w:rsidR="006D21C2">
        <w:rPr>
          <w:rFonts w:ascii="Times New Roman" w:hAnsi="Times New Roman"/>
        </w:rPr>
        <w:t>ill</w:t>
      </w:r>
      <w:r w:rsidR="006D21C2" w:rsidRPr="00364A8A">
        <w:rPr>
          <w:rFonts w:ascii="Times New Roman" w:hAnsi="Times New Roman"/>
        </w:rPr>
        <w:t xml:space="preserve"> </w:t>
      </w:r>
      <w:r w:rsidRPr="00364A8A">
        <w:rPr>
          <w:rFonts w:ascii="Times New Roman" w:hAnsi="Times New Roman"/>
        </w:rPr>
        <w:t xml:space="preserve">try to discern the relative influence of different factors on that impact. </w:t>
      </w:r>
    </w:p>
    <w:p w:rsidR="007F1D4D" w:rsidRDefault="007F1D4D" w:rsidP="008E1E3E">
      <w:pPr>
        <w:pStyle w:val="ListParagraph"/>
        <w:ind w:left="900" w:hanging="360"/>
        <w:rPr>
          <w:rFonts w:eastAsia="Times New Roman"/>
        </w:rPr>
      </w:pPr>
    </w:p>
    <w:p w:rsidR="00E80F50" w:rsidRPr="00364A8A" w:rsidRDefault="00E80F50" w:rsidP="008E1E3E">
      <w:pPr>
        <w:numPr>
          <w:ilvl w:val="0"/>
          <w:numId w:val="4"/>
        </w:numPr>
        <w:spacing w:line="240" w:lineRule="auto"/>
        <w:ind w:left="900"/>
        <w:jc w:val="left"/>
        <w:rPr>
          <w:rFonts w:ascii="Times New Roman" w:hAnsi="Times New Roman"/>
        </w:rPr>
      </w:pPr>
      <w:r w:rsidRPr="00364A8A">
        <w:rPr>
          <w:rFonts w:ascii="Times New Roman" w:hAnsi="Times New Roman"/>
          <w:b/>
          <w:bCs/>
        </w:rPr>
        <w:t xml:space="preserve">Effects on tenants’ housing-related hardships. </w:t>
      </w:r>
      <w:r w:rsidRPr="00364A8A">
        <w:rPr>
          <w:rFonts w:ascii="Times New Roman" w:hAnsi="Times New Roman"/>
        </w:rPr>
        <w:t xml:space="preserve">Changes in the rent rules affect tenants’ rent burden and thus their likelihood of being evicted or having their utilities shut off. For example, families at the lower end of the income distribution may strain to afford a high minimum rent, or those with higher incomes may fall into arrears if their income drops, unless adequate </w:t>
      </w:r>
      <w:r w:rsidR="00524668">
        <w:rPr>
          <w:rFonts w:ascii="Times New Roman" w:hAnsi="Times New Roman"/>
        </w:rPr>
        <w:t xml:space="preserve">hardship </w:t>
      </w:r>
      <w:r w:rsidRPr="00364A8A">
        <w:rPr>
          <w:rFonts w:ascii="Times New Roman" w:hAnsi="Times New Roman"/>
        </w:rPr>
        <w:t xml:space="preserve">protections are included in the rent policy. As described below, we </w:t>
      </w:r>
      <w:r w:rsidR="006D21C2" w:rsidRPr="00364A8A">
        <w:rPr>
          <w:rFonts w:ascii="Times New Roman" w:hAnsi="Times New Roman"/>
        </w:rPr>
        <w:t>w</w:t>
      </w:r>
      <w:r w:rsidR="006D21C2">
        <w:rPr>
          <w:rFonts w:ascii="Times New Roman" w:hAnsi="Times New Roman"/>
        </w:rPr>
        <w:t>ill</w:t>
      </w:r>
      <w:r w:rsidR="006D21C2" w:rsidRPr="00364A8A">
        <w:rPr>
          <w:rFonts w:ascii="Times New Roman" w:hAnsi="Times New Roman"/>
        </w:rPr>
        <w:t xml:space="preserve"> </w:t>
      </w:r>
      <w:r w:rsidRPr="00364A8A">
        <w:rPr>
          <w:rFonts w:ascii="Times New Roman" w:hAnsi="Times New Roman"/>
        </w:rPr>
        <w:t xml:space="preserve">assess the effects on housing hardships and rent burden in the impact analysis, comparing rates of several dimensions of material hardship and also eviction rates for families in the program and control groups. We will do this for all families and for certain subgroups of families thought to be most at risk for these hardships. </w:t>
      </w:r>
    </w:p>
    <w:p w:rsidR="007F1D4D" w:rsidRDefault="007F1D4D" w:rsidP="008E1E3E">
      <w:pPr>
        <w:pStyle w:val="ListParagraph"/>
        <w:ind w:left="900" w:hanging="360"/>
        <w:rPr>
          <w:rFonts w:eastAsia="Times New Roman"/>
        </w:rPr>
      </w:pPr>
    </w:p>
    <w:p w:rsidR="00075139" w:rsidRPr="007F1D4D" w:rsidRDefault="00075139" w:rsidP="008E1E3E">
      <w:pPr>
        <w:pStyle w:val="ListParagraph"/>
        <w:numPr>
          <w:ilvl w:val="0"/>
          <w:numId w:val="4"/>
        </w:numPr>
        <w:ind w:left="900"/>
      </w:pPr>
      <w:r w:rsidRPr="00E80F50">
        <w:rPr>
          <w:b/>
          <w:bCs/>
        </w:rPr>
        <w:t xml:space="preserve">Effects on </w:t>
      </w:r>
      <w:r w:rsidR="00A658DA">
        <w:rPr>
          <w:b/>
          <w:bCs/>
        </w:rPr>
        <w:t>PHAs</w:t>
      </w:r>
      <w:r w:rsidRPr="00E80F50">
        <w:rPr>
          <w:b/>
          <w:bCs/>
        </w:rPr>
        <w:t>’ costs and ability to serve</w:t>
      </w:r>
      <w:r w:rsidRPr="00C96F58">
        <w:rPr>
          <w:b/>
          <w:bCs/>
        </w:rPr>
        <w:t xml:space="preserve"> more eligible families. </w:t>
      </w:r>
      <w:r w:rsidRPr="00C96F58">
        <w:t>The effect of rent reform on tenant turnover is a key question because it concerns</w:t>
      </w:r>
      <w:r w:rsidR="00AB47A6">
        <w:t>,</w:t>
      </w:r>
      <w:r w:rsidRPr="00C96F58">
        <w:t xml:space="preserve"> not only the well-being of families with vouchers, but also the number of families </w:t>
      </w:r>
      <w:r w:rsidR="00A658DA">
        <w:t>PHAs</w:t>
      </w:r>
      <w:r w:rsidRPr="00C96F58">
        <w:t xml:space="preserve"> can afford to serve with a given budget. </w:t>
      </w:r>
      <w:r w:rsidRPr="007F1D4D">
        <w:rPr>
          <w:bCs/>
        </w:rPr>
        <w:t xml:space="preserve">In theory, a new rent policy may allow </w:t>
      </w:r>
      <w:r w:rsidR="00A658DA">
        <w:rPr>
          <w:bCs/>
        </w:rPr>
        <w:t>PHAs</w:t>
      </w:r>
      <w:r w:rsidRPr="007F1D4D">
        <w:rPr>
          <w:bCs/>
        </w:rPr>
        <w:t xml:space="preserve"> to stretch their budgets and fund subsidies for more families by causing </w:t>
      </w:r>
      <w:r w:rsidRPr="007F1D4D">
        <w:t xml:space="preserve">tenants’ earnings to grow and/or more directly by reducing the amount of subsidy offered over time.  </w:t>
      </w:r>
    </w:p>
    <w:p w:rsidR="00075139" w:rsidRDefault="00075139" w:rsidP="008E1E3E">
      <w:pPr>
        <w:pStyle w:val="ListParagraph"/>
        <w:ind w:left="900" w:hanging="360"/>
      </w:pPr>
    </w:p>
    <w:p w:rsidR="00075139" w:rsidRPr="007F1D4D" w:rsidRDefault="00075139" w:rsidP="008E1E3E">
      <w:pPr>
        <w:pStyle w:val="ListParagraph"/>
        <w:ind w:left="900"/>
        <w:rPr>
          <w:bCs/>
        </w:rPr>
      </w:pPr>
      <w:r w:rsidRPr="007F1D4D">
        <w:t xml:space="preserve">Alternatively, some policies could end up increasing rather than reducing </w:t>
      </w:r>
      <w:r w:rsidR="00A658DA">
        <w:t>PHAs</w:t>
      </w:r>
      <w:r w:rsidRPr="007F1D4D">
        <w:t xml:space="preserve">’ costs. That might be the case, for example, if the policy </w:t>
      </w:r>
      <w:r>
        <w:t xml:space="preserve">causes some tenants to work less than they might have otherwise (e.g., because of a fear of the implications of the loss of deductions such as child care), despite the fact that they have a greater economic incentive to work in the following three years, while also having no effect on other tenants’ work rates. If that’s the case, </w:t>
      </w:r>
      <w:r w:rsidRPr="00010FEB">
        <w:t xml:space="preserve">(relative to the 30-percent rule) </w:t>
      </w:r>
      <w:r>
        <w:t xml:space="preserve">the aggregate amount of tenant contributions would be lower at the end of the three-year rent-freeze period and heading into the subsequent period, </w:t>
      </w:r>
      <w:r w:rsidRPr="00010FEB">
        <w:t xml:space="preserve">thus </w:t>
      </w:r>
      <w:r w:rsidRPr="00375C2A">
        <w:rPr>
          <w:i/>
        </w:rPr>
        <w:t>costing</w:t>
      </w:r>
      <w:r w:rsidRPr="00364A8A">
        <w:t xml:space="preserve"> the</w:t>
      </w:r>
      <w:r w:rsidR="006E419F">
        <w:t xml:space="preserve"> PHA </w:t>
      </w:r>
      <w:r w:rsidRPr="007F1D4D">
        <w:t>more in subsidies</w:t>
      </w:r>
      <w:r>
        <w:t xml:space="preserve">. Although this result is not anticipated, it cannot be ruled out. The evaluation will determine whether it in fact occurs, or whether, as hoped, the new policy produces increases in tenant work effort. </w:t>
      </w:r>
      <w:r w:rsidRPr="00C96F58">
        <w:rPr>
          <w:bCs/>
        </w:rPr>
        <w:t>Whether or not a new policy is budget-neutral, and whether it achieves the broader goals of rent reform, will depe</w:t>
      </w:r>
      <w:r w:rsidRPr="007F1D4D">
        <w:rPr>
          <w:bCs/>
        </w:rPr>
        <w:t xml:space="preserve">nd to a very important extent on the changes it causes in participants’ labor market and housing decisions. </w:t>
      </w:r>
    </w:p>
    <w:p w:rsidR="00075139" w:rsidRPr="007F1D4D" w:rsidRDefault="00075139" w:rsidP="008E1E3E">
      <w:pPr>
        <w:pStyle w:val="ListParagraph"/>
        <w:ind w:left="900" w:hanging="360"/>
        <w:rPr>
          <w:bCs/>
        </w:rPr>
      </w:pPr>
    </w:p>
    <w:p w:rsidR="00075139" w:rsidRPr="00364A8A" w:rsidRDefault="00075139" w:rsidP="008E1E3E">
      <w:pPr>
        <w:numPr>
          <w:ilvl w:val="0"/>
          <w:numId w:val="4"/>
        </w:numPr>
        <w:spacing w:line="240" w:lineRule="auto"/>
        <w:ind w:left="900"/>
        <w:jc w:val="left"/>
        <w:rPr>
          <w:rFonts w:ascii="Times New Roman" w:hAnsi="Times New Roman"/>
          <w:bCs/>
        </w:rPr>
      </w:pPr>
      <w:r w:rsidRPr="00364A8A">
        <w:rPr>
          <w:rFonts w:ascii="Times New Roman" w:hAnsi="Times New Roman"/>
          <w:b/>
        </w:rPr>
        <w:t>Administrative reforms and</w:t>
      </w:r>
      <w:r w:rsidR="006E419F">
        <w:rPr>
          <w:rFonts w:ascii="Times New Roman" w:hAnsi="Times New Roman"/>
          <w:b/>
        </w:rPr>
        <w:t xml:space="preserve"> PHA </w:t>
      </w:r>
      <w:r w:rsidRPr="00364A8A">
        <w:rPr>
          <w:rFonts w:ascii="Times New Roman" w:hAnsi="Times New Roman"/>
          <w:b/>
        </w:rPr>
        <w:t xml:space="preserve">cost savings. </w:t>
      </w:r>
      <w:r>
        <w:rPr>
          <w:rFonts w:ascii="Times New Roman" w:hAnsi="Times New Roman"/>
        </w:rPr>
        <w:t>The alternative rent policy should reduce the administrative burden on the housing a</w:t>
      </w:r>
      <w:r w:rsidR="004E5E4F">
        <w:rPr>
          <w:rFonts w:ascii="Times New Roman" w:hAnsi="Times New Roman"/>
        </w:rPr>
        <w:t>gency</w:t>
      </w:r>
      <w:r>
        <w:rPr>
          <w:rFonts w:ascii="Times New Roman" w:hAnsi="Times New Roman"/>
        </w:rPr>
        <w:t xml:space="preserve"> because it should be simpler to administer and require fewer tenant-staff interactions. This should produce administrative cost savings. </w:t>
      </w:r>
      <w:r w:rsidRPr="00364A8A">
        <w:rPr>
          <w:rFonts w:ascii="Times New Roman" w:hAnsi="Times New Roman"/>
        </w:rPr>
        <w:t xml:space="preserve"> It will thus be important </w:t>
      </w:r>
      <w:r w:rsidR="00AB47A6">
        <w:rPr>
          <w:rFonts w:ascii="Times New Roman" w:hAnsi="Times New Roman"/>
        </w:rPr>
        <w:t xml:space="preserve">to </w:t>
      </w:r>
      <w:r w:rsidRPr="00364A8A">
        <w:rPr>
          <w:rFonts w:ascii="Times New Roman" w:hAnsi="Times New Roman"/>
        </w:rPr>
        <w:t>document how the changes in rent policy affect a variety of administrative processes</w:t>
      </w:r>
      <w:r>
        <w:rPr>
          <w:rFonts w:ascii="Times New Roman" w:hAnsi="Times New Roman"/>
        </w:rPr>
        <w:t xml:space="preserve"> and the extent to which there is any offsetting increase in the administrative burden of dealing with hardship cases un</w:t>
      </w:r>
      <w:r w:rsidR="00911792">
        <w:rPr>
          <w:rFonts w:ascii="Times New Roman" w:hAnsi="Times New Roman"/>
        </w:rPr>
        <w:t>d</w:t>
      </w:r>
      <w:r>
        <w:rPr>
          <w:rFonts w:ascii="Times New Roman" w:hAnsi="Times New Roman"/>
        </w:rPr>
        <w:t xml:space="preserve">er the new policy. </w:t>
      </w:r>
      <w:r w:rsidRPr="00364A8A">
        <w:rPr>
          <w:rFonts w:ascii="Times New Roman" w:hAnsi="Times New Roman"/>
        </w:rPr>
        <w:t xml:space="preserve"> </w:t>
      </w:r>
    </w:p>
    <w:p w:rsidR="00075139" w:rsidRPr="00E80F50" w:rsidRDefault="00075139" w:rsidP="008E1E3E">
      <w:pPr>
        <w:pStyle w:val="ListParagraph"/>
        <w:ind w:left="900" w:hanging="360"/>
        <w:rPr>
          <w:b/>
          <w:bCs/>
        </w:rPr>
      </w:pPr>
    </w:p>
    <w:p w:rsidR="00075139" w:rsidRPr="00364A8A" w:rsidRDefault="00075139" w:rsidP="008E1E3E">
      <w:pPr>
        <w:numPr>
          <w:ilvl w:val="0"/>
          <w:numId w:val="4"/>
        </w:numPr>
        <w:spacing w:line="240" w:lineRule="auto"/>
        <w:ind w:left="900"/>
        <w:jc w:val="left"/>
        <w:rPr>
          <w:rFonts w:ascii="Times New Roman" w:hAnsi="Times New Roman"/>
        </w:rPr>
      </w:pPr>
      <w:r w:rsidRPr="00364A8A">
        <w:rPr>
          <w:rFonts w:ascii="Times New Roman" w:hAnsi="Times New Roman"/>
          <w:b/>
        </w:rPr>
        <w:t>Assessing administrative efficiencies with an eye toward “scaling-up</w:t>
      </w:r>
      <w:r>
        <w:rPr>
          <w:rFonts w:ascii="Times New Roman" w:hAnsi="Times New Roman"/>
          <w:b/>
        </w:rPr>
        <w:t>.</w:t>
      </w:r>
      <w:r w:rsidRPr="00364A8A">
        <w:rPr>
          <w:rFonts w:ascii="Times New Roman" w:hAnsi="Times New Roman"/>
          <w:b/>
        </w:rPr>
        <w:t xml:space="preserve">” </w:t>
      </w:r>
      <w:r w:rsidRPr="00364A8A">
        <w:rPr>
          <w:rFonts w:ascii="Times New Roman" w:hAnsi="Times New Roman"/>
        </w:rPr>
        <w:t xml:space="preserve">In any demonstration project, one must be concerned that the ways of operating a program or policy as a special research initiative may not mirror the ways it would operate as a scaled-up policy. In the </w:t>
      </w:r>
      <w:r w:rsidR="004001DE">
        <w:rPr>
          <w:rFonts w:ascii="Times New Roman" w:hAnsi="Times New Roman"/>
        </w:rPr>
        <w:t>R</w:t>
      </w:r>
      <w:r w:rsidRPr="00364A8A">
        <w:rPr>
          <w:rFonts w:ascii="Times New Roman" w:hAnsi="Times New Roman"/>
        </w:rPr>
        <w:t xml:space="preserve">ent </w:t>
      </w:r>
      <w:r w:rsidR="004001DE">
        <w:rPr>
          <w:rFonts w:ascii="Times New Roman" w:hAnsi="Times New Roman"/>
        </w:rPr>
        <w:t>R</w:t>
      </w:r>
      <w:r w:rsidRPr="00364A8A">
        <w:rPr>
          <w:rFonts w:ascii="Times New Roman" w:hAnsi="Times New Roman"/>
        </w:rPr>
        <w:t xml:space="preserve">eform </w:t>
      </w:r>
      <w:r w:rsidR="004001DE">
        <w:rPr>
          <w:rFonts w:ascii="Times New Roman" w:hAnsi="Times New Roman"/>
        </w:rPr>
        <w:t>D</w:t>
      </w:r>
      <w:r w:rsidRPr="00364A8A">
        <w:rPr>
          <w:rFonts w:ascii="Times New Roman" w:hAnsi="Times New Roman"/>
        </w:rPr>
        <w:t xml:space="preserve">emonstration, the </w:t>
      </w:r>
      <w:r w:rsidR="00A658DA">
        <w:rPr>
          <w:rFonts w:ascii="Times New Roman" w:hAnsi="Times New Roman"/>
        </w:rPr>
        <w:t>PHAs</w:t>
      </w:r>
      <w:r w:rsidRPr="00364A8A">
        <w:rPr>
          <w:rFonts w:ascii="Times New Roman" w:hAnsi="Times New Roman"/>
        </w:rPr>
        <w:t xml:space="preserve"> will be required to operate </w:t>
      </w:r>
      <w:r w:rsidRPr="00364A8A">
        <w:rPr>
          <w:rFonts w:ascii="Times New Roman" w:hAnsi="Times New Roman"/>
          <w:i/>
        </w:rPr>
        <w:t>dual</w:t>
      </w:r>
      <w:r w:rsidRPr="00364A8A">
        <w:rPr>
          <w:rFonts w:ascii="Times New Roman" w:hAnsi="Times New Roman"/>
        </w:rPr>
        <w:t xml:space="preserve"> rent systems – the current income-based system plus an alternative system. At the very least, this means that the </w:t>
      </w:r>
      <w:r w:rsidR="00A658DA">
        <w:rPr>
          <w:rFonts w:ascii="Times New Roman" w:hAnsi="Times New Roman"/>
        </w:rPr>
        <w:t>PHAs</w:t>
      </w:r>
      <w:r w:rsidRPr="00364A8A">
        <w:rPr>
          <w:rFonts w:ascii="Times New Roman" w:hAnsi="Times New Roman"/>
        </w:rPr>
        <w:t xml:space="preserve"> will not be able to achieve the same efficiencies and economies of scale with the hybrid system as they could if the new policy were operated at full-scale for all voucher recipients.  </w:t>
      </w:r>
    </w:p>
    <w:p w:rsidR="00075139" w:rsidRPr="00E80F50" w:rsidRDefault="00075139" w:rsidP="008E1E3E">
      <w:pPr>
        <w:pStyle w:val="ListParagraph"/>
        <w:ind w:left="900" w:hanging="360"/>
      </w:pPr>
    </w:p>
    <w:p w:rsidR="00075139" w:rsidRPr="00010FEB" w:rsidRDefault="00075139" w:rsidP="008E1E3E">
      <w:pPr>
        <w:pStyle w:val="ListParagraph"/>
        <w:ind w:left="900"/>
      </w:pPr>
      <w:r w:rsidRPr="00C96F58">
        <w:t>Although it is not possible to avoid this problem in the context of the demonstration, we propo</w:t>
      </w:r>
      <w:r w:rsidRPr="007F1D4D">
        <w:t xml:space="preserve">se to include as part of a longer-term implementation study an assessment of where further operational efficiencies could be achieved if the rent policy were implemented at scale. For example, we would look for ways in which everything from staff deployment to information systems could be modified or consolidated if the </w:t>
      </w:r>
      <w:r>
        <w:t>new</w:t>
      </w:r>
      <w:r w:rsidRPr="007F1D4D">
        <w:t xml:space="preserve"> policy were adopted wholesale</w:t>
      </w:r>
      <w:r>
        <w:t>.</w:t>
      </w:r>
      <w:r w:rsidRPr="007F1D4D">
        <w:t xml:space="preserve"> </w:t>
      </w:r>
    </w:p>
    <w:p w:rsidR="00075139" w:rsidRPr="00375C2A" w:rsidRDefault="00075139" w:rsidP="008E1E3E">
      <w:pPr>
        <w:pStyle w:val="ListParagraph"/>
        <w:ind w:left="540"/>
      </w:pPr>
    </w:p>
    <w:p w:rsidR="00E80F50" w:rsidRPr="008E1E3E" w:rsidRDefault="00E80F50" w:rsidP="00290413">
      <w:pPr>
        <w:pStyle w:val="ListParagraph"/>
        <w:ind w:left="540"/>
        <w:rPr>
          <w:rFonts w:ascii="Helvetica" w:hAnsi="Helvetica"/>
          <w:b/>
        </w:rPr>
      </w:pPr>
      <w:r w:rsidRPr="008E1E3E">
        <w:rPr>
          <w:rFonts w:ascii="Helvetica" w:hAnsi="Helvetica"/>
          <w:b/>
        </w:rPr>
        <w:t xml:space="preserve">B. </w:t>
      </w:r>
      <w:r w:rsidR="00290413">
        <w:rPr>
          <w:rFonts w:ascii="Helvetica" w:hAnsi="Helvetica"/>
          <w:b/>
        </w:rPr>
        <w:t xml:space="preserve">  </w:t>
      </w:r>
      <w:r w:rsidRPr="008E1E3E">
        <w:rPr>
          <w:rFonts w:ascii="Helvetica" w:hAnsi="Helvetica"/>
          <w:b/>
        </w:rPr>
        <w:t xml:space="preserve">Research questions concerning individuals and families </w:t>
      </w:r>
    </w:p>
    <w:p w:rsidR="00E80F50" w:rsidRPr="007F1D4D" w:rsidRDefault="00E80F50" w:rsidP="00617C58">
      <w:pPr>
        <w:pStyle w:val="ListParagraph"/>
        <w:ind w:left="0"/>
        <w:rPr>
          <w:b/>
        </w:rPr>
      </w:pPr>
    </w:p>
    <w:p w:rsidR="00E80F50" w:rsidRPr="00A90552" w:rsidRDefault="00E80F50" w:rsidP="00617C58">
      <w:pPr>
        <w:pStyle w:val="ListParagraph"/>
        <w:ind w:left="0"/>
      </w:pPr>
      <w:r w:rsidRPr="007F1D4D">
        <w:t xml:space="preserve">A premise behind many rent reform proposals is that the reforms will benefit assisted families as </w:t>
      </w:r>
      <w:r w:rsidRPr="00A90552">
        <w:t xml:space="preserve">well as </w:t>
      </w:r>
      <w:r w:rsidR="00A658DA" w:rsidRPr="00A90552">
        <w:t>PHAs</w:t>
      </w:r>
      <w:r w:rsidRPr="00A90552">
        <w:t xml:space="preserve">. Thus, </w:t>
      </w:r>
      <w:r w:rsidR="00085E24">
        <w:t xml:space="preserve">drawing on the available data sources (which </w:t>
      </w:r>
      <w:r w:rsidR="006D21C2">
        <w:t xml:space="preserve">now </w:t>
      </w:r>
      <w:r w:rsidR="00085E24">
        <w:t>include</w:t>
      </w:r>
      <w:r w:rsidR="006D21C2">
        <w:t>s</w:t>
      </w:r>
      <w:r w:rsidR="00085E24">
        <w:t xml:space="preserve"> a participant survey), </w:t>
      </w:r>
      <w:r w:rsidRPr="00A90552">
        <w:t>the evaluation is designed to assess whether this is true, using the following approach:</w:t>
      </w:r>
    </w:p>
    <w:p w:rsidR="00E80F50" w:rsidRPr="00A90552" w:rsidRDefault="00E80F50" w:rsidP="00617C58">
      <w:pPr>
        <w:pStyle w:val="ListParagraph"/>
        <w:rPr>
          <w:b/>
        </w:rPr>
      </w:pPr>
    </w:p>
    <w:p w:rsidR="00E80F50" w:rsidRPr="00A90552" w:rsidRDefault="00E80F50" w:rsidP="00290413">
      <w:pPr>
        <w:numPr>
          <w:ilvl w:val="0"/>
          <w:numId w:val="6"/>
        </w:numPr>
        <w:tabs>
          <w:tab w:val="clear" w:pos="432"/>
        </w:tabs>
        <w:spacing w:line="240" w:lineRule="auto"/>
        <w:ind w:left="900" w:hanging="270"/>
        <w:jc w:val="left"/>
        <w:rPr>
          <w:rFonts w:ascii="Times New Roman" w:hAnsi="Times New Roman"/>
        </w:rPr>
      </w:pPr>
      <w:r w:rsidRPr="00A90552">
        <w:rPr>
          <w:rFonts w:ascii="Times New Roman" w:hAnsi="Times New Roman"/>
          <w:b/>
        </w:rPr>
        <w:t xml:space="preserve">Assessing voucher recipients’ understanding of rent reform incentives. </w:t>
      </w:r>
      <w:r w:rsidRPr="00A90552">
        <w:rPr>
          <w:rFonts w:ascii="Times New Roman" w:hAnsi="Times New Roman"/>
        </w:rPr>
        <w:t>Tenants’ understanding of the new model and its implicit incentives will inform how they make labor market and housing choices. Using qualitative research methods</w:t>
      </w:r>
      <w:r w:rsidR="000B5C49">
        <w:rPr>
          <w:rFonts w:ascii="Times New Roman" w:hAnsi="Times New Roman"/>
        </w:rPr>
        <w:t>, as well as survey data</w:t>
      </w:r>
      <w:r w:rsidRPr="00A90552">
        <w:rPr>
          <w:rFonts w:ascii="Times New Roman" w:hAnsi="Times New Roman"/>
        </w:rPr>
        <w:t xml:space="preserve">, the evaluation will explore whether tenants understand the new rules, and the “frames” they use in interpreting them, such as whether they believe that “extra work is penalized.”  </w:t>
      </w:r>
      <w:r w:rsidR="00A90552" w:rsidRPr="00A90552">
        <w:rPr>
          <w:rFonts w:ascii="Times New Roman" w:hAnsi="Times New Roman"/>
        </w:rPr>
        <w:t xml:space="preserve">The MDRC team will conduct a small number of interviews to get </w:t>
      </w:r>
      <w:r w:rsidR="00012994">
        <w:rPr>
          <w:rFonts w:ascii="Times New Roman" w:hAnsi="Times New Roman"/>
        </w:rPr>
        <w:t>a</w:t>
      </w:r>
      <w:r w:rsidR="00A90552" w:rsidRPr="00A90552">
        <w:rPr>
          <w:rFonts w:ascii="Times New Roman" w:hAnsi="Times New Roman"/>
        </w:rPr>
        <w:t xml:space="preserve"> read on voucher recipients’ understanding of these</w:t>
      </w:r>
      <w:r w:rsidR="00C54588">
        <w:rPr>
          <w:rFonts w:ascii="Times New Roman" w:hAnsi="Times New Roman"/>
        </w:rPr>
        <w:t xml:space="preserve"> issues, while the long-term follow-up survey will ask </w:t>
      </w:r>
      <w:r w:rsidR="00DF5ED3">
        <w:rPr>
          <w:rFonts w:ascii="Times New Roman" w:hAnsi="Times New Roman"/>
        </w:rPr>
        <w:t>p</w:t>
      </w:r>
      <w:r w:rsidR="00C54588">
        <w:rPr>
          <w:rFonts w:ascii="Times New Roman" w:hAnsi="Times New Roman"/>
        </w:rPr>
        <w:t>rogram group participants about their awareness and understanding of the triennial recertification feature, minimum rent, restrictions on interims, hardship policies, and other safeguards.  Participants will also be asked about their perspective on the fairness of the minimum rent policy and their overall preference for the new rent rules or the existing rules</w:t>
      </w:r>
      <w:r w:rsidR="00A90552" w:rsidRPr="00A90552">
        <w:rPr>
          <w:rFonts w:ascii="Times New Roman" w:hAnsi="Times New Roman"/>
        </w:rPr>
        <w:t>.</w:t>
      </w:r>
    </w:p>
    <w:p w:rsidR="00E80F50" w:rsidRPr="00E80F50" w:rsidRDefault="00E80F50" w:rsidP="00290413">
      <w:pPr>
        <w:pStyle w:val="ListParagraph"/>
        <w:ind w:left="900" w:hanging="270"/>
      </w:pPr>
    </w:p>
    <w:p w:rsidR="00E80F50" w:rsidRPr="00085E24" w:rsidRDefault="00085E24" w:rsidP="00290413">
      <w:pPr>
        <w:pStyle w:val="ListParagraph"/>
        <w:numPr>
          <w:ilvl w:val="0"/>
          <w:numId w:val="6"/>
        </w:numPr>
        <w:ind w:left="900" w:hanging="270"/>
      </w:pPr>
      <w:r>
        <w:rPr>
          <w:b/>
        </w:rPr>
        <w:t>M</w:t>
      </w:r>
      <w:r w:rsidR="00E80F50" w:rsidRPr="00085E24">
        <w:rPr>
          <w:b/>
        </w:rPr>
        <w:t>easur</w:t>
      </w:r>
      <w:r w:rsidR="00D9357C">
        <w:rPr>
          <w:b/>
        </w:rPr>
        <w:t xml:space="preserve">ing </w:t>
      </w:r>
      <w:r w:rsidR="00E80F50" w:rsidRPr="00085E24">
        <w:rPr>
          <w:b/>
        </w:rPr>
        <w:t>tenant outcomes</w:t>
      </w:r>
      <w:r w:rsidR="00617C58" w:rsidRPr="00085E24">
        <w:rPr>
          <w:b/>
        </w:rPr>
        <w:t>:</w:t>
      </w:r>
      <w:r w:rsidR="00E80F50" w:rsidRPr="00085E24">
        <w:rPr>
          <w:b/>
        </w:rPr>
        <w:t xml:space="preserve"> </w:t>
      </w:r>
      <w:r w:rsidR="00E80F50" w:rsidRPr="00085E24">
        <w:t xml:space="preserve">We identify </w:t>
      </w:r>
      <w:r w:rsidR="002E7597" w:rsidRPr="00085E24">
        <w:t xml:space="preserve">the following </w:t>
      </w:r>
      <w:r w:rsidR="00E80F50" w:rsidRPr="00085E24">
        <w:t>clusters of tenant outcomes</w:t>
      </w:r>
      <w:r w:rsidR="002E7597" w:rsidRPr="00085E24">
        <w:t xml:space="preserve">.  </w:t>
      </w:r>
      <w:r w:rsidR="00E80F50" w:rsidRPr="00085E24">
        <w:t xml:space="preserve">    </w:t>
      </w:r>
    </w:p>
    <w:p w:rsidR="00E80F50" w:rsidRPr="00364A8A" w:rsidRDefault="00E80F50" w:rsidP="00290413">
      <w:pPr>
        <w:tabs>
          <w:tab w:val="clear" w:pos="432"/>
        </w:tabs>
        <w:spacing w:line="240" w:lineRule="auto"/>
        <w:ind w:left="900" w:hanging="270"/>
        <w:jc w:val="left"/>
        <w:rPr>
          <w:rFonts w:ascii="Times New Roman" w:hAnsi="Times New Roman"/>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bCs/>
          <w:i/>
          <w:iCs/>
        </w:rPr>
        <w:t xml:space="preserve">Household </w:t>
      </w:r>
      <w:r w:rsidR="00D9357C">
        <w:rPr>
          <w:rFonts w:ascii="Times New Roman" w:hAnsi="Times New Roman"/>
          <w:b/>
          <w:bCs/>
          <w:i/>
          <w:iCs/>
        </w:rPr>
        <w:t>c</w:t>
      </w:r>
      <w:r w:rsidRPr="00085E24">
        <w:rPr>
          <w:rFonts w:ascii="Times New Roman" w:hAnsi="Times New Roman"/>
          <w:b/>
          <w:bCs/>
          <w:i/>
          <w:iCs/>
        </w:rPr>
        <w:t xml:space="preserve">omposition and </w:t>
      </w:r>
      <w:r w:rsidR="00D9357C">
        <w:rPr>
          <w:rFonts w:ascii="Times New Roman" w:hAnsi="Times New Roman"/>
          <w:b/>
          <w:bCs/>
          <w:i/>
          <w:iCs/>
        </w:rPr>
        <w:t>s</w:t>
      </w:r>
      <w:r w:rsidRPr="00085E24">
        <w:rPr>
          <w:rFonts w:ascii="Times New Roman" w:hAnsi="Times New Roman"/>
          <w:b/>
          <w:bCs/>
          <w:i/>
          <w:iCs/>
        </w:rPr>
        <w:t>tructure:</w:t>
      </w:r>
      <w:r w:rsidRPr="00085E24">
        <w:rPr>
          <w:rFonts w:ascii="Times New Roman" w:hAnsi="Times New Roman"/>
        </w:rPr>
        <w:t xml:space="preserve"> To explore effects on household composition and structure, the analysis would rely on information collected about all household members, including names, ages, employment status (if appropriate), and relationship to the head of household through the </w:t>
      </w:r>
      <w:r w:rsidR="00B54408" w:rsidRPr="00085E24">
        <w:rPr>
          <w:rFonts w:ascii="Times New Roman" w:hAnsi="Times New Roman"/>
        </w:rPr>
        <w:t xml:space="preserve">HUD </w:t>
      </w:r>
      <w:r w:rsidRPr="00085E24">
        <w:rPr>
          <w:rFonts w:ascii="Times New Roman" w:hAnsi="Times New Roman"/>
        </w:rPr>
        <w:t>50058 form</w:t>
      </w:r>
      <w:r w:rsidR="006D21C2">
        <w:rPr>
          <w:rFonts w:ascii="Times New Roman" w:hAnsi="Times New Roman"/>
        </w:rPr>
        <w:t>, as well as survey data that will include information about who is currently living in the household</w:t>
      </w:r>
      <w:r w:rsidRPr="00085E24">
        <w:rPr>
          <w:rFonts w:ascii="Times New Roman" w:hAnsi="Times New Roman"/>
        </w:rPr>
        <w:t>.</w:t>
      </w:r>
    </w:p>
    <w:p w:rsidR="00E80F50" w:rsidRPr="00085E24" w:rsidRDefault="00E80F50" w:rsidP="00085E24">
      <w:pPr>
        <w:spacing w:line="240" w:lineRule="auto"/>
        <w:ind w:left="1800" w:firstLine="0"/>
        <w:jc w:val="left"/>
        <w:rPr>
          <w:rFonts w:ascii="Times New Roman" w:hAnsi="Times New Roman"/>
          <w:b/>
          <w:iCs/>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i/>
          <w:iCs/>
        </w:rPr>
        <w:t>Work behaviors:</w:t>
      </w:r>
      <w:r w:rsidRPr="00085E24">
        <w:rPr>
          <w:rFonts w:ascii="Times New Roman" w:hAnsi="Times New Roman"/>
          <w:b/>
          <w:iCs/>
        </w:rPr>
        <w:t xml:space="preserve"> </w:t>
      </w:r>
      <w:r w:rsidRPr="00085E24">
        <w:rPr>
          <w:rFonts w:ascii="Times New Roman" w:hAnsi="Times New Roman"/>
        </w:rPr>
        <w:t xml:space="preserve"> Unemployment Insurance wage records will include information on employment</w:t>
      </w:r>
      <w:r w:rsidR="0001795B" w:rsidRPr="00085E24">
        <w:rPr>
          <w:rFonts w:ascii="Times New Roman" w:hAnsi="Times New Roman"/>
        </w:rPr>
        <w:t xml:space="preserve"> and</w:t>
      </w:r>
      <w:r w:rsidRPr="00085E24">
        <w:rPr>
          <w:rFonts w:ascii="Times New Roman" w:hAnsi="Times New Roman"/>
        </w:rPr>
        <w:t xml:space="preserve"> earnings.</w:t>
      </w:r>
      <w:r w:rsidR="006D21C2">
        <w:rPr>
          <w:rFonts w:ascii="Times New Roman" w:hAnsi="Times New Roman"/>
        </w:rPr>
        <w:t xml:space="preserve"> Survey data </w:t>
      </w:r>
      <w:r w:rsidR="006D21C2" w:rsidRPr="00EE34A6">
        <w:rPr>
          <w:rFonts w:ascii="Times New Roman" w:hAnsi="Times New Roman"/>
        </w:rPr>
        <w:t xml:space="preserve">will include information </w:t>
      </w:r>
      <w:r w:rsidR="001653E5" w:rsidRPr="00EE34A6">
        <w:rPr>
          <w:rFonts w:ascii="Times New Roman" w:hAnsi="Times New Roman"/>
        </w:rPr>
        <w:t xml:space="preserve">on </w:t>
      </w:r>
      <w:r w:rsidR="007C6705" w:rsidRPr="00EE34A6">
        <w:rPr>
          <w:rFonts w:ascii="Times New Roman" w:hAnsi="Times New Roman"/>
        </w:rPr>
        <w:t xml:space="preserve">education and training, including education or certifications obtained or in process, </w:t>
      </w:r>
      <w:r w:rsidR="00EE34A6">
        <w:rPr>
          <w:rFonts w:ascii="Times New Roman" w:hAnsi="Times New Roman"/>
        </w:rPr>
        <w:t xml:space="preserve">as well as </w:t>
      </w:r>
      <w:r w:rsidR="006D21C2" w:rsidRPr="00EE34A6">
        <w:rPr>
          <w:rFonts w:ascii="Times New Roman" w:hAnsi="Times New Roman"/>
        </w:rPr>
        <w:t>the respondents’ current or recent job experience in terms of hours, wages, type of work, and associated employer provided benefits. If the respondent is not employed, we will ask about barriers to employment</w:t>
      </w:r>
      <w:r w:rsidR="00E37FBA">
        <w:rPr>
          <w:rFonts w:ascii="Times New Roman" w:hAnsi="Times New Roman"/>
        </w:rPr>
        <w:t xml:space="preserve"> (e.g., child care, transportation)</w:t>
      </w:r>
      <w:r w:rsidR="006D21C2" w:rsidRPr="00EE34A6">
        <w:rPr>
          <w:rFonts w:ascii="Times New Roman" w:hAnsi="Times New Roman"/>
        </w:rPr>
        <w:t xml:space="preserve"> and efforts to obtain employment</w:t>
      </w:r>
      <w:r w:rsidR="00E37FBA">
        <w:rPr>
          <w:rFonts w:ascii="Times New Roman" w:hAnsi="Times New Roman"/>
        </w:rPr>
        <w:t>.</w:t>
      </w:r>
    </w:p>
    <w:p w:rsidR="00B90C6E" w:rsidRPr="00085E24" w:rsidRDefault="00B90C6E" w:rsidP="00085E24">
      <w:pPr>
        <w:pStyle w:val="ListParagraph"/>
        <w:ind w:left="1080"/>
      </w:pPr>
    </w:p>
    <w:p w:rsidR="00E80F50" w:rsidRPr="00085E24" w:rsidRDefault="00E80F50" w:rsidP="00E40322">
      <w:pPr>
        <w:autoSpaceDE w:val="0"/>
        <w:autoSpaceDN w:val="0"/>
        <w:adjustRightInd w:val="0"/>
        <w:spacing w:line="240" w:lineRule="auto"/>
        <w:ind w:left="720" w:firstLine="0"/>
        <w:jc w:val="left"/>
        <w:rPr>
          <w:rFonts w:ascii="Times New Roman" w:hAnsi="Times New Roman"/>
          <w:color w:val="000000"/>
        </w:rPr>
      </w:pPr>
      <w:r w:rsidRPr="00085E24">
        <w:rPr>
          <w:rFonts w:ascii="Times New Roman" w:hAnsi="Times New Roman"/>
          <w:b/>
          <w:bCs/>
          <w:i/>
          <w:iCs/>
        </w:rPr>
        <w:t>Income</w:t>
      </w:r>
      <w:r w:rsidRPr="00085E24">
        <w:rPr>
          <w:rFonts w:ascii="Times New Roman" w:hAnsi="Times New Roman"/>
          <w:b/>
          <w:bCs/>
          <w:i/>
          <w:iCs/>
          <w:color w:val="000000"/>
        </w:rPr>
        <w:t>, assets,</w:t>
      </w:r>
      <w:r w:rsidR="00B90C6E" w:rsidRPr="00085E24">
        <w:rPr>
          <w:rFonts w:ascii="Times New Roman" w:hAnsi="Times New Roman"/>
          <w:b/>
          <w:bCs/>
          <w:i/>
          <w:iCs/>
          <w:color w:val="000000"/>
        </w:rPr>
        <w:t xml:space="preserve"> </w:t>
      </w:r>
      <w:r w:rsidRPr="00085E24">
        <w:rPr>
          <w:rFonts w:ascii="Times New Roman" w:hAnsi="Times New Roman"/>
          <w:b/>
          <w:bCs/>
          <w:i/>
          <w:iCs/>
          <w:color w:val="000000"/>
        </w:rPr>
        <w:t>and rent burden:</w:t>
      </w:r>
      <w:r w:rsidRPr="00085E24">
        <w:rPr>
          <w:rFonts w:ascii="Times New Roman" w:hAnsi="Times New Roman"/>
          <w:b/>
          <w:bCs/>
          <w:iCs/>
          <w:color w:val="000000"/>
        </w:rPr>
        <w:t xml:space="preserve"> </w:t>
      </w:r>
      <w:r w:rsidRPr="00085E24">
        <w:rPr>
          <w:rFonts w:ascii="Times New Roman" w:hAnsi="Times New Roman"/>
          <w:color w:val="000000"/>
        </w:rPr>
        <w:t xml:space="preserve">If rent reform increases tenants’ disposable income, it may help them </w:t>
      </w:r>
      <w:r w:rsidR="00B90C6E" w:rsidRPr="00085E24">
        <w:rPr>
          <w:rFonts w:ascii="Times New Roman" w:hAnsi="Times New Roman"/>
          <w:color w:val="000000"/>
        </w:rPr>
        <w:t>a</w:t>
      </w:r>
      <w:r w:rsidRPr="00085E24">
        <w:rPr>
          <w:rFonts w:ascii="Times New Roman" w:hAnsi="Times New Roman"/>
          <w:color w:val="000000"/>
        </w:rPr>
        <w:t xml:space="preserve">ccumulate assets. </w:t>
      </w:r>
      <w:r w:rsidRPr="00EE34A6">
        <w:rPr>
          <w:rFonts w:ascii="Times New Roman" w:hAnsi="Times New Roman"/>
          <w:color w:val="000000"/>
        </w:rPr>
        <w:t xml:space="preserve">Data on income </w:t>
      </w:r>
      <w:r w:rsidR="00B90C6E" w:rsidRPr="00EE34A6">
        <w:rPr>
          <w:rFonts w:ascii="Times New Roman" w:hAnsi="Times New Roman"/>
          <w:color w:val="000000"/>
        </w:rPr>
        <w:t>(</w:t>
      </w:r>
      <w:r w:rsidR="00DF5ED3" w:rsidRPr="00EE34A6">
        <w:rPr>
          <w:rFonts w:ascii="Times New Roman" w:hAnsi="Times New Roman"/>
          <w:color w:val="000000"/>
        </w:rPr>
        <w:t>f</w:t>
      </w:r>
      <w:r w:rsidR="00DF5ED3">
        <w:rPr>
          <w:rFonts w:ascii="Times New Roman" w:hAnsi="Times New Roman"/>
          <w:color w:val="000000"/>
        </w:rPr>
        <w:t>rom</w:t>
      </w:r>
      <w:r w:rsidR="00DF5ED3" w:rsidRPr="00EE34A6">
        <w:rPr>
          <w:rFonts w:ascii="Times New Roman" w:hAnsi="Times New Roman"/>
          <w:color w:val="000000"/>
        </w:rPr>
        <w:t xml:space="preserve"> </w:t>
      </w:r>
      <w:r w:rsidRPr="00EE34A6">
        <w:rPr>
          <w:rFonts w:ascii="Times New Roman" w:hAnsi="Times New Roman"/>
          <w:color w:val="000000"/>
        </w:rPr>
        <w:t xml:space="preserve">housing </w:t>
      </w:r>
      <w:r w:rsidR="004E5E4F" w:rsidRPr="00EE34A6">
        <w:rPr>
          <w:rFonts w:ascii="Times New Roman" w:hAnsi="Times New Roman"/>
          <w:color w:val="000000"/>
        </w:rPr>
        <w:t xml:space="preserve">agency </w:t>
      </w:r>
      <w:r w:rsidRPr="00EE34A6">
        <w:rPr>
          <w:rFonts w:ascii="Times New Roman" w:hAnsi="Times New Roman"/>
          <w:color w:val="000000"/>
        </w:rPr>
        <w:t>data</w:t>
      </w:r>
      <w:r w:rsidR="00B90C6E" w:rsidRPr="00EE34A6">
        <w:rPr>
          <w:rFonts w:ascii="Times New Roman" w:hAnsi="Times New Roman"/>
          <w:color w:val="000000"/>
        </w:rPr>
        <w:t xml:space="preserve">), </w:t>
      </w:r>
      <w:r w:rsidRPr="00EE34A6">
        <w:rPr>
          <w:rFonts w:ascii="Times New Roman" w:hAnsi="Times New Roman"/>
          <w:color w:val="000000"/>
        </w:rPr>
        <w:t>rent</w:t>
      </w:r>
      <w:r w:rsidR="00B90C6E" w:rsidRPr="00EE34A6">
        <w:rPr>
          <w:rFonts w:ascii="Times New Roman" w:hAnsi="Times New Roman"/>
          <w:color w:val="000000"/>
        </w:rPr>
        <w:t>,</w:t>
      </w:r>
      <w:r w:rsidRPr="00EE34A6">
        <w:rPr>
          <w:rFonts w:ascii="Times New Roman" w:hAnsi="Times New Roman"/>
          <w:color w:val="000000"/>
        </w:rPr>
        <w:t xml:space="preserve"> and utilities payments would be used to co</w:t>
      </w:r>
      <w:r w:rsidR="00B90C6E" w:rsidRPr="00EE34A6">
        <w:rPr>
          <w:rFonts w:ascii="Times New Roman" w:hAnsi="Times New Roman"/>
          <w:color w:val="000000"/>
        </w:rPr>
        <w:t>nstruct measures of rent burden</w:t>
      </w:r>
      <w:r w:rsidRPr="00EE34A6">
        <w:rPr>
          <w:rFonts w:ascii="Times New Roman" w:hAnsi="Times New Roman"/>
          <w:color w:val="000000"/>
        </w:rPr>
        <w:t>.</w:t>
      </w:r>
      <w:r w:rsidR="006D21C2" w:rsidRPr="00EE34A6">
        <w:rPr>
          <w:rFonts w:ascii="Times New Roman" w:hAnsi="Times New Roman"/>
          <w:color w:val="000000"/>
        </w:rPr>
        <w:t xml:space="preserve"> Survey questions </w:t>
      </w:r>
      <w:r w:rsidR="006D21C2" w:rsidRPr="00EE34A6">
        <w:rPr>
          <w:rFonts w:ascii="Times New Roman" w:hAnsi="Times New Roman"/>
        </w:rPr>
        <w:t>will collect total household income</w:t>
      </w:r>
      <w:r w:rsidR="007C6705" w:rsidRPr="00EE34A6">
        <w:rPr>
          <w:rFonts w:ascii="Times New Roman" w:hAnsi="Times New Roman"/>
        </w:rPr>
        <w:t xml:space="preserve"> (unemployment insurance wage records only capture the head of household and individual adult </w:t>
      </w:r>
      <w:r w:rsidR="00EF77B7" w:rsidRPr="00EE34A6">
        <w:rPr>
          <w:rFonts w:ascii="Times New Roman" w:hAnsi="Times New Roman"/>
        </w:rPr>
        <w:t>earnings</w:t>
      </w:r>
      <w:r w:rsidR="007C6705" w:rsidRPr="00EE34A6">
        <w:rPr>
          <w:rFonts w:ascii="Times New Roman" w:hAnsi="Times New Roman"/>
        </w:rPr>
        <w:t xml:space="preserve">, but no measure of household </w:t>
      </w:r>
      <w:r w:rsidR="00EF77B7" w:rsidRPr="00EE34A6">
        <w:rPr>
          <w:rFonts w:ascii="Times New Roman" w:hAnsi="Times New Roman"/>
        </w:rPr>
        <w:t>earnings</w:t>
      </w:r>
      <w:r w:rsidR="007C6705" w:rsidRPr="00EE34A6">
        <w:rPr>
          <w:rFonts w:ascii="Times New Roman" w:hAnsi="Times New Roman"/>
        </w:rPr>
        <w:t>)</w:t>
      </w:r>
      <w:r w:rsidR="006D21C2" w:rsidRPr="00EE34A6">
        <w:rPr>
          <w:rFonts w:ascii="Times New Roman" w:hAnsi="Times New Roman"/>
        </w:rPr>
        <w:t xml:space="preserve"> and benefits that members of the household received. In addition, we will ask questions related to financial hardship, material and food security, savings, debt, credit scores, and taxes. This section of the questionnaire will include items about health coverage, funded by employers or other private sources, or funded by government programs like Medicaid.</w:t>
      </w:r>
    </w:p>
    <w:p w:rsidR="00B90C6E" w:rsidRPr="00085E24" w:rsidRDefault="00B90C6E" w:rsidP="00085E24">
      <w:pPr>
        <w:pStyle w:val="ListParagraph"/>
        <w:ind w:left="1080"/>
        <w:rPr>
          <w:color w:val="000000"/>
        </w:rPr>
      </w:pPr>
    </w:p>
    <w:p w:rsidR="00E80F50" w:rsidRPr="00085E24" w:rsidRDefault="0001795B" w:rsidP="00085E24">
      <w:pPr>
        <w:tabs>
          <w:tab w:val="clear" w:pos="432"/>
        </w:tabs>
        <w:spacing w:line="240" w:lineRule="auto"/>
        <w:ind w:left="720" w:firstLine="0"/>
        <w:jc w:val="left"/>
        <w:rPr>
          <w:rFonts w:ascii="Times New Roman" w:hAnsi="Times New Roman"/>
        </w:rPr>
      </w:pPr>
      <w:r w:rsidRPr="00E37FBA">
        <w:rPr>
          <w:rFonts w:ascii="Times New Roman" w:hAnsi="Times New Roman"/>
          <w:b/>
          <w:bCs/>
          <w:i/>
          <w:iCs/>
        </w:rPr>
        <w:t>H</w:t>
      </w:r>
      <w:r w:rsidR="00E80F50" w:rsidRPr="00E37FBA">
        <w:rPr>
          <w:rFonts w:ascii="Times New Roman" w:hAnsi="Times New Roman"/>
          <w:b/>
          <w:bCs/>
          <w:i/>
          <w:iCs/>
        </w:rPr>
        <w:t>omelessness</w:t>
      </w:r>
      <w:r w:rsidRPr="00E37FBA">
        <w:rPr>
          <w:rFonts w:ascii="Times New Roman" w:hAnsi="Times New Roman"/>
          <w:b/>
          <w:bCs/>
          <w:i/>
          <w:iCs/>
        </w:rPr>
        <w:t>:</w:t>
      </w:r>
      <w:r w:rsidR="000F4135" w:rsidRPr="00E37FBA">
        <w:rPr>
          <w:rFonts w:ascii="Times New Roman" w:hAnsi="Times New Roman"/>
          <w:b/>
          <w:bCs/>
          <w:iCs/>
        </w:rPr>
        <w:t xml:space="preserve"> </w:t>
      </w:r>
      <w:r w:rsidR="00E80F50" w:rsidRPr="00E37FBA">
        <w:rPr>
          <w:rFonts w:ascii="Times New Roman" w:hAnsi="Times New Roman"/>
        </w:rPr>
        <w:t>We</w:t>
      </w:r>
      <w:r w:rsidR="00E80F50" w:rsidRPr="00085E24">
        <w:rPr>
          <w:rFonts w:ascii="Times New Roman" w:hAnsi="Times New Roman"/>
        </w:rPr>
        <w:t xml:space="preserve"> will measure effects on homelessness</w:t>
      </w:r>
      <w:r w:rsidRPr="00085E24">
        <w:rPr>
          <w:rFonts w:ascii="Times New Roman" w:hAnsi="Times New Roman"/>
        </w:rPr>
        <w:t xml:space="preserve"> using </w:t>
      </w:r>
      <w:r w:rsidR="006937DC" w:rsidRPr="00085E24">
        <w:rPr>
          <w:rFonts w:ascii="Times New Roman" w:hAnsi="Times New Roman"/>
        </w:rPr>
        <w:t>Homeless Management Information Systems (HMIS)</w:t>
      </w:r>
      <w:r w:rsidRPr="00085E24">
        <w:rPr>
          <w:rFonts w:ascii="Times New Roman" w:hAnsi="Times New Roman"/>
        </w:rPr>
        <w:t xml:space="preserve"> data.</w:t>
      </w:r>
      <w:r w:rsidR="00E80F50" w:rsidRPr="00085E24">
        <w:rPr>
          <w:rFonts w:ascii="Times New Roman" w:hAnsi="Times New Roman"/>
        </w:rPr>
        <w:t xml:space="preserve"> </w:t>
      </w:r>
    </w:p>
    <w:p w:rsidR="00E80F50" w:rsidRPr="00085E24" w:rsidRDefault="00E80F50" w:rsidP="00085E24">
      <w:pPr>
        <w:autoSpaceDE w:val="0"/>
        <w:autoSpaceDN w:val="0"/>
        <w:adjustRightInd w:val="0"/>
        <w:spacing w:line="240" w:lineRule="auto"/>
        <w:ind w:left="1512" w:firstLine="0"/>
        <w:jc w:val="left"/>
        <w:rPr>
          <w:rFonts w:ascii="Times New Roman" w:hAnsi="Times New Roman"/>
        </w:rPr>
      </w:pPr>
    </w:p>
    <w:p w:rsidR="00E80F50" w:rsidRPr="00085E24" w:rsidRDefault="00E80F50" w:rsidP="00085E24">
      <w:pPr>
        <w:tabs>
          <w:tab w:val="clear" w:pos="432"/>
        </w:tabs>
        <w:spacing w:line="240" w:lineRule="auto"/>
        <w:ind w:left="720" w:firstLine="0"/>
        <w:jc w:val="left"/>
        <w:rPr>
          <w:rFonts w:ascii="Times New Roman" w:hAnsi="Times New Roman"/>
        </w:rPr>
      </w:pPr>
      <w:r w:rsidRPr="00085E24">
        <w:rPr>
          <w:rFonts w:ascii="Times New Roman" w:hAnsi="Times New Roman"/>
          <w:b/>
          <w:i/>
          <w:iCs/>
        </w:rPr>
        <w:t xml:space="preserve">Other </w:t>
      </w:r>
      <w:r w:rsidR="003A4E40">
        <w:rPr>
          <w:rFonts w:ascii="Times New Roman" w:hAnsi="Times New Roman"/>
          <w:b/>
          <w:i/>
          <w:iCs/>
        </w:rPr>
        <w:t xml:space="preserve">government </w:t>
      </w:r>
      <w:r w:rsidRPr="00085E24">
        <w:rPr>
          <w:rFonts w:ascii="Times New Roman" w:hAnsi="Times New Roman"/>
          <w:b/>
          <w:i/>
          <w:iCs/>
        </w:rPr>
        <w:t>benefits:</w:t>
      </w:r>
      <w:r w:rsidRPr="00085E24">
        <w:rPr>
          <w:rFonts w:ascii="Times New Roman" w:hAnsi="Times New Roman"/>
          <w:iCs/>
        </w:rPr>
        <w:t xml:space="preserve"> </w:t>
      </w:r>
      <w:r w:rsidR="00CA1BBB">
        <w:rPr>
          <w:rFonts w:ascii="Times New Roman" w:hAnsi="Times New Roman"/>
          <w:iCs/>
        </w:rPr>
        <w:t>Temporary Assistance for Needy Families (</w:t>
      </w:r>
      <w:r w:rsidRPr="00085E24">
        <w:rPr>
          <w:rFonts w:ascii="Times New Roman" w:hAnsi="Times New Roman"/>
        </w:rPr>
        <w:t>TANF</w:t>
      </w:r>
      <w:r w:rsidR="00CA1BBB">
        <w:rPr>
          <w:rFonts w:ascii="Times New Roman" w:hAnsi="Times New Roman"/>
        </w:rPr>
        <w:t>)</w:t>
      </w:r>
      <w:r w:rsidR="0001795B" w:rsidRPr="00085E24">
        <w:rPr>
          <w:rFonts w:ascii="Times New Roman" w:hAnsi="Times New Roman"/>
        </w:rPr>
        <w:t xml:space="preserve"> and</w:t>
      </w:r>
      <w:r w:rsidR="00CA1BBB">
        <w:rPr>
          <w:rFonts w:ascii="Times New Roman" w:hAnsi="Times New Roman"/>
        </w:rPr>
        <w:t xml:space="preserve"> Supplemental Nutrition Assistance Program</w:t>
      </w:r>
      <w:r w:rsidRPr="00085E24">
        <w:rPr>
          <w:rFonts w:ascii="Times New Roman" w:hAnsi="Times New Roman"/>
        </w:rPr>
        <w:t xml:space="preserve"> </w:t>
      </w:r>
      <w:r w:rsidR="00CA1BBB">
        <w:rPr>
          <w:rFonts w:ascii="Times New Roman" w:hAnsi="Times New Roman"/>
        </w:rPr>
        <w:t>(</w:t>
      </w:r>
      <w:r w:rsidRPr="00085E24">
        <w:rPr>
          <w:rFonts w:ascii="Times New Roman" w:hAnsi="Times New Roman"/>
        </w:rPr>
        <w:t>SNAP</w:t>
      </w:r>
      <w:r w:rsidR="00CA1BBB">
        <w:rPr>
          <w:rFonts w:ascii="Times New Roman" w:hAnsi="Times New Roman"/>
        </w:rPr>
        <w:t>)</w:t>
      </w:r>
      <w:r w:rsidRPr="00085E24">
        <w:rPr>
          <w:rFonts w:ascii="Times New Roman" w:hAnsi="Times New Roman"/>
        </w:rPr>
        <w:t xml:space="preserve"> data</w:t>
      </w:r>
      <w:r w:rsidR="0001795B" w:rsidRPr="00085E24">
        <w:rPr>
          <w:rFonts w:ascii="Times New Roman" w:hAnsi="Times New Roman"/>
        </w:rPr>
        <w:t xml:space="preserve"> will be used to examine effects on other subsidy </w:t>
      </w:r>
      <w:r w:rsidR="003A4E40">
        <w:rPr>
          <w:rFonts w:ascii="Times New Roman" w:hAnsi="Times New Roman"/>
        </w:rPr>
        <w:t>receipt and amounts</w:t>
      </w:r>
      <w:r w:rsidR="0001795B" w:rsidRPr="00085E24">
        <w:rPr>
          <w:rFonts w:ascii="Times New Roman" w:hAnsi="Times New Roman"/>
        </w:rPr>
        <w:t>,</w:t>
      </w:r>
      <w:r w:rsidRPr="00085E24">
        <w:rPr>
          <w:rFonts w:ascii="Times New Roman" w:hAnsi="Times New Roman"/>
        </w:rPr>
        <w:t xml:space="preserve"> since changes in the receipt of these public benefits may flow from any impacts that rent reform has on tenants’ earnings. </w:t>
      </w:r>
    </w:p>
    <w:p w:rsidR="00E80F50" w:rsidRPr="00085E24" w:rsidRDefault="00E80F50" w:rsidP="00085E24">
      <w:pPr>
        <w:autoSpaceDE w:val="0"/>
        <w:autoSpaceDN w:val="0"/>
        <w:adjustRightInd w:val="0"/>
        <w:spacing w:line="240" w:lineRule="auto"/>
        <w:ind w:left="1512" w:firstLine="0"/>
        <w:jc w:val="left"/>
        <w:rPr>
          <w:rFonts w:ascii="Times New Roman" w:hAnsi="Times New Roman"/>
          <w:b/>
          <w:bCs/>
          <w:iCs/>
          <w:color w:val="000000"/>
        </w:rPr>
      </w:pPr>
    </w:p>
    <w:p w:rsidR="00E80F50" w:rsidRPr="00EE34A6" w:rsidRDefault="00E80F50" w:rsidP="00085E24">
      <w:pPr>
        <w:tabs>
          <w:tab w:val="clear" w:pos="432"/>
        </w:tabs>
        <w:autoSpaceDE w:val="0"/>
        <w:autoSpaceDN w:val="0"/>
        <w:adjustRightInd w:val="0"/>
        <w:spacing w:line="240" w:lineRule="auto"/>
        <w:ind w:left="720" w:firstLine="0"/>
        <w:jc w:val="left"/>
        <w:rPr>
          <w:rFonts w:ascii="Times New Roman" w:hAnsi="Times New Roman"/>
          <w:iCs/>
        </w:rPr>
      </w:pPr>
      <w:r w:rsidRPr="00085E24">
        <w:rPr>
          <w:rFonts w:ascii="Times New Roman" w:hAnsi="Times New Roman"/>
          <w:b/>
          <w:bCs/>
          <w:i/>
          <w:iCs/>
        </w:rPr>
        <w:t>Voucher use:</w:t>
      </w:r>
      <w:r w:rsidRPr="00085E24">
        <w:rPr>
          <w:rFonts w:ascii="Times New Roman" w:hAnsi="Times New Roman"/>
          <w:b/>
          <w:bCs/>
          <w:iCs/>
        </w:rPr>
        <w:t xml:space="preserve"> </w:t>
      </w:r>
      <w:r w:rsidRPr="00085E24">
        <w:rPr>
          <w:rFonts w:ascii="Times New Roman" w:hAnsi="Times New Roman"/>
          <w:bCs/>
          <w:iCs/>
        </w:rPr>
        <w:t xml:space="preserve">Using the HUD 50058 data, </w:t>
      </w:r>
      <w:r w:rsidR="00CA1BBB">
        <w:rPr>
          <w:rFonts w:ascii="Times New Roman" w:hAnsi="Times New Roman"/>
          <w:bCs/>
          <w:iCs/>
        </w:rPr>
        <w:t>which is</w:t>
      </w:r>
      <w:r w:rsidR="0030718F">
        <w:rPr>
          <w:rFonts w:ascii="Times New Roman" w:hAnsi="Times New Roman"/>
          <w:bCs/>
          <w:iCs/>
        </w:rPr>
        <w:t xml:space="preserve"> form that HUD uses to collect data on the families that receive housing assistance from</w:t>
      </w:r>
      <w:r w:rsidR="00CA1BBB">
        <w:rPr>
          <w:rFonts w:ascii="Times New Roman" w:hAnsi="Times New Roman"/>
          <w:bCs/>
          <w:iCs/>
        </w:rPr>
        <w:t xml:space="preserve"> </w:t>
      </w:r>
      <w:r w:rsidR="0030718F">
        <w:rPr>
          <w:rFonts w:ascii="Times New Roman" w:hAnsi="Times New Roman"/>
          <w:bCs/>
          <w:iCs/>
        </w:rPr>
        <w:t xml:space="preserve">the </w:t>
      </w:r>
      <w:r w:rsidR="00CA1BBB">
        <w:rPr>
          <w:rFonts w:ascii="Times New Roman" w:hAnsi="Times New Roman"/>
          <w:bCs/>
          <w:iCs/>
        </w:rPr>
        <w:t>PHAs</w:t>
      </w:r>
      <w:r w:rsidR="0030718F">
        <w:rPr>
          <w:rFonts w:ascii="Times New Roman" w:hAnsi="Times New Roman"/>
          <w:bCs/>
          <w:iCs/>
        </w:rPr>
        <w:t xml:space="preserve"> that administer the housing assistance programs that serve them</w:t>
      </w:r>
      <w:r w:rsidR="00CA1BBB">
        <w:rPr>
          <w:rFonts w:ascii="Times New Roman" w:hAnsi="Times New Roman"/>
          <w:bCs/>
          <w:iCs/>
        </w:rPr>
        <w:t xml:space="preserve">, </w:t>
      </w:r>
      <w:r w:rsidRPr="00085E24">
        <w:rPr>
          <w:rFonts w:ascii="Times New Roman" w:hAnsi="Times New Roman"/>
          <w:bCs/>
          <w:iCs/>
        </w:rPr>
        <w:t>the study would examine the effects of alternative rent strategies on the duration of voucher receipt and exit re</w:t>
      </w:r>
      <w:r w:rsidRPr="00085E24">
        <w:rPr>
          <w:rFonts w:ascii="Times New Roman" w:hAnsi="Times New Roman"/>
          <w:iCs/>
        </w:rPr>
        <w:t xml:space="preserve">asons.  </w:t>
      </w:r>
      <w:r w:rsidR="007C6705" w:rsidRPr="00EE34A6">
        <w:rPr>
          <w:rFonts w:ascii="Times New Roman" w:hAnsi="Times New Roman"/>
          <w:iCs/>
        </w:rPr>
        <w:t xml:space="preserve">The survey will ask about </w:t>
      </w:r>
      <w:r w:rsidR="007C6705" w:rsidRPr="00EE34A6">
        <w:rPr>
          <w:rFonts w:ascii="Times New Roman" w:hAnsi="Times New Roman"/>
        </w:rPr>
        <w:t xml:space="preserve">residential moves since study enrollment, reasons for those moves, HCV exits, and information </w:t>
      </w:r>
      <w:r w:rsidR="00EF77B7" w:rsidRPr="00EE34A6">
        <w:rPr>
          <w:rFonts w:ascii="Times New Roman" w:hAnsi="Times New Roman"/>
        </w:rPr>
        <w:t>and satisfaction with</w:t>
      </w:r>
      <w:r w:rsidR="007C6705" w:rsidRPr="00EE34A6">
        <w:rPr>
          <w:rFonts w:ascii="Times New Roman" w:hAnsi="Times New Roman"/>
        </w:rPr>
        <w:t xml:space="preserve"> hous</w:t>
      </w:r>
      <w:r w:rsidR="00EE34A6" w:rsidRPr="00EE34A6">
        <w:rPr>
          <w:rFonts w:ascii="Times New Roman" w:hAnsi="Times New Roman"/>
        </w:rPr>
        <w:t>ing</w:t>
      </w:r>
      <w:r w:rsidR="007C6705" w:rsidRPr="00EE34A6">
        <w:rPr>
          <w:rFonts w:ascii="Times New Roman" w:hAnsi="Times New Roman"/>
        </w:rPr>
        <w:t xml:space="preserve"> and neighborhood. In addition, we will ask questions about experience with PHAs, landlords, and evictions.</w:t>
      </w:r>
    </w:p>
    <w:p w:rsidR="00E80F50" w:rsidRPr="00085E24" w:rsidRDefault="00E80F50" w:rsidP="00085E24">
      <w:pPr>
        <w:autoSpaceDE w:val="0"/>
        <w:autoSpaceDN w:val="0"/>
        <w:adjustRightInd w:val="0"/>
        <w:spacing w:line="240" w:lineRule="auto"/>
        <w:ind w:left="1512" w:firstLine="0"/>
        <w:jc w:val="left"/>
        <w:rPr>
          <w:rFonts w:ascii="Times New Roman" w:hAnsi="Times New Roman"/>
          <w:b/>
          <w:iCs/>
        </w:rPr>
      </w:pPr>
    </w:p>
    <w:p w:rsidR="00E80F50" w:rsidRPr="00364A8A" w:rsidRDefault="00E80F50" w:rsidP="00085E24">
      <w:pPr>
        <w:tabs>
          <w:tab w:val="clear" w:pos="432"/>
        </w:tabs>
        <w:autoSpaceDE w:val="0"/>
        <w:autoSpaceDN w:val="0"/>
        <w:adjustRightInd w:val="0"/>
        <w:spacing w:line="240" w:lineRule="auto"/>
        <w:ind w:left="720" w:firstLine="0"/>
        <w:jc w:val="left"/>
        <w:rPr>
          <w:rFonts w:ascii="Times New Roman" w:hAnsi="Times New Roman"/>
        </w:rPr>
      </w:pPr>
      <w:r w:rsidRPr="00085E24">
        <w:rPr>
          <w:rFonts w:ascii="Times New Roman" w:hAnsi="Times New Roman"/>
          <w:b/>
          <w:i/>
          <w:iCs/>
        </w:rPr>
        <w:t>Knowledge and perceptions of rent rules</w:t>
      </w:r>
      <w:r w:rsidRPr="00085E24">
        <w:rPr>
          <w:rFonts w:ascii="Times New Roman" w:hAnsi="Times New Roman"/>
          <w:i/>
          <w:iCs/>
        </w:rPr>
        <w:t>:</w:t>
      </w:r>
      <w:r w:rsidRPr="00085E24">
        <w:rPr>
          <w:rFonts w:ascii="Times New Roman" w:hAnsi="Times New Roman"/>
          <w:iCs/>
        </w:rPr>
        <w:t xml:space="preserve"> In-depth qualitative data </w:t>
      </w:r>
      <w:r w:rsidRPr="00085E24">
        <w:rPr>
          <w:rFonts w:ascii="Times New Roman" w:hAnsi="Times New Roman"/>
        </w:rPr>
        <w:t xml:space="preserve">would </w:t>
      </w:r>
      <w:r w:rsidRPr="00085E24">
        <w:rPr>
          <w:rFonts w:ascii="Times New Roman" w:hAnsi="Times New Roman"/>
          <w:iCs/>
        </w:rPr>
        <w:t xml:space="preserve">be used to examine voucher recipients’ perceptions, </w:t>
      </w:r>
      <w:r w:rsidRPr="007129F3">
        <w:rPr>
          <w:rFonts w:ascii="Times New Roman" w:hAnsi="Times New Roman"/>
          <w:iCs/>
        </w:rPr>
        <w:t>understanding, and awareness of the rent rules, and their attitudes toward the</w:t>
      </w:r>
      <w:r w:rsidR="006E419F" w:rsidRPr="007129F3">
        <w:rPr>
          <w:rFonts w:ascii="Times New Roman" w:hAnsi="Times New Roman"/>
          <w:iCs/>
        </w:rPr>
        <w:t xml:space="preserve"> PHA </w:t>
      </w:r>
      <w:r w:rsidRPr="007129F3">
        <w:rPr>
          <w:rFonts w:ascii="Times New Roman" w:hAnsi="Times New Roman"/>
          <w:iCs/>
        </w:rPr>
        <w:t>and frontline staff.</w:t>
      </w:r>
      <w:r w:rsidR="007C6705" w:rsidRPr="007129F3">
        <w:rPr>
          <w:rFonts w:ascii="Times New Roman" w:hAnsi="Times New Roman"/>
        </w:rPr>
        <w:t xml:space="preserve"> A section of the long-term follow-up survey focusing on program experience will only be asked of program group respondents. It will have questions unique to participation in the Rent Reform Demonstration.</w:t>
      </w:r>
    </w:p>
    <w:p w:rsidR="00E80F50" w:rsidRPr="00E80F50" w:rsidRDefault="00E80F50" w:rsidP="00617C58">
      <w:pPr>
        <w:pStyle w:val="ListParagraph"/>
        <w:ind w:left="0" w:firstLine="720"/>
        <w:rPr>
          <w:b/>
        </w:rPr>
      </w:pPr>
    </w:p>
    <w:p w:rsidR="00E80F50" w:rsidRPr="00290413" w:rsidRDefault="00E80F50" w:rsidP="00290413">
      <w:pPr>
        <w:pStyle w:val="ListParagraph"/>
        <w:ind w:left="540"/>
        <w:rPr>
          <w:rFonts w:ascii="Helvetica" w:hAnsi="Helvetica"/>
          <w:b/>
        </w:rPr>
      </w:pPr>
      <w:r w:rsidRPr="00290413">
        <w:rPr>
          <w:rFonts w:ascii="Helvetica" w:hAnsi="Helvetica"/>
          <w:b/>
        </w:rPr>
        <w:t xml:space="preserve">C. </w:t>
      </w:r>
      <w:r w:rsidR="00290413" w:rsidRPr="00290413">
        <w:rPr>
          <w:rFonts w:ascii="Helvetica" w:hAnsi="Helvetica"/>
          <w:b/>
        </w:rPr>
        <w:t xml:space="preserve"> </w:t>
      </w:r>
      <w:r w:rsidRPr="00290413">
        <w:rPr>
          <w:rFonts w:ascii="Helvetica" w:hAnsi="Helvetica"/>
          <w:b/>
        </w:rPr>
        <w:t>Counterfactual and service context</w:t>
      </w:r>
    </w:p>
    <w:p w:rsidR="00E80F50" w:rsidRPr="007F1D4D" w:rsidRDefault="00E80F50" w:rsidP="00617C58">
      <w:pPr>
        <w:pStyle w:val="ListParagraph"/>
        <w:ind w:left="0"/>
        <w:rPr>
          <w:b/>
        </w:rPr>
      </w:pPr>
    </w:p>
    <w:p w:rsidR="00E80F50" w:rsidRPr="00364A8A" w:rsidRDefault="00E80F50" w:rsidP="00617C58">
      <w:pPr>
        <w:pStyle w:val="ListParagraph"/>
        <w:ind w:left="0"/>
      </w:pPr>
      <w:r w:rsidRPr="00010FEB">
        <w:t xml:space="preserve">Knowing not only the control group’s outcomes, but also the </w:t>
      </w:r>
      <w:r w:rsidRPr="00010FEB">
        <w:rPr>
          <w:i/>
        </w:rPr>
        <w:t>“treatment”</w:t>
      </w:r>
      <w:r w:rsidRPr="00010FEB">
        <w:t xml:space="preserve"> they receive is crucial to making sense of impact findings in any random assignment trial. P</w:t>
      </w:r>
      <w:r w:rsidRPr="00375C2A">
        <w:t xml:space="preserve">ut differently, what a randomized trial tests is not simply the effects of an intervention for the program group, but, rather, </w:t>
      </w:r>
      <w:r w:rsidRPr="00364A8A">
        <w:rPr>
          <w:i/>
        </w:rPr>
        <w:t>the difference in treatment</w:t>
      </w:r>
      <w:r w:rsidRPr="00364A8A">
        <w:t xml:space="preserve"> between the program and control groups, which is what produces the </w:t>
      </w:r>
      <w:r w:rsidRPr="00364A8A">
        <w:rPr>
          <w:i/>
        </w:rPr>
        <w:t>difference in outcomes</w:t>
      </w:r>
      <w:r w:rsidRPr="00364A8A">
        <w:t xml:space="preserve"> (or program “impacts” or effects) between those two groups. This is critical because it will influence what the experiment </w:t>
      </w:r>
      <w:r w:rsidRPr="00364A8A">
        <w:rPr>
          <w:i/>
        </w:rPr>
        <w:t>actually</w:t>
      </w:r>
      <w:r w:rsidRPr="00364A8A">
        <w:t xml:space="preserve"> tests.  </w:t>
      </w:r>
    </w:p>
    <w:p w:rsidR="00E80F50" w:rsidRPr="00364A8A" w:rsidRDefault="00E80F50" w:rsidP="00617C58">
      <w:pPr>
        <w:pStyle w:val="ListParagraph"/>
        <w:ind w:left="0"/>
      </w:pPr>
    </w:p>
    <w:p w:rsidR="00134AE3" w:rsidRDefault="00134AE3" w:rsidP="00134AE3">
      <w:pPr>
        <w:pStyle w:val="ListParagraph"/>
        <w:ind w:left="0"/>
      </w:pPr>
      <w:r>
        <w:t xml:space="preserve">For this </w:t>
      </w:r>
      <w:r w:rsidRPr="00595FCB">
        <w:t xml:space="preserve">demonstration, how much the MTW sites have </w:t>
      </w:r>
      <w:r w:rsidRPr="00595FCB">
        <w:rPr>
          <w:i/>
        </w:rPr>
        <w:t xml:space="preserve">already </w:t>
      </w:r>
      <w:r w:rsidRPr="00595FCB">
        <w:t xml:space="preserve">implemented some features of rent reform </w:t>
      </w:r>
      <w:r>
        <w:t xml:space="preserve">was a subject of initial exploration.  </w:t>
      </w:r>
      <w:r w:rsidRPr="00595FCB">
        <w:t>Our scan of MTW plans and reports indicate</w:t>
      </w:r>
      <w:r>
        <w:t>d</w:t>
      </w:r>
      <w:r w:rsidRPr="00595FCB">
        <w:t xml:space="preserve"> that MTW </w:t>
      </w:r>
      <w:r w:rsidR="00A658DA">
        <w:t>PHAs</w:t>
      </w:r>
      <w:r w:rsidRPr="00595FCB">
        <w:t xml:space="preserve"> have taken some steps in this direction, and some have moved quite far down the road. Thus, the benchmark against which the sites’ impacts would be judged differ, making the intervention (the alternative rent policy) a bigger change or a qualitatively different change in some sites than in others </w:t>
      </w:r>
      <w:r>
        <w:t>(</w:t>
      </w:r>
      <w:r w:rsidRPr="00595FCB">
        <w:t>to limit this problem, we have not selected sites that have already instituted wholesale rent reform</w:t>
      </w:r>
      <w:r>
        <w:t>)</w:t>
      </w:r>
      <w:r w:rsidRPr="00595FCB">
        <w:t xml:space="preserve">. </w:t>
      </w:r>
      <w:r>
        <w:t xml:space="preserve">For instance, we know that in the sites we </w:t>
      </w:r>
      <w:r w:rsidR="00425BB9">
        <w:t xml:space="preserve">have selected, </w:t>
      </w:r>
      <w:r>
        <w:t xml:space="preserve">the counterfactual will differ in terms of length of the current recertification period: some are annual, but </w:t>
      </w:r>
      <w:r w:rsidR="00602152">
        <w:t>one is</w:t>
      </w:r>
      <w:r>
        <w:t xml:space="preserve"> already biennial</w:t>
      </w:r>
      <w:r w:rsidRPr="003773C5">
        <w:t>.</w:t>
      </w:r>
      <w:r>
        <w:t xml:space="preserve"> </w:t>
      </w:r>
    </w:p>
    <w:p w:rsidR="00134AE3" w:rsidRDefault="00134AE3" w:rsidP="00134AE3">
      <w:pPr>
        <w:pStyle w:val="ListParagraph"/>
        <w:ind w:left="0"/>
      </w:pPr>
    </w:p>
    <w:p w:rsidR="00134AE3" w:rsidRDefault="00134AE3" w:rsidP="00134AE3">
      <w:pPr>
        <w:pStyle w:val="ListParagraph"/>
        <w:ind w:left="0"/>
      </w:pPr>
      <w:r w:rsidRPr="00595FCB">
        <w:t xml:space="preserve">The control group benchmarks could also differ </w:t>
      </w:r>
      <w:r>
        <w:t xml:space="preserve">across sites </w:t>
      </w:r>
      <w:r w:rsidRPr="00595FCB">
        <w:t xml:space="preserve">in terms of the intensity of services </w:t>
      </w:r>
      <w:r w:rsidR="00AC31B3">
        <w:t xml:space="preserve">available to study participants. For instance, </w:t>
      </w:r>
      <w:r w:rsidRPr="00595FCB">
        <w:t>the control group might receive more employment services in certain sites simply because those sites are located in “service-rich” environments, which might influence the effectiveness of the incentives. These circumstances of the control group will have very important implications for interpreting the impact findings and drawing lessons for policy.</w:t>
      </w:r>
      <w:r w:rsidRPr="00375C2A">
        <w:t xml:space="preserve">   </w:t>
      </w:r>
    </w:p>
    <w:p w:rsidR="009D7EA7" w:rsidRPr="00364A8A" w:rsidRDefault="009D7EA7" w:rsidP="00617C58">
      <w:pPr>
        <w:pStyle w:val="ListParagraph"/>
        <w:ind w:left="0"/>
      </w:pPr>
    </w:p>
    <w:p w:rsidR="00E80F50" w:rsidRPr="00010FEB" w:rsidRDefault="00E80F50" w:rsidP="00617C58">
      <w:pPr>
        <w:pStyle w:val="ListParagraph"/>
        <w:ind w:left="0"/>
      </w:pPr>
      <w:r w:rsidRPr="00364A8A">
        <w:t>The MDRC team would address this issue as part of its implementation research, drawing on information obtained in the</w:t>
      </w:r>
      <w:r w:rsidR="006E419F">
        <w:t xml:space="preserve"> PHA </w:t>
      </w:r>
      <w:r w:rsidRPr="007F1D4D">
        <w:t xml:space="preserve">site selection </w:t>
      </w:r>
      <w:r w:rsidR="00B60A8E">
        <w:t xml:space="preserve">discussions </w:t>
      </w:r>
      <w:r w:rsidRPr="007F1D4D">
        <w:t xml:space="preserve">and visits in which the alternative rent rules are discussed as part of TO1; through later interviews with </w:t>
      </w:r>
      <w:r w:rsidR="0003425B">
        <w:t>P</w:t>
      </w:r>
      <w:r w:rsidR="007F1D4D">
        <w:t>HA</w:t>
      </w:r>
      <w:r w:rsidRPr="007F1D4D">
        <w:t xml:space="preserve"> staff; through</w:t>
      </w:r>
      <w:r w:rsidR="006E419F">
        <w:t xml:space="preserve"> PHA </w:t>
      </w:r>
      <w:r w:rsidRPr="007F1D4D">
        <w:t xml:space="preserve">data on participation in </w:t>
      </w:r>
      <w:r w:rsidR="00E44226">
        <w:t xml:space="preserve">self-sufficiency programs </w:t>
      </w:r>
      <w:r w:rsidRPr="007F1D4D">
        <w:t xml:space="preserve">(where appropriate); and through the </w:t>
      </w:r>
      <w:r w:rsidR="00AC31B3">
        <w:t xml:space="preserve">participant </w:t>
      </w:r>
      <w:r w:rsidR="00FF2D14">
        <w:t>interviews</w:t>
      </w:r>
      <w:r w:rsidRPr="007F1D4D">
        <w:t xml:space="preserve">, which would ask </w:t>
      </w:r>
      <w:r w:rsidR="00AC31B3">
        <w:t>r</w:t>
      </w:r>
      <w:r w:rsidRPr="007F1D4D">
        <w:t xml:space="preserve">espondents about the extent to which they receive relevant work-related services.  </w:t>
      </w:r>
    </w:p>
    <w:p w:rsidR="00E80F50" w:rsidRPr="00375C2A" w:rsidRDefault="00E80F50" w:rsidP="00617C58">
      <w:pPr>
        <w:pStyle w:val="ListParagraph"/>
        <w:rPr>
          <w:b/>
        </w:rPr>
      </w:pPr>
    </w:p>
    <w:p w:rsidR="00E80F50" w:rsidRPr="00290413" w:rsidRDefault="00E80F50" w:rsidP="00290413">
      <w:pPr>
        <w:spacing w:line="240" w:lineRule="auto"/>
        <w:ind w:left="540" w:firstLine="0"/>
        <w:contextualSpacing/>
        <w:jc w:val="left"/>
        <w:rPr>
          <w:rFonts w:ascii="Helvetica" w:hAnsi="Helvetica"/>
          <w:b/>
        </w:rPr>
      </w:pPr>
      <w:r w:rsidRPr="00290413">
        <w:rPr>
          <w:rFonts w:ascii="Helvetica" w:hAnsi="Helvetica"/>
          <w:b/>
        </w:rPr>
        <w:t xml:space="preserve">D. </w:t>
      </w:r>
      <w:r w:rsidR="00290413">
        <w:rPr>
          <w:rFonts w:ascii="Helvetica" w:hAnsi="Helvetica"/>
          <w:b/>
        </w:rPr>
        <w:t xml:space="preserve"> </w:t>
      </w:r>
      <w:r w:rsidRPr="00290413">
        <w:rPr>
          <w:rFonts w:ascii="Helvetica" w:hAnsi="Helvetica"/>
          <w:b/>
        </w:rPr>
        <w:t xml:space="preserve">Measuring the effects on </w:t>
      </w:r>
      <w:r w:rsidR="008C0FF0" w:rsidRPr="00290413">
        <w:rPr>
          <w:rFonts w:ascii="Helvetica" w:hAnsi="Helvetica"/>
          <w:b/>
        </w:rPr>
        <w:t xml:space="preserve">residential mobility </w:t>
      </w:r>
      <w:r w:rsidRPr="00290413">
        <w:rPr>
          <w:rFonts w:ascii="Helvetica" w:hAnsi="Helvetica"/>
          <w:b/>
        </w:rPr>
        <w:t xml:space="preserve"> </w:t>
      </w:r>
    </w:p>
    <w:p w:rsidR="00E80F50" w:rsidRPr="00364A8A" w:rsidRDefault="00E80F50" w:rsidP="00617C58">
      <w:pPr>
        <w:spacing w:line="240" w:lineRule="auto"/>
        <w:ind w:firstLine="720"/>
        <w:contextualSpacing/>
        <w:jc w:val="left"/>
        <w:rPr>
          <w:rFonts w:ascii="Times New Roman" w:hAnsi="Times New Roman"/>
          <w:b/>
        </w:rPr>
      </w:pPr>
    </w:p>
    <w:p w:rsidR="00134AE3" w:rsidRPr="00364A8A" w:rsidRDefault="00134AE3" w:rsidP="00134AE3">
      <w:pPr>
        <w:spacing w:line="240" w:lineRule="auto"/>
        <w:ind w:firstLine="0"/>
        <w:contextualSpacing/>
        <w:jc w:val="left"/>
        <w:rPr>
          <w:rFonts w:ascii="Times New Roman" w:hAnsi="Times New Roman"/>
        </w:rPr>
      </w:pPr>
      <w:r>
        <w:rPr>
          <w:rFonts w:ascii="Times New Roman" w:hAnsi="Times New Roman"/>
        </w:rPr>
        <w:t>R</w:t>
      </w:r>
      <w:r w:rsidRPr="00364A8A">
        <w:rPr>
          <w:rFonts w:ascii="Times New Roman" w:hAnsi="Times New Roman"/>
        </w:rPr>
        <w:t xml:space="preserve">ent reform may affect the residential choices that voucher holders </w:t>
      </w:r>
      <w:r>
        <w:rPr>
          <w:rFonts w:ascii="Times New Roman" w:hAnsi="Times New Roman"/>
        </w:rPr>
        <w:t xml:space="preserve">make. For example, because the tenants’ rent share will remain fixed for each three-year recertification period, some tenants may choose to move to higher-cost apartments or neighborhoods if they increase their earnings and keep more of their extra income. </w:t>
      </w:r>
      <w:r w:rsidRPr="00364A8A">
        <w:rPr>
          <w:rFonts w:ascii="Times New Roman" w:hAnsi="Times New Roman"/>
        </w:rPr>
        <w:t xml:space="preserve"> </w:t>
      </w:r>
    </w:p>
    <w:p w:rsidR="00E80F50" w:rsidRPr="00364A8A" w:rsidRDefault="00E80F50" w:rsidP="00617C58">
      <w:pPr>
        <w:spacing w:line="240" w:lineRule="auto"/>
        <w:contextualSpacing/>
        <w:jc w:val="left"/>
        <w:rPr>
          <w:rFonts w:ascii="Times New Roman" w:hAnsi="Times New Roman"/>
        </w:rPr>
      </w:pPr>
    </w:p>
    <w:p w:rsidR="00E80F50" w:rsidRPr="00364A8A" w:rsidRDefault="00E80F50" w:rsidP="005636E0">
      <w:pPr>
        <w:spacing w:line="240" w:lineRule="auto"/>
        <w:ind w:firstLine="0"/>
        <w:contextualSpacing/>
        <w:jc w:val="left"/>
        <w:rPr>
          <w:rFonts w:ascii="Times New Roman" w:hAnsi="Times New Roman"/>
        </w:rPr>
      </w:pPr>
      <w:r w:rsidRPr="00364A8A">
        <w:rPr>
          <w:rFonts w:ascii="Times New Roman" w:hAnsi="Times New Roman"/>
        </w:rPr>
        <w:t xml:space="preserve">For voucher holders, we would rely on </w:t>
      </w:r>
      <w:r w:rsidR="00B54408">
        <w:rPr>
          <w:rFonts w:ascii="Times New Roman" w:hAnsi="Times New Roman"/>
        </w:rPr>
        <w:t xml:space="preserve">HUD 50058 </w:t>
      </w:r>
      <w:r w:rsidRPr="00364A8A">
        <w:rPr>
          <w:rFonts w:ascii="Times New Roman" w:hAnsi="Times New Roman"/>
        </w:rPr>
        <w:t>data to track overall mobility rates for treatment and control groups</w:t>
      </w:r>
      <w:r w:rsidR="005636E0">
        <w:rPr>
          <w:rFonts w:ascii="Times New Roman" w:hAnsi="Times New Roman"/>
        </w:rPr>
        <w:t>.</w:t>
      </w:r>
      <w:r w:rsidRPr="00364A8A">
        <w:rPr>
          <w:rFonts w:ascii="Times New Roman" w:hAnsi="Times New Roman"/>
        </w:rPr>
        <w:t xml:space="preserve"> </w:t>
      </w:r>
    </w:p>
    <w:p w:rsidR="00E07A41" w:rsidRDefault="00E07A41" w:rsidP="00542556">
      <w:pPr>
        <w:spacing w:line="240" w:lineRule="auto"/>
        <w:ind w:firstLine="0"/>
        <w:rPr>
          <w:rFonts w:ascii="Times New Roman" w:hAnsi="Times New Roman"/>
          <w:b/>
        </w:rPr>
      </w:pPr>
    </w:p>
    <w:p w:rsidR="004C70A4" w:rsidRPr="004C70A4" w:rsidRDefault="004C70A4" w:rsidP="0064554E">
      <w:pPr>
        <w:pStyle w:val="OMBNumberBullets"/>
      </w:pPr>
      <w:r w:rsidRPr="004C70A4">
        <w:t>Indicate how, by whom, and for what purpose the information is to be used. Except for a new collection, indicate the actual use the agency has made of the information received from the current collection.</w:t>
      </w:r>
    </w:p>
    <w:p w:rsidR="00E07A41" w:rsidRDefault="00E07A41" w:rsidP="00542556">
      <w:pPr>
        <w:pStyle w:val="ParagraphLAST"/>
        <w:spacing w:after="0" w:line="240" w:lineRule="auto"/>
        <w:jc w:val="left"/>
        <w:rPr>
          <w:rFonts w:ascii="Times New Roman" w:hAnsi="Times New Roman"/>
          <w:b/>
        </w:rPr>
      </w:pPr>
    </w:p>
    <w:p w:rsidR="00DC7C95" w:rsidRPr="00290413" w:rsidRDefault="00DC7C95" w:rsidP="00290413">
      <w:pPr>
        <w:pStyle w:val="ParagraphLAST"/>
        <w:spacing w:after="0" w:line="240" w:lineRule="auto"/>
        <w:ind w:firstLine="540"/>
        <w:jc w:val="left"/>
        <w:rPr>
          <w:rFonts w:ascii="Helvetica" w:hAnsi="Helvetica" w:cs="Arial"/>
          <w:b/>
        </w:rPr>
      </w:pPr>
      <w:r w:rsidRPr="00290413">
        <w:rPr>
          <w:rFonts w:ascii="Helvetica" w:hAnsi="Helvetica" w:cs="Arial"/>
          <w:b/>
        </w:rPr>
        <w:t>How the Information will be used?</w:t>
      </w:r>
    </w:p>
    <w:p w:rsidR="00E07A41" w:rsidRDefault="00E07A41" w:rsidP="00542556">
      <w:pPr>
        <w:pStyle w:val="ParagraphLAST"/>
        <w:spacing w:after="0" w:line="240" w:lineRule="auto"/>
        <w:jc w:val="left"/>
        <w:rPr>
          <w:rFonts w:ascii="Times New Roman" w:hAnsi="Times New Roman"/>
        </w:rPr>
      </w:pPr>
    </w:p>
    <w:p w:rsidR="00DC7C95" w:rsidRPr="00350C81" w:rsidRDefault="00DC7C95" w:rsidP="00C33231">
      <w:pPr>
        <w:pStyle w:val="ParagraphLAST"/>
        <w:spacing w:after="0" w:line="240" w:lineRule="auto"/>
        <w:ind w:firstLine="0"/>
        <w:jc w:val="left"/>
        <w:rPr>
          <w:rFonts w:ascii="Times New Roman" w:hAnsi="Times New Roman"/>
        </w:rPr>
      </w:pPr>
      <w:r w:rsidRPr="00701A90">
        <w:rPr>
          <w:rFonts w:ascii="Times New Roman" w:hAnsi="Times New Roman"/>
        </w:rPr>
        <w:t xml:space="preserve">The findings from the study will be used to inform the Federal government, </w:t>
      </w:r>
      <w:r w:rsidR="005636E0" w:rsidRPr="00701A90">
        <w:rPr>
          <w:rFonts w:ascii="Times New Roman" w:hAnsi="Times New Roman"/>
        </w:rPr>
        <w:t xml:space="preserve">public </w:t>
      </w:r>
      <w:r w:rsidR="009C5A63" w:rsidRPr="00701A90">
        <w:rPr>
          <w:rFonts w:ascii="Times New Roman" w:hAnsi="Times New Roman"/>
        </w:rPr>
        <w:t xml:space="preserve">housing </w:t>
      </w:r>
      <w:r w:rsidR="005636E0" w:rsidRPr="00701A90">
        <w:rPr>
          <w:rFonts w:ascii="Times New Roman" w:hAnsi="Times New Roman"/>
        </w:rPr>
        <w:t>agencies</w:t>
      </w:r>
      <w:r w:rsidR="009C5A63" w:rsidRPr="00701A90">
        <w:rPr>
          <w:rFonts w:ascii="Times New Roman" w:hAnsi="Times New Roman"/>
        </w:rPr>
        <w:t>,</w:t>
      </w:r>
      <w:r w:rsidRPr="00701A90">
        <w:rPr>
          <w:rFonts w:ascii="Times New Roman" w:hAnsi="Times New Roman"/>
        </w:rPr>
        <w:t xml:space="preserve"> and other stakehol</w:t>
      </w:r>
      <w:r w:rsidR="007D58BF" w:rsidRPr="00701A90">
        <w:rPr>
          <w:rFonts w:ascii="Times New Roman" w:hAnsi="Times New Roman"/>
        </w:rPr>
        <w:t xml:space="preserve">ders about the effectiveness of </w:t>
      </w:r>
      <w:r w:rsidR="009B6041" w:rsidRPr="00701A90">
        <w:rPr>
          <w:rFonts w:ascii="Times New Roman" w:hAnsi="Times New Roman"/>
        </w:rPr>
        <w:t xml:space="preserve">the </w:t>
      </w:r>
      <w:r w:rsidR="007D58BF" w:rsidRPr="00701A90">
        <w:rPr>
          <w:rFonts w:ascii="Times New Roman" w:hAnsi="Times New Roman"/>
        </w:rPr>
        <w:t>alternative rent polic</w:t>
      </w:r>
      <w:r w:rsidR="00010FEB" w:rsidRPr="00701A90">
        <w:rPr>
          <w:rFonts w:ascii="Times New Roman" w:hAnsi="Times New Roman"/>
        </w:rPr>
        <w:t xml:space="preserve">y. </w:t>
      </w:r>
      <w:r w:rsidR="00350C81" w:rsidRPr="00701A90">
        <w:rPr>
          <w:rFonts w:ascii="Times New Roman" w:hAnsi="Times New Roman"/>
        </w:rPr>
        <w:t>Specifically, the</w:t>
      </w:r>
      <w:r w:rsidR="00701A90">
        <w:rPr>
          <w:rFonts w:ascii="Times New Roman" w:hAnsi="Times New Roman"/>
        </w:rPr>
        <w:t xml:space="preserve"> follow-up survey will document and contextualize administrative data findings related to employment, earnings, and hardship and study participants’ experience with the demonstration.  </w:t>
      </w:r>
    </w:p>
    <w:p w:rsidR="004B740F" w:rsidRDefault="004B740F" w:rsidP="004B740F">
      <w:pPr>
        <w:pStyle w:val="ParagraphLAST"/>
        <w:spacing w:after="0" w:line="240" w:lineRule="auto"/>
        <w:ind w:firstLine="0"/>
        <w:jc w:val="left"/>
      </w:pPr>
    </w:p>
    <w:p w:rsidR="00DC7C95" w:rsidRPr="00290413" w:rsidRDefault="004B740F" w:rsidP="00290413">
      <w:pPr>
        <w:pStyle w:val="ParagraphLAST"/>
        <w:tabs>
          <w:tab w:val="clear" w:pos="432"/>
          <w:tab w:val="left" w:pos="450"/>
        </w:tabs>
        <w:spacing w:after="0" w:line="240" w:lineRule="auto"/>
        <w:ind w:firstLine="0"/>
        <w:jc w:val="left"/>
        <w:rPr>
          <w:rFonts w:ascii="Helvetica" w:hAnsi="Helvetica" w:cs="Arial"/>
        </w:rPr>
      </w:pPr>
      <w:r w:rsidRPr="004B740F">
        <w:rPr>
          <w:rFonts w:ascii="Arial" w:hAnsi="Arial" w:cs="Arial"/>
        </w:rPr>
        <w:tab/>
      </w:r>
      <w:r w:rsidR="00DC7C95" w:rsidRPr="00290413">
        <w:rPr>
          <w:rFonts w:ascii="Helvetica" w:hAnsi="Helvetica" w:cs="Arial"/>
          <w:b/>
        </w:rPr>
        <w:t xml:space="preserve">Who </w:t>
      </w:r>
      <w:r w:rsidR="00D84C8E" w:rsidRPr="00290413">
        <w:rPr>
          <w:rFonts w:ascii="Helvetica" w:hAnsi="Helvetica" w:cs="Arial"/>
          <w:b/>
        </w:rPr>
        <w:t>w</w:t>
      </w:r>
      <w:r w:rsidR="00DC7C95" w:rsidRPr="00290413">
        <w:rPr>
          <w:rFonts w:ascii="Helvetica" w:hAnsi="Helvetica" w:cs="Arial"/>
          <w:b/>
        </w:rPr>
        <w:t xml:space="preserve">ill </w:t>
      </w:r>
      <w:r w:rsidR="00D84C8E" w:rsidRPr="00290413">
        <w:rPr>
          <w:rFonts w:ascii="Helvetica" w:hAnsi="Helvetica" w:cs="Arial"/>
          <w:b/>
        </w:rPr>
        <w:t>c</w:t>
      </w:r>
      <w:r w:rsidR="00DC7C95" w:rsidRPr="00290413">
        <w:rPr>
          <w:rFonts w:ascii="Helvetica" w:hAnsi="Helvetica" w:cs="Arial"/>
          <w:b/>
        </w:rPr>
        <w:t xml:space="preserve">ollect the </w:t>
      </w:r>
      <w:r w:rsidR="00D84C8E" w:rsidRPr="00290413">
        <w:rPr>
          <w:rFonts w:ascii="Helvetica" w:hAnsi="Helvetica" w:cs="Arial"/>
          <w:b/>
        </w:rPr>
        <w:t>i</w:t>
      </w:r>
      <w:r w:rsidR="00DC7C95" w:rsidRPr="00290413">
        <w:rPr>
          <w:rFonts w:ascii="Helvetica" w:hAnsi="Helvetica" w:cs="Arial"/>
          <w:b/>
        </w:rPr>
        <w:t>nformation</w:t>
      </w:r>
      <w:r w:rsidR="006A5FA6" w:rsidRPr="00290413">
        <w:rPr>
          <w:rFonts w:ascii="Helvetica" w:hAnsi="Helvetica" w:cs="Arial"/>
          <w:b/>
        </w:rPr>
        <w:t>?</w:t>
      </w:r>
    </w:p>
    <w:p w:rsidR="00E07A41" w:rsidRDefault="00E07A41" w:rsidP="00542556">
      <w:pPr>
        <w:pStyle w:val="ParagraphLAST"/>
        <w:spacing w:after="0" w:line="240" w:lineRule="auto"/>
        <w:jc w:val="left"/>
        <w:rPr>
          <w:rFonts w:ascii="Times New Roman" w:hAnsi="Times New Roman"/>
        </w:rPr>
      </w:pPr>
    </w:p>
    <w:p w:rsidR="001C32FF" w:rsidRDefault="00DC08C0" w:rsidP="00371E74">
      <w:pPr>
        <w:pStyle w:val="ParagraphLAST"/>
        <w:spacing w:after="0" w:line="240" w:lineRule="auto"/>
        <w:ind w:firstLine="0"/>
        <w:jc w:val="left"/>
        <w:rPr>
          <w:rFonts w:ascii="Times New Roman" w:hAnsi="Times New Roman"/>
        </w:rPr>
      </w:pPr>
      <w:r>
        <w:rPr>
          <w:rFonts w:ascii="Times New Roman" w:hAnsi="Times New Roman"/>
        </w:rPr>
        <w:t xml:space="preserve">Under the </w:t>
      </w:r>
      <w:r w:rsidR="00FF630C">
        <w:rPr>
          <w:rFonts w:ascii="Times New Roman" w:hAnsi="Times New Roman"/>
        </w:rPr>
        <w:t>TO1</w:t>
      </w:r>
      <w:r>
        <w:rPr>
          <w:rFonts w:ascii="Times New Roman" w:hAnsi="Times New Roman"/>
        </w:rPr>
        <w:t>, b</w:t>
      </w:r>
      <w:r w:rsidR="00B95862" w:rsidRPr="00B95862">
        <w:rPr>
          <w:rFonts w:ascii="Times New Roman" w:hAnsi="Times New Roman"/>
        </w:rPr>
        <w:t xml:space="preserve">aseline data </w:t>
      </w:r>
      <w:r w:rsidR="008E2097">
        <w:rPr>
          <w:rFonts w:ascii="Times New Roman" w:hAnsi="Times New Roman"/>
        </w:rPr>
        <w:t>were</w:t>
      </w:r>
      <w:r w:rsidR="00B95862" w:rsidRPr="00B95862">
        <w:rPr>
          <w:rFonts w:ascii="Times New Roman" w:hAnsi="Times New Roman"/>
        </w:rPr>
        <w:t xml:space="preserve"> collected through interviews administered by </w:t>
      </w:r>
      <w:r w:rsidR="00B95862">
        <w:rPr>
          <w:rFonts w:ascii="Times New Roman" w:hAnsi="Times New Roman"/>
        </w:rPr>
        <w:t xml:space="preserve">housing </w:t>
      </w:r>
      <w:r w:rsidR="004E5E4F">
        <w:rPr>
          <w:rFonts w:ascii="Times New Roman" w:hAnsi="Times New Roman"/>
        </w:rPr>
        <w:t xml:space="preserve">agency </w:t>
      </w:r>
      <w:r w:rsidR="00B95862" w:rsidRPr="00B95862">
        <w:rPr>
          <w:rFonts w:ascii="Times New Roman" w:hAnsi="Times New Roman"/>
        </w:rPr>
        <w:t>staff during recertification</w:t>
      </w:r>
      <w:r w:rsidR="00F6177F">
        <w:rPr>
          <w:rFonts w:ascii="Times New Roman" w:hAnsi="Times New Roman"/>
        </w:rPr>
        <w:t xml:space="preserve"> and from housing </w:t>
      </w:r>
      <w:r w:rsidR="004E5E4F">
        <w:rPr>
          <w:rFonts w:ascii="Times New Roman" w:hAnsi="Times New Roman"/>
        </w:rPr>
        <w:t xml:space="preserve">agency </w:t>
      </w:r>
      <w:r w:rsidR="00F6177F">
        <w:rPr>
          <w:rFonts w:ascii="Times New Roman" w:hAnsi="Times New Roman"/>
        </w:rPr>
        <w:t>or HUD data.</w:t>
      </w:r>
      <w:r w:rsidR="00B95862" w:rsidRPr="00B95862">
        <w:rPr>
          <w:rFonts w:ascii="Times New Roman" w:hAnsi="Times New Roman"/>
        </w:rPr>
        <w:t xml:space="preserve"> </w:t>
      </w:r>
      <w:r w:rsidR="00AC31B3" w:rsidRPr="00617C58">
        <w:rPr>
          <w:rFonts w:ascii="Times New Roman" w:hAnsi="Times New Roman"/>
        </w:rPr>
        <w:t xml:space="preserve">Study participants </w:t>
      </w:r>
      <w:r w:rsidR="00AC31B3">
        <w:rPr>
          <w:rFonts w:ascii="Times New Roman" w:hAnsi="Times New Roman"/>
        </w:rPr>
        <w:t xml:space="preserve">were </w:t>
      </w:r>
      <w:r w:rsidR="00AC31B3" w:rsidRPr="00617C58">
        <w:rPr>
          <w:rFonts w:ascii="Times New Roman" w:hAnsi="Times New Roman"/>
        </w:rPr>
        <w:t xml:space="preserve">also provided </w:t>
      </w:r>
      <w:r w:rsidR="00AC31B3">
        <w:rPr>
          <w:rFonts w:ascii="Times New Roman" w:hAnsi="Times New Roman"/>
        </w:rPr>
        <w:t xml:space="preserve">with </w:t>
      </w:r>
      <w:r w:rsidR="00AC31B3" w:rsidRPr="00617C58">
        <w:rPr>
          <w:rFonts w:ascii="Times New Roman" w:hAnsi="Times New Roman"/>
        </w:rPr>
        <w:t xml:space="preserve">a brief information sheet </w:t>
      </w:r>
      <w:r w:rsidR="00AC31B3">
        <w:rPr>
          <w:rFonts w:ascii="Times New Roman" w:hAnsi="Times New Roman"/>
        </w:rPr>
        <w:t>that</w:t>
      </w:r>
      <w:r w:rsidR="00AC31B3" w:rsidRPr="00617C58">
        <w:rPr>
          <w:rFonts w:ascii="Times New Roman" w:hAnsi="Times New Roman"/>
          <w:lang w:val="yo-NG"/>
        </w:rPr>
        <w:t xml:space="preserve"> </w:t>
      </w:r>
      <w:r w:rsidR="00AC31B3" w:rsidRPr="00617C58">
        <w:rPr>
          <w:rFonts w:ascii="Times New Roman" w:hAnsi="Times New Roman"/>
        </w:rPr>
        <w:t>ensure</w:t>
      </w:r>
      <w:r w:rsidR="008E2097">
        <w:rPr>
          <w:rFonts w:ascii="Times New Roman" w:hAnsi="Times New Roman"/>
        </w:rPr>
        <w:t>d</w:t>
      </w:r>
      <w:r w:rsidR="00AC31B3" w:rsidRPr="00617C58">
        <w:rPr>
          <w:rFonts w:ascii="Times New Roman" w:hAnsi="Times New Roman"/>
        </w:rPr>
        <w:t xml:space="preserve"> that </w:t>
      </w:r>
      <w:r w:rsidR="00AC31B3">
        <w:rPr>
          <w:rFonts w:ascii="Times New Roman" w:hAnsi="Times New Roman"/>
        </w:rPr>
        <w:t xml:space="preserve">they </w:t>
      </w:r>
      <w:r w:rsidR="00AC31B3" w:rsidRPr="00617C58">
        <w:rPr>
          <w:rFonts w:ascii="Times New Roman" w:hAnsi="Times New Roman"/>
        </w:rPr>
        <w:t>underst</w:t>
      </w:r>
      <w:r w:rsidR="008E2097">
        <w:rPr>
          <w:rFonts w:ascii="Times New Roman" w:hAnsi="Times New Roman"/>
        </w:rPr>
        <w:t>oo</w:t>
      </w:r>
      <w:r w:rsidR="00AC31B3" w:rsidRPr="00617C58">
        <w:rPr>
          <w:rFonts w:ascii="Times New Roman" w:hAnsi="Times New Roman"/>
        </w:rPr>
        <w:t xml:space="preserve">d the demonstration, as well as their role and rights within the study. </w:t>
      </w:r>
      <w:r w:rsidR="00AC31B3">
        <w:rPr>
          <w:rFonts w:ascii="Times New Roman" w:hAnsi="Times New Roman"/>
        </w:rPr>
        <w:t xml:space="preserve"> This form was approved under the </w:t>
      </w:r>
      <w:r w:rsidR="00CA1BBB">
        <w:rPr>
          <w:rFonts w:ascii="Times New Roman" w:hAnsi="Times New Roman"/>
        </w:rPr>
        <w:t xml:space="preserve">study’s original submission to OMB under </w:t>
      </w:r>
      <w:r w:rsidR="00AC31B3">
        <w:rPr>
          <w:rFonts w:ascii="Times New Roman" w:hAnsi="Times New Roman"/>
        </w:rPr>
        <w:t xml:space="preserve">TO1. </w:t>
      </w:r>
      <w:r w:rsidR="005636E0">
        <w:rPr>
          <w:rFonts w:ascii="Times New Roman" w:hAnsi="Times New Roman"/>
        </w:rPr>
        <w:t xml:space="preserve">Under </w:t>
      </w:r>
      <w:r w:rsidR="00FF630C">
        <w:rPr>
          <w:rFonts w:ascii="Times New Roman" w:hAnsi="Times New Roman"/>
        </w:rPr>
        <w:t>TO2</w:t>
      </w:r>
      <w:r w:rsidR="00D9357C">
        <w:rPr>
          <w:rFonts w:ascii="Times New Roman" w:hAnsi="Times New Roman"/>
        </w:rPr>
        <w:t xml:space="preserve">, </w:t>
      </w:r>
      <w:r w:rsidR="005636E0">
        <w:rPr>
          <w:rFonts w:ascii="Times New Roman" w:hAnsi="Times New Roman"/>
        </w:rPr>
        <w:t>t</w:t>
      </w:r>
      <w:r w:rsidR="00DC7C95" w:rsidRPr="00B95862">
        <w:rPr>
          <w:rFonts w:ascii="Times New Roman" w:hAnsi="Times New Roman"/>
        </w:rPr>
        <w:t xml:space="preserve">he </w:t>
      </w:r>
      <w:r>
        <w:rPr>
          <w:rFonts w:ascii="Times New Roman" w:hAnsi="Times New Roman"/>
        </w:rPr>
        <w:t xml:space="preserve">longer-term evaluation </w:t>
      </w:r>
      <w:r w:rsidR="00DC7C95" w:rsidRPr="00B95862">
        <w:rPr>
          <w:rFonts w:ascii="Times New Roman" w:hAnsi="Times New Roman"/>
        </w:rPr>
        <w:t>collect</w:t>
      </w:r>
      <w:r w:rsidR="008E2097">
        <w:rPr>
          <w:rFonts w:ascii="Times New Roman" w:hAnsi="Times New Roman"/>
        </w:rPr>
        <w:t>ed</w:t>
      </w:r>
      <w:r w:rsidR="00DC7C95" w:rsidRPr="00B95862">
        <w:rPr>
          <w:rFonts w:ascii="Times New Roman" w:hAnsi="Times New Roman"/>
        </w:rPr>
        <w:t xml:space="preserve"> </w:t>
      </w:r>
      <w:r w:rsidR="00115E00" w:rsidRPr="00B95862">
        <w:rPr>
          <w:rFonts w:ascii="Times New Roman" w:hAnsi="Times New Roman"/>
        </w:rPr>
        <w:t xml:space="preserve">follow-up data </w:t>
      </w:r>
      <w:r w:rsidR="00DC7C95" w:rsidRPr="00B95862">
        <w:rPr>
          <w:rFonts w:ascii="Times New Roman" w:hAnsi="Times New Roman"/>
        </w:rPr>
        <w:t>through interviews with key informants</w:t>
      </w:r>
      <w:r w:rsidR="007D58BF" w:rsidRPr="00B95862">
        <w:rPr>
          <w:rFonts w:ascii="Times New Roman" w:hAnsi="Times New Roman"/>
        </w:rPr>
        <w:t xml:space="preserve"> and access to housing </w:t>
      </w:r>
      <w:r w:rsidR="004E5E4F">
        <w:rPr>
          <w:rFonts w:ascii="Times New Roman" w:hAnsi="Times New Roman"/>
        </w:rPr>
        <w:t>agency</w:t>
      </w:r>
      <w:r w:rsidR="00AE378A">
        <w:rPr>
          <w:rFonts w:ascii="Times New Roman" w:hAnsi="Times New Roman"/>
        </w:rPr>
        <w:t xml:space="preserve">/ </w:t>
      </w:r>
      <w:r w:rsidR="007D58BF" w:rsidRPr="00B95862">
        <w:rPr>
          <w:rFonts w:ascii="Times New Roman" w:hAnsi="Times New Roman"/>
        </w:rPr>
        <w:t>HUD data</w:t>
      </w:r>
      <w:r w:rsidR="00AE378A">
        <w:rPr>
          <w:rFonts w:ascii="Times New Roman" w:hAnsi="Times New Roman"/>
        </w:rPr>
        <w:t xml:space="preserve"> and other administrative records (</w:t>
      </w:r>
      <w:r w:rsidR="00D9357C">
        <w:rPr>
          <w:rFonts w:ascii="Times New Roman" w:hAnsi="Times New Roman"/>
        </w:rPr>
        <w:t>employment</w:t>
      </w:r>
      <w:r w:rsidR="00BE1C4C">
        <w:rPr>
          <w:rFonts w:ascii="Times New Roman" w:hAnsi="Times New Roman"/>
        </w:rPr>
        <w:t xml:space="preserve"> records</w:t>
      </w:r>
      <w:r w:rsidR="00AE378A">
        <w:rPr>
          <w:rFonts w:ascii="Times New Roman" w:hAnsi="Times New Roman"/>
        </w:rPr>
        <w:t>, for example)</w:t>
      </w:r>
      <w:r w:rsidR="007D58BF" w:rsidRPr="00B95862">
        <w:rPr>
          <w:rFonts w:ascii="Times New Roman" w:hAnsi="Times New Roman"/>
        </w:rPr>
        <w:t xml:space="preserve">. </w:t>
      </w:r>
      <w:r w:rsidR="00AC31B3">
        <w:rPr>
          <w:rFonts w:ascii="Times New Roman" w:hAnsi="Times New Roman"/>
        </w:rPr>
        <w:t>As with the baseline data, and in an effort to limit data collection burden on participants, the participant interviews focus</w:t>
      </w:r>
      <w:r w:rsidR="008E2097">
        <w:rPr>
          <w:rFonts w:ascii="Times New Roman" w:hAnsi="Times New Roman"/>
        </w:rPr>
        <w:t>ed</w:t>
      </w:r>
      <w:r w:rsidR="00AC31B3">
        <w:rPr>
          <w:rFonts w:ascii="Times New Roman" w:hAnsi="Times New Roman"/>
        </w:rPr>
        <w:t xml:space="preserve"> on information that is not readily available in available data sources (or not available in the format required for the evaluation).</w:t>
      </w:r>
      <w:r w:rsidR="008E2097">
        <w:rPr>
          <w:rFonts w:ascii="Times New Roman" w:hAnsi="Times New Roman"/>
        </w:rPr>
        <w:t xml:space="preserve"> Under a new contract, Decision Information </w:t>
      </w:r>
      <w:r w:rsidR="00A22BED">
        <w:rPr>
          <w:rFonts w:ascii="Times New Roman" w:hAnsi="Times New Roman"/>
        </w:rPr>
        <w:t>R</w:t>
      </w:r>
      <w:r w:rsidR="008E2097">
        <w:rPr>
          <w:rFonts w:ascii="Times New Roman" w:hAnsi="Times New Roman"/>
        </w:rPr>
        <w:t xml:space="preserve">esources, Inc. </w:t>
      </w:r>
      <w:r w:rsidR="008E2097" w:rsidRPr="00090FB7">
        <w:rPr>
          <w:rFonts w:ascii="Times New Roman" w:hAnsi="Times New Roman"/>
        </w:rPr>
        <w:t xml:space="preserve">will collect </w:t>
      </w:r>
      <w:r w:rsidR="00A22BED" w:rsidRPr="00090FB7">
        <w:rPr>
          <w:rFonts w:ascii="Times New Roman" w:hAnsi="Times New Roman"/>
        </w:rPr>
        <w:t>data through a long</w:t>
      </w:r>
      <w:r w:rsidR="00AB7B52">
        <w:rPr>
          <w:rFonts w:ascii="Times New Roman" w:hAnsi="Times New Roman"/>
        </w:rPr>
        <w:t>-</w:t>
      </w:r>
      <w:r w:rsidR="00A22BED" w:rsidRPr="00090FB7">
        <w:rPr>
          <w:rFonts w:ascii="Times New Roman" w:hAnsi="Times New Roman"/>
        </w:rPr>
        <w:t>term</w:t>
      </w:r>
      <w:r w:rsidR="009535C7">
        <w:rPr>
          <w:rFonts w:ascii="Times New Roman" w:hAnsi="Times New Roman"/>
        </w:rPr>
        <w:t xml:space="preserve"> </w:t>
      </w:r>
      <w:r w:rsidR="00A22BED" w:rsidRPr="00090FB7">
        <w:rPr>
          <w:rFonts w:ascii="Times New Roman" w:hAnsi="Times New Roman"/>
        </w:rPr>
        <w:t>follow-up survey</w:t>
      </w:r>
      <w:r w:rsidR="0003425B">
        <w:rPr>
          <w:rFonts w:ascii="Times New Roman" w:hAnsi="Times New Roman"/>
        </w:rPr>
        <w:t xml:space="preserve"> (Appendix A)</w:t>
      </w:r>
      <w:r w:rsidR="00A22BED" w:rsidRPr="00090FB7">
        <w:rPr>
          <w:rFonts w:ascii="Times New Roman" w:hAnsi="Times New Roman"/>
        </w:rPr>
        <w:t>.</w:t>
      </w:r>
    </w:p>
    <w:p w:rsidR="00371E74" w:rsidRPr="00371E74" w:rsidRDefault="00371E74" w:rsidP="00371E74"/>
    <w:p w:rsidR="00371E74" w:rsidRDefault="002B67BB" w:rsidP="00371E74">
      <w:pPr>
        <w:pStyle w:val="ParagraphLAST"/>
        <w:tabs>
          <w:tab w:val="clear" w:pos="432"/>
          <w:tab w:val="left" w:pos="0"/>
        </w:tabs>
        <w:spacing w:after="0" w:line="240" w:lineRule="auto"/>
        <w:ind w:firstLine="0"/>
        <w:jc w:val="left"/>
        <w:rPr>
          <w:rFonts w:ascii="Times New Roman" w:hAnsi="Times New Roman"/>
        </w:rPr>
      </w:pPr>
      <w:r>
        <w:rPr>
          <w:rFonts w:ascii="Times New Roman" w:hAnsi="Times New Roman"/>
        </w:rPr>
        <w:t>I</w:t>
      </w:r>
      <w:r w:rsidRPr="001E107A">
        <w:rPr>
          <w:rFonts w:ascii="Times New Roman" w:hAnsi="Times New Roman"/>
        </w:rPr>
        <w:t>n</w:t>
      </w:r>
      <w:r>
        <w:rPr>
          <w:rFonts w:ascii="Times New Roman" w:hAnsi="Times New Roman"/>
        </w:rPr>
        <w:t>formed consent</w:t>
      </w:r>
      <w:r w:rsidRPr="001E107A">
        <w:rPr>
          <w:rFonts w:ascii="Times New Roman" w:hAnsi="Times New Roman"/>
        </w:rPr>
        <w:t xml:space="preserve"> </w:t>
      </w:r>
      <w:r>
        <w:rPr>
          <w:rFonts w:ascii="Times New Roman" w:hAnsi="Times New Roman"/>
        </w:rPr>
        <w:t>to participate in the</w:t>
      </w:r>
      <w:r w:rsidR="007C6705">
        <w:rPr>
          <w:rFonts w:ascii="Times New Roman" w:hAnsi="Times New Roman"/>
        </w:rPr>
        <w:t xml:space="preserve"> long-term follow-up</w:t>
      </w:r>
      <w:r>
        <w:rPr>
          <w:rFonts w:ascii="Times New Roman" w:hAnsi="Times New Roman"/>
        </w:rPr>
        <w:t xml:space="preserve"> survey</w:t>
      </w:r>
      <w:r w:rsidR="007C6705">
        <w:rPr>
          <w:rFonts w:ascii="Times New Roman" w:hAnsi="Times New Roman"/>
        </w:rPr>
        <w:t xml:space="preserve"> </w:t>
      </w:r>
      <w:r>
        <w:rPr>
          <w:rFonts w:ascii="Times New Roman" w:hAnsi="Times New Roman"/>
        </w:rPr>
        <w:t>will be gathered in the opening section</w:t>
      </w:r>
      <w:r w:rsidR="0003425B">
        <w:rPr>
          <w:rFonts w:ascii="Times New Roman" w:hAnsi="Times New Roman"/>
        </w:rPr>
        <w:t xml:space="preserve"> of the survey</w:t>
      </w:r>
      <w:r w:rsidRPr="001E107A">
        <w:rPr>
          <w:rFonts w:ascii="Times New Roman" w:hAnsi="Times New Roman"/>
          <w:lang w:val="yo-NG"/>
        </w:rPr>
        <w:t xml:space="preserve">.  It will </w:t>
      </w:r>
      <w:r w:rsidRPr="001E107A">
        <w:rPr>
          <w:rFonts w:ascii="Times New Roman" w:hAnsi="Times New Roman"/>
        </w:rPr>
        <w:t xml:space="preserve">ensure that participants: 1) understand the </w:t>
      </w:r>
      <w:r>
        <w:rPr>
          <w:rFonts w:ascii="Times New Roman" w:hAnsi="Times New Roman"/>
        </w:rPr>
        <w:t>Rent Reform Demonstration</w:t>
      </w:r>
      <w:r w:rsidRPr="001E107A">
        <w:rPr>
          <w:rFonts w:ascii="Times New Roman" w:hAnsi="Times New Roman"/>
        </w:rPr>
        <w:t xml:space="preserve"> evaluation, as well as their role and rights within the study; and 2) provide their consent to participate</w:t>
      </w:r>
      <w:r w:rsidR="007C6705">
        <w:rPr>
          <w:rFonts w:ascii="Times New Roman" w:hAnsi="Times New Roman"/>
        </w:rPr>
        <w:t xml:space="preserve"> in the long-term follow-up survey</w:t>
      </w:r>
      <w:r w:rsidRPr="001E107A">
        <w:rPr>
          <w:rFonts w:ascii="Times New Roman" w:hAnsi="Times New Roman"/>
        </w:rPr>
        <w:t xml:space="preserve">. </w:t>
      </w:r>
      <w:r w:rsidR="001F5E21">
        <w:rPr>
          <w:rFonts w:ascii="Times New Roman" w:hAnsi="Times New Roman"/>
        </w:rPr>
        <w:t xml:space="preserve"> </w:t>
      </w:r>
      <w:r w:rsidRPr="001E107A">
        <w:rPr>
          <w:rFonts w:ascii="Times New Roman" w:hAnsi="Times New Roman"/>
        </w:rPr>
        <w:t xml:space="preserve">To ensure that all </w:t>
      </w:r>
      <w:r w:rsidR="00FF0628">
        <w:rPr>
          <w:rFonts w:ascii="Times New Roman" w:hAnsi="Times New Roman"/>
        </w:rPr>
        <w:t>survey</w:t>
      </w:r>
      <w:r w:rsidR="00FF0628" w:rsidRPr="001E107A">
        <w:rPr>
          <w:rFonts w:ascii="Times New Roman" w:hAnsi="Times New Roman"/>
        </w:rPr>
        <w:t xml:space="preserve"> </w:t>
      </w:r>
      <w:r w:rsidRPr="001E107A">
        <w:rPr>
          <w:rFonts w:ascii="Times New Roman" w:hAnsi="Times New Roman"/>
        </w:rPr>
        <w:t xml:space="preserve">participants receive a clear, consistent explanation of the project, the </w:t>
      </w:r>
      <w:r>
        <w:rPr>
          <w:rFonts w:ascii="Times New Roman" w:hAnsi="Times New Roman"/>
        </w:rPr>
        <w:t>language will be clear, plainly written, and will inform them</w:t>
      </w:r>
      <w:r w:rsidRPr="001E107A">
        <w:rPr>
          <w:rFonts w:ascii="Times New Roman" w:hAnsi="Times New Roman"/>
        </w:rPr>
        <w:t xml:space="preserve"> that participation is volunta</w:t>
      </w:r>
      <w:r>
        <w:rPr>
          <w:rFonts w:ascii="Times New Roman" w:hAnsi="Times New Roman"/>
        </w:rPr>
        <w:t>ry</w:t>
      </w:r>
      <w:r w:rsidRPr="001E107A">
        <w:rPr>
          <w:rFonts w:ascii="Times New Roman" w:hAnsi="Times New Roman"/>
        </w:rPr>
        <w:t xml:space="preserve"> and that strict rules are in place to protect sample members’ privacy.  </w:t>
      </w:r>
    </w:p>
    <w:p w:rsidR="00371E74" w:rsidRPr="00371E74" w:rsidRDefault="00371E74" w:rsidP="00906A4B">
      <w:pPr>
        <w:pStyle w:val="NoSpacing"/>
      </w:pPr>
    </w:p>
    <w:p w:rsidR="0082167A" w:rsidRPr="0082167A" w:rsidRDefault="0082167A" w:rsidP="0082167A">
      <w:pPr>
        <w:ind w:firstLine="0"/>
        <w:rPr>
          <w:rFonts w:ascii="Times New Roman" w:hAnsi="Times New Roman"/>
        </w:rPr>
      </w:pPr>
      <w:r w:rsidRPr="0082167A">
        <w:rPr>
          <w:rFonts w:ascii="Times New Roman" w:hAnsi="Times New Roman"/>
        </w:rPr>
        <w:t>The long-term follow-up survey is structured to cover the following topics:</w:t>
      </w:r>
    </w:p>
    <w:p w:rsidR="002B67BB" w:rsidRPr="0082167A" w:rsidRDefault="002B67BB" w:rsidP="0053465F">
      <w:pPr>
        <w:pStyle w:val="ParagraphLAST"/>
        <w:numPr>
          <w:ilvl w:val="0"/>
          <w:numId w:val="10"/>
        </w:numPr>
        <w:tabs>
          <w:tab w:val="clear" w:pos="432"/>
        </w:tabs>
        <w:spacing w:after="0" w:line="240" w:lineRule="auto"/>
        <w:ind w:left="900"/>
        <w:jc w:val="left"/>
        <w:rPr>
          <w:rFonts w:ascii="Times New Roman" w:hAnsi="Times New Roman"/>
        </w:rPr>
      </w:pPr>
      <w:r w:rsidRPr="0082167A">
        <w:rPr>
          <w:rFonts w:ascii="Times New Roman" w:hAnsi="Times New Roman"/>
        </w:rPr>
        <w:t xml:space="preserve">Education and Training </w:t>
      </w:r>
    </w:p>
    <w:p w:rsidR="002B67BB" w:rsidRPr="0082167A" w:rsidRDefault="002B67BB" w:rsidP="00290413">
      <w:pPr>
        <w:pStyle w:val="ListParagraph"/>
        <w:numPr>
          <w:ilvl w:val="0"/>
          <w:numId w:val="10"/>
        </w:numPr>
        <w:ind w:left="900"/>
      </w:pPr>
      <w:r w:rsidRPr="0082167A">
        <w:t>Job History, Work Search, and Barriers to Employment</w:t>
      </w:r>
      <w:r w:rsidR="00594FB5" w:rsidRPr="0082167A">
        <w:t xml:space="preserve"> </w:t>
      </w:r>
    </w:p>
    <w:p w:rsidR="002B67BB" w:rsidRPr="0082167A" w:rsidRDefault="002B67BB" w:rsidP="0082167A">
      <w:pPr>
        <w:pStyle w:val="ListParagraph"/>
        <w:numPr>
          <w:ilvl w:val="0"/>
          <w:numId w:val="10"/>
        </w:numPr>
        <w:tabs>
          <w:tab w:val="left" w:pos="540"/>
        </w:tabs>
        <w:ind w:left="900"/>
      </w:pPr>
      <w:r w:rsidRPr="0082167A">
        <w:t>Household Composition and Childcare</w:t>
      </w:r>
      <w:r w:rsidR="00594FB5" w:rsidRPr="0082167A">
        <w:t xml:space="preserve"> </w:t>
      </w:r>
    </w:p>
    <w:p w:rsidR="002B67BB" w:rsidRPr="0082167A" w:rsidRDefault="002B67BB" w:rsidP="00290413">
      <w:pPr>
        <w:pStyle w:val="ListParagraph"/>
        <w:numPr>
          <w:ilvl w:val="0"/>
          <w:numId w:val="10"/>
        </w:numPr>
        <w:ind w:left="900"/>
      </w:pPr>
      <w:r w:rsidRPr="0082167A">
        <w:t>Household Income, Material Hardship &amp; Food Security</w:t>
      </w:r>
      <w:r w:rsidR="00594FB5" w:rsidRPr="0082167A">
        <w:t xml:space="preserve"> </w:t>
      </w:r>
    </w:p>
    <w:p w:rsidR="002B67BB" w:rsidRPr="0082167A" w:rsidRDefault="002B67BB" w:rsidP="00290413">
      <w:pPr>
        <w:pStyle w:val="ListParagraph"/>
        <w:numPr>
          <w:ilvl w:val="0"/>
          <w:numId w:val="10"/>
        </w:numPr>
        <w:ind w:left="900"/>
      </w:pPr>
      <w:r w:rsidRPr="0082167A">
        <w:t>Housing and Moving</w:t>
      </w:r>
    </w:p>
    <w:p w:rsidR="002B67BB" w:rsidRPr="0082167A" w:rsidRDefault="002B67BB" w:rsidP="00290413">
      <w:pPr>
        <w:pStyle w:val="ListParagraph"/>
        <w:numPr>
          <w:ilvl w:val="0"/>
          <w:numId w:val="10"/>
        </w:numPr>
        <w:ind w:left="900"/>
      </w:pPr>
      <w:r w:rsidRPr="0082167A">
        <w:t xml:space="preserve">Program </w:t>
      </w:r>
      <w:r w:rsidR="0082167A" w:rsidRPr="0082167A">
        <w:t>E</w:t>
      </w:r>
      <w:r w:rsidRPr="0082167A">
        <w:t>xperience</w:t>
      </w:r>
      <w:r w:rsidR="001C146B" w:rsidRPr="0082167A">
        <w:t xml:space="preserve">  </w:t>
      </w:r>
    </w:p>
    <w:p w:rsidR="00086398" w:rsidRPr="002B67BB" w:rsidRDefault="00086398" w:rsidP="002B67BB">
      <w:pPr>
        <w:pStyle w:val="ParagraphLAST"/>
        <w:spacing w:after="0" w:line="240" w:lineRule="auto"/>
        <w:ind w:firstLine="0"/>
        <w:jc w:val="left"/>
        <w:rPr>
          <w:rFonts w:ascii="Times New Roman" w:hAnsi="Times New Roman"/>
          <w:b/>
        </w:rPr>
      </w:pPr>
    </w:p>
    <w:p w:rsidR="00A22BED" w:rsidRPr="00090FB7" w:rsidRDefault="00CC35ED" w:rsidP="00CC35ED">
      <w:pPr>
        <w:spacing w:line="240" w:lineRule="auto"/>
        <w:ind w:firstLine="0"/>
        <w:jc w:val="left"/>
        <w:rPr>
          <w:rFonts w:ascii="Times New Roman" w:hAnsi="Times New Roman"/>
        </w:rPr>
      </w:pPr>
      <w:r>
        <w:rPr>
          <w:rFonts w:ascii="Times New Roman" w:hAnsi="Times New Roman"/>
        </w:rPr>
        <w:t xml:space="preserve">Data collected at baseline </w:t>
      </w:r>
      <w:r w:rsidR="00A105CE">
        <w:rPr>
          <w:rFonts w:ascii="Times New Roman" w:hAnsi="Times New Roman"/>
        </w:rPr>
        <w:t>was</w:t>
      </w:r>
      <w:r>
        <w:rPr>
          <w:rFonts w:ascii="Times New Roman" w:hAnsi="Times New Roman"/>
        </w:rPr>
        <w:t xml:space="preserve"> analyzed and presented in t</w:t>
      </w:r>
      <w:r w:rsidRPr="002B67BB">
        <w:rPr>
          <w:rFonts w:ascii="Times New Roman" w:hAnsi="Times New Roman"/>
        </w:rPr>
        <w:t>he</w:t>
      </w:r>
      <w:r w:rsidRPr="00090FB7">
        <w:rPr>
          <w:rFonts w:ascii="Times New Roman" w:hAnsi="Times New Roman"/>
        </w:rPr>
        <w:t xml:space="preserve"> </w:t>
      </w:r>
      <w:r w:rsidR="00090FB7" w:rsidRPr="00090FB7">
        <w:rPr>
          <w:rFonts w:ascii="Times New Roman" w:hAnsi="Times New Roman"/>
        </w:rPr>
        <w:t xml:space="preserve">baseline report on the demonstration entitled, </w:t>
      </w:r>
      <w:r w:rsidR="00090FB7" w:rsidRPr="00FF0628">
        <w:rPr>
          <w:rFonts w:ascii="Times New Roman" w:hAnsi="Times New Roman"/>
          <w:i/>
        </w:rPr>
        <w:t>Reducing Work Disincentives in the Housing Choice Voucher Program: Rent Reform Demonstration Baseline Report</w:t>
      </w:r>
      <w:r w:rsidR="00090FB7" w:rsidRPr="00090FB7">
        <w:rPr>
          <w:rStyle w:val="FootnoteReference"/>
          <w:rFonts w:ascii="Times New Roman" w:hAnsi="Times New Roman"/>
        </w:rPr>
        <w:footnoteReference w:id="2"/>
      </w:r>
      <w:r w:rsidR="00090FB7" w:rsidRPr="00090FB7">
        <w:rPr>
          <w:rFonts w:ascii="Times New Roman" w:hAnsi="Times New Roman"/>
        </w:rPr>
        <w:t>,</w:t>
      </w:r>
      <w:r w:rsidR="00FF0628">
        <w:rPr>
          <w:rFonts w:ascii="Times New Roman" w:hAnsi="Times New Roman"/>
        </w:rPr>
        <w:t xml:space="preserve"> published by HUD in October 2017</w:t>
      </w:r>
      <w:r w:rsidR="00090FB7" w:rsidRPr="00090FB7">
        <w:rPr>
          <w:rFonts w:ascii="Times New Roman" w:hAnsi="Times New Roman"/>
        </w:rPr>
        <w:t xml:space="preserve">.  This report </w:t>
      </w:r>
      <w:r w:rsidR="00FF630C">
        <w:rPr>
          <w:rFonts w:ascii="Times New Roman" w:hAnsi="Times New Roman"/>
        </w:rPr>
        <w:t>i</w:t>
      </w:r>
      <w:r w:rsidR="00FF630C" w:rsidRPr="00090FB7">
        <w:rPr>
          <w:rFonts w:ascii="Times New Roman" w:hAnsi="Times New Roman"/>
        </w:rPr>
        <w:t xml:space="preserve">s </w:t>
      </w:r>
      <w:r w:rsidR="00090FB7" w:rsidRPr="00090FB7">
        <w:rPr>
          <w:rFonts w:ascii="Times New Roman" w:hAnsi="Times New Roman"/>
        </w:rPr>
        <w:t xml:space="preserve">the first </w:t>
      </w:r>
      <w:r w:rsidR="00090FB7" w:rsidRPr="00090FB7">
        <w:rPr>
          <w:rFonts w:ascii="Times New Roman" w:hAnsi="Times New Roman"/>
          <w:color w:val="333333"/>
          <w:shd w:val="clear" w:color="auto" w:fill="FFFFFF"/>
        </w:rPr>
        <w:t>of several that will be issued over the course of the project. Its purpose was to establish a foundation for future assessments of the implementation, impacts, and costs of the new rent policy. It describes the new policy, the rationale behind each of its critical elements, and the manner in which it is being evaluated. It also describes the process for identifying and enrolling families into the study, the background characteristics of those families, the amounts the families have begun paying for their rent and utilities under new rent rules compared with the existing rules, and the housing subsidies they initially received. Future reports (</w:t>
      </w:r>
      <w:r w:rsidR="00017E0C">
        <w:rPr>
          <w:rFonts w:ascii="Times New Roman" w:hAnsi="Times New Roman"/>
          <w:color w:val="333333"/>
          <w:shd w:val="clear" w:color="auto" w:fill="FFFFFF"/>
        </w:rPr>
        <w:t xml:space="preserve">expected </w:t>
      </w:r>
      <w:r w:rsidR="00090FB7" w:rsidRPr="00090FB7">
        <w:rPr>
          <w:rFonts w:ascii="Times New Roman" w:hAnsi="Times New Roman"/>
          <w:color w:val="333333"/>
          <w:shd w:val="clear" w:color="auto" w:fill="FFFFFF"/>
        </w:rPr>
        <w:t xml:space="preserve">to be released in </w:t>
      </w:r>
      <w:r w:rsidR="00017E0C" w:rsidRPr="00090FB7">
        <w:rPr>
          <w:rFonts w:ascii="Times New Roman" w:hAnsi="Times New Roman"/>
          <w:color w:val="333333"/>
          <w:shd w:val="clear" w:color="auto" w:fill="FFFFFF"/>
        </w:rPr>
        <w:t>201</w:t>
      </w:r>
      <w:r w:rsidR="00017E0C">
        <w:rPr>
          <w:rFonts w:ascii="Times New Roman" w:hAnsi="Times New Roman"/>
          <w:color w:val="333333"/>
          <w:shd w:val="clear" w:color="auto" w:fill="FFFFFF"/>
        </w:rPr>
        <w:t>9</w:t>
      </w:r>
      <w:r w:rsidR="00017E0C" w:rsidRPr="00090FB7">
        <w:rPr>
          <w:rFonts w:ascii="Times New Roman" w:hAnsi="Times New Roman"/>
          <w:color w:val="333333"/>
          <w:shd w:val="clear" w:color="auto" w:fill="FFFFFF"/>
        </w:rPr>
        <w:t xml:space="preserve"> </w:t>
      </w:r>
      <w:r w:rsidR="00090FB7" w:rsidRPr="00090FB7">
        <w:rPr>
          <w:rFonts w:ascii="Times New Roman" w:hAnsi="Times New Roman"/>
          <w:color w:val="333333"/>
          <w:shd w:val="clear" w:color="auto" w:fill="FFFFFF"/>
        </w:rPr>
        <w:t xml:space="preserve">and </w:t>
      </w:r>
      <w:r w:rsidR="00017E0C" w:rsidRPr="00090FB7">
        <w:rPr>
          <w:rFonts w:ascii="Times New Roman" w:hAnsi="Times New Roman"/>
          <w:color w:val="333333"/>
          <w:shd w:val="clear" w:color="auto" w:fill="FFFFFF"/>
        </w:rPr>
        <w:t>20</w:t>
      </w:r>
      <w:r w:rsidR="00017E0C">
        <w:rPr>
          <w:rFonts w:ascii="Times New Roman" w:hAnsi="Times New Roman"/>
          <w:color w:val="333333"/>
          <w:shd w:val="clear" w:color="auto" w:fill="FFFFFF"/>
        </w:rPr>
        <w:t>20</w:t>
      </w:r>
      <w:r w:rsidR="00090FB7" w:rsidRPr="00090FB7">
        <w:rPr>
          <w:rFonts w:ascii="Times New Roman" w:hAnsi="Times New Roman"/>
          <w:color w:val="333333"/>
          <w:shd w:val="clear" w:color="auto" w:fill="FFFFFF"/>
        </w:rPr>
        <w:t>) will examine the </w:t>
      </w:r>
      <w:r w:rsidR="00090FB7" w:rsidRPr="00090FB7">
        <w:rPr>
          <w:rStyle w:val="caps"/>
          <w:rFonts w:ascii="Times New Roman" w:hAnsi="Times New Roman"/>
          <w:color w:val="333333"/>
          <w:shd w:val="clear" w:color="auto" w:fill="FFFFFF"/>
        </w:rPr>
        <w:t>PHA</w:t>
      </w:r>
      <w:r w:rsidR="00090FB7" w:rsidRPr="00090FB7">
        <w:rPr>
          <w:rFonts w:ascii="Times New Roman" w:hAnsi="Times New Roman"/>
          <w:color w:val="333333"/>
          <w:shd w:val="clear" w:color="auto" w:fill="FFFFFF"/>
        </w:rPr>
        <w:t>s’ implementation experiences; the relative burden of the new policy on </w:t>
      </w:r>
      <w:r w:rsidR="00090FB7" w:rsidRPr="00090FB7">
        <w:rPr>
          <w:rStyle w:val="caps"/>
          <w:rFonts w:ascii="Times New Roman" w:hAnsi="Times New Roman"/>
          <w:color w:val="333333"/>
          <w:shd w:val="clear" w:color="auto" w:fill="FFFFFF"/>
        </w:rPr>
        <w:t>PHA</w:t>
      </w:r>
      <w:r w:rsidR="00090FB7" w:rsidRPr="00090FB7">
        <w:rPr>
          <w:rFonts w:ascii="Times New Roman" w:hAnsi="Times New Roman"/>
          <w:color w:val="333333"/>
          <w:shd w:val="clear" w:color="auto" w:fill="FFFFFF"/>
        </w:rPr>
        <w:t>s and the costs they incurred to administer it; the policy’s effects on families’ contributions toward their rent and utilities; and its effects on families’ employment, earnings, and receipt of housing subsidies and other government benefits.</w:t>
      </w:r>
    </w:p>
    <w:p w:rsidR="00AD1687" w:rsidRDefault="00AD1687">
      <w:pPr>
        <w:tabs>
          <w:tab w:val="clear" w:pos="432"/>
        </w:tabs>
        <w:spacing w:line="240" w:lineRule="auto"/>
        <w:ind w:firstLine="0"/>
        <w:jc w:val="left"/>
        <w:rPr>
          <w:rFonts w:ascii="Times New Roman" w:eastAsia="Calibri" w:hAnsi="Times New Roman"/>
          <w:color w:val="000000"/>
        </w:rPr>
      </w:pPr>
    </w:p>
    <w:p w:rsidR="004C70A4" w:rsidRPr="004C70A4" w:rsidRDefault="004C70A4" w:rsidP="0064554E">
      <w:pPr>
        <w:pStyle w:val="OMBNumberBullets"/>
      </w:pPr>
      <w:r w:rsidRPr="004C70A4">
        <w:t>Describe whether, and to what extent, the collection of information involves the use of automated, electronic, mechanical, or other technological collection techniques or other forms of information technology.</w:t>
      </w:r>
    </w:p>
    <w:p w:rsidR="00392781" w:rsidRDefault="00392781" w:rsidP="00392781">
      <w:pPr>
        <w:tabs>
          <w:tab w:val="clear" w:pos="432"/>
          <w:tab w:val="left" w:pos="0"/>
        </w:tabs>
        <w:spacing w:line="240" w:lineRule="auto"/>
        <w:ind w:firstLine="0"/>
        <w:rPr>
          <w:rFonts w:ascii="Times New Roman" w:hAnsi="Times New Roman"/>
        </w:rPr>
      </w:pPr>
      <w:r>
        <w:rPr>
          <w:rFonts w:ascii="Times New Roman" w:hAnsi="Times New Roman"/>
        </w:rPr>
        <w:t>The long</w:t>
      </w:r>
      <w:r w:rsidR="00AB7B52">
        <w:rPr>
          <w:rFonts w:ascii="Times New Roman" w:hAnsi="Times New Roman"/>
        </w:rPr>
        <w:t>-</w:t>
      </w:r>
      <w:r>
        <w:rPr>
          <w:rFonts w:ascii="Times New Roman" w:hAnsi="Times New Roman"/>
        </w:rPr>
        <w:t>term</w:t>
      </w:r>
      <w:r w:rsidR="009535C7">
        <w:rPr>
          <w:rFonts w:ascii="Times New Roman" w:hAnsi="Times New Roman"/>
        </w:rPr>
        <w:t xml:space="preserve"> </w:t>
      </w:r>
      <w:r>
        <w:rPr>
          <w:rFonts w:ascii="Times New Roman" w:hAnsi="Times New Roman"/>
        </w:rPr>
        <w:t>follow-up survey w</w:t>
      </w:r>
      <w:r w:rsidRPr="00392781">
        <w:rPr>
          <w:rFonts w:ascii="Times New Roman" w:hAnsi="Times New Roman"/>
        </w:rPr>
        <w:t>ill feature a multi-mode approach</w:t>
      </w:r>
      <w:r w:rsidR="00715877">
        <w:rPr>
          <w:rFonts w:ascii="Times New Roman" w:hAnsi="Times New Roman"/>
        </w:rPr>
        <w:t>, using both</w:t>
      </w:r>
      <w:r w:rsidR="00E40322">
        <w:rPr>
          <w:rFonts w:ascii="Times New Roman" w:hAnsi="Times New Roman"/>
        </w:rPr>
        <w:t xml:space="preserve"> </w:t>
      </w:r>
      <w:r w:rsidR="007654BF">
        <w:rPr>
          <w:rFonts w:ascii="Times New Roman" w:hAnsi="Times New Roman"/>
        </w:rPr>
        <w:t xml:space="preserve">a </w:t>
      </w:r>
      <w:r w:rsidRPr="00392781">
        <w:rPr>
          <w:rFonts w:ascii="Times New Roman" w:hAnsi="Times New Roman"/>
        </w:rPr>
        <w:t xml:space="preserve">self-administered web-based </w:t>
      </w:r>
      <w:r w:rsidR="00FF630C">
        <w:rPr>
          <w:rFonts w:ascii="Times New Roman" w:hAnsi="Times New Roman"/>
        </w:rPr>
        <w:t>option</w:t>
      </w:r>
      <w:r w:rsidR="007654BF">
        <w:rPr>
          <w:rFonts w:ascii="Times New Roman" w:hAnsi="Times New Roman"/>
        </w:rPr>
        <w:t xml:space="preserve"> </w:t>
      </w:r>
      <w:r w:rsidRPr="00392781">
        <w:rPr>
          <w:rFonts w:ascii="Times New Roman" w:hAnsi="Times New Roman"/>
        </w:rPr>
        <w:t xml:space="preserve">and a </w:t>
      </w:r>
      <w:r w:rsidR="00A631B7">
        <w:rPr>
          <w:rFonts w:ascii="Times New Roman" w:hAnsi="Times New Roman"/>
        </w:rPr>
        <w:t xml:space="preserve">computer-assisted </w:t>
      </w:r>
      <w:r w:rsidRPr="00392781">
        <w:rPr>
          <w:rFonts w:ascii="Times New Roman" w:hAnsi="Times New Roman"/>
        </w:rPr>
        <w:t>telephone interview</w:t>
      </w:r>
      <w:r w:rsidR="00A631B7">
        <w:rPr>
          <w:rFonts w:ascii="Times New Roman" w:hAnsi="Times New Roman"/>
        </w:rPr>
        <w:t xml:space="preserve"> (CATI)</w:t>
      </w:r>
      <w:r w:rsidRPr="00392781">
        <w:rPr>
          <w:rFonts w:ascii="Times New Roman" w:hAnsi="Times New Roman"/>
        </w:rPr>
        <w:t xml:space="preserve"> </w:t>
      </w:r>
      <w:r w:rsidR="00FF630C">
        <w:rPr>
          <w:rFonts w:ascii="Times New Roman" w:hAnsi="Times New Roman"/>
        </w:rPr>
        <w:t>option</w:t>
      </w:r>
      <w:r w:rsidRPr="00392781">
        <w:rPr>
          <w:rFonts w:ascii="Times New Roman" w:hAnsi="Times New Roman"/>
        </w:rPr>
        <w:t>.</w:t>
      </w:r>
    </w:p>
    <w:p w:rsidR="00E40322" w:rsidRPr="00392781" w:rsidRDefault="00E40322" w:rsidP="00392781">
      <w:pPr>
        <w:tabs>
          <w:tab w:val="clear" w:pos="432"/>
          <w:tab w:val="left" w:pos="0"/>
        </w:tabs>
        <w:spacing w:line="240" w:lineRule="auto"/>
        <w:ind w:firstLine="0"/>
        <w:rPr>
          <w:rFonts w:ascii="Times New Roman" w:hAnsi="Times New Roman"/>
          <w:lang w:val="x-none" w:eastAsia="x-none"/>
        </w:rPr>
      </w:pPr>
    </w:p>
    <w:p w:rsidR="004C70A4" w:rsidRPr="004C70A4" w:rsidRDefault="004C70A4" w:rsidP="0064554E">
      <w:pPr>
        <w:pStyle w:val="OMBNumberBullets"/>
      </w:pPr>
      <w:r w:rsidRPr="004C70A4">
        <w:t>Describe efforts to identify duplication. Show specifically why any similar information already available cannot be used or modified for use for the purposes described in item 2 above.</w:t>
      </w:r>
    </w:p>
    <w:p w:rsidR="007579E8" w:rsidRDefault="007579E8" w:rsidP="00C33231">
      <w:pPr>
        <w:pStyle w:val="BodyText"/>
        <w:rPr>
          <w:rFonts w:ascii="Times New Roman" w:hAnsi="Times New Roman"/>
          <w:sz w:val="24"/>
          <w:szCs w:val="24"/>
        </w:rPr>
      </w:pPr>
      <w:r w:rsidRPr="00542556">
        <w:rPr>
          <w:rFonts w:ascii="Times New Roman" w:hAnsi="Times New Roman"/>
          <w:sz w:val="24"/>
          <w:szCs w:val="24"/>
        </w:rPr>
        <w:t xml:space="preserve">The information collection will not duplicate information that is already available. </w:t>
      </w:r>
      <w:r w:rsidR="00954A98" w:rsidRPr="00542556">
        <w:rPr>
          <w:rFonts w:ascii="Times New Roman" w:hAnsi="Times New Roman"/>
          <w:sz w:val="24"/>
          <w:szCs w:val="24"/>
        </w:rPr>
        <w:t xml:space="preserve">Where possible, the evaluation will use available data sources, such as </w:t>
      </w:r>
      <w:r w:rsidR="00954A98">
        <w:rPr>
          <w:rFonts w:ascii="Times New Roman" w:hAnsi="Times New Roman"/>
          <w:sz w:val="24"/>
          <w:szCs w:val="24"/>
          <w:lang w:val="en-US"/>
        </w:rPr>
        <w:t>tenant data reported by the PHA to HUD into the Inventory Management System (IMS) PIH Information Center (PIC) system</w:t>
      </w:r>
      <w:r w:rsidR="00954A98" w:rsidRPr="00542556">
        <w:rPr>
          <w:rFonts w:ascii="Times New Roman" w:hAnsi="Times New Roman"/>
          <w:sz w:val="24"/>
          <w:szCs w:val="24"/>
        </w:rPr>
        <w:t>.</w:t>
      </w:r>
    </w:p>
    <w:p w:rsidR="00B1381C" w:rsidRPr="00542556" w:rsidRDefault="00B1381C" w:rsidP="00542556">
      <w:pPr>
        <w:pStyle w:val="BodyText"/>
        <w:ind w:firstLine="432"/>
        <w:rPr>
          <w:rFonts w:ascii="Times New Roman" w:hAnsi="Times New Roman"/>
          <w:sz w:val="24"/>
          <w:szCs w:val="24"/>
        </w:rPr>
      </w:pPr>
    </w:p>
    <w:p w:rsidR="00954A98" w:rsidRPr="00954A98" w:rsidRDefault="00954A98" w:rsidP="0064554E">
      <w:pPr>
        <w:pStyle w:val="OMBNumberBullets"/>
      </w:pPr>
      <w:r w:rsidRPr="00954A98">
        <w:t>If the collection of information impacts small businesses or other small entities, describe any methods used to minimize burden.</w:t>
      </w:r>
    </w:p>
    <w:p w:rsidR="00086398" w:rsidRDefault="007654BF" w:rsidP="00542556">
      <w:pPr>
        <w:spacing w:line="240" w:lineRule="auto"/>
        <w:ind w:firstLine="0"/>
        <w:rPr>
          <w:rFonts w:ascii="Times New Roman" w:hAnsi="Times New Roman"/>
        </w:rPr>
      </w:pPr>
      <w:r>
        <w:rPr>
          <w:rFonts w:ascii="Times New Roman" w:hAnsi="Times New Roman"/>
        </w:rPr>
        <w:t xml:space="preserve">All survey respondents will be individuals. </w:t>
      </w:r>
      <w:r w:rsidR="007579E8" w:rsidRPr="00542556">
        <w:rPr>
          <w:rFonts w:ascii="Times New Roman" w:hAnsi="Times New Roman"/>
        </w:rPr>
        <w:t>We do not anticipate that this study will burden small businesses.</w:t>
      </w:r>
    </w:p>
    <w:p w:rsidR="00FA1706" w:rsidRPr="00542556" w:rsidRDefault="00FA1706" w:rsidP="00542556">
      <w:pPr>
        <w:spacing w:line="240" w:lineRule="auto"/>
        <w:ind w:firstLine="0"/>
        <w:rPr>
          <w:rFonts w:ascii="Times New Roman" w:hAnsi="Times New Roman"/>
        </w:rPr>
      </w:pPr>
    </w:p>
    <w:p w:rsidR="00954A98" w:rsidRPr="00954A98" w:rsidRDefault="00954A98" w:rsidP="0064554E">
      <w:pPr>
        <w:pStyle w:val="OMBNumberBullets"/>
      </w:pPr>
      <w:r w:rsidRPr="00954A98">
        <w:t>Describe the consequence to Federal program or policy activities if the collection is not conducted or is conducted less frequently, as well as any technical or legal obstacles to reducing the burden.</w:t>
      </w:r>
    </w:p>
    <w:p w:rsidR="00954A98" w:rsidRDefault="00740E33" w:rsidP="008D1BD2">
      <w:pPr>
        <w:pStyle w:val="Heading4"/>
        <w:spacing w:before="0" w:line="240" w:lineRule="auto"/>
        <w:ind w:firstLine="0"/>
        <w:jc w:val="left"/>
        <w:rPr>
          <w:rFonts w:ascii="Times New Roman" w:eastAsia="Calibri" w:hAnsi="Times New Roman"/>
          <w:b w:val="0"/>
          <w:i w:val="0"/>
          <w:color w:val="auto"/>
        </w:rPr>
      </w:pPr>
      <w:r w:rsidRPr="00A631B7">
        <w:rPr>
          <w:rFonts w:ascii="Times New Roman" w:hAnsi="Times New Roman"/>
          <w:b w:val="0"/>
          <w:i w:val="0"/>
          <w:color w:val="auto"/>
        </w:rPr>
        <w:t>This evaluation represents an important opportunity for the Federal government to build a body of knowledge about the effects of an alternative rent policy. This is consistent with the Administration’s strong focus on evidence-based policymaking. If this study is not conducted and the data not collected, analyzed, reported, and disseminated, Federal and local program or policy decisions will not be informed by high quality evidence upon which to base critical decisions regarding future rent policy.</w:t>
      </w:r>
      <w:r w:rsidR="006957B3" w:rsidRPr="00A631B7">
        <w:rPr>
          <w:rFonts w:ascii="Times New Roman" w:hAnsi="Times New Roman"/>
          <w:b w:val="0"/>
          <w:i w:val="0"/>
          <w:color w:val="auto"/>
        </w:rPr>
        <w:t xml:space="preserve"> </w:t>
      </w:r>
      <w:r w:rsidR="006957B3" w:rsidRPr="00A631B7">
        <w:rPr>
          <w:rFonts w:ascii="Times New Roman" w:eastAsia="Calibri" w:hAnsi="Times New Roman"/>
          <w:b w:val="0"/>
          <w:i w:val="0"/>
          <w:color w:val="auto"/>
        </w:rPr>
        <w:t>Without the long</w:t>
      </w:r>
      <w:r w:rsidR="00AB7B52">
        <w:rPr>
          <w:rFonts w:ascii="Times New Roman" w:eastAsia="Calibri" w:hAnsi="Times New Roman"/>
          <w:b w:val="0"/>
          <w:i w:val="0"/>
          <w:color w:val="auto"/>
          <w:lang w:val="en-US"/>
        </w:rPr>
        <w:t>-</w:t>
      </w:r>
      <w:r w:rsidR="006957B3" w:rsidRPr="00A631B7">
        <w:rPr>
          <w:rFonts w:ascii="Times New Roman" w:eastAsia="Calibri" w:hAnsi="Times New Roman"/>
          <w:b w:val="0"/>
          <w:i w:val="0"/>
          <w:color w:val="auto"/>
        </w:rPr>
        <w:t>term follow-up survey data, the Department’s understanding of the impacts of the rent reform model would be limited to what can be gleaned from administrative data alone and would lack the richness and context that follow-up survey data provides.</w:t>
      </w:r>
    </w:p>
    <w:p w:rsidR="008D1BD2" w:rsidRPr="008D1BD2" w:rsidRDefault="008D1BD2" w:rsidP="008D1BD2">
      <w:pPr>
        <w:spacing w:line="240" w:lineRule="auto"/>
        <w:rPr>
          <w:rFonts w:ascii="Times New Roman" w:eastAsia="Calibri" w:hAnsi="Times New Roman"/>
          <w:lang w:val="x-none" w:eastAsia="x-none"/>
        </w:rPr>
      </w:pPr>
    </w:p>
    <w:p w:rsidR="00954A98" w:rsidRPr="00954A98" w:rsidRDefault="00954A98" w:rsidP="008D1BD2">
      <w:pPr>
        <w:pStyle w:val="OMBNumberBullets"/>
        <w:spacing w:after="0"/>
      </w:pPr>
      <w:r w:rsidRPr="00954A98">
        <w:t>Explain any special circumstances that would cause an information collection to be conducted in a manner:</w:t>
      </w:r>
    </w:p>
    <w:p w:rsidR="00597F49" w:rsidRDefault="00597F49" w:rsidP="00FA1706">
      <w:pPr>
        <w:pStyle w:val="ListParagraph"/>
        <w:ind w:left="0"/>
      </w:pPr>
    </w:p>
    <w:p w:rsidR="00715877" w:rsidRDefault="00715877" w:rsidP="00FA1706">
      <w:pPr>
        <w:pStyle w:val="ListParagraph"/>
        <w:ind w:left="0"/>
      </w:pPr>
      <w:r w:rsidRPr="00EE2E91">
        <w:t xml:space="preserve">The proposed data collection activities are consistent with the guidelines set forth in 5 CFR 1320 (Controlling Paperwork Burdens on the Public). There are no special circumstances that require deviation from these guidelines. </w:t>
      </w:r>
    </w:p>
    <w:p w:rsidR="00FA1706" w:rsidRPr="00EE2E91" w:rsidRDefault="00FA1706" w:rsidP="00715877">
      <w:pPr>
        <w:pStyle w:val="ListParagraph"/>
      </w:pP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respondents to report information to the agency more often than quarterly;</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respondents to prepare a written response to a collection of information in fewer than 30 days after receipt of it;</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respondents to submit more than an original and two copies of any document;</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respondents to retain records, other than health, medical, government contract, grant-in-aid, or tax records, for more than three years;</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in connection with a statistical survey, that is not designed to produce valid and reliable results that can be generalized to the universe of study;</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the use of a statistical data classification that has not been reviewed and approved by OMB;</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5877" w:rsidRPr="00597F49" w:rsidRDefault="00715877" w:rsidP="00290413">
      <w:pPr>
        <w:numPr>
          <w:ilvl w:val="0"/>
          <w:numId w:val="13"/>
        </w:numPr>
        <w:tabs>
          <w:tab w:val="clear" w:pos="432"/>
        </w:tabs>
        <w:autoSpaceDE w:val="0"/>
        <w:autoSpaceDN w:val="0"/>
        <w:spacing w:line="240" w:lineRule="auto"/>
        <w:ind w:left="900"/>
        <w:contextualSpacing/>
        <w:jc w:val="left"/>
        <w:rPr>
          <w:rFonts w:ascii="Times New Roman" w:hAnsi="Times New Roman"/>
        </w:rPr>
      </w:pPr>
      <w:r w:rsidRPr="00597F49">
        <w:rPr>
          <w:rFonts w:ascii="Times New Roman" w:hAnsi="Times New Roman"/>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rsidR="00834371" w:rsidRPr="00542556" w:rsidRDefault="00834371" w:rsidP="00542556">
      <w:pPr>
        <w:spacing w:line="240" w:lineRule="auto"/>
        <w:ind w:firstLine="0"/>
        <w:jc w:val="left"/>
        <w:rPr>
          <w:rFonts w:ascii="Times New Roman" w:hAnsi="Times New Roman"/>
        </w:rPr>
      </w:pPr>
    </w:p>
    <w:p w:rsidR="00715877" w:rsidRDefault="00715877" w:rsidP="0064554E">
      <w:pPr>
        <w:pStyle w:val="OMBNumberBullets"/>
      </w:pPr>
      <w:r w:rsidRPr="00715877">
        <w:t>If applicable, provide a copy and identify the date and page number of publication in the Federal Register of the agency's notice, required by 5 CFR 1320.8(d), soliciting comments on the information collection prior to submission to OMB.</w:t>
      </w:r>
    </w:p>
    <w:p w:rsidR="00E35AB0" w:rsidRDefault="00D902CA" w:rsidP="0004717C">
      <w:pPr>
        <w:spacing w:line="240" w:lineRule="auto"/>
        <w:ind w:firstLine="0"/>
        <w:jc w:val="left"/>
        <w:rPr>
          <w:rFonts w:ascii="Times New Roman" w:eastAsia="Calibri" w:hAnsi="Times New Roman"/>
        </w:rPr>
      </w:pPr>
      <w:r w:rsidRPr="00952533">
        <w:rPr>
          <w:rFonts w:ascii="Times New Roman" w:hAnsi="Times New Roman"/>
        </w:rPr>
        <w:t xml:space="preserve">The notice </w:t>
      </w:r>
      <w:r w:rsidR="00FD41E7">
        <w:rPr>
          <w:rFonts w:ascii="Times New Roman" w:hAnsi="Times New Roman"/>
        </w:rPr>
        <w:t xml:space="preserve">83 FR 3178 </w:t>
      </w:r>
      <w:r w:rsidR="0004717C">
        <w:rPr>
          <w:rFonts w:ascii="Times New Roman" w:hAnsi="Times New Roman"/>
        </w:rPr>
        <w:t>was posted in the Federal Register on</w:t>
      </w:r>
      <w:r w:rsidR="00D73054">
        <w:rPr>
          <w:rFonts w:ascii="Times New Roman" w:hAnsi="Times New Roman"/>
        </w:rPr>
        <w:t xml:space="preserve"> January 23, 2018</w:t>
      </w:r>
      <w:r w:rsidR="002853C3">
        <w:rPr>
          <w:rFonts w:ascii="Times New Roman" w:hAnsi="Times New Roman"/>
        </w:rPr>
        <w:t>. The Federal Register Notice appeared</w:t>
      </w:r>
      <w:r w:rsidR="00D73054">
        <w:rPr>
          <w:rFonts w:ascii="Times New Roman" w:hAnsi="Times New Roman"/>
        </w:rPr>
        <w:t xml:space="preserve"> on pages 3178 </w:t>
      </w:r>
      <w:r w:rsidR="002853C3">
        <w:rPr>
          <w:rFonts w:ascii="Times New Roman" w:hAnsi="Times New Roman"/>
        </w:rPr>
        <w:t xml:space="preserve">and </w:t>
      </w:r>
      <w:r w:rsidR="00D73054">
        <w:rPr>
          <w:rFonts w:ascii="Times New Roman" w:hAnsi="Times New Roman"/>
        </w:rPr>
        <w:t>3179</w:t>
      </w:r>
      <w:r w:rsidR="00301859">
        <w:rPr>
          <w:rFonts w:ascii="Times New Roman" w:eastAsia="Calibri" w:hAnsi="Times New Roman"/>
        </w:rPr>
        <w:t xml:space="preserve">. </w:t>
      </w:r>
      <w:r w:rsidR="001F5E21">
        <w:rPr>
          <w:rFonts w:ascii="Times New Roman" w:eastAsia="Calibri" w:hAnsi="Times New Roman"/>
        </w:rPr>
        <w:t>No comments on the collection have been received.</w:t>
      </w:r>
    </w:p>
    <w:p w:rsidR="00954A98" w:rsidRDefault="00954A98" w:rsidP="0004717C">
      <w:pPr>
        <w:spacing w:line="240" w:lineRule="auto"/>
        <w:ind w:firstLine="0"/>
        <w:jc w:val="left"/>
        <w:rPr>
          <w:rFonts w:ascii="Melior" w:hAnsi="Melior"/>
        </w:rPr>
      </w:pPr>
    </w:p>
    <w:p w:rsidR="00954A98" w:rsidRPr="00954A98" w:rsidRDefault="00954A98" w:rsidP="0004717C">
      <w:pPr>
        <w:spacing w:line="240" w:lineRule="auto"/>
        <w:ind w:firstLine="0"/>
        <w:jc w:val="left"/>
        <w:rPr>
          <w:rFonts w:ascii="Times New Roman" w:hAnsi="Times New Roman"/>
        </w:rPr>
      </w:pPr>
      <w:r w:rsidRPr="00954A98">
        <w:rPr>
          <w:rFonts w:ascii="Times New Roman" w:hAnsi="Times New Roman"/>
        </w:rPr>
        <w:t>The instrument will be pretested with up to 9 study participants prior to OMB approval in order to obtain feedback on its clarity of instructions</w:t>
      </w:r>
      <w:r w:rsidR="002853C3">
        <w:rPr>
          <w:rFonts w:ascii="Times New Roman" w:hAnsi="Times New Roman"/>
        </w:rPr>
        <w:t>, wording of the questions, skip patterns,</w:t>
      </w:r>
      <w:r w:rsidRPr="00954A98">
        <w:rPr>
          <w:rFonts w:ascii="Times New Roman" w:hAnsi="Times New Roman"/>
        </w:rPr>
        <w:t xml:space="preserve"> and data elements </w:t>
      </w:r>
      <w:r w:rsidR="002853C3">
        <w:rPr>
          <w:rFonts w:ascii="Times New Roman" w:hAnsi="Times New Roman"/>
        </w:rPr>
        <w:t>that will be collected through the survey instrument</w:t>
      </w:r>
      <w:r w:rsidRPr="00954A98">
        <w:rPr>
          <w:rFonts w:ascii="Times New Roman" w:hAnsi="Times New Roman"/>
        </w:rPr>
        <w:t>.</w:t>
      </w:r>
    </w:p>
    <w:p w:rsidR="00C20762" w:rsidRDefault="00C20762" w:rsidP="00255B1D">
      <w:pPr>
        <w:tabs>
          <w:tab w:val="clear" w:pos="432"/>
        </w:tabs>
        <w:autoSpaceDE w:val="0"/>
        <w:autoSpaceDN w:val="0"/>
        <w:adjustRightInd w:val="0"/>
        <w:spacing w:line="240" w:lineRule="auto"/>
        <w:ind w:firstLine="0"/>
        <w:jc w:val="left"/>
        <w:rPr>
          <w:rFonts w:ascii="Times New Roman" w:hAnsi="Times New Roman"/>
        </w:rPr>
      </w:pPr>
    </w:p>
    <w:p w:rsidR="00954A98" w:rsidRPr="00954A98" w:rsidRDefault="00954A98" w:rsidP="0064554E">
      <w:pPr>
        <w:pStyle w:val="OMBNumberBullets"/>
      </w:pPr>
      <w:r w:rsidRPr="00954A98">
        <w:t>Explain any decision to provide any payment or gift to respondents, other than remuneration of contractors or grantees.</w:t>
      </w:r>
    </w:p>
    <w:p w:rsidR="00F8502C" w:rsidRDefault="006E545D" w:rsidP="00301859">
      <w:pPr>
        <w:spacing w:after="240" w:line="240" w:lineRule="auto"/>
        <w:ind w:firstLine="0"/>
        <w:jc w:val="left"/>
        <w:rPr>
          <w:rFonts w:ascii="Times New Roman" w:hAnsi="Times New Roman"/>
        </w:rPr>
      </w:pPr>
      <w:r w:rsidRPr="00AE378A">
        <w:rPr>
          <w:rFonts w:ascii="Times New Roman" w:hAnsi="Times New Roman"/>
        </w:rPr>
        <w:t xml:space="preserve">As </w:t>
      </w:r>
      <w:r w:rsidR="00854D3D">
        <w:rPr>
          <w:rFonts w:ascii="Times New Roman" w:hAnsi="Times New Roman"/>
        </w:rPr>
        <w:t xml:space="preserve">a token of appreciation, </w:t>
      </w:r>
      <w:r w:rsidR="00CA1BBB">
        <w:rPr>
          <w:rFonts w:ascii="Times New Roman" w:hAnsi="Times New Roman"/>
        </w:rPr>
        <w:t>Decision Information Resources (</w:t>
      </w:r>
      <w:r w:rsidR="00301859">
        <w:rPr>
          <w:rFonts w:ascii="Times New Roman" w:hAnsi="Times New Roman"/>
        </w:rPr>
        <w:t>DIR</w:t>
      </w:r>
      <w:r w:rsidR="00CA1BBB">
        <w:rPr>
          <w:rFonts w:ascii="Times New Roman" w:hAnsi="Times New Roman"/>
        </w:rPr>
        <w:t>)</w:t>
      </w:r>
      <w:r w:rsidR="00301859">
        <w:rPr>
          <w:rFonts w:ascii="Times New Roman" w:hAnsi="Times New Roman"/>
        </w:rPr>
        <w:t xml:space="preserve"> </w:t>
      </w:r>
      <w:r w:rsidR="00854D3D">
        <w:rPr>
          <w:rFonts w:ascii="Times New Roman" w:hAnsi="Times New Roman"/>
        </w:rPr>
        <w:t xml:space="preserve">will offer </w:t>
      </w:r>
      <w:r>
        <w:rPr>
          <w:rFonts w:ascii="Times New Roman" w:hAnsi="Times New Roman"/>
        </w:rPr>
        <w:t>a</w:t>
      </w:r>
      <w:r w:rsidR="00301859">
        <w:rPr>
          <w:rFonts w:ascii="Times New Roman" w:hAnsi="Times New Roman"/>
        </w:rPr>
        <w:t>n</w:t>
      </w:r>
      <w:r>
        <w:rPr>
          <w:rFonts w:ascii="Times New Roman" w:hAnsi="Times New Roman"/>
        </w:rPr>
        <w:t xml:space="preserve"> </w:t>
      </w:r>
      <w:r w:rsidR="00854D3D">
        <w:rPr>
          <w:rFonts w:ascii="Times New Roman" w:hAnsi="Times New Roman"/>
        </w:rPr>
        <w:t xml:space="preserve">incentive </w:t>
      </w:r>
      <w:r>
        <w:rPr>
          <w:rFonts w:ascii="Times New Roman" w:hAnsi="Times New Roman"/>
        </w:rPr>
        <w:t xml:space="preserve">of </w:t>
      </w:r>
      <w:r w:rsidR="0089485A">
        <w:rPr>
          <w:rFonts w:ascii="Times New Roman" w:hAnsi="Times New Roman"/>
        </w:rPr>
        <w:t>$</w:t>
      </w:r>
      <w:r w:rsidR="00301859">
        <w:rPr>
          <w:rFonts w:ascii="Times New Roman" w:hAnsi="Times New Roman"/>
        </w:rPr>
        <w:t>5</w:t>
      </w:r>
      <w:r w:rsidR="0089485A">
        <w:rPr>
          <w:rFonts w:ascii="Times New Roman" w:hAnsi="Times New Roman"/>
        </w:rPr>
        <w:t>0</w:t>
      </w:r>
      <w:r>
        <w:rPr>
          <w:rFonts w:ascii="Times New Roman" w:hAnsi="Times New Roman"/>
        </w:rPr>
        <w:t xml:space="preserve"> to households who participate in the </w:t>
      </w:r>
      <w:r w:rsidR="00FF630C">
        <w:rPr>
          <w:rFonts w:ascii="Times New Roman" w:hAnsi="Times New Roman"/>
        </w:rPr>
        <w:t>long</w:t>
      </w:r>
      <w:r w:rsidR="00AB7B52">
        <w:rPr>
          <w:rFonts w:ascii="Times New Roman" w:hAnsi="Times New Roman"/>
        </w:rPr>
        <w:t>-</w:t>
      </w:r>
      <w:r w:rsidR="00FF630C">
        <w:rPr>
          <w:rFonts w:ascii="Times New Roman" w:hAnsi="Times New Roman"/>
        </w:rPr>
        <w:t>term</w:t>
      </w:r>
      <w:r w:rsidR="00301859">
        <w:rPr>
          <w:rFonts w:ascii="Times New Roman" w:hAnsi="Times New Roman"/>
        </w:rPr>
        <w:t xml:space="preserve"> follow-up survey.  </w:t>
      </w:r>
      <w:r w:rsidR="0082167A" w:rsidRPr="00E35A3B">
        <w:rPr>
          <w:rFonts w:ascii="Times New Roman" w:hAnsi="Times New Roman"/>
        </w:rPr>
        <w:t xml:space="preserve">To enhance response </w:t>
      </w:r>
      <w:r w:rsidR="00906A4B" w:rsidRPr="00E35A3B">
        <w:rPr>
          <w:rFonts w:ascii="Times New Roman" w:hAnsi="Times New Roman"/>
        </w:rPr>
        <w:t>rates,</w:t>
      </w:r>
      <w:r w:rsidR="0082167A" w:rsidRPr="00E35A3B">
        <w:rPr>
          <w:rFonts w:ascii="Times New Roman" w:hAnsi="Times New Roman"/>
        </w:rPr>
        <w:t xml:space="preserve"> we will offer an additional $10 as either an </w:t>
      </w:r>
      <w:r w:rsidR="00A477D0" w:rsidRPr="00E35A3B">
        <w:rPr>
          <w:rFonts w:ascii="Times New Roman" w:hAnsi="Times New Roman"/>
        </w:rPr>
        <w:t>“</w:t>
      </w:r>
      <w:r w:rsidR="0082167A" w:rsidRPr="00E35A3B">
        <w:rPr>
          <w:rFonts w:ascii="Times New Roman" w:hAnsi="Times New Roman"/>
        </w:rPr>
        <w:t>early bird</w:t>
      </w:r>
      <w:r w:rsidR="00A477D0" w:rsidRPr="00E35A3B">
        <w:rPr>
          <w:rFonts w:ascii="Times New Roman" w:hAnsi="Times New Roman"/>
        </w:rPr>
        <w:t>”</w:t>
      </w:r>
      <w:r w:rsidR="0082167A" w:rsidRPr="00E35A3B">
        <w:rPr>
          <w:rFonts w:ascii="Times New Roman" w:hAnsi="Times New Roman"/>
        </w:rPr>
        <w:t xml:space="preserve"> incentive (for those who complete within the first </w:t>
      </w:r>
      <w:r w:rsidR="00A477D0" w:rsidRPr="00E35A3B">
        <w:rPr>
          <w:rFonts w:ascii="Times New Roman" w:hAnsi="Times New Roman"/>
        </w:rPr>
        <w:t>2</w:t>
      </w:r>
      <w:r w:rsidR="0082167A" w:rsidRPr="00E35A3B">
        <w:rPr>
          <w:rFonts w:ascii="Times New Roman" w:hAnsi="Times New Roman"/>
        </w:rPr>
        <w:t xml:space="preserve"> weeks after survey launch) or</w:t>
      </w:r>
      <w:r w:rsidR="00A477D0" w:rsidRPr="00E35A3B">
        <w:rPr>
          <w:rFonts w:ascii="Times New Roman" w:hAnsi="Times New Roman"/>
        </w:rPr>
        <w:t xml:space="preserve"> as </w:t>
      </w:r>
      <w:r w:rsidR="0082167A" w:rsidRPr="00E35A3B">
        <w:rPr>
          <w:rFonts w:ascii="Times New Roman" w:hAnsi="Times New Roman"/>
        </w:rPr>
        <w:t>an increased incentive at the tail end of the data collection window for any outstanding nonrespondents.</w:t>
      </w:r>
    </w:p>
    <w:p w:rsidR="00F8502C" w:rsidRDefault="00F8502C" w:rsidP="00F8502C">
      <w:pPr>
        <w:spacing w:after="240" w:line="240" w:lineRule="auto"/>
        <w:ind w:firstLine="0"/>
        <w:jc w:val="left"/>
        <w:rPr>
          <w:rFonts w:ascii="Times New Roman" w:hAnsi="Times New Roman"/>
        </w:rPr>
      </w:pPr>
      <w:r>
        <w:rPr>
          <w:rFonts w:ascii="Times New Roman" w:hAnsi="Times New Roman"/>
        </w:rPr>
        <w:t xml:space="preserve">The respondent payments and justification for each proposed instrument are outlined below. </w:t>
      </w:r>
    </w:p>
    <w:p w:rsidR="00F8502C" w:rsidRDefault="00F8502C" w:rsidP="00290413">
      <w:pPr>
        <w:numPr>
          <w:ilvl w:val="0"/>
          <w:numId w:val="8"/>
        </w:numPr>
        <w:tabs>
          <w:tab w:val="clear" w:pos="432"/>
          <w:tab w:val="left" w:pos="0"/>
        </w:tabs>
        <w:spacing w:after="240" w:line="240" w:lineRule="auto"/>
        <w:ind w:left="900"/>
        <w:jc w:val="left"/>
        <w:rPr>
          <w:rFonts w:ascii="Times New Roman" w:hAnsi="Times New Roman"/>
        </w:rPr>
      </w:pPr>
      <w:r>
        <w:rPr>
          <w:rFonts w:ascii="Times New Roman" w:hAnsi="Times New Roman"/>
        </w:rPr>
        <w:t xml:space="preserve">Pre-Launch Incentives—Before the launch of the survey, all Rent Reform Demonstration sample members will receive a $2 cash incentive, which will be mailed via USPS mail with a tracking flyer </w:t>
      </w:r>
      <w:r w:rsidR="00CC35ED">
        <w:rPr>
          <w:rFonts w:ascii="Times New Roman" w:hAnsi="Times New Roman"/>
        </w:rPr>
        <w:t xml:space="preserve">(Appendix </w:t>
      </w:r>
      <w:r w:rsidR="00E35A3B">
        <w:rPr>
          <w:rFonts w:ascii="Times New Roman" w:hAnsi="Times New Roman"/>
        </w:rPr>
        <w:t>B</w:t>
      </w:r>
      <w:r w:rsidR="00CC35ED">
        <w:rPr>
          <w:rFonts w:ascii="Times New Roman" w:hAnsi="Times New Roman"/>
        </w:rPr>
        <w:t xml:space="preserve">) </w:t>
      </w:r>
      <w:r>
        <w:rPr>
          <w:rFonts w:ascii="Times New Roman" w:hAnsi="Times New Roman"/>
        </w:rPr>
        <w:t>to encourage them to provide updated contact information</w:t>
      </w:r>
      <w:r w:rsidR="00CC35ED">
        <w:rPr>
          <w:rFonts w:ascii="Times New Roman" w:hAnsi="Times New Roman"/>
        </w:rPr>
        <w:t xml:space="preserve"> so that we can reach them when the survey is released</w:t>
      </w:r>
      <w:r>
        <w:rPr>
          <w:rFonts w:ascii="Times New Roman" w:hAnsi="Times New Roman"/>
        </w:rPr>
        <w:t xml:space="preserve">. This </w:t>
      </w:r>
      <w:r w:rsidR="00CC35ED">
        <w:rPr>
          <w:rFonts w:ascii="Times New Roman" w:hAnsi="Times New Roman"/>
        </w:rPr>
        <w:t xml:space="preserve">flyer </w:t>
      </w:r>
      <w:r>
        <w:rPr>
          <w:rFonts w:ascii="Times New Roman" w:hAnsi="Times New Roman"/>
        </w:rPr>
        <w:t xml:space="preserve">will provide </w:t>
      </w:r>
      <w:r w:rsidRPr="0003425B">
        <w:rPr>
          <w:rFonts w:ascii="Times New Roman" w:hAnsi="Times New Roman"/>
        </w:rPr>
        <w:t>three options</w:t>
      </w:r>
      <w:r>
        <w:rPr>
          <w:rFonts w:ascii="Times New Roman" w:hAnsi="Times New Roman"/>
        </w:rPr>
        <w:t xml:space="preserve"> to provide updated contact information—a web link, phone number, and email</w:t>
      </w:r>
      <w:r w:rsidR="00CC35ED">
        <w:rPr>
          <w:rFonts w:ascii="Times New Roman" w:hAnsi="Times New Roman"/>
        </w:rPr>
        <w:t xml:space="preserve">.  </w:t>
      </w:r>
      <w:r>
        <w:rPr>
          <w:rFonts w:ascii="Times New Roman" w:hAnsi="Times New Roman"/>
        </w:rPr>
        <w:t xml:space="preserve">This will be our first request for updated contact information from the sample since they completed the Baseline Information Form, which will be more than 40 months later. As such, this $2 cash incentive is critical to both motivate them to respond to this request and also set the stage for all other contacts from the survey firm (DIR). </w:t>
      </w:r>
    </w:p>
    <w:p w:rsidR="00F8502C" w:rsidRPr="00155111" w:rsidRDefault="00F8502C" w:rsidP="00290413">
      <w:pPr>
        <w:numPr>
          <w:ilvl w:val="0"/>
          <w:numId w:val="9"/>
        </w:numPr>
        <w:spacing w:after="240" w:line="240" w:lineRule="auto"/>
        <w:ind w:left="900"/>
        <w:jc w:val="left"/>
        <w:rPr>
          <w:rFonts w:ascii="Times New Roman" w:hAnsi="Times New Roman"/>
        </w:rPr>
      </w:pPr>
      <w:r>
        <w:rPr>
          <w:rFonts w:ascii="Times New Roman" w:hAnsi="Times New Roman"/>
        </w:rPr>
        <w:t>Long-Term Survey Incentives—Rent Reform Demonstration respondents who agree to participate in the long</w:t>
      </w:r>
      <w:r w:rsidR="00EF77B7">
        <w:rPr>
          <w:rFonts w:ascii="Times New Roman" w:hAnsi="Times New Roman"/>
        </w:rPr>
        <w:t>-</w:t>
      </w:r>
      <w:r>
        <w:rPr>
          <w:rFonts w:ascii="Times New Roman" w:hAnsi="Times New Roman"/>
        </w:rPr>
        <w:t xml:space="preserve">term follow-up survey will receive a $50 cash incentive. This amount is based on the length of the survey (30 minutes) and the amount of time since random assignment (approximately 42 months). Survey respondents who complete </w:t>
      </w:r>
      <w:r w:rsidRPr="00155111">
        <w:rPr>
          <w:rFonts w:ascii="Times New Roman" w:hAnsi="Times New Roman"/>
        </w:rPr>
        <w:t>via the web option within two weeks of the start of their survey window will be given a $10 ‘early bird’ incentive</w:t>
      </w:r>
      <w:r>
        <w:rPr>
          <w:rFonts w:ascii="Times New Roman" w:hAnsi="Times New Roman"/>
        </w:rPr>
        <w:t>, in addition to the $50</w:t>
      </w:r>
      <w:r w:rsidR="00A477D0">
        <w:rPr>
          <w:rFonts w:ascii="Times New Roman" w:hAnsi="Times New Roman"/>
        </w:rPr>
        <w:t>, for a total of $60</w:t>
      </w:r>
      <w:r w:rsidRPr="00155111">
        <w:rPr>
          <w:rFonts w:ascii="Times New Roman" w:hAnsi="Times New Roman"/>
        </w:rPr>
        <w:t>.</w:t>
      </w:r>
      <w:r>
        <w:rPr>
          <w:rFonts w:ascii="Times New Roman" w:hAnsi="Times New Roman"/>
        </w:rPr>
        <w:t xml:space="preserve"> This option is included to encourage completion via the web because it is a more cost-efficient option (compared to the CATI and field-initiated options).</w:t>
      </w:r>
      <w:r w:rsidRPr="00155111">
        <w:rPr>
          <w:rFonts w:ascii="Times New Roman" w:hAnsi="Times New Roman"/>
        </w:rPr>
        <w:t xml:space="preserve"> </w:t>
      </w:r>
      <w:r w:rsidR="00C07E32">
        <w:rPr>
          <w:rFonts w:ascii="Times New Roman" w:hAnsi="Times New Roman"/>
        </w:rPr>
        <w:t>Early-bird incentives have been shown to be effective in boosting initial response rates and thus reducing costs as fewer cases require phone and field follow-up</w:t>
      </w:r>
      <w:r w:rsidR="002835B2">
        <w:rPr>
          <w:rStyle w:val="FootnoteReference"/>
          <w:rFonts w:ascii="Times New Roman" w:hAnsi="Times New Roman"/>
        </w:rPr>
        <w:footnoteReference w:id="3"/>
      </w:r>
      <w:r w:rsidR="00C07E32">
        <w:rPr>
          <w:rFonts w:ascii="Times New Roman" w:hAnsi="Times New Roman"/>
        </w:rPr>
        <w:t xml:space="preserve">.  This approach was tested in the 12-month follow-up survey in the YouthBuild </w:t>
      </w:r>
      <w:r w:rsidR="00F108FB">
        <w:rPr>
          <w:rFonts w:ascii="Times New Roman" w:hAnsi="Times New Roman"/>
        </w:rPr>
        <w:t>evaluation and</w:t>
      </w:r>
      <w:r w:rsidR="00C07E32">
        <w:rPr>
          <w:rFonts w:ascii="Times New Roman" w:hAnsi="Times New Roman"/>
        </w:rPr>
        <w:t xml:space="preserve"> implemented in subsequent waves of follow-up surveys (OMB #1205-0503).  </w:t>
      </w:r>
      <w:r w:rsidRPr="00155111">
        <w:rPr>
          <w:rFonts w:ascii="Times New Roman" w:hAnsi="Times New Roman"/>
        </w:rPr>
        <w:t>The</w:t>
      </w:r>
      <w:r>
        <w:rPr>
          <w:rFonts w:ascii="Times New Roman" w:hAnsi="Times New Roman"/>
        </w:rPr>
        <w:t xml:space="preserve"> </w:t>
      </w:r>
      <w:r w:rsidR="00CD2519">
        <w:rPr>
          <w:rFonts w:ascii="Times New Roman" w:hAnsi="Times New Roman"/>
        </w:rPr>
        <w:t>$50</w:t>
      </w:r>
      <w:r w:rsidR="00CD2519" w:rsidRPr="00155111">
        <w:rPr>
          <w:rFonts w:ascii="Times New Roman" w:hAnsi="Times New Roman"/>
        </w:rPr>
        <w:t xml:space="preserve"> </w:t>
      </w:r>
      <w:r w:rsidRPr="00155111">
        <w:rPr>
          <w:rFonts w:ascii="Times New Roman" w:hAnsi="Times New Roman"/>
        </w:rPr>
        <w:t xml:space="preserve">incentive </w:t>
      </w:r>
      <w:r w:rsidR="00CD2519">
        <w:rPr>
          <w:rFonts w:ascii="Times New Roman" w:hAnsi="Times New Roman"/>
        </w:rPr>
        <w:t xml:space="preserve">for completing regardless of timing </w:t>
      </w:r>
      <w:r w:rsidRPr="00155111">
        <w:rPr>
          <w:rFonts w:ascii="Times New Roman" w:hAnsi="Times New Roman"/>
        </w:rPr>
        <w:t xml:space="preserve">is similar to </w:t>
      </w:r>
      <w:r w:rsidR="00D73054">
        <w:rPr>
          <w:rFonts w:ascii="Times New Roman" w:hAnsi="Times New Roman"/>
        </w:rPr>
        <w:t xml:space="preserve">those </w:t>
      </w:r>
      <w:r w:rsidRPr="00155111">
        <w:rPr>
          <w:rFonts w:ascii="Times New Roman" w:hAnsi="Times New Roman"/>
        </w:rPr>
        <w:t>previously approved by OMB in past studies such as the Subsidized Transitional Employment Demonstration 12-month and 30-month follow-up surveys ($40 and $50</w:t>
      </w:r>
      <w:r w:rsidR="001F5E21">
        <w:rPr>
          <w:rFonts w:ascii="Times New Roman" w:hAnsi="Times New Roman"/>
        </w:rPr>
        <w:t>,</w:t>
      </w:r>
      <w:r w:rsidRPr="00155111">
        <w:rPr>
          <w:rFonts w:ascii="Times New Roman" w:hAnsi="Times New Roman"/>
        </w:rPr>
        <w:t xml:space="preserve"> respectively</w:t>
      </w:r>
      <w:r w:rsidR="00D73054">
        <w:rPr>
          <w:rFonts w:ascii="Times New Roman" w:hAnsi="Times New Roman"/>
        </w:rPr>
        <w:t>; OMB #0970-0413</w:t>
      </w:r>
      <w:r w:rsidRPr="00155111">
        <w:rPr>
          <w:rFonts w:ascii="Times New Roman" w:hAnsi="Times New Roman"/>
        </w:rPr>
        <w:t>)</w:t>
      </w:r>
      <w:r w:rsidR="00597F49">
        <w:rPr>
          <w:rFonts w:ascii="Times New Roman" w:hAnsi="Times New Roman"/>
        </w:rPr>
        <w:t xml:space="preserve"> and </w:t>
      </w:r>
      <w:r>
        <w:rPr>
          <w:rFonts w:ascii="Times New Roman" w:hAnsi="Times New Roman"/>
        </w:rPr>
        <w:t>the Choice Neighborhoods Initiative baseline survey ($50</w:t>
      </w:r>
      <w:r w:rsidR="00D73054">
        <w:rPr>
          <w:rFonts w:ascii="Times New Roman" w:hAnsi="Times New Roman"/>
        </w:rPr>
        <w:t>; OMB #2528-0286</w:t>
      </w:r>
      <w:r>
        <w:rPr>
          <w:rFonts w:ascii="Times New Roman" w:hAnsi="Times New Roman"/>
        </w:rPr>
        <w:t>)</w:t>
      </w:r>
      <w:r w:rsidR="00597F49">
        <w:rPr>
          <w:rFonts w:ascii="Times New Roman" w:hAnsi="Times New Roman"/>
        </w:rPr>
        <w:t xml:space="preserve">.  A </w:t>
      </w:r>
      <w:r w:rsidR="009E7AB6">
        <w:rPr>
          <w:rFonts w:ascii="Times New Roman" w:hAnsi="Times New Roman"/>
        </w:rPr>
        <w:t xml:space="preserve">$50 </w:t>
      </w:r>
      <w:r w:rsidR="00597F49">
        <w:rPr>
          <w:rFonts w:ascii="Times New Roman" w:hAnsi="Times New Roman"/>
        </w:rPr>
        <w:t xml:space="preserve">incentive was also used for </w:t>
      </w:r>
      <w:r w:rsidR="009E7AB6">
        <w:rPr>
          <w:rFonts w:ascii="Times New Roman" w:hAnsi="Times New Roman"/>
        </w:rPr>
        <w:t xml:space="preserve">the baseline survey administered in a foundation-funded study of the </w:t>
      </w:r>
      <w:r>
        <w:rPr>
          <w:rFonts w:ascii="Times New Roman" w:hAnsi="Times New Roman"/>
        </w:rPr>
        <w:t xml:space="preserve">Housing Opportunities and Services Together </w:t>
      </w:r>
      <w:r w:rsidR="00A477D0">
        <w:rPr>
          <w:rFonts w:ascii="Times New Roman" w:hAnsi="Times New Roman"/>
        </w:rPr>
        <w:t xml:space="preserve">(HOST) </w:t>
      </w:r>
      <w:r w:rsidR="009E7AB6">
        <w:rPr>
          <w:rFonts w:ascii="Times New Roman" w:hAnsi="Times New Roman"/>
        </w:rPr>
        <w:t>study, which targeted a similar population</w:t>
      </w:r>
      <w:r w:rsidRPr="00155111">
        <w:rPr>
          <w:rFonts w:ascii="Times New Roman" w:hAnsi="Times New Roman"/>
        </w:rPr>
        <w:t xml:space="preserve">. Both MDRC and DIR’s prior experience interviewing similar populations indicate that these incentive amounts are necessary to reach response rate goals. </w:t>
      </w:r>
    </w:p>
    <w:p w:rsidR="00F8502C" w:rsidRDefault="00F8502C" w:rsidP="00F8502C">
      <w:pPr>
        <w:spacing w:line="240" w:lineRule="auto"/>
        <w:ind w:firstLine="0"/>
        <w:jc w:val="left"/>
        <w:rPr>
          <w:rFonts w:ascii="Times New Roman" w:hAnsi="Times New Roman"/>
        </w:rPr>
      </w:pPr>
      <w:r>
        <w:rPr>
          <w:rFonts w:ascii="Times New Roman" w:hAnsi="Times New Roman"/>
        </w:rPr>
        <w:t>The purpose of the incentives is to motivate participant cooperation and ultimately improve response rates, a strategy that has been empirically evaluated and supported</w:t>
      </w:r>
      <w:r>
        <w:rPr>
          <w:rStyle w:val="FootnoteReference"/>
        </w:rPr>
        <w:footnoteReference w:id="4"/>
      </w:r>
      <w:r>
        <w:rPr>
          <w:rFonts w:ascii="Times New Roman" w:hAnsi="Times New Roman"/>
        </w:rPr>
        <w:t xml:space="preserve">. Offering to pay respondents for their time will decrease the likelihood of refusing and at the same time, increase the likelihood of keeping sample members engaged. Incentives are also a </w:t>
      </w:r>
      <w:r w:rsidR="00F32DDD">
        <w:rPr>
          <w:rFonts w:ascii="Times New Roman" w:hAnsi="Times New Roman"/>
        </w:rPr>
        <w:t xml:space="preserve">token of appreciation </w:t>
      </w:r>
      <w:r>
        <w:rPr>
          <w:rFonts w:ascii="Times New Roman" w:hAnsi="Times New Roman"/>
        </w:rPr>
        <w:t xml:space="preserve">to acknowledge burden of time for participating in the survey. These proposed incentives will be used in conjunction with the planned techniques DIR will employ to improve response rates with the hard-to-reach sample included in the Rent Reform Demonstration. </w:t>
      </w:r>
      <w:r w:rsidRPr="001A40F0">
        <w:rPr>
          <w:rFonts w:ascii="Times New Roman" w:hAnsi="Times New Roman"/>
        </w:rPr>
        <w:t>Studies suggest that pre-incentives yield higher response rates compare</w:t>
      </w:r>
      <w:r>
        <w:rPr>
          <w:rFonts w:ascii="Times New Roman" w:hAnsi="Times New Roman"/>
        </w:rPr>
        <w:t>d</w:t>
      </w:r>
      <w:r w:rsidRPr="001A40F0">
        <w:rPr>
          <w:rFonts w:ascii="Times New Roman" w:hAnsi="Times New Roman"/>
        </w:rPr>
        <w:t xml:space="preserve"> to promised/contingent incentives</w:t>
      </w:r>
      <w:r>
        <w:rPr>
          <w:rStyle w:val="FootnoteReference"/>
        </w:rPr>
        <w:footnoteReference w:id="5"/>
      </w:r>
      <w:r>
        <w:rPr>
          <w:rFonts w:ascii="Times New Roman" w:hAnsi="Times New Roman"/>
        </w:rPr>
        <w:t>. There is also evidence that a small prepaid incentive given</w:t>
      </w:r>
      <w:r w:rsidRPr="001A40F0">
        <w:rPr>
          <w:rFonts w:ascii="Times New Roman" w:hAnsi="Times New Roman"/>
        </w:rPr>
        <w:t xml:space="preserve"> as</w:t>
      </w:r>
      <w:r>
        <w:rPr>
          <w:rFonts w:ascii="Times New Roman" w:hAnsi="Times New Roman"/>
        </w:rPr>
        <w:t xml:space="preserve"> a “token of appreciation” encourages responsiveness</w:t>
      </w:r>
      <w:r>
        <w:rPr>
          <w:rStyle w:val="FootnoteReference"/>
        </w:rPr>
        <w:footnoteReference w:id="6"/>
      </w:r>
      <w:r w:rsidRPr="001A40F0">
        <w:rPr>
          <w:rFonts w:ascii="Times New Roman" w:hAnsi="Times New Roman"/>
        </w:rPr>
        <w:t xml:space="preserve">.  </w:t>
      </w:r>
    </w:p>
    <w:p w:rsidR="00F8502C" w:rsidRDefault="00F8502C" w:rsidP="00F8502C">
      <w:pPr>
        <w:spacing w:line="240" w:lineRule="auto"/>
        <w:ind w:firstLine="0"/>
        <w:jc w:val="left"/>
        <w:rPr>
          <w:rFonts w:ascii="Times New Roman" w:hAnsi="Times New Roman"/>
        </w:rPr>
      </w:pPr>
    </w:p>
    <w:p w:rsidR="00F8502C" w:rsidRDefault="00F8502C" w:rsidP="00F8502C">
      <w:pPr>
        <w:spacing w:line="240" w:lineRule="auto"/>
        <w:ind w:firstLine="0"/>
        <w:jc w:val="left"/>
        <w:rPr>
          <w:rFonts w:ascii="Times New Roman" w:hAnsi="Times New Roman"/>
        </w:rPr>
      </w:pPr>
      <w:r>
        <w:rPr>
          <w:rFonts w:ascii="Times New Roman" w:hAnsi="Times New Roman"/>
        </w:rPr>
        <w:t>Further, our experience with low-income populations engaged in long-term evaluation efforts, and in particular, those with a control group, suggests that incentives are required to reach response rate goals. Singer</w:t>
      </w:r>
      <w:r>
        <w:rPr>
          <w:rStyle w:val="FootnoteReference"/>
        </w:rPr>
        <w:footnoteReference w:id="7"/>
      </w:r>
      <w:r>
        <w:rPr>
          <w:rFonts w:ascii="Times New Roman" w:hAnsi="Times New Roman"/>
        </w:rPr>
        <w:t xml:space="preserve"> et al. conducted a meta-analysis and found that incentives in methodologies like those planned for the Rent Reform Demonstration (telephone and in-person follow-up) were effective at increasing response rates among underrepresented demographic groups, such as low-income and non-white individuals.</w:t>
      </w:r>
      <w:r>
        <w:rPr>
          <w:rStyle w:val="FootnoteReference"/>
          <w:rFonts w:eastAsia="Courier New"/>
        </w:rPr>
        <w:footnoteReference w:id="8"/>
      </w:r>
      <w:r>
        <w:rPr>
          <w:rFonts w:ascii="Times New Roman" w:hAnsi="Times New Roman"/>
        </w:rPr>
        <w:t xml:space="preserve"> As noted above, several OMB approved studies with similar samples and similar methodologies have included incentive levels similar to what we are requesting clearance for in this current submission, but we do note that the survey length is not exactly the same. However, by the time the Rent Reform Demonstration survey launches, there will have been approximately 40 months since contact. In addition, the sample was randomly assigned to the program or control group before they were even aware of the study, </w:t>
      </w:r>
      <w:r w:rsidR="00F32DDD">
        <w:rPr>
          <w:rFonts w:ascii="Times New Roman" w:hAnsi="Times New Roman"/>
        </w:rPr>
        <w:t>although they received a study information sheet at that time</w:t>
      </w:r>
      <w:r w:rsidR="0003425B">
        <w:rPr>
          <w:rFonts w:ascii="Times New Roman" w:hAnsi="Times New Roman"/>
        </w:rPr>
        <w:t>. There</w:t>
      </w:r>
      <w:r w:rsidR="00F32DDD">
        <w:rPr>
          <w:rFonts w:ascii="Times New Roman" w:hAnsi="Times New Roman"/>
        </w:rPr>
        <w:t xml:space="preserve"> </w:t>
      </w:r>
      <w:r>
        <w:rPr>
          <w:rFonts w:ascii="Times New Roman" w:hAnsi="Times New Roman"/>
        </w:rPr>
        <w:t xml:space="preserve">is </w:t>
      </w:r>
      <w:r w:rsidR="00F32DDD">
        <w:rPr>
          <w:rFonts w:ascii="Times New Roman" w:hAnsi="Times New Roman"/>
        </w:rPr>
        <w:t xml:space="preserve">likely </w:t>
      </w:r>
      <w:r w:rsidR="0013039A">
        <w:rPr>
          <w:rFonts w:ascii="Times New Roman" w:hAnsi="Times New Roman"/>
        </w:rPr>
        <w:t xml:space="preserve">little to no </w:t>
      </w:r>
      <w:r>
        <w:rPr>
          <w:rFonts w:ascii="Times New Roman" w:hAnsi="Times New Roman"/>
        </w:rPr>
        <w:t>awareness of this upcoming survey for the control group, and minimal expectation for the program group. These factors make it critical to receive approval for the proposed incentive levels</w:t>
      </w:r>
      <w:r w:rsidR="001F5E21">
        <w:rPr>
          <w:rFonts w:ascii="Times New Roman" w:hAnsi="Times New Roman"/>
        </w:rPr>
        <w:t xml:space="preserve"> to ensure response rates for representative results</w:t>
      </w:r>
      <w:r>
        <w:rPr>
          <w:rFonts w:ascii="Times New Roman" w:hAnsi="Times New Roman"/>
        </w:rPr>
        <w:t>.</w:t>
      </w:r>
    </w:p>
    <w:p w:rsidR="00F8502C" w:rsidRPr="002F3203" w:rsidRDefault="00F8502C" w:rsidP="00F8502C">
      <w:pPr>
        <w:pStyle w:val="BodyText"/>
        <w:widowControl w:val="0"/>
        <w:overflowPunct w:val="0"/>
        <w:autoSpaceDE w:val="0"/>
        <w:autoSpaceDN w:val="0"/>
        <w:adjustRightInd w:val="0"/>
        <w:ind w:left="1152"/>
        <w:textAlignment w:val="baseline"/>
        <w:rPr>
          <w:rFonts w:ascii="Times New Roman" w:hAnsi="Times New Roman"/>
          <w:sz w:val="24"/>
          <w:szCs w:val="24"/>
        </w:rPr>
      </w:pPr>
    </w:p>
    <w:p w:rsidR="00B17A60" w:rsidRPr="003F5B3A" w:rsidRDefault="00954A98" w:rsidP="0064554E">
      <w:pPr>
        <w:pStyle w:val="OMBNumberBullets"/>
        <w:rPr>
          <w:rFonts w:ascii="Arial" w:hAnsi="Arial" w:cs="Arial"/>
        </w:rPr>
      </w:pPr>
      <w:r w:rsidRPr="00EE2E91">
        <w:t>Describe any assurance of confidentiality provided to respondents and the basis for the assurance in statute, regulation, or agency policy.</w:t>
      </w:r>
    </w:p>
    <w:p w:rsidR="00164928" w:rsidRDefault="00164928" w:rsidP="00164928">
      <w:pPr>
        <w:pStyle w:val="OMBNumberBullets"/>
        <w:numPr>
          <w:ilvl w:val="0"/>
          <w:numId w:val="0"/>
        </w:numPr>
      </w:pPr>
    </w:p>
    <w:p w:rsidR="00164928" w:rsidRPr="002853C3" w:rsidRDefault="00164928" w:rsidP="00164928">
      <w:pPr>
        <w:pStyle w:val="OMBNumberBullets"/>
        <w:numPr>
          <w:ilvl w:val="0"/>
          <w:numId w:val="0"/>
        </w:numPr>
        <w:rPr>
          <w:rFonts w:ascii="Times New Roman" w:hAnsi="Times New Roman"/>
          <w:b w:val="0"/>
        </w:rPr>
      </w:pPr>
      <w:r w:rsidRPr="002853C3">
        <w:rPr>
          <w:rFonts w:ascii="Times New Roman" w:hAnsi="Times New Roman"/>
          <w:b w:val="0"/>
        </w:rPr>
        <w:t xml:space="preserve">The information requested under this collection is protected and held confidential in accordance with 42 U.S.C. 1306, 20 CFR 401 and 402, 5 U.S.C.552 (Freedom of Information Act), 5 U.S.C. 552a (Privacy Act of 1974) and OMB Circular No. A-130. As required by 5 U.S.C. 552a (Privacy Act of 1974), </w:t>
      </w:r>
    </w:p>
    <w:p w:rsidR="00B17A60" w:rsidRDefault="006957B3" w:rsidP="00C33231">
      <w:pPr>
        <w:spacing w:line="240" w:lineRule="auto"/>
        <w:ind w:firstLine="0"/>
        <w:jc w:val="left"/>
        <w:rPr>
          <w:rFonts w:ascii="Times New Roman" w:hAnsi="Times New Roman"/>
        </w:rPr>
      </w:pPr>
      <w:r>
        <w:rPr>
          <w:rFonts w:ascii="Times New Roman" w:eastAsia="Calibri" w:hAnsi="Times New Roman"/>
        </w:rPr>
        <w:t xml:space="preserve">The survey contractor, </w:t>
      </w:r>
      <w:r w:rsidR="00C57512">
        <w:rPr>
          <w:rFonts w:ascii="Times New Roman" w:eastAsia="Calibri" w:hAnsi="Times New Roman"/>
        </w:rPr>
        <w:t>DIR</w:t>
      </w:r>
      <w:r>
        <w:rPr>
          <w:rFonts w:ascii="Times New Roman" w:eastAsia="Calibri" w:hAnsi="Times New Roman"/>
        </w:rPr>
        <w:t>,</w:t>
      </w:r>
      <w:r w:rsidR="00C57512">
        <w:rPr>
          <w:rFonts w:ascii="Times New Roman" w:eastAsia="Calibri" w:hAnsi="Times New Roman"/>
        </w:rPr>
        <w:t xml:space="preserve"> </w:t>
      </w:r>
      <w:r w:rsidR="006104B6" w:rsidRPr="003175C3">
        <w:rPr>
          <w:rFonts w:ascii="Times New Roman" w:eastAsia="Calibri" w:hAnsi="Times New Roman"/>
        </w:rPr>
        <w:t xml:space="preserve">will protect the </w:t>
      </w:r>
      <w:r w:rsidR="002853C3">
        <w:rPr>
          <w:rFonts w:ascii="Times New Roman" w:eastAsia="Calibri" w:hAnsi="Times New Roman"/>
        </w:rPr>
        <w:t xml:space="preserve">confidentiality of the data it collects </w:t>
      </w:r>
      <w:r w:rsidR="00A66D84">
        <w:rPr>
          <w:rFonts w:ascii="Times New Roman" w:eastAsia="Calibri" w:hAnsi="Times New Roman"/>
        </w:rPr>
        <w:t xml:space="preserve">to the extent provided by law </w:t>
      </w:r>
      <w:r w:rsidR="006104B6" w:rsidRPr="00DE5F46">
        <w:rPr>
          <w:rFonts w:ascii="Times New Roman" w:eastAsia="Calibri" w:hAnsi="Times New Roman"/>
        </w:rPr>
        <w:t xml:space="preserve">through </w:t>
      </w:r>
      <w:r w:rsidR="006104B6">
        <w:rPr>
          <w:rFonts w:ascii="Times New Roman" w:eastAsia="Calibri" w:hAnsi="Times New Roman"/>
        </w:rPr>
        <w:t xml:space="preserve">its regular high-security </w:t>
      </w:r>
      <w:r w:rsidR="006104B6" w:rsidRPr="00DE5F46">
        <w:rPr>
          <w:rFonts w:ascii="Times New Roman" w:eastAsia="Calibri" w:hAnsi="Times New Roman"/>
        </w:rPr>
        <w:t>safeguards and practices.</w:t>
      </w:r>
      <w:r w:rsidR="000E1899">
        <w:rPr>
          <w:rFonts w:ascii="Times New Roman" w:eastAsia="Calibri" w:hAnsi="Times New Roman"/>
        </w:rPr>
        <w:t xml:space="preserve">  </w:t>
      </w:r>
      <w:r w:rsidR="002B7D26">
        <w:rPr>
          <w:rFonts w:ascii="Times New Roman" w:hAnsi="Times New Roman"/>
        </w:rPr>
        <w:t>A</w:t>
      </w:r>
      <w:r w:rsidR="00B17A60" w:rsidRPr="00E74DCF">
        <w:rPr>
          <w:rFonts w:ascii="Times New Roman" w:hAnsi="Times New Roman"/>
        </w:rPr>
        <w:t xml:space="preserve">ll </w:t>
      </w:r>
      <w:r>
        <w:rPr>
          <w:rFonts w:ascii="Times New Roman" w:hAnsi="Times New Roman"/>
        </w:rPr>
        <w:t>respondents</w:t>
      </w:r>
      <w:r w:rsidR="00E74DCF" w:rsidRPr="00E74DCF">
        <w:rPr>
          <w:rFonts w:ascii="Times New Roman" w:hAnsi="Times New Roman"/>
        </w:rPr>
        <w:t xml:space="preserve"> </w:t>
      </w:r>
      <w:r w:rsidR="00B17A60" w:rsidRPr="00E74DCF">
        <w:rPr>
          <w:rFonts w:ascii="Times New Roman" w:hAnsi="Times New Roman"/>
        </w:rPr>
        <w:t xml:space="preserve">will be informed that </w:t>
      </w:r>
      <w:r w:rsidR="00E74DCF">
        <w:rPr>
          <w:rFonts w:ascii="Times New Roman" w:hAnsi="Times New Roman"/>
        </w:rPr>
        <w:t xml:space="preserve">any personal </w:t>
      </w:r>
      <w:r w:rsidR="00B17A60" w:rsidRPr="00E74DCF">
        <w:rPr>
          <w:rFonts w:ascii="Times New Roman" w:hAnsi="Times New Roman"/>
        </w:rPr>
        <w:t xml:space="preserve">information they provide </w:t>
      </w:r>
      <w:r>
        <w:rPr>
          <w:rFonts w:ascii="Times New Roman" w:hAnsi="Times New Roman"/>
        </w:rPr>
        <w:t xml:space="preserve">in the survey </w:t>
      </w:r>
      <w:r w:rsidR="00B17A60" w:rsidRPr="00E74DCF">
        <w:rPr>
          <w:rFonts w:ascii="Times New Roman" w:hAnsi="Times New Roman"/>
        </w:rPr>
        <w:t>will be used only for the purpose of this</w:t>
      </w:r>
      <w:r>
        <w:rPr>
          <w:rFonts w:ascii="Times New Roman" w:hAnsi="Times New Roman"/>
        </w:rPr>
        <w:t xml:space="preserve"> study</w:t>
      </w:r>
      <w:r w:rsidR="00C022E3">
        <w:rPr>
          <w:rFonts w:ascii="Times New Roman" w:hAnsi="Times New Roman"/>
        </w:rPr>
        <w:t xml:space="preserve">.  </w:t>
      </w:r>
      <w:r w:rsidR="00B17A60" w:rsidRPr="00E74DCF">
        <w:rPr>
          <w:rFonts w:ascii="Times New Roman" w:hAnsi="Times New Roman"/>
        </w:rPr>
        <w:t xml:space="preserve">Individuals will not be </w:t>
      </w:r>
      <w:r w:rsidR="00C022E3">
        <w:rPr>
          <w:rFonts w:ascii="Times New Roman" w:hAnsi="Times New Roman"/>
        </w:rPr>
        <w:t xml:space="preserve">identified </w:t>
      </w:r>
      <w:r w:rsidR="00B17A60" w:rsidRPr="00E74DCF">
        <w:rPr>
          <w:rFonts w:ascii="Times New Roman" w:hAnsi="Times New Roman"/>
        </w:rPr>
        <w:t xml:space="preserve">in prepared reports. </w:t>
      </w:r>
      <w:r w:rsidR="00B17A60" w:rsidRPr="007F7E9B">
        <w:rPr>
          <w:rFonts w:ascii="Times New Roman" w:hAnsi="Times New Roman"/>
        </w:rPr>
        <w:t>All r</w:t>
      </w:r>
      <w:r w:rsidR="00B17A60" w:rsidRPr="00F64726">
        <w:rPr>
          <w:rFonts w:ascii="Times New Roman" w:hAnsi="Times New Roman"/>
        </w:rPr>
        <w:t xml:space="preserve">esearch staff working on the project have been trained to protect </w:t>
      </w:r>
      <w:r w:rsidR="002853C3">
        <w:rPr>
          <w:rFonts w:ascii="Times New Roman" w:hAnsi="Times New Roman"/>
        </w:rPr>
        <w:t>confidential</w:t>
      </w:r>
      <w:r w:rsidR="002853C3" w:rsidRPr="00F64726">
        <w:rPr>
          <w:rFonts w:ascii="Times New Roman" w:hAnsi="Times New Roman"/>
        </w:rPr>
        <w:t xml:space="preserve"> </w:t>
      </w:r>
      <w:r w:rsidR="00B17A60" w:rsidRPr="00F64726">
        <w:rPr>
          <w:rFonts w:ascii="Times New Roman" w:hAnsi="Times New Roman"/>
        </w:rPr>
        <w:t xml:space="preserve">information and have signed a pledge stating that they will keep all information gathered </w:t>
      </w:r>
      <w:r w:rsidR="002853C3">
        <w:rPr>
          <w:rFonts w:ascii="Times New Roman" w:hAnsi="Times New Roman"/>
        </w:rPr>
        <w:t>confidential</w:t>
      </w:r>
      <w:r w:rsidR="002853C3" w:rsidRPr="00F64726">
        <w:rPr>
          <w:rFonts w:ascii="Times New Roman" w:hAnsi="Times New Roman"/>
        </w:rPr>
        <w:t xml:space="preserve"> </w:t>
      </w:r>
      <w:r w:rsidR="00B17A60" w:rsidRPr="00F64726">
        <w:rPr>
          <w:rFonts w:ascii="Times New Roman" w:hAnsi="Times New Roman"/>
        </w:rPr>
        <w:t xml:space="preserve">to the extent </w:t>
      </w:r>
      <w:r w:rsidR="00A66D84" w:rsidRPr="00F64726">
        <w:rPr>
          <w:rFonts w:ascii="Times New Roman" w:hAnsi="Times New Roman"/>
        </w:rPr>
        <w:t>p</w:t>
      </w:r>
      <w:r w:rsidR="00A66D84">
        <w:rPr>
          <w:rFonts w:ascii="Times New Roman" w:hAnsi="Times New Roman"/>
        </w:rPr>
        <w:t>rovided</w:t>
      </w:r>
      <w:r w:rsidR="00A66D84" w:rsidRPr="00F64726">
        <w:rPr>
          <w:rFonts w:ascii="Times New Roman" w:hAnsi="Times New Roman"/>
        </w:rPr>
        <w:t xml:space="preserve"> </w:t>
      </w:r>
      <w:r w:rsidR="00B17A60" w:rsidRPr="00F64726">
        <w:rPr>
          <w:rFonts w:ascii="Times New Roman" w:hAnsi="Times New Roman"/>
        </w:rPr>
        <w:t xml:space="preserve">by law. All papers that contain </w:t>
      </w:r>
      <w:r w:rsidR="00C022E3">
        <w:rPr>
          <w:rFonts w:ascii="Times New Roman" w:hAnsi="Times New Roman"/>
        </w:rPr>
        <w:t xml:space="preserve">study </w:t>
      </w:r>
      <w:r w:rsidR="00B17A60" w:rsidRPr="00F64726">
        <w:rPr>
          <w:rFonts w:ascii="Times New Roman" w:hAnsi="Times New Roman"/>
        </w:rPr>
        <w:t>participant names or other</w:t>
      </w:r>
      <w:r w:rsidR="00B17A60" w:rsidRPr="0064497E">
        <w:rPr>
          <w:rFonts w:ascii="Times New Roman" w:hAnsi="Times New Roman"/>
        </w:rPr>
        <w:t xml:space="preserve"> identifying information will be kept in locked areas and any computer documents containing identifying information will be protected with a password.  </w:t>
      </w:r>
      <w:r w:rsidR="00364A8A" w:rsidRPr="001B601E">
        <w:rPr>
          <w:rFonts w:ascii="Times New Roman" w:hAnsi="Times New Roman"/>
        </w:rPr>
        <w:t xml:space="preserve"> </w:t>
      </w:r>
      <w:r w:rsidR="00E26634" w:rsidRPr="001B601E">
        <w:rPr>
          <w:rFonts w:ascii="Times New Roman" w:hAnsi="Times New Roman"/>
        </w:rPr>
        <w:t xml:space="preserve"> </w:t>
      </w:r>
    </w:p>
    <w:p w:rsidR="00B76072" w:rsidRPr="00B76072" w:rsidRDefault="00B76072" w:rsidP="00C33231">
      <w:pPr>
        <w:spacing w:line="240" w:lineRule="auto"/>
        <w:ind w:firstLine="0"/>
        <w:jc w:val="left"/>
        <w:rPr>
          <w:rFonts w:ascii="Times New Roman" w:hAnsi="Times New Roman"/>
        </w:rPr>
      </w:pPr>
    </w:p>
    <w:p w:rsidR="00B76072" w:rsidRPr="00B76072" w:rsidRDefault="00B76072" w:rsidP="00B76072">
      <w:pPr>
        <w:pStyle w:val="BodyText21"/>
        <w:rPr>
          <w:b/>
        </w:rPr>
      </w:pPr>
      <w:r w:rsidRPr="00B76072">
        <w:t>DIR understands the critical issue of data security and protection.  DIR conducts threat analyses, protection plans, and backups on a regular basis to help safeguard and prepare for potential threats and harm that could arise from power failures, fire, hurricane, flooding, piracy, information hacking. DIR operates under National Institute of Standards and Technology (NIST) guidelines, and our business continuity plan has adopted these guidelines for data protection and recovery.  DIR’s data protection strategies include:</w:t>
      </w:r>
    </w:p>
    <w:p w:rsidR="00B76072" w:rsidRPr="00B76072" w:rsidRDefault="00B76072" w:rsidP="00290413">
      <w:pPr>
        <w:pStyle w:val="BodyText21"/>
        <w:numPr>
          <w:ilvl w:val="0"/>
          <w:numId w:val="11"/>
        </w:numPr>
        <w:ind w:left="900"/>
      </w:pPr>
      <w:r w:rsidRPr="00B76072">
        <w:t>A secure server room with increased power input</w:t>
      </w:r>
    </w:p>
    <w:p w:rsidR="00B76072" w:rsidRPr="00B76072" w:rsidRDefault="00B76072" w:rsidP="00290413">
      <w:pPr>
        <w:pStyle w:val="BodyText21"/>
        <w:numPr>
          <w:ilvl w:val="0"/>
          <w:numId w:val="11"/>
        </w:numPr>
        <w:ind w:left="900"/>
      </w:pPr>
      <w:r w:rsidRPr="00B76072">
        <w:t>A coded-card access system that identifies personnel with access to the server room; limited building access off hours; and locks on all doors and building facilities</w:t>
      </w:r>
    </w:p>
    <w:p w:rsidR="00B76072" w:rsidRPr="00B76072" w:rsidRDefault="00B76072" w:rsidP="00290413">
      <w:pPr>
        <w:pStyle w:val="BodyText21"/>
        <w:numPr>
          <w:ilvl w:val="0"/>
          <w:numId w:val="11"/>
        </w:numPr>
        <w:ind w:left="900"/>
      </w:pPr>
      <w:r w:rsidRPr="00B76072">
        <w:t>Procedures for data backup and recovery, including an off-site redundant server</w:t>
      </w:r>
    </w:p>
    <w:p w:rsidR="00B76072" w:rsidRDefault="00B76072" w:rsidP="00C33231">
      <w:pPr>
        <w:spacing w:line="240" w:lineRule="auto"/>
        <w:ind w:firstLine="0"/>
        <w:jc w:val="left"/>
        <w:rPr>
          <w:rFonts w:ascii="Times New Roman" w:hAnsi="Times New Roman"/>
        </w:rPr>
      </w:pPr>
    </w:p>
    <w:p w:rsidR="00B76072" w:rsidRPr="00B76072" w:rsidRDefault="00B76072" w:rsidP="00B76072">
      <w:pPr>
        <w:pStyle w:val="BodyText21"/>
      </w:pPr>
      <w:r w:rsidRPr="00B76072">
        <w:t xml:space="preserve">Upon completion of the study, DIR will contract with an appropriate facility for the destruction of study data. All data—hardcopy and electronic—will be stored in secure archive facilities according to the time period specified in the contract. At the expiration of this specified time period, data will be destroyed with the approval of our HUD </w:t>
      </w:r>
      <w:r w:rsidR="00164928">
        <w:t>Contracting Officer’s Technical Representative (</w:t>
      </w:r>
      <w:r w:rsidRPr="00B76072">
        <w:t>COTR</w:t>
      </w:r>
      <w:r w:rsidR="00164928">
        <w:t>)</w:t>
      </w:r>
      <w:r w:rsidRPr="00B76072">
        <w:t>. The contracted facility will be responsible for the secure and certified shredding of all hardcopy documents collected during the study and for the eradication of electronic data.</w:t>
      </w:r>
    </w:p>
    <w:p w:rsidR="00B17A60" w:rsidRPr="00B57494" w:rsidRDefault="00B17A60" w:rsidP="00542556">
      <w:pPr>
        <w:spacing w:line="240" w:lineRule="auto"/>
        <w:jc w:val="left"/>
        <w:rPr>
          <w:rFonts w:ascii="Times New Roman" w:hAnsi="Times New Roman"/>
        </w:rPr>
      </w:pPr>
    </w:p>
    <w:p w:rsidR="00C96503" w:rsidRPr="00C96503" w:rsidRDefault="00C96503" w:rsidP="0064554E">
      <w:pPr>
        <w:pStyle w:val="OMBNumberBullets"/>
      </w:pPr>
      <w:r w:rsidRPr="00C96503">
        <w:t xml:space="preserve">Provide additional justification for any questions of a sensitive nature, such as sexual behavior and attitudes, religious beliefs, and other matters that are commonly considered private. </w:t>
      </w:r>
    </w:p>
    <w:p w:rsidR="003957FA" w:rsidRDefault="005629D8" w:rsidP="003957FA">
      <w:pPr>
        <w:pStyle w:val="BodyText"/>
        <w:rPr>
          <w:rFonts w:ascii="Times New Roman" w:hAnsi="Times New Roman"/>
          <w:sz w:val="24"/>
          <w:szCs w:val="24"/>
        </w:rPr>
      </w:pPr>
      <w:r>
        <w:rPr>
          <w:rFonts w:ascii="Times New Roman" w:hAnsi="Times New Roman"/>
          <w:sz w:val="24"/>
          <w:szCs w:val="24"/>
          <w:lang w:val="en-US"/>
        </w:rPr>
        <w:t xml:space="preserve">The data collection proposed under </w:t>
      </w:r>
      <w:r w:rsidR="001D7764">
        <w:rPr>
          <w:rFonts w:ascii="Times New Roman" w:hAnsi="Times New Roman"/>
          <w:sz w:val="24"/>
          <w:szCs w:val="24"/>
          <w:lang w:val="en-US"/>
        </w:rPr>
        <w:t>the long</w:t>
      </w:r>
      <w:r w:rsidR="00017199">
        <w:rPr>
          <w:rFonts w:ascii="Times New Roman" w:hAnsi="Times New Roman"/>
          <w:sz w:val="24"/>
          <w:szCs w:val="24"/>
          <w:lang w:val="en-US"/>
        </w:rPr>
        <w:t>-</w:t>
      </w:r>
      <w:r w:rsidR="001D7764">
        <w:rPr>
          <w:rFonts w:ascii="Times New Roman" w:hAnsi="Times New Roman"/>
          <w:sz w:val="24"/>
          <w:szCs w:val="24"/>
          <w:lang w:val="en-US"/>
        </w:rPr>
        <w:t xml:space="preserve">term follow-up survey will </w:t>
      </w:r>
      <w:r>
        <w:rPr>
          <w:rFonts w:ascii="Times New Roman" w:hAnsi="Times New Roman"/>
          <w:sz w:val="24"/>
          <w:szCs w:val="24"/>
          <w:lang w:val="en-US"/>
        </w:rPr>
        <w:t xml:space="preserve">focus on participant experiences with the alternative </w:t>
      </w:r>
      <w:r w:rsidR="007422FE">
        <w:rPr>
          <w:rFonts w:ascii="Times New Roman" w:hAnsi="Times New Roman"/>
          <w:sz w:val="24"/>
          <w:szCs w:val="24"/>
          <w:lang w:val="en-US"/>
        </w:rPr>
        <w:t xml:space="preserve">and current </w:t>
      </w:r>
      <w:r>
        <w:rPr>
          <w:rFonts w:ascii="Times New Roman" w:hAnsi="Times New Roman"/>
          <w:sz w:val="24"/>
          <w:szCs w:val="24"/>
          <w:lang w:val="en-US"/>
        </w:rPr>
        <w:t>rent polic</w:t>
      </w:r>
      <w:r w:rsidR="007422FE">
        <w:rPr>
          <w:rFonts w:ascii="Times New Roman" w:hAnsi="Times New Roman"/>
          <w:sz w:val="24"/>
          <w:szCs w:val="24"/>
          <w:lang w:val="en-US"/>
        </w:rPr>
        <w:t>ies</w:t>
      </w:r>
      <w:r w:rsidR="003957FA">
        <w:rPr>
          <w:rFonts w:ascii="Times New Roman" w:hAnsi="Times New Roman"/>
          <w:sz w:val="24"/>
          <w:szCs w:val="24"/>
          <w:lang w:val="en-US"/>
        </w:rPr>
        <w:t xml:space="preserve">, as well as topics such as education and training, job history, household composition, income, residential status, and family welfare.  </w:t>
      </w:r>
      <w:r w:rsidR="003957FA" w:rsidRPr="003957FA">
        <w:rPr>
          <w:rFonts w:ascii="Times New Roman" w:hAnsi="Times New Roman"/>
          <w:sz w:val="24"/>
          <w:szCs w:val="24"/>
        </w:rPr>
        <w:t xml:space="preserve">Many of the questions in the </w:t>
      </w:r>
      <w:r w:rsidR="003957FA">
        <w:rPr>
          <w:rFonts w:ascii="Times New Roman" w:hAnsi="Times New Roman"/>
          <w:sz w:val="24"/>
          <w:szCs w:val="24"/>
          <w:lang w:val="en-US"/>
        </w:rPr>
        <w:t>long</w:t>
      </w:r>
      <w:r w:rsidR="00017199">
        <w:rPr>
          <w:rFonts w:ascii="Times New Roman" w:hAnsi="Times New Roman"/>
          <w:sz w:val="24"/>
          <w:szCs w:val="24"/>
          <w:lang w:val="en-US"/>
        </w:rPr>
        <w:t>-</w:t>
      </w:r>
      <w:r w:rsidR="003957FA">
        <w:rPr>
          <w:rFonts w:ascii="Times New Roman" w:hAnsi="Times New Roman"/>
          <w:sz w:val="24"/>
          <w:szCs w:val="24"/>
          <w:lang w:val="en-US"/>
        </w:rPr>
        <w:t xml:space="preserve">term follow-up survey </w:t>
      </w:r>
      <w:r w:rsidR="003957FA" w:rsidRPr="003957FA">
        <w:rPr>
          <w:rFonts w:ascii="Times New Roman" w:hAnsi="Times New Roman"/>
          <w:sz w:val="24"/>
          <w:szCs w:val="24"/>
        </w:rPr>
        <w:t>are potentially sensitive for respondents, but they cover some topics that are generally discussed with (and documented by) housing agency staff at the time of  recertification.  For instance, voucher holders are asked to report on employment and income at the time of recertification. However, the evaluation is interested in documenting additional background characteristics that may influence participants’ response to the alternative rent policy</w:t>
      </w:r>
      <w:r w:rsidR="00164928">
        <w:rPr>
          <w:rFonts w:ascii="Times New Roman" w:hAnsi="Times New Roman"/>
          <w:sz w:val="24"/>
          <w:szCs w:val="24"/>
          <w:lang w:val="en-US"/>
        </w:rPr>
        <w:t>, but are not captured by administrative data</w:t>
      </w:r>
      <w:r w:rsidR="003957FA" w:rsidRPr="003957FA">
        <w:rPr>
          <w:rFonts w:ascii="Times New Roman" w:hAnsi="Times New Roman"/>
          <w:sz w:val="24"/>
          <w:szCs w:val="24"/>
        </w:rPr>
        <w:t>.</w:t>
      </w:r>
      <w:r w:rsidR="00164928">
        <w:rPr>
          <w:rFonts w:ascii="Times New Roman" w:hAnsi="Times New Roman"/>
          <w:sz w:val="24"/>
          <w:szCs w:val="24"/>
          <w:lang w:val="en-US"/>
        </w:rPr>
        <w:t xml:space="preserve"> Without asking these additional questions there would be no explanation for the research findings. We would know that the alternative rent policy encouraged participants to work more hours or caused them to earn higher incomes, but we wouldn’t know why. </w:t>
      </w:r>
      <w:r w:rsidR="003957FA" w:rsidRPr="003957FA">
        <w:rPr>
          <w:rFonts w:ascii="Times New Roman" w:hAnsi="Times New Roman"/>
          <w:sz w:val="24"/>
          <w:szCs w:val="24"/>
        </w:rPr>
        <w:t xml:space="preserve"> Thus, it is crucial that </w:t>
      </w:r>
      <w:r w:rsidR="003957FA">
        <w:rPr>
          <w:rFonts w:ascii="Times New Roman" w:hAnsi="Times New Roman"/>
          <w:sz w:val="24"/>
          <w:szCs w:val="24"/>
          <w:lang w:val="en-US"/>
        </w:rPr>
        <w:t>DIR</w:t>
      </w:r>
      <w:r w:rsidR="003957FA" w:rsidRPr="003957FA">
        <w:rPr>
          <w:rFonts w:ascii="Times New Roman" w:hAnsi="Times New Roman"/>
          <w:sz w:val="24"/>
          <w:szCs w:val="24"/>
        </w:rPr>
        <w:t xml:space="preserve"> collect the type of information included in the attached </w:t>
      </w:r>
      <w:r w:rsidR="00841CF5">
        <w:rPr>
          <w:rFonts w:ascii="Times New Roman" w:hAnsi="Times New Roman"/>
          <w:sz w:val="24"/>
          <w:szCs w:val="24"/>
          <w:lang w:val="en-US"/>
        </w:rPr>
        <w:t>long</w:t>
      </w:r>
      <w:r w:rsidR="00017199">
        <w:rPr>
          <w:rFonts w:ascii="Times New Roman" w:hAnsi="Times New Roman"/>
          <w:sz w:val="24"/>
          <w:szCs w:val="24"/>
          <w:lang w:val="en-US"/>
        </w:rPr>
        <w:t>-</w:t>
      </w:r>
      <w:r w:rsidR="00841CF5">
        <w:rPr>
          <w:rFonts w:ascii="Times New Roman" w:hAnsi="Times New Roman"/>
          <w:sz w:val="24"/>
          <w:szCs w:val="24"/>
          <w:lang w:val="en-US"/>
        </w:rPr>
        <w:t>term follow-up survey</w:t>
      </w:r>
      <w:r w:rsidR="003957FA" w:rsidRPr="003957FA">
        <w:rPr>
          <w:rFonts w:ascii="Times New Roman" w:hAnsi="Times New Roman"/>
          <w:sz w:val="24"/>
          <w:szCs w:val="24"/>
        </w:rPr>
        <w:t xml:space="preserve"> (see Appendix </w:t>
      </w:r>
      <w:r w:rsidR="0006506B">
        <w:rPr>
          <w:rFonts w:ascii="Times New Roman" w:hAnsi="Times New Roman"/>
          <w:sz w:val="24"/>
          <w:szCs w:val="24"/>
          <w:lang w:val="en-US"/>
        </w:rPr>
        <w:t>A</w:t>
      </w:r>
      <w:r w:rsidR="003957FA" w:rsidRPr="003957FA">
        <w:rPr>
          <w:rFonts w:ascii="Times New Roman" w:hAnsi="Times New Roman"/>
          <w:sz w:val="24"/>
          <w:szCs w:val="24"/>
        </w:rPr>
        <w:t xml:space="preserve">). Respondents will be informed by </w:t>
      </w:r>
      <w:r w:rsidR="00841CF5">
        <w:rPr>
          <w:rFonts w:ascii="Times New Roman" w:hAnsi="Times New Roman"/>
          <w:sz w:val="24"/>
          <w:szCs w:val="24"/>
          <w:lang w:val="en-US"/>
        </w:rPr>
        <w:t>study</w:t>
      </w:r>
      <w:r w:rsidR="003957FA" w:rsidRPr="003957FA">
        <w:rPr>
          <w:rFonts w:ascii="Times New Roman" w:hAnsi="Times New Roman"/>
          <w:sz w:val="24"/>
          <w:szCs w:val="24"/>
        </w:rPr>
        <w:t xml:space="preserve"> staff prior to </w:t>
      </w:r>
      <w:r w:rsidR="00841CF5">
        <w:rPr>
          <w:rFonts w:ascii="Times New Roman" w:hAnsi="Times New Roman"/>
          <w:sz w:val="24"/>
          <w:szCs w:val="24"/>
          <w:lang w:val="en-US"/>
        </w:rPr>
        <w:t>survey</w:t>
      </w:r>
      <w:r w:rsidR="003957FA" w:rsidRPr="003957FA">
        <w:rPr>
          <w:rFonts w:ascii="Times New Roman" w:hAnsi="Times New Roman"/>
          <w:sz w:val="24"/>
          <w:szCs w:val="24"/>
        </w:rPr>
        <w:t xml:space="preserve"> data collection that their answers are </w:t>
      </w:r>
      <w:r w:rsidR="00017199">
        <w:rPr>
          <w:rFonts w:ascii="Times New Roman" w:hAnsi="Times New Roman"/>
          <w:sz w:val="24"/>
          <w:szCs w:val="24"/>
          <w:lang w:val="en-US"/>
        </w:rPr>
        <w:t xml:space="preserve">private </w:t>
      </w:r>
      <w:r w:rsidR="00A66D84">
        <w:rPr>
          <w:rFonts w:ascii="Times New Roman" w:hAnsi="Times New Roman"/>
          <w:sz w:val="24"/>
          <w:szCs w:val="24"/>
          <w:lang w:val="en-US"/>
        </w:rPr>
        <w:t>to the extent provided by law</w:t>
      </w:r>
      <w:r w:rsidR="003957FA" w:rsidRPr="003957FA">
        <w:rPr>
          <w:rFonts w:ascii="Times New Roman" w:hAnsi="Times New Roman"/>
          <w:sz w:val="24"/>
          <w:szCs w:val="24"/>
        </w:rPr>
        <w:t>, that they may refuse to answer any question, that results will only be reported in the aggregate, and that their responses will not have any effect on any services or benefits they or their family members receive.</w:t>
      </w:r>
    </w:p>
    <w:p w:rsidR="0064554E" w:rsidRDefault="0064554E" w:rsidP="003957FA">
      <w:pPr>
        <w:pStyle w:val="BodyText"/>
        <w:rPr>
          <w:rFonts w:ascii="Times New Roman" w:hAnsi="Times New Roman"/>
          <w:sz w:val="24"/>
          <w:szCs w:val="24"/>
        </w:rPr>
      </w:pPr>
    </w:p>
    <w:p w:rsidR="0064554E" w:rsidRPr="003957FA" w:rsidRDefault="0064554E" w:rsidP="0064554E">
      <w:pPr>
        <w:pStyle w:val="OMBNumberBullets"/>
      </w:pPr>
      <w:r>
        <w:t>Provide estimates of the hour burden of the collection of information.</w:t>
      </w:r>
    </w:p>
    <w:p w:rsidR="005E5951" w:rsidRPr="00592286" w:rsidRDefault="005E5951" w:rsidP="003D6DD0">
      <w:pPr>
        <w:pStyle w:val="Heading3"/>
        <w:tabs>
          <w:tab w:val="clear" w:pos="432"/>
          <w:tab w:val="left" w:pos="0"/>
        </w:tabs>
        <w:ind w:left="0" w:firstLine="0"/>
        <w:jc w:val="left"/>
        <w:rPr>
          <w:rFonts w:ascii="Times New Roman" w:hAnsi="Times New Roman"/>
          <w:b w:val="0"/>
          <w:sz w:val="24"/>
          <w:szCs w:val="24"/>
        </w:rPr>
      </w:pPr>
      <w:r w:rsidRPr="00592286">
        <w:rPr>
          <w:rFonts w:ascii="Times New Roman" w:hAnsi="Times New Roman"/>
          <w:b w:val="0"/>
          <w:sz w:val="24"/>
          <w:szCs w:val="24"/>
        </w:rPr>
        <w:t xml:space="preserve">The hour burden estimates for </w:t>
      </w:r>
      <w:r w:rsidR="00203DF5" w:rsidRPr="00592286">
        <w:rPr>
          <w:rFonts w:ascii="Times New Roman" w:hAnsi="Times New Roman"/>
          <w:b w:val="0"/>
          <w:sz w:val="24"/>
          <w:szCs w:val="24"/>
        </w:rPr>
        <w:t>the long</w:t>
      </w:r>
      <w:r w:rsidR="00017199" w:rsidRPr="00592286">
        <w:rPr>
          <w:rFonts w:ascii="Times New Roman" w:hAnsi="Times New Roman"/>
          <w:b w:val="0"/>
          <w:sz w:val="24"/>
          <w:szCs w:val="24"/>
        </w:rPr>
        <w:t>-</w:t>
      </w:r>
      <w:r w:rsidR="00203DF5" w:rsidRPr="00592286">
        <w:rPr>
          <w:rFonts w:ascii="Times New Roman" w:hAnsi="Times New Roman"/>
          <w:b w:val="0"/>
          <w:sz w:val="24"/>
          <w:szCs w:val="24"/>
        </w:rPr>
        <w:t xml:space="preserve">term follow-up survey </w:t>
      </w:r>
      <w:r w:rsidRPr="00592286">
        <w:rPr>
          <w:rFonts w:ascii="Times New Roman" w:hAnsi="Times New Roman"/>
          <w:b w:val="0"/>
          <w:sz w:val="24"/>
          <w:szCs w:val="24"/>
        </w:rPr>
        <w:t xml:space="preserve">data collection for Rent Reform </w:t>
      </w:r>
      <w:r w:rsidR="006957B3" w:rsidRPr="00592286">
        <w:rPr>
          <w:rFonts w:ascii="Times New Roman" w:hAnsi="Times New Roman"/>
          <w:b w:val="0"/>
          <w:sz w:val="24"/>
          <w:szCs w:val="24"/>
        </w:rPr>
        <w:t>respondents</w:t>
      </w:r>
      <w:r w:rsidRPr="00592286">
        <w:rPr>
          <w:rFonts w:ascii="Times New Roman" w:hAnsi="Times New Roman"/>
          <w:b w:val="0"/>
          <w:sz w:val="24"/>
          <w:szCs w:val="24"/>
        </w:rPr>
        <w:t xml:space="preserve"> is outlined below in Table </w:t>
      </w:r>
      <w:r w:rsidR="0013039A" w:rsidRPr="00592286">
        <w:rPr>
          <w:rFonts w:ascii="Times New Roman" w:hAnsi="Times New Roman"/>
          <w:b w:val="0"/>
          <w:sz w:val="24"/>
          <w:szCs w:val="24"/>
        </w:rPr>
        <w:t>1</w:t>
      </w:r>
      <w:r w:rsidRPr="00592286">
        <w:rPr>
          <w:rFonts w:ascii="Times New Roman" w:hAnsi="Times New Roman"/>
          <w:b w:val="0"/>
          <w:sz w:val="24"/>
          <w:szCs w:val="24"/>
        </w:rPr>
        <w:t xml:space="preserve">.  The estimates included below are based on </w:t>
      </w:r>
      <w:r w:rsidR="00987992" w:rsidRPr="00592286">
        <w:rPr>
          <w:rFonts w:ascii="Times New Roman" w:hAnsi="Times New Roman"/>
          <w:b w:val="0"/>
          <w:sz w:val="24"/>
          <w:szCs w:val="24"/>
        </w:rPr>
        <w:t xml:space="preserve">DIR’s </w:t>
      </w:r>
      <w:r w:rsidRPr="00592286">
        <w:rPr>
          <w:rFonts w:ascii="Times New Roman" w:hAnsi="Times New Roman"/>
          <w:b w:val="0"/>
          <w:sz w:val="24"/>
          <w:szCs w:val="24"/>
        </w:rPr>
        <w:t>experience with previous random assignment studies involving similar populations and data collection</w:t>
      </w:r>
      <w:r w:rsidR="007422FE" w:rsidRPr="00592286">
        <w:rPr>
          <w:rFonts w:ascii="Times New Roman" w:hAnsi="Times New Roman"/>
          <w:b w:val="0"/>
          <w:sz w:val="24"/>
          <w:szCs w:val="24"/>
        </w:rPr>
        <w:t>.</w:t>
      </w:r>
      <w:r w:rsidRPr="00592286">
        <w:rPr>
          <w:rFonts w:ascii="Times New Roman" w:hAnsi="Times New Roman"/>
          <w:b w:val="0"/>
          <w:sz w:val="24"/>
          <w:szCs w:val="24"/>
        </w:rPr>
        <w:t xml:space="preserve"> </w:t>
      </w:r>
    </w:p>
    <w:p w:rsidR="005E5951" w:rsidRPr="000F4A28" w:rsidRDefault="005E5951" w:rsidP="00FF0A85">
      <w:pPr>
        <w:keepNext/>
        <w:spacing w:before="240" w:after="240" w:line="288" w:lineRule="auto"/>
        <w:ind w:firstLine="540"/>
        <w:outlineLvl w:val="2"/>
        <w:rPr>
          <w:rFonts w:ascii="Times New Roman" w:hAnsi="Times New Roman"/>
          <w:b/>
          <w:i/>
          <w:color w:val="000000"/>
        </w:rPr>
      </w:pPr>
      <w:r w:rsidRPr="000F4A28">
        <w:rPr>
          <w:rFonts w:ascii="Times New Roman" w:hAnsi="Times New Roman"/>
          <w:b/>
          <w:i/>
          <w:color w:val="000000"/>
        </w:rPr>
        <w:t xml:space="preserve">Cost to </w:t>
      </w:r>
      <w:r w:rsidR="00485F7E">
        <w:rPr>
          <w:rFonts w:ascii="Times New Roman" w:hAnsi="Times New Roman"/>
          <w:b/>
          <w:i/>
          <w:color w:val="000000"/>
        </w:rPr>
        <w:t xml:space="preserve">respondents </w:t>
      </w:r>
      <w:r>
        <w:rPr>
          <w:rFonts w:ascii="Times New Roman" w:hAnsi="Times New Roman"/>
          <w:b/>
          <w:i/>
          <w:color w:val="000000"/>
        </w:rPr>
        <w:t>for collection of information</w:t>
      </w:r>
      <w:r w:rsidRPr="000F4A28">
        <w:rPr>
          <w:rFonts w:ascii="Times New Roman" w:hAnsi="Times New Roman"/>
          <w:b/>
          <w:i/>
          <w:color w:val="000000"/>
        </w:rPr>
        <w:t xml:space="preserve"> </w:t>
      </w:r>
    </w:p>
    <w:p w:rsidR="00485F7E" w:rsidRDefault="00A12FE8" w:rsidP="003A2B35">
      <w:pPr>
        <w:spacing w:after="240" w:line="240" w:lineRule="auto"/>
        <w:ind w:firstLine="0"/>
        <w:jc w:val="left"/>
        <w:rPr>
          <w:rFonts w:ascii="Times New Roman" w:hAnsi="Times New Roman"/>
          <w:color w:val="000000"/>
        </w:rPr>
      </w:pPr>
      <w:r w:rsidRPr="00A12FE8">
        <w:rPr>
          <w:rFonts w:ascii="Times New Roman" w:hAnsi="Times New Roman"/>
          <w:color w:val="000000"/>
        </w:rPr>
        <w:t xml:space="preserve">Households participating in the Rent Reform Demonstration range widely in employment position and earnings. We have estimated the hourly wage at the expected prevailing minimum wage, which is </w:t>
      </w:r>
      <w:r w:rsidRPr="00C17BCB">
        <w:rPr>
          <w:rFonts w:ascii="Times New Roman" w:hAnsi="Times New Roman"/>
          <w:color w:val="000000"/>
        </w:rPr>
        <w:t>$7.25</w:t>
      </w:r>
      <w:r w:rsidRPr="00A12FE8">
        <w:rPr>
          <w:rFonts w:ascii="Times New Roman" w:hAnsi="Times New Roman"/>
          <w:color w:val="000000"/>
        </w:rPr>
        <w:t xml:space="preserve"> per hour in Kentucky</w:t>
      </w:r>
      <w:r w:rsidR="00C17BCB">
        <w:rPr>
          <w:rFonts w:ascii="Times New Roman" w:hAnsi="Times New Roman"/>
          <w:color w:val="000000"/>
        </w:rPr>
        <w:t xml:space="preserve"> and </w:t>
      </w:r>
      <w:r w:rsidRPr="00A12FE8">
        <w:rPr>
          <w:rFonts w:ascii="Times New Roman" w:hAnsi="Times New Roman"/>
          <w:color w:val="000000"/>
        </w:rPr>
        <w:t>Texas</w:t>
      </w:r>
      <w:r w:rsidR="00987992">
        <w:rPr>
          <w:rFonts w:ascii="Times New Roman" w:hAnsi="Times New Roman"/>
          <w:color w:val="000000"/>
        </w:rPr>
        <w:t xml:space="preserve">, and </w:t>
      </w:r>
      <w:r w:rsidR="00C17BCB">
        <w:rPr>
          <w:rFonts w:ascii="Times New Roman" w:hAnsi="Times New Roman"/>
          <w:color w:val="000000"/>
        </w:rPr>
        <w:t xml:space="preserve">is the same as the federal minimum wage (Source: U.S. Department of Labor, </w:t>
      </w:r>
      <w:hyperlink r:id="rId13" w:history="1">
        <w:r w:rsidR="00C17BCB" w:rsidRPr="00D332B5">
          <w:rPr>
            <w:rStyle w:val="Hyperlink"/>
            <w:rFonts w:ascii="Times New Roman" w:hAnsi="Times New Roman"/>
          </w:rPr>
          <w:t>https://www.dol.whd/minwage/america.htm</w:t>
        </w:r>
      </w:hyperlink>
      <w:r w:rsidR="00C17BCB">
        <w:rPr>
          <w:rFonts w:ascii="Times New Roman" w:hAnsi="Times New Roman"/>
          <w:color w:val="000000"/>
        </w:rPr>
        <w:t xml:space="preserve">).  The hourly minimum wage in the </w:t>
      </w:r>
      <w:r w:rsidRPr="00A12FE8">
        <w:rPr>
          <w:rFonts w:ascii="Times New Roman" w:hAnsi="Times New Roman"/>
          <w:color w:val="000000"/>
        </w:rPr>
        <w:t>District of Columbia</w:t>
      </w:r>
      <w:r w:rsidR="00C17BCB">
        <w:rPr>
          <w:rFonts w:ascii="Times New Roman" w:hAnsi="Times New Roman"/>
          <w:color w:val="000000"/>
        </w:rPr>
        <w:t xml:space="preserve"> is expected to be $13.25</w:t>
      </w:r>
      <w:r w:rsidR="005D4F68">
        <w:rPr>
          <w:rFonts w:ascii="Times New Roman" w:hAnsi="Times New Roman"/>
          <w:color w:val="000000"/>
        </w:rPr>
        <w:t xml:space="preserve"> by Q3 of 2018 (Source: District of Columbia Department of Employment Services, </w:t>
      </w:r>
      <w:hyperlink r:id="rId14" w:history="1">
        <w:r w:rsidR="005D4F68" w:rsidRPr="00D332B5">
          <w:rPr>
            <w:rStyle w:val="Hyperlink"/>
            <w:rFonts w:ascii="Times New Roman" w:hAnsi="Times New Roman"/>
          </w:rPr>
          <w:t>https://does.dc.gov/sites/default/files/dc/sites/does/page_content/attachments/Minimum%20Wage%20Amendment%20Revision%20Act%20Poster%20-%20Eng.pdf</w:t>
        </w:r>
      </w:hyperlink>
      <w:r w:rsidR="005D4F68">
        <w:rPr>
          <w:rFonts w:ascii="Times New Roman" w:hAnsi="Times New Roman"/>
          <w:color w:val="000000"/>
        </w:rPr>
        <w:t>)</w:t>
      </w:r>
      <w:r w:rsidR="00987992">
        <w:rPr>
          <w:rFonts w:ascii="Times New Roman" w:hAnsi="Times New Roman"/>
          <w:color w:val="000000"/>
        </w:rPr>
        <w:t xml:space="preserve">.  </w:t>
      </w:r>
      <w:r w:rsidR="005629D8">
        <w:rPr>
          <w:rFonts w:ascii="Times New Roman" w:hAnsi="Times New Roman"/>
          <w:color w:val="000000"/>
        </w:rPr>
        <w:t>A</w:t>
      </w:r>
      <w:r w:rsidRPr="00A12FE8">
        <w:rPr>
          <w:rFonts w:ascii="Times New Roman" w:hAnsi="Times New Roman"/>
          <w:color w:val="000000"/>
        </w:rPr>
        <w:t xml:space="preserve">ccordingly, we assume an hourly rate across </w:t>
      </w:r>
      <w:r w:rsidRPr="0003425B">
        <w:rPr>
          <w:rFonts w:ascii="Times New Roman" w:hAnsi="Times New Roman"/>
          <w:color w:val="000000"/>
        </w:rPr>
        <w:t>all sites of $</w:t>
      </w:r>
      <w:r w:rsidR="005D4F68" w:rsidRPr="0003425B">
        <w:rPr>
          <w:rFonts w:ascii="Times New Roman" w:hAnsi="Times New Roman"/>
          <w:color w:val="000000"/>
        </w:rPr>
        <w:t>8.96</w:t>
      </w:r>
      <w:r w:rsidRPr="0003425B">
        <w:rPr>
          <w:rFonts w:ascii="Times New Roman" w:hAnsi="Times New Roman"/>
          <w:color w:val="000000"/>
        </w:rPr>
        <w:t xml:space="preserve"> that represents an average of these two rates, weighted by the sample at each site (</w:t>
      </w:r>
      <w:r w:rsidR="00987992" w:rsidRPr="0003425B">
        <w:rPr>
          <w:rFonts w:ascii="Times New Roman" w:hAnsi="Times New Roman"/>
          <w:color w:val="000000"/>
        </w:rPr>
        <w:t>1,903</w:t>
      </w:r>
      <w:r w:rsidRPr="00A12FE8">
        <w:rPr>
          <w:rFonts w:ascii="Times New Roman" w:hAnsi="Times New Roman"/>
          <w:color w:val="000000"/>
        </w:rPr>
        <w:t xml:space="preserve"> participants in Washington, D.C.</w:t>
      </w:r>
      <w:r w:rsidR="005D4F68">
        <w:rPr>
          <w:rFonts w:ascii="Times New Roman" w:hAnsi="Times New Roman"/>
          <w:color w:val="000000"/>
        </w:rPr>
        <w:t xml:space="preserve"> and 4,756 enrolled in Kentucky and Texas</w:t>
      </w:r>
      <w:r w:rsidRPr="00A12FE8">
        <w:rPr>
          <w:rFonts w:ascii="Times New Roman" w:hAnsi="Times New Roman"/>
          <w:color w:val="000000"/>
        </w:rPr>
        <w:t>)</w:t>
      </w:r>
      <w:r w:rsidR="005D4F68">
        <w:rPr>
          <w:rFonts w:ascii="Times New Roman" w:hAnsi="Times New Roman"/>
          <w:color w:val="000000"/>
        </w:rPr>
        <w:t>.</w:t>
      </w:r>
      <w:r w:rsidR="000B13D8">
        <w:rPr>
          <w:rFonts w:ascii="Times New Roman" w:hAnsi="Times New Roman"/>
          <w:color w:val="000000"/>
        </w:rPr>
        <w:t xml:space="preserve"> </w:t>
      </w:r>
      <w:r w:rsidRPr="00A12FE8">
        <w:rPr>
          <w:rFonts w:ascii="Times New Roman" w:hAnsi="Times New Roman"/>
          <w:color w:val="000000"/>
        </w:rPr>
        <w:t xml:space="preserve"> </w:t>
      </w:r>
      <w:r w:rsidR="00E710FE">
        <w:rPr>
          <w:rFonts w:ascii="Times New Roman" w:hAnsi="Times New Roman"/>
          <w:color w:val="000000"/>
        </w:rPr>
        <w:t xml:space="preserve">To calculate the maximum cost to respondents, we have assumed full employment across the sample.  </w:t>
      </w:r>
    </w:p>
    <w:p w:rsidR="000B13D8" w:rsidRDefault="000B13D8" w:rsidP="003A2B35">
      <w:pPr>
        <w:spacing w:after="240" w:line="240" w:lineRule="auto"/>
        <w:ind w:firstLine="0"/>
        <w:jc w:val="left"/>
        <w:rPr>
          <w:rFonts w:ascii="Times New Roman" w:hAnsi="Times New Roman"/>
        </w:rPr>
      </w:pPr>
      <w:r w:rsidRPr="00F608BB">
        <w:rPr>
          <w:rFonts w:ascii="Times New Roman" w:hAnsi="Times New Roman"/>
          <w:color w:val="000000"/>
        </w:rPr>
        <w:t>Based on th</w:t>
      </w:r>
      <w:r>
        <w:rPr>
          <w:rFonts w:ascii="Times New Roman" w:hAnsi="Times New Roman"/>
          <w:color w:val="000000"/>
        </w:rPr>
        <w:t>ese</w:t>
      </w:r>
      <w:r w:rsidRPr="00F608BB">
        <w:rPr>
          <w:rFonts w:ascii="Times New Roman" w:hAnsi="Times New Roman"/>
          <w:color w:val="000000"/>
        </w:rPr>
        <w:t xml:space="preserve"> assumption, and the frequency and duration of responses listed in Table </w:t>
      </w:r>
      <w:r w:rsidR="000E6391">
        <w:rPr>
          <w:rFonts w:ascii="Times New Roman" w:hAnsi="Times New Roman"/>
          <w:color w:val="000000"/>
        </w:rPr>
        <w:t>1</w:t>
      </w:r>
      <w:r w:rsidRPr="00F608BB">
        <w:rPr>
          <w:rFonts w:ascii="Times New Roman" w:hAnsi="Times New Roman"/>
          <w:color w:val="000000"/>
        </w:rPr>
        <w:t xml:space="preserve">, the estimated total </w:t>
      </w:r>
      <w:r>
        <w:rPr>
          <w:rFonts w:ascii="Times New Roman" w:hAnsi="Times New Roman"/>
          <w:color w:val="000000"/>
        </w:rPr>
        <w:t xml:space="preserve">respondent </w:t>
      </w:r>
      <w:r w:rsidRPr="00F608BB">
        <w:rPr>
          <w:rFonts w:ascii="Times New Roman" w:hAnsi="Times New Roman"/>
          <w:color w:val="000000"/>
        </w:rPr>
        <w:t xml:space="preserve">costs </w:t>
      </w:r>
      <w:r>
        <w:rPr>
          <w:rFonts w:ascii="Times New Roman" w:hAnsi="Times New Roman"/>
          <w:color w:val="000000"/>
        </w:rPr>
        <w:t xml:space="preserve">are $32,815.55 </w:t>
      </w:r>
      <w:r w:rsidRPr="009C01BA">
        <w:rPr>
          <w:rFonts w:ascii="Times New Roman" w:hAnsi="Times New Roman"/>
          <w:color w:val="000000"/>
        </w:rPr>
        <w:t>(</w:t>
      </w:r>
      <w:r w:rsidRPr="009C01BA">
        <w:rPr>
          <w:rFonts w:ascii="Times New Roman" w:eastAsia="Calibri" w:hAnsi="Times New Roman"/>
          <w:bCs/>
          <w:color w:val="000000"/>
        </w:rPr>
        <w:t xml:space="preserve">6,659 sample members * $8.96 * </w:t>
      </w:r>
      <w:r w:rsidR="009C01BA" w:rsidRPr="009C01BA">
        <w:rPr>
          <w:rFonts w:ascii="Times New Roman" w:eastAsia="Calibri" w:hAnsi="Times New Roman"/>
          <w:bCs/>
          <w:color w:val="000000"/>
        </w:rPr>
        <w:t>(</w:t>
      </w:r>
      <w:r w:rsidRPr="009C01BA">
        <w:rPr>
          <w:rFonts w:ascii="Times New Roman" w:eastAsia="Calibri" w:hAnsi="Times New Roman"/>
          <w:bCs/>
          <w:color w:val="000000"/>
        </w:rPr>
        <w:t>0.05 hours</w:t>
      </w:r>
      <w:r w:rsidR="009C01BA" w:rsidRPr="009C01BA">
        <w:rPr>
          <w:rFonts w:ascii="Times New Roman" w:eastAsia="Calibri" w:hAnsi="Times New Roman"/>
          <w:bCs/>
          <w:color w:val="000000"/>
        </w:rPr>
        <w:t xml:space="preserve"> + 0.5 hours)</w:t>
      </w:r>
      <w:r w:rsidR="009C01BA">
        <w:rPr>
          <w:rFonts w:ascii="Times New Roman" w:eastAsia="Calibri" w:hAnsi="Times New Roman"/>
          <w:bCs/>
          <w:color w:val="000000"/>
        </w:rPr>
        <w:t>*1 response</w:t>
      </w:r>
      <w:r w:rsidR="009C01BA" w:rsidRPr="009C01BA">
        <w:rPr>
          <w:rFonts w:ascii="Times New Roman" w:eastAsia="Calibri" w:hAnsi="Times New Roman"/>
          <w:bCs/>
          <w:color w:val="000000"/>
        </w:rPr>
        <w:t>)</w:t>
      </w:r>
      <w:r w:rsidR="009C01BA">
        <w:rPr>
          <w:rFonts w:ascii="Times New Roman" w:eastAsia="Calibri" w:hAnsi="Times New Roman"/>
          <w:bCs/>
          <w:color w:val="000000"/>
        </w:rPr>
        <w:t>.</w:t>
      </w:r>
      <w:r w:rsidRPr="009C01BA">
        <w:rPr>
          <w:rFonts w:ascii="Times New Roman" w:hAnsi="Times New Roman"/>
        </w:rPr>
        <w:t xml:space="preserve"> </w:t>
      </w:r>
    </w:p>
    <w:p w:rsidR="00B236EE" w:rsidRDefault="00100F56" w:rsidP="00107FAC">
      <w:pPr>
        <w:pStyle w:val="Heading3"/>
        <w:ind w:left="0" w:firstLine="0"/>
        <w:rPr>
          <w:rFonts w:ascii="Times New Roman" w:hAnsi="Times New Roman"/>
          <w:sz w:val="24"/>
          <w:szCs w:val="24"/>
        </w:rPr>
      </w:pPr>
      <w:bookmarkStart w:id="1" w:name="_Toc278995787"/>
      <w:bookmarkStart w:id="2" w:name="_Toc289863434"/>
      <w:r w:rsidRPr="00100F56">
        <w:rPr>
          <w:rFonts w:ascii="Times New Roman" w:hAnsi="Times New Roman"/>
          <w:sz w:val="24"/>
          <w:szCs w:val="24"/>
        </w:rPr>
        <w:t>Table 1. Esti</w:t>
      </w:r>
      <w:r w:rsidRPr="00100F56">
        <w:rPr>
          <w:rFonts w:ascii="Times New Roman" w:hAnsi="Times New Roman"/>
          <w:sz w:val="24"/>
          <w:szCs w:val="24"/>
          <w:lang w:val="en-US"/>
        </w:rPr>
        <w:t>m</w:t>
      </w:r>
      <w:r w:rsidRPr="00100F56">
        <w:rPr>
          <w:rFonts w:ascii="Times New Roman" w:hAnsi="Times New Roman"/>
          <w:sz w:val="24"/>
          <w:szCs w:val="24"/>
        </w:rPr>
        <w:t>ated Reporting Burden for Survey Respondents</w:t>
      </w:r>
      <w:bookmarkEnd w:id="1"/>
      <w:bookmarkEnd w:id="2"/>
    </w:p>
    <w:tbl>
      <w:tblPr>
        <w:tblpPr w:leftFromText="187" w:rightFromText="187" w:topFromText="202" w:bottomFromText="202" w:vertAnchor="page" w:horzAnchor="margin" w:tblpY="3335"/>
        <w:tblOverlap w:val="neve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5"/>
        <w:gridCol w:w="1375"/>
        <w:gridCol w:w="1159"/>
        <w:gridCol w:w="1170"/>
        <w:gridCol w:w="1271"/>
        <w:gridCol w:w="1350"/>
        <w:gridCol w:w="1170"/>
        <w:gridCol w:w="1415"/>
      </w:tblGrid>
      <w:tr w:rsidR="008D1BD2" w:rsidRPr="005629D8" w:rsidTr="008D1BD2">
        <w:trPr>
          <w:cantSplit/>
        </w:trPr>
        <w:tc>
          <w:tcPr>
            <w:tcW w:w="1195"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right="-108" w:firstLine="0"/>
              <w:rPr>
                <w:rFonts w:ascii="Times New Roman" w:eastAsia="Calibri" w:hAnsi="Times New Roman"/>
                <w:b/>
                <w:color w:val="000000"/>
                <w:sz w:val="20"/>
                <w:szCs w:val="20"/>
              </w:rPr>
            </w:pPr>
            <w:r>
              <w:rPr>
                <w:rFonts w:ascii="Times New Roman" w:hAnsi="Times New Roman"/>
                <w:b/>
                <w:color w:val="000000"/>
                <w:sz w:val="20"/>
                <w:szCs w:val="20"/>
              </w:rPr>
              <w:t>I</w:t>
            </w:r>
            <w:r w:rsidRPr="005629D8">
              <w:rPr>
                <w:rFonts w:ascii="Times New Roman" w:hAnsi="Times New Roman"/>
                <w:b/>
                <w:color w:val="000000"/>
                <w:sz w:val="20"/>
                <w:szCs w:val="20"/>
              </w:rPr>
              <w:t>nformation Collection</w:t>
            </w:r>
          </w:p>
        </w:tc>
        <w:tc>
          <w:tcPr>
            <w:tcW w:w="1375"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Number of Respondents</w:t>
            </w:r>
          </w:p>
        </w:tc>
        <w:tc>
          <w:tcPr>
            <w:tcW w:w="1159"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Frequency of Response</w:t>
            </w:r>
          </w:p>
        </w:tc>
        <w:tc>
          <w:tcPr>
            <w:tcW w:w="1170" w:type="dxa"/>
            <w:tcMar>
              <w:top w:w="43" w:type="dxa"/>
              <w:left w:w="115" w:type="dxa"/>
              <w:bottom w:w="43" w:type="dxa"/>
              <w:right w:w="115" w:type="dxa"/>
            </w:tcMar>
            <w:hideMark/>
          </w:tcPr>
          <w:p w:rsidR="008D1BD2" w:rsidRPr="005629D8" w:rsidRDefault="008D1BD2" w:rsidP="008D1BD2">
            <w:pPr>
              <w:tabs>
                <w:tab w:val="clear" w:pos="432"/>
              </w:tabs>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Responses</w:t>
            </w:r>
          </w:p>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Per Annum</w:t>
            </w:r>
          </w:p>
        </w:tc>
        <w:tc>
          <w:tcPr>
            <w:tcW w:w="1271"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Burden Hour Per Response</w:t>
            </w:r>
          </w:p>
        </w:tc>
        <w:tc>
          <w:tcPr>
            <w:tcW w:w="1350"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Annual Burden Hours</w:t>
            </w:r>
          </w:p>
        </w:tc>
        <w:tc>
          <w:tcPr>
            <w:tcW w:w="1170" w:type="dxa"/>
            <w:tcMar>
              <w:top w:w="43" w:type="dxa"/>
              <w:left w:w="115" w:type="dxa"/>
              <w:bottom w:w="43" w:type="dxa"/>
              <w:right w:w="115" w:type="dxa"/>
            </w:tcMar>
            <w:hideMark/>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Hourly Cost Per Response</w:t>
            </w:r>
          </w:p>
        </w:tc>
        <w:tc>
          <w:tcPr>
            <w:tcW w:w="1415" w:type="dxa"/>
            <w:tcMar>
              <w:top w:w="43" w:type="dxa"/>
              <w:left w:w="115" w:type="dxa"/>
              <w:bottom w:w="43" w:type="dxa"/>
              <w:right w:w="115" w:type="dxa"/>
            </w:tcMar>
          </w:tcPr>
          <w:p w:rsidR="008D1BD2" w:rsidRPr="005629D8" w:rsidRDefault="008D1BD2" w:rsidP="008D1BD2">
            <w:pPr>
              <w:tabs>
                <w:tab w:val="clear" w:pos="432"/>
              </w:tabs>
              <w:spacing w:line="240" w:lineRule="auto"/>
              <w:ind w:firstLine="0"/>
              <w:jc w:val="center"/>
              <w:rPr>
                <w:rFonts w:ascii="Times New Roman" w:eastAsia="Calibri" w:hAnsi="Times New Roman"/>
                <w:b/>
                <w:color w:val="000000"/>
                <w:sz w:val="20"/>
                <w:szCs w:val="20"/>
              </w:rPr>
            </w:pPr>
            <w:r w:rsidRPr="005629D8">
              <w:rPr>
                <w:rFonts w:ascii="Times New Roman" w:hAnsi="Times New Roman"/>
                <w:b/>
                <w:color w:val="000000"/>
                <w:sz w:val="20"/>
                <w:szCs w:val="20"/>
              </w:rPr>
              <w:t>Annual Cost</w:t>
            </w:r>
          </w:p>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color w:val="000000"/>
                <w:sz w:val="20"/>
                <w:szCs w:val="20"/>
              </w:rPr>
            </w:pPr>
          </w:p>
        </w:tc>
      </w:tr>
      <w:tr w:rsidR="008D1BD2" w:rsidRPr="005629D8" w:rsidTr="008D1BD2">
        <w:trPr>
          <w:cantSplit/>
        </w:trPr>
        <w:tc>
          <w:tcPr>
            <w:tcW w:w="119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Pr>
                <w:rFonts w:ascii="Times New Roman" w:eastAsia="Arial Unicode MS" w:hAnsi="Times New Roman"/>
                <w:bCs/>
                <w:snapToGrid w:val="0"/>
                <w:sz w:val="20"/>
                <w:szCs w:val="20"/>
              </w:rPr>
              <w:t>Consent Form</w:t>
            </w:r>
          </w:p>
        </w:tc>
        <w:tc>
          <w:tcPr>
            <w:tcW w:w="137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Pr>
                <w:rFonts w:ascii="Times New Roman" w:eastAsia="Arial Unicode MS" w:hAnsi="Times New Roman"/>
                <w:bCs/>
                <w:snapToGrid w:val="0"/>
                <w:sz w:val="20"/>
                <w:szCs w:val="20"/>
              </w:rPr>
              <w:t xml:space="preserve">6,659 </w:t>
            </w:r>
          </w:p>
        </w:tc>
        <w:tc>
          <w:tcPr>
            <w:tcW w:w="1159" w:type="dxa"/>
            <w:tcMar>
              <w:top w:w="43" w:type="dxa"/>
              <w:left w:w="115" w:type="dxa"/>
              <w:bottom w:w="43" w:type="dxa"/>
              <w:right w:w="115" w:type="dxa"/>
            </w:tcMar>
          </w:tcPr>
          <w:p w:rsidR="008D1BD2" w:rsidRPr="005629D8" w:rsidRDefault="00061950"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1.00</w:t>
            </w:r>
          </w:p>
        </w:tc>
        <w:tc>
          <w:tcPr>
            <w:tcW w:w="1170" w:type="dxa"/>
            <w:tcMar>
              <w:top w:w="43" w:type="dxa"/>
              <w:left w:w="115" w:type="dxa"/>
              <w:bottom w:w="43" w:type="dxa"/>
              <w:right w:w="115" w:type="dxa"/>
            </w:tcMar>
          </w:tcPr>
          <w:p w:rsidR="008D1BD2" w:rsidRPr="005629D8" w:rsidRDefault="00061950"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6,659</w:t>
            </w:r>
          </w:p>
        </w:tc>
        <w:tc>
          <w:tcPr>
            <w:tcW w:w="1271"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 xml:space="preserve"> </w:t>
            </w:r>
            <w:r>
              <w:rPr>
                <w:rFonts w:ascii="Times New Roman" w:eastAsia="Arial Unicode MS" w:hAnsi="Times New Roman"/>
                <w:bCs/>
                <w:snapToGrid w:val="0"/>
                <w:sz w:val="20"/>
                <w:szCs w:val="20"/>
              </w:rPr>
              <w:t>0.05</w:t>
            </w:r>
            <w:r w:rsidRPr="005629D8">
              <w:rPr>
                <w:rFonts w:ascii="Times New Roman" w:eastAsia="Arial Unicode MS" w:hAnsi="Times New Roman"/>
                <w:bCs/>
                <w:snapToGrid w:val="0"/>
                <w:sz w:val="20"/>
                <w:szCs w:val="20"/>
              </w:rPr>
              <w:t xml:space="preserve"> </w:t>
            </w:r>
          </w:p>
        </w:tc>
        <w:tc>
          <w:tcPr>
            <w:tcW w:w="1350" w:type="dxa"/>
            <w:tcMar>
              <w:top w:w="43" w:type="dxa"/>
              <w:left w:w="115" w:type="dxa"/>
              <w:bottom w:w="43" w:type="dxa"/>
              <w:right w:w="115" w:type="dxa"/>
            </w:tcMar>
          </w:tcPr>
          <w:p w:rsidR="008D1BD2"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 xml:space="preserve">333 </w:t>
            </w:r>
          </w:p>
          <w:p w:rsidR="008D1BD2" w:rsidRPr="005629D8" w:rsidRDefault="008D1BD2" w:rsidP="00061950">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p>
        </w:tc>
        <w:tc>
          <w:tcPr>
            <w:tcW w:w="1170"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$8.</w:t>
            </w:r>
            <w:r>
              <w:rPr>
                <w:rFonts w:ascii="Times New Roman" w:eastAsia="Calibri" w:hAnsi="Times New Roman"/>
                <w:bCs/>
                <w:color w:val="000000"/>
                <w:sz w:val="20"/>
                <w:szCs w:val="20"/>
              </w:rPr>
              <w:t>96</w:t>
            </w:r>
          </w:p>
        </w:tc>
        <w:tc>
          <w:tcPr>
            <w:tcW w:w="141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w:t>
            </w:r>
            <w:r>
              <w:rPr>
                <w:rFonts w:ascii="Times New Roman" w:eastAsia="Calibri" w:hAnsi="Times New Roman"/>
                <w:bCs/>
                <w:color w:val="000000"/>
                <w:sz w:val="20"/>
                <w:szCs w:val="20"/>
              </w:rPr>
              <w:t>2,983.</w:t>
            </w:r>
            <w:r w:rsidR="00061950">
              <w:rPr>
                <w:rFonts w:ascii="Times New Roman" w:eastAsia="Calibri" w:hAnsi="Times New Roman"/>
                <w:bCs/>
                <w:color w:val="000000"/>
                <w:sz w:val="20"/>
                <w:szCs w:val="20"/>
              </w:rPr>
              <w:t>68</w:t>
            </w:r>
          </w:p>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p>
        </w:tc>
      </w:tr>
      <w:tr w:rsidR="008D1BD2" w:rsidRPr="005629D8" w:rsidTr="008D1BD2">
        <w:trPr>
          <w:cantSplit/>
        </w:trPr>
        <w:tc>
          <w:tcPr>
            <w:tcW w:w="119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Pr>
                <w:rFonts w:ascii="Times New Roman" w:eastAsia="Arial Unicode MS" w:hAnsi="Times New Roman"/>
                <w:bCs/>
                <w:snapToGrid w:val="0"/>
                <w:sz w:val="20"/>
                <w:szCs w:val="20"/>
              </w:rPr>
              <w:t>Long-term  Follow-up Survey</w:t>
            </w:r>
          </w:p>
        </w:tc>
        <w:tc>
          <w:tcPr>
            <w:tcW w:w="137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hAnsi="Times New Roman"/>
                <w:bCs/>
                <w:color w:val="000000"/>
                <w:sz w:val="20"/>
                <w:szCs w:val="20"/>
              </w:rPr>
            </w:pPr>
            <w:r>
              <w:rPr>
                <w:rFonts w:ascii="Times New Roman" w:eastAsia="Arial Unicode MS" w:hAnsi="Times New Roman"/>
                <w:bCs/>
                <w:snapToGrid w:val="0"/>
                <w:sz w:val="20"/>
                <w:szCs w:val="20"/>
              </w:rPr>
              <w:t xml:space="preserve">6,659 </w:t>
            </w:r>
          </w:p>
        </w:tc>
        <w:tc>
          <w:tcPr>
            <w:tcW w:w="1159" w:type="dxa"/>
            <w:tcMar>
              <w:top w:w="43" w:type="dxa"/>
              <w:left w:w="115" w:type="dxa"/>
              <w:bottom w:w="43" w:type="dxa"/>
              <w:right w:w="115" w:type="dxa"/>
            </w:tcMar>
          </w:tcPr>
          <w:p w:rsidR="008D1BD2" w:rsidRPr="005629D8" w:rsidRDefault="00061950"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1.00</w:t>
            </w:r>
          </w:p>
        </w:tc>
        <w:tc>
          <w:tcPr>
            <w:tcW w:w="1170" w:type="dxa"/>
            <w:tcMar>
              <w:top w:w="43" w:type="dxa"/>
              <w:left w:w="115" w:type="dxa"/>
              <w:bottom w:w="43" w:type="dxa"/>
              <w:right w:w="115" w:type="dxa"/>
            </w:tcMar>
          </w:tcPr>
          <w:p w:rsidR="008D1BD2" w:rsidRPr="005629D8" w:rsidRDefault="00061950"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6,659</w:t>
            </w:r>
          </w:p>
        </w:tc>
        <w:tc>
          <w:tcPr>
            <w:tcW w:w="1271"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Arial Unicode MS" w:hAnsi="Times New Roman"/>
                <w:bCs/>
                <w:snapToGrid w:val="0"/>
                <w:sz w:val="20"/>
                <w:szCs w:val="20"/>
              </w:rPr>
              <w:t xml:space="preserve"> </w:t>
            </w:r>
            <w:r>
              <w:rPr>
                <w:rFonts w:ascii="Times New Roman" w:eastAsia="Arial Unicode MS" w:hAnsi="Times New Roman"/>
                <w:bCs/>
                <w:snapToGrid w:val="0"/>
                <w:sz w:val="20"/>
                <w:szCs w:val="20"/>
              </w:rPr>
              <w:t>0.50</w:t>
            </w:r>
            <w:r w:rsidRPr="005629D8">
              <w:rPr>
                <w:rFonts w:ascii="Times New Roman" w:eastAsia="Arial Unicode MS" w:hAnsi="Times New Roman"/>
                <w:bCs/>
                <w:snapToGrid w:val="0"/>
                <w:sz w:val="20"/>
                <w:szCs w:val="20"/>
              </w:rPr>
              <w:t xml:space="preserve"> </w:t>
            </w:r>
          </w:p>
        </w:tc>
        <w:tc>
          <w:tcPr>
            <w:tcW w:w="1350"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Pr>
                <w:rFonts w:ascii="Times New Roman" w:eastAsia="Arial Unicode MS" w:hAnsi="Times New Roman"/>
                <w:bCs/>
                <w:snapToGrid w:val="0"/>
                <w:sz w:val="20"/>
                <w:szCs w:val="20"/>
              </w:rPr>
              <w:t xml:space="preserve">3,330 </w:t>
            </w:r>
          </w:p>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p>
        </w:tc>
        <w:tc>
          <w:tcPr>
            <w:tcW w:w="1170"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$8.</w:t>
            </w:r>
            <w:r>
              <w:rPr>
                <w:rFonts w:ascii="Times New Roman" w:eastAsia="Calibri" w:hAnsi="Times New Roman"/>
                <w:bCs/>
                <w:color w:val="000000"/>
                <w:sz w:val="20"/>
                <w:szCs w:val="20"/>
              </w:rPr>
              <w:t>96</w:t>
            </w:r>
          </w:p>
        </w:tc>
        <w:tc>
          <w:tcPr>
            <w:tcW w:w="1415"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sidRPr="005629D8">
              <w:rPr>
                <w:rFonts w:ascii="Times New Roman" w:eastAsia="Calibri" w:hAnsi="Times New Roman"/>
                <w:bCs/>
                <w:color w:val="000000"/>
                <w:sz w:val="20"/>
                <w:szCs w:val="20"/>
              </w:rPr>
              <w:t>$</w:t>
            </w:r>
            <w:r>
              <w:rPr>
                <w:rFonts w:ascii="Times New Roman" w:eastAsia="Calibri" w:hAnsi="Times New Roman"/>
                <w:bCs/>
                <w:color w:val="000000"/>
                <w:sz w:val="20"/>
                <w:szCs w:val="20"/>
              </w:rPr>
              <w:t>29,83</w:t>
            </w:r>
            <w:r w:rsidR="00061950">
              <w:rPr>
                <w:rFonts w:ascii="Times New Roman" w:eastAsia="Calibri" w:hAnsi="Times New Roman"/>
                <w:bCs/>
                <w:color w:val="000000"/>
                <w:sz w:val="20"/>
                <w:szCs w:val="20"/>
              </w:rPr>
              <w:t>6</w:t>
            </w:r>
            <w:r>
              <w:rPr>
                <w:rFonts w:ascii="Times New Roman" w:eastAsia="Calibri" w:hAnsi="Times New Roman"/>
                <w:bCs/>
                <w:color w:val="000000"/>
                <w:sz w:val="20"/>
                <w:szCs w:val="20"/>
              </w:rPr>
              <w:t>.</w:t>
            </w:r>
            <w:r w:rsidR="00061950">
              <w:rPr>
                <w:rFonts w:ascii="Times New Roman" w:eastAsia="Calibri" w:hAnsi="Times New Roman"/>
                <w:bCs/>
                <w:color w:val="000000"/>
                <w:sz w:val="20"/>
                <w:szCs w:val="20"/>
              </w:rPr>
              <w:t>80</w:t>
            </w:r>
          </w:p>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highlight w:val="yellow"/>
              </w:rPr>
            </w:pPr>
          </w:p>
        </w:tc>
      </w:tr>
      <w:tr w:rsidR="008D1BD2" w:rsidRPr="005629D8" w:rsidTr="008D1BD2">
        <w:trPr>
          <w:cantSplit/>
        </w:trPr>
        <w:tc>
          <w:tcPr>
            <w:tcW w:w="1195" w:type="dxa"/>
            <w:tcMar>
              <w:top w:w="43" w:type="dxa"/>
              <w:left w:w="115" w:type="dxa"/>
              <w:bottom w:w="43" w:type="dxa"/>
              <w:right w:w="115" w:type="dxa"/>
            </w:tcMar>
          </w:tcPr>
          <w:p w:rsidR="008D1BD2"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Pr>
                <w:rFonts w:ascii="Times New Roman" w:eastAsia="Arial Unicode MS" w:hAnsi="Times New Roman"/>
                <w:bCs/>
                <w:snapToGrid w:val="0"/>
                <w:sz w:val="20"/>
                <w:szCs w:val="20"/>
              </w:rPr>
              <w:t xml:space="preserve">Housing Authority Database Extraction Activities </w:t>
            </w:r>
          </w:p>
        </w:tc>
        <w:tc>
          <w:tcPr>
            <w:tcW w:w="1375" w:type="dxa"/>
            <w:tcMar>
              <w:top w:w="43" w:type="dxa"/>
              <w:left w:w="115" w:type="dxa"/>
              <w:bottom w:w="43" w:type="dxa"/>
              <w:right w:w="115" w:type="dxa"/>
            </w:tcMar>
          </w:tcPr>
          <w:p w:rsidR="008D1BD2"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Pr>
                <w:rFonts w:ascii="Times New Roman" w:eastAsia="Arial Unicode MS" w:hAnsi="Times New Roman"/>
                <w:bCs/>
                <w:snapToGrid w:val="0"/>
                <w:sz w:val="20"/>
                <w:szCs w:val="20"/>
              </w:rPr>
              <w:t xml:space="preserve">4 </w:t>
            </w:r>
          </w:p>
          <w:p w:rsidR="008D1BD2"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p>
        </w:tc>
        <w:tc>
          <w:tcPr>
            <w:tcW w:w="1159" w:type="dxa"/>
            <w:tcMar>
              <w:top w:w="43" w:type="dxa"/>
              <w:left w:w="115" w:type="dxa"/>
              <w:bottom w:w="43" w:type="dxa"/>
              <w:right w:w="115" w:type="dxa"/>
            </w:tcMar>
          </w:tcPr>
          <w:p w:rsidR="008D1BD2" w:rsidRPr="005629D8" w:rsidRDefault="00061950"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1.00</w:t>
            </w:r>
          </w:p>
        </w:tc>
        <w:tc>
          <w:tcPr>
            <w:tcW w:w="1170" w:type="dxa"/>
            <w:tcMar>
              <w:top w:w="43" w:type="dxa"/>
              <w:left w:w="115" w:type="dxa"/>
              <w:bottom w:w="43" w:type="dxa"/>
              <w:right w:w="115" w:type="dxa"/>
            </w:tcMar>
          </w:tcPr>
          <w:p w:rsidR="008D1BD2" w:rsidRPr="005629D8" w:rsidRDefault="00FD41E7"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4</w:t>
            </w:r>
          </w:p>
        </w:tc>
        <w:tc>
          <w:tcPr>
            <w:tcW w:w="1271" w:type="dxa"/>
            <w:tcMar>
              <w:top w:w="43" w:type="dxa"/>
              <w:left w:w="115" w:type="dxa"/>
              <w:bottom w:w="43" w:type="dxa"/>
              <w:right w:w="115" w:type="dxa"/>
            </w:tcMar>
          </w:tcPr>
          <w:p w:rsidR="008D1BD2"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Pr>
                <w:rFonts w:ascii="Times New Roman" w:eastAsia="Arial Unicode MS" w:hAnsi="Times New Roman"/>
                <w:bCs/>
                <w:snapToGrid w:val="0"/>
                <w:sz w:val="20"/>
                <w:szCs w:val="20"/>
              </w:rPr>
              <w:t>1</w:t>
            </w:r>
            <w:r w:rsidR="00061950">
              <w:rPr>
                <w:rFonts w:ascii="Times New Roman" w:eastAsia="Arial Unicode MS" w:hAnsi="Times New Roman"/>
                <w:bCs/>
                <w:snapToGrid w:val="0"/>
                <w:sz w:val="20"/>
                <w:szCs w:val="20"/>
              </w:rPr>
              <w:t>.00</w:t>
            </w:r>
            <w:r>
              <w:rPr>
                <w:rFonts w:ascii="Times New Roman" w:eastAsia="Arial Unicode MS" w:hAnsi="Times New Roman"/>
                <w:bCs/>
                <w:snapToGrid w:val="0"/>
                <w:sz w:val="20"/>
                <w:szCs w:val="20"/>
              </w:rPr>
              <w:t xml:space="preserve"> </w:t>
            </w:r>
          </w:p>
        </w:tc>
        <w:tc>
          <w:tcPr>
            <w:tcW w:w="1350" w:type="dxa"/>
            <w:tcMar>
              <w:top w:w="43" w:type="dxa"/>
              <w:left w:w="115" w:type="dxa"/>
              <w:bottom w:w="43" w:type="dxa"/>
              <w:right w:w="115" w:type="dxa"/>
            </w:tcMar>
          </w:tcPr>
          <w:p w:rsidR="00061950" w:rsidRDefault="00FD41E7" w:rsidP="00061950">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r>
              <w:rPr>
                <w:rFonts w:ascii="Times New Roman" w:eastAsia="Arial Unicode MS" w:hAnsi="Times New Roman"/>
                <w:bCs/>
                <w:snapToGrid w:val="0"/>
                <w:sz w:val="20"/>
                <w:szCs w:val="20"/>
              </w:rPr>
              <w:t>4</w:t>
            </w:r>
          </w:p>
          <w:p w:rsidR="008D1BD2" w:rsidRDefault="008D1BD2" w:rsidP="008D1BD2">
            <w:pPr>
              <w:tabs>
                <w:tab w:val="clear" w:pos="432"/>
              </w:tabs>
              <w:overflowPunct w:val="0"/>
              <w:autoSpaceDE w:val="0"/>
              <w:autoSpaceDN w:val="0"/>
              <w:spacing w:line="240" w:lineRule="auto"/>
              <w:ind w:firstLine="0"/>
              <w:jc w:val="left"/>
              <w:rPr>
                <w:rFonts w:ascii="Times New Roman" w:eastAsia="Arial Unicode MS" w:hAnsi="Times New Roman"/>
                <w:bCs/>
                <w:snapToGrid w:val="0"/>
                <w:sz w:val="20"/>
                <w:szCs w:val="20"/>
              </w:rPr>
            </w:pPr>
          </w:p>
        </w:tc>
        <w:tc>
          <w:tcPr>
            <w:tcW w:w="1170" w:type="dxa"/>
            <w:tcMar>
              <w:top w:w="43" w:type="dxa"/>
              <w:left w:w="115" w:type="dxa"/>
              <w:bottom w:w="43" w:type="dxa"/>
              <w:right w:w="115" w:type="dxa"/>
            </w:tcMar>
          </w:tcPr>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$36.33</w:t>
            </w:r>
          </w:p>
        </w:tc>
        <w:tc>
          <w:tcPr>
            <w:tcW w:w="1415" w:type="dxa"/>
            <w:tcMar>
              <w:top w:w="43" w:type="dxa"/>
              <w:left w:w="115" w:type="dxa"/>
              <w:bottom w:w="43" w:type="dxa"/>
              <w:right w:w="115" w:type="dxa"/>
            </w:tcMar>
          </w:tcPr>
          <w:p w:rsidR="008D1BD2"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r>
              <w:rPr>
                <w:rFonts w:ascii="Times New Roman" w:eastAsia="Calibri" w:hAnsi="Times New Roman"/>
                <w:bCs/>
                <w:color w:val="000000"/>
                <w:sz w:val="20"/>
                <w:szCs w:val="20"/>
              </w:rPr>
              <w:t>$</w:t>
            </w:r>
            <w:r w:rsidR="00FD41E7">
              <w:rPr>
                <w:rFonts w:ascii="Times New Roman" w:eastAsia="Calibri" w:hAnsi="Times New Roman"/>
                <w:bCs/>
                <w:color w:val="000000"/>
                <w:sz w:val="20"/>
                <w:szCs w:val="20"/>
              </w:rPr>
              <w:t>145.32</w:t>
            </w:r>
          </w:p>
          <w:p w:rsidR="008D1BD2" w:rsidRPr="005629D8" w:rsidRDefault="008D1BD2" w:rsidP="008D1BD2">
            <w:pPr>
              <w:tabs>
                <w:tab w:val="clear" w:pos="432"/>
              </w:tabs>
              <w:overflowPunct w:val="0"/>
              <w:autoSpaceDE w:val="0"/>
              <w:autoSpaceDN w:val="0"/>
              <w:spacing w:line="240" w:lineRule="auto"/>
              <w:ind w:firstLine="0"/>
              <w:jc w:val="left"/>
              <w:rPr>
                <w:rFonts w:ascii="Times New Roman" w:eastAsia="Calibri" w:hAnsi="Times New Roman"/>
                <w:bCs/>
                <w:color w:val="000000"/>
                <w:sz w:val="20"/>
                <w:szCs w:val="20"/>
              </w:rPr>
            </w:pPr>
          </w:p>
        </w:tc>
      </w:tr>
      <w:tr w:rsidR="008D1BD2" w:rsidRPr="005629D8" w:rsidTr="008D1BD2">
        <w:trPr>
          <w:cantSplit/>
          <w:trHeight w:val="60"/>
        </w:trPr>
        <w:tc>
          <w:tcPr>
            <w:tcW w:w="1195"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hAnsi="Times New Roman"/>
                <w:b/>
                <w:bCs/>
                <w:color w:val="000000"/>
                <w:sz w:val="20"/>
                <w:szCs w:val="20"/>
              </w:rPr>
            </w:pPr>
            <w:r w:rsidRPr="005629D8">
              <w:rPr>
                <w:rFonts w:ascii="Times New Roman" w:hAnsi="Times New Roman"/>
                <w:b/>
                <w:bCs/>
                <w:color w:val="000000"/>
                <w:sz w:val="20"/>
                <w:szCs w:val="20"/>
              </w:rPr>
              <w:t>TOTAL</w:t>
            </w:r>
          </w:p>
        </w:tc>
        <w:tc>
          <w:tcPr>
            <w:tcW w:w="1375"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hAnsi="Times New Roman"/>
                <w:b/>
                <w:bCs/>
                <w:color w:val="000000"/>
                <w:sz w:val="20"/>
                <w:szCs w:val="20"/>
              </w:rPr>
            </w:pPr>
            <w:r>
              <w:rPr>
                <w:rFonts w:ascii="Times New Roman" w:hAnsi="Times New Roman"/>
                <w:b/>
                <w:bCs/>
                <w:color w:val="000000"/>
                <w:sz w:val="20"/>
                <w:szCs w:val="20"/>
              </w:rPr>
              <w:t>13,3</w:t>
            </w:r>
            <w:r w:rsidR="00FD41E7">
              <w:rPr>
                <w:rFonts w:ascii="Times New Roman" w:hAnsi="Times New Roman"/>
                <w:b/>
                <w:bCs/>
                <w:color w:val="000000"/>
                <w:sz w:val="20"/>
                <w:szCs w:val="20"/>
              </w:rPr>
              <w:t>22</w:t>
            </w:r>
          </w:p>
        </w:tc>
        <w:tc>
          <w:tcPr>
            <w:tcW w:w="1159"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170"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271"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p>
        </w:tc>
        <w:tc>
          <w:tcPr>
            <w:tcW w:w="1350"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rPr>
            </w:pPr>
            <w:r>
              <w:rPr>
                <w:rFonts w:ascii="Times New Roman" w:eastAsia="Calibri" w:hAnsi="Times New Roman"/>
                <w:b/>
                <w:bCs/>
                <w:color w:val="000000"/>
                <w:sz w:val="20"/>
                <w:szCs w:val="20"/>
              </w:rPr>
              <w:t>3,6</w:t>
            </w:r>
            <w:r w:rsidR="00FD41E7">
              <w:rPr>
                <w:rFonts w:ascii="Times New Roman" w:eastAsia="Calibri" w:hAnsi="Times New Roman"/>
                <w:b/>
                <w:bCs/>
                <w:color w:val="000000"/>
                <w:sz w:val="20"/>
                <w:szCs w:val="20"/>
              </w:rPr>
              <w:t>67</w:t>
            </w:r>
          </w:p>
        </w:tc>
        <w:tc>
          <w:tcPr>
            <w:tcW w:w="1170"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highlight w:val="yellow"/>
              </w:rPr>
            </w:pPr>
          </w:p>
        </w:tc>
        <w:tc>
          <w:tcPr>
            <w:tcW w:w="1415" w:type="dxa"/>
            <w:tcMar>
              <w:top w:w="43" w:type="dxa"/>
              <w:left w:w="115" w:type="dxa"/>
              <w:bottom w:w="43" w:type="dxa"/>
              <w:right w:w="115" w:type="dxa"/>
            </w:tcMar>
            <w:vAlign w:val="center"/>
          </w:tcPr>
          <w:p w:rsidR="008D1BD2" w:rsidRPr="005629D8" w:rsidRDefault="008D1BD2" w:rsidP="008D1BD2">
            <w:pPr>
              <w:tabs>
                <w:tab w:val="clear" w:pos="432"/>
              </w:tabs>
              <w:overflowPunct w:val="0"/>
              <w:autoSpaceDE w:val="0"/>
              <w:autoSpaceDN w:val="0"/>
              <w:spacing w:line="240" w:lineRule="auto"/>
              <w:ind w:firstLine="0"/>
              <w:jc w:val="center"/>
              <w:rPr>
                <w:rFonts w:ascii="Times New Roman" w:eastAsia="Calibri" w:hAnsi="Times New Roman"/>
                <w:b/>
                <w:bCs/>
                <w:color w:val="000000"/>
                <w:sz w:val="20"/>
                <w:szCs w:val="20"/>
                <w:highlight w:val="yellow"/>
              </w:rPr>
            </w:pPr>
            <w:r>
              <w:rPr>
                <w:rFonts w:ascii="Times New Roman" w:eastAsia="Calibri" w:hAnsi="Times New Roman"/>
                <w:b/>
                <w:bCs/>
                <w:color w:val="000000"/>
                <w:sz w:val="20"/>
                <w:szCs w:val="20"/>
              </w:rPr>
              <w:t>$3</w:t>
            </w:r>
            <w:r w:rsidR="00FD41E7">
              <w:rPr>
                <w:rFonts w:ascii="Times New Roman" w:eastAsia="Calibri" w:hAnsi="Times New Roman"/>
                <w:b/>
                <w:bCs/>
                <w:color w:val="000000"/>
                <w:sz w:val="20"/>
                <w:szCs w:val="20"/>
              </w:rPr>
              <w:t>2</w:t>
            </w:r>
            <w:r>
              <w:rPr>
                <w:rFonts w:ascii="Times New Roman" w:eastAsia="Calibri" w:hAnsi="Times New Roman"/>
                <w:b/>
                <w:bCs/>
                <w:color w:val="000000"/>
                <w:sz w:val="20"/>
                <w:szCs w:val="20"/>
              </w:rPr>
              <w:t>,</w:t>
            </w:r>
            <w:r w:rsidR="00FD41E7">
              <w:rPr>
                <w:rFonts w:ascii="Times New Roman" w:eastAsia="Calibri" w:hAnsi="Times New Roman"/>
                <w:b/>
                <w:bCs/>
                <w:color w:val="000000"/>
                <w:sz w:val="20"/>
                <w:szCs w:val="20"/>
              </w:rPr>
              <w:t>965.80</w:t>
            </w:r>
          </w:p>
        </w:tc>
      </w:tr>
    </w:tbl>
    <w:p w:rsidR="00115E00" w:rsidRPr="000F4A28" w:rsidRDefault="00115E00" w:rsidP="00FF0A85">
      <w:pPr>
        <w:keepNext/>
        <w:spacing w:before="240" w:after="240" w:line="288" w:lineRule="auto"/>
        <w:ind w:firstLine="540"/>
        <w:jc w:val="left"/>
        <w:outlineLvl w:val="2"/>
        <w:rPr>
          <w:rFonts w:ascii="Times New Roman" w:hAnsi="Times New Roman"/>
          <w:highlight w:val="yellow"/>
        </w:rPr>
      </w:pPr>
      <w:r w:rsidRPr="000F4A28">
        <w:rPr>
          <w:rFonts w:ascii="Times New Roman" w:hAnsi="Times New Roman"/>
          <w:b/>
          <w:i/>
          <w:color w:val="000000"/>
        </w:rPr>
        <w:t>Cost burden to PHA staff</w:t>
      </w:r>
      <w:r w:rsidRPr="000F4A28">
        <w:rPr>
          <w:rFonts w:ascii="Times New Roman" w:hAnsi="Times New Roman"/>
        </w:rPr>
        <w:t xml:space="preserve">  </w:t>
      </w:r>
    </w:p>
    <w:p w:rsidR="005110F7" w:rsidRDefault="006034A8" w:rsidP="00BF36F2">
      <w:pPr>
        <w:spacing w:line="240" w:lineRule="auto"/>
        <w:ind w:firstLine="0"/>
        <w:jc w:val="left"/>
        <w:rPr>
          <w:rFonts w:ascii="Times New Roman" w:hAnsi="Times New Roman"/>
          <w:color w:val="000000"/>
        </w:rPr>
      </w:pPr>
      <w:r>
        <w:rPr>
          <w:rFonts w:ascii="Times New Roman" w:hAnsi="Times New Roman"/>
        </w:rPr>
        <w:t xml:space="preserve">On </w:t>
      </w:r>
      <w:r w:rsidR="00E516DF">
        <w:rPr>
          <w:rFonts w:ascii="Times New Roman" w:hAnsi="Times New Roman"/>
        </w:rPr>
        <w:t xml:space="preserve">three </w:t>
      </w:r>
      <w:r>
        <w:rPr>
          <w:rFonts w:ascii="Times New Roman" w:hAnsi="Times New Roman"/>
        </w:rPr>
        <w:t xml:space="preserve">separate occasions (once before the survey launches and then </w:t>
      </w:r>
      <w:r w:rsidR="00E516DF">
        <w:rPr>
          <w:rFonts w:ascii="Times New Roman" w:hAnsi="Times New Roman"/>
        </w:rPr>
        <w:t xml:space="preserve">twice </w:t>
      </w:r>
      <w:r>
        <w:rPr>
          <w:rFonts w:ascii="Times New Roman" w:hAnsi="Times New Roman"/>
        </w:rPr>
        <w:t xml:space="preserve">again during data collection), </w:t>
      </w:r>
      <w:r w:rsidR="009E3C98">
        <w:rPr>
          <w:rFonts w:ascii="Times New Roman" w:hAnsi="Times New Roman"/>
        </w:rPr>
        <w:t xml:space="preserve">DIR </w:t>
      </w:r>
      <w:r w:rsidR="00E516DF">
        <w:rPr>
          <w:rFonts w:ascii="Times New Roman" w:hAnsi="Times New Roman"/>
        </w:rPr>
        <w:t xml:space="preserve">and MDRC </w:t>
      </w:r>
      <w:r w:rsidR="009E3C98">
        <w:rPr>
          <w:rFonts w:ascii="Times New Roman" w:hAnsi="Times New Roman"/>
        </w:rPr>
        <w:t xml:space="preserve">will request contact information provided to the PHA during the triennial recertification process.  </w:t>
      </w:r>
      <w:r w:rsidR="005110F7" w:rsidRPr="005110F7">
        <w:rPr>
          <w:rFonts w:ascii="Times New Roman" w:hAnsi="Times New Roman"/>
          <w:color w:val="000000"/>
        </w:rPr>
        <w:t>For program staff supporting data extraction activities</w:t>
      </w:r>
      <w:r w:rsidR="009E3C98">
        <w:rPr>
          <w:rFonts w:ascii="Times New Roman" w:hAnsi="Times New Roman"/>
          <w:color w:val="000000"/>
        </w:rPr>
        <w:t xml:space="preserve"> that are not part of their regular duties, </w:t>
      </w:r>
      <w:r w:rsidR="005110F7" w:rsidRPr="005110F7">
        <w:rPr>
          <w:rFonts w:ascii="Times New Roman" w:hAnsi="Times New Roman"/>
          <w:color w:val="000000"/>
        </w:rPr>
        <w:t>the estimate uses the median hourly wages of selected relevant occupations</w:t>
      </w:r>
      <w:r w:rsidR="009E3C98">
        <w:rPr>
          <w:rFonts w:ascii="Times New Roman" w:hAnsi="Times New Roman"/>
          <w:color w:val="000000"/>
        </w:rPr>
        <w:t xml:space="preserve"> (classified by Standard Occupational Classification (SOC) codes) sourced from the Occupational Employment Statistics from the U.S. Department of Labor’s Bureau of Labor Statistics. </w:t>
      </w:r>
      <w:r w:rsidR="005110F7" w:rsidRPr="005110F7">
        <w:rPr>
          <w:rFonts w:ascii="Times New Roman" w:hAnsi="Times New Roman"/>
          <w:color w:val="000000"/>
        </w:rPr>
        <w:t>A standard wage assumption of $3</w:t>
      </w:r>
      <w:r w:rsidR="000418F2">
        <w:rPr>
          <w:rFonts w:ascii="Times New Roman" w:hAnsi="Times New Roman"/>
          <w:color w:val="000000"/>
        </w:rPr>
        <w:t>6.33</w:t>
      </w:r>
      <w:r w:rsidR="005110F7" w:rsidRPr="005110F7">
        <w:rPr>
          <w:rFonts w:ascii="Times New Roman" w:hAnsi="Times New Roman"/>
          <w:color w:val="000000"/>
        </w:rPr>
        <w:t xml:space="preserve"> was created by averaging median hourly wage rates for these </w:t>
      </w:r>
      <w:r w:rsidR="009E3C98">
        <w:rPr>
          <w:rFonts w:ascii="Times New Roman" w:hAnsi="Times New Roman"/>
          <w:color w:val="000000"/>
        </w:rPr>
        <w:t xml:space="preserve">selected relevant </w:t>
      </w:r>
      <w:r w:rsidR="005110F7" w:rsidRPr="005110F7">
        <w:rPr>
          <w:rFonts w:ascii="Times New Roman" w:hAnsi="Times New Roman"/>
          <w:color w:val="000000"/>
        </w:rPr>
        <w:t>occupations:</w:t>
      </w:r>
    </w:p>
    <w:p w:rsidR="005110F7" w:rsidRDefault="005110F7" w:rsidP="00BF36F2">
      <w:pPr>
        <w:spacing w:line="240" w:lineRule="auto"/>
        <w:ind w:firstLine="0"/>
        <w:jc w:val="left"/>
        <w:rPr>
          <w:rFonts w:ascii="Times New Roman" w:hAnsi="Times New Roman"/>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860"/>
        <w:gridCol w:w="1980"/>
        <w:gridCol w:w="2070"/>
      </w:tblGrid>
      <w:tr w:rsidR="005110F7" w:rsidRPr="005110F7" w:rsidTr="003D6DD0">
        <w:tc>
          <w:tcPr>
            <w:tcW w:w="486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Occupation</w:t>
            </w:r>
          </w:p>
        </w:tc>
        <w:tc>
          <w:tcPr>
            <w:tcW w:w="198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SOC Code</w:t>
            </w:r>
          </w:p>
        </w:tc>
        <w:tc>
          <w:tcPr>
            <w:tcW w:w="2070" w:type="dxa"/>
            <w:tcBorders>
              <w:top w:val="nil"/>
              <w:left w:val="nil"/>
              <w:bottom w:val="double" w:sz="4" w:space="0" w:color="auto"/>
              <w:right w:val="nil"/>
            </w:tcBorders>
            <w:vAlign w:val="bottom"/>
            <w:hideMark/>
          </w:tcPr>
          <w:p w:rsidR="005110F7" w:rsidRPr="005110F7" w:rsidRDefault="005110F7" w:rsidP="00C3625E">
            <w:pPr>
              <w:spacing w:line="240" w:lineRule="auto"/>
              <w:ind w:firstLine="0"/>
              <w:jc w:val="center"/>
              <w:rPr>
                <w:rFonts w:ascii="Times New Roman" w:hAnsi="Times New Roman"/>
                <w:highlight w:val="cyan"/>
              </w:rPr>
            </w:pPr>
            <w:r w:rsidRPr="005110F7">
              <w:rPr>
                <w:rFonts w:ascii="Times New Roman" w:hAnsi="Times New Roman"/>
              </w:rPr>
              <w:t>Median Hourly Wage Rate</w:t>
            </w:r>
          </w:p>
        </w:tc>
      </w:tr>
      <w:tr w:rsidR="005110F7" w:rsidRPr="005110F7" w:rsidTr="003D6DD0">
        <w:tc>
          <w:tcPr>
            <w:tcW w:w="4860" w:type="dxa"/>
            <w:tcBorders>
              <w:left w:val="nil"/>
              <w:bottom w:val="single" w:sz="4" w:space="0" w:color="auto"/>
              <w:right w:val="nil"/>
            </w:tcBorders>
            <w:vAlign w:val="center"/>
            <w:hideMark/>
          </w:tcPr>
          <w:p w:rsidR="005110F7" w:rsidRPr="005110F7" w:rsidRDefault="005110F7" w:rsidP="00C3625E">
            <w:pPr>
              <w:spacing w:line="240" w:lineRule="auto"/>
              <w:ind w:firstLine="0"/>
              <w:rPr>
                <w:rFonts w:ascii="Times New Roman" w:hAnsi="Times New Roman"/>
              </w:rPr>
            </w:pPr>
            <w:r w:rsidRPr="005110F7">
              <w:rPr>
                <w:rFonts w:ascii="Times New Roman" w:hAnsi="Times New Roman"/>
              </w:rPr>
              <w:t>Database Administrator</w:t>
            </w:r>
          </w:p>
        </w:tc>
        <w:tc>
          <w:tcPr>
            <w:tcW w:w="1980" w:type="dxa"/>
            <w:tcBorders>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15-1141</w:t>
            </w:r>
          </w:p>
        </w:tc>
        <w:tc>
          <w:tcPr>
            <w:tcW w:w="2070" w:type="dxa"/>
            <w:tcBorders>
              <w:left w:val="nil"/>
              <w:bottom w:val="single" w:sz="4" w:space="0" w:color="auto"/>
              <w:right w:val="nil"/>
            </w:tcBorders>
            <w:hideMark/>
          </w:tcPr>
          <w:p w:rsidR="005110F7" w:rsidRPr="005110F7" w:rsidRDefault="005110F7" w:rsidP="000418F2">
            <w:pPr>
              <w:spacing w:line="240" w:lineRule="auto"/>
              <w:ind w:firstLine="0"/>
              <w:jc w:val="center"/>
              <w:rPr>
                <w:rFonts w:ascii="Times New Roman" w:hAnsi="Times New Roman"/>
              </w:rPr>
            </w:pPr>
            <w:r w:rsidRPr="005110F7">
              <w:rPr>
                <w:rFonts w:ascii="Times New Roman" w:hAnsi="Times New Roman"/>
              </w:rPr>
              <w:t>$</w:t>
            </w:r>
            <w:r w:rsidR="000418F2">
              <w:rPr>
                <w:rFonts w:ascii="Times New Roman" w:hAnsi="Times New Roman"/>
              </w:rPr>
              <w:t>41.84</w:t>
            </w:r>
          </w:p>
        </w:tc>
      </w:tr>
      <w:tr w:rsidR="005110F7" w:rsidRPr="005110F7" w:rsidTr="003D6DD0">
        <w:tc>
          <w:tcPr>
            <w:tcW w:w="4860" w:type="dxa"/>
            <w:tcBorders>
              <w:top w:val="single" w:sz="4" w:space="0" w:color="auto"/>
              <w:left w:val="nil"/>
              <w:bottom w:val="single" w:sz="4" w:space="0" w:color="auto"/>
              <w:right w:val="nil"/>
            </w:tcBorders>
            <w:vAlign w:val="center"/>
            <w:hideMark/>
          </w:tcPr>
          <w:p w:rsidR="005110F7" w:rsidRPr="005110F7" w:rsidRDefault="005110F7" w:rsidP="00C3625E">
            <w:pPr>
              <w:spacing w:line="240" w:lineRule="auto"/>
              <w:ind w:firstLine="0"/>
              <w:rPr>
                <w:rFonts w:ascii="Times New Roman" w:hAnsi="Times New Roman"/>
              </w:rPr>
            </w:pPr>
            <w:r w:rsidRPr="005110F7">
              <w:rPr>
                <w:rFonts w:ascii="Times New Roman" w:hAnsi="Times New Roman"/>
              </w:rPr>
              <w:t>Social/community Service Manager</w:t>
            </w:r>
          </w:p>
        </w:tc>
        <w:tc>
          <w:tcPr>
            <w:tcW w:w="1980" w:type="dxa"/>
            <w:tcBorders>
              <w:top w:val="single" w:sz="4" w:space="0" w:color="auto"/>
              <w:left w:val="nil"/>
              <w:bottom w:val="single" w:sz="4" w:space="0" w:color="auto"/>
              <w:right w:val="nil"/>
            </w:tcBorders>
            <w:hideMark/>
          </w:tcPr>
          <w:p w:rsidR="005110F7" w:rsidRPr="005110F7" w:rsidRDefault="005110F7" w:rsidP="00C3625E">
            <w:pPr>
              <w:spacing w:line="240" w:lineRule="auto"/>
              <w:ind w:firstLine="0"/>
              <w:jc w:val="center"/>
              <w:rPr>
                <w:rFonts w:ascii="Times New Roman" w:hAnsi="Times New Roman"/>
              </w:rPr>
            </w:pPr>
            <w:r w:rsidRPr="005110F7">
              <w:rPr>
                <w:rFonts w:ascii="Times New Roman" w:hAnsi="Times New Roman"/>
              </w:rPr>
              <w:t>11-9151</w:t>
            </w:r>
          </w:p>
        </w:tc>
        <w:tc>
          <w:tcPr>
            <w:tcW w:w="2070" w:type="dxa"/>
            <w:tcBorders>
              <w:top w:val="single" w:sz="4" w:space="0" w:color="auto"/>
              <w:left w:val="nil"/>
              <w:bottom w:val="single" w:sz="4" w:space="0" w:color="auto"/>
              <w:right w:val="nil"/>
            </w:tcBorders>
            <w:hideMark/>
          </w:tcPr>
          <w:p w:rsidR="005110F7" w:rsidRPr="005110F7" w:rsidRDefault="005110F7" w:rsidP="000418F2">
            <w:pPr>
              <w:spacing w:line="240" w:lineRule="auto"/>
              <w:ind w:firstLine="0"/>
              <w:jc w:val="center"/>
              <w:rPr>
                <w:rFonts w:ascii="Times New Roman" w:hAnsi="Times New Roman"/>
              </w:rPr>
            </w:pPr>
            <w:r w:rsidRPr="005110F7">
              <w:rPr>
                <w:rFonts w:ascii="Times New Roman" w:hAnsi="Times New Roman"/>
              </w:rPr>
              <w:t>$</w:t>
            </w:r>
            <w:r w:rsidR="000418F2">
              <w:rPr>
                <w:rFonts w:ascii="Times New Roman" w:hAnsi="Times New Roman"/>
              </w:rPr>
              <w:t>30.82</w:t>
            </w:r>
          </w:p>
        </w:tc>
      </w:tr>
    </w:tbl>
    <w:p w:rsidR="004466FD" w:rsidRDefault="004466FD" w:rsidP="00BF36F2">
      <w:pPr>
        <w:spacing w:line="240" w:lineRule="auto"/>
        <w:ind w:firstLine="0"/>
        <w:jc w:val="left"/>
        <w:rPr>
          <w:rFonts w:ascii="Times New Roman" w:hAnsi="Times New Roman"/>
          <w:color w:val="000000"/>
          <w:sz w:val="20"/>
          <w:szCs w:val="20"/>
        </w:rPr>
      </w:pPr>
    </w:p>
    <w:p w:rsidR="005110F7" w:rsidRPr="005110F7" w:rsidRDefault="005110F7" w:rsidP="003D6DD0">
      <w:pPr>
        <w:spacing w:line="240" w:lineRule="auto"/>
        <w:ind w:firstLine="0"/>
        <w:jc w:val="left"/>
        <w:rPr>
          <w:rFonts w:ascii="Times New Roman" w:hAnsi="Times New Roman"/>
          <w:color w:val="000000"/>
          <w:sz w:val="20"/>
          <w:szCs w:val="20"/>
        </w:rPr>
      </w:pPr>
      <w:r w:rsidRPr="005110F7">
        <w:rPr>
          <w:rFonts w:ascii="Times New Roman" w:hAnsi="Times New Roman"/>
          <w:color w:val="000000"/>
          <w:sz w:val="20"/>
          <w:szCs w:val="20"/>
        </w:rPr>
        <w:t xml:space="preserve">Source: Occupational Employment Statistics, accessed online </w:t>
      </w:r>
      <w:r w:rsidR="000418F2">
        <w:rPr>
          <w:rFonts w:ascii="Times New Roman" w:hAnsi="Times New Roman"/>
          <w:color w:val="000000"/>
          <w:sz w:val="20"/>
          <w:szCs w:val="20"/>
        </w:rPr>
        <w:t xml:space="preserve">May 28, 2018 at </w:t>
      </w:r>
      <w:r w:rsidR="000418F2" w:rsidRPr="000418F2">
        <w:rPr>
          <w:rFonts w:ascii="Times New Roman" w:hAnsi="Times New Roman"/>
          <w:color w:val="000000"/>
          <w:sz w:val="20"/>
          <w:szCs w:val="20"/>
        </w:rPr>
        <w:t>https://www.bls.gov/oes/current/oes_stru.htm</w:t>
      </w:r>
    </w:p>
    <w:p w:rsidR="005110F7" w:rsidRDefault="005110F7" w:rsidP="00BF36F2">
      <w:pPr>
        <w:spacing w:line="240" w:lineRule="auto"/>
        <w:ind w:firstLine="0"/>
        <w:jc w:val="left"/>
        <w:rPr>
          <w:rFonts w:ascii="Times New Roman" w:hAnsi="Times New Roman"/>
          <w:color w:val="000000"/>
        </w:rPr>
      </w:pPr>
    </w:p>
    <w:p w:rsidR="00115E00" w:rsidRPr="000F4A28" w:rsidRDefault="0093577F" w:rsidP="00BF36F2">
      <w:pPr>
        <w:spacing w:line="240" w:lineRule="auto"/>
        <w:ind w:firstLine="0"/>
        <w:jc w:val="left"/>
        <w:rPr>
          <w:rFonts w:ascii="Times New Roman" w:hAnsi="Times New Roman"/>
        </w:rPr>
      </w:pPr>
      <w:r w:rsidRPr="00F608BB">
        <w:rPr>
          <w:rFonts w:ascii="Times New Roman" w:hAnsi="Times New Roman"/>
          <w:color w:val="000000"/>
        </w:rPr>
        <w:t xml:space="preserve">Based on this assumption, and the frequency and duration of responses listed in Table </w:t>
      </w:r>
      <w:r w:rsidR="00B236EE">
        <w:rPr>
          <w:rFonts w:ascii="Times New Roman" w:hAnsi="Times New Roman"/>
          <w:color w:val="000000"/>
        </w:rPr>
        <w:t>1</w:t>
      </w:r>
      <w:r w:rsidRPr="00F608BB">
        <w:rPr>
          <w:rFonts w:ascii="Times New Roman" w:hAnsi="Times New Roman"/>
          <w:color w:val="000000"/>
        </w:rPr>
        <w:t xml:space="preserve">, the estimated total PHA staff costs </w:t>
      </w:r>
      <w:r w:rsidR="000418F2">
        <w:rPr>
          <w:rFonts w:ascii="Times New Roman" w:hAnsi="Times New Roman"/>
          <w:color w:val="000000"/>
        </w:rPr>
        <w:t>for database extraction are</w:t>
      </w:r>
      <w:r w:rsidR="000B13D8">
        <w:rPr>
          <w:rFonts w:ascii="Times New Roman" w:hAnsi="Times New Roman"/>
          <w:color w:val="000000"/>
        </w:rPr>
        <w:t xml:space="preserve"> $</w:t>
      </w:r>
      <w:r w:rsidR="004B39E8">
        <w:rPr>
          <w:rFonts w:ascii="Times New Roman" w:hAnsi="Times New Roman"/>
          <w:color w:val="000000"/>
        </w:rPr>
        <w:t>435.96</w:t>
      </w:r>
      <w:r w:rsidR="000B13D8">
        <w:rPr>
          <w:rFonts w:ascii="Times New Roman" w:hAnsi="Times New Roman"/>
          <w:color w:val="000000"/>
        </w:rPr>
        <w:t xml:space="preserve"> (</w:t>
      </w:r>
      <w:r w:rsidR="005110F7">
        <w:rPr>
          <w:rFonts w:ascii="Times New Roman" w:hAnsi="Times New Roman"/>
        </w:rPr>
        <w:t xml:space="preserve">4 staff (1 staff * 4 sites) * </w:t>
      </w:r>
      <w:r w:rsidR="005110F7" w:rsidRPr="005110F7">
        <w:rPr>
          <w:rFonts w:ascii="Times New Roman" w:hAnsi="Times New Roman"/>
        </w:rPr>
        <w:t>$3</w:t>
      </w:r>
      <w:r w:rsidR="000418F2">
        <w:rPr>
          <w:rFonts w:ascii="Times New Roman" w:hAnsi="Times New Roman"/>
        </w:rPr>
        <w:t>6.33</w:t>
      </w:r>
      <w:r w:rsidR="005110F7" w:rsidRPr="005110F7">
        <w:rPr>
          <w:rFonts w:ascii="Times New Roman" w:hAnsi="Times New Roman"/>
        </w:rPr>
        <w:t xml:space="preserve"> * 1 hour * </w:t>
      </w:r>
      <w:r w:rsidR="00E516DF">
        <w:rPr>
          <w:rFonts w:ascii="Times New Roman" w:hAnsi="Times New Roman"/>
        </w:rPr>
        <w:t>3</w:t>
      </w:r>
      <w:r w:rsidR="005110F7">
        <w:rPr>
          <w:rFonts w:ascii="Times New Roman" w:hAnsi="Times New Roman"/>
        </w:rPr>
        <w:t xml:space="preserve"> response</w:t>
      </w:r>
      <w:r w:rsidR="006034A8">
        <w:rPr>
          <w:rFonts w:ascii="Times New Roman" w:hAnsi="Times New Roman"/>
        </w:rPr>
        <w:t>s)</w:t>
      </w:r>
      <w:r w:rsidR="000B13D8">
        <w:rPr>
          <w:rFonts w:ascii="Times New Roman" w:hAnsi="Times New Roman"/>
        </w:rPr>
        <w:t xml:space="preserve">. </w:t>
      </w:r>
      <w:r w:rsidR="00115E00" w:rsidRPr="00D6195C">
        <w:rPr>
          <w:rFonts w:ascii="Times New Roman" w:hAnsi="Times New Roman"/>
        </w:rPr>
        <w:t>Note, this estimate does not include fringe benefits or other overhead costs</w:t>
      </w:r>
      <w:r w:rsidR="000B13D8">
        <w:rPr>
          <w:rFonts w:ascii="Times New Roman" w:hAnsi="Times New Roman"/>
        </w:rPr>
        <w:t>.</w:t>
      </w:r>
      <w:r w:rsidR="00115E00" w:rsidRPr="000F4A28">
        <w:rPr>
          <w:rFonts w:ascii="Times New Roman" w:hAnsi="Times New Roman"/>
        </w:rPr>
        <w:t xml:space="preserve"> </w:t>
      </w:r>
    </w:p>
    <w:p w:rsidR="00B1183B" w:rsidRDefault="00B1183B" w:rsidP="00400C5C">
      <w:pPr>
        <w:tabs>
          <w:tab w:val="clear" w:pos="432"/>
        </w:tabs>
        <w:spacing w:line="240" w:lineRule="auto"/>
        <w:ind w:firstLine="0"/>
        <w:jc w:val="left"/>
        <w:rPr>
          <w:rFonts w:ascii="Times New Roman" w:hAnsi="Times New Roman"/>
          <w:b/>
        </w:rPr>
      </w:pPr>
    </w:p>
    <w:p w:rsidR="0093577F" w:rsidRPr="00FB424C" w:rsidRDefault="0093577F" w:rsidP="00BF36F2">
      <w:pPr>
        <w:tabs>
          <w:tab w:val="clear" w:pos="432"/>
        </w:tabs>
        <w:spacing w:line="240" w:lineRule="auto"/>
        <w:ind w:firstLine="0"/>
        <w:jc w:val="left"/>
        <w:rPr>
          <w:rFonts w:ascii="Times New Roman" w:hAnsi="Times New Roman"/>
        </w:rPr>
      </w:pPr>
      <w:r w:rsidRPr="00CD2519">
        <w:rPr>
          <w:rFonts w:ascii="Times New Roman" w:hAnsi="Times New Roman"/>
        </w:rPr>
        <w:t>Total estimated cost: $</w:t>
      </w:r>
      <w:r w:rsidR="000B13D8" w:rsidRPr="00CD2519">
        <w:rPr>
          <w:rFonts w:ascii="Times New Roman" w:hAnsi="Times New Roman"/>
        </w:rPr>
        <w:t>3</w:t>
      </w:r>
      <w:r w:rsidR="002F0856" w:rsidRPr="00CD2519">
        <w:rPr>
          <w:rFonts w:ascii="Times New Roman" w:hAnsi="Times New Roman"/>
        </w:rPr>
        <w:t>3,</w:t>
      </w:r>
      <w:r w:rsidR="004B39E8" w:rsidRPr="00CD2519">
        <w:rPr>
          <w:rFonts w:ascii="Times New Roman" w:hAnsi="Times New Roman"/>
        </w:rPr>
        <w:t>251.51</w:t>
      </w:r>
      <w:r w:rsidR="00FB424C" w:rsidRPr="00CD2519">
        <w:rPr>
          <w:rFonts w:ascii="Times New Roman" w:hAnsi="Times New Roman"/>
        </w:rPr>
        <w:t>.</w:t>
      </w:r>
    </w:p>
    <w:p w:rsidR="0093577F" w:rsidRPr="007A71C9" w:rsidRDefault="0093577F" w:rsidP="00BF36F2">
      <w:pPr>
        <w:tabs>
          <w:tab w:val="clear" w:pos="432"/>
        </w:tabs>
        <w:spacing w:line="240" w:lineRule="auto"/>
        <w:ind w:firstLine="0"/>
        <w:jc w:val="left"/>
        <w:rPr>
          <w:rFonts w:ascii="Times New Roman" w:hAnsi="Times New Roman"/>
          <w:b/>
        </w:rPr>
      </w:pPr>
    </w:p>
    <w:p w:rsidR="00592286" w:rsidRPr="00592286" w:rsidRDefault="00592286" w:rsidP="0064554E">
      <w:pPr>
        <w:pStyle w:val="OMBNumberBullets"/>
      </w:pPr>
      <w:r w:rsidRPr="00592286">
        <w:t>Provide an estimate for the total annual cost burden to respondents or record-keepers resulting from the collection of information.</w:t>
      </w:r>
    </w:p>
    <w:p w:rsidR="00203DF5" w:rsidRPr="007A71C9" w:rsidRDefault="00203DF5" w:rsidP="007A71C9">
      <w:pPr>
        <w:tabs>
          <w:tab w:val="clear" w:pos="432"/>
        </w:tabs>
        <w:spacing w:line="240" w:lineRule="auto"/>
        <w:ind w:firstLine="0"/>
        <w:rPr>
          <w:rFonts w:ascii="Times New Roman" w:hAnsi="Times New Roman"/>
        </w:rPr>
      </w:pPr>
      <w:r w:rsidRPr="007A71C9">
        <w:rPr>
          <w:rFonts w:ascii="Times New Roman" w:hAnsi="Times New Roman"/>
        </w:rPr>
        <w:t xml:space="preserve">There are no costs to the respondents to participate beyond the time needed to respond to the tracking requests and </w:t>
      </w:r>
      <w:r w:rsidR="007A71C9" w:rsidRPr="007A71C9">
        <w:rPr>
          <w:rFonts w:ascii="Times New Roman" w:hAnsi="Times New Roman"/>
        </w:rPr>
        <w:t>answer the lo</w:t>
      </w:r>
      <w:r w:rsidRPr="007A71C9">
        <w:rPr>
          <w:rFonts w:ascii="Times New Roman" w:hAnsi="Times New Roman"/>
        </w:rPr>
        <w:t>ng</w:t>
      </w:r>
      <w:r w:rsidR="00AB7B52">
        <w:rPr>
          <w:rFonts w:ascii="Times New Roman" w:hAnsi="Times New Roman"/>
        </w:rPr>
        <w:t>-</w:t>
      </w:r>
      <w:r w:rsidRPr="007A71C9">
        <w:rPr>
          <w:rFonts w:ascii="Times New Roman" w:hAnsi="Times New Roman"/>
        </w:rPr>
        <w:t>ter</w:t>
      </w:r>
      <w:r w:rsidR="002F0856">
        <w:rPr>
          <w:rFonts w:ascii="Times New Roman" w:hAnsi="Times New Roman"/>
        </w:rPr>
        <w:t>m</w:t>
      </w:r>
      <w:r w:rsidRPr="007A71C9">
        <w:rPr>
          <w:rFonts w:ascii="Times New Roman" w:hAnsi="Times New Roman"/>
        </w:rPr>
        <w:t xml:space="preserve"> follo</w:t>
      </w:r>
      <w:r w:rsidR="007A71C9" w:rsidRPr="007A71C9">
        <w:rPr>
          <w:rFonts w:ascii="Times New Roman" w:hAnsi="Times New Roman"/>
        </w:rPr>
        <w:t>w-up survey questions</w:t>
      </w:r>
      <w:r w:rsidRPr="007A71C9">
        <w:rPr>
          <w:rFonts w:ascii="Times New Roman" w:hAnsi="Times New Roman"/>
        </w:rPr>
        <w:t>. No equipment, printing, or postage charges will be incurred by the participants.</w:t>
      </w:r>
    </w:p>
    <w:p w:rsidR="00E80C9D" w:rsidRDefault="00E80C9D" w:rsidP="00BF36F2">
      <w:pPr>
        <w:spacing w:line="240" w:lineRule="auto"/>
        <w:ind w:firstLine="0"/>
        <w:jc w:val="left"/>
        <w:rPr>
          <w:rFonts w:ascii="Times New Roman" w:hAnsi="Times New Roman"/>
        </w:rPr>
      </w:pPr>
    </w:p>
    <w:p w:rsidR="00592286" w:rsidRPr="00592286" w:rsidRDefault="00592286" w:rsidP="0064554E">
      <w:pPr>
        <w:pStyle w:val="OMBNumberBullets"/>
      </w:pPr>
      <w:r w:rsidRPr="0064554E">
        <w:t>Provide</w:t>
      </w:r>
      <w:r w:rsidRPr="00592286">
        <w:t xml:space="preserve"> estimates of annualized costs to the Federal Government.</w:t>
      </w:r>
    </w:p>
    <w:p w:rsidR="00DE2D01" w:rsidRPr="00B83C85" w:rsidRDefault="00DE2D01" w:rsidP="00DE2D01">
      <w:pPr>
        <w:tabs>
          <w:tab w:val="clear" w:pos="432"/>
        </w:tabs>
        <w:autoSpaceDE w:val="0"/>
        <w:autoSpaceDN w:val="0"/>
        <w:adjustRightInd w:val="0"/>
        <w:spacing w:line="240" w:lineRule="auto"/>
        <w:ind w:firstLine="0"/>
        <w:jc w:val="left"/>
        <w:rPr>
          <w:rFonts w:ascii="Times New Roman" w:hAnsi="Times New Roman"/>
        </w:rPr>
      </w:pPr>
      <w:r w:rsidRPr="002C1616">
        <w:rPr>
          <w:rFonts w:ascii="Times New Roman" w:hAnsi="Times New Roman"/>
        </w:rPr>
        <w:t xml:space="preserve">The total cost to the federal government for </w:t>
      </w:r>
      <w:r w:rsidR="00785A78">
        <w:rPr>
          <w:rFonts w:ascii="Times New Roman" w:hAnsi="Times New Roman"/>
        </w:rPr>
        <w:t>the long</w:t>
      </w:r>
      <w:r w:rsidR="00017199">
        <w:rPr>
          <w:rFonts w:ascii="Times New Roman" w:hAnsi="Times New Roman"/>
        </w:rPr>
        <w:t>-</w:t>
      </w:r>
      <w:r w:rsidR="00785A78">
        <w:rPr>
          <w:rFonts w:ascii="Times New Roman" w:hAnsi="Times New Roman"/>
        </w:rPr>
        <w:t>term follow</w:t>
      </w:r>
      <w:r w:rsidR="00C80EA4">
        <w:rPr>
          <w:rFonts w:ascii="Times New Roman" w:hAnsi="Times New Roman"/>
        </w:rPr>
        <w:t>-</w:t>
      </w:r>
      <w:r w:rsidR="00785A78">
        <w:rPr>
          <w:rFonts w:ascii="Times New Roman" w:hAnsi="Times New Roman"/>
        </w:rPr>
        <w:t>up survey</w:t>
      </w:r>
      <w:r w:rsidR="00987992">
        <w:rPr>
          <w:rFonts w:ascii="Times New Roman" w:hAnsi="Times New Roman"/>
        </w:rPr>
        <w:t xml:space="preserve"> of the Rent Reform Demo</w:t>
      </w:r>
      <w:r w:rsidR="00F77C4C">
        <w:rPr>
          <w:rFonts w:ascii="Times New Roman" w:hAnsi="Times New Roman"/>
        </w:rPr>
        <w:t>n</w:t>
      </w:r>
      <w:r w:rsidR="00987992">
        <w:rPr>
          <w:rFonts w:ascii="Times New Roman" w:hAnsi="Times New Roman"/>
        </w:rPr>
        <w:t xml:space="preserve">stration study </w:t>
      </w:r>
      <w:r w:rsidR="00B83C85" w:rsidRPr="002C1616">
        <w:rPr>
          <w:rFonts w:ascii="Times New Roman" w:hAnsi="Times New Roman"/>
        </w:rPr>
        <w:t xml:space="preserve">is </w:t>
      </w:r>
      <w:r w:rsidR="00CE57C3">
        <w:rPr>
          <w:rFonts w:ascii="Times New Roman" w:hAnsi="Times New Roman"/>
        </w:rPr>
        <w:t>$</w:t>
      </w:r>
      <w:r w:rsidR="00B54B2A">
        <w:rPr>
          <w:rFonts w:ascii="Times New Roman" w:hAnsi="Times New Roman"/>
        </w:rPr>
        <w:t>3,</w:t>
      </w:r>
      <w:r w:rsidR="00CE383F">
        <w:rPr>
          <w:rFonts w:ascii="Times New Roman" w:hAnsi="Times New Roman"/>
        </w:rPr>
        <w:t>047,914</w:t>
      </w:r>
      <w:r w:rsidR="00FF0A85">
        <w:rPr>
          <w:rFonts w:ascii="Times New Roman" w:hAnsi="Times New Roman"/>
        </w:rPr>
        <w:t xml:space="preserve"> (Table 2)</w:t>
      </w:r>
      <w:r w:rsidR="003F4030" w:rsidRPr="002C1616">
        <w:rPr>
          <w:rFonts w:ascii="Times New Roman" w:eastAsia="Calibri" w:hAnsi="Times New Roman"/>
        </w:rPr>
        <w:t>.</w:t>
      </w:r>
      <w:r w:rsidRPr="002C1616">
        <w:rPr>
          <w:rFonts w:ascii="Times New Roman" w:eastAsia="Calibri" w:hAnsi="Times New Roman"/>
        </w:rPr>
        <w:t xml:space="preserve"> </w:t>
      </w:r>
    </w:p>
    <w:p w:rsidR="00FF0A85" w:rsidRDefault="00FF0A85" w:rsidP="00881333">
      <w:pPr>
        <w:spacing w:line="240" w:lineRule="auto"/>
        <w:rPr>
          <w:rFonts w:ascii="Times New Roman" w:hAnsi="Times New Roman"/>
          <w:b/>
          <w:lang w:eastAsia="x-none"/>
        </w:rPr>
      </w:pPr>
    </w:p>
    <w:p w:rsidR="00976647" w:rsidRPr="00881333" w:rsidRDefault="00976647" w:rsidP="00CB4787">
      <w:pPr>
        <w:spacing w:line="240" w:lineRule="auto"/>
        <w:ind w:firstLine="90"/>
        <w:rPr>
          <w:rFonts w:ascii="Times New Roman" w:hAnsi="Times New Roman"/>
          <w:b/>
          <w:lang w:eastAsia="x-none"/>
        </w:rPr>
      </w:pPr>
      <w:r w:rsidRPr="00881333">
        <w:rPr>
          <w:rFonts w:ascii="Times New Roman" w:hAnsi="Times New Roman"/>
          <w:b/>
          <w:lang w:eastAsia="x-none"/>
        </w:rPr>
        <w:t>Table 2.  Estimated Cost to the Government</w:t>
      </w:r>
    </w:p>
    <w:tbl>
      <w:tblPr>
        <w:tblW w:w="8640" w:type="dxa"/>
        <w:tblInd w:w="-10" w:type="dxa"/>
        <w:tblLook w:val="04A0" w:firstRow="1" w:lastRow="0" w:firstColumn="1" w:lastColumn="0" w:noHBand="0" w:noVBand="1"/>
      </w:tblPr>
      <w:tblGrid>
        <w:gridCol w:w="6000"/>
        <w:gridCol w:w="1160"/>
        <w:gridCol w:w="1480"/>
      </w:tblGrid>
      <w:tr w:rsidR="00BD753F" w:rsidRPr="00976647" w:rsidTr="00FF0A85">
        <w:trPr>
          <w:trHeight w:val="692"/>
        </w:trPr>
        <w:tc>
          <w:tcPr>
            <w:tcW w:w="60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D753F" w:rsidRPr="00976647" w:rsidRDefault="00BD753F" w:rsidP="00976647">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IDIQ Labor Category</w:t>
            </w:r>
          </w:p>
        </w:tc>
        <w:tc>
          <w:tcPr>
            <w:tcW w:w="1160" w:type="dxa"/>
            <w:tcBorders>
              <w:top w:val="single" w:sz="4" w:space="0" w:color="auto"/>
              <w:left w:val="nil"/>
              <w:bottom w:val="single" w:sz="8" w:space="0" w:color="auto"/>
              <w:right w:val="nil"/>
            </w:tcBorders>
            <w:shd w:val="clear" w:color="auto" w:fill="auto"/>
            <w:vAlign w:val="center"/>
            <w:hideMark/>
          </w:tcPr>
          <w:p w:rsidR="00BD753F" w:rsidRPr="00976647" w:rsidRDefault="00BD753F" w:rsidP="00FF0A85">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 xml:space="preserve">Estimated </w:t>
            </w:r>
            <w:r w:rsidR="00FF0A85">
              <w:rPr>
                <w:rFonts w:ascii="Times New Roman" w:hAnsi="Times New Roman"/>
                <w:color w:val="000000"/>
                <w:sz w:val="20"/>
                <w:szCs w:val="20"/>
              </w:rPr>
              <w:t>H</w:t>
            </w:r>
            <w:r w:rsidRPr="00976647">
              <w:rPr>
                <w:rFonts w:ascii="Times New Roman" w:hAnsi="Times New Roman"/>
                <w:color w:val="000000"/>
                <w:sz w:val="20"/>
                <w:szCs w:val="20"/>
              </w:rPr>
              <w:t xml:space="preserve">ours </w:t>
            </w:r>
          </w:p>
        </w:tc>
        <w:tc>
          <w:tcPr>
            <w:tcW w:w="1480" w:type="dxa"/>
            <w:tcBorders>
              <w:top w:val="single" w:sz="4" w:space="0" w:color="auto"/>
              <w:left w:val="nil"/>
              <w:bottom w:val="single" w:sz="8" w:space="0" w:color="auto"/>
              <w:right w:val="single" w:sz="8" w:space="0" w:color="auto"/>
            </w:tcBorders>
            <w:shd w:val="clear" w:color="auto" w:fill="auto"/>
            <w:vAlign w:val="center"/>
            <w:hideMark/>
          </w:tcPr>
          <w:p w:rsidR="00BD753F" w:rsidRPr="00976647" w:rsidRDefault="00CE383F" w:rsidP="00CE383F">
            <w:pPr>
              <w:tabs>
                <w:tab w:val="clear" w:pos="432"/>
              </w:tabs>
              <w:spacing w:line="240" w:lineRule="auto"/>
              <w:ind w:firstLine="0"/>
              <w:jc w:val="left"/>
              <w:rPr>
                <w:rFonts w:ascii="Times New Roman" w:hAnsi="Times New Roman"/>
                <w:color w:val="000000"/>
                <w:sz w:val="20"/>
                <w:szCs w:val="20"/>
              </w:rPr>
            </w:pPr>
            <w:r>
              <w:rPr>
                <w:rFonts w:ascii="Times New Roman" w:hAnsi="Times New Roman"/>
                <w:color w:val="000000"/>
                <w:sz w:val="20"/>
                <w:szCs w:val="20"/>
              </w:rPr>
              <w:t>Estimated Costs</w:t>
            </w:r>
          </w:p>
        </w:tc>
      </w:tr>
      <w:tr w:rsidR="00CE383F" w:rsidRPr="00976647" w:rsidTr="00CE383F">
        <w:trPr>
          <w:trHeight w:val="315"/>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Class I - Senior</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163</w:t>
            </w:r>
          </w:p>
        </w:tc>
        <w:tc>
          <w:tcPr>
            <w:tcW w:w="1480" w:type="dxa"/>
            <w:tcBorders>
              <w:top w:val="nil"/>
              <w:left w:val="single" w:sz="8" w:space="0" w:color="auto"/>
              <w:bottom w:val="single" w:sz="8"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p>
        </w:tc>
      </w:tr>
      <w:tr w:rsidR="00CE383F" w:rsidRPr="00976647" w:rsidTr="00CE383F">
        <w:trPr>
          <w:trHeight w:val="315"/>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Class II - Associate</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1,140</w:t>
            </w:r>
          </w:p>
        </w:tc>
        <w:tc>
          <w:tcPr>
            <w:tcW w:w="1480" w:type="dxa"/>
            <w:tcBorders>
              <w:top w:val="nil"/>
              <w:left w:val="single" w:sz="8" w:space="0" w:color="auto"/>
              <w:bottom w:val="single" w:sz="8"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p>
        </w:tc>
      </w:tr>
      <w:tr w:rsidR="00CE383F" w:rsidRPr="00976647" w:rsidTr="00CE383F">
        <w:trPr>
          <w:trHeight w:val="315"/>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Class IV - Junior</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8,790</w:t>
            </w:r>
          </w:p>
        </w:tc>
        <w:tc>
          <w:tcPr>
            <w:tcW w:w="1480" w:type="dxa"/>
            <w:tcBorders>
              <w:top w:val="nil"/>
              <w:left w:val="single" w:sz="8" w:space="0" w:color="auto"/>
              <w:bottom w:val="single" w:sz="8"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p>
        </w:tc>
      </w:tr>
      <w:tr w:rsidR="00CE383F" w:rsidRPr="00976647" w:rsidTr="00CE383F">
        <w:trPr>
          <w:trHeight w:val="315"/>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Class V - Editorial</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1,026</w:t>
            </w:r>
          </w:p>
        </w:tc>
        <w:tc>
          <w:tcPr>
            <w:tcW w:w="1480" w:type="dxa"/>
            <w:tcBorders>
              <w:top w:val="nil"/>
              <w:left w:val="single" w:sz="8" w:space="0" w:color="auto"/>
              <w:bottom w:val="single" w:sz="8"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p>
        </w:tc>
      </w:tr>
      <w:tr w:rsidR="00CE383F" w:rsidRPr="00976647" w:rsidTr="00FF0A85">
        <w:trPr>
          <w:trHeight w:val="331"/>
        </w:trPr>
        <w:tc>
          <w:tcPr>
            <w:tcW w:w="6000" w:type="dxa"/>
            <w:tcBorders>
              <w:top w:val="nil"/>
              <w:left w:val="single" w:sz="8" w:space="0" w:color="auto"/>
              <w:bottom w:val="single" w:sz="8" w:space="0" w:color="auto"/>
              <w:right w:val="single" w:sz="8" w:space="0" w:color="auto"/>
            </w:tcBorders>
            <w:shd w:val="clear" w:color="auto" w:fill="auto"/>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Class VI - Clerical (including CATI interviewers and field staff)</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43,979</w:t>
            </w:r>
          </w:p>
        </w:tc>
        <w:tc>
          <w:tcPr>
            <w:tcW w:w="1480" w:type="dxa"/>
            <w:tcBorders>
              <w:top w:val="nil"/>
              <w:left w:val="single" w:sz="8" w:space="0" w:color="auto"/>
              <w:bottom w:val="single" w:sz="8"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Total Labor Cost</w:t>
            </w:r>
          </w:p>
        </w:tc>
        <w:tc>
          <w:tcPr>
            <w:tcW w:w="1480" w:type="dxa"/>
            <w:tcBorders>
              <w:top w:val="nil"/>
              <w:left w:val="nil"/>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 xml:space="preserve">$2,317,964 </w:t>
            </w:r>
          </w:p>
        </w:tc>
      </w:tr>
      <w:tr w:rsidR="00CE383F" w:rsidRPr="00976647" w:rsidTr="00CB4787">
        <w:trPr>
          <w:trHeight w:val="52"/>
        </w:trPr>
        <w:tc>
          <w:tcPr>
            <w:tcW w:w="8640" w:type="dxa"/>
            <w:gridSpan w:val="3"/>
            <w:tcBorders>
              <w:top w:val="single" w:sz="8" w:space="0" w:color="auto"/>
              <w:left w:val="single" w:sz="8" w:space="0" w:color="auto"/>
              <w:bottom w:val="double" w:sz="6" w:space="0" w:color="auto"/>
              <w:right w:val="single" w:sz="8" w:space="0" w:color="auto"/>
            </w:tcBorders>
            <w:shd w:val="clear" w:color="auto" w:fill="auto"/>
            <w:noWrap/>
            <w:vAlign w:val="center"/>
          </w:tcPr>
          <w:p w:rsidR="00CE383F" w:rsidRPr="00976647" w:rsidRDefault="00CE383F" w:rsidP="00CE383F">
            <w:pPr>
              <w:tabs>
                <w:tab w:val="clear" w:pos="432"/>
              </w:tabs>
              <w:spacing w:line="240" w:lineRule="auto"/>
              <w:ind w:firstLine="0"/>
              <w:jc w:val="center"/>
              <w:rPr>
                <w:rFonts w:ascii="Times New Roman" w:hAnsi="Times New Roman"/>
                <w:color w:val="000000"/>
                <w:sz w:val="20"/>
                <w:szCs w:val="20"/>
              </w:rPr>
            </w:pPr>
          </w:p>
        </w:tc>
      </w:tr>
      <w:tr w:rsidR="00CE383F" w:rsidRPr="00976647" w:rsidTr="00CE383F">
        <w:trPr>
          <w:trHeight w:val="330"/>
        </w:trPr>
        <w:tc>
          <w:tcPr>
            <w:tcW w:w="7160" w:type="dxa"/>
            <w:gridSpan w:val="2"/>
            <w:tcBorders>
              <w:top w:val="double" w:sz="6"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Consultant</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$3,741</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Programming</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$3,750</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NCOA</w:t>
            </w:r>
            <w:r>
              <w:rPr>
                <w:rFonts w:ascii="Times New Roman" w:hAnsi="Times New Roman"/>
                <w:color w:val="000000"/>
                <w:sz w:val="20"/>
                <w:szCs w:val="20"/>
              </w:rPr>
              <w:t xml:space="preserve"> (Tracking Database)</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$13,320</w:t>
            </w:r>
          </w:p>
        </w:tc>
      </w:tr>
      <w:tr w:rsidR="00CE383F" w:rsidRPr="00976647" w:rsidTr="00CE383F">
        <w:trPr>
          <w:trHeight w:val="315"/>
        </w:trPr>
        <w:tc>
          <w:tcPr>
            <w:tcW w:w="6000" w:type="dxa"/>
            <w:tcBorders>
              <w:top w:val="nil"/>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Translation</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 </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$4,000</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Travel</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$52,570</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Printing/Copying</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$32,796</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Postage/Delivery</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$24,222</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Field Expenses (including technology)</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$99,188</w:t>
            </w:r>
          </w:p>
        </w:tc>
      </w:tr>
      <w:tr w:rsidR="00CE383F" w:rsidRPr="00976647" w:rsidTr="00CE383F">
        <w:trPr>
          <w:trHeight w:val="315"/>
        </w:trPr>
        <w:tc>
          <w:tcPr>
            <w:tcW w:w="6000" w:type="dxa"/>
            <w:tcBorders>
              <w:top w:val="nil"/>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Telephone</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 </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$5,258</w:t>
            </w:r>
          </w:p>
        </w:tc>
      </w:tr>
      <w:tr w:rsidR="00CE383F" w:rsidRPr="00976647" w:rsidTr="00CE383F">
        <w:trPr>
          <w:trHeight w:val="315"/>
        </w:trPr>
        <w:tc>
          <w:tcPr>
            <w:tcW w:w="6000" w:type="dxa"/>
            <w:tcBorders>
              <w:top w:val="nil"/>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CATI ODC</w:t>
            </w:r>
          </w:p>
        </w:tc>
        <w:tc>
          <w:tcPr>
            <w:tcW w:w="1160" w:type="dxa"/>
            <w:tcBorders>
              <w:top w:val="nil"/>
              <w:left w:val="nil"/>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 </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$27,437</w:t>
            </w:r>
          </w:p>
        </w:tc>
      </w:tr>
      <w:tr w:rsidR="00CE383F" w:rsidRPr="00976647" w:rsidTr="00CE383F">
        <w:trPr>
          <w:trHeight w:val="315"/>
        </w:trPr>
        <w:tc>
          <w:tcPr>
            <w:tcW w:w="7160" w:type="dxa"/>
            <w:gridSpan w:val="2"/>
            <w:tcBorders>
              <w:top w:val="nil"/>
              <w:left w:val="single" w:sz="8" w:space="0" w:color="auto"/>
              <w:bottom w:val="nil"/>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Incentives for Survey Respondents</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CE383F" w:rsidRPr="00976647" w:rsidRDefault="00CE383F" w:rsidP="00CE383F">
            <w:pPr>
              <w:tabs>
                <w:tab w:val="clear" w:pos="432"/>
              </w:tabs>
              <w:spacing w:line="240" w:lineRule="auto"/>
              <w:ind w:firstLine="0"/>
              <w:jc w:val="right"/>
              <w:rPr>
                <w:rFonts w:ascii="Times New Roman" w:hAnsi="Times New Roman"/>
                <w:sz w:val="20"/>
                <w:szCs w:val="20"/>
              </w:rPr>
            </w:pPr>
            <w:r w:rsidRPr="00976647">
              <w:rPr>
                <w:rFonts w:ascii="Times New Roman" w:hAnsi="Times New Roman"/>
                <w:sz w:val="20"/>
                <w:szCs w:val="20"/>
              </w:rPr>
              <w:t>$301,113</w:t>
            </w:r>
          </w:p>
        </w:tc>
      </w:tr>
      <w:tr w:rsidR="00CE383F" w:rsidRPr="00976647" w:rsidTr="00CE383F">
        <w:trPr>
          <w:trHeight w:val="315"/>
        </w:trPr>
        <w:tc>
          <w:tcPr>
            <w:tcW w:w="7160" w:type="dxa"/>
            <w:gridSpan w:val="2"/>
            <w:tcBorders>
              <w:top w:val="single" w:sz="8" w:space="0" w:color="auto"/>
              <w:left w:val="single" w:sz="8" w:space="0" w:color="auto"/>
              <w:bottom w:val="single" w:sz="8" w:space="0" w:color="auto"/>
              <w:right w:val="nil"/>
            </w:tcBorders>
            <w:shd w:val="clear" w:color="auto" w:fill="auto"/>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Subcontract Administration</w:t>
            </w:r>
          </w:p>
        </w:tc>
        <w:tc>
          <w:tcPr>
            <w:tcW w:w="1480" w:type="dxa"/>
            <w:tcBorders>
              <w:top w:val="nil"/>
              <w:left w:val="single" w:sz="8" w:space="0" w:color="auto"/>
              <w:bottom w:val="single" w:sz="8" w:space="0" w:color="auto"/>
              <w:right w:val="single" w:sz="8" w:space="0" w:color="auto"/>
            </w:tcBorders>
            <w:shd w:val="clear" w:color="auto" w:fill="auto"/>
            <w:noWrap/>
            <w:vAlign w:val="center"/>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$162,555</w:t>
            </w:r>
          </w:p>
        </w:tc>
      </w:tr>
      <w:tr w:rsidR="00CE383F" w:rsidRPr="00976647" w:rsidTr="00CE383F">
        <w:trPr>
          <w:trHeight w:val="315"/>
        </w:trPr>
        <w:tc>
          <w:tcPr>
            <w:tcW w:w="6000" w:type="dxa"/>
            <w:tcBorders>
              <w:top w:val="nil"/>
              <w:left w:val="single" w:sz="8" w:space="0" w:color="auto"/>
              <w:bottom w:val="single" w:sz="8" w:space="0" w:color="auto"/>
              <w:right w:val="nil"/>
            </w:tcBorders>
            <w:shd w:val="clear" w:color="000000" w:fill="F8CBAD"/>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Total Expenses</w:t>
            </w:r>
          </w:p>
        </w:tc>
        <w:tc>
          <w:tcPr>
            <w:tcW w:w="1160" w:type="dxa"/>
            <w:tcBorders>
              <w:top w:val="nil"/>
              <w:left w:val="nil"/>
              <w:bottom w:val="single" w:sz="8" w:space="0" w:color="auto"/>
              <w:right w:val="nil"/>
            </w:tcBorders>
            <w:shd w:val="clear" w:color="000000" w:fill="F8CBAD"/>
            <w:noWrap/>
            <w:vAlign w:val="center"/>
            <w:hideMark/>
          </w:tcPr>
          <w:p w:rsidR="00CE383F" w:rsidRPr="00976647" w:rsidRDefault="00CE383F" w:rsidP="00CE383F">
            <w:pPr>
              <w:tabs>
                <w:tab w:val="clear" w:pos="432"/>
              </w:tabs>
              <w:spacing w:line="240" w:lineRule="auto"/>
              <w:ind w:firstLine="0"/>
              <w:jc w:val="left"/>
              <w:rPr>
                <w:rFonts w:ascii="Times New Roman" w:hAnsi="Times New Roman"/>
                <w:color w:val="000000"/>
                <w:sz w:val="20"/>
                <w:szCs w:val="20"/>
              </w:rPr>
            </w:pPr>
            <w:r w:rsidRPr="00976647">
              <w:rPr>
                <w:rFonts w:ascii="Times New Roman" w:hAnsi="Times New Roman"/>
                <w:color w:val="000000"/>
                <w:sz w:val="20"/>
                <w:szCs w:val="20"/>
              </w:rPr>
              <w:t> </w:t>
            </w:r>
          </w:p>
        </w:tc>
        <w:tc>
          <w:tcPr>
            <w:tcW w:w="1480" w:type="dxa"/>
            <w:tcBorders>
              <w:top w:val="nil"/>
              <w:left w:val="single" w:sz="8" w:space="0" w:color="auto"/>
              <w:bottom w:val="single" w:sz="8" w:space="0" w:color="auto"/>
              <w:right w:val="single" w:sz="8" w:space="0" w:color="auto"/>
            </w:tcBorders>
            <w:shd w:val="clear" w:color="000000" w:fill="F8CBAD"/>
            <w:noWrap/>
            <w:vAlign w:val="bottom"/>
            <w:hideMark/>
          </w:tcPr>
          <w:p w:rsidR="00CE383F" w:rsidRPr="00976647" w:rsidRDefault="00CE383F" w:rsidP="00CE383F">
            <w:pPr>
              <w:tabs>
                <w:tab w:val="clear" w:pos="432"/>
              </w:tabs>
              <w:spacing w:line="240" w:lineRule="auto"/>
              <w:ind w:firstLine="0"/>
              <w:jc w:val="right"/>
              <w:rPr>
                <w:rFonts w:ascii="Times New Roman" w:hAnsi="Times New Roman"/>
                <w:color w:val="000000"/>
                <w:sz w:val="20"/>
                <w:szCs w:val="20"/>
              </w:rPr>
            </w:pPr>
            <w:r w:rsidRPr="00976647">
              <w:rPr>
                <w:rFonts w:ascii="Times New Roman" w:hAnsi="Times New Roman"/>
                <w:color w:val="000000"/>
                <w:sz w:val="20"/>
                <w:szCs w:val="20"/>
              </w:rPr>
              <w:t xml:space="preserve">$3,047,914 </w:t>
            </w:r>
          </w:p>
        </w:tc>
      </w:tr>
    </w:tbl>
    <w:p w:rsidR="00976647" w:rsidRDefault="00976647" w:rsidP="00976647">
      <w:pPr>
        <w:tabs>
          <w:tab w:val="clear" w:pos="432"/>
        </w:tabs>
        <w:ind w:firstLine="0"/>
        <w:rPr>
          <w:lang w:eastAsia="x-none"/>
        </w:rPr>
      </w:pPr>
    </w:p>
    <w:p w:rsidR="00592286" w:rsidRPr="00592286" w:rsidRDefault="00592286" w:rsidP="0064554E">
      <w:pPr>
        <w:pStyle w:val="OMBNumberBullets"/>
      </w:pPr>
      <w:r w:rsidRPr="00592286">
        <w:t xml:space="preserve">Explain the reasons for any program changes or adjustments reported on the </w:t>
      </w:r>
      <w:r w:rsidRPr="0064554E">
        <w:t>burden</w:t>
      </w:r>
      <w:r w:rsidRPr="00592286">
        <w:t xml:space="preserve"> </w:t>
      </w:r>
      <w:r w:rsidRPr="0064554E">
        <w:t>worksheet</w:t>
      </w:r>
      <w:r w:rsidRPr="00592286">
        <w:t>.</w:t>
      </w:r>
    </w:p>
    <w:p w:rsidR="00B1183B" w:rsidRPr="00592286" w:rsidRDefault="00B1183B" w:rsidP="00CE383F">
      <w:pPr>
        <w:pStyle w:val="Heading3"/>
        <w:tabs>
          <w:tab w:val="clear" w:pos="432"/>
        </w:tabs>
        <w:ind w:left="0" w:firstLine="0"/>
        <w:jc w:val="left"/>
        <w:rPr>
          <w:rFonts w:ascii="Times New Roman" w:hAnsi="Times New Roman"/>
          <w:b w:val="0"/>
          <w:color w:val="000000"/>
          <w:sz w:val="24"/>
          <w:szCs w:val="24"/>
        </w:rPr>
      </w:pPr>
      <w:r w:rsidRPr="00592286">
        <w:rPr>
          <w:rFonts w:ascii="Times New Roman" w:hAnsi="Times New Roman"/>
          <w:b w:val="0"/>
          <w:color w:val="000000"/>
          <w:sz w:val="24"/>
          <w:szCs w:val="24"/>
        </w:rPr>
        <w:t xml:space="preserve">This submission is a </w:t>
      </w:r>
      <w:r w:rsidR="00F74829" w:rsidRPr="00592286">
        <w:rPr>
          <w:rFonts w:ascii="Times New Roman" w:hAnsi="Times New Roman"/>
          <w:b w:val="0"/>
          <w:color w:val="000000"/>
          <w:sz w:val="24"/>
          <w:szCs w:val="24"/>
        </w:rPr>
        <w:t>revision of an existing collection (OMB #2528-0306)</w:t>
      </w:r>
      <w:r w:rsidR="00F26A83" w:rsidRPr="00592286">
        <w:rPr>
          <w:rFonts w:ascii="Times New Roman" w:hAnsi="Times New Roman"/>
          <w:b w:val="0"/>
          <w:color w:val="000000"/>
          <w:sz w:val="24"/>
          <w:szCs w:val="24"/>
        </w:rPr>
        <w:t>.</w:t>
      </w:r>
      <w:r w:rsidRPr="00592286">
        <w:rPr>
          <w:rFonts w:ascii="Times New Roman" w:hAnsi="Times New Roman"/>
          <w:b w:val="0"/>
          <w:color w:val="000000"/>
          <w:sz w:val="24"/>
          <w:szCs w:val="24"/>
        </w:rPr>
        <w:t xml:space="preserve"> </w:t>
      </w:r>
      <w:r w:rsidR="00F74829" w:rsidRPr="00592286">
        <w:rPr>
          <w:rFonts w:ascii="Times New Roman" w:hAnsi="Times New Roman"/>
          <w:b w:val="0"/>
          <w:color w:val="000000"/>
          <w:sz w:val="24"/>
          <w:szCs w:val="24"/>
        </w:rPr>
        <w:t xml:space="preserve">The revision is necessary to obtain approval for </w:t>
      </w:r>
      <w:r w:rsidR="00170D41" w:rsidRPr="00592286">
        <w:rPr>
          <w:rFonts w:ascii="Times New Roman" w:hAnsi="Times New Roman"/>
          <w:b w:val="0"/>
          <w:color w:val="000000"/>
          <w:sz w:val="24"/>
          <w:szCs w:val="24"/>
        </w:rPr>
        <w:t xml:space="preserve">longer term </w:t>
      </w:r>
      <w:r w:rsidR="00F74829" w:rsidRPr="00592286">
        <w:rPr>
          <w:rFonts w:ascii="Times New Roman" w:hAnsi="Times New Roman"/>
          <w:b w:val="0"/>
          <w:color w:val="000000"/>
          <w:sz w:val="24"/>
          <w:szCs w:val="24"/>
        </w:rPr>
        <w:t xml:space="preserve">data collection </w:t>
      </w:r>
      <w:r w:rsidR="00170D41" w:rsidRPr="00592286">
        <w:rPr>
          <w:rFonts w:ascii="Times New Roman" w:hAnsi="Times New Roman"/>
          <w:b w:val="0"/>
          <w:color w:val="000000"/>
          <w:sz w:val="24"/>
          <w:szCs w:val="24"/>
        </w:rPr>
        <w:t xml:space="preserve">activities that are </w:t>
      </w:r>
      <w:r w:rsidR="00F74829" w:rsidRPr="00592286">
        <w:rPr>
          <w:rFonts w:ascii="Times New Roman" w:hAnsi="Times New Roman"/>
          <w:b w:val="0"/>
          <w:color w:val="000000"/>
          <w:sz w:val="24"/>
          <w:szCs w:val="24"/>
        </w:rPr>
        <w:t>part of the Rent Reform Demonstration</w:t>
      </w:r>
      <w:r w:rsidR="00987992" w:rsidRPr="00592286">
        <w:rPr>
          <w:rFonts w:ascii="Times New Roman" w:hAnsi="Times New Roman"/>
          <w:b w:val="0"/>
          <w:color w:val="000000"/>
          <w:sz w:val="24"/>
          <w:szCs w:val="24"/>
        </w:rPr>
        <w:t xml:space="preserve"> study</w:t>
      </w:r>
      <w:r w:rsidR="00170D41" w:rsidRPr="00592286">
        <w:rPr>
          <w:rFonts w:ascii="Times New Roman" w:hAnsi="Times New Roman"/>
          <w:b w:val="0"/>
          <w:color w:val="000000"/>
          <w:sz w:val="24"/>
          <w:szCs w:val="24"/>
        </w:rPr>
        <w:t>.  The long-term follow-up survey will provide contextual information to better understand</w:t>
      </w:r>
      <w:r w:rsidR="00F77C4C" w:rsidRPr="00592286">
        <w:rPr>
          <w:rFonts w:ascii="Times New Roman" w:hAnsi="Times New Roman"/>
          <w:b w:val="0"/>
          <w:color w:val="000000"/>
          <w:sz w:val="24"/>
          <w:szCs w:val="24"/>
        </w:rPr>
        <w:t xml:space="preserve"> the impacts of the revised rent reform model.</w:t>
      </w:r>
      <w:r w:rsidR="00F74829" w:rsidRPr="00592286">
        <w:rPr>
          <w:rFonts w:ascii="Times New Roman" w:hAnsi="Times New Roman"/>
          <w:b w:val="0"/>
          <w:color w:val="000000"/>
          <w:sz w:val="24"/>
          <w:szCs w:val="24"/>
        </w:rPr>
        <w:t xml:space="preserve"> </w:t>
      </w:r>
    </w:p>
    <w:p w:rsidR="00B1183B" w:rsidRDefault="00B1183B" w:rsidP="00B94A8D">
      <w:pPr>
        <w:tabs>
          <w:tab w:val="clear" w:pos="432"/>
        </w:tabs>
        <w:spacing w:line="240" w:lineRule="auto"/>
        <w:ind w:firstLine="0"/>
        <w:jc w:val="center"/>
        <w:rPr>
          <w:rFonts w:ascii="Times New Roman" w:hAnsi="Times New Roman"/>
          <w:b/>
        </w:rPr>
      </w:pPr>
    </w:p>
    <w:p w:rsidR="00592286" w:rsidRPr="00592286" w:rsidRDefault="00592286" w:rsidP="0064554E">
      <w:pPr>
        <w:pStyle w:val="OMBNumberBullets"/>
      </w:pPr>
      <w:r w:rsidRPr="00592286">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4A8D" w:rsidRDefault="00B94A8D" w:rsidP="00592286">
      <w:pPr>
        <w:autoSpaceDE w:val="0"/>
        <w:autoSpaceDN w:val="0"/>
        <w:adjustRightInd w:val="0"/>
        <w:spacing w:line="240" w:lineRule="auto"/>
        <w:ind w:firstLine="0"/>
        <w:jc w:val="left"/>
        <w:rPr>
          <w:rFonts w:ascii="Times New Roman" w:hAnsi="Times New Roman"/>
        </w:rPr>
      </w:pPr>
    </w:p>
    <w:p w:rsidR="007A71C9" w:rsidRPr="00542556" w:rsidRDefault="007A71C9" w:rsidP="007A71C9">
      <w:pPr>
        <w:pStyle w:val="ParagraphLAST"/>
        <w:spacing w:after="0" w:line="240" w:lineRule="auto"/>
        <w:ind w:firstLine="0"/>
        <w:jc w:val="left"/>
        <w:rPr>
          <w:rFonts w:ascii="Times New Roman" w:hAnsi="Times New Roman"/>
        </w:rPr>
      </w:pPr>
      <w:r w:rsidRPr="00542556">
        <w:rPr>
          <w:rFonts w:ascii="Times New Roman" w:hAnsi="Times New Roman"/>
        </w:rPr>
        <w:t xml:space="preserve">To determine the effectiveness of the targeted programs, </w:t>
      </w:r>
      <w:r>
        <w:rPr>
          <w:rFonts w:ascii="Times New Roman" w:hAnsi="Times New Roman"/>
        </w:rPr>
        <w:t xml:space="preserve">the evaluation is designed to </w:t>
      </w:r>
      <w:r w:rsidRPr="00542556">
        <w:rPr>
          <w:rFonts w:ascii="Times New Roman" w:hAnsi="Times New Roman"/>
        </w:rPr>
        <w:t xml:space="preserve">collect </w:t>
      </w:r>
      <w:r>
        <w:rPr>
          <w:rFonts w:ascii="Times New Roman" w:hAnsi="Times New Roman"/>
        </w:rPr>
        <w:t>three</w:t>
      </w:r>
      <w:r w:rsidRPr="00542556">
        <w:rPr>
          <w:rFonts w:ascii="Times New Roman" w:hAnsi="Times New Roman"/>
          <w:lang w:val="yo-NG"/>
        </w:rPr>
        <w:t xml:space="preserve"> categories of data</w:t>
      </w:r>
      <w:r w:rsidRPr="00542556">
        <w:rPr>
          <w:rFonts w:ascii="Times New Roman" w:hAnsi="Times New Roman"/>
        </w:rPr>
        <w:t xml:space="preserve">: </w:t>
      </w:r>
      <w:r w:rsidRPr="00542556">
        <w:rPr>
          <w:rFonts w:ascii="Times New Roman" w:hAnsi="Times New Roman"/>
          <w:lang w:val="yo-NG"/>
        </w:rPr>
        <w:t xml:space="preserve"> 1) </w:t>
      </w:r>
      <w:r w:rsidRPr="00542556">
        <w:rPr>
          <w:rFonts w:ascii="Times New Roman" w:hAnsi="Times New Roman"/>
        </w:rPr>
        <w:t>baseline data</w:t>
      </w:r>
      <w:r>
        <w:rPr>
          <w:rFonts w:ascii="Times New Roman" w:hAnsi="Times New Roman"/>
        </w:rPr>
        <w:t>,</w:t>
      </w:r>
      <w:r w:rsidRPr="00542556">
        <w:rPr>
          <w:rFonts w:ascii="Times New Roman" w:hAnsi="Times New Roman"/>
          <w:lang w:val="yo-NG"/>
        </w:rPr>
        <w:t xml:space="preserve"> 2)</w:t>
      </w:r>
      <w:r w:rsidRPr="00542556">
        <w:rPr>
          <w:rFonts w:ascii="Times New Roman" w:hAnsi="Times New Roman"/>
        </w:rPr>
        <w:t xml:space="preserve"> </w:t>
      </w:r>
      <w:r w:rsidRPr="00542556">
        <w:rPr>
          <w:rFonts w:ascii="Times New Roman" w:hAnsi="Times New Roman"/>
          <w:lang w:val="yo-NG"/>
        </w:rPr>
        <w:t>implementation and process data</w:t>
      </w:r>
      <w:r>
        <w:rPr>
          <w:rFonts w:ascii="Times New Roman" w:hAnsi="Times New Roman"/>
        </w:rPr>
        <w:t>, 3</w:t>
      </w:r>
      <w:r w:rsidRPr="00542556">
        <w:rPr>
          <w:rFonts w:ascii="Times New Roman" w:hAnsi="Times New Roman"/>
          <w:lang w:val="yo-NG"/>
        </w:rPr>
        <w:t xml:space="preserve">) </w:t>
      </w:r>
      <w:r w:rsidRPr="00542556">
        <w:rPr>
          <w:rFonts w:ascii="Times New Roman" w:hAnsi="Times New Roman"/>
        </w:rPr>
        <w:t>administrative records</w:t>
      </w:r>
      <w:r w:rsidR="00A66D84">
        <w:rPr>
          <w:rFonts w:ascii="Times New Roman" w:hAnsi="Times New Roman"/>
        </w:rPr>
        <w:t>, and 4) long-term follow-up survey data</w:t>
      </w:r>
      <w:r w:rsidR="00640DA2">
        <w:rPr>
          <w:rFonts w:ascii="Times New Roman" w:hAnsi="Times New Roman"/>
        </w:rPr>
        <w:t xml:space="preserve"> will be used</w:t>
      </w:r>
      <w:r w:rsidR="00A66D84">
        <w:rPr>
          <w:rFonts w:ascii="Times New Roman" w:hAnsi="Times New Roman"/>
        </w:rPr>
        <w:t xml:space="preserve">, which will </w:t>
      </w:r>
      <w:r w:rsidR="00640DA2">
        <w:rPr>
          <w:rFonts w:ascii="Times New Roman" w:hAnsi="Times New Roman"/>
        </w:rPr>
        <w:t xml:space="preserve">contextualize and </w:t>
      </w:r>
      <w:r w:rsidR="00A66D84">
        <w:rPr>
          <w:rFonts w:ascii="Times New Roman" w:hAnsi="Times New Roman"/>
        </w:rPr>
        <w:t xml:space="preserve">help </w:t>
      </w:r>
      <w:r w:rsidR="00640DA2">
        <w:rPr>
          <w:rFonts w:ascii="Times New Roman" w:hAnsi="Times New Roman"/>
        </w:rPr>
        <w:t xml:space="preserve">interpret the findings from these other data sources.  </w:t>
      </w:r>
      <w:r w:rsidR="002F54BC">
        <w:rPr>
          <w:rFonts w:ascii="Times New Roman" w:hAnsi="Times New Roman"/>
        </w:rPr>
        <w:t>In January 2018, the baseline report was published. The interim impact report is expected to be published in early 2019. The long-term impact analysis is expected to be published as a series of working papers in late 2020 or early 2021. A comprehensive impact analysis including an analysis of the long-term follow-up survey and administrative data is expected in late 2021 or early 2022.</w:t>
      </w:r>
    </w:p>
    <w:p w:rsidR="007A71C9" w:rsidRDefault="007A71C9" w:rsidP="007A71C9">
      <w:pPr>
        <w:tabs>
          <w:tab w:val="clear" w:pos="432"/>
        </w:tabs>
        <w:spacing w:line="240" w:lineRule="auto"/>
        <w:ind w:firstLine="0"/>
        <w:jc w:val="left"/>
        <w:rPr>
          <w:rFonts w:ascii="Times New Roman" w:hAnsi="Times New Roman"/>
        </w:rPr>
      </w:pPr>
    </w:p>
    <w:p w:rsidR="006D792E" w:rsidRDefault="006D792E" w:rsidP="007A71C9">
      <w:pPr>
        <w:tabs>
          <w:tab w:val="clear" w:pos="432"/>
        </w:tabs>
        <w:spacing w:line="240" w:lineRule="auto"/>
        <w:ind w:firstLine="0"/>
        <w:jc w:val="left"/>
        <w:rPr>
          <w:rFonts w:ascii="Times New Roman" w:hAnsi="Times New Roman"/>
        </w:rPr>
      </w:pPr>
    </w:p>
    <w:p w:rsidR="00592286" w:rsidRPr="00592286" w:rsidRDefault="00592286" w:rsidP="00CB4787">
      <w:pPr>
        <w:pStyle w:val="OMBNumberBullets"/>
      </w:pPr>
      <w:r w:rsidRPr="00592286">
        <w:t>If you are seeking approval to not display the expiration date for OMB approval of the information collection, explain the reasons that display would be inappropriate.</w:t>
      </w:r>
    </w:p>
    <w:p w:rsidR="00BF070E" w:rsidRPr="00542556" w:rsidRDefault="00670739" w:rsidP="00592286">
      <w:pPr>
        <w:tabs>
          <w:tab w:val="clear" w:pos="432"/>
        </w:tabs>
        <w:spacing w:after="200" w:line="276" w:lineRule="auto"/>
        <w:ind w:firstLine="0"/>
        <w:jc w:val="left"/>
        <w:rPr>
          <w:rFonts w:ascii="Times New Roman" w:hAnsi="Times New Roman"/>
        </w:rPr>
      </w:pPr>
      <w:r w:rsidRPr="00542556">
        <w:rPr>
          <w:rFonts w:ascii="Times New Roman" w:hAnsi="Times New Roman"/>
        </w:rPr>
        <w:t xml:space="preserve">The expiration date for OMB approval will be displayed on </w:t>
      </w:r>
      <w:r w:rsidR="00B83C85">
        <w:rPr>
          <w:rFonts w:ascii="Times New Roman" w:hAnsi="Times New Roman"/>
        </w:rPr>
        <w:t>any</w:t>
      </w:r>
      <w:r w:rsidR="00B83C85" w:rsidRPr="00542556">
        <w:rPr>
          <w:rFonts w:ascii="Times New Roman" w:hAnsi="Times New Roman"/>
        </w:rPr>
        <w:t xml:space="preserve"> </w:t>
      </w:r>
      <w:r w:rsidRPr="00542556">
        <w:rPr>
          <w:rFonts w:ascii="Times New Roman" w:hAnsi="Times New Roman"/>
        </w:rPr>
        <w:t>forms completed as part of the data collection.</w:t>
      </w:r>
      <w:r w:rsidR="00BF070E" w:rsidRPr="00BF070E">
        <w:rPr>
          <w:rFonts w:ascii="Times New Roman" w:hAnsi="Times New Roman"/>
        </w:rPr>
        <w:t xml:space="preserve"> </w:t>
      </w:r>
    </w:p>
    <w:p w:rsidR="00725157" w:rsidRDefault="00725157" w:rsidP="00725157">
      <w:pPr>
        <w:tabs>
          <w:tab w:val="clear" w:pos="432"/>
        </w:tabs>
        <w:spacing w:line="240" w:lineRule="auto"/>
        <w:jc w:val="left"/>
        <w:rPr>
          <w:rFonts w:ascii="Times New Roman" w:hAnsi="Times New Roman"/>
        </w:rPr>
      </w:pPr>
    </w:p>
    <w:p w:rsidR="00272FCF" w:rsidRPr="00272FCF" w:rsidRDefault="00272FCF" w:rsidP="00CB4787">
      <w:pPr>
        <w:pStyle w:val="OMBNumberBullets"/>
      </w:pPr>
      <w:r w:rsidRPr="00272FCF">
        <w:t>Explain each exception to the topics of the certification statement identified in Certification for Paperwork Reduction Act Submissions.</w:t>
      </w:r>
    </w:p>
    <w:p w:rsidR="00670739" w:rsidRDefault="00061950" w:rsidP="00E878CF">
      <w:pPr>
        <w:pStyle w:val="NoSpacing"/>
        <w:rPr>
          <w:rFonts w:ascii="Times New Roman" w:hAnsi="Times New Roman" w:cs="Times New Roman"/>
          <w:sz w:val="24"/>
          <w:szCs w:val="24"/>
        </w:rPr>
      </w:pPr>
      <w:r>
        <w:rPr>
          <w:rFonts w:ascii="Times New Roman" w:hAnsi="Times New Roman" w:cs="Times New Roman"/>
          <w:sz w:val="24"/>
          <w:szCs w:val="24"/>
        </w:rPr>
        <w:t>This submission describing data collection requests no exceptions to the Certificate for Paperwork Reduction Act (5 CFR 1320.9)</w:t>
      </w:r>
      <w:r w:rsidR="00670739" w:rsidRPr="00725157">
        <w:rPr>
          <w:rFonts w:ascii="Times New Roman" w:hAnsi="Times New Roman" w:cs="Times New Roman"/>
          <w:sz w:val="24"/>
          <w:szCs w:val="24"/>
        </w:rPr>
        <w:t xml:space="preserve">. </w:t>
      </w:r>
    </w:p>
    <w:p w:rsidR="005B4F1A" w:rsidRPr="00D51E44" w:rsidRDefault="005B4F1A" w:rsidP="006C05E3">
      <w:pPr>
        <w:pStyle w:val="NoSpacing"/>
        <w:spacing w:after="200"/>
        <w:rPr>
          <w:rFonts w:ascii="Times New Roman" w:hAnsi="Times New Roman" w:cs="Times New Roman"/>
          <w:sz w:val="24"/>
          <w:szCs w:val="24"/>
        </w:rPr>
      </w:pPr>
    </w:p>
    <w:sectPr w:rsidR="005B4F1A" w:rsidRPr="00D51E44" w:rsidSect="004466F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F5" w:rsidRDefault="004731F5" w:rsidP="006A35E1">
      <w:pPr>
        <w:spacing w:line="240" w:lineRule="auto"/>
      </w:pPr>
      <w:r>
        <w:separator/>
      </w:r>
    </w:p>
  </w:endnote>
  <w:endnote w:type="continuationSeparator" w:id="0">
    <w:p w:rsidR="004731F5" w:rsidRDefault="004731F5" w:rsidP="006A3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elior">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60" w:rsidRDefault="000C1860">
    <w:pPr>
      <w:pStyle w:val="Footer"/>
      <w:jc w:val="right"/>
    </w:pPr>
    <w:r>
      <w:fldChar w:fldCharType="begin"/>
    </w:r>
    <w:r>
      <w:instrText xml:space="preserve"> PAGE   \* MERGEFORMAT </w:instrText>
    </w:r>
    <w:r>
      <w:fldChar w:fldCharType="separate"/>
    </w:r>
    <w:r w:rsidR="00125676">
      <w:rPr>
        <w:noProof/>
      </w:rPr>
      <w:t>1</w:t>
    </w:r>
    <w:r>
      <w:fldChar w:fldCharType="end"/>
    </w:r>
  </w:p>
  <w:p w:rsidR="000C1860" w:rsidRPr="002D599E" w:rsidRDefault="000C1860" w:rsidP="002D5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F5" w:rsidRDefault="004731F5" w:rsidP="006A35E1">
      <w:pPr>
        <w:spacing w:line="240" w:lineRule="auto"/>
      </w:pPr>
      <w:r>
        <w:separator/>
      </w:r>
    </w:p>
  </w:footnote>
  <w:footnote w:type="continuationSeparator" w:id="0">
    <w:p w:rsidR="004731F5" w:rsidRDefault="004731F5" w:rsidP="006A35E1">
      <w:pPr>
        <w:spacing w:line="240" w:lineRule="auto"/>
      </w:pPr>
      <w:r>
        <w:continuationSeparator/>
      </w:r>
    </w:p>
  </w:footnote>
  <w:footnote w:id="1">
    <w:p w:rsidR="000C1860" w:rsidRPr="00400C5C" w:rsidRDefault="000C1860" w:rsidP="00400C5C">
      <w:pPr>
        <w:spacing w:line="240" w:lineRule="auto"/>
        <w:ind w:firstLine="0"/>
        <w:rPr>
          <w:rFonts w:ascii="Times New Roman" w:hAnsi="Times New Roman"/>
          <w:sz w:val="20"/>
          <w:szCs w:val="20"/>
        </w:rPr>
      </w:pPr>
      <w:r w:rsidRPr="00400C5C">
        <w:rPr>
          <w:rStyle w:val="FootnoteReference"/>
          <w:rFonts w:ascii="Times New Roman" w:hAnsi="Times New Roman"/>
          <w:sz w:val="20"/>
          <w:szCs w:val="20"/>
        </w:rPr>
        <w:footnoteRef/>
      </w:r>
      <w:r w:rsidRPr="00400C5C">
        <w:rPr>
          <w:rFonts w:ascii="Times New Roman" w:hAnsi="Times New Roman"/>
          <w:sz w:val="20"/>
          <w:szCs w:val="20"/>
        </w:rPr>
        <w:t xml:space="preserve"> </w:t>
      </w:r>
      <w:r>
        <w:rPr>
          <w:rFonts w:ascii="Times New Roman" w:hAnsi="Times New Roman"/>
          <w:sz w:val="20"/>
          <w:szCs w:val="20"/>
        </w:rPr>
        <w:t>See eligibility section below for specific eligibility criteria.</w:t>
      </w:r>
    </w:p>
    <w:p w:rsidR="000C1860" w:rsidRPr="0086435D" w:rsidRDefault="000C1860" w:rsidP="0086435D">
      <w:pPr>
        <w:pStyle w:val="FootnoteText"/>
      </w:pPr>
    </w:p>
  </w:footnote>
  <w:footnote w:id="2">
    <w:p w:rsidR="000C1860" w:rsidRPr="00090FB7" w:rsidRDefault="000C1860">
      <w:pPr>
        <w:pStyle w:val="FootnoteText"/>
        <w:rPr>
          <w:lang w:val="en-US"/>
        </w:rPr>
      </w:pPr>
      <w:r>
        <w:rPr>
          <w:rStyle w:val="FootnoteReference"/>
        </w:rPr>
        <w:footnoteRef/>
      </w:r>
      <w:r>
        <w:t xml:space="preserve"> </w:t>
      </w:r>
      <w:r w:rsidRPr="00090FB7">
        <w:t>https://www.mdrc.org/publication/reducing-work-disincentives-housing-choice-voucher-program</w:t>
      </w:r>
    </w:p>
  </w:footnote>
  <w:footnote w:id="3">
    <w:p w:rsidR="002835B2" w:rsidRPr="002835B2" w:rsidRDefault="002835B2">
      <w:pPr>
        <w:pStyle w:val="FootnoteText"/>
        <w:rPr>
          <w:lang w:val="en-US"/>
        </w:rPr>
      </w:pPr>
      <w:r>
        <w:rPr>
          <w:rStyle w:val="FootnoteReference"/>
        </w:rPr>
        <w:footnoteRef/>
      </w:r>
      <w:r>
        <w:t xml:space="preserve"> </w:t>
      </w:r>
      <w:r>
        <w:rPr>
          <w:lang w:val="en-US"/>
        </w:rPr>
        <w:t xml:space="preserve">Coopersmith, J, Klein Vogel, L, Bruursema, T, &amp; Feeney, K. (2016) Effects of Incentive Amount and Type of Web Survey Response Rates. </w:t>
      </w:r>
      <w:r w:rsidRPr="002835B2">
        <w:rPr>
          <w:i/>
          <w:lang w:val="en-US"/>
        </w:rPr>
        <w:t>Survey Pr</w:t>
      </w:r>
      <w:r>
        <w:rPr>
          <w:i/>
          <w:lang w:val="en-US"/>
        </w:rPr>
        <w:t>actice</w:t>
      </w:r>
      <w:r w:rsidRPr="008503FC">
        <w:rPr>
          <w:lang w:val="en-US"/>
        </w:rPr>
        <w:t>.</w:t>
      </w:r>
      <w:r w:rsidR="00983F8D">
        <w:rPr>
          <w:lang w:val="en-US"/>
        </w:rPr>
        <w:t xml:space="preserve">; </w:t>
      </w:r>
      <w:r w:rsidR="008503FC" w:rsidRPr="008503FC">
        <w:rPr>
          <w:lang w:val="en-US"/>
        </w:rPr>
        <w:t>De Santis, J</w:t>
      </w:r>
      <w:r w:rsidR="008503FC">
        <w:rPr>
          <w:lang w:val="en-US"/>
        </w:rPr>
        <w:t>., Callahan, R., Marsh, S, &amp; Perez-Johnson, I. (</w:t>
      </w:r>
      <w:r w:rsidR="00983F8D">
        <w:rPr>
          <w:lang w:val="en-US"/>
        </w:rPr>
        <w:t>2</w:t>
      </w:r>
      <w:r w:rsidR="008503FC">
        <w:rPr>
          <w:lang w:val="en-US"/>
        </w:rPr>
        <w:t>016</w:t>
      </w:r>
      <w:r w:rsidR="00983F8D">
        <w:rPr>
          <w:lang w:val="en-US"/>
        </w:rPr>
        <w:t>, May</w:t>
      </w:r>
      <w:r w:rsidR="008503FC">
        <w:rPr>
          <w:lang w:val="en-US"/>
        </w:rPr>
        <w:t>)</w:t>
      </w:r>
      <w:r w:rsidR="00983F8D">
        <w:rPr>
          <w:lang w:val="en-US"/>
        </w:rPr>
        <w:t>.</w:t>
      </w:r>
      <w:r w:rsidR="008503FC">
        <w:rPr>
          <w:lang w:val="en-US"/>
        </w:rPr>
        <w:t xml:space="preserve"> </w:t>
      </w:r>
      <w:r w:rsidR="008503FC" w:rsidRPr="00983F8D">
        <w:rPr>
          <w:i/>
          <w:lang w:val="en-US"/>
        </w:rPr>
        <w:t xml:space="preserve">Early-bird Incentives: Results from an Experiment to Determine </w:t>
      </w:r>
      <w:r w:rsidR="00983F8D" w:rsidRPr="00983F8D">
        <w:rPr>
          <w:i/>
          <w:lang w:val="en-US"/>
        </w:rPr>
        <w:t>Response Rates and Cost Effects</w:t>
      </w:r>
      <w:r w:rsidR="00983F8D">
        <w:rPr>
          <w:lang w:val="en-US"/>
        </w:rPr>
        <w:t>. Paper presented at 71</w:t>
      </w:r>
      <w:r w:rsidR="00983F8D" w:rsidRPr="00983F8D">
        <w:rPr>
          <w:vertAlign w:val="superscript"/>
          <w:lang w:val="en-US"/>
        </w:rPr>
        <w:t>st</w:t>
      </w:r>
      <w:r w:rsidR="00983F8D">
        <w:rPr>
          <w:lang w:val="en-US"/>
        </w:rPr>
        <w:t xml:space="preserve"> annual meeting of the American Association of Public Opinion Research, Austin, TX,; and Ward, C., Stern, M., Vanicek, J., Black, C., Knighton, C &amp; Wilkinson, L.</w:t>
      </w:r>
      <w:r w:rsidR="00CD2519">
        <w:rPr>
          <w:lang w:val="en-US"/>
        </w:rPr>
        <w:t>(2014).</w:t>
      </w:r>
      <w:r w:rsidR="00983F8D">
        <w:rPr>
          <w:lang w:val="en-US"/>
        </w:rPr>
        <w:t xml:space="preserve"> </w:t>
      </w:r>
      <w:r w:rsidR="00CD2519" w:rsidRPr="00CD2519">
        <w:rPr>
          <w:lang w:val="en-US"/>
        </w:rPr>
        <w:t>Evaluating the Effectiveness of Early Bird Incentives in a Web Survey</w:t>
      </w:r>
      <w:r w:rsidR="00CD2519">
        <w:rPr>
          <w:lang w:val="en-US"/>
        </w:rPr>
        <w:t xml:space="preserve"> [Powerpoint]</w:t>
      </w:r>
      <w:r w:rsidR="00CD2519" w:rsidRPr="00CD2519">
        <w:rPr>
          <w:lang w:val="en-US"/>
        </w:rPr>
        <w:t xml:space="preserve">. </w:t>
      </w:r>
      <w:r w:rsidR="00CD2519">
        <w:rPr>
          <w:lang w:val="en-US"/>
        </w:rPr>
        <w:t xml:space="preserve">Retrieved from </w:t>
      </w:r>
      <w:hyperlink r:id="rId1" w:history="1">
        <w:r w:rsidR="00CD2519" w:rsidRPr="0065491E">
          <w:rPr>
            <w:rStyle w:val="Hyperlink"/>
            <w:lang w:val="en-US"/>
          </w:rPr>
          <w:t>https://www.census.gov/fedcasic/fc2014/ppt/02_ward.pdf</w:t>
        </w:r>
      </w:hyperlink>
      <w:r w:rsidR="00CD2519">
        <w:rPr>
          <w:lang w:val="en-US"/>
        </w:rPr>
        <w:t xml:space="preserve">. </w:t>
      </w:r>
      <w:r w:rsidR="008503FC">
        <w:rPr>
          <w:i/>
          <w:lang w:val="en-US"/>
        </w:rPr>
        <w:t xml:space="preserve"> </w:t>
      </w:r>
      <w:r>
        <w:rPr>
          <w:i/>
          <w:lang w:val="en-US"/>
        </w:rPr>
        <w:t xml:space="preserve"> </w:t>
      </w:r>
    </w:p>
  </w:footnote>
  <w:footnote w:id="4">
    <w:p w:rsidR="000C1860" w:rsidRPr="00AF4BD4" w:rsidRDefault="000C1860" w:rsidP="00F8502C">
      <w:pPr>
        <w:pStyle w:val="FootnoteText"/>
        <w:rPr>
          <w:lang w:val="en-US"/>
        </w:rPr>
      </w:pPr>
      <w:r>
        <w:rPr>
          <w:rStyle w:val="FootnoteReference"/>
        </w:rPr>
        <w:footnoteRef/>
      </w:r>
      <w:r>
        <w:t xml:space="preserve"> </w:t>
      </w:r>
      <w:hyperlink r:id="rId2" w:history="1">
        <w:r w:rsidRPr="00292AAB">
          <w:rPr>
            <w:rStyle w:val="Hyperlink"/>
          </w:rPr>
          <w:t>https://ifdtc.org/Conference/2015/Presentations/Using_Incentives_and_%20Howden.pdf</w:t>
        </w:r>
      </w:hyperlink>
      <w:r>
        <w:rPr>
          <w:lang w:val="en-US"/>
        </w:rPr>
        <w:t xml:space="preserve"> </w:t>
      </w:r>
    </w:p>
  </w:footnote>
  <w:footnote w:id="5">
    <w:p w:rsidR="000C1860" w:rsidRPr="009D05FD" w:rsidRDefault="000C1860" w:rsidP="00F32DDD">
      <w:pPr>
        <w:pStyle w:val="CommentText"/>
        <w:ind w:firstLine="0"/>
        <w:rPr>
          <w:rFonts w:ascii="Times New Roman" w:hAnsi="Times New Roman"/>
          <w:color w:val="222222"/>
          <w:shd w:val="clear" w:color="auto" w:fill="FFFFFF"/>
        </w:rPr>
      </w:pPr>
      <w:r w:rsidRPr="009D05FD">
        <w:rPr>
          <w:rStyle w:val="FootnoteReference"/>
        </w:rPr>
        <w:footnoteRef/>
      </w:r>
      <w:r w:rsidRPr="009D05FD">
        <w:t xml:space="preserve"> </w:t>
      </w:r>
      <w:r w:rsidRPr="009D05FD">
        <w:rPr>
          <w:rFonts w:ascii="Times New Roman" w:hAnsi="Times New Roman"/>
          <w:color w:val="222222"/>
          <w:shd w:val="clear" w:color="auto" w:fill="FFFFFF"/>
        </w:rPr>
        <w:t>Petrolia, D. R., &amp; Bhattacharjee, S. (2009). Revisiting incentive effects: evidence from a random-sample mail survey on consumer preferences for fuel ethanol. </w:t>
      </w:r>
      <w:r w:rsidRPr="009D05FD">
        <w:rPr>
          <w:rFonts w:ascii="Times New Roman" w:hAnsi="Times New Roman"/>
          <w:i/>
          <w:iCs/>
          <w:color w:val="222222"/>
          <w:shd w:val="clear" w:color="auto" w:fill="FFFFFF"/>
        </w:rPr>
        <w:t>Public Opinion Quarterly</w:t>
      </w:r>
      <w:r w:rsidRPr="009D05FD">
        <w:rPr>
          <w:rFonts w:ascii="Times New Roman" w:hAnsi="Times New Roman"/>
          <w:color w:val="222222"/>
          <w:shd w:val="clear" w:color="auto" w:fill="FFFFFF"/>
        </w:rPr>
        <w:t>, </w:t>
      </w:r>
      <w:r w:rsidRPr="009D05FD">
        <w:rPr>
          <w:rFonts w:ascii="Times New Roman" w:hAnsi="Times New Roman"/>
          <w:i/>
          <w:iCs/>
          <w:color w:val="222222"/>
          <w:shd w:val="clear" w:color="auto" w:fill="FFFFFF"/>
        </w:rPr>
        <w:t>73</w:t>
      </w:r>
      <w:r w:rsidRPr="009D05FD">
        <w:rPr>
          <w:rFonts w:ascii="Times New Roman" w:hAnsi="Times New Roman"/>
          <w:color w:val="222222"/>
          <w:shd w:val="clear" w:color="auto" w:fill="FFFFFF"/>
        </w:rPr>
        <w:t>(3), 537-550.</w:t>
      </w:r>
      <w:r>
        <w:rPr>
          <w:rFonts w:ascii="Times New Roman" w:hAnsi="Times New Roman"/>
          <w:color w:val="222222"/>
          <w:shd w:val="clear" w:color="auto" w:fill="FFFFFF"/>
          <w:lang w:val="en-US"/>
        </w:rPr>
        <w:t xml:space="preserve"> </w:t>
      </w:r>
      <w:r w:rsidR="00270306">
        <w:rPr>
          <w:rFonts w:ascii="Times New Roman" w:hAnsi="Times New Roman"/>
          <w:color w:val="222222"/>
          <w:shd w:val="clear" w:color="auto" w:fill="FFFFFF"/>
          <w:lang w:val="en-US"/>
        </w:rPr>
        <w:t>and Church</w:t>
      </w:r>
      <w:r w:rsidRPr="009D05FD">
        <w:rPr>
          <w:rFonts w:ascii="Times New Roman" w:hAnsi="Times New Roman"/>
          <w:color w:val="222222"/>
          <w:shd w:val="clear" w:color="auto" w:fill="FFFFFF"/>
        </w:rPr>
        <w:t>, A. H. (1993). Estimating the effect of incentives on mail survey response rates: A meta-analysis. </w:t>
      </w:r>
      <w:r w:rsidRPr="009D05FD">
        <w:rPr>
          <w:rFonts w:ascii="Times New Roman" w:hAnsi="Times New Roman"/>
          <w:i/>
          <w:iCs/>
          <w:color w:val="222222"/>
          <w:shd w:val="clear" w:color="auto" w:fill="FFFFFF"/>
        </w:rPr>
        <w:t>Public opinion quarterly</w:t>
      </w:r>
      <w:r w:rsidRPr="009D05FD">
        <w:rPr>
          <w:rFonts w:ascii="Times New Roman" w:hAnsi="Times New Roman"/>
          <w:color w:val="222222"/>
          <w:shd w:val="clear" w:color="auto" w:fill="FFFFFF"/>
        </w:rPr>
        <w:t>, </w:t>
      </w:r>
      <w:r w:rsidRPr="009D05FD">
        <w:rPr>
          <w:rFonts w:ascii="Times New Roman" w:hAnsi="Times New Roman"/>
          <w:i/>
          <w:iCs/>
          <w:color w:val="222222"/>
          <w:shd w:val="clear" w:color="auto" w:fill="FFFFFF"/>
        </w:rPr>
        <w:t>57</w:t>
      </w:r>
      <w:r w:rsidRPr="009D05FD">
        <w:rPr>
          <w:rFonts w:ascii="Times New Roman" w:hAnsi="Times New Roman"/>
          <w:color w:val="222222"/>
          <w:shd w:val="clear" w:color="auto" w:fill="FFFFFF"/>
        </w:rPr>
        <w:t>(1), 62-79</w:t>
      </w:r>
      <w:r w:rsidRPr="007C49FA">
        <w:rPr>
          <w:rFonts w:ascii="Times New Roman" w:hAnsi="Times New Roman"/>
          <w:color w:val="222222"/>
          <w:shd w:val="clear" w:color="auto" w:fill="FFFFFF"/>
        </w:rPr>
        <w:t>.</w:t>
      </w:r>
    </w:p>
  </w:footnote>
  <w:footnote w:id="6">
    <w:p w:rsidR="000C1860" w:rsidRPr="00DB3E5F" w:rsidRDefault="000C1860" w:rsidP="00F8502C">
      <w:pPr>
        <w:pStyle w:val="FootnoteText"/>
        <w:rPr>
          <w:lang w:val="en-US"/>
        </w:rPr>
      </w:pPr>
      <w:r>
        <w:rPr>
          <w:rStyle w:val="FootnoteReference"/>
        </w:rPr>
        <w:footnoteRef/>
      </w:r>
      <w:r>
        <w:t xml:space="preserve"> </w:t>
      </w:r>
      <w:r w:rsidRPr="009D05FD">
        <w:rPr>
          <w:color w:val="222222"/>
          <w:shd w:val="clear" w:color="auto" w:fill="FFFFFF"/>
        </w:rPr>
        <w:t>Dillman, D. A., Smyth, J. D., &amp; Christian, L. M. (2009). Internet, mail, and mixed-mode surveys. </w:t>
      </w:r>
      <w:r w:rsidRPr="009D05FD">
        <w:rPr>
          <w:i/>
          <w:iCs/>
          <w:color w:val="222222"/>
          <w:shd w:val="clear" w:color="auto" w:fill="FFFFFF"/>
        </w:rPr>
        <w:t xml:space="preserve">The tailored </w:t>
      </w:r>
      <w:r w:rsidRPr="00DB3E5F">
        <w:rPr>
          <w:i/>
          <w:iCs/>
          <w:color w:val="222222"/>
          <w:shd w:val="clear" w:color="auto" w:fill="FFFFFF"/>
        </w:rPr>
        <w:t>design method</w:t>
      </w:r>
      <w:r w:rsidRPr="00DB3E5F">
        <w:rPr>
          <w:color w:val="222222"/>
          <w:shd w:val="clear" w:color="auto" w:fill="FFFFFF"/>
        </w:rPr>
        <w:t>, </w:t>
      </w:r>
      <w:r w:rsidRPr="00DB3E5F">
        <w:rPr>
          <w:i/>
          <w:iCs/>
          <w:color w:val="222222"/>
          <w:shd w:val="clear" w:color="auto" w:fill="FFFFFF"/>
        </w:rPr>
        <w:t>3</w:t>
      </w:r>
      <w:r w:rsidRPr="00DB3E5F">
        <w:rPr>
          <w:color w:val="222222"/>
          <w:shd w:val="clear" w:color="auto" w:fill="FFFFFF"/>
        </w:rPr>
        <w:t>.</w:t>
      </w:r>
    </w:p>
  </w:footnote>
  <w:footnote w:id="7">
    <w:p w:rsidR="000C1860" w:rsidRPr="00DB3E5F" w:rsidRDefault="000C1860" w:rsidP="00CD2519">
      <w:pPr>
        <w:shd w:val="clear" w:color="auto" w:fill="FFFFFF"/>
        <w:tabs>
          <w:tab w:val="clear" w:pos="432"/>
        </w:tabs>
        <w:spacing w:line="240" w:lineRule="auto"/>
        <w:ind w:firstLine="0"/>
        <w:jc w:val="left"/>
        <w:rPr>
          <w:rFonts w:ascii="Times New Roman" w:hAnsi="Times New Roman"/>
          <w:color w:val="333333"/>
          <w:sz w:val="20"/>
          <w:szCs w:val="20"/>
        </w:rPr>
      </w:pPr>
      <w:r w:rsidRPr="00DB3E5F">
        <w:rPr>
          <w:rStyle w:val="FootnoteReference"/>
          <w:sz w:val="20"/>
          <w:szCs w:val="20"/>
        </w:rPr>
        <w:footnoteRef/>
      </w:r>
      <w:r w:rsidRPr="00DB3E5F">
        <w:rPr>
          <w:rFonts w:ascii="Times New Roman" w:hAnsi="Times New Roman"/>
          <w:sz w:val="20"/>
          <w:szCs w:val="20"/>
        </w:rPr>
        <w:t xml:space="preserve"> </w:t>
      </w:r>
      <w:r w:rsidRPr="00DB3E5F">
        <w:rPr>
          <w:rFonts w:ascii="Times New Roman" w:hAnsi="Times New Roman"/>
          <w:color w:val="333333"/>
          <w:sz w:val="20"/>
          <w:szCs w:val="20"/>
        </w:rPr>
        <w:t xml:space="preserve">Eleanor Singer, Robert M. Groves and Amy D. Corning, </w:t>
      </w:r>
      <w:r w:rsidRPr="00DB3E5F">
        <w:rPr>
          <w:rFonts w:ascii="Times New Roman" w:hAnsi="Times New Roman"/>
          <w:i/>
          <w:iCs/>
          <w:color w:val="333333"/>
          <w:sz w:val="20"/>
          <w:szCs w:val="20"/>
        </w:rPr>
        <w:t>The Public Opinion Quarterly</w:t>
      </w:r>
      <w:r w:rsidRPr="00DB3E5F">
        <w:rPr>
          <w:rFonts w:ascii="Times New Roman" w:hAnsi="Times New Roman"/>
          <w:color w:val="333333"/>
          <w:sz w:val="20"/>
          <w:szCs w:val="20"/>
        </w:rPr>
        <w:t>, Vol. 63, No. 2 (Summer, 1999), pp. 251-260.</w:t>
      </w:r>
    </w:p>
  </w:footnote>
  <w:footnote w:id="8">
    <w:p w:rsidR="000C1860" w:rsidRDefault="000C1860" w:rsidP="00CD2519">
      <w:pPr>
        <w:pStyle w:val="FootnoteText"/>
      </w:pPr>
      <w:r w:rsidRPr="00DB3E5F">
        <w:rPr>
          <w:rStyle w:val="FootnoteReference"/>
          <w:rFonts w:eastAsia="Courier New"/>
        </w:rPr>
        <w:footnoteRef/>
      </w:r>
      <w:r w:rsidRPr="00DB3E5F">
        <w:t xml:space="preserve"> Berlin, M., L. Mohadjer and J. Wa</w:t>
      </w:r>
      <w:r w:rsidRPr="009D05FD">
        <w:t xml:space="preserve">ksberg (1992). An experiment in monetary incentives. </w:t>
      </w:r>
      <w:r w:rsidRPr="009D05FD">
        <w:rPr>
          <w:i/>
          <w:iCs/>
        </w:rPr>
        <w:t xml:space="preserve">Proceedings of the Survey Research Section of the American Statistical Association, </w:t>
      </w:r>
      <w:r w:rsidRPr="009D05FD">
        <w:t xml:space="preserve">393-398; de Heer, W. and E. de Leeuw. “Trends in household survey non-response: A longitudinal and international comparison.” In </w:t>
      </w:r>
      <w:r w:rsidRPr="009D05FD">
        <w:rPr>
          <w:i/>
          <w:iCs/>
        </w:rPr>
        <w:t>Survey Non-response</w:t>
      </w:r>
      <w:r w:rsidRPr="009D05FD">
        <w:t>, edited by R. M. Groves, D. A. Dillman, J. L. Eltinge, and R. J. A. Little. New York: John Wiley, 2002, pp.41-54; Singer, E. and Kulka, R. Studies of Welfare Populations: Data Collection and Research Issues, Panel on Data and Methods for Measuring the Effects of Changes in Social Welfare Programs. Ploeg, Robert A.Moffitt, and Constance F.Citro, Editors. National Academies Press, Washington, DC, 2000, pp. 105-128.</w:t>
      </w:r>
      <w:r>
        <w:rPr>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60" w:rsidRPr="002610B1" w:rsidRDefault="000C1860" w:rsidP="002D599E">
    <w:pPr>
      <w:widowControl w:val="0"/>
      <w:suppressAutoHyphens/>
      <w:spacing w:line="240" w:lineRule="auto"/>
      <w:ind w:firstLine="0"/>
      <w:jc w:val="left"/>
      <w:rPr>
        <w:rFonts w:ascii="Arial" w:hAnsi="Arial" w:cs="Arial"/>
        <w:b/>
        <w:bCs/>
        <w:sz w:val="18"/>
        <w:szCs w:val="18"/>
      </w:rPr>
    </w:pPr>
    <w:r w:rsidRPr="002610B1">
      <w:rPr>
        <w:rFonts w:ascii="Arial" w:hAnsi="Arial" w:cs="Arial"/>
        <w:b/>
        <w:bCs/>
        <w:sz w:val="18"/>
        <w:szCs w:val="18"/>
      </w:rPr>
      <w:tab/>
    </w:r>
    <w:r w:rsidRPr="002610B1">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rsidR="000C1860" w:rsidRPr="008F3F13" w:rsidRDefault="000C1860" w:rsidP="008F3F13">
    <w:pPr>
      <w:widowControl w:val="0"/>
      <w:suppressAutoHyphens/>
      <w:spacing w:line="240"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3B5"/>
    <w:multiLevelType w:val="hybridMultilevel"/>
    <w:tmpl w:val="F5F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F4D70"/>
    <w:multiLevelType w:val="hybridMultilevel"/>
    <w:tmpl w:val="4F20CFA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ACA18DF"/>
    <w:multiLevelType w:val="hybridMultilevel"/>
    <w:tmpl w:val="BB40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E1363"/>
    <w:multiLevelType w:val="hybridMultilevel"/>
    <w:tmpl w:val="82FE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D3614"/>
    <w:multiLevelType w:val="hybridMultilevel"/>
    <w:tmpl w:val="AA4CACF6"/>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C822D1"/>
    <w:multiLevelType w:val="hybridMultilevel"/>
    <w:tmpl w:val="0BB201C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Arial"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Arial"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Arial" w:hint="default"/>
      </w:rPr>
    </w:lvl>
    <w:lvl w:ilvl="8" w:tplc="04090005">
      <w:start w:val="1"/>
      <w:numFmt w:val="bullet"/>
      <w:lvlText w:val=""/>
      <w:lvlJc w:val="left"/>
      <w:pPr>
        <w:ind w:left="6912" w:hanging="360"/>
      </w:pPr>
      <w:rPr>
        <w:rFonts w:ascii="Wingdings" w:hAnsi="Wingdings" w:hint="default"/>
      </w:rPr>
    </w:lvl>
  </w:abstractNum>
  <w:abstractNum w:abstractNumId="7">
    <w:nsid w:val="26C35319"/>
    <w:multiLevelType w:val="hybridMultilevel"/>
    <w:tmpl w:val="7A685B0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39DD0111"/>
    <w:multiLevelType w:val="multilevel"/>
    <w:tmpl w:val="CD722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6B80601"/>
    <w:multiLevelType w:val="hybridMultilevel"/>
    <w:tmpl w:val="95103042"/>
    <w:lvl w:ilvl="0" w:tplc="04090001">
      <w:start w:val="1"/>
      <w:numFmt w:val="bullet"/>
      <w:lvlText w:val=""/>
      <w:lvlJc w:val="left"/>
      <w:pPr>
        <w:ind w:left="540" w:hanging="360"/>
      </w:pPr>
      <w:rPr>
        <w:rFonts w:ascii="Symbol" w:hAnsi="Symbol" w:hint="default"/>
      </w:rPr>
    </w:lvl>
    <w:lvl w:ilvl="1" w:tplc="AD7C1508">
      <w:start w:val="1"/>
      <w:numFmt w:val="lowerLetter"/>
      <w:lvlText w:val="(%2)"/>
      <w:lvlJc w:val="left"/>
      <w:pPr>
        <w:ind w:left="153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37D63"/>
    <w:multiLevelType w:val="hybridMultilevel"/>
    <w:tmpl w:val="0554C234"/>
    <w:lvl w:ilvl="0" w:tplc="C44079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1A3D40"/>
    <w:multiLevelType w:val="hybridMultilevel"/>
    <w:tmpl w:val="429A84DC"/>
    <w:lvl w:ilvl="0" w:tplc="4B9C27E0">
      <w:start w:val="1"/>
      <w:numFmt w:val="decimal"/>
      <w:pStyle w:val="OMBNumberBulle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684EAD"/>
    <w:multiLevelType w:val="hybridMultilevel"/>
    <w:tmpl w:val="6D3860F2"/>
    <w:lvl w:ilvl="0" w:tplc="8D9E7C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5A01B0"/>
    <w:multiLevelType w:val="hybridMultilevel"/>
    <w:tmpl w:val="780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E46460C"/>
    <w:multiLevelType w:val="hybridMultilevel"/>
    <w:tmpl w:val="02B05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8">
    <w:nsid w:val="74C618FE"/>
    <w:multiLevelType w:val="hybridMultilevel"/>
    <w:tmpl w:val="0D804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16"/>
  </w:num>
  <w:num w:numId="4">
    <w:abstractNumId w:val="15"/>
  </w:num>
  <w:num w:numId="5">
    <w:abstractNumId w:val="2"/>
  </w:num>
  <w:num w:numId="6">
    <w:abstractNumId w:val="0"/>
  </w:num>
  <w:num w:numId="7">
    <w:abstractNumId w:val="11"/>
  </w:num>
  <w:num w:numId="8">
    <w:abstractNumId w:val="17"/>
  </w:num>
  <w:num w:numId="9">
    <w:abstractNumId w:val="6"/>
  </w:num>
  <w:num w:numId="10">
    <w:abstractNumId w:val="3"/>
  </w:num>
  <w:num w:numId="11">
    <w:abstractNumId w:val="12"/>
  </w:num>
  <w:num w:numId="12">
    <w:abstractNumId w:val="18"/>
  </w:num>
  <w:num w:numId="13">
    <w:abstractNumId w:val="5"/>
  </w:num>
  <w:num w:numId="14">
    <w:abstractNumId w:val="14"/>
  </w:num>
  <w:num w:numId="15">
    <w:abstractNumId w:val="4"/>
  </w:num>
  <w:num w:numId="16">
    <w:abstractNumId w:val="7"/>
  </w:num>
  <w:num w:numId="17">
    <w:abstractNumId w:val="1"/>
  </w:num>
  <w:num w:numId="18">
    <w:abstractNumId w:val="13"/>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A5D25"/>
    <w:rsid w:val="0000419D"/>
    <w:rsid w:val="000042A8"/>
    <w:rsid w:val="000070C9"/>
    <w:rsid w:val="00010FEB"/>
    <w:rsid w:val="00012763"/>
    <w:rsid w:val="00012994"/>
    <w:rsid w:val="000132E5"/>
    <w:rsid w:val="0001393F"/>
    <w:rsid w:val="00017199"/>
    <w:rsid w:val="0001795B"/>
    <w:rsid w:val="00017E0C"/>
    <w:rsid w:val="0002241F"/>
    <w:rsid w:val="00024D60"/>
    <w:rsid w:val="0003131A"/>
    <w:rsid w:val="0003416A"/>
    <w:rsid w:val="0003425B"/>
    <w:rsid w:val="000418F2"/>
    <w:rsid w:val="000425F4"/>
    <w:rsid w:val="000434EA"/>
    <w:rsid w:val="00043B2F"/>
    <w:rsid w:val="0004717C"/>
    <w:rsid w:val="00047F56"/>
    <w:rsid w:val="0005181F"/>
    <w:rsid w:val="00055413"/>
    <w:rsid w:val="000554A3"/>
    <w:rsid w:val="00060EF6"/>
    <w:rsid w:val="00060F23"/>
    <w:rsid w:val="00061950"/>
    <w:rsid w:val="0006506B"/>
    <w:rsid w:val="0006554A"/>
    <w:rsid w:val="00066A80"/>
    <w:rsid w:val="000700CC"/>
    <w:rsid w:val="00074402"/>
    <w:rsid w:val="000744A4"/>
    <w:rsid w:val="00074D7A"/>
    <w:rsid w:val="00075139"/>
    <w:rsid w:val="000769F4"/>
    <w:rsid w:val="000809F3"/>
    <w:rsid w:val="00082ABB"/>
    <w:rsid w:val="000850A0"/>
    <w:rsid w:val="00085E24"/>
    <w:rsid w:val="00086398"/>
    <w:rsid w:val="00090FB7"/>
    <w:rsid w:val="00091FB1"/>
    <w:rsid w:val="00093EA4"/>
    <w:rsid w:val="000965B8"/>
    <w:rsid w:val="000A1AC0"/>
    <w:rsid w:val="000B13D8"/>
    <w:rsid w:val="000B5C49"/>
    <w:rsid w:val="000C1860"/>
    <w:rsid w:val="000C1F00"/>
    <w:rsid w:val="000C3B09"/>
    <w:rsid w:val="000C3BDA"/>
    <w:rsid w:val="000C49A6"/>
    <w:rsid w:val="000D0370"/>
    <w:rsid w:val="000D7480"/>
    <w:rsid w:val="000E0503"/>
    <w:rsid w:val="000E1899"/>
    <w:rsid w:val="000E4ABC"/>
    <w:rsid w:val="000E6391"/>
    <w:rsid w:val="000E7094"/>
    <w:rsid w:val="000F15AD"/>
    <w:rsid w:val="000F4135"/>
    <w:rsid w:val="000F493D"/>
    <w:rsid w:val="000F4A28"/>
    <w:rsid w:val="000F6CAD"/>
    <w:rsid w:val="000F7A58"/>
    <w:rsid w:val="00100F56"/>
    <w:rsid w:val="001033EB"/>
    <w:rsid w:val="00103BC9"/>
    <w:rsid w:val="001046FD"/>
    <w:rsid w:val="00105F25"/>
    <w:rsid w:val="00106274"/>
    <w:rsid w:val="0010775E"/>
    <w:rsid w:val="00107FAC"/>
    <w:rsid w:val="0011025B"/>
    <w:rsid w:val="00115E00"/>
    <w:rsid w:val="001172D9"/>
    <w:rsid w:val="001232BE"/>
    <w:rsid w:val="001233A3"/>
    <w:rsid w:val="001238ED"/>
    <w:rsid w:val="001251AB"/>
    <w:rsid w:val="00125676"/>
    <w:rsid w:val="0013039A"/>
    <w:rsid w:val="00132E19"/>
    <w:rsid w:val="00134547"/>
    <w:rsid w:val="00134AE3"/>
    <w:rsid w:val="001369CD"/>
    <w:rsid w:val="00137068"/>
    <w:rsid w:val="0014028A"/>
    <w:rsid w:val="00147702"/>
    <w:rsid w:val="001516A8"/>
    <w:rsid w:val="0015209D"/>
    <w:rsid w:val="00153F9D"/>
    <w:rsid w:val="00154964"/>
    <w:rsid w:val="00155456"/>
    <w:rsid w:val="00155906"/>
    <w:rsid w:val="00156DB9"/>
    <w:rsid w:val="001645D3"/>
    <w:rsid w:val="00164928"/>
    <w:rsid w:val="001653E5"/>
    <w:rsid w:val="001666E0"/>
    <w:rsid w:val="00170D41"/>
    <w:rsid w:val="00174ADF"/>
    <w:rsid w:val="001768D3"/>
    <w:rsid w:val="00181606"/>
    <w:rsid w:val="00182466"/>
    <w:rsid w:val="001835D3"/>
    <w:rsid w:val="00186B3B"/>
    <w:rsid w:val="00186E32"/>
    <w:rsid w:val="00187D0A"/>
    <w:rsid w:val="0019154D"/>
    <w:rsid w:val="00191E74"/>
    <w:rsid w:val="00192840"/>
    <w:rsid w:val="00193E88"/>
    <w:rsid w:val="001951E0"/>
    <w:rsid w:val="00197CA3"/>
    <w:rsid w:val="001A32C0"/>
    <w:rsid w:val="001A46F1"/>
    <w:rsid w:val="001B0D1B"/>
    <w:rsid w:val="001B50CB"/>
    <w:rsid w:val="001B601E"/>
    <w:rsid w:val="001B7047"/>
    <w:rsid w:val="001B7ECE"/>
    <w:rsid w:val="001C058A"/>
    <w:rsid w:val="001C0A96"/>
    <w:rsid w:val="001C146B"/>
    <w:rsid w:val="001C1769"/>
    <w:rsid w:val="001C32FF"/>
    <w:rsid w:val="001C5F2A"/>
    <w:rsid w:val="001C6DEA"/>
    <w:rsid w:val="001D0A79"/>
    <w:rsid w:val="001D47CF"/>
    <w:rsid w:val="001D50ED"/>
    <w:rsid w:val="001D7721"/>
    <w:rsid w:val="001D7764"/>
    <w:rsid w:val="001E12BA"/>
    <w:rsid w:val="001E27C3"/>
    <w:rsid w:val="001E4175"/>
    <w:rsid w:val="001E54EC"/>
    <w:rsid w:val="001E7C22"/>
    <w:rsid w:val="001F5E21"/>
    <w:rsid w:val="001F7EC6"/>
    <w:rsid w:val="00200458"/>
    <w:rsid w:val="00201896"/>
    <w:rsid w:val="00202F2A"/>
    <w:rsid w:val="00203DF5"/>
    <w:rsid w:val="00215584"/>
    <w:rsid w:val="002166CF"/>
    <w:rsid w:val="00220B0A"/>
    <w:rsid w:val="002303EE"/>
    <w:rsid w:val="002317C5"/>
    <w:rsid w:val="00231C17"/>
    <w:rsid w:val="00233987"/>
    <w:rsid w:val="00233A20"/>
    <w:rsid w:val="00244D23"/>
    <w:rsid w:val="00251F22"/>
    <w:rsid w:val="00255B1D"/>
    <w:rsid w:val="002610B1"/>
    <w:rsid w:val="002617F9"/>
    <w:rsid w:val="00262313"/>
    <w:rsid w:val="00263CF2"/>
    <w:rsid w:val="00264FA9"/>
    <w:rsid w:val="00266D6B"/>
    <w:rsid w:val="00267A31"/>
    <w:rsid w:val="00270306"/>
    <w:rsid w:val="00270E6C"/>
    <w:rsid w:val="00272FCF"/>
    <w:rsid w:val="002752E8"/>
    <w:rsid w:val="002835B2"/>
    <w:rsid w:val="00283E51"/>
    <w:rsid w:val="0028520E"/>
    <w:rsid w:val="002853C3"/>
    <w:rsid w:val="00285F22"/>
    <w:rsid w:val="0028638C"/>
    <w:rsid w:val="00287A55"/>
    <w:rsid w:val="00290413"/>
    <w:rsid w:val="00291D38"/>
    <w:rsid w:val="00293672"/>
    <w:rsid w:val="002B5B44"/>
    <w:rsid w:val="002B67BB"/>
    <w:rsid w:val="002B7A7D"/>
    <w:rsid w:val="002B7D26"/>
    <w:rsid w:val="002C09F3"/>
    <w:rsid w:val="002C0FA4"/>
    <w:rsid w:val="002C1616"/>
    <w:rsid w:val="002C4611"/>
    <w:rsid w:val="002C59A9"/>
    <w:rsid w:val="002D599E"/>
    <w:rsid w:val="002D6E42"/>
    <w:rsid w:val="002E32B6"/>
    <w:rsid w:val="002E4431"/>
    <w:rsid w:val="002E4CFE"/>
    <w:rsid w:val="002E5028"/>
    <w:rsid w:val="002E5DDC"/>
    <w:rsid w:val="002E6C53"/>
    <w:rsid w:val="002E7597"/>
    <w:rsid w:val="002F0856"/>
    <w:rsid w:val="002F186C"/>
    <w:rsid w:val="002F54BC"/>
    <w:rsid w:val="002F6C94"/>
    <w:rsid w:val="00301859"/>
    <w:rsid w:val="00302868"/>
    <w:rsid w:val="00305A14"/>
    <w:rsid w:val="00305A73"/>
    <w:rsid w:val="00306B3D"/>
    <w:rsid w:val="0030718F"/>
    <w:rsid w:val="003111AE"/>
    <w:rsid w:val="00312330"/>
    <w:rsid w:val="00312DC3"/>
    <w:rsid w:val="00313B54"/>
    <w:rsid w:val="00314B01"/>
    <w:rsid w:val="0031510B"/>
    <w:rsid w:val="0031688B"/>
    <w:rsid w:val="003175C3"/>
    <w:rsid w:val="00321B44"/>
    <w:rsid w:val="00324BFE"/>
    <w:rsid w:val="00326443"/>
    <w:rsid w:val="00330548"/>
    <w:rsid w:val="003324B1"/>
    <w:rsid w:val="00334FB7"/>
    <w:rsid w:val="0033528B"/>
    <w:rsid w:val="0034549A"/>
    <w:rsid w:val="003454D1"/>
    <w:rsid w:val="0034553E"/>
    <w:rsid w:val="00350C81"/>
    <w:rsid w:val="00352E75"/>
    <w:rsid w:val="00360C17"/>
    <w:rsid w:val="00362C12"/>
    <w:rsid w:val="003635B7"/>
    <w:rsid w:val="00364A8A"/>
    <w:rsid w:val="003705F2"/>
    <w:rsid w:val="00371486"/>
    <w:rsid w:val="00371E74"/>
    <w:rsid w:val="003722E0"/>
    <w:rsid w:val="003753B5"/>
    <w:rsid w:val="00375C2A"/>
    <w:rsid w:val="00375C7E"/>
    <w:rsid w:val="003773C5"/>
    <w:rsid w:val="0038074F"/>
    <w:rsid w:val="0038265B"/>
    <w:rsid w:val="0039217D"/>
    <w:rsid w:val="00392781"/>
    <w:rsid w:val="00394619"/>
    <w:rsid w:val="003957FA"/>
    <w:rsid w:val="0039638A"/>
    <w:rsid w:val="003A0BEF"/>
    <w:rsid w:val="003A0E01"/>
    <w:rsid w:val="003A2B35"/>
    <w:rsid w:val="003A4CAB"/>
    <w:rsid w:val="003A4E40"/>
    <w:rsid w:val="003A4E43"/>
    <w:rsid w:val="003A583F"/>
    <w:rsid w:val="003B037C"/>
    <w:rsid w:val="003B3DDF"/>
    <w:rsid w:val="003B4308"/>
    <w:rsid w:val="003B48D2"/>
    <w:rsid w:val="003C07B8"/>
    <w:rsid w:val="003C4C6C"/>
    <w:rsid w:val="003C6473"/>
    <w:rsid w:val="003C7857"/>
    <w:rsid w:val="003D37FF"/>
    <w:rsid w:val="003D40B8"/>
    <w:rsid w:val="003D5D07"/>
    <w:rsid w:val="003D6DD0"/>
    <w:rsid w:val="003E2D0B"/>
    <w:rsid w:val="003E36A4"/>
    <w:rsid w:val="003E4BE1"/>
    <w:rsid w:val="003E5CF0"/>
    <w:rsid w:val="003E5FE7"/>
    <w:rsid w:val="003E6357"/>
    <w:rsid w:val="003E76EE"/>
    <w:rsid w:val="003F1D61"/>
    <w:rsid w:val="003F2B43"/>
    <w:rsid w:val="003F4030"/>
    <w:rsid w:val="003F4E23"/>
    <w:rsid w:val="003F5000"/>
    <w:rsid w:val="003F5B3A"/>
    <w:rsid w:val="003F678F"/>
    <w:rsid w:val="004001DE"/>
    <w:rsid w:val="00400C5C"/>
    <w:rsid w:val="0040252F"/>
    <w:rsid w:val="00402BF5"/>
    <w:rsid w:val="00403256"/>
    <w:rsid w:val="0040474F"/>
    <w:rsid w:val="00407DC2"/>
    <w:rsid w:val="0041538D"/>
    <w:rsid w:val="004209C9"/>
    <w:rsid w:val="0042315F"/>
    <w:rsid w:val="00423287"/>
    <w:rsid w:val="00423B77"/>
    <w:rsid w:val="00425BB9"/>
    <w:rsid w:val="004264BC"/>
    <w:rsid w:val="00427460"/>
    <w:rsid w:val="004274FA"/>
    <w:rsid w:val="00427D72"/>
    <w:rsid w:val="00437B91"/>
    <w:rsid w:val="004466FD"/>
    <w:rsid w:val="00447C89"/>
    <w:rsid w:val="00450508"/>
    <w:rsid w:val="00451194"/>
    <w:rsid w:val="004554EE"/>
    <w:rsid w:val="00456A52"/>
    <w:rsid w:val="00462784"/>
    <w:rsid w:val="00466573"/>
    <w:rsid w:val="00466FC9"/>
    <w:rsid w:val="004731F5"/>
    <w:rsid w:val="00474174"/>
    <w:rsid w:val="00477804"/>
    <w:rsid w:val="0048154E"/>
    <w:rsid w:val="004823E9"/>
    <w:rsid w:val="00483E4F"/>
    <w:rsid w:val="00485F76"/>
    <w:rsid w:val="00485F7E"/>
    <w:rsid w:val="00491B76"/>
    <w:rsid w:val="00494553"/>
    <w:rsid w:val="00494765"/>
    <w:rsid w:val="004A36BB"/>
    <w:rsid w:val="004A6335"/>
    <w:rsid w:val="004A6E9A"/>
    <w:rsid w:val="004A7300"/>
    <w:rsid w:val="004A7E1F"/>
    <w:rsid w:val="004B39E8"/>
    <w:rsid w:val="004B3D7E"/>
    <w:rsid w:val="004B740F"/>
    <w:rsid w:val="004B75AB"/>
    <w:rsid w:val="004C0534"/>
    <w:rsid w:val="004C489A"/>
    <w:rsid w:val="004C68FC"/>
    <w:rsid w:val="004C70A4"/>
    <w:rsid w:val="004C7621"/>
    <w:rsid w:val="004D1587"/>
    <w:rsid w:val="004D172C"/>
    <w:rsid w:val="004D25F1"/>
    <w:rsid w:val="004D3FEB"/>
    <w:rsid w:val="004E0FC5"/>
    <w:rsid w:val="004E1D65"/>
    <w:rsid w:val="004E5E4F"/>
    <w:rsid w:val="004E6440"/>
    <w:rsid w:val="004E6D18"/>
    <w:rsid w:val="004E793C"/>
    <w:rsid w:val="004F08F3"/>
    <w:rsid w:val="005045F8"/>
    <w:rsid w:val="00505814"/>
    <w:rsid w:val="0050791F"/>
    <w:rsid w:val="00510598"/>
    <w:rsid w:val="005110F7"/>
    <w:rsid w:val="0051182F"/>
    <w:rsid w:val="00513505"/>
    <w:rsid w:val="00513B3D"/>
    <w:rsid w:val="005221C4"/>
    <w:rsid w:val="00524668"/>
    <w:rsid w:val="005317DD"/>
    <w:rsid w:val="00534042"/>
    <w:rsid w:val="00535E01"/>
    <w:rsid w:val="0053602D"/>
    <w:rsid w:val="005366C5"/>
    <w:rsid w:val="00537259"/>
    <w:rsid w:val="00541C85"/>
    <w:rsid w:val="00542556"/>
    <w:rsid w:val="00543E1F"/>
    <w:rsid w:val="00545757"/>
    <w:rsid w:val="00545952"/>
    <w:rsid w:val="00550109"/>
    <w:rsid w:val="00553EE0"/>
    <w:rsid w:val="00557344"/>
    <w:rsid w:val="005629D8"/>
    <w:rsid w:val="005636E0"/>
    <w:rsid w:val="00567399"/>
    <w:rsid w:val="00567A6D"/>
    <w:rsid w:val="00573D80"/>
    <w:rsid w:val="005763C0"/>
    <w:rsid w:val="00580338"/>
    <w:rsid w:val="00580633"/>
    <w:rsid w:val="00581422"/>
    <w:rsid w:val="00581E85"/>
    <w:rsid w:val="00585C4D"/>
    <w:rsid w:val="00586393"/>
    <w:rsid w:val="00591542"/>
    <w:rsid w:val="0059174D"/>
    <w:rsid w:val="00592286"/>
    <w:rsid w:val="00594FB5"/>
    <w:rsid w:val="00595FCB"/>
    <w:rsid w:val="00597F49"/>
    <w:rsid w:val="005A0DB8"/>
    <w:rsid w:val="005A1BA6"/>
    <w:rsid w:val="005A21B5"/>
    <w:rsid w:val="005A3450"/>
    <w:rsid w:val="005B264E"/>
    <w:rsid w:val="005B2F14"/>
    <w:rsid w:val="005B3E9F"/>
    <w:rsid w:val="005B4F1A"/>
    <w:rsid w:val="005B6A73"/>
    <w:rsid w:val="005C64BC"/>
    <w:rsid w:val="005D4F68"/>
    <w:rsid w:val="005D6692"/>
    <w:rsid w:val="005E0C49"/>
    <w:rsid w:val="005E1B31"/>
    <w:rsid w:val="005E5951"/>
    <w:rsid w:val="005E7018"/>
    <w:rsid w:val="005E7EE5"/>
    <w:rsid w:val="005F011C"/>
    <w:rsid w:val="005F169A"/>
    <w:rsid w:val="005F1B55"/>
    <w:rsid w:val="005F42F3"/>
    <w:rsid w:val="005F663E"/>
    <w:rsid w:val="005F7E31"/>
    <w:rsid w:val="00600E06"/>
    <w:rsid w:val="00601C87"/>
    <w:rsid w:val="00601CC6"/>
    <w:rsid w:val="00601CEE"/>
    <w:rsid w:val="00602152"/>
    <w:rsid w:val="0060345C"/>
    <w:rsid w:val="006034A8"/>
    <w:rsid w:val="006056C9"/>
    <w:rsid w:val="006104B6"/>
    <w:rsid w:val="0061119B"/>
    <w:rsid w:val="006143A5"/>
    <w:rsid w:val="00615156"/>
    <w:rsid w:val="00617C58"/>
    <w:rsid w:val="00627EBD"/>
    <w:rsid w:val="006302F4"/>
    <w:rsid w:val="00635BF5"/>
    <w:rsid w:val="00635E2C"/>
    <w:rsid w:val="0063795F"/>
    <w:rsid w:val="00640DA2"/>
    <w:rsid w:val="0064281F"/>
    <w:rsid w:val="0064497E"/>
    <w:rsid w:val="0064554E"/>
    <w:rsid w:val="00646738"/>
    <w:rsid w:val="0064763D"/>
    <w:rsid w:val="00653555"/>
    <w:rsid w:val="00657103"/>
    <w:rsid w:val="00662789"/>
    <w:rsid w:val="00667169"/>
    <w:rsid w:val="00670739"/>
    <w:rsid w:val="00673F28"/>
    <w:rsid w:val="0067606E"/>
    <w:rsid w:val="0068233D"/>
    <w:rsid w:val="00683B7A"/>
    <w:rsid w:val="006937DC"/>
    <w:rsid w:val="006957B3"/>
    <w:rsid w:val="006A055D"/>
    <w:rsid w:val="006A35E1"/>
    <w:rsid w:val="006A568D"/>
    <w:rsid w:val="006A56F3"/>
    <w:rsid w:val="006A5FA6"/>
    <w:rsid w:val="006B27EB"/>
    <w:rsid w:val="006B27F5"/>
    <w:rsid w:val="006B506B"/>
    <w:rsid w:val="006B6D73"/>
    <w:rsid w:val="006B6E11"/>
    <w:rsid w:val="006B7352"/>
    <w:rsid w:val="006C05E3"/>
    <w:rsid w:val="006C0F21"/>
    <w:rsid w:val="006C15EB"/>
    <w:rsid w:val="006C2445"/>
    <w:rsid w:val="006C24C9"/>
    <w:rsid w:val="006C5A60"/>
    <w:rsid w:val="006C7100"/>
    <w:rsid w:val="006D21C2"/>
    <w:rsid w:val="006D264A"/>
    <w:rsid w:val="006D2F04"/>
    <w:rsid w:val="006D792E"/>
    <w:rsid w:val="006D7B47"/>
    <w:rsid w:val="006E419F"/>
    <w:rsid w:val="006E5229"/>
    <w:rsid w:val="006E545D"/>
    <w:rsid w:val="006E56E9"/>
    <w:rsid w:val="006E5BB3"/>
    <w:rsid w:val="006E73DF"/>
    <w:rsid w:val="006F470B"/>
    <w:rsid w:val="006F6CDD"/>
    <w:rsid w:val="006F7769"/>
    <w:rsid w:val="00700185"/>
    <w:rsid w:val="00701638"/>
    <w:rsid w:val="00701A90"/>
    <w:rsid w:val="00701BED"/>
    <w:rsid w:val="0070315A"/>
    <w:rsid w:val="00703F1F"/>
    <w:rsid w:val="007061E5"/>
    <w:rsid w:val="00711F48"/>
    <w:rsid w:val="007129F3"/>
    <w:rsid w:val="00715877"/>
    <w:rsid w:val="007205FA"/>
    <w:rsid w:val="00720DD7"/>
    <w:rsid w:val="00725157"/>
    <w:rsid w:val="00734A12"/>
    <w:rsid w:val="00740E33"/>
    <w:rsid w:val="007422FE"/>
    <w:rsid w:val="0074233B"/>
    <w:rsid w:val="007431C7"/>
    <w:rsid w:val="00743E02"/>
    <w:rsid w:val="00744756"/>
    <w:rsid w:val="00745D26"/>
    <w:rsid w:val="007500FC"/>
    <w:rsid w:val="0075569D"/>
    <w:rsid w:val="007579E8"/>
    <w:rsid w:val="007644AE"/>
    <w:rsid w:val="007654BF"/>
    <w:rsid w:val="00767A29"/>
    <w:rsid w:val="00774638"/>
    <w:rsid w:val="00782442"/>
    <w:rsid w:val="00784743"/>
    <w:rsid w:val="00784C9D"/>
    <w:rsid w:val="00785459"/>
    <w:rsid w:val="00785A78"/>
    <w:rsid w:val="007A627F"/>
    <w:rsid w:val="007A71C9"/>
    <w:rsid w:val="007A7C15"/>
    <w:rsid w:val="007B7810"/>
    <w:rsid w:val="007C0433"/>
    <w:rsid w:val="007C271A"/>
    <w:rsid w:val="007C4D55"/>
    <w:rsid w:val="007C6705"/>
    <w:rsid w:val="007D2CCD"/>
    <w:rsid w:val="007D323F"/>
    <w:rsid w:val="007D58BF"/>
    <w:rsid w:val="007E284A"/>
    <w:rsid w:val="007E2962"/>
    <w:rsid w:val="007E6169"/>
    <w:rsid w:val="007E674D"/>
    <w:rsid w:val="007F1240"/>
    <w:rsid w:val="007F1D4D"/>
    <w:rsid w:val="007F71C1"/>
    <w:rsid w:val="007F7E9B"/>
    <w:rsid w:val="0080324E"/>
    <w:rsid w:val="008040F0"/>
    <w:rsid w:val="00804588"/>
    <w:rsid w:val="008049AF"/>
    <w:rsid w:val="00805FDC"/>
    <w:rsid w:val="00806946"/>
    <w:rsid w:val="00807CE5"/>
    <w:rsid w:val="00807E65"/>
    <w:rsid w:val="00813A73"/>
    <w:rsid w:val="0081479F"/>
    <w:rsid w:val="008148E5"/>
    <w:rsid w:val="00816ABD"/>
    <w:rsid w:val="0082167A"/>
    <w:rsid w:val="00821AE1"/>
    <w:rsid w:val="00825A69"/>
    <w:rsid w:val="00830A88"/>
    <w:rsid w:val="00830DB3"/>
    <w:rsid w:val="0083108D"/>
    <w:rsid w:val="0083284B"/>
    <w:rsid w:val="00834371"/>
    <w:rsid w:val="00835AD0"/>
    <w:rsid w:val="00835FCF"/>
    <w:rsid w:val="00835FD2"/>
    <w:rsid w:val="0084043E"/>
    <w:rsid w:val="00841C87"/>
    <w:rsid w:val="00841CF5"/>
    <w:rsid w:val="0084403F"/>
    <w:rsid w:val="008503FC"/>
    <w:rsid w:val="008524B6"/>
    <w:rsid w:val="00852AA1"/>
    <w:rsid w:val="00854506"/>
    <w:rsid w:val="00854A20"/>
    <w:rsid w:val="00854D3D"/>
    <w:rsid w:val="008553FF"/>
    <w:rsid w:val="00857E06"/>
    <w:rsid w:val="0086435D"/>
    <w:rsid w:val="0086473B"/>
    <w:rsid w:val="008713CA"/>
    <w:rsid w:val="00872562"/>
    <w:rsid w:val="00873F31"/>
    <w:rsid w:val="00875C75"/>
    <w:rsid w:val="00877363"/>
    <w:rsid w:val="00881333"/>
    <w:rsid w:val="0089485A"/>
    <w:rsid w:val="008A0ACE"/>
    <w:rsid w:val="008A3694"/>
    <w:rsid w:val="008A5370"/>
    <w:rsid w:val="008B424C"/>
    <w:rsid w:val="008C0FF0"/>
    <w:rsid w:val="008C2007"/>
    <w:rsid w:val="008D1BD2"/>
    <w:rsid w:val="008D1C30"/>
    <w:rsid w:val="008D2465"/>
    <w:rsid w:val="008D2EAB"/>
    <w:rsid w:val="008D378C"/>
    <w:rsid w:val="008D74DD"/>
    <w:rsid w:val="008E04A9"/>
    <w:rsid w:val="008E08C4"/>
    <w:rsid w:val="008E1E3E"/>
    <w:rsid w:val="008E2097"/>
    <w:rsid w:val="008E4066"/>
    <w:rsid w:val="008F0C03"/>
    <w:rsid w:val="008F2555"/>
    <w:rsid w:val="008F3F13"/>
    <w:rsid w:val="0090138B"/>
    <w:rsid w:val="009038A0"/>
    <w:rsid w:val="0090523F"/>
    <w:rsid w:val="009064DC"/>
    <w:rsid w:val="00906A4B"/>
    <w:rsid w:val="00907506"/>
    <w:rsid w:val="00911792"/>
    <w:rsid w:val="00911F99"/>
    <w:rsid w:val="00913A2F"/>
    <w:rsid w:val="009147A2"/>
    <w:rsid w:val="0091798D"/>
    <w:rsid w:val="00923CCB"/>
    <w:rsid w:val="009243A0"/>
    <w:rsid w:val="009261E8"/>
    <w:rsid w:val="00931D72"/>
    <w:rsid w:val="0093300A"/>
    <w:rsid w:val="00933DA0"/>
    <w:rsid w:val="00934418"/>
    <w:rsid w:val="0093577F"/>
    <w:rsid w:val="0094164C"/>
    <w:rsid w:val="009479FA"/>
    <w:rsid w:val="0095241F"/>
    <w:rsid w:val="00952533"/>
    <w:rsid w:val="009535C7"/>
    <w:rsid w:val="00954525"/>
    <w:rsid w:val="00954A98"/>
    <w:rsid w:val="00957309"/>
    <w:rsid w:val="009578C3"/>
    <w:rsid w:val="00960265"/>
    <w:rsid w:val="00966A9A"/>
    <w:rsid w:val="0097432F"/>
    <w:rsid w:val="00976647"/>
    <w:rsid w:val="00977603"/>
    <w:rsid w:val="00977B61"/>
    <w:rsid w:val="00981187"/>
    <w:rsid w:val="00981631"/>
    <w:rsid w:val="00983F8D"/>
    <w:rsid w:val="00984659"/>
    <w:rsid w:val="0098474D"/>
    <w:rsid w:val="00987992"/>
    <w:rsid w:val="00990B8B"/>
    <w:rsid w:val="00993028"/>
    <w:rsid w:val="00993649"/>
    <w:rsid w:val="009939AE"/>
    <w:rsid w:val="00993CD9"/>
    <w:rsid w:val="00994EF7"/>
    <w:rsid w:val="00997B0A"/>
    <w:rsid w:val="009A37B9"/>
    <w:rsid w:val="009A7FE2"/>
    <w:rsid w:val="009B6041"/>
    <w:rsid w:val="009B68D9"/>
    <w:rsid w:val="009C01BA"/>
    <w:rsid w:val="009C5A63"/>
    <w:rsid w:val="009D0836"/>
    <w:rsid w:val="009D5B74"/>
    <w:rsid w:val="009D67FD"/>
    <w:rsid w:val="009D7EA7"/>
    <w:rsid w:val="009E127D"/>
    <w:rsid w:val="009E22CB"/>
    <w:rsid w:val="009E2E34"/>
    <w:rsid w:val="009E3659"/>
    <w:rsid w:val="009E36EA"/>
    <w:rsid w:val="009E3C98"/>
    <w:rsid w:val="009E476C"/>
    <w:rsid w:val="009E7951"/>
    <w:rsid w:val="009E7AB6"/>
    <w:rsid w:val="009F1E23"/>
    <w:rsid w:val="009F3136"/>
    <w:rsid w:val="009F6781"/>
    <w:rsid w:val="00A016BD"/>
    <w:rsid w:val="00A02164"/>
    <w:rsid w:val="00A03C9F"/>
    <w:rsid w:val="00A0427A"/>
    <w:rsid w:val="00A07B0B"/>
    <w:rsid w:val="00A105CE"/>
    <w:rsid w:val="00A12C68"/>
    <w:rsid w:val="00A12FE8"/>
    <w:rsid w:val="00A17D82"/>
    <w:rsid w:val="00A215C0"/>
    <w:rsid w:val="00A22BED"/>
    <w:rsid w:val="00A251A0"/>
    <w:rsid w:val="00A27AB8"/>
    <w:rsid w:val="00A33878"/>
    <w:rsid w:val="00A36CA4"/>
    <w:rsid w:val="00A40B73"/>
    <w:rsid w:val="00A40DF0"/>
    <w:rsid w:val="00A42C1E"/>
    <w:rsid w:val="00A4724A"/>
    <w:rsid w:val="00A477D0"/>
    <w:rsid w:val="00A51F93"/>
    <w:rsid w:val="00A52E1D"/>
    <w:rsid w:val="00A631B7"/>
    <w:rsid w:val="00A63BCF"/>
    <w:rsid w:val="00A644A6"/>
    <w:rsid w:val="00A6483E"/>
    <w:rsid w:val="00A658DA"/>
    <w:rsid w:val="00A65E74"/>
    <w:rsid w:val="00A669FB"/>
    <w:rsid w:val="00A66D84"/>
    <w:rsid w:val="00A6701F"/>
    <w:rsid w:val="00A71598"/>
    <w:rsid w:val="00A73931"/>
    <w:rsid w:val="00A755F0"/>
    <w:rsid w:val="00A77604"/>
    <w:rsid w:val="00A77CC7"/>
    <w:rsid w:val="00A8178D"/>
    <w:rsid w:val="00A82AAC"/>
    <w:rsid w:val="00A84183"/>
    <w:rsid w:val="00A84F09"/>
    <w:rsid w:val="00A85A50"/>
    <w:rsid w:val="00A86E8F"/>
    <w:rsid w:val="00A90552"/>
    <w:rsid w:val="00A91702"/>
    <w:rsid w:val="00A95387"/>
    <w:rsid w:val="00A967A1"/>
    <w:rsid w:val="00A96F40"/>
    <w:rsid w:val="00AA727A"/>
    <w:rsid w:val="00AA7644"/>
    <w:rsid w:val="00AA79FD"/>
    <w:rsid w:val="00AB1D0B"/>
    <w:rsid w:val="00AB2139"/>
    <w:rsid w:val="00AB33B7"/>
    <w:rsid w:val="00AB47A6"/>
    <w:rsid w:val="00AB6E0C"/>
    <w:rsid w:val="00AB7B52"/>
    <w:rsid w:val="00AC1D49"/>
    <w:rsid w:val="00AC1E50"/>
    <w:rsid w:val="00AC31B3"/>
    <w:rsid w:val="00AD0D61"/>
    <w:rsid w:val="00AD0D6E"/>
    <w:rsid w:val="00AD1687"/>
    <w:rsid w:val="00AD2DE9"/>
    <w:rsid w:val="00AD77B7"/>
    <w:rsid w:val="00AD7C7B"/>
    <w:rsid w:val="00AE0039"/>
    <w:rsid w:val="00AE0582"/>
    <w:rsid w:val="00AE2573"/>
    <w:rsid w:val="00AE32D2"/>
    <w:rsid w:val="00AE378A"/>
    <w:rsid w:val="00AE4B42"/>
    <w:rsid w:val="00AE5BDA"/>
    <w:rsid w:val="00AF4BF6"/>
    <w:rsid w:val="00B1183B"/>
    <w:rsid w:val="00B1338E"/>
    <w:rsid w:val="00B1381C"/>
    <w:rsid w:val="00B17000"/>
    <w:rsid w:val="00B17A60"/>
    <w:rsid w:val="00B17BCF"/>
    <w:rsid w:val="00B20423"/>
    <w:rsid w:val="00B20E92"/>
    <w:rsid w:val="00B236EE"/>
    <w:rsid w:val="00B27C07"/>
    <w:rsid w:val="00B31167"/>
    <w:rsid w:val="00B319FB"/>
    <w:rsid w:val="00B33AC1"/>
    <w:rsid w:val="00B406F1"/>
    <w:rsid w:val="00B434E5"/>
    <w:rsid w:val="00B45B68"/>
    <w:rsid w:val="00B460A0"/>
    <w:rsid w:val="00B46C7C"/>
    <w:rsid w:val="00B50C3E"/>
    <w:rsid w:val="00B528F3"/>
    <w:rsid w:val="00B538FD"/>
    <w:rsid w:val="00B54408"/>
    <w:rsid w:val="00B54B2A"/>
    <w:rsid w:val="00B54CF2"/>
    <w:rsid w:val="00B57494"/>
    <w:rsid w:val="00B60A8E"/>
    <w:rsid w:val="00B6170D"/>
    <w:rsid w:val="00B622E3"/>
    <w:rsid w:val="00B628CD"/>
    <w:rsid w:val="00B67701"/>
    <w:rsid w:val="00B726CC"/>
    <w:rsid w:val="00B73904"/>
    <w:rsid w:val="00B73FEE"/>
    <w:rsid w:val="00B76072"/>
    <w:rsid w:val="00B776D6"/>
    <w:rsid w:val="00B77781"/>
    <w:rsid w:val="00B779BD"/>
    <w:rsid w:val="00B8268F"/>
    <w:rsid w:val="00B827E4"/>
    <w:rsid w:val="00B82FDD"/>
    <w:rsid w:val="00B83C85"/>
    <w:rsid w:val="00B870EE"/>
    <w:rsid w:val="00B9041E"/>
    <w:rsid w:val="00B906A8"/>
    <w:rsid w:val="00B90C6E"/>
    <w:rsid w:val="00B94A8D"/>
    <w:rsid w:val="00B95862"/>
    <w:rsid w:val="00B96117"/>
    <w:rsid w:val="00BB12E4"/>
    <w:rsid w:val="00BB24C3"/>
    <w:rsid w:val="00BB3EAE"/>
    <w:rsid w:val="00BB745F"/>
    <w:rsid w:val="00BC3395"/>
    <w:rsid w:val="00BC4332"/>
    <w:rsid w:val="00BC6A15"/>
    <w:rsid w:val="00BC6DD7"/>
    <w:rsid w:val="00BD24E4"/>
    <w:rsid w:val="00BD275F"/>
    <w:rsid w:val="00BD3E7E"/>
    <w:rsid w:val="00BD753F"/>
    <w:rsid w:val="00BE1C4C"/>
    <w:rsid w:val="00BE4CEB"/>
    <w:rsid w:val="00BE4F32"/>
    <w:rsid w:val="00BE70AF"/>
    <w:rsid w:val="00BF070E"/>
    <w:rsid w:val="00BF197C"/>
    <w:rsid w:val="00BF36F2"/>
    <w:rsid w:val="00BF5B79"/>
    <w:rsid w:val="00BF7F93"/>
    <w:rsid w:val="00C012DE"/>
    <w:rsid w:val="00C022E3"/>
    <w:rsid w:val="00C02EAC"/>
    <w:rsid w:val="00C05806"/>
    <w:rsid w:val="00C063C6"/>
    <w:rsid w:val="00C07E32"/>
    <w:rsid w:val="00C10561"/>
    <w:rsid w:val="00C108E6"/>
    <w:rsid w:val="00C1495C"/>
    <w:rsid w:val="00C16563"/>
    <w:rsid w:val="00C17BCB"/>
    <w:rsid w:val="00C205F7"/>
    <w:rsid w:val="00C20762"/>
    <w:rsid w:val="00C217A9"/>
    <w:rsid w:val="00C222E7"/>
    <w:rsid w:val="00C2255D"/>
    <w:rsid w:val="00C25CC8"/>
    <w:rsid w:val="00C25ED0"/>
    <w:rsid w:val="00C33231"/>
    <w:rsid w:val="00C34233"/>
    <w:rsid w:val="00C3625E"/>
    <w:rsid w:val="00C44004"/>
    <w:rsid w:val="00C46A4A"/>
    <w:rsid w:val="00C46C02"/>
    <w:rsid w:val="00C47C6C"/>
    <w:rsid w:val="00C51EE6"/>
    <w:rsid w:val="00C54588"/>
    <w:rsid w:val="00C54C71"/>
    <w:rsid w:val="00C57512"/>
    <w:rsid w:val="00C60D1D"/>
    <w:rsid w:val="00C67C1F"/>
    <w:rsid w:val="00C727B5"/>
    <w:rsid w:val="00C73D7E"/>
    <w:rsid w:val="00C7714F"/>
    <w:rsid w:val="00C806CA"/>
    <w:rsid w:val="00C80E2B"/>
    <w:rsid w:val="00C80EA4"/>
    <w:rsid w:val="00C827DF"/>
    <w:rsid w:val="00C831CC"/>
    <w:rsid w:val="00C8472A"/>
    <w:rsid w:val="00C91385"/>
    <w:rsid w:val="00C91562"/>
    <w:rsid w:val="00C91FA0"/>
    <w:rsid w:val="00C932AE"/>
    <w:rsid w:val="00C942FB"/>
    <w:rsid w:val="00C94305"/>
    <w:rsid w:val="00C94ED9"/>
    <w:rsid w:val="00C96503"/>
    <w:rsid w:val="00C96F58"/>
    <w:rsid w:val="00C97FD3"/>
    <w:rsid w:val="00CA1BBB"/>
    <w:rsid w:val="00CA59E8"/>
    <w:rsid w:val="00CA5D25"/>
    <w:rsid w:val="00CB4787"/>
    <w:rsid w:val="00CB7235"/>
    <w:rsid w:val="00CC18DF"/>
    <w:rsid w:val="00CC35ED"/>
    <w:rsid w:val="00CD0DD6"/>
    <w:rsid w:val="00CD12D4"/>
    <w:rsid w:val="00CD1DEA"/>
    <w:rsid w:val="00CD2519"/>
    <w:rsid w:val="00CE23D2"/>
    <w:rsid w:val="00CE383F"/>
    <w:rsid w:val="00CE57C3"/>
    <w:rsid w:val="00CE5EAE"/>
    <w:rsid w:val="00CE7238"/>
    <w:rsid w:val="00CF1AE7"/>
    <w:rsid w:val="00CF3DEB"/>
    <w:rsid w:val="00D030E2"/>
    <w:rsid w:val="00D04493"/>
    <w:rsid w:val="00D113F3"/>
    <w:rsid w:val="00D139CA"/>
    <w:rsid w:val="00D152A5"/>
    <w:rsid w:val="00D16289"/>
    <w:rsid w:val="00D24646"/>
    <w:rsid w:val="00D24822"/>
    <w:rsid w:val="00D26C00"/>
    <w:rsid w:val="00D31A1F"/>
    <w:rsid w:val="00D32EC1"/>
    <w:rsid w:val="00D35B99"/>
    <w:rsid w:val="00D51E44"/>
    <w:rsid w:val="00D5200C"/>
    <w:rsid w:val="00D53044"/>
    <w:rsid w:val="00D54C22"/>
    <w:rsid w:val="00D553A2"/>
    <w:rsid w:val="00D5576F"/>
    <w:rsid w:val="00D6195C"/>
    <w:rsid w:val="00D6400D"/>
    <w:rsid w:val="00D642AC"/>
    <w:rsid w:val="00D71336"/>
    <w:rsid w:val="00D72A92"/>
    <w:rsid w:val="00D73054"/>
    <w:rsid w:val="00D73F59"/>
    <w:rsid w:val="00D77B14"/>
    <w:rsid w:val="00D84C8E"/>
    <w:rsid w:val="00D85DBB"/>
    <w:rsid w:val="00D87976"/>
    <w:rsid w:val="00D87E7A"/>
    <w:rsid w:val="00D87EF4"/>
    <w:rsid w:val="00D902CA"/>
    <w:rsid w:val="00D90DBD"/>
    <w:rsid w:val="00D9357C"/>
    <w:rsid w:val="00D93990"/>
    <w:rsid w:val="00D96386"/>
    <w:rsid w:val="00D96C85"/>
    <w:rsid w:val="00DA2CF6"/>
    <w:rsid w:val="00DB4F07"/>
    <w:rsid w:val="00DB59AE"/>
    <w:rsid w:val="00DB5E86"/>
    <w:rsid w:val="00DB778D"/>
    <w:rsid w:val="00DC08C0"/>
    <w:rsid w:val="00DC0B57"/>
    <w:rsid w:val="00DC0DCE"/>
    <w:rsid w:val="00DC12B8"/>
    <w:rsid w:val="00DC69FA"/>
    <w:rsid w:val="00DC7C95"/>
    <w:rsid w:val="00DD1E3C"/>
    <w:rsid w:val="00DD4408"/>
    <w:rsid w:val="00DD53FC"/>
    <w:rsid w:val="00DD7450"/>
    <w:rsid w:val="00DE2D01"/>
    <w:rsid w:val="00DE476A"/>
    <w:rsid w:val="00DE49B4"/>
    <w:rsid w:val="00DE5644"/>
    <w:rsid w:val="00DE5F46"/>
    <w:rsid w:val="00DE629C"/>
    <w:rsid w:val="00DF1275"/>
    <w:rsid w:val="00DF136B"/>
    <w:rsid w:val="00DF48CE"/>
    <w:rsid w:val="00DF5265"/>
    <w:rsid w:val="00DF5ED3"/>
    <w:rsid w:val="00DF7593"/>
    <w:rsid w:val="00DF7D52"/>
    <w:rsid w:val="00E07A41"/>
    <w:rsid w:val="00E11D8F"/>
    <w:rsid w:val="00E14245"/>
    <w:rsid w:val="00E14476"/>
    <w:rsid w:val="00E232A1"/>
    <w:rsid w:val="00E26634"/>
    <w:rsid w:val="00E26FBC"/>
    <w:rsid w:val="00E279BD"/>
    <w:rsid w:val="00E319B8"/>
    <w:rsid w:val="00E336FC"/>
    <w:rsid w:val="00E33F89"/>
    <w:rsid w:val="00E35A3B"/>
    <w:rsid w:val="00E35AB0"/>
    <w:rsid w:val="00E37FBA"/>
    <w:rsid w:val="00E40322"/>
    <w:rsid w:val="00E41A65"/>
    <w:rsid w:val="00E44226"/>
    <w:rsid w:val="00E5057C"/>
    <w:rsid w:val="00E516DF"/>
    <w:rsid w:val="00E55DD0"/>
    <w:rsid w:val="00E578DB"/>
    <w:rsid w:val="00E60438"/>
    <w:rsid w:val="00E62C5F"/>
    <w:rsid w:val="00E647B2"/>
    <w:rsid w:val="00E70996"/>
    <w:rsid w:val="00E710FE"/>
    <w:rsid w:val="00E72E11"/>
    <w:rsid w:val="00E74499"/>
    <w:rsid w:val="00E74DCF"/>
    <w:rsid w:val="00E769E7"/>
    <w:rsid w:val="00E76B35"/>
    <w:rsid w:val="00E76CE8"/>
    <w:rsid w:val="00E773CD"/>
    <w:rsid w:val="00E80C9D"/>
    <w:rsid w:val="00E80F50"/>
    <w:rsid w:val="00E8544D"/>
    <w:rsid w:val="00E878CF"/>
    <w:rsid w:val="00E87FD8"/>
    <w:rsid w:val="00E91A64"/>
    <w:rsid w:val="00E91B23"/>
    <w:rsid w:val="00E93E75"/>
    <w:rsid w:val="00E95C3D"/>
    <w:rsid w:val="00E9712C"/>
    <w:rsid w:val="00EA3AAD"/>
    <w:rsid w:val="00EA4DDA"/>
    <w:rsid w:val="00EA7CF9"/>
    <w:rsid w:val="00EB146E"/>
    <w:rsid w:val="00EC435E"/>
    <w:rsid w:val="00EC5277"/>
    <w:rsid w:val="00EC6F2E"/>
    <w:rsid w:val="00ED140C"/>
    <w:rsid w:val="00ED602F"/>
    <w:rsid w:val="00ED73D1"/>
    <w:rsid w:val="00ED79EC"/>
    <w:rsid w:val="00EE34A6"/>
    <w:rsid w:val="00EE4FE3"/>
    <w:rsid w:val="00EE54D5"/>
    <w:rsid w:val="00EE7AB1"/>
    <w:rsid w:val="00EF27D9"/>
    <w:rsid w:val="00EF5E58"/>
    <w:rsid w:val="00EF6330"/>
    <w:rsid w:val="00EF6E84"/>
    <w:rsid w:val="00EF77B7"/>
    <w:rsid w:val="00F05865"/>
    <w:rsid w:val="00F06DD0"/>
    <w:rsid w:val="00F108FB"/>
    <w:rsid w:val="00F11536"/>
    <w:rsid w:val="00F1496D"/>
    <w:rsid w:val="00F17039"/>
    <w:rsid w:val="00F26A83"/>
    <w:rsid w:val="00F26A8F"/>
    <w:rsid w:val="00F27457"/>
    <w:rsid w:val="00F32DDD"/>
    <w:rsid w:val="00F3730E"/>
    <w:rsid w:val="00F40AE9"/>
    <w:rsid w:val="00F44AB4"/>
    <w:rsid w:val="00F45726"/>
    <w:rsid w:val="00F52431"/>
    <w:rsid w:val="00F55BD1"/>
    <w:rsid w:val="00F5703E"/>
    <w:rsid w:val="00F608BB"/>
    <w:rsid w:val="00F6177F"/>
    <w:rsid w:val="00F620A0"/>
    <w:rsid w:val="00F645D6"/>
    <w:rsid w:val="00F64726"/>
    <w:rsid w:val="00F6517B"/>
    <w:rsid w:val="00F65C9B"/>
    <w:rsid w:val="00F66D8F"/>
    <w:rsid w:val="00F703C2"/>
    <w:rsid w:val="00F70801"/>
    <w:rsid w:val="00F713D3"/>
    <w:rsid w:val="00F74829"/>
    <w:rsid w:val="00F76667"/>
    <w:rsid w:val="00F77C4C"/>
    <w:rsid w:val="00F811FD"/>
    <w:rsid w:val="00F81C92"/>
    <w:rsid w:val="00F82AEC"/>
    <w:rsid w:val="00F8502C"/>
    <w:rsid w:val="00F851B8"/>
    <w:rsid w:val="00F8684A"/>
    <w:rsid w:val="00F877CE"/>
    <w:rsid w:val="00F91243"/>
    <w:rsid w:val="00F921E1"/>
    <w:rsid w:val="00F92B20"/>
    <w:rsid w:val="00F9545E"/>
    <w:rsid w:val="00F959C1"/>
    <w:rsid w:val="00F95C1C"/>
    <w:rsid w:val="00F97855"/>
    <w:rsid w:val="00FA1706"/>
    <w:rsid w:val="00FB00F0"/>
    <w:rsid w:val="00FB424C"/>
    <w:rsid w:val="00FB49F3"/>
    <w:rsid w:val="00FC053C"/>
    <w:rsid w:val="00FC4BE5"/>
    <w:rsid w:val="00FD15C8"/>
    <w:rsid w:val="00FD1869"/>
    <w:rsid w:val="00FD2CEA"/>
    <w:rsid w:val="00FD41E7"/>
    <w:rsid w:val="00FD7211"/>
    <w:rsid w:val="00FD748E"/>
    <w:rsid w:val="00FE4111"/>
    <w:rsid w:val="00FE7367"/>
    <w:rsid w:val="00FF0628"/>
    <w:rsid w:val="00FF0A85"/>
    <w:rsid w:val="00FF0AD3"/>
    <w:rsid w:val="00FF28D0"/>
    <w:rsid w:val="00FF2D14"/>
    <w:rsid w:val="00FF630C"/>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85"/>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
    <w:qFormat/>
    <w:rsid w:val="00D51E44"/>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link w:val="ListParagraphChar"/>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character" w:customStyle="1" w:styleId="Heading1Char">
    <w:name w:val="Heading 1 Char"/>
    <w:link w:val="Heading1"/>
    <w:uiPriority w:val="9"/>
    <w:rsid w:val="00D51E44"/>
    <w:rPr>
      <w:rFonts w:ascii="Cambria" w:eastAsia="Times New Roman" w:hAnsi="Cambria" w:cs="Times New Roman"/>
      <w:b/>
      <w:bCs/>
      <w:kern w:val="32"/>
      <w:sz w:val="32"/>
      <w:szCs w:val="32"/>
    </w:rPr>
  </w:style>
  <w:style w:type="paragraph" w:styleId="List">
    <w:name w:val="List"/>
    <w:basedOn w:val="Normal"/>
    <w:semiHidden/>
    <w:unhideWhenUsed/>
    <w:rsid w:val="00D51E44"/>
    <w:pPr>
      <w:tabs>
        <w:tab w:val="clear" w:pos="432"/>
      </w:tabs>
      <w:spacing w:line="240" w:lineRule="auto"/>
      <w:ind w:left="360" w:hanging="360"/>
      <w:jc w:val="left"/>
    </w:pPr>
    <w:rPr>
      <w:rFonts w:ascii="Times New Roman" w:hAnsi="Times New Roman"/>
    </w:rPr>
  </w:style>
  <w:style w:type="paragraph" w:styleId="Revision">
    <w:name w:val="Revision"/>
    <w:hidden/>
    <w:uiPriority w:val="99"/>
    <w:semiHidden/>
    <w:rsid w:val="009D7EA7"/>
    <w:rPr>
      <w:rFonts w:ascii="Garamond" w:eastAsia="Times New Roman" w:hAnsi="Garamond"/>
      <w:sz w:val="24"/>
      <w:szCs w:val="24"/>
    </w:rPr>
  </w:style>
  <w:style w:type="character" w:styleId="FollowedHyperlink">
    <w:name w:val="FollowedHyperlink"/>
    <w:uiPriority w:val="99"/>
    <w:semiHidden/>
    <w:unhideWhenUsed/>
    <w:rsid w:val="003454D1"/>
    <w:rPr>
      <w:color w:val="800080"/>
      <w:u w:val="single"/>
    </w:rPr>
  </w:style>
  <w:style w:type="character" w:customStyle="1" w:styleId="caps">
    <w:name w:val="caps"/>
    <w:basedOn w:val="DefaultParagraphFont"/>
    <w:rsid w:val="00090FB7"/>
  </w:style>
  <w:style w:type="paragraph" w:styleId="EndnoteText">
    <w:name w:val="endnote text"/>
    <w:basedOn w:val="Normal"/>
    <w:link w:val="EndnoteTextChar"/>
    <w:uiPriority w:val="99"/>
    <w:semiHidden/>
    <w:unhideWhenUsed/>
    <w:rsid w:val="00181606"/>
    <w:pPr>
      <w:spacing w:line="240" w:lineRule="auto"/>
    </w:pPr>
    <w:rPr>
      <w:sz w:val="20"/>
      <w:szCs w:val="20"/>
    </w:rPr>
  </w:style>
  <w:style w:type="character" w:customStyle="1" w:styleId="EndnoteTextChar">
    <w:name w:val="Endnote Text Char"/>
    <w:basedOn w:val="DefaultParagraphFont"/>
    <w:link w:val="EndnoteText"/>
    <w:uiPriority w:val="99"/>
    <w:semiHidden/>
    <w:rsid w:val="00181606"/>
    <w:rPr>
      <w:rFonts w:ascii="Garamond" w:eastAsia="Times New Roman" w:hAnsi="Garamond"/>
    </w:rPr>
  </w:style>
  <w:style w:type="character" w:styleId="EndnoteReference">
    <w:name w:val="endnote reference"/>
    <w:basedOn w:val="DefaultParagraphFont"/>
    <w:uiPriority w:val="99"/>
    <w:semiHidden/>
    <w:unhideWhenUsed/>
    <w:rsid w:val="00181606"/>
    <w:rPr>
      <w:vertAlign w:val="superscript"/>
    </w:rPr>
  </w:style>
  <w:style w:type="paragraph" w:customStyle="1" w:styleId="BodyText21">
    <w:name w:val="Body Text 21"/>
    <w:basedOn w:val="Normal"/>
    <w:link w:val="bodytext2Char"/>
    <w:autoRedefine/>
    <w:qFormat/>
    <w:rsid w:val="00B76072"/>
    <w:pPr>
      <w:tabs>
        <w:tab w:val="clear" w:pos="432"/>
      </w:tabs>
      <w:autoSpaceDE w:val="0"/>
      <w:autoSpaceDN w:val="0"/>
      <w:spacing w:after="120" w:line="240" w:lineRule="auto"/>
      <w:ind w:firstLine="0"/>
      <w:jc w:val="left"/>
    </w:pPr>
    <w:rPr>
      <w:rFonts w:ascii="Times New Roman" w:eastAsia="Calibri" w:hAnsi="Times New Roman"/>
    </w:rPr>
  </w:style>
  <w:style w:type="character" w:customStyle="1" w:styleId="bodytext2Char">
    <w:name w:val="body text 2 Char"/>
    <w:basedOn w:val="DefaultParagraphFont"/>
    <w:link w:val="BodyText21"/>
    <w:rsid w:val="00B76072"/>
    <w:rPr>
      <w:rFonts w:ascii="Times New Roman" w:hAnsi="Times New Roman"/>
      <w:sz w:val="24"/>
      <w:szCs w:val="24"/>
    </w:rPr>
  </w:style>
  <w:style w:type="paragraph" w:customStyle="1" w:styleId="Style1">
    <w:name w:val="Style1"/>
    <w:basedOn w:val="NoSpacing"/>
    <w:qFormat/>
    <w:rsid w:val="00715877"/>
    <w:rPr>
      <w:rFonts w:ascii="Times New Roman" w:eastAsiaTheme="minorHAnsi" w:hAnsi="Times New Roman" w:cs="Times New Roman"/>
      <w:sz w:val="24"/>
      <w:szCs w:val="24"/>
    </w:rPr>
  </w:style>
  <w:style w:type="paragraph" w:customStyle="1" w:styleId="OMBNumberBullets">
    <w:name w:val="OMB Number Bullets"/>
    <w:basedOn w:val="ListParagraph"/>
    <w:link w:val="OMBNumberBulletsChar"/>
    <w:autoRedefine/>
    <w:qFormat/>
    <w:rsid w:val="0064554E"/>
    <w:pPr>
      <w:numPr>
        <w:numId w:val="18"/>
      </w:numPr>
      <w:spacing w:after="200"/>
      <w:ind w:left="540" w:hanging="540"/>
    </w:pPr>
    <w:rPr>
      <w:rFonts w:ascii="Helvetica" w:hAnsi="Helvetica"/>
      <w:b/>
    </w:rPr>
  </w:style>
  <w:style w:type="character" w:customStyle="1" w:styleId="ListParagraphChar">
    <w:name w:val="List Paragraph Char"/>
    <w:basedOn w:val="DefaultParagraphFont"/>
    <w:link w:val="ListParagraph"/>
    <w:uiPriority w:val="34"/>
    <w:rsid w:val="00D96C85"/>
    <w:rPr>
      <w:rFonts w:ascii="Times New Roman" w:hAnsi="Times New Roman"/>
      <w:sz w:val="24"/>
      <w:szCs w:val="24"/>
    </w:rPr>
  </w:style>
  <w:style w:type="character" w:customStyle="1" w:styleId="OMBNumberBulletsChar">
    <w:name w:val="OMB Number Bullets Char"/>
    <w:basedOn w:val="ListParagraphChar"/>
    <w:link w:val="OMBNumberBullets"/>
    <w:rsid w:val="0064554E"/>
    <w:rPr>
      <w:rFonts w:ascii="Helvetica" w:hAnsi="Helvetic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85"/>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
    <w:qFormat/>
    <w:rsid w:val="00D51E44"/>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left="720" w:right="360" w:hanging="288"/>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link w:val="ListParagraphChar"/>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character" w:customStyle="1" w:styleId="Heading1Char">
    <w:name w:val="Heading 1 Char"/>
    <w:link w:val="Heading1"/>
    <w:uiPriority w:val="9"/>
    <w:rsid w:val="00D51E44"/>
    <w:rPr>
      <w:rFonts w:ascii="Cambria" w:eastAsia="Times New Roman" w:hAnsi="Cambria" w:cs="Times New Roman"/>
      <w:b/>
      <w:bCs/>
      <w:kern w:val="32"/>
      <w:sz w:val="32"/>
      <w:szCs w:val="32"/>
    </w:rPr>
  </w:style>
  <w:style w:type="paragraph" w:styleId="List">
    <w:name w:val="List"/>
    <w:basedOn w:val="Normal"/>
    <w:semiHidden/>
    <w:unhideWhenUsed/>
    <w:rsid w:val="00D51E44"/>
    <w:pPr>
      <w:tabs>
        <w:tab w:val="clear" w:pos="432"/>
      </w:tabs>
      <w:spacing w:line="240" w:lineRule="auto"/>
      <w:ind w:left="360" w:hanging="360"/>
      <w:jc w:val="left"/>
    </w:pPr>
    <w:rPr>
      <w:rFonts w:ascii="Times New Roman" w:hAnsi="Times New Roman"/>
    </w:rPr>
  </w:style>
  <w:style w:type="paragraph" w:styleId="Revision">
    <w:name w:val="Revision"/>
    <w:hidden/>
    <w:uiPriority w:val="99"/>
    <w:semiHidden/>
    <w:rsid w:val="009D7EA7"/>
    <w:rPr>
      <w:rFonts w:ascii="Garamond" w:eastAsia="Times New Roman" w:hAnsi="Garamond"/>
      <w:sz w:val="24"/>
      <w:szCs w:val="24"/>
    </w:rPr>
  </w:style>
  <w:style w:type="character" w:styleId="FollowedHyperlink">
    <w:name w:val="FollowedHyperlink"/>
    <w:uiPriority w:val="99"/>
    <w:semiHidden/>
    <w:unhideWhenUsed/>
    <w:rsid w:val="003454D1"/>
    <w:rPr>
      <w:color w:val="800080"/>
      <w:u w:val="single"/>
    </w:rPr>
  </w:style>
  <w:style w:type="character" w:customStyle="1" w:styleId="caps">
    <w:name w:val="caps"/>
    <w:basedOn w:val="DefaultParagraphFont"/>
    <w:rsid w:val="00090FB7"/>
  </w:style>
  <w:style w:type="paragraph" w:styleId="EndnoteText">
    <w:name w:val="endnote text"/>
    <w:basedOn w:val="Normal"/>
    <w:link w:val="EndnoteTextChar"/>
    <w:uiPriority w:val="99"/>
    <w:semiHidden/>
    <w:unhideWhenUsed/>
    <w:rsid w:val="00181606"/>
    <w:pPr>
      <w:spacing w:line="240" w:lineRule="auto"/>
    </w:pPr>
    <w:rPr>
      <w:sz w:val="20"/>
      <w:szCs w:val="20"/>
    </w:rPr>
  </w:style>
  <w:style w:type="character" w:customStyle="1" w:styleId="EndnoteTextChar">
    <w:name w:val="Endnote Text Char"/>
    <w:basedOn w:val="DefaultParagraphFont"/>
    <w:link w:val="EndnoteText"/>
    <w:uiPriority w:val="99"/>
    <w:semiHidden/>
    <w:rsid w:val="00181606"/>
    <w:rPr>
      <w:rFonts w:ascii="Garamond" w:eastAsia="Times New Roman" w:hAnsi="Garamond"/>
    </w:rPr>
  </w:style>
  <w:style w:type="character" w:styleId="EndnoteReference">
    <w:name w:val="endnote reference"/>
    <w:basedOn w:val="DefaultParagraphFont"/>
    <w:uiPriority w:val="99"/>
    <w:semiHidden/>
    <w:unhideWhenUsed/>
    <w:rsid w:val="00181606"/>
    <w:rPr>
      <w:vertAlign w:val="superscript"/>
    </w:rPr>
  </w:style>
  <w:style w:type="paragraph" w:customStyle="1" w:styleId="BodyText21">
    <w:name w:val="Body Text 21"/>
    <w:basedOn w:val="Normal"/>
    <w:link w:val="bodytext2Char"/>
    <w:autoRedefine/>
    <w:qFormat/>
    <w:rsid w:val="00B76072"/>
    <w:pPr>
      <w:tabs>
        <w:tab w:val="clear" w:pos="432"/>
      </w:tabs>
      <w:autoSpaceDE w:val="0"/>
      <w:autoSpaceDN w:val="0"/>
      <w:spacing w:after="120" w:line="240" w:lineRule="auto"/>
      <w:ind w:firstLine="0"/>
      <w:jc w:val="left"/>
    </w:pPr>
    <w:rPr>
      <w:rFonts w:ascii="Times New Roman" w:eastAsia="Calibri" w:hAnsi="Times New Roman"/>
    </w:rPr>
  </w:style>
  <w:style w:type="character" w:customStyle="1" w:styleId="bodytext2Char">
    <w:name w:val="body text 2 Char"/>
    <w:basedOn w:val="DefaultParagraphFont"/>
    <w:link w:val="BodyText21"/>
    <w:rsid w:val="00B76072"/>
    <w:rPr>
      <w:rFonts w:ascii="Times New Roman" w:hAnsi="Times New Roman"/>
      <w:sz w:val="24"/>
      <w:szCs w:val="24"/>
    </w:rPr>
  </w:style>
  <w:style w:type="paragraph" w:customStyle="1" w:styleId="Style1">
    <w:name w:val="Style1"/>
    <w:basedOn w:val="NoSpacing"/>
    <w:qFormat/>
    <w:rsid w:val="00715877"/>
    <w:rPr>
      <w:rFonts w:ascii="Times New Roman" w:eastAsiaTheme="minorHAnsi" w:hAnsi="Times New Roman" w:cs="Times New Roman"/>
      <w:sz w:val="24"/>
      <w:szCs w:val="24"/>
    </w:rPr>
  </w:style>
  <w:style w:type="paragraph" w:customStyle="1" w:styleId="OMBNumberBullets">
    <w:name w:val="OMB Number Bullets"/>
    <w:basedOn w:val="ListParagraph"/>
    <w:link w:val="OMBNumberBulletsChar"/>
    <w:autoRedefine/>
    <w:qFormat/>
    <w:rsid w:val="0064554E"/>
    <w:pPr>
      <w:numPr>
        <w:numId w:val="18"/>
      </w:numPr>
      <w:spacing w:after="200"/>
      <w:ind w:left="540" w:hanging="540"/>
    </w:pPr>
    <w:rPr>
      <w:rFonts w:ascii="Helvetica" w:hAnsi="Helvetica"/>
      <w:b/>
    </w:rPr>
  </w:style>
  <w:style w:type="character" w:customStyle="1" w:styleId="ListParagraphChar">
    <w:name w:val="List Paragraph Char"/>
    <w:basedOn w:val="DefaultParagraphFont"/>
    <w:link w:val="ListParagraph"/>
    <w:uiPriority w:val="34"/>
    <w:rsid w:val="00D96C85"/>
    <w:rPr>
      <w:rFonts w:ascii="Times New Roman" w:hAnsi="Times New Roman"/>
      <w:sz w:val="24"/>
      <w:szCs w:val="24"/>
    </w:rPr>
  </w:style>
  <w:style w:type="character" w:customStyle="1" w:styleId="OMBNumberBulletsChar">
    <w:name w:val="OMB Number Bullets Char"/>
    <w:basedOn w:val="ListParagraphChar"/>
    <w:link w:val="OMBNumberBullets"/>
    <w:rsid w:val="0064554E"/>
    <w:rPr>
      <w:rFonts w:ascii="Helvetica" w:hAnsi="Helvetic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7557">
      <w:bodyDiv w:val="1"/>
      <w:marLeft w:val="0"/>
      <w:marRight w:val="0"/>
      <w:marTop w:val="0"/>
      <w:marBottom w:val="0"/>
      <w:divBdr>
        <w:top w:val="none" w:sz="0" w:space="0" w:color="auto"/>
        <w:left w:val="none" w:sz="0" w:space="0" w:color="auto"/>
        <w:bottom w:val="none" w:sz="0" w:space="0" w:color="auto"/>
        <w:right w:val="none" w:sz="0" w:space="0" w:color="auto"/>
      </w:divBdr>
    </w:div>
    <w:div w:id="717362374">
      <w:bodyDiv w:val="1"/>
      <w:marLeft w:val="0"/>
      <w:marRight w:val="0"/>
      <w:marTop w:val="0"/>
      <w:marBottom w:val="0"/>
      <w:divBdr>
        <w:top w:val="none" w:sz="0" w:space="0" w:color="auto"/>
        <w:left w:val="none" w:sz="0" w:space="0" w:color="auto"/>
        <w:bottom w:val="none" w:sz="0" w:space="0" w:color="auto"/>
        <w:right w:val="none" w:sz="0" w:space="0" w:color="auto"/>
      </w:divBdr>
    </w:div>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1002046959">
      <w:bodyDiv w:val="1"/>
      <w:marLeft w:val="0"/>
      <w:marRight w:val="0"/>
      <w:marTop w:val="0"/>
      <w:marBottom w:val="0"/>
      <w:divBdr>
        <w:top w:val="none" w:sz="0" w:space="0" w:color="auto"/>
        <w:left w:val="none" w:sz="0" w:space="0" w:color="auto"/>
        <w:bottom w:val="none" w:sz="0" w:space="0" w:color="auto"/>
        <w:right w:val="none" w:sz="0" w:space="0" w:color="auto"/>
      </w:divBdr>
    </w:div>
    <w:div w:id="1097822987">
      <w:bodyDiv w:val="1"/>
      <w:marLeft w:val="0"/>
      <w:marRight w:val="0"/>
      <w:marTop w:val="0"/>
      <w:marBottom w:val="0"/>
      <w:divBdr>
        <w:top w:val="none" w:sz="0" w:space="0" w:color="auto"/>
        <w:left w:val="none" w:sz="0" w:space="0" w:color="auto"/>
        <w:bottom w:val="none" w:sz="0" w:space="0" w:color="auto"/>
        <w:right w:val="none" w:sz="0" w:space="0" w:color="auto"/>
      </w:divBdr>
    </w:div>
    <w:div w:id="1133132736">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379237699">
      <w:bodyDiv w:val="1"/>
      <w:marLeft w:val="0"/>
      <w:marRight w:val="0"/>
      <w:marTop w:val="0"/>
      <w:marBottom w:val="0"/>
      <w:divBdr>
        <w:top w:val="none" w:sz="0" w:space="0" w:color="auto"/>
        <w:left w:val="none" w:sz="0" w:space="0" w:color="auto"/>
        <w:bottom w:val="none" w:sz="0" w:space="0" w:color="auto"/>
        <w:right w:val="none" w:sz="0" w:space="0" w:color="auto"/>
      </w:divBdr>
    </w:div>
    <w:div w:id="1407874294">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 w:id="1569654207">
      <w:bodyDiv w:val="1"/>
      <w:marLeft w:val="0"/>
      <w:marRight w:val="0"/>
      <w:marTop w:val="0"/>
      <w:marBottom w:val="0"/>
      <w:divBdr>
        <w:top w:val="none" w:sz="0" w:space="0" w:color="auto"/>
        <w:left w:val="none" w:sz="0" w:space="0" w:color="auto"/>
        <w:bottom w:val="none" w:sz="0" w:space="0" w:color="auto"/>
        <w:right w:val="none" w:sz="0" w:space="0" w:color="auto"/>
      </w:divBdr>
    </w:div>
    <w:div w:id="1642614040">
      <w:bodyDiv w:val="1"/>
      <w:marLeft w:val="0"/>
      <w:marRight w:val="0"/>
      <w:marTop w:val="0"/>
      <w:marBottom w:val="0"/>
      <w:divBdr>
        <w:top w:val="none" w:sz="0" w:space="0" w:color="auto"/>
        <w:left w:val="none" w:sz="0" w:space="0" w:color="auto"/>
        <w:bottom w:val="none" w:sz="0" w:space="0" w:color="auto"/>
        <w:right w:val="none" w:sz="0" w:space="0" w:color="auto"/>
      </w:divBdr>
    </w:div>
    <w:div w:id="1823888159">
      <w:bodyDiv w:val="1"/>
      <w:marLeft w:val="0"/>
      <w:marRight w:val="0"/>
      <w:marTop w:val="0"/>
      <w:marBottom w:val="0"/>
      <w:divBdr>
        <w:top w:val="none" w:sz="0" w:space="0" w:color="auto"/>
        <w:left w:val="none" w:sz="0" w:space="0" w:color="auto"/>
        <w:bottom w:val="none" w:sz="0" w:space="0" w:color="auto"/>
        <w:right w:val="none" w:sz="0" w:space="0" w:color="auto"/>
      </w:divBdr>
    </w:div>
    <w:div w:id="1847329975">
      <w:bodyDiv w:val="1"/>
      <w:marLeft w:val="0"/>
      <w:marRight w:val="0"/>
      <w:marTop w:val="0"/>
      <w:marBottom w:val="0"/>
      <w:divBdr>
        <w:top w:val="none" w:sz="0" w:space="0" w:color="auto"/>
        <w:left w:val="none" w:sz="0" w:space="0" w:color="auto"/>
        <w:bottom w:val="none" w:sz="0" w:space="0" w:color="auto"/>
        <w:right w:val="none" w:sz="0" w:space="0" w:color="auto"/>
      </w:divBdr>
    </w:div>
    <w:div w:id="1870407206">
      <w:bodyDiv w:val="1"/>
      <w:marLeft w:val="0"/>
      <w:marRight w:val="0"/>
      <w:marTop w:val="0"/>
      <w:marBottom w:val="0"/>
      <w:divBdr>
        <w:top w:val="none" w:sz="0" w:space="0" w:color="auto"/>
        <w:left w:val="none" w:sz="0" w:space="0" w:color="auto"/>
        <w:bottom w:val="none" w:sz="0" w:space="0" w:color="auto"/>
        <w:right w:val="none" w:sz="0" w:space="0" w:color="auto"/>
      </w:divBdr>
      <w:divsChild>
        <w:div w:id="425733433">
          <w:marLeft w:val="360"/>
          <w:marRight w:val="0"/>
          <w:marTop w:val="200"/>
          <w:marBottom w:val="0"/>
          <w:divBdr>
            <w:top w:val="none" w:sz="0" w:space="0" w:color="auto"/>
            <w:left w:val="none" w:sz="0" w:space="0" w:color="auto"/>
            <w:bottom w:val="none" w:sz="0" w:space="0" w:color="auto"/>
            <w:right w:val="none" w:sz="0" w:space="0" w:color="auto"/>
          </w:divBdr>
        </w:div>
        <w:div w:id="1914468750">
          <w:marLeft w:val="360"/>
          <w:marRight w:val="0"/>
          <w:marTop w:val="200"/>
          <w:marBottom w:val="0"/>
          <w:divBdr>
            <w:top w:val="none" w:sz="0" w:space="0" w:color="auto"/>
            <w:left w:val="none" w:sz="0" w:space="0" w:color="auto"/>
            <w:bottom w:val="none" w:sz="0" w:space="0" w:color="auto"/>
            <w:right w:val="none" w:sz="0" w:space="0" w:color="auto"/>
          </w:divBdr>
        </w:div>
      </w:divsChild>
    </w:div>
    <w:div w:id="1901476579">
      <w:bodyDiv w:val="1"/>
      <w:marLeft w:val="0"/>
      <w:marRight w:val="0"/>
      <w:marTop w:val="0"/>
      <w:marBottom w:val="0"/>
      <w:divBdr>
        <w:top w:val="none" w:sz="0" w:space="0" w:color="auto"/>
        <w:left w:val="none" w:sz="0" w:space="0" w:color="auto"/>
        <w:bottom w:val="none" w:sz="0" w:space="0" w:color="auto"/>
        <w:right w:val="none" w:sz="0" w:space="0" w:color="auto"/>
      </w:divBdr>
    </w:div>
    <w:div w:id="19293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ol.whd/minwage/america.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es.dc.gov/sites/default/files/dc/sites/does/page_content/attachments/Minimum%20Wage%20Amendment%20Revision%20Act%20Poster%20-%20En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fdtc.org/Conference/2015/Presentations/Using_Incentives_and_%20Howden.pdf" TargetMode="External"/><Relationship Id="rId1" Type="http://schemas.openxmlformats.org/officeDocument/2006/relationships/hyperlink" Target="https://www.census.gov/fedcasic/fc2014/ppt/02_w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Level xmlns="2f9a5c0b-2c7e-4d5f-be45-5778110944b3">Final</Review_x0020_Level>
    <DetailedDocumentType xmlns="2f9a5c0b-2c7e-4d5f-be45-5778110944b3">
      <Value>OMB</Value>
    </DetailedDocumentType>
    <DocumentType0 xmlns="2f9a5c0b-2c7e-4d5f-be45-5778110944b3">Data Collection &amp; Acquisition</DocumentType0>
    <Sub_x0020_Team xmlns="2f9a5c0b-2c7e-4d5f-be45-5778110944b3"/>
    <Site0 xmlns="2f9a5c0b-2c7e-4d5f-be45-5778110944b3">
      <Value>12</Value>
    </Site0>
    <Team xmlns="f23c63e7-3264-4fa0-bbac-fd47573de8ba">
      <Value>Data</Value>
      <Value>Operations</Value>
    </Team>
    <Presentation_x0020_Documents xmlns="2f9a5c0b-2c7e-4d5f-be45-5778110944b3">false</Presentation_x0020_Documents>
    <Data_x0020_Type xmlns="2f9a5c0b-2c7e-4d5f-be45-5778110944b3"/>
    <Product xmlns="2f9a5c0b-2c7e-4d5f-be45-5778110944b3"/>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5FFD191111A814C9C4C0DA6291C759C" ma:contentTypeVersion="35" ma:contentTypeDescription="MDRC Project Documents - includes metadata - Document Type, Site, Team" ma:contentTypeScope="" ma:versionID="d2bc5bb5e6a03e08ccc8d05ed0fc4206">
  <xsd:schema xmlns:xsd="http://www.w3.org/2001/XMLSchema" xmlns:p="http://schemas.microsoft.com/office/2006/metadata/properties" xmlns:ns2="2f9a5c0b-2c7e-4d5f-be45-5778110944b3" xmlns:ns3="f23c63e7-3264-4fa0-bbac-fd47573de8ba" targetNamespace="http://schemas.microsoft.com/office/2006/metadata/properties" ma:root="true" ma:fieldsID="27010d569ed4d1ec540dbba8c3401f2d" ns2:_="" ns3:_="">
    <xsd:import namespace="2f9a5c0b-2c7e-4d5f-be45-5778110944b3"/>
    <xsd:import namespace="f23c63e7-3264-4fa0-bbac-fd47573de8ba"/>
    <xsd:element name="properties">
      <xsd:complexType>
        <xsd:sequence>
          <xsd:element name="documentManagement">
            <xsd:complexType>
              <xsd:all>
                <xsd:element ref="ns2:DocumentType0"/>
                <xsd:element ref="ns2:DetailedDocumentType" minOccurs="0"/>
                <xsd:element ref="ns3:Team" minOccurs="0"/>
                <xsd:element ref="ns2:Sub_x0020_Team" minOccurs="0"/>
                <xsd:element ref="ns2:Data_x0020_Type" minOccurs="0"/>
                <xsd:element ref="ns2:Review_x0020_Level"/>
                <xsd:element ref="ns2:Presentation_x0020_Documents" minOccurs="0"/>
                <xsd:element ref="ns2:Site0" minOccurs="0"/>
                <xsd:element ref="ns2:Product" minOccurs="0"/>
              </xsd:all>
            </xsd:complexType>
          </xsd:element>
        </xsd:sequence>
      </xsd:complexType>
    </xsd:element>
  </xsd:schema>
  <xsd:schema xmlns:xsd="http://www.w3.org/2001/XMLSchema" xmlns:dms="http://schemas.microsoft.com/office/2006/documentManagement/types" targetNamespace="2f9a5c0b-2c7e-4d5f-be45-5778110944b3" elementFormDefault="qualified">
    <xsd:import namespace="http://schemas.microsoft.com/office/2006/documentManagement/types"/>
    <xsd:element name="DocumentType0" ma:index="2" ma:displayName="Document Type" ma:format="Dropdown" ma:internalName="DocumentType0">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DetailedDocumentType" ma:index="3" nillable="true" ma:displayName="Detailed Doc Type" ma:internalName="DetailedDocumentType" ma:requiredMultiChoice="true">
      <xsd:complexType>
        <xsd:complexContent>
          <xsd:extension base="dms:MultiChoice">
            <xsd:sequence>
              <xsd:element name="Value" maxOccurs="unbounded" minOccurs="0" nillable="true">
                <xsd:simpleType>
                  <xsd:restriction base="dms:Choice">
                    <xsd:enumeration value="Aggregate Data"/>
                    <xsd:enumeration value="Analysis Planning"/>
                    <xsd:enumeration value="Codebooks"/>
                    <xsd:enumeration value="Consent Forms"/>
                    <xsd:enumeration value="Conference Presentation"/>
                    <xsd:enumeration value="Data Documentation"/>
                    <xsd:enumeration value="Data Management Memos"/>
                    <xsd:enumeration value="Data Requests"/>
                    <xsd:enumeration value="Data Sharing Agreement"/>
                    <xsd:enumeration value="Figures"/>
                    <xsd:enumeration value="Interviews"/>
                    <xsd:enumeration value="IRB Documents"/>
                    <xsd:enumeration value="Literature Review / Prior Studies"/>
                    <xsd:enumeration value="Manual / Guidance Material"/>
                    <xsd:enumeration value="Meeting Materials"/>
                    <xsd:enumeration value="Meeting Notes Internal"/>
                    <xsd:enumeration value="Meeting Notes External"/>
                    <xsd:enumeration value="Monthly Reports"/>
                    <xsd:enumeration value="N/A"/>
                    <xsd:enumeration value="OMB"/>
                    <xsd:enumeration value="Oral Briefings"/>
                    <xsd:enumeration value="Other Presentations"/>
                    <xsd:enumeration value="Other Project Updates"/>
                    <xsd:enumeration value="Policy Briefs"/>
                    <xsd:enumeration value="Project Description"/>
                    <xsd:enumeration value="Proposal"/>
                    <xsd:enumeration value="Protocols"/>
                    <xsd:enumeration value="QC Memos"/>
                    <xsd:enumeration value="Recruitment &amp; Outreach"/>
                    <xsd:enumeration value="Report"/>
                    <xsd:enumeration value="Schedule"/>
                    <xsd:enumeration value="Site communication"/>
                    <xsd:enumeration value="Site MOU"/>
                    <xsd:enumeration value="Site Summary"/>
                    <xsd:enumeration value="Site Visit Notes"/>
                    <xsd:enumeration value="Survey Instruments"/>
                    <xsd:enumeration value="Tables"/>
                  </xsd:restriction>
                </xsd:simpleType>
              </xsd:element>
            </xsd:sequence>
          </xsd:extension>
        </xsd:complexContent>
      </xsd:complexType>
    </xsd:element>
    <xsd:element name="Sub_x0020_Team" ma:index="11" nillable="true" ma:displayName="Sub Team" ma:internalName="Sub_x0020_Team">
      <xsd:complexType>
        <xsd:complexContent>
          <xsd:extension base="dms:MultiChoice">
            <xsd:sequence>
              <xsd:element name="Value" maxOccurs="unbounded" minOccurs="0" nillable="true">
                <xsd:simpleType>
                  <xsd:restriction base="dms:Choice">
                    <xsd:enumeration value="Administrative Needs"/>
                    <xsd:enumeration value="Budget"/>
                    <xsd:enumeration value="Data Security"/>
                    <xsd:enumeration value="Early Assessment/ Pilot"/>
                    <xsd:enumeration value="Feasibility"/>
                    <xsd:enumeration value="Measurement"/>
                    <xsd:enumeration value="MIS"/>
                    <xsd:enumeration value="PUF"/>
                    <xsd:enumeration value="RA Start- Up/ Measurement"/>
                    <xsd:enumeration value="Recruitment/Site Selection"/>
                    <xsd:enumeration value="Survey"/>
                    <xsd:enumeration value="Technical Assistance"/>
                  </xsd:restriction>
                </xsd:simpleType>
              </xsd:element>
            </xsd:sequence>
          </xsd:extension>
        </xsd:complexContent>
      </xsd:complexType>
    </xsd:element>
    <xsd:element name="Data_x0020_Type" ma:index="12" nillable="true" ma:displayName="Data Type" ma:internalName="Data_x0020_Type">
      <xsd:complexType>
        <xsd:complexContent>
          <xsd:extension base="dms:MultiChoice">
            <xsd:sequence>
              <xsd:element name="Value" maxOccurs="unbounded" minOccurs="0" nillable="true">
                <xsd:simpleType>
                  <xsd:restriction base="dms:Choice">
                    <xsd:enumeration value="Baseline"/>
                    <xsd:enumeration value="Cost"/>
                    <xsd:enumeration value="Food Stamps"/>
                    <xsd:enumeration value="Housing"/>
                    <xsd:enumeration value="MIS"/>
                    <xsd:enumeration value="Net Income"/>
                    <xsd:enumeration value="Sample"/>
                    <xsd:enumeration value="Survey"/>
                    <xsd:enumeration value="TANF"/>
                    <xsd:enumeration value="UI/New Hires"/>
                    <xsd:enumeration value="N/A"/>
                  </xsd:restriction>
                </xsd:simpleType>
              </xsd:element>
            </xsd:sequence>
          </xsd:extension>
        </xsd:complexContent>
      </xsd:complexType>
    </xsd:element>
    <xsd:element name="Review_x0020_Level" ma:index="13" ma:displayName="Review Level" ma:default="Final" ma:format="RadioButtons" ma:internalName="Review_x0020_Level">
      <xsd:simpleType>
        <xsd:restriction base="dms:Choice">
          <xsd:enumeration value="Draft"/>
          <xsd:enumeration value="Not Reviewed"/>
          <xsd:enumeration value="Basic Review"/>
          <xsd:enumeration value="In-Depth Review"/>
          <xsd:enumeration value="Final"/>
        </xsd:restriction>
      </xsd:simpleType>
    </xsd:element>
    <xsd:element name="Presentation_x0020_Documents" ma:index="14" nillable="true" ma:displayName="Presentation Documents" ma:default="0" ma:internalName="Presentation_x0020_Documents">
      <xsd:simpleType>
        <xsd:restriction base="dms:Boolean"/>
      </xsd:simpleType>
    </xsd:element>
    <xsd:element name="Site0" ma:index="15" nillable="true" ma:displayName="Site" ma:list="{767dedb6-1dfe-4cb4-b6b9-af059c86930a}" ma:internalName="Site0" ma:showField="Title">
      <xsd:complexType>
        <xsd:complexContent>
          <xsd:extension base="dms:MultiChoiceLookup">
            <xsd:sequence>
              <xsd:element name="Value" type="dms:Lookup" maxOccurs="unbounded" minOccurs="0" nillable="true"/>
            </xsd:sequence>
          </xsd:extension>
        </xsd:complexContent>
      </xsd:complexType>
    </xsd:element>
    <xsd:element name="Product" ma:index="16" nillable="true" ma:displayName="Product" ma:description="Name of product, paper, or submission document with which the file is associated (e.g., a table that was used in Research Design Paper)" ma:internalName="Product">
      <xsd:complexType>
        <xsd:complexContent>
          <xsd:extension base="dms:MultiChoice">
            <xsd:sequence>
              <xsd:element name="Value" maxOccurs="unbounded" minOccurs="0" nillable="true">
                <xsd:simpleType>
                  <xsd:restriction base="dms:Choice">
                    <xsd:enumeration value="AAPAM Paper"/>
                    <xsd:enumeration value="OMB Clearance Packet"/>
                    <xsd:enumeration value="Operations Manual"/>
                    <xsd:enumeration value="Research Design Paper"/>
                    <xsd:enumeration value="Research Procedures Manual"/>
                  </xsd:restriction>
                </xsd:simpleType>
              </xsd:element>
            </xsd:sequence>
          </xsd:extension>
        </xsd:complexContent>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790FB-4160-4024-AE1D-24F14B744C90}">
  <ds:schemaRefs>
    <ds:schemaRef ds:uri="http://schemas.microsoft.com/sharepoint/v3/contenttype/forms"/>
  </ds:schemaRefs>
</ds:datastoreItem>
</file>

<file path=customXml/itemProps2.xml><?xml version="1.0" encoding="utf-8"?>
<ds:datastoreItem xmlns:ds="http://schemas.openxmlformats.org/officeDocument/2006/customXml" ds:itemID="{EAC5B160-8233-4D33-979F-E512AB56656D}">
  <ds:schemaRefs>
    <ds:schemaRef ds:uri="http://schemas.microsoft.com/office/2006/documentManagement/types"/>
    <ds:schemaRef ds:uri="http://schemas.openxmlformats.org/package/2006/metadata/core-properties"/>
    <ds:schemaRef ds:uri="http://purl.org/dc/elements/1.1/"/>
    <ds:schemaRef ds:uri="f23c63e7-3264-4fa0-bbac-fd47573de8ba"/>
    <ds:schemaRef ds:uri="http://schemas.microsoft.com/office/2006/metadata/properties"/>
    <ds:schemaRef ds:uri="2f9a5c0b-2c7e-4d5f-be45-5778110944b3"/>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28A7632-80A1-4568-9A7B-AA612BA2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5c0b-2c7e-4d5f-be45-5778110944b3"/>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6B7ACC-AB04-44AF-A492-06E127B8C60F}">
  <ds:schemaRefs>
    <ds:schemaRef ds:uri="http://schemas.microsoft.com/office/2006/metadata/longProperties"/>
  </ds:schemaRefs>
</ds:datastoreItem>
</file>

<file path=customXml/itemProps5.xml><?xml version="1.0" encoding="utf-8"?>
<ds:datastoreItem xmlns:ds="http://schemas.openxmlformats.org/officeDocument/2006/customXml" ds:itemID="{FA14D702-9100-471D-9211-522523EB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7397</Words>
  <Characters>42165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OMB Package Part A</vt:lpstr>
    </vt:vector>
  </TitlesOfParts>
  <Company>MDRC</Company>
  <LinksUpToDate>false</LinksUpToDate>
  <CharactersWithSpaces>49464</CharactersWithSpaces>
  <SharedDoc>false</SharedDoc>
  <HLinks>
    <vt:vector size="18" baseType="variant">
      <vt:variant>
        <vt:i4>7340045</vt:i4>
      </vt:variant>
      <vt:variant>
        <vt:i4>6</vt:i4>
      </vt:variant>
      <vt:variant>
        <vt:i4>0</vt:i4>
      </vt:variant>
      <vt:variant>
        <vt:i4>5</vt:i4>
      </vt:variant>
      <vt:variant>
        <vt:lpwstr>http://www.bls.gov/oes/current/oes_stru.htm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7077902</vt:i4>
      </vt:variant>
      <vt:variant>
        <vt:i4>0</vt:i4>
      </vt:variant>
      <vt:variant>
        <vt:i4>0</vt:i4>
      </vt:variant>
      <vt:variant>
        <vt:i4>5</vt:i4>
      </vt:variant>
      <vt:variant>
        <vt:lpwstr>http://hud.gov/offices/cfo/reports/2011/cjs/Research_and_Technology_2011.pdf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A</dc:title>
  <dc:creator>nunez</dc:creator>
  <cp:lastModifiedBy>SYSTEM</cp:lastModifiedBy>
  <cp:revision>2</cp:revision>
  <cp:lastPrinted>2018-08-28T14:55:00Z</cp:lastPrinted>
  <dcterms:created xsi:type="dcterms:W3CDTF">2018-08-30T18:02:00Z</dcterms:created>
  <dcterms:modified xsi:type="dcterms:W3CDTF">2018-08-30T18:02:00Z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MDRC Project Documents</vt:lpwstr>
  </property>
  <property fmtid="{D5CDD505-2E9C-101B-9397-08002B2CF9AE}" pid="4" name="Subject">
    <vt:lpwstr/>
  </property>
  <property fmtid="{D5CDD505-2E9C-101B-9397-08002B2CF9AE}" pid="5" name="Keywords">
    <vt:lpwstr/>
  </property>
  <property fmtid="{D5CDD505-2E9C-101B-9397-08002B2CF9AE}" pid="6" name="_Author">
    <vt:lpwstr>nunez</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