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A3" w:rsidRDefault="000554A3" w:rsidP="00542556">
      <w:pPr>
        <w:widowControl w:val="0"/>
        <w:suppressAutoHyphens/>
        <w:spacing w:line="240" w:lineRule="auto"/>
        <w:ind w:firstLine="0"/>
        <w:jc w:val="left"/>
        <w:rPr>
          <w:rFonts w:ascii="Arial" w:hAnsi="Arial" w:cs="Arial"/>
          <w:b/>
          <w:bCs/>
        </w:rPr>
      </w:pPr>
    </w:p>
    <w:p w:rsidR="000554A3" w:rsidRDefault="000554A3" w:rsidP="000554A3">
      <w:pPr>
        <w:tabs>
          <w:tab w:val="clear" w:pos="432"/>
        </w:tabs>
        <w:ind w:firstLine="0"/>
        <w:jc w:val="center"/>
        <w:rPr>
          <w:rFonts w:ascii="Arial" w:hAnsi="Arial" w:cs="Arial"/>
          <w:b/>
          <w:sz w:val="36"/>
          <w:szCs w:val="36"/>
        </w:rPr>
      </w:pPr>
    </w:p>
    <w:p w:rsidR="00043B2F" w:rsidRPr="000554A3" w:rsidRDefault="007D58BF" w:rsidP="000554A3">
      <w:pPr>
        <w:tabs>
          <w:tab w:val="clear" w:pos="432"/>
        </w:tabs>
        <w:ind w:firstLine="0"/>
        <w:jc w:val="center"/>
        <w:rPr>
          <w:rFonts w:ascii="Arial" w:hAnsi="Arial" w:cs="Arial"/>
          <w:b/>
          <w:sz w:val="36"/>
          <w:szCs w:val="36"/>
        </w:rPr>
      </w:pPr>
      <w:r>
        <w:rPr>
          <w:rFonts w:ascii="Arial" w:hAnsi="Arial" w:cs="Arial"/>
          <w:b/>
          <w:sz w:val="36"/>
          <w:szCs w:val="36"/>
        </w:rPr>
        <w:t xml:space="preserve">THE RENT REFORM DEMONSTRATION </w:t>
      </w:r>
    </w:p>
    <w:p w:rsidR="000554A3" w:rsidRDefault="000554A3" w:rsidP="000554A3">
      <w:pPr>
        <w:widowControl w:val="0"/>
        <w:tabs>
          <w:tab w:val="clear" w:pos="432"/>
        </w:tabs>
        <w:suppressAutoHyphens/>
        <w:spacing w:line="240" w:lineRule="auto"/>
        <w:ind w:firstLine="0"/>
        <w:jc w:val="left"/>
        <w:rPr>
          <w:rFonts w:ascii="Arial" w:hAnsi="Arial" w:cs="Arial"/>
          <w:b/>
          <w:sz w:val="28"/>
          <w:szCs w:val="28"/>
        </w:rPr>
      </w:pPr>
    </w:p>
    <w:p w:rsidR="000554A3" w:rsidRDefault="000554A3" w:rsidP="000554A3">
      <w:pPr>
        <w:widowControl w:val="0"/>
        <w:tabs>
          <w:tab w:val="clear" w:pos="432"/>
        </w:tabs>
        <w:suppressAutoHyphens/>
        <w:spacing w:line="240" w:lineRule="auto"/>
        <w:ind w:firstLine="0"/>
        <w:jc w:val="left"/>
        <w:rPr>
          <w:rFonts w:ascii="Arial" w:hAnsi="Arial" w:cs="Arial"/>
          <w:b/>
          <w:sz w:val="28"/>
          <w:szCs w:val="28"/>
        </w:rPr>
      </w:pPr>
    </w:p>
    <w:p w:rsidR="000554A3" w:rsidRPr="000554A3" w:rsidRDefault="000554A3" w:rsidP="000554A3">
      <w:pPr>
        <w:widowControl w:val="0"/>
        <w:tabs>
          <w:tab w:val="clear" w:pos="432"/>
        </w:tabs>
        <w:suppressAutoHyphens/>
        <w:spacing w:line="240" w:lineRule="auto"/>
        <w:ind w:firstLine="0"/>
        <w:jc w:val="left"/>
        <w:rPr>
          <w:rFonts w:ascii="Arial" w:hAnsi="Arial" w:cs="Arial"/>
          <w:b/>
          <w:sz w:val="28"/>
          <w:szCs w:val="28"/>
        </w:rPr>
      </w:pPr>
    </w:p>
    <w:p w:rsidR="000554A3" w:rsidRPr="000554A3" w:rsidRDefault="000554A3" w:rsidP="000554A3">
      <w:pPr>
        <w:widowControl w:val="0"/>
        <w:tabs>
          <w:tab w:val="clear" w:pos="432"/>
        </w:tabs>
        <w:suppressAutoHyphens/>
        <w:spacing w:line="240" w:lineRule="auto"/>
        <w:ind w:firstLine="0"/>
        <w:jc w:val="left"/>
        <w:rPr>
          <w:rFonts w:ascii="Arial" w:hAnsi="Arial" w:cs="Arial"/>
          <w:b/>
          <w:sz w:val="28"/>
          <w:szCs w:val="28"/>
        </w:rPr>
      </w:pPr>
    </w:p>
    <w:p w:rsidR="000554A3" w:rsidRPr="000554A3" w:rsidRDefault="000554A3" w:rsidP="000554A3">
      <w:pPr>
        <w:widowControl w:val="0"/>
        <w:tabs>
          <w:tab w:val="clear" w:pos="432"/>
        </w:tabs>
        <w:suppressAutoHyphens/>
        <w:spacing w:line="240" w:lineRule="auto"/>
        <w:ind w:firstLine="0"/>
        <w:jc w:val="left"/>
        <w:rPr>
          <w:rFonts w:ascii="Arial" w:hAnsi="Arial" w:cs="Arial"/>
          <w:b/>
          <w:sz w:val="28"/>
          <w:szCs w:val="28"/>
        </w:rPr>
      </w:pPr>
    </w:p>
    <w:p w:rsidR="000554A3" w:rsidRPr="000554A3" w:rsidRDefault="000554A3" w:rsidP="000554A3">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sz w:val="28"/>
          <w:szCs w:val="28"/>
        </w:rPr>
        <w:tab/>
      </w:r>
      <w:r w:rsidRPr="000554A3">
        <w:rPr>
          <w:rFonts w:ascii="Arial" w:hAnsi="Arial" w:cs="Arial"/>
          <w:b/>
          <w:bCs/>
          <w:sz w:val="28"/>
          <w:szCs w:val="28"/>
        </w:rPr>
        <w:t xml:space="preserve">SUPPORTING STATEMENT </w:t>
      </w:r>
      <w:r>
        <w:rPr>
          <w:rFonts w:ascii="Arial" w:hAnsi="Arial" w:cs="Arial"/>
          <w:b/>
          <w:bCs/>
          <w:sz w:val="28"/>
          <w:szCs w:val="28"/>
        </w:rPr>
        <w:t xml:space="preserve">– </w:t>
      </w:r>
      <w:r w:rsidRPr="000554A3">
        <w:rPr>
          <w:rFonts w:ascii="Arial" w:hAnsi="Arial" w:cs="Arial"/>
          <w:b/>
          <w:bCs/>
          <w:sz w:val="28"/>
          <w:szCs w:val="28"/>
        </w:rPr>
        <w:t>PART A</w:t>
      </w:r>
    </w:p>
    <w:p w:rsidR="000554A3" w:rsidRPr="000554A3" w:rsidRDefault="000554A3" w:rsidP="000554A3">
      <w:pPr>
        <w:widowControl w:val="0"/>
        <w:tabs>
          <w:tab w:val="clear" w:pos="432"/>
        </w:tabs>
        <w:suppressAutoHyphens/>
        <w:spacing w:line="240" w:lineRule="auto"/>
        <w:ind w:firstLine="0"/>
        <w:jc w:val="center"/>
        <w:rPr>
          <w:rFonts w:ascii="Arial" w:hAnsi="Arial" w:cs="Arial"/>
          <w:b/>
          <w:bCs/>
          <w:sz w:val="28"/>
          <w:szCs w:val="28"/>
        </w:rPr>
      </w:pPr>
    </w:p>
    <w:p w:rsidR="000554A3" w:rsidRDefault="000554A3" w:rsidP="000554A3">
      <w:pPr>
        <w:widowControl w:val="0"/>
        <w:tabs>
          <w:tab w:val="clear" w:pos="432"/>
        </w:tabs>
        <w:suppressAutoHyphens/>
        <w:spacing w:line="240" w:lineRule="auto"/>
        <w:ind w:firstLine="0"/>
        <w:jc w:val="center"/>
        <w:rPr>
          <w:rFonts w:ascii="Arial" w:hAnsi="Arial" w:cs="Arial"/>
          <w:b/>
          <w:bCs/>
          <w:sz w:val="28"/>
          <w:szCs w:val="28"/>
        </w:rPr>
      </w:pPr>
    </w:p>
    <w:p w:rsidR="000554A3" w:rsidRDefault="000554A3" w:rsidP="000554A3">
      <w:pPr>
        <w:widowControl w:val="0"/>
        <w:tabs>
          <w:tab w:val="clear" w:pos="432"/>
        </w:tabs>
        <w:suppressAutoHyphens/>
        <w:spacing w:line="240" w:lineRule="auto"/>
        <w:ind w:firstLine="0"/>
        <w:jc w:val="center"/>
        <w:rPr>
          <w:rFonts w:ascii="Arial" w:hAnsi="Arial" w:cs="Arial"/>
          <w:b/>
          <w:bCs/>
          <w:sz w:val="28"/>
          <w:szCs w:val="28"/>
        </w:rPr>
      </w:pPr>
    </w:p>
    <w:p w:rsidR="00FF64E4" w:rsidRDefault="000554A3" w:rsidP="000554A3">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OMB CLEARANCE PACKAGE</w:t>
      </w:r>
    </w:p>
    <w:p w:rsidR="00FF64E4" w:rsidRDefault="00FF64E4" w:rsidP="000554A3">
      <w:pPr>
        <w:widowControl w:val="0"/>
        <w:tabs>
          <w:tab w:val="clear" w:pos="432"/>
        </w:tabs>
        <w:suppressAutoHyphens/>
        <w:spacing w:line="240" w:lineRule="auto"/>
        <w:ind w:firstLine="0"/>
        <w:jc w:val="center"/>
        <w:rPr>
          <w:rFonts w:ascii="Arial" w:hAnsi="Arial" w:cs="Arial"/>
          <w:b/>
          <w:bCs/>
          <w:sz w:val="28"/>
          <w:szCs w:val="28"/>
        </w:rPr>
      </w:pPr>
    </w:p>
    <w:p w:rsidR="001B50CB" w:rsidRDefault="00FF64E4" w:rsidP="000554A3">
      <w:pPr>
        <w:widowControl w:val="0"/>
        <w:tabs>
          <w:tab w:val="clear" w:pos="432"/>
        </w:tabs>
        <w:suppressAutoHyphens/>
        <w:spacing w:line="240" w:lineRule="auto"/>
        <w:ind w:firstLine="0"/>
        <w:jc w:val="center"/>
        <w:rPr>
          <w:rFonts w:ascii="Arial" w:hAnsi="Arial" w:cs="Arial"/>
          <w:b/>
          <w:bCs/>
          <w:sz w:val="28"/>
          <w:szCs w:val="28"/>
        </w:rPr>
      </w:pPr>
      <w:r>
        <w:rPr>
          <w:rFonts w:ascii="Arial" w:hAnsi="Arial" w:cs="Arial"/>
          <w:b/>
          <w:bCs/>
          <w:sz w:val="28"/>
          <w:szCs w:val="28"/>
        </w:rPr>
        <w:t>TASK ORDER 2</w:t>
      </w:r>
    </w:p>
    <w:p w:rsidR="001B50CB" w:rsidRDefault="001B50CB" w:rsidP="000554A3">
      <w:pPr>
        <w:widowControl w:val="0"/>
        <w:tabs>
          <w:tab w:val="clear" w:pos="432"/>
        </w:tabs>
        <w:suppressAutoHyphens/>
        <w:spacing w:line="240" w:lineRule="auto"/>
        <w:ind w:firstLine="0"/>
        <w:jc w:val="center"/>
        <w:rPr>
          <w:rFonts w:ascii="Arial" w:hAnsi="Arial" w:cs="Arial"/>
          <w:b/>
          <w:bCs/>
          <w:sz w:val="28"/>
          <w:szCs w:val="28"/>
        </w:rPr>
      </w:pPr>
    </w:p>
    <w:p w:rsidR="000554A3" w:rsidRPr="000554A3" w:rsidRDefault="000554A3" w:rsidP="000554A3">
      <w:pPr>
        <w:widowControl w:val="0"/>
        <w:suppressAutoHyphens/>
        <w:spacing w:line="240" w:lineRule="auto"/>
        <w:ind w:firstLine="0"/>
        <w:jc w:val="center"/>
        <w:rPr>
          <w:rFonts w:ascii="Arial" w:hAnsi="Arial" w:cs="Arial"/>
          <w:b/>
          <w:bCs/>
          <w:sz w:val="28"/>
          <w:szCs w:val="28"/>
        </w:rPr>
      </w:pPr>
    </w:p>
    <w:p w:rsidR="000554A3" w:rsidRPr="000554A3" w:rsidRDefault="000554A3" w:rsidP="000554A3">
      <w:pPr>
        <w:widowControl w:val="0"/>
        <w:tabs>
          <w:tab w:val="clear" w:pos="432"/>
        </w:tabs>
        <w:suppressAutoHyphens/>
        <w:spacing w:line="240" w:lineRule="auto"/>
        <w:ind w:firstLine="0"/>
        <w:jc w:val="center"/>
        <w:rPr>
          <w:rFonts w:ascii="Arial" w:hAnsi="Arial" w:cs="Arial"/>
          <w:b/>
          <w:bCs/>
          <w:sz w:val="28"/>
          <w:szCs w:val="28"/>
        </w:rPr>
      </w:pPr>
    </w:p>
    <w:p w:rsidR="000554A3" w:rsidRDefault="000554A3" w:rsidP="000554A3">
      <w:pPr>
        <w:widowControl w:val="0"/>
        <w:suppressAutoHyphens/>
        <w:spacing w:line="240" w:lineRule="auto"/>
        <w:ind w:firstLine="0"/>
        <w:jc w:val="center"/>
        <w:rPr>
          <w:rFonts w:ascii="Arial" w:hAnsi="Arial" w:cs="Arial"/>
          <w:b/>
          <w:bCs/>
          <w:sz w:val="28"/>
          <w:szCs w:val="28"/>
        </w:rPr>
      </w:pPr>
    </w:p>
    <w:p w:rsidR="0094164C" w:rsidRDefault="0094164C" w:rsidP="000554A3">
      <w:pPr>
        <w:widowControl w:val="0"/>
        <w:suppressAutoHyphens/>
        <w:spacing w:line="240" w:lineRule="auto"/>
        <w:ind w:firstLine="0"/>
        <w:jc w:val="center"/>
        <w:rPr>
          <w:rFonts w:ascii="Arial" w:hAnsi="Arial" w:cs="Arial"/>
          <w:b/>
          <w:bCs/>
          <w:sz w:val="28"/>
          <w:szCs w:val="28"/>
        </w:rPr>
      </w:pPr>
    </w:p>
    <w:p w:rsidR="000554A3" w:rsidRPr="000554A3" w:rsidRDefault="00D902CA" w:rsidP="000554A3">
      <w:pPr>
        <w:widowControl w:val="0"/>
        <w:suppressAutoHyphens/>
        <w:spacing w:line="240" w:lineRule="auto"/>
        <w:ind w:firstLine="0"/>
        <w:jc w:val="center"/>
        <w:rPr>
          <w:rFonts w:ascii="Arial" w:hAnsi="Arial" w:cs="Arial"/>
          <w:b/>
          <w:bCs/>
          <w:sz w:val="28"/>
          <w:szCs w:val="28"/>
        </w:rPr>
      </w:pPr>
      <w:r>
        <w:rPr>
          <w:rFonts w:ascii="Arial" w:hAnsi="Arial" w:cs="Arial"/>
          <w:b/>
          <w:bCs/>
          <w:sz w:val="28"/>
          <w:szCs w:val="28"/>
        </w:rPr>
        <w:t xml:space="preserve">June </w:t>
      </w:r>
      <w:r w:rsidR="00B528F3">
        <w:rPr>
          <w:rFonts w:ascii="Arial" w:hAnsi="Arial" w:cs="Arial"/>
          <w:b/>
          <w:bCs/>
          <w:sz w:val="28"/>
          <w:szCs w:val="28"/>
        </w:rPr>
        <w:t>22</w:t>
      </w:r>
      <w:r w:rsidR="00A36CA4">
        <w:rPr>
          <w:rFonts w:ascii="Arial" w:hAnsi="Arial" w:cs="Arial"/>
          <w:b/>
          <w:bCs/>
          <w:sz w:val="28"/>
          <w:szCs w:val="28"/>
        </w:rPr>
        <w:t>, 2015</w:t>
      </w:r>
    </w:p>
    <w:p w:rsidR="000554A3" w:rsidRPr="000554A3" w:rsidRDefault="000554A3" w:rsidP="000554A3">
      <w:pPr>
        <w:widowControl w:val="0"/>
        <w:suppressAutoHyphens/>
        <w:spacing w:line="240" w:lineRule="auto"/>
        <w:ind w:firstLine="0"/>
        <w:jc w:val="center"/>
        <w:rPr>
          <w:rFonts w:ascii="Arial" w:hAnsi="Arial" w:cs="Arial"/>
          <w:b/>
          <w:bCs/>
          <w:sz w:val="28"/>
          <w:szCs w:val="28"/>
        </w:rPr>
      </w:pPr>
    </w:p>
    <w:p w:rsidR="000554A3" w:rsidRPr="000554A3" w:rsidRDefault="000554A3" w:rsidP="000554A3">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 xml:space="preserve">Submitted to: </w:t>
      </w:r>
    </w:p>
    <w:p w:rsidR="000554A3" w:rsidRPr="000554A3" w:rsidRDefault="000554A3" w:rsidP="000554A3">
      <w:pPr>
        <w:widowControl w:val="0"/>
        <w:suppressAutoHyphens/>
        <w:spacing w:line="240" w:lineRule="auto"/>
        <w:ind w:firstLine="0"/>
        <w:jc w:val="center"/>
        <w:rPr>
          <w:rFonts w:ascii="Arial" w:hAnsi="Arial" w:cs="Arial"/>
          <w:b/>
          <w:bCs/>
          <w:sz w:val="28"/>
          <w:szCs w:val="28"/>
        </w:rPr>
      </w:pPr>
    </w:p>
    <w:p w:rsidR="000554A3" w:rsidRPr="000554A3" w:rsidRDefault="000554A3" w:rsidP="000554A3">
      <w:pPr>
        <w:widowControl w:val="0"/>
        <w:suppressAutoHyphens/>
        <w:spacing w:line="240" w:lineRule="auto"/>
        <w:ind w:firstLine="0"/>
        <w:jc w:val="center"/>
        <w:rPr>
          <w:rFonts w:ascii="Arial" w:hAnsi="Arial" w:cs="Arial"/>
          <w:b/>
          <w:bCs/>
          <w:sz w:val="28"/>
          <w:szCs w:val="28"/>
        </w:rPr>
      </w:pPr>
    </w:p>
    <w:p w:rsidR="000554A3" w:rsidRPr="000554A3" w:rsidRDefault="000554A3" w:rsidP="000554A3">
      <w:pPr>
        <w:widowControl w:val="0"/>
        <w:tabs>
          <w:tab w:val="clear" w:pos="432"/>
          <w:tab w:val="left" w:pos="2505"/>
        </w:tabs>
        <w:suppressAutoHyphens/>
        <w:spacing w:line="240" w:lineRule="auto"/>
        <w:ind w:firstLine="0"/>
        <w:jc w:val="left"/>
        <w:rPr>
          <w:rFonts w:ascii="Arial" w:hAnsi="Arial" w:cs="Arial"/>
          <w:b/>
          <w:sz w:val="28"/>
          <w:szCs w:val="28"/>
        </w:rPr>
      </w:pPr>
    </w:p>
    <w:p w:rsidR="000554A3" w:rsidRDefault="000554A3" w:rsidP="000554A3">
      <w:pPr>
        <w:widowControl w:val="0"/>
        <w:tabs>
          <w:tab w:val="clear" w:pos="432"/>
        </w:tabs>
        <w:suppressAutoHyphens/>
        <w:spacing w:line="240" w:lineRule="auto"/>
        <w:ind w:firstLine="0"/>
        <w:jc w:val="center"/>
        <w:rPr>
          <w:rFonts w:ascii="Arial" w:hAnsi="Arial" w:cs="Arial"/>
          <w:b/>
          <w:sz w:val="28"/>
          <w:szCs w:val="28"/>
        </w:rPr>
      </w:pPr>
      <w:r w:rsidRPr="000554A3">
        <w:rPr>
          <w:rFonts w:ascii="Arial" w:hAnsi="Arial" w:cs="Arial"/>
          <w:b/>
          <w:sz w:val="28"/>
          <w:szCs w:val="28"/>
          <w:lang w:val="yo-NG"/>
        </w:rPr>
        <w:t xml:space="preserve">U.S. </w:t>
      </w:r>
      <w:r w:rsidRPr="000554A3">
        <w:rPr>
          <w:rFonts w:ascii="Arial" w:hAnsi="Arial" w:cs="Arial"/>
          <w:b/>
          <w:sz w:val="28"/>
          <w:szCs w:val="28"/>
        </w:rPr>
        <w:t>Department of Housing and Urban Development</w:t>
      </w:r>
    </w:p>
    <w:p w:rsidR="000554A3" w:rsidRDefault="000554A3" w:rsidP="000554A3">
      <w:pPr>
        <w:widowControl w:val="0"/>
        <w:tabs>
          <w:tab w:val="clear" w:pos="432"/>
        </w:tabs>
        <w:suppressAutoHyphens/>
        <w:spacing w:line="240" w:lineRule="auto"/>
        <w:ind w:firstLine="0"/>
        <w:jc w:val="center"/>
        <w:rPr>
          <w:rFonts w:ascii="Arial" w:hAnsi="Arial" w:cs="Arial"/>
          <w:b/>
          <w:sz w:val="28"/>
          <w:szCs w:val="28"/>
        </w:rPr>
      </w:pPr>
    </w:p>
    <w:p w:rsidR="006C5A60" w:rsidRDefault="006C5A60" w:rsidP="000554A3">
      <w:pPr>
        <w:widowControl w:val="0"/>
        <w:tabs>
          <w:tab w:val="clear" w:pos="432"/>
        </w:tabs>
        <w:suppressAutoHyphens/>
        <w:spacing w:line="240" w:lineRule="auto"/>
        <w:ind w:firstLine="0"/>
        <w:jc w:val="left"/>
        <w:rPr>
          <w:rFonts w:ascii="Times New Roman" w:hAnsi="Times New Roman"/>
        </w:rPr>
      </w:pPr>
    </w:p>
    <w:p w:rsidR="00A42C1E" w:rsidRDefault="00A42C1E" w:rsidP="000554A3">
      <w:pPr>
        <w:widowControl w:val="0"/>
        <w:tabs>
          <w:tab w:val="clear" w:pos="432"/>
        </w:tabs>
        <w:suppressAutoHyphens/>
        <w:spacing w:line="240" w:lineRule="auto"/>
        <w:ind w:firstLine="0"/>
        <w:jc w:val="left"/>
        <w:rPr>
          <w:rFonts w:ascii="Times New Roman" w:hAnsi="Times New Roman"/>
        </w:rPr>
      </w:pPr>
    </w:p>
    <w:p w:rsidR="00A42C1E" w:rsidRDefault="00A42C1E" w:rsidP="000554A3">
      <w:pPr>
        <w:widowControl w:val="0"/>
        <w:tabs>
          <w:tab w:val="clear" w:pos="432"/>
        </w:tabs>
        <w:suppressAutoHyphens/>
        <w:spacing w:line="240" w:lineRule="auto"/>
        <w:ind w:firstLine="0"/>
        <w:jc w:val="left"/>
        <w:rPr>
          <w:rFonts w:ascii="Times New Roman" w:hAnsi="Times New Roman"/>
        </w:rPr>
      </w:pPr>
    </w:p>
    <w:p w:rsidR="00A42C1E" w:rsidRPr="004D172C" w:rsidRDefault="00A42C1E" w:rsidP="000554A3">
      <w:pPr>
        <w:widowControl w:val="0"/>
        <w:tabs>
          <w:tab w:val="clear" w:pos="432"/>
        </w:tabs>
        <w:suppressAutoHyphens/>
        <w:spacing w:line="240" w:lineRule="auto"/>
        <w:ind w:firstLine="0"/>
        <w:jc w:val="left"/>
        <w:rPr>
          <w:rFonts w:ascii="Times New Roman" w:hAnsi="Times New Roman"/>
          <w:b/>
          <w:bCs/>
          <w:u w:val="single"/>
        </w:rPr>
      </w:pPr>
    </w:p>
    <w:p w:rsidR="006C5A60" w:rsidRPr="004D172C" w:rsidRDefault="006C5A60" w:rsidP="000554A3">
      <w:pPr>
        <w:widowControl w:val="0"/>
        <w:tabs>
          <w:tab w:val="clear" w:pos="432"/>
        </w:tabs>
        <w:suppressAutoHyphens/>
        <w:spacing w:line="240" w:lineRule="auto"/>
        <w:ind w:firstLine="0"/>
        <w:jc w:val="left"/>
        <w:rPr>
          <w:rFonts w:ascii="Times New Roman" w:hAnsi="Times New Roman"/>
          <w:b/>
          <w:bCs/>
          <w:u w:val="single"/>
        </w:rPr>
      </w:pPr>
    </w:p>
    <w:p w:rsidR="006C5A60" w:rsidRDefault="006C5A60" w:rsidP="000554A3">
      <w:pPr>
        <w:widowControl w:val="0"/>
        <w:tabs>
          <w:tab w:val="clear" w:pos="432"/>
        </w:tabs>
        <w:suppressAutoHyphens/>
        <w:spacing w:line="240" w:lineRule="auto"/>
        <w:ind w:firstLine="0"/>
        <w:jc w:val="left"/>
        <w:rPr>
          <w:rFonts w:ascii="Arial" w:hAnsi="Arial" w:cs="Arial"/>
          <w:b/>
          <w:bCs/>
          <w:u w:val="single"/>
        </w:rPr>
      </w:pPr>
    </w:p>
    <w:p w:rsidR="006C5A60" w:rsidRDefault="006C5A60" w:rsidP="000554A3">
      <w:pPr>
        <w:widowControl w:val="0"/>
        <w:tabs>
          <w:tab w:val="clear" w:pos="432"/>
        </w:tabs>
        <w:suppressAutoHyphens/>
        <w:spacing w:line="240" w:lineRule="auto"/>
        <w:ind w:firstLine="0"/>
        <w:jc w:val="left"/>
        <w:rPr>
          <w:rFonts w:ascii="Arial" w:hAnsi="Arial" w:cs="Arial"/>
          <w:b/>
          <w:bCs/>
          <w:u w:val="single"/>
        </w:rPr>
      </w:pPr>
    </w:p>
    <w:p w:rsidR="006C5A60" w:rsidRDefault="006C5A60" w:rsidP="000554A3">
      <w:pPr>
        <w:widowControl w:val="0"/>
        <w:tabs>
          <w:tab w:val="clear" w:pos="432"/>
        </w:tabs>
        <w:suppressAutoHyphens/>
        <w:spacing w:line="240" w:lineRule="auto"/>
        <w:ind w:firstLine="0"/>
        <w:jc w:val="left"/>
        <w:rPr>
          <w:rFonts w:ascii="Arial" w:hAnsi="Arial" w:cs="Arial"/>
          <w:b/>
          <w:bCs/>
          <w:u w:val="single"/>
        </w:rPr>
      </w:pPr>
    </w:p>
    <w:p w:rsidR="006C5A60" w:rsidRDefault="006C5A60" w:rsidP="000554A3">
      <w:pPr>
        <w:widowControl w:val="0"/>
        <w:tabs>
          <w:tab w:val="clear" w:pos="432"/>
        </w:tabs>
        <w:suppressAutoHyphens/>
        <w:spacing w:line="240" w:lineRule="auto"/>
        <w:ind w:firstLine="0"/>
        <w:jc w:val="left"/>
        <w:rPr>
          <w:rFonts w:ascii="Arial" w:hAnsi="Arial" w:cs="Arial"/>
          <w:b/>
          <w:bCs/>
          <w:u w:val="single"/>
        </w:rPr>
      </w:pPr>
    </w:p>
    <w:p w:rsidR="006C5A60" w:rsidRDefault="006C5A60" w:rsidP="000554A3">
      <w:pPr>
        <w:widowControl w:val="0"/>
        <w:tabs>
          <w:tab w:val="clear" w:pos="432"/>
        </w:tabs>
        <w:suppressAutoHyphens/>
        <w:spacing w:line="240" w:lineRule="auto"/>
        <w:ind w:firstLine="0"/>
        <w:jc w:val="left"/>
        <w:rPr>
          <w:rFonts w:ascii="Arial" w:hAnsi="Arial" w:cs="Arial"/>
          <w:b/>
          <w:bCs/>
          <w:u w:val="single"/>
        </w:rPr>
      </w:pPr>
    </w:p>
    <w:p w:rsidR="00D84C8E" w:rsidRDefault="00D84C8E" w:rsidP="000554A3">
      <w:pPr>
        <w:widowControl w:val="0"/>
        <w:tabs>
          <w:tab w:val="clear" w:pos="432"/>
        </w:tabs>
        <w:suppressAutoHyphens/>
        <w:spacing w:line="240" w:lineRule="auto"/>
        <w:ind w:firstLine="0"/>
        <w:jc w:val="left"/>
        <w:rPr>
          <w:rFonts w:ascii="Arial" w:hAnsi="Arial" w:cs="Arial"/>
          <w:b/>
          <w:bCs/>
          <w:u w:val="single"/>
        </w:rPr>
      </w:pPr>
      <w:r w:rsidRPr="003E36A4">
        <w:rPr>
          <w:rFonts w:ascii="Arial" w:hAnsi="Arial" w:cs="Arial"/>
          <w:b/>
          <w:bCs/>
          <w:u w:val="single"/>
        </w:rPr>
        <w:lastRenderedPageBreak/>
        <w:t>Part A: Justification</w:t>
      </w:r>
    </w:p>
    <w:p w:rsidR="003E36A4" w:rsidRPr="003E36A4" w:rsidRDefault="003E36A4" w:rsidP="000554A3">
      <w:pPr>
        <w:widowControl w:val="0"/>
        <w:tabs>
          <w:tab w:val="clear" w:pos="432"/>
        </w:tabs>
        <w:suppressAutoHyphens/>
        <w:spacing w:line="240" w:lineRule="auto"/>
        <w:ind w:firstLine="0"/>
        <w:jc w:val="left"/>
        <w:rPr>
          <w:rFonts w:ascii="Arial" w:hAnsi="Arial" w:cs="Arial"/>
          <w:b/>
          <w:bCs/>
          <w:u w:val="single"/>
        </w:rPr>
      </w:pPr>
    </w:p>
    <w:p w:rsidR="001D47CF" w:rsidRPr="001D47CF" w:rsidRDefault="003E36A4" w:rsidP="0051182F">
      <w:pPr>
        <w:tabs>
          <w:tab w:val="clear" w:pos="432"/>
        </w:tabs>
        <w:spacing w:line="240" w:lineRule="auto"/>
        <w:ind w:firstLine="0"/>
        <w:jc w:val="left"/>
        <w:rPr>
          <w:rFonts w:ascii="Times New Roman" w:hAnsi="Times New Roman"/>
        </w:rPr>
      </w:pPr>
      <w:r w:rsidRPr="00542556">
        <w:rPr>
          <w:rFonts w:ascii="Times New Roman" w:hAnsi="Times New Roman"/>
        </w:rPr>
        <w:t xml:space="preserve">This </w:t>
      </w:r>
      <w:r w:rsidR="00DB5E86">
        <w:rPr>
          <w:rFonts w:ascii="Times New Roman" w:hAnsi="Times New Roman"/>
        </w:rPr>
        <w:t>s</w:t>
      </w:r>
      <w:r w:rsidRPr="00542556">
        <w:rPr>
          <w:rFonts w:ascii="Times New Roman" w:hAnsi="Times New Roman"/>
        </w:rPr>
        <w:t xml:space="preserve">upporting </w:t>
      </w:r>
      <w:r w:rsidR="00DB5E86">
        <w:rPr>
          <w:rFonts w:ascii="Times New Roman" w:hAnsi="Times New Roman"/>
        </w:rPr>
        <w:t>s</w:t>
      </w:r>
      <w:r w:rsidRPr="00542556">
        <w:rPr>
          <w:rFonts w:ascii="Times New Roman" w:hAnsi="Times New Roman"/>
        </w:rPr>
        <w:t xml:space="preserve">tatement provides information </w:t>
      </w:r>
      <w:r>
        <w:rPr>
          <w:rFonts w:ascii="Times New Roman" w:hAnsi="Times New Roman"/>
        </w:rPr>
        <w:t xml:space="preserve">on the </w:t>
      </w:r>
      <w:r w:rsidRPr="00542556">
        <w:rPr>
          <w:rFonts w:ascii="Times New Roman" w:hAnsi="Times New Roman"/>
        </w:rPr>
        <w:t xml:space="preserve">data collection </w:t>
      </w:r>
      <w:r>
        <w:rPr>
          <w:rFonts w:ascii="Times New Roman" w:hAnsi="Times New Roman"/>
        </w:rPr>
        <w:t xml:space="preserve">activities associated with the </w:t>
      </w:r>
      <w:r w:rsidR="007D58BF">
        <w:rPr>
          <w:rFonts w:ascii="Times New Roman" w:hAnsi="Times New Roman"/>
        </w:rPr>
        <w:t xml:space="preserve">Rent Reform </w:t>
      </w:r>
      <w:r w:rsidR="003C7857">
        <w:rPr>
          <w:rFonts w:ascii="Times New Roman" w:hAnsi="Times New Roman"/>
        </w:rPr>
        <w:t>Demonstration</w:t>
      </w:r>
      <w:r w:rsidR="003C7857" w:rsidRPr="00542556">
        <w:rPr>
          <w:rFonts w:ascii="Times New Roman" w:hAnsi="Times New Roman"/>
        </w:rPr>
        <w:t xml:space="preserve"> </w:t>
      </w:r>
      <w:r>
        <w:rPr>
          <w:rFonts w:ascii="Times New Roman" w:hAnsi="Times New Roman"/>
        </w:rPr>
        <w:t xml:space="preserve">administered </w:t>
      </w:r>
      <w:r w:rsidRPr="00542556">
        <w:rPr>
          <w:rFonts w:ascii="Times New Roman" w:hAnsi="Times New Roman"/>
        </w:rPr>
        <w:t xml:space="preserve">by the </w:t>
      </w:r>
      <w:r w:rsidRPr="00542556">
        <w:rPr>
          <w:rFonts w:ascii="Times New Roman" w:hAnsi="Times New Roman"/>
          <w:lang w:val="yo-NG"/>
        </w:rPr>
        <w:t xml:space="preserve">U.S. </w:t>
      </w:r>
      <w:r w:rsidRPr="00542556">
        <w:rPr>
          <w:rFonts w:ascii="Times New Roman" w:hAnsi="Times New Roman"/>
        </w:rPr>
        <w:t>Department of Housing and Urban Development (HUD</w:t>
      </w:r>
      <w:r w:rsidRPr="0051182F">
        <w:rPr>
          <w:rFonts w:ascii="Times New Roman" w:hAnsi="Times New Roman"/>
        </w:rPr>
        <w:t xml:space="preserve">). </w:t>
      </w:r>
      <w:r w:rsidR="0051182F" w:rsidRPr="0051182F">
        <w:rPr>
          <w:rFonts w:ascii="Times New Roman" w:hAnsi="Times New Roman"/>
        </w:rPr>
        <w:t>T</w:t>
      </w:r>
      <w:r w:rsidR="0051182F" w:rsidRPr="00B622E3">
        <w:rPr>
          <w:rFonts w:ascii="Times New Roman" w:hAnsi="Times New Roman"/>
        </w:rPr>
        <w:t xml:space="preserve">he alternative rent policy was developed by a design team, which includes: MDRC and </w:t>
      </w:r>
      <w:r w:rsidR="0039217D" w:rsidRPr="0051182F">
        <w:rPr>
          <w:rFonts w:ascii="Times New Roman" w:hAnsi="Times New Roman"/>
        </w:rPr>
        <w:t xml:space="preserve">its subcontractors at the Urban Institute, </w:t>
      </w:r>
      <w:proofErr w:type="spellStart"/>
      <w:r w:rsidR="0039217D" w:rsidRPr="0051182F">
        <w:rPr>
          <w:rFonts w:ascii="Times New Roman" w:hAnsi="Times New Roman"/>
        </w:rPr>
        <w:t>Quadel</w:t>
      </w:r>
      <w:proofErr w:type="spellEnd"/>
      <w:r w:rsidR="0039217D" w:rsidRPr="0051182F">
        <w:rPr>
          <w:rFonts w:ascii="Times New Roman" w:hAnsi="Times New Roman"/>
        </w:rPr>
        <w:t xml:space="preserve"> Consulting, the </w:t>
      </w:r>
      <w:proofErr w:type="spellStart"/>
      <w:r w:rsidR="0039217D" w:rsidRPr="0051182F">
        <w:rPr>
          <w:rFonts w:ascii="Times New Roman" w:hAnsi="Times New Roman"/>
        </w:rPr>
        <w:t>Bronner</w:t>
      </w:r>
      <w:proofErr w:type="spellEnd"/>
      <w:r w:rsidR="0039217D" w:rsidRPr="0051182F">
        <w:rPr>
          <w:rFonts w:ascii="Times New Roman" w:hAnsi="Times New Roman"/>
        </w:rPr>
        <w:t xml:space="preserve"> Group, and independent and academic consultants</w:t>
      </w:r>
      <w:r w:rsidR="0051182F" w:rsidRPr="0051182F">
        <w:rPr>
          <w:rFonts w:ascii="Times New Roman" w:hAnsi="Times New Roman"/>
        </w:rPr>
        <w:t>; HUD; and participating housing agencies.</w:t>
      </w:r>
      <w:r w:rsidR="0051182F">
        <w:rPr>
          <w:rFonts w:ascii="Times New Roman" w:hAnsi="Times New Roman"/>
        </w:rPr>
        <w:t xml:space="preserve">  </w:t>
      </w:r>
      <w:r w:rsidR="00B622E3">
        <w:rPr>
          <w:rFonts w:ascii="Times New Roman" w:hAnsi="Times New Roman"/>
        </w:rPr>
        <w:t>MDRC is leading the evaluation effort covered under Task Order</w:t>
      </w:r>
      <w:r w:rsidR="004D172C">
        <w:rPr>
          <w:rFonts w:ascii="Times New Roman" w:hAnsi="Times New Roman"/>
        </w:rPr>
        <w:t>s</w:t>
      </w:r>
      <w:r w:rsidR="00B622E3">
        <w:rPr>
          <w:rFonts w:ascii="Times New Roman" w:hAnsi="Times New Roman"/>
        </w:rPr>
        <w:t xml:space="preserve"> 1</w:t>
      </w:r>
      <w:r w:rsidR="004D172C">
        <w:rPr>
          <w:rFonts w:ascii="Times New Roman" w:hAnsi="Times New Roman"/>
        </w:rPr>
        <w:t xml:space="preserve"> and 2</w:t>
      </w:r>
      <w:r w:rsidR="00B622E3">
        <w:rPr>
          <w:rFonts w:ascii="Times New Roman" w:hAnsi="Times New Roman"/>
        </w:rPr>
        <w:t xml:space="preserve">. </w:t>
      </w:r>
    </w:p>
    <w:p w:rsidR="00D84C8E" w:rsidRDefault="003E36A4" w:rsidP="005317DD">
      <w:pPr>
        <w:spacing w:line="240" w:lineRule="auto"/>
        <w:ind w:firstLine="0"/>
        <w:jc w:val="left"/>
        <w:rPr>
          <w:rFonts w:ascii="Arial" w:hAnsi="Arial" w:cs="Arial"/>
          <w:b/>
          <w:bCs/>
        </w:rPr>
      </w:pPr>
      <w:r w:rsidRPr="00542556">
        <w:rPr>
          <w:rFonts w:ascii="Times New Roman" w:hAnsi="Times New Roman"/>
        </w:rPr>
        <w:t xml:space="preserve"> </w:t>
      </w:r>
    </w:p>
    <w:p w:rsidR="00EA7CF9" w:rsidRPr="00C73D7E" w:rsidRDefault="00B17BCF" w:rsidP="00B17BCF">
      <w:pPr>
        <w:spacing w:line="240" w:lineRule="auto"/>
        <w:ind w:firstLine="0"/>
        <w:jc w:val="left"/>
        <w:rPr>
          <w:rFonts w:ascii="Times New Roman" w:hAnsi="Times New Roman"/>
        </w:rPr>
      </w:pPr>
      <w:r w:rsidRPr="00C73D7E">
        <w:rPr>
          <w:rFonts w:ascii="Times New Roman" w:hAnsi="Times New Roman"/>
        </w:rPr>
        <w:t xml:space="preserve">This information collection request </w:t>
      </w:r>
      <w:r w:rsidR="00EA7CF9" w:rsidRPr="00C73D7E">
        <w:rPr>
          <w:rFonts w:ascii="Times New Roman" w:hAnsi="Times New Roman"/>
        </w:rPr>
        <w:t xml:space="preserve">is a revision of existing collection OMB #2528-0306. Revisions include 1) </w:t>
      </w:r>
      <w:r w:rsidR="00952533" w:rsidRPr="00C73D7E">
        <w:rPr>
          <w:rFonts w:ascii="Times New Roman" w:hAnsi="Times New Roman"/>
        </w:rPr>
        <w:t xml:space="preserve">interviews with PHA </w:t>
      </w:r>
      <w:r w:rsidR="00DE49B4" w:rsidRPr="00C73D7E">
        <w:rPr>
          <w:rFonts w:ascii="Times New Roman" w:hAnsi="Times New Roman"/>
        </w:rPr>
        <w:t>staff</w:t>
      </w:r>
      <w:r w:rsidR="00952533" w:rsidRPr="00C73D7E">
        <w:rPr>
          <w:rFonts w:ascii="Times New Roman" w:hAnsi="Times New Roman"/>
        </w:rPr>
        <w:t xml:space="preserve"> to understand early implementation of the alternative rent model, 2)</w:t>
      </w:r>
      <w:r w:rsidR="00DE49B4" w:rsidRPr="00C73D7E">
        <w:rPr>
          <w:rFonts w:ascii="Times New Roman" w:hAnsi="Times New Roman"/>
        </w:rPr>
        <w:t xml:space="preserve"> </w:t>
      </w:r>
      <w:r w:rsidRPr="00C73D7E">
        <w:rPr>
          <w:rFonts w:ascii="Times New Roman" w:hAnsi="Times New Roman"/>
        </w:rPr>
        <w:t>interviews</w:t>
      </w:r>
      <w:r w:rsidR="00952533" w:rsidRPr="00C73D7E">
        <w:rPr>
          <w:rFonts w:ascii="Times New Roman" w:hAnsi="Times New Roman"/>
        </w:rPr>
        <w:t xml:space="preserve"> with study participants</w:t>
      </w:r>
      <w:r w:rsidR="00EA7CF9" w:rsidRPr="00C73D7E">
        <w:rPr>
          <w:rFonts w:ascii="Times New Roman" w:hAnsi="Times New Roman"/>
        </w:rPr>
        <w:t xml:space="preserve"> to understand the</w:t>
      </w:r>
      <w:r w:rsidR="00952533" w:rsidRPr="00C73D7E">
        <w:rPr>
          <w:rFonts w:ascii="Times New Roman" w:hAnsi="Times New Roman"/>
        </w:rPr>
        <w:t>ir experience with</w:t>
      </w:r>
      <w:r w:rsidR="00EA7CF9" w:rsidRPr="00C73D7E">
        <w:rPr>
          <w:rFonts w:ascii="Times New Roman" w:hAnsi="Times New Roman"/>
        </w:rPr>
        <w:t xml:space="preserve"> the alternative rent model</w:t>
      </w:r>
      <w:r w:rsidR="0006554A" w:rsidRPr="00C73D7E">
        <w:rPr>
          <w:rFonts w:ascii="Times New Roman" w:hAnsi="Times New Roman"/>
        </w:rPr>
        <w:t xml:space="preserve">, </w:t>
      </w:r>
      <w:r w:rsidR="00952533" w:rsidRPr="00C73D7E">
        <w:rPr>
          <w:rFonts w:ascii="Times New Roman" w:hAnsi="Times New Roman"/>
        </w:rPr>
        <w:t>3</w:t>
      </w:r>
      <w:r w:rsidR="00EA7CF9" w:rsidRPr="00C73D7E">
        <w:rPr>
          <w:rFonts w:ascii="Times New Roman" w:hAnsi="Times New Roman"/>
        </w:rPr>
        <w:t xml:space="preserve">) </w:t>
      </w:r>
      <w:r w:rsidRPr="00C73D7E">
        <w:rPr>
          <w:rFonts w:ascii="Times New Roman" w:hAnsi="Times New Roman"/>
        </w:rPr>
        <w:t>administrative records</w:t>
      </w:r>
      <w:r w:rsidR="00EA7CF9" w:rsidRPr="00C73D7E">
        <w:rPr>
          <w:rFonts w:ascii="Times New Roman" w:hAnsi="Times New Roman"/>
        </w:rPr>
        <w:t xml:space="preserve"> </w:t>
      </w:r>
      <w:r w:rsidR="00952533" w:rsidRPr="00C73D7E">
        <w:rPr>
          <w:rFonts w:ascii="Times New Roman" w:hAnsi="Times New Roman"/>
        </w:rPr>
        <w:t>that will be collected to assess the impacts of the intervention being tested</w:t>
      </w:r>
      <w:r w:rsidR="0006554A" w:rsidRPr="00C73D7E">
        <w:rPr>
          <w:rFonts w:ascii="Times New Roman" w:hAnsi="Times New Roman"/>
        </w:rPr>
        <w:t xml:space="preserve">, and </w:t>
      </w:r>
      <w:r w:rsidR="00952533" w:rsidRPr="00C73D7E">
        <w:rPr>
          <w:rFonts w:ascii="Times New Roman" w:hAnsi="Times New Roman"/>
        </w:rPr>
        <w:t>4</w:t>
      </w:r>
      <w:r w:rsidR="00EA7CF9" w:rsidRPr="00C73D7E">
        <w:rPr>
          <w:rFonts w:ascii="Times New Roman" w:hAnsi="Times New Roman"/>
        </w:rPr>
        <w:t xml:space="preserve">) </w:t>
      </w:r>
      <w:r w:rsidR="0006554A" w:rsidRPr="00C73D7E">
        <w:rPr>
          <w:rFonts w:ascii="Times New Roman" w:hAnsi="Times New Roman"/>
        </w:rPr>
        <w:t xml:space="preserve">cost </w:t>
      </w:r>
      <w:r w:rsidR="00EA7CF9" w:rsidRPr="00C73D7E">
        <w:rPr>
          <w:rFonts w:ascii="Times New Roman" w:hAnsi="Times New Roman"/>
        </w:rPr>
        <w:t xml:space="preserve">study </w:t>
      </w:r>
      <w:r w:rsidR="00DE49B4" w:rsidRPr="00C73D7E">
        <w:rPr>
          <w:rFonts w:ascii="Times New Roman" w:hAnsi="Times New Roman"/>
        </w:rPr>
        <w:t>data collection</w:t>
      </w:r>
      <w:r w:rsidR="00EA7CF9" w:rsidRPr="00C73D7E">
        <w:rPr>
          <w:rFonts w:ascii="Times New Roman" w:hAnsi="Times New Roman"/>
        </w:rPr>
        <w:t xml:space="preserve"> for the research activities </w:t>
      </w:r>
      <w:r w:rsidRPr="00C73D7E">
        <w:rPr>
          <w:rFonts w:ascii="Times New Roman" w:hAnsi="Times New Roman"/>
        </w:rPr>
        <w:t xml:space="preserve">under </w:t>
      </w:r>
      <w:r w:rsidR="00EA7CF9" w:rsidRPr="00C73D7E">
        <w:rPr>
          <w:rFonts w:ascii="Times New Roman" w:hAnsi="Times New Roman"/>
        </w:rPr>
        <w:t xml:space="preserve">Rent Reform Demonstration, </w:t>
      </w:r>
      <w:r w:rsidRPr="00C73D7E">
        <w:rPr>
          <w:rFonts w:ascii="Times New Roman" w:hAnsi="Times New Roman"/>
        </w:rPr>
        <w:t xml:space="preserve">Task Order 2 (TO2). </w:t>
      </w:r>
    </w:p>
    <w:p w:rsidR="00EA7CF9" w:rsidRPr="00C73D7E" w:rsidRDefault="00EA7CF9" w:rsidP="00B17BCF">
      <w:pPr>
        <w:spacing w:line="240" w:lineRule="auto"/>
        <w:ind w:firstLine="0"/>
        <w:jc w:val="left"/>
        <w:rPr>
          <w:rFonts w:ascii="Times New Roman" w:hAnsi="Times New Roman"/>
        </w:rPr>
      </w:pPr>
      <w:bookmarkStart w:id="0" w:name="_GoBack"/>
      <w:bookmarkEnd w:id="0"/>
    </w:p>
    <w:p w:rsidR="00B17BCF" w:rsidRDefault="00B17BCF" w:rsidP="00B17BCF">
      <w:pPr>
        <w:spacing w:line="240" w:lineRule="auto"/>
        <w:ind w:firstLine="0"/>
        <w:jc w:val="left"/>
        <w:rPr>
          <w:rFonts w:ascii="Times New Roman" w:hAnsi="Times New Roman"/>
        </w:rPr>
      </w:pPr>
      <w:r w:rsidRPr="00C73D7E">
        <w:rPr>
          <w:rFonts w:ascii="Times New Roman" w:hAnsi="Times New Roman"/>
        </w:rPr>
        <w:t xml:space="preserve">A </w:t>
      </w:r>
      <w:r w:rsidR="00EA7CF9" w:rsidRPr="00C73D7E">
        <w:rPr>
          <w:rFonts w:ascii="Times New Roman" w:hAnsi="Times New Roman"/>
        </w:rPr>
        <w:t xml:space="preserve">final </w:t>
      </w:r>
      <w:r w:rsidRPr="00C73D7E">
        <w:rPr>
          <w:rFonts w:ascii="Times New Roman" w:hAnsi="Times New Roman"/>
        </w:rPr>
        <w:t>data collection request</w:t>
      </w:r>
      <w:r w:rsidR="00DE49B4" w:rsidRPr="00C73D7E">
        <w:rPr>
          <w:rFonts w:ascii="Times New Roman" w:hAnsi="Times New Roman"/>
        </w:rPr>
        <w:t xml:space="preserve">, </w:t>
      </w:r>
      <w:r w:rsidR="00EA7CF9" w:rsidRPr="00C73D7E">
        <w:rPr>
          <w:rFonts w:ascii="Times New Roman" w:hAnsi="Times New Roman"/>
        </w:rPr>
        <w:t>expected in</w:t>
      </w:r>
      <w:r w:rsidR="00DE49B4" w:rsidRPr="00C73D7E">
        <w:rPr>
          <w:rFonts w:ascii="Times New Roman" w:hAnsi="Times New Roman"/>
        </w:rPr>
        <w:t xml:space="preserve"> 201</w:t>
      </w:r>
      <w:r w:rsidR="00C54C71" w:rsidRPr="00C73D7E">
        <w:rPr>
          <w:rFonts w:ascii="Times New Roman" w:hAnsi="Times New Roman"/>
        </w:rPr>
        <w:t>8</w:t>
      </w:r>
      <w:r w:rsidR="00DE49B4" w:rsidRPr="00C73D7E">
        <w:rPr>
          <w:rFonts w:ascii="Times New Roman" w:hAnsi="Times New Roman"/>
        </w:rPr>
        <w:t xml:space="preserve">, </w:t>
      </w:r>
      <w:r w:rsidRPr="00C73D7E">
        <w:rPr>
          <w:rFonts w:ascii="Times New Roman" w:hAnsi="Times New Roman"/>
        </w:rPr>
        <w:t xml:space="preserve">will cover longer-term research activities </w:t>
      </w:r>
      <w:r w:rsidR="00DE49B4" w:rsidRPr="00C73D7E">
        <w:rPr>
          <w:rFonts w:ascii="Times New Roman" w:hAnsi="Times New Roman"/>
        </w:rPr>
        <w:t>under TO2.</w:t>
      </w:r>
      <w:r w:rsidR="00DE49B4">
        <w:rPr>
          <w:rFonts w:ascii="Times New Roman" w:hAnsi="Times New Roman"/>
        </w:rPr>
        <w:t xml:space="preserve"> </w:t>
      </w:r>
    </w:p>
    <w:p w:rsidR="00B17BCF" w:rsidRDefault="00B17BCF" w:rsidP="000554A3">
      <w:pPr>
        <w:widowControl w:val="0"/>
        <w:tabs>
          <w:tab w:val="clear" w:pos="432"/>
        </w:tabs>
        <w:suppressAutoHyphens/>
        <w:spacing w:line="240" w:lineRule="auto"/>
        <w:ind w:firstLine="0"/>
        <w:jc w:val="left"/>
        <w:rPr>
          <w:rFonts w:ascii="Arial" w:hAnsi="Arial" w:cs="Arial"/>
          <w:b/>
          <w:bCs/>
        </w:rPr>
      </w:pPr>
    </w:p>
    <w:p w:rsidR="00F620A0" w:rsidRPr="00933DA0" w:rsidRDefault="00F620A0" w:rsidP="000554A3">
      <w:pPr>
        <w:widowControl w:val="0"/>
        <w:tabs>
          <w:tab w:val="clear" w:pos="432"/>
        </w:tabs>
        <w:suppressAutoHyphens/>
        <w:spacing w:line="240" w:lineRule="auto"/>
        <w:ind w:firstLine="0"/>
        <w:jc w:val="left"/>
        <w:rPr>
          <w:rFonts w:ascii="Arial" w:hAnsi="Arial" w:cs="Arial"/>
          <w:b/>
          <w:bCs/>
        </w:rPr>
      </w:pPr>
      <w:r w:rsidRPr="00933DA0">
        <w:rPr>
          <w:rFonts w:ascii="Arial" w:hAnsi="Arial" w:cs="Arial"/>
          <w:b/>
          <w:bCs/>
        </w:rPr>
        <w:t>A</w:t>
      </w:r>
      <w:r w:rsidR="00C94ED9">
        <w:rPr>
          <w:rFonts w:ascii="Arial" w:hAnsi="Arial" w:cs="Arial"/>
          <w:b/>
          <w:bCs/>
        </w:rPr>
        <w:t>.</w:t>
      </w:r>
      <w:r w:rsidRPr="00933DA0">
        <w:rPr>
          <w:rFonts w:ascii="Arial" w:hAnsi="Arial" w:cs="Arial"/>
          <w:b/>
          <w:bCs/>
        </w:rPr>
        <w:t>1</w:t>
      </w:r>
      <w:r w:rsidR="006A35E1" w:rsidRPr="00933DA0">
        <w:rPr>
          <w:rFonts w:ascii="Arial" w:hAnsi="Arial" w:cs="Arial"/>
          <w:b/>
          <w:bCs/>
        </w:rPr>
        <w:t xml:space="preserve"> </w:t>
      </w:r>
      <w:r w:rsidR="006A35E1" w:rsidRPr="00933DA0">
        <w:rPr>
          <w:rFonts w:ascii="Arial" w:hAnsi="Arial" w:cs="Arial"/>
          <w:b/>
        </w:rPr>
        <w:t>Circumstances Necessitating Data Collection</w:t>
      </w:r>
    </w:p>
    <w:p w:rsidR="00F620A0" w:rsidRPr="00542556" w:rsidRDefault="00F620A0" w:rsidP="003E36A4">
      <w:pPr>
        <w:spacing w:line="240" w:lineRule="auto"/>
        <w:ind w:firstLine="0"/>
        <w:jc w:val="left"/>
        <w:rPr>
          <w:rFonts w:ascii="Times New Roman" w:hAnsi="Times New Roman"/>
        </w:rPr>
      </w:pPr>
    </w:p>
    <w:p w:rsidR="004A7300" w:rsidRPr="006C5A60" w:rsidRDefault="00F620A0" w:rsidP="00617C58">
      <w:pPr>
        <w:pStyle w:val="NumberedBullet"/>
        <w:numPr>
          <w:ilvl w:val="0"/>
          <w:numId w:val="0"/>
        </w:numPr>
        <w:jc w:val="left"/>
        <w:rPr>
          <w:rFonts w:ascii="Times New Roman" w:eastAsia="Calibri" w:hAnsi="Times New Roman"/>
        </w:rPr>
      </w:pPr>
      <w:r w:rsidRPr="00542556">
        <w:rPr>
          <w:rFonts w:ascii="Times New Roman" w:hAnsi="Times New Roman"/>
        </w:rPr>
        <w:t xml:space="preserve">The primary goal of the project is to </w:t>
      </w:r>
      <w:r w:rsidR="007D58BF">
        <w:rPr>
          <w:rFonts w:ascii="Times New Roman" w:hAnsi="Times New Roman"/>
        </w:rPr>
        <w:t xml:space="preserve">test the effects of an alternative rent policy on voucher holders and housing authorities that issue them.  </w:t>
      </w:r>
      <w:r w:rsidR="004A7300" w:rsidRPr="006C5A60">
        <w:rPr>
          <w:rFonts w:ascii="Times New Roman" w:eastAsia="Calibri" w:hAnsi="Times New Roman"/>
        </w:rPr>
        <w:t>HUD authorized the evaluation of the Rent Reform options following the Office of Policy Development and Research statement of policy objectives and initiatives for 2011 (“2011 report”) (</w:t>
      </w:r>
      <w:hyperlink r:id="rId13" w:history="1">
        <w:r w:rsidR="004A7300" w:rsidRPr="006C5A60">
          <w:rPr>
            <w:rFonts w:ascii="Times New Roman" w:eastAsia="Calibri" w:hAnsi="Times New Roman"/>
            <w:color w:val="0000FF"/>
            <w:u w:val="single"/>
          </w:rPr>
          <w:t>http://hud.gov/offices/cfo/reports/2011/cjs/Research_and_Technology_2011.pdf</w:t>
        </w:r>
      </w:hyperlink>
      <w:r w:rsidR="004A7300" w:rsidRPr="006C5A60">
        <w:rPr>
          <w:rFonts w:ascii="Times New Roman" w:eastAsia="Calibri" w:hAnsi="Times New Roman"/>
        </w:rPr>
        <w:t>).</w:t>
      </w:r>
    </w:p>
    <w:p w:rsidR="004A7300" w:rsidRPr="006C5A60" w:rsidRDefault="004A7300" w:rsidP="00617C58">
      <w:pPr>
        <w:spacing w:after="200" w:line="240" w:lineRule="auto"/>
        <w:ind w:firstLine="0"/>
        <w:jc w:val="left"/>
        <w:rPr>
          <w:rFonts w:ascii="Times New Roman" w:eastAsia="Calibri" w:hAnsi="Times New Roman"/>
        </w:rPr>
      </w:pPr>
      <w:r w:rsidRPr="006C5A60">
        <w:rPr>
          <w:rFonts w:ascii="Times New Roman" w:eastAsia="Calibri" w:hAnsi="Times New Roman"/>
        </w:rPr>
        <w:t>Under Title V of the Housing and Urban Development Act of 1970, as amended, the Secretary is authorized and directed to conduct demonstration projects, evaluations, and research that relate to the mission of the Department. The policy objectives for 2011 set forth the Office’s proposal to support the government-wide initiative to strengthen program evaluation by underwriting rigorous evaluations of three demonstrations, including the Rent Reform option demonstration (2011 report). The Office’s proposed support would supplement funding from the Transformation Initiative.</w:t>
      </w:r>
    </w:p>
    <w:p w:rsidR="004A7300" w:rsidRPr="006C5A60" w:rsidRDefault="004A7300" w:rsidP="00617C58">
      <w:pPr>
        <w:spacing w:after="200" w:line="240" w:lineRule="auto"/>
        <w:ind w:firstLine="0"/>
        <w:jc w:val="left"/>
        <w:rPr>
          <w:rFonts w:ascii="Times New Roman" w:eastAsia="Calibri" w:hAnsi="Times New Roman"/>
        </w:rPr>
      </w:pPr>
      <w:r w:rsidRPr="006C5A60">
        <w:rPr>
          <w:rFonts w:ascii="Times New Roman" w:eastAsia="Calibri" w:hAnsi="Times New Roman"/>
        </w:rPr>
        <w:t>The report referenced the approval by the Office of Management and Budget of specific evaluation proposals for 2011, which included the study of Rent Reform options. Further, it underscored HUD’s commitment to “strong, independent evaluations that can inform policy and program management decisions” (2011 report, page 0-12).</w:t>
      </w:r>
    </w:p>
    <w:p w:rsidR="00E74499" w:rsidRDefault="004A7300" w:rsidP="00617C58">
      <w:pPr>
        <w:spacing w:after="200" w:line="240" w:lineRule="auto"/>
        <w:ind w:firstLine="0"/>
        <w:jc w:val="left"/>
        <w:rPr>
          <w:rFonts w:ascii="Times New Roman" w:hAnsi="Times New Roman"/>
        </w:rPr>
      </w:pPr>
      <w:r w:rsidRPr="006C5A60">
        <w:rPr>
          <w:rFonts w:ascii="Times New Roman" w:eastAsia="Calibri" w:hAnsi="Times New Roman"/>
        </w:rPr>
        <w:t>The evaluation of Rent Reform strategies was designed to test, and “systematically observe,” methods for creating incentives, and removing related disincentives, for tenants to increase their earnings (2011 report, page 0-13).</w:t>
      </w:r>
    </w:p>
    <w:p w:rsidR="004D172C" w:rsidRPr="00542556" w:rsidRDefault="004D172C" w:rsidP="00617C58">
      <w:pPr>
        <w:spacing w:line="240" w:lineRule="auto"/>
        <w:ind w:firstLine="0"/>
        <w:jc w:val="left"/>
        <w:rPr>
          <w:rFonts w:ascii="Times New Roman" w:hAnsi="Times New Roman"/>
        </w:rPr>
      </w:pPr>
    </w:p>
    <w:p w:rsidR="006A35E1" w:rsidRDefault="006A35E1" w:rsidP="00617C58">
      <w:pPr>
        <w:spacing w:line="240" w:lineRule="auto"/>
        <w:ind w:firstLine="0"/>
        <w:jc w:val="left"/>
        <w:rPr>
          <w:rFonts w:ascii="Arial" w:hAnsi="Arial" w:cs="Arial"/>
          <w:b/>
        </w:rPr>
      </w:pPr>
      <w:r w:rsidRPr="00933DA0">
        <w:rPr>
          <w:rFonts w:ascii="Arial" w:hAnsi="Arial" w:cs="Arial"/>
          <w:b/>
        </w:rPr>
        <w:t>A.1.1 Background and Policy Context</w:t>
      </w:r>
    </w:p>
    <w:p w:rsidR="00E80F50" w:rsidRDefault="00E80F50" w:rsidP="00617C58">
      <w:pPr>
        <w:spacing w:line="240" w:lineRule="auto"/>
        <w:ind w:firstLine="0"/>
        <w:jc w:val="left"/>
        <w:rPr>
          <w:rFonts w:ascii="Arial" w:hAnsi="Arial" w:cs="Arial"/>
          <w:b/>
        </w:rPr>
      </w:pPr>
    </w:p>
    <w:p w:rsidR="00E80F50" w:rsidRDefault="00E80F50" w:rsidP="00617C58">
      <w:pPr>
        <w:spacing w:line="240" w:lineRule="auto"/>
        <w:ind w:firstLine="0"/>
        <w:jc w:val="left"/>
        <w:rPr>
          <w:rFonts w:ascii="Arial" w:hAnsi="Arial" w:cs="Arial"/>
          <w:b/>
        </w:rPr>
      </w:pPr>
      <w:r>
        <w:rPr>
          <w:rFonts w:ascii="Arial" w:hAnsi="Arial" w:cs="Arial"/>
          <w:b/>
        </w:rPr>
        <w:tab/>
        <w:t>Overview</w:t>
      </w:r>
    </w:p>
    <w:p w:rsidR="00E80F50" w:rsidRPr="00933DA0" w:rsidRDefault="00E80F50" w:rsidP="00617C58">
      <w:pPr>
        <w:spacing w:line="240" w:lineRule="auto"/>
        <w:ind w:firstLine="0"/>
        <w:jc w:val="left"/>
        <w:rPr>
          <w:rFonts w:ascii="Arial" w:hAnsi="Arial" w:cs="Arial"/>
          <w:b/>
        </w:rPr>
      </w:pPr>
    </w:p>
    <w:p w:rsidR="001D47CF" w:rsidRPr="001D47CF" w:rsidRDefault="001D47CF" w:rsidP="00617C58">
      <w:pPr>
        <w:tabs>
          <w:tab w:val="clear" w:pos="432"/>
        </w:tabs>
        <w:spacing w:line="240" w:lineRule="auto"/>
        <w:ind w:firstLine="0"/>
        <w:jc w:val="left"/>
        <w:rPr>
          <w:rFonts w:ascii="Times New Roman" w:hAnsi="Times New Roman"/>
        </w:rPr>
      </w:pPr>
      <w:r w:rsidRPr="001D47CF">
        <w:rPr>
          <w:rFonts w:ascii="Times New Roman" w:hAnsi="Times New Roman"/>
        </w:rPr>
        <w:t>Since the passage of the Brooke Amendment in 1969, rents in subsidized housing have been directly tied to income.</w:t>
      </w:r>
      <w:r w:rsidRPr="001D47CF">
        <w:rPr>
          <w:rFonts w:ascii="Times New Roman" w:hAnsi="Times New Roman"/>
          <w:color w:val="000000"/>
        </w:rPr>
        <w:t xml:space="preserve"> </w:t>
      </w:r>
      <w:r w:rsidRPr="001D47CF">
        <w:rPr>
          <w:rFonts w:ascii="Times New Roman" w:hAnsi="Times New Roman"/>
        </w:rPr>
        <w:t xml:space="preserve">A variety of stakeholders have advocated reform of the rent system, some </w:t>
      </w:r>
      <w:r w:rsidR="00DB5E86" w:rsidRPr="001D47CF">
        <w:rPr>
          <w:rFonts w:ascii="Times New Roman" w:hAnsi="Times New Roman"/>
        </w:rPr>
        <w:t>em</w:t>
      </w:r>
      <w:r w:rsidR="00DB5E86">
        <w:rPr>
          <w:rFonts w:ascii="Times New Roman" w:hAnsi="Times New Roman"/>
        </w:rPr>
        <w:t>ph</w:t>
      </w:r>
      <w:r w:rsidR="00DB5E86" w:rsidRPr="001D47CF">
        <w:rPr>
          <w:rFonts w:ascii="Times New Roman" w:hAnsi="Times New Roman"/>
        </w:rPr>
        <w:t>asizing</w:t>
      </w:r>
      <w:r w:rsidRPr="001D47CF">
        <w:rPr>
          <w:rFonts w:ascii="Times New Roman" w:hAnsi="Times New Roman"/>
        </w:rPr>
        <w:t xml:space="preserve"> its adverse impacts on beneficiaries (and eligible non-beneficiaries) and others </w:t>
      </w:r>
      <w:r w:rsidR="00DB5E86" w:rsidRPr="001D47CF">
        <w:rPr>
          <w:rFonts w:ascii="Times New Roman" w:hAnsi="Times New Roman"/>
        </w:rPr>
        <w:t>em</w:t>
      </w:r>
      <w:r w:rsidR="00DB5E86">
        <w:rPr>
          <w:rFonts w:ascii="Times New Roman" w:hAnsi="Times New Roman"/>
        </w:rPr>
        <w:t>ph</w:t>
      </w:r>
      <w:r w:rsidR="00DB5E86" w:rsidRPr="001D47CF">
        <w:rPr>
          <w:rFonts w:ascii="Times New Roman" w:hAnsi="Times New Roman"/>
        </w:rPr>
        <w:t>asizing</w:t>
      </w:r>
      <w:r w:rsidRPr="001D47CF">
        <w:rPr>
          <w:rFonts w:ascii="Times New Roman" w:hAnsi="Times New Roman"/>
        </w:rPr>
        <w:t xml:space="preserve"> its impacts on </w:t>
      </w:r>
      <w:r w:rsidR="00E91A64">
        <w:rPr>
          <w:rFonts w:ascii="Times New Roman" w:hAnsi="Times New Roman"/>
        </w:rPr>
        <w:t>public housing authorities (P</w:t>
      </w:r>
      <w:r w:rsidR="00A658DA">
        <w:rPr>
          <w:rFonts w:ascii="Times New Roman" w:hAnsi="Times New Roman"/>
        </w:rPr>
        <w:t>HAs</w:t>
      </w:r>
      <w:r w:rsidR="00E91A64">
        <w:rPr>
          <w:rFonts w:ascii="Times New Roman" w:hAnsi="Times New Roman"/>
        </w:rPr>
        <w:t>)</w:t>
      </w:r>
      <w:r w:rsidRPr="001D47CF">
        <w:rPr>
          <w:rFonts w:ascii="Times New Roman" w:hAnsi="Times New Roman"/>
        </w:rPr>
        <w:t xml:space="preserve"> and their finances. Rent reform has been elusive, however, because moving to a new system involves some fundamental tradeoffs around which agreement has been hard to achieve. For example, simplifying the rent structure may make it more difficult to ensure that tenants with the greatest need receive the most assistance. At the same time, offering deep subsidies for an unlimited term makes it difficult to serve equally needy families on waiting lists -- given a fixed appropriation level. Also, the advantages of standards and protections built into a common federal approach must be weighed against the benefits of allowing local agencies to set rent rules based on local conditions. And finding the right balance in the mission of housing assistance between a strict focus on providing decent affordable housing versus other objectives, such as family self-sufficiency, is another source of tension among stakeholders. </w:t>
      </w:r>
    </w:p>
    <w:p w:rsidR="001D47CF" w:rsidRPr="001D47CF" w:rsidRDefault="001D47CF" w:rsidP="00617C58">
      <w:pPr>
        <w:tabs>
          <w:tab w:val="clear" w:pos="432"/>
        </w:tabs>
        <w:spacing w:before="100" w:beforeAutospacing="1" w:after="100" w:afterAutospacing="1" w:line="240" w:lineRule="auto"/>
        <w:ind w:firstLine="0"/>
        <w:jc w:val="left"/>
        <w:rPr>
          <w:rFonts w:ascii="Times New Roman" w:eastAsia="Calibri" w:hAnsi="Times New Roman"/>
        </w:rPr>
      </w:pPr>
      <w:r w:rsidRPr="001D47CF">
        <w:rPr>
          <w:rFonts w:ascii="Times New Roman" w:eastAsia="Calibri" w:hAnsi="Times New Roman"/>
        </w:rPr>
        <w:t xml:space="preserve">In September 2012, HUD commissioned a national evaluation of alternatives to the current rent structure for households receiving vouchers from Moving-to-Work </w:t>
      </w:r>
      <w:r w:rsidR="00E91A64">
        <w:rPr>
          <w:rFonts w:ascii="Times New Roman" w:eastAsia="Calibri" w:hAnsi="Times New Roman"/>
        </w:rPr>
        <w:t xml:space="preserve">(MTW) </w:t>
      </w:r>
      <w:r w:rsidR="00A658DA">
        <w:rPr>
          <w:rFonts w:ascii="Times New Roman" w:eastAsia="Calibri" w:hAnsi="Times New Roman"/>
        </w:rPr>
        <w:t>PHAs</w:t>
      </w:r>
      <w:r w:rsidRPr="001D47CF">
        <w:rPr>
          <w:rFonts w:ascii="Times New Roman" w:eastAsia="Calibri" w:hAnsi="Times New Roman"/>
        </w:rPr>
        <w:t xml:space="preserve">, </w:t>
      </w:r>
      <w:r w:rsidRPr="001D47CF">
        <w:rPr>
          <w:rFonts w:ascii="Times New Roman" w:eastAsia="Calibri" w:hAnsi="Times New Roman"/>
          <w:i/>
        </w:rPr>
        <w:t xml:space="preserve">which have the </w:t>
      </w:r>
      <w:r w:rsidR="00EA7CF9">
        <w:rPr>
          <w:rFonts w:ascii="Times New Roman" w:eastAsia="Calibri" w:hAnsi="Times New Roman"/>
          <w:i/>
        </w:rPr>
        <w:t>statutory</w:t>
      </w:r>
      <w:r w:rsidR="00EA7CF9" w:rsidRPr="001D47CF">
        <w:rPr>
          <w:rFonts w:ascii="Times New Roman" w:eastAsia="Calibri" w:hAnsi="Times New Roman"/>
          <w:i/>
        </w:rPr>
        <w:t xml:space="preserve"> </w:t>
      </w:r>
      <w:r w:rsidRPr="001D47CF">
        <w:rPr>
          <w:rFonts w:ascii="Times New Roman" w:eastAsia="Calibri" w:hAnsi="Times New Roman"/>
          <w:i/>
        </w:rPr>
        <w:t>authority to change rent rules</w:t>
      </w:r>
      <w:r w:rsidRPr="001D47CF">
        <w:rPr>
          <w:rFonts w:ascii="Times New Roman" w:eastAsia="Calibri" w:hAnsi="Times New Roman"/>
        </w:rPr>
        <w:t>. While the current income-based system protects most tenants against excessively burdensome rents (i</w:t>
      </w:r>
      <w:r w:rsidRPr="001D47CF">
        <w:rPr>
          <w:rFonts w:ascii="Times New Roman" w:eastAsia="Calibri" w:hAnsi="Times New Roman"/>
          <w:color w:val="000000"/>
        </w:rPr>
        <w:t xml:space="preserve">n general, the portion of rent that the voucher holder is responsible for is 30 percent of the household’s adjusted income), </w:t>
      </w:r>
      <w:r w:rsidRPr="001D47CF">
        <w:rPr>
          <w:rFonts w:ascii="Times New Roman" w:eastAsia="Calibri" w:hAnsi="Times New Roman"/>
        </w:rPr>
        <w:t xml:space="preserve">it may also encourage underreporting of income and a reduction in work effort leading to lower earned income.   </w:t>
      </w:r>
    </w:p>
    <w:p w:rsidR="001D47CF" w:rsidRPr="001D47CF" w:rsidRDefault="001D47CF" w:rsidP="00617C58">
      <w:pPr>
        <w:tabs>
          <w:tab w:val="clear" w:pos="432"/>
        </w:tabs>
        <w:spacing w:before="100" w:beforeAutospacing="1" w:after="100" w:afterAutospacing="1" w:line="240" w:lineRule="auto"/>
        <w:ind w:firstLine="0"/>
        <w:jc w:val="left"/>
        <w:rPr>
          <w:rFonts w:ascii="Times New Roman" w:eastAsia="Calibri" w:hAnsi="Times New Roman"/>
        </w:rPr>
      </w:pPr>
      <w:r w:rsidRPr="001D47CF">
        <w:rPr>
          <w:rFonts w:ascii="Times New Roman" w:eastAsia="Calibri" w:hAnsi="Times New Roman"/>
        </w:rPr>
        <w:t xml:space="preserve">The key goals considered in the design of the alternative policy include: increasing work effort and earnings for voucher families, simplifying administration of vouchers, and cost-neutrality for Moving-to-Work housing authorities via administrative efficiencies or restructuring (simplification) – all while sustaining the voucher program’s important role in reducing homelessness and serving more families with housing assistance. </w:t>
      </w:r>
    </w:p>
    <w:p w:rsidR="0064281F" w:rsidRPr="00C94ED9" w:rsidRDefault="0064281F" w:rsidP="00617C58">
      <w:pPr>
        <w:spacing w:line="240" w:lineRule="auto"/>
        <w:contextualSpacing/>
        <w:jc w:val="left"/>
        <w:rPr>
          <w:rFonts w:ascii="Times New Roman" w:hAnsi="Times New Roman"/>
          <w:b/>
        </w:rPr>
      </w:pPr>
      <w:r w:rsidRPr="00C94ED9">
        <w:rPr>
          <w:rFonts w:ascii="Times New Roman" w:hAnsi="Times New Roman"/>
          <w:b/>
        </w:rPr>
        <w:tab/>
        <w:t>A. Origins and features of the current rent system</w:t>
      </w:r>
    </w:p>
    <w:p w:rsidR="00E80F50" w:rsidRDefault="00E80F50" w:rsidP="00617C58">
      <w:pPr>
        <w:spacing w:line="240" w:lineRule="auto"/>
        <w:contextualSpacing/>
        <w:jc w:val="left"/>
      </w:pPr>
    </w:p>
    <w:p w:rsidR="0064281F" w:rsidRPr="00DB5E86" w:rsidRDefault="0064281F" w:rsidP="00617C58">
      <w:pPr>
        <w:spacing w:line="240" w:lineRule="auto"/>
        <w:ind w:firstLine="0"/>
        <w:contextualSpacing/>
        <w:jc w:val="left"/>
        <w:rPr>
          <w:rFonts w:ascii="Times New Roman" w:hAnsi="Times New Roman"/>
        </w:rPr>
      </w:pPr>
      <w:r w:rsidRPr="00DB5E86">
        <w:rPr>
          <w:rFonts w:ascii="Times New Roman" w:hAnsi="Times New Roman"/>
        </w:rPr>
        <w:t xml:space="preserve">Initially, public housing construction was funded through federally guaranteed, tax-free bonds while rent revenues from tenants covered public housing operations.  In the 1960s, however, operating costs began to rise, and at the same time public housing authorities were pressured to serve even lower-income households. These changes contributed to growing financial stress both among the residents of public housing developments and the </w:t>
      </w:r>
      <w:r w:rsidR="00A658DA">
        <w:rPr>
          <w:rFonts w:ascii="Times New Roman" w:hAnsi="Times New Roman"/>
        </w:rPr>
        <w:t>PHAs</w:t>
      </w:r>
      <w:r w:rsidRPr="00DB5E86">
        <w:rPr>
          <w:rFonts w:ascii="Times New Roman" w:hAnsi="Times New Roman"/>
        </w:rPr>
        <w:t xml:space="preserve"> that managed them. In response, Congress established federal operating subsidies for </w:t>
      </w:r>
      <w:r w:rsidR="00A658DA">
        <w:rPr>
          <w:rFonts w:ascii="Times New Roman" w:hAnsi="Times New Roman"/>
        </w:rPr>
        <w:t>PHAs</w:t>
      </w:r>
      <w:r w:rsidRPr="00DB5E86">
        <w:rPr>
          <w:rFonts w:ascii="Times New Roman" w:hAnsi="Times New Roman"/>
        </w:rPr>
        <w:t xml:space="preserve"> and new rules were instituted governing the amount households could be charged in order to protect them from having to pay excessive rents. The so-called “Brooke amendments” limited tenant payments to a specified percentage of their adjusted household incomes. In the 1970s, when the Section 8 program was enacted, it also utilized the same percent-of-income rent policy for households receiving and utilizing rental certificates, which later become the Housing Choice Voucher (HCV) program.     </w:t>
      </w:r>
    </w:p>
    <w:p w:rsidR="0064281F" w:rsidRPr="00DB5E86" w:rsidRDefault="0064281F" w:rsidP="00617C58">
      <w:pPr>
        <w:spacing w:line="240" w:lineRule="auto"/>
        <w:contextualSpacing/>
        <w:jc w:val="left"/>
        <w:rPr>
          <w:rFonts w:ascii="Times New Roman" w:hAnsi="Times New Roman"/>
        </w:rPr>
      </w:pPr>
    </w:p>
    <w:p w:rsidR="0064281F" w:rsidRPr="00DB5E86" w:rsidRDefault="0064281F" w:rsidP="00617C58">
      <w:pPr>
        <w:spacing w:line="240" w:lineRule="auto"/>
        <w:ind w:firstLine="0"/>
        <w:contextualSpacing/>
        <w:jc w:val="left"/>
        <w:rPr>
          <w:rFonts w:ascii="Times New Roman" w:hAnsi="Times New Roman"/>
        </w:rPr>
      </w:pPr>
      <w:r w:rsidRPr="00DB5E86">
        <w:rPr>
          <w:rFonts w:ascii="Times New Roman" w:hAnsi="Times New Roman"/>
        </w:rPr>
        <w:lastRenderedPageBreak/>
        <w:t xml:space="preserve">The current HCV rent system is complicated. For example, (a) </w:t>
      </w:r>
      <w:r w:rsidR="00A658DA">
        <w:rPr>
          <w:rFonts w:ascii="Times New Roman" w:hAnsi="Times New Roman"/>
        </w:rPr>
        <w:t>PHAs</w:t>
      </w:r>
      <w:r w:rsidRPr="00DB5E86">
        <w:rPr>
          <w:rFonts w:ascii="Times New Roman" w:hAnsi="Times New Roman"/>
        </w:rPr>
        <w:t xml:space="preserve"> may require minimum rents (except in cases of hardship), (</w:t>
      </w:r>
      <w:r w:rsidR="00D902CA">
        <w:rPr>
          <w:rFonts w:ascii="Times New Roman" w:hAnsi="Times New Roman"/>
        </w:rPr>
        <w:t>b</w:t>
      </w:r>
      <w:r w:rsidRPr="00DB5E86">
        <w:rPr>
          <w:rFonts w:ascii="Times New Roman" w:hAnsi="Times New Roman"/>
        </w:rPr>
        <w:t>) payment standards allow HCV recipients to pay more than 30 percent of their incomes for rent, and (</w:t>
      </w:r>
      <w:r w:rsidR="00D902CA">
        <w:rPr>
          <w:rFonts w:ascii="Times New Roman" w:hAnsi="Times New Roman"/>
        </w:rPr>
        <w:t>c</w:t>
      </w:r>
      <w:r w:rsidRPr="00DB5E86">
        <w:rPr>
          <w:rFonts w:ascii="Times New Roman" w:hAnsi="Times New Roman"/>
        </w:rPr>
        <w:t xml:space="preserve">) a variety of other rent system variations apply to a small number of Moving to Work (MTW) demonstration agencies and some HOPE VI developments.  These complications aside, the vast majority of public housing residents and HCV beneficiaries operate under a percent-of-income rent system.  </w:t>
      </w:r>
    </w:p>
    <w:p w:rsidR="0064281F" w:rsidRPr="00DB5E86" w:rsidRDefault="0064281F" w:rsidP="00617C58">
      <w:pPr>
        <w:spacing w:line="240" w:lineRule="auto"/>
        <w:ind w:firstLine="720"/>
        <w:jc w:val="left"/>
        <w:rPr>
          <w:rFonts w:ascii="Times New Roman" w:hAnsi="Times New Roman"/>
        </w:rPr>
      </w:pPr>
    </w:p>
    <w:p w:rsidR="0064281F" w:rsidRPr="00DB5E86" w:rsidRDefault="0064281F" w:rsidP="00617C58">
      <w:pPr>
        <w:spacing w:line="240" w:lineRule="auto"/>
        <w:ind w:firstLine="0"/>
        <w:jc w:val="left"/>
        <w:rPr>
          <w:rFonts w:ascii="Times New Roman" w:hAnsi="Times New Roman"/>
        </w:rPr>
      </w:pPr>
      <w:r w:rsidRPr="00DB5E86">
        <w:rPr>
          <w:rFonts w:ascii="Times New Roman" w:hAnsi="Times New Roman"/>
        </w:rPr>
        <w:t>The rent system for</w:t>
      </w:r>
      <w:r w:rsidRPr="00DB5E86">
        <w:rPr>
          <w:rFonts w:ascii="Times New Roman" w:hAnsi="Times New Roman"/>
          <w:b/>
        </w:rPr>
        <w:t xml:space="preserve"> </w:t>
      </w:r>
      <w:r w:rsidRPr="00DB5E86">
        <w:rPr>
          <w:rFonts w:ascii="Times New Roman" w:hAnsi="Times New Roman"/>
        </w:rPr>
        <w:t>voucher holders essentially limits their rent payments to no more than 30 percent of household income adjusted for deductions and disregards. However, households are allowed to pay up to 40 percent of their incomes for housing units with rents above the established</w:t>
      </w:r>
      <w:r w:rsidR="00312330">
        <w:rPr>
          <w:rFonts w:ascii="Times New Roman" w:hAnsi="Times New Roman"/>
        </w:rPr>
        <w:t xml:space="preserve"> payment standards</w:t>
      </w:r>
      <w:r w:rsidRPr="00DB5E86">
        <w:rPr>
          <w:rFonts w:ascii="Times New Roman" w:hAnsi="Times New Roman"/>
        </w:rPr>
        <w:t xml:space="preserve"> for their area</w:t>
      </w:r>
      <w:r w:rsidR="007431C7">
        <w:rPr>
          <w:rFonts w:ascii="Times New Roman" w:hAnsi="Times New Roman"/>
        </w:rPr>
        <w:t xml:space="preserve"> (although the subsidy does not cover gross rent above the applicable payment standard)</w:t>
      </w:r>
      <w:r w:rsidRPr="00DB5E86">
        <w:rPr>
          <w:rFonts w:ascii="Times New Roman" w:hAnsi="Times New Roman"/>
        </w:rPr>
        <w:t xml:space="preserve">. Since enactment of the Quality Housing and Work Responsibility Act (QHWRA) in 1998, </w:t>
      </w:r>
      <w:r w:rsidR="00A658DA">
        <w:rPr>
          <w:rFonts w:ascii="Times New Roman" w:hAnsi="Times New Roman"/>
        </w:rPr>
        <w:t>PHAs</w:t>
      </w:r>
      <w:r w:rsidRPr="00DB5E86">
        <w:rPr>
          <w:rFonts w:ascii="Times New Roman" w:hAnsi="Times New Roman"/>
        </w:rPr>
        <w:t xml:space="preserve"> can set minimum rents of up to $50.   </w:t>
      </w:r>
    </w:p>
    <w:p w:rsidR="0064281F" w:rsidRPr="00DB5E86" w:rsidRDefault="007431C7" w:rsidP="00617C58">
      <w:pPr>
        <w:spacing w:line="240" w:lineRule="auto"/>
        <w:jc w:val="left"/>
        <w:rPr>
          <w:rFonts w:ascii="Times New Roman" w:hAnsi="Times New Roman"/>
        </w:rPr>
      </w:pPr>
      <w:r>
        <w:rPr>
          <w:rFonts w:ascii="Times New Roman" w:hAnsi="Times New Roman"/>
        </w:rPr>
        <w:t xml:space="preserve"> </w:t>
      </w:r>
    </w:p>
    <w:p w:rsidR="0064281F" w:rsidRPr="00DB5E86" w:rsidRDefault="0064281F" w:rsidP="00617C58">
      <w:pPr>
        <w:spacing w:line="240" w:lineRule="auto"/>
        <w:ind w:firstLine="0"/>
        <w:jc w:val="left"/>
        <w:rPr>
          <w:rFonts w:ascii="Times New Roman" w:hAnsi="Times New Roman"/>
        </w:rPr>
      </w:pPr>
      <w:r w:rsidRPr="00DB5E86">
        <w:rPr>
          <w:rFonts w:ascii="Times New Roman" w:hAnsi="Times New Roman"/>
        </w:rPr>
        <w:t xml:space="preserve">Neither public housing nor vouchers are entitlements. Hence, only a fraction of eligible households receive assistance while other, equally eligible households do not. In recent years, with no expansion in housing assistance, the only way that a new household can be assisted is through turnover. Thus, the longer current recipients receive assistance, the longer that assistance is unavailable to others. Many </w:t>
      </w:r>
      <w:r w:rsidR="00A658DA">
        <w:rPr>
          <w:rFonts w:ascii="Times New Roman" w:hAnsi="Times New Roman"/>
        </w:rPr>
        <w:t>PHAs</w:t>
      </w:r>
      <w:r w:rsidRPr="00DB5E86">
        <w:rPr>
          <w:rFonts w:ascii="Times New Roman" w:hAnsi="Times New Roman"/>
        </w:rPr>
        <w:t xml:space="preserve"> report long waiting lists, with the waiting period exceeding three to four years for the large </w:t>
      </w:r>
      <w:r w:rsidR="00A658DA">
        <w:rPr>
          <w:rFonts w:ascii="Times New Roman" w:hAnsi="Times New Roman"/>
        </w:rPr>
        <w:t>PHAs</w:t>
      </w:r>
      <w:r w:rsidRPr="00DB5E86">
        <w:rPr>
          <w:rFonts w:ascii="Times New Roman" w:hAnsi="Times New Roman"/>
        </w:rPr>
        <w:t xml:space="preserve"> (for example, in 2008, the reported waiting period for vouchers in cities like Chicago, New York, and San Diego exceeded 50 months). There is tremendous need, therefore, for reforms that can help stretch housing assistance dollars further.</w:t>
      </w:r>
    </w:p>
    <w:p w:rsidR="0064281F" w:rsidRPr="00DB5E86" w:rsidRDefault="0064281F" w:rsidP="00617C58">
      <w:pPr>
        <w:spacing w:line="240" w:lineRule="auto"/>
        <w:jc w:val="left"/>
        <w:rPr>
          <w:rFonts w:ascii="Times New Roman" w:hAnsi="Times New Roman"/>
        </w:rPr>
      </w:pPr>
    </w:p>
    <w:p w:rsidR="0064281F" w:rsidRPr="00DB5E86" w:rsidRDefault="0064281F" w:rsidP="00617C58">
      <w:pPr>
        <w:spacing w:line="240" w:lineRule="auto"/>
        <w:jc w:val="left"/>
        <w:rPr>
          <w:rFonts w:ascii="Times New Roman" w:hAnsi="Times New Roman"/>
        </w:rPr>
      </w:pPr>
      <w:r w:rsidRPr="00DB5E86">
        <w:rPr>
          <w:rFonts w:ascii="Times New Roman" w:hAnsi="Times New Roman"/>
          <w:b/>
        </w:rPr>
        <w:tab/>
        <w:t>B. Rationale for and criticisms of the current rent system</w:t>
      </w:r>
      <w:r w:rsidRPr="00DB5E86">
        <w:rPr>
          <w:rFonts w:ascii="Times New Roman" w:hAnsi="Times New Roman"/>
        </w:rPr>
        <w:t xml:space="preserve"> </w:t>
      </w:r>
    </w:p>
    <w:p w:rsidR="0064281F" w:rsidRPr="00DB5E86" w:rsidRDefault="0064281F" w:rsidP="00617C58">
      <w:pPr>
        <w:spacing w:line="240" w:lineRule="auto"/>
        <w:jc w:val="left"/>
        <w:rPr>
          <w:rFonts w:ascii="Times New Roman" w:hAnsi="Times New Roman"/>
        </w:rPr>
      </w:pPr>
    </w:p>
    <w:p w:rsidR="0064281F" w:rsidRPr="00DB5E86" w:rsidRDefault="0064281F" w:rsidP="00617C58">
      <w:pPr>
        <w:spacing w:line="240" w:lineRule="auto"/>
        <w:ind w:firstLine="0"/>
        <w:jc w:val="left"/>
        <w:rPr>
          <w:rFonts w:ascii="Times New Roman" w:hAnsi="Times New Roman"/>
        </w:rPr>
      </w:pPr>
      <w:r w:rsidRPr="00DB5E86">
        <w:rPr>
          <w:rFonts w:ascii="Times New Roman" w:hAnsi="Times New Roman"/>
        </w:rPr>
        <w:t xml:space="preserve">Protecting low and very-low income households from paying excessive rents is the primary rationale for, and benefit of, the percent-of-income system. It is staunchly defended on these grounds by advocates of low-income housing. Previous efforts to modify the system, such as by allowing </w:t>
      </w:r>
      <w:r w:rsidR="00A658DA">
        <w:rPr>
          <w:rFonts w:ascii="Times New Roman" w:hAnsi="Times New Roman"/>
        </w:rPr>
        <w:t>PHAs</w:t>
      </w:r>
      <w:r w:rsidRPr="00DB5E86">
        <w:rPr>
          <w:rFonts w:ascii="Times New Roman" w:hAnsi="Times New Roman"/>
        </w:rPr>
        <w:t xml:space="preserve"> to establish minimum rents, have required them also to establish policies exempting those for whom minimum rents would pose severe hardship.  </w:t>
      </w:r>
    </w:p>
    <w:p w:rsidR="0064281F" w:rsidRPr="00DB5E86" w:rsidRDefault="0064281F" w:rsidP="00617C58">
      <w:pPr>
        <w:spacing w:line="240" w:lineRule="auto"/>
        <w:jc w:val="left"/>
        <w:rPr>
          <w:rFonts w:ascii="Times New Roman" w:hAnsi="Times New Roman"/>
        </w:rPr>
      </w:pPr>
    </w:p>
    <w:p w:rsidR="0064281F" w:rsidRPr="00DB5E86" w:rsidRDefault="0064281F" w:rsidP="00617C58">
      <w:pPr>
        <w:spacing w:line="240" w:lineRule="auto"/>
        <w:ind w:firstLine="0"/>
        <w:jc w:val="left"/>
        <w:rPr>
          <w:rFonts w:ascii="Times New Roman" w:hAnsi="Times New Roman"/>
        </w:rPr>
      </w:pPr>
      <w:r w:rsidRPr="00DB5E86">
        <w:rPr>
          <w:rFonts w:ascii="Times New Roman" w:hAnsi="Times New Roman"/>
        </w:rPr>
        <w:t xml:space="preserve">The percent-of-income system has been criticized by public housing industry groups and others as allegedly having one or another unintended negative consequence on issues such as: (a) labor force participation, (b) resident/beneficiary turnover, which can affect horizontal equity, (c) tenant invasiveness, (d) reported income, (e) inclusion on the lease of additional working adults, (f) housing agency finances, and (g) housing agency administrative complexities and costs. </w:t>
      </w:r>
      <w:r w:rsidR="00A658DA">
        <w:rPr>
          <w:rFonts w:ascii="Times New Roman" w:hAnsi="Times New Roman"/>
        </w:rPr>
        <w:t>PHAs</w:t>
      </w:r>
      <w:r w:rsidRPr="00DB5E86">
        <w:rPr>
          <w:rFonts w:ascii="Times New Roman" w:hAnsi="Times New Roman"/>
        </w:rPr>
        <w:t xml:space="preserve"> have reported that the current system sometimes (a) confuses voucher applicants and recipients with respect to what rents they are expected to pay from year to year, (b) has adverse effects on</w:t>
      </w:r>
      <w:r w:rsidR="006E419F">
        <w:rPr>
          <w:rFonts w:ascii="Times New Roman" w:hAnsi="Times New Roman"/>
        </w:rPr>
        <w:t xml:space="preserve"> PHA </w:t>
      </w:r>
      <w:r w:rsidRPr="00DB5E86">
        <w:rPr>
          <w:rFonts w:ascii="Times New Roman" w:hAnsi="Times New Roman"/>
        </w:rPr>
        <w:t xml:space="preserve">staff morale as a result of having to (invasively) collect and verify incomes, and (c) makes it difficult to justify to stakeholders a different approach than that used by other federal programs such as TANF, Medicaid, and SNAP. Many of these criticisms are documented in HUD’s Study of </w:t>
      </w:r>
      <w:r w:rsidRPr="00DB5E86">
        <w:rPr>
          <w:rFonts w:ascii="Times New Roman" w:hAnsi="Times New Roman"/>
          <w:i/>
          <w:iCs/>
        </w:rPr>
        <w:t xml:space="preserve">Rents and Rent Flexibility </w:t>
      </w:r>
      <w:r w:rsidRPr="00DB5E86">
        <w:rPr>
          <w:rFonts w:ascii="Times New Roman" w:hAnsi="Times New Roman"/>
        </w:rPr>
        <w:t xml:space="preserve">(2010).  </w:t>
      </w:r>
    </w:p>
    <w:p w:rsidR="0064281F" w:rsidRPr="00DB5E86" w:rsidRDefault="0064281F" w:rsidP="00617C58">
      <w:pPr>
        <w:spacing w:line="240" w:lineRule="auto"/>
        <w:jc w:val="left"/>
        <w:rPr>
          <w:rFonts w:ascii="Times New Roman" w:hAnsi="Times New Roman"/>
        </w:rPr>
      </w:pPr>
    </w:p>
    <w:p w:rsidR="0064281F" w:rsidRPr="00591542" w:rsidRDefault="0064281F" w:rsidP="00617C58">
      <w:pPr>
        <w:spacing w:line="240" w:lineRule="auto"/>
        <w:ind w:firstLine="0"/>
        <w:jc w:val="left"/>
        <w:rPr>
          <w:rFonts w:ascii="Times New Roman" w:hAnsi="Times New Roman"/>
        </w:rPr>
      </w:pPr>
      <w:r w:rsidRPr="00DB5E86">
        <w:rPr>
          <w:rFonts w:ascii="Times New Roman" w:hAnsi="Times New Roman"/>
        </w:rPr>
        <w:t xml:space="preserve">A variety of stakeholders have advocated reform of the rent system, some </w:t>
      </w:r>
      <w:r w:rsidR="00591542" w:rsidRPr="00591542">
        <w:rPr>
          <w:rFonts w:ascii="Times New Roman" w:hAnsi="Times New Roman"/>
        </w:rPr>
        <w:t>emphasizing</w:t>
      </w:r>
      <w:r w:rsidRPr="00591542">
        <w:rPr>
          <w:rFonts w:ascii="Times New Roman" w:hAnsi="Times New Roman"/>
        </w:rPr>
        <w:t xml:space="preserve"> its adverse impacts on beneficiaries (and eligible non-beneficiaries) and others </w:t>
      </w:r>
      <w:r w:rsidR="00591542" w:rsidRPr="00591542">
        <w:rPr>
          <w:rFonts w:ascii="Times New Roman" w:hAnsi="Times New Roman"/>
        </w:rPr>
        <w:t>emphasizing</w:t>
      </w:r>
      <w:r w:rsidRPr="00591542">
        <w:rPr>
          <w:rFonts w:ascii="Times New Roman" w:hAnsi="Times New Roman"/>
        </w:rPr>
        <w:t xml:space="preserve"> its impacts on </w:t>
      </w:r>
      <w:r w:rsidR="00A658DA">
        <w:rPr>
          <w:rFonts w:ascii="Times New Roman" w:hAnsi="Times New Roman"/>
        </w:rPr>
        <w:t>PHAs</w:t>
      </w:r>
      <w:r w:rsidRPr="00591542">
        <w:rPr>
          <w:rFonts w:ascii="Times New Roman" w:hAnsi="Times New Roman"/>
        </w:rPr>
        <w:t xml:space="preserve"> and their finances. Policy reform has been elusive, however, because moving </w:t>
      </w:r>
      <w:r w:rsidRPr="00591542">
        <w:rPr>
          <w:rFonts w:ascii="Times New Roman" w:hAnsi="Times New Roman"/>
        </w:rPr>
        <w:lastRenderedPageBreak/>
        <w:t>to a new system involves some fundamental tradeoffs around which agreement is hard to achieve. For example, simplifying the rent structure may make it more difficult to ensure that tenants with the greatest need receive the most assistance. At the same time, offering deep subsidies for an unlimited term makes it difficult to serve equally needy families on waiting lists -- given a</w:t>
      </w:r>
      <w:r w:rsidR="00E91A64">
        <w:rPr>
          <w:rFonts w:ascii="Times New Roman" w:hAnsi="Times New Roman"/>
        </w:rPr>
        <w:t>n annual appropriation that is set by Congress each year</w:t>
      </w:r>
      <w:r w:rsidRPr="00591542">
        <w:rPr>
          <w:rFonts w:ascii="Times New Roman" w:hAnsi="Times New Roman"/>
        </w:rPr>
        <w:t xml:space="preserve">. Also, the advantages of standards and protections built into a common federal approach must be weighed against the benefits of allowing local agencies to set rent rules based on local conditions. And finding the right balance in the mission of housing assistance between a strict focus on providing decent affordable housing versus other objectives, such as family self-sufficiency (FSS), is another source of tension among stakeholders. </w:t>
      </w:r>
    </w:p>
    <w:p w:rsidR="0064281F" w:rsidRPr="00591542" w:rsidRDefault="0064281F" w:rsidP="00617C58">
      <w:pPr>
        <w:spacing w:line="240" w:lineRule="auto"/>
        <w:jc w:val="left"/>
        <w:rPr>
          <w:rFonts w:ascii="Times New Roman" w:hAnsi="Times New Roman"/>
        </w:rPr>
      </w:pPr>
    </w:p>
    <w:p w:rsidR="0064281F" w:rsidRPr="00591542" w:rsidRDefault="0064281F" w:rsidP="00617C58">
      <w:pPr>
        <w:spacing w:line="240" w:lineRule="auto"/>
        <w:jc w:val="left"/>
        <w:rPr>
          <w:rFonts w:ascii="Times New Roman" w:hAnsi="Times New Roman"/>
          <w:b/>
        </w:rPr>
      </w:pPr>
      <w:r w:rsidRPr="00591542">
        <w:rPr>
          <w:rFonts w:ascii="Times New Roman" w:hAnsi="Times New Roman"/>
          <w:b/>
        </w:rPr>
        <w:tab/>
        <w:t>C.  Ideas for reforming the current rent system</w:t>
      </w:r>
    </w:p>
    <w:p w:rsidR="0064281F" w:rsidRPr="00591542" w:rsidRDefault="0064281F" w:rsidP="00617C58">
      <w:pPr>
        <w:spacing w:line="240" w:lineRule="auto"/>
        <w:jc w:val="left"/>
        <w:rPr>
          <w:rFonts w:ascii="Times New Roman" w:hAnsi="Times New Roman"/>
        </w:rPr>
      </w:pPr>
    </w:p>
    <w:p w:rsidR="0064281F" w:rsidRPr="00591542" w:rsidRDefault="0064281F" w:rsidP="00617C58">
      <w:pPr>
        <w:spacing w:line="240" w:lineRule="auto"/>
        <w:ind w:firstLine="0"/>
        <w:jc w:val="left"/>
        <w:rPr>
          <w:rFonts w:ascii="Times New Roman" w:hAnsi="Times New Roman"/>
        </w:rPr>
      </w:pPr>
      <w:r w:rsidRPr="00591542">
        <w:rPr>
          <w:rFonts w:ascii="Times New Roman" w:hAnsi="Times New Roman"/>
        </w:rPr>
        <w:t xml:space="preserve">Alternative rent systems that have been contemplated and, in some instances, already adopted by MTW agencies include (a) modifications to the percent-of-income calculation (either to income adjustments involving deductions or disregards, or to the percentage itself such as a stepped/tiered percentage system), (b) modifications to the payment standard system, (c) various versions of stepped/tiered subsidies, such as a stepped-down subsidy with a subsidy floor, (d) a flat subsidy, (e) establishing ceiling rents, (f) varying the amount of the minimum rent, and (g) various hybrid models such as applying a flat subsidy until a household reaches an income threshold and then applying a percent-of-income rent. </w:t>
      </w:r>
    </w:p>
    <w:p w:rsidR="0064281F" w:rsidRPr="00591542" w:rsidRDefault="0064281F" w:rsidP="00617C58">
      <w:pPr>
        <w:spacing w:line="240" w:lineRule="auto"/>
        <w:jc w:val="left"/>
        <w:rPr>
          <w:rFonts w:ascii="Times New Roman" w:hAnsi="Times New Roman"/>
        </w:rPr>
      </w:pPr>
    </w:p>
    <w:p w:rsidR="0064281F" w:rsidRPr="00591542" w:rsidRDefault="0064281F" w:rsidP="005317DD">
      <w:pPr>
        <w:spacing w:line="240" w:lineRule="auto"/>
        <w:ind w:firstLine="0"/>
        <w:jc w:val="left"/>
        <w:rPr>
          <w:rFonts w:ascii="Times New Roman" w:hAnsi="Times New Roman"/>
        </w:rPr>
      </w:pPr>
      <w:r w:rsidRPr="00591542">
        <w:rPr>
          <w:rFonts w:ascii="Times New Roman" w:hAnsi="Times New Roman"/>
        </w:rPr>
        <w:t>Discussion of rent reform also has considered the use of time/term limits either in conjunction with other rent reforms or FSS initiatives, or not. Yet other types of options have also been contemplated, such as the proposals (in Section 8 Voucher Reform Act (SEVRA) and in successor bills) involving a three-year</w:t>
      </w:r>
      <w:r w:rsidRPr="00591542">
        <w:rPr>
          <w:rFonts w:ascii="Times New Roman" w:hAnsi="Times New Roman"/>
          <w:b/>
        </w:rPr>
        <w:t xml:space="preserve"> </w:t>
      </w:r>
      <w:r w:rsidRPr="00591542">
        <w:rPr>
          <w:rFonts w:ascii="Times New Roman" w:hAnsi="Times New Roman"/>
        </w:rPr>
        <w:t xml:space="preserve">recertification for families on fixed incomes where rent is based on the prior-year’s income except at initial eligibility, or involving limiting interim income </w:t>
      </w:r>
      <w:proofErr w:type="spellStart"/>
      <w:r w:rsidRPr="00591542">
        <w:rPr>
          <w:rFonts w:ascii="Times New Roman" w:hAnsi="Times New Roman"/>
        </w:rPr>
        <w:t>recertifications</w:t>
      </w:r>
      <w:proofErr w:type="spellEnd"/>
      <w:r w:rsidRPr="00591542">
        <w:rPr>
          <w:rFonts w:ascii="Times New Roman" w:hAnsi="Times New Roman"/>
        </w:rPr>
        <w:t xml:space="preserve"> for income changes of more than 10 percent. Finally, still other models include variations on FSS escrow accounts such as by limiting them to earnings above a minimum wage level to encourage more substantial wage increases that could feasibly result in families leaving housing assistance. </w:t>
      </w:r>
    </w:p>
    <w:p w:rsidR="0064281F" w:rsidRPr="00591542" w:rsidRDefault="0064281F" w:rsidP="00617C58">
      <w:pPr>
        <w:spacing w:line="240" w:lineRule="auto"/>
        <w:jc w:val="left"/>
        <w:rPr>
          <w:rFonts w:ascii="Times New Roman" w:hAnsi="Times New Roman"/>
        </w:rPr>
      </w:pPr>
    </w:p>
    <w:p w:rsidR="0064281F" w:rsidRPr="00591542" w:rsidRDefault="0064281F" w:rsidP="00617C58">
      <w:pPr>
        <w:spacing w:line="240" w:lineRule="auto"/>
        <w:ind w:firstLine="0"/>
        <w:jc w:val="left"/>
        <w:rPr>
          <w:rFonts w:ascii="Times New Roman" w:hAnsi="Times New Roman"/>
        </w:rPr>
      </w:pPr>
      <w:r w:rsidRPr="00591542">
        <w:rPr>
          <w:rFonts w:ascii="Times New Roman" w:hAnsi="Times New Roman"/>
        </w:rPr>
        <w:t xml:space="preserve">With respect to program simplification to deal with the issues of administrative burden and costs, a variety of ideas have been suggested. These include less frequent collection and verification of income given the fact that rent calculations are time consuming and complex (even more so when HCV recipients’ incomes increase or decrease between annual </w:t>
      </w:r>
      <w:proofErr w:type="spellStart"/>
      <w:r w:rsidRPr="00591542">
        <w:rPr>
          <w:rFonts w:ascii="Times New Roman" w:hAnsi="Times New Roman"/>
        </w:rPr>
        <w:t>recertifications</w:t>
      </w:r>
      <w:proofErr w:type="spellEnd"/>
      <w:r w:rsidRPr="00591542">
        <w:rPr>
          <w:rFonts w:ascii="Times New Roman" w:hAnsi="Times New Roman"/>
        </w:rPr>
        <w:t>), and reconsidering allowances for medical deductions, earned income disregards, disabled care deductions, etc.  Recent legislative proposals – the SEVRA, and its successor, the Section 8 Savings Act (SESA), and now the Affordable Housing and Self-Sufficiency Improvement Act of 2012 (AHSSIA) – have sought changes in both of these dimensions of rent reform for Section 8. They also have included provisions for more rigorous evaluation.</w:t>
      </w:r>
    </w:p>
    <w:p w:rsidR="0064281F" w:rsidRPr="00591542" w:rsidRDefault="0064281F" w:rsidP="00617C58">
      <w:pPr>
        <w:spacing w:line="240" w:lineRule="auto"/>
        <w:jc w:val="left"/>
        <w:rPr>
          <w:rFonts w:ascii="Times New Roman" w:hAnsi="Times New Roman"/>
        </w:rPr>
      </w:pPr>
    </w:p>
    <w:p w:rsidR="0064281F" w:rsidRPr="00591542" w:rsidRDefault="0064281F" w:rsidP="00617C58">
      <w:pPr>
        <w:spacing w:line="240" w:lineRule="auto"/>
        <w:ind w:firstLine="0"/>
        <w:jc w:val="left"/>
        <w:rPr>
          <w:rFonts w:ascii="Times New Roman" w:hAnsi="Times New Roman"/>
        </w:rPr>
      </w:pPr>
      <w:r w:rsidRPr="00591542">
        <w:rPr>
          <w:rFonts w:ascii="Times New Roman" w:hAnsi="Times New Roman"/>
        </w:rPr>
        <w:t xml:space="preserve">At least one MTW agency proposed changing requirements for Housing Quality Standards (HQS) inspections and relying, instead, on city building code inspections to minimize the costs involved.  Some housing professionals also advocate having different administrative requirements for smaller </w:t>
      </w:r>
      <w:r w:rsidR="00A658DA">
        <w:rPr>
          <w:rFonts w:ascii="Times New Roman" w:hAnsi="Times New Roman"/>
        </w:rPr>
        <w:t>PHAs</w:t>
      </w:r>
      <w:r w:rsidRPr="00591542">
        <w:rPr>
          <w:rFonts w:ascii="Times New Roman" w:hAnsi="Times New Roman"/>
        </w:rPr>
        <w:t xml:space="preserve"> than for larger ones.</w:t>
      </w:r>
    </w:p>
    <w:p w:rsidR="0064281F" w:rsidRPr="00591542" w:rsidRDefault="0064281F" w:rsidP="00617C58">
      <w:pPr>
        <w:spacing w:line="240" w:lineRule="auto"/>
        <w:jc w:val="left"/>
        <w:rPr>
          <w:rFonts w:ascii="Times New Roman" w:hAnsi="Times New Roman"/>
        </w:rPr>
      </w:pPr>
    </w:p>
    <w:p w:rsidR="0064281F" w:rsidRPr="00591542" w:rsidRDefault="0064281F" w:rsidP="00617C58">
      <w:pPr>
        <w:spacing w:line="240" w:lineRule="auto"/>
        <w:jc w:val="left"/>
        <w:rPr>
          <w:rFonts w:ascii="Times New Roman" w:hAnsi="Times New Roman"/>
        </w:rPr>
      </w:pPr>
      <w:r w:rsidRPr="00591542">
        <w:rPr>
          <w:rFonts w:ascii="Times New Roman" w:hAnsi="Times New Roman"/>
          <w:b/>
        </w:rPr>
        <w:tab/>
        <w:t>D. Lessons from MTW agencies and the rent flexibility study</w:t>
      </w:r>
    </w:p>
    <w:p w:rsidR="0064281F" w:rsidRPr="00591542" w:rsidRDefault="0064281F" w:rsidP="00617C58">
      <w:pPr>
        <w:spacing w:line="240" w:lineRule="auto"/>
        <w:jc w:val="left"/>
        <w:rPr>
          <w:rFonts w:ascii="Times New Roman" w:hAnsi="Times New Roman"/>
        </w:rPr>
      </w:pPr>
    </w:p>
    <w:p w:rsidR="0064281F" w:rsidRPr="00591542" w:rsidRDefault="0064281F" w:rsidP="00617C58">
      <w:pPr>
        <w:spacing w:line="240" w:lineRule="auto"/>
        <w:ind w:firstLine="0"/>
        <w:jc w:val="left"/>
        <w:rPr>
          <w:rFonts w:ascii="Times New Roman" w:hAnsi="Times New Roman"/>
        </w:rPr>
      </w:pPr>
      <w:r w:rsidRPr="00591542">
        <w:rPr>
          <w:rFonts w:ascii="Times New Roman" w:hAnsi="Times New Roman"/>
        </w:rPr>
        <w:t xml:space="preserve">In terms of actual experimentation with respect to rent reform, MTW demonstration agencies have modified aspects of the rent system, although these generally have not been tried in ways that allowed for rigorous impact assessment. In some cases, such reforms encompass changes in rent formula; in others, they are limited to procedural reforms that could reduce administrative costs -- such as extending the time between </w:t>
      </w:r>
      <w:proofErr w:type="spellStart"/>
      <w:r w:rsidRPr="00591542">
        <w:rPr>
          <w:rFonts w:ascii="Times New Roman" w:hAnsi="Times New Roman"/>
        </w:rPr>
        <w:t>recertifications</w:t>
      </w:r>
      <w:proofErr w:type="spellEnd"/>
      <w:r w:rsidRPr="00591542">
        <w:rPr>
          <w:rFonts w:ascii="Times New Roman" w:hAnsi="Times New Roman"/>
        </w:rPr>
        <w:t xml:space="preserve">. </w:t>
      </w:r>
    </w:p>
    <w:p w:rsidR="0064281F" w:rsidRPr="00591542" w:rsidRDefault="0064281F" w:rsidP="00617C58">
      <w:pPr>
        <w:spacing w:line="240" w:lineRule="auto"/>
        <w:jc w:val="left"/>
        <w:rPr>
          <w:rFonts w:ascii="Times New Roman" w:hAnsi="Times New Roman"/>
        </w:rPr>
      </w:pPr>
    </w:p>
    <w:p w:rsidR="0064281F" w:rsidRPr="00591542" w:rsidRDefault="0064281F" w:rsidP="00617C58">
      <w:pPr>
        <w:spacing w:line="240" w:lineRule="auto"/>
        <w:ind w:firstLine="0"/>
        <w:jc w:val="left"/>
        <w:rPr>
          <w:rFonts w:ascii="Times New Roman" w:hAnsi="Times New Roman"/>
        </w:rPr>
      </w:pPr>
      <w:r w:rsidRPr="00591542">
        <w:rPr>
          <w:rFonts w:ascii="Times New Roman" w:hAnsi="Times New Roman"/>
        </w:rPr>
        <w:t xml:space="preserve">The research undertaken as part of HUD’s Study of </w:t>
      </w:r>
      <w:r w:rsidRPr="00591542">
        <w:rPr>
          <w:rFonts w:ascii="Times New Roman" w:hAnsi="Times New Roman"/>
          <w:i/>
        </w:rPr>
        <w:t>Rents and Rent Flexibility</w:t>
      </w:r>
      <w:r w:rsidRPr="00591542">
        <w:rPr>
          <w:rFonts w:ascii="Times New Roman" w:hAnsi="Times New Roman"/>
        </w:rPr>
        <w:t xml:space="preserve"> suggests a few broad observations:  </w:t>
      </w:r>
    </w:p>
    <w:p w:rsidR="0064281F" w:rsidRPr="00591542" w:rsidRDefault="0064281F" w:rsidP="00617C58">
      <w:pPr>
        <w:spacing w:line="240" w:lineRule="auto"/>
        <w:jc w:val="left"/>
        <w:rPr>
          <w:rFonts w:ascii="Times New Roman" w:hAnsi="Times New Roman"/>
        </w:rPr>
      </w:pPr>
    </w:p>
    <w:p w:rsidR="0064281F" w:rsidRPr="00E60438" w:rsidRDefault="007F1D4D" w:rsidP="00617C58">
      <w:pPr>
        <w:pStyle w:val="ListParagraph"/>
        <w:numPr>
          <w:ilvl w:val="0"/>
          <w:numId w:val="19"/>
        </w:numPr>
        <w:ind w:left="1080"/>
      </w:pPr>
      <w:r w:rsidRPr="00591542">
        <w:rPr>
          <w:b/>
          <w:i/>
        </w:rPr>
        <w:t>HA</w:t>
      </w:r>
      <w:r w:rsidR="0064281F" w:rsidRPr="00591542">
        <w:rPr>
          <w:b/>
          <w:i/>
        </w:rPr>
        <w:t xml:space="preserve"> officials have different ideas </w:t>
      </w:r>
      <w:r w:rsidR="0064281F" w:rsidRPr="00591542">
        <w:t>about how to deal administratively with hardship, say with respect to (a) whether households must request hardship consideration or hardship reviews should be done proactively and routinely, or (b) whether hardship reviews should b</w:t>
      </w:r>
      <w:r w:rsidR="0064281F" w:rsidRPr="00A016BD">
        <w:t>e performed by agency staff or others.  Each option has unknown cost implications.</w:t>
      </w:r>
    </w:p>
    <w:p w:rsidR="0064281F" w:rsidRPr="00F26A83" w:rsidRDefault="0064281F" w:rsidP="00617C58">
      <w:pPr>
        <w:pStyle w:val="ListParagraph"/>
        <w:numPr>
          <w:ilvl w:val="0"/>
          <w:numId w:val="19"/>
        </w:numPr>
        <w:ind w:left="1080"/>
      </w:pPr>
      <w:r w:rsidRPr="00591542">
        <w:t>With respect to a different aspect of administrative simplification, some</w:t>
      </w:r>
      <w:r w:rsidR="006E419F">
        <w:t xml:space="preserve"> PHA </w:t>
      </w:r>
      <w:r w:rsidRPr="00A016BD">
        <w:rPr>
          <w:b/>
          <w:i/>
        </w:rPr>
        <w:t xml:space="preserve">staff </w:t>
      </w:r>
      <w:proofErr w:type="gramStart"/>
      <w:r w:rsidRPr="00A016BD">
        <w:rPr>
          <w:b/>
          <w:i/>
        </w:rPr>
        <w:t>are</w:t>
      </w:r>
      <w:proofErr w:type="gramEnd"/>
      <w:r w:rsidRPr="00A016BD">
        <w:rPr>
          <w:b/>
          <w:i/>
        </w:rPr>
        <w:t xml:space="preserve"> skeptical that reforms can produce cost savings</w:t>
      </w:r>
      <w:r w:rsidRPr="00E60438">
        <w:t xml:space="preserve"> while introducing multiple program va</w:t>
      </w:r>
      <w:r w:rsidRPr="00541C85">
        <w:t xml:space="preserve">riations with different rules or procedures.  Similarly, they suggest that agencies may have to compensate for reducing one benefit (such as increasing the percent of income charged for rent based on number of years of voucher receipt) with other benefits </w:t>
      </w:r>
      <w:r w:rsidRPr="00BB24C3">
        <w:t xml:space="preserve">such as enhanced case management or second-stage reviews of initial hardship request denials.  </w:t>
      </w:r>
    </w:p>
    <w:p w:rsidR="0064281F" w:rsidRPr="00BB24C3" w:rsidRDefault="0064281F" w:rsidP="00617C58">
      <w:pPr>
        <w:pStyle w:val="ListParagraph"/>
        <w:numPr>
          <w:ilvl w:val="0"/>
          <w:numId w:val="19"/>
        </w:numPr>
        <w:ind w:left="1080"/>
      </w:pPr>
      <w:r w:rsidRPr="00591542">
        <w:t>With respect to yet another potential impact of rent reform, the hypothesis has been that a percent-of-income, as opposed to a flat, subsidy system serves as a</w:t>
      </w:r>
      <w:r w:rsidRPr="00A016BD">
        <w:t xml:space="preserve"> disincentive to marriage or cohabitation of multiple wage earners, resulting in mother-only households.  The rent flexibility study suggests that </w:t>
      </w:r>
      <w:r w:rsidRPr="00E60438">
        <w:rPr>
          <w:b/>
          <w:i/>
        </w:rPr>
        <w:t xml:space="preserve">rent reform may not have as large an effect on marriage and cohabitation </w:t>
      </w:r>
      <w:r w:rsidRPr="00541C85">
        <w:t>as some have hypothesized.</w:t>
      </w:r>
    </w:p>
    <w:p w:rsidR="001D47CF" w:rsidRPr="001D47CF" w:rsidRDefault="001D47CF" w:rsidP="001D47CF">
      <w:pPr>
        <w:tabs>
          <w:tab w:val="clear" w:pos="432"/>
          <w:tab w:val="left" w:pos="1530"/>
        </w:tabs>
        <w:spacing w:line="240" w:lineRule="auto"/>
        <w:ind w:firstLine="0"/>
        <w:jc w:val="left"/>
        <w:rPr>
          <w:rFonts w:ascii="Times New Roman" w:hAnsi="Times New Roman"/>
          <w:i/>
        </w:rPr>
      </w:pPr>
    </w:p>
    <w:p w:rsidR="006A35E1" w:rsidRPr="00933DA0" w:rsidRDefault="00A82AAC" w:rsidP="00E07A41">
      <w:pPr>
        <w:widowControl w:val="0"/>
        <w:spacing w:line="240" w:lineRule="auto"/>
        <w:ind w:firstLine="0"/>
        <w:jc w:val="left"/>
        <w:rPr>
          <w:rFonts w:ascii="Arial" w:hAnsi="Arial" w:cs="Arial"/>
          <w:b/>
        </w:rPr>
      </w:pPr>
      <w:r w:rsidRPr="00933DA0">
        <w:rPr>
          <w:rFonts w:ascii="Arial" w:hAnsi="Arial" w:cs="Arial"/>
          <w:b/>
        </w:rPr>
        <w:t>A</w:t>
      </w:r>
      <w:r w:rsidR="00C94ED9">
        <w:rPr>
          <w:rFonts w:ascii="Arial" w:hAnsi="Arial" w:cs="Arial"/>
          <w:b/>
        </w:rPr>
        <w:t>.</w:t>
      </w:r>
      <w:r w:rsidRPr="00933DA0">
        <w:rPr>
          <w:rFonts w:ascii="Arial" w:hAnsi="Arial" w:cs="Arial"/>
          <w:b/>
        </w:rPr>
        <w:t xml:space="preserve">1.2 Overview of the </w:t>
      </w:r>
      <w:r w:rsidR="00A016BD">
        <w:rPr>
          <w:rFonts w:ascii="Arial" w:hAnsi="Arial" w:cs="Arial"/>
          <w:b/>
        </w:rPr>
        <w:t xml:space="preserve">Rent Reform </w:t>
      </w:r>
      <w:r w:rsidR="00F645D6">
        <w:rPr>
          <w:rFonts w:ascii="Arial" w:hAnsi="Arial" w:cs="Arial"/>
          <w:b/>
        </w:rPr>
        <w:t xml:space="preserve">Demonstration </w:t>
      </w:r>
    </w:p>
    <w:p w:rsidR="00E07A41" w:rsidRDefault="00E07A41" w:rsidP="00E07A41">
      <w:pPr>
        <w:spacing w:line="240" w:lineRule="auto"/>
        <w:ind w:firstLine="0"/>
        <w:jc w:val="left"/>
        <w:rPr>
          <w:rFonts w:ascii="Times New Roman" w:hAnsi="Times New Roman"/>
        </w:rPr>
      </w:pPr>
    </w:p>
    <w:p w:rsidR="000042A8" w:rsidRDefault="000042A8" w:rsidP="00F66D8F">
      <w:pPr>
        <w:tabs>
          <w:tab w:val="clear" w:pos="432"/>
        </w:tabs>
        <w:spacing w:line="240" w:lineRule="auto"/>
        <w:ind w:firstLine="720"/>
        <w:jc w:val="left"/>
        <w:rPr>
          <w:rFonts w:ascii="Arial" w:hAnsi="Arial" w:cs="Arial"/>
          <w:b/>
        </w:rPr>
      </w:pPr>
      <w:r w:rsidRPr="00DB5E86">
        <w:rPr>
          <w:rFonts w:ascii="Arial" w:hAnsi="Arial" w:cs="Arial"/>
          <w:b/>
        </w:rPr>
        <w:t>Features of the Alternative Rent Model</w:t>
      </w:r>
    </w:p>
    <w:p w:rsidR="00DF1275" w:rsidRPr="001D47CF" w:rsidRDefault="00DF1275" w:rsidP="000042A8">
      <w:pPr>
        <w:tabs>
          <w:tab w:val="clear" w:pos="432"/>
        </w:tabs>
        <w:spacing w:line="240" w:lineRule="auto"/>
        <w:ind w:firstLine="0"/>
        <w:jc w:val="left"/>
        <w:rPr>
          <w:rFonts w:ascii="Times New Roman" w:hAnsi="Times New Roman"/>
        </w:rPr>
      </w:pPr>
    </w:p>
    <w:p w:rsidR="000042A8" w:rsidRPr="001D47CF" w:rsidRDefault="000042A8" w:rsidP="00400C5C">
      <w:pPr>
        <w:tabs>
          <w:tab w:val="clear" w:pos="432"/>
        </w:tabs>
        <w:spacing w:before="240" w:line="240" w:lineRule="auto"/>
        <w:ind w:firstLine="0"/>
        <w:contextualSpacing/>
        <w:jc w:val="left"/>
        <w:rPr>
          <w:rFonts w:ascii="Times New Roman" w:eastAsia="Calibri" w:hAnsi="Times New Roman"/>
        </w:rPr>
      </w:pPr>
      <w:r w:rsidRPr="001D47CF">
        <w:rPr>
          <w:rFonts w:ascii="Times New Roman" w:eastAsia="Calibri" w:hAnsi="Times New Roman"/>
        </w:rPr>
        <w:t xml:space="preserve">The MDRC team has consulted extensively with HUD program and research </w:t>
      </w:r>
      <w:r w:rsidR="00DF1275">
        <w:rPr>
          <w:rFonts w:ascii="Times New Roman" w:eastAsia="Calibri" w:hAnsi="Times New Roman"/>
        </w:rPr>
        <w:t xml:space="preserve">staff, </w:t>
      </w:r>
      <w:r w:rsidRPr="001D47CF">
        <w:rPr>
          <w:rFonts w:ascii="Times New Roman" w:eastAsia="Calibri" w:hAnsi="Times New Roman"/>
        </w:rPr>
        <w:t xml:space="preserve">advocacy organizations, </w:t>
      </w:r>
      <w:proofErr w:type="gramStart"/>
      <w:r w:rsidRPr="001D47CF">
        <w:rPr>
          <w:rFonts w:ascii="Times New Roman" w:eastAsia="Calibri" w:hAnsi="Times New Roman"/>
        </w:rPr>
        <w:t>Moving</w:t>
      </w:r>
      <w:proofErr w:type="gramEnd"/>
      <w:r w:rsidRPr="001D47CF">
        <w:rPr>
          <w:rFonts w:ascii="Times New Roman" w:eastAsia="Calibri" w:hAnsi="Times New Roman"/>
        </w:rPr>
        <w:t xml:space="preserve"> to Work (MTW) </w:t>
      </w:r>
      <w:r w:rsidR="00FB49F3">
        <w:rPr>
          <w:rFonts w:ascii="Times New Roman" w:eastAsia="Calibri" w:hAnsi="Times New Roman"/>
        </w:rPr>
        <w:t xml:space="preserve">public </w:t>
      </w:r>
      <w:r w:rsidRPr="001D47CF">
        <w:rPr>
          <w:rFonts w:ascii="Times New Roman" w:eastAsia="Calibri" w:hAnsi="Times New Roman"/>
        </w:rPr>
        <w:t>housing agencies (</w:t>
      </w:r>
      <w:r w:rsidR="00A658DA">
        <w:rPr>
          <w:rFonts w:ascii="Times New Roman" w:eastAsia="Calibri" w:hAnsi="Times New Roman"/>
        </w:rPr>
        <w:t>PHAs</w:t>
      </w:r>
      <w:r w:rsidRPr="001D47CF">
        <w:rPr>
          <w:rFonts w:ascii="Times New Roman" w:eastAsia="Calibri" w:hAnsi="Times New Roman"/>
        </w:rPr>
        <w:t xml:space="preserve">), and consulting organizations that support the activities of </w:t>
      </w:r>
      <w:r w:rsidR="00A658DA">
        <w:rPr>
          <w:rFonts w:ascii="Times New Roman" w:eastAsia="Calibri" w:hAnsi="Times New Roman"/>
        </w:rPr>
        <w:t>PHAs</w:t>
      </w:r>
      <w:r w:rsidRPr="001D47CF">
        <w:rPr>
          <w:rFonts w:ascii="Times New Roman" w:eastAsia="Calibri" w:hAnsi="Times New Roman"/>
        </w:rPr>
        <w:t xml:space="preserve">.  </w:t>
      </w:r>
      <w:r w:rsidR="00993CD9" w:rsidRPr="001D47CF">
        <w:rPr>
          <w:rFonts w:ascii="Times New Roman" w:eastAsia="Calibri" w:hAnsi="Times New Roman"/>
        </w:rPr>
        <w:t xml:space="preserve">Following on this process, an alternative rent model is taking the shape of </w:t>
      </w:r>
      <w:r w:rsidR="00993CD9">
        <w:rPr>
          <w:rFonts w:ascii="Times New Roman" w:eastAsia="Calibri" w:hAnsi="Times New Roman"/>
        </w:rPr>
        <w:t xml:space="preserve">a framework with </w:t>
      </w:r>
      <w:r w:rsidR="00993CD9" w:rsidRPr="001D47CF">
        <w:rPr>
          <w:rFonts w:ascii="Times New Roman" w:eastAsia="Calibri" w:hAnsi="Times New Roman"/>
        </w:rPr>
        <w:t xml:space="preserve">several fundamental features while leaving some room for </w:t>
      </w:r>
      <w:r w:rsidR="002E7597">
        <w:rPr>
          <w:rFonts w:ascii="Times New Roman" w:eastAsia="Calibri" w:hAnsi="Times New Roman"/>
        </w:rPr>
        <w:t>P</w:t>
      </w:r>
      <w:r w:rsidR="00993CD9" w:rsidRPr="001D47CF">
        <w:rPr>
          <w:rFonts w:ascii="Times New Roman" w:eastAsia="Calibri" w:hAnsi="Times New Roman"/>
        </w:rPr>
        <w:t>HA discretion in adapting those features to local conditions.</w:t>
      </w:r>
    </w:p>
    <w:p w:rsidR="000042A8" w:rsidRPr="001D47CF" w:rsidRDefault="000042A8" w:rsidP="00400C5C">
      <w:pPr>
        <w:tabs>
          <w:tab w:val="clear" w:pos="432"/>
        </w:tabs>
        <w:spacing w:before="240" w:line="240" w:lineRule="auto"/>
        <w:ind w:firstLine="0"/>
        <w:contextualSpacing/>
        <w:jc w:val="left"/>
        <w:rPr>
          <w:rFonts w:ascii="Times New Roman" w:eastAsia="Calibri" w:hAnsi="Times New Roman"/>
        </w:rPr>
      </w:pPr>
    </w:p>
    <w:p w:rsidR="0086435D" w:rsidRPr="0086435D" w:rsidRDefault="0086435D" w:rsidP="00400C5C">
      <w:pPr>
        <w:tabs>
          <w:tab w:val="clear" w:pos="432"/>
        </w:tabs>
        <w:spacing w:line="240" w:lineRule="auto"/>
        <w:ind w:firstLine="0"/>
        <w:contextualSpacing/>
        <w:jc w:val="left"/>
        <w:rPr>
          <w:rFonts w:ascii="Times New Roman" w:eastAsia="Calibri" w:hAnsi="Times New Roman"/>
        </w:rPr>
      </w:pPr>
      <w:r w:rsidRPr="0086435D">
        <w:rPr>
          <w:rFonts w:ascii="Times New Roman" w:eastAsia="Calibri" w:hAnsi="Times New Roman"/>
        </w:rPr>
        <w:t>The alternative rent policy will apply only to HCV recipients</w:t>
      </w:r>
      <w:r w:rsidRPr="0086435D">
        <w:rPr>
          <w:rFonts w:ascii="Times New Roman" w:eastAsia="Calibri" w:hAnsi="Times New Roman"/>
          <w:vertAlign w:val="superscript"/>
        </w:rPr>
        <w:footnoteReference w:id="1"/>
      </w:r>
      <w:r w:rsidRPr="0086435D">
        <w:rPr>
          <w:rFonts w:ascii="Times New Roman" w:eastAsia="Calibri" w:hAnsi="Times New Roman"/>
        </w:rPr>
        <w:t xml:space="preserve"> and include the following key features: </w:t>
      </w:r>
    </w:p>
    <w:p w:rsidR="0086435D" w:rsidRPr="0086435D" w:rsidRDefault="0086435D" w:rsidP="00400C5C">
      <w:pPr>
        <w:tabs>
          <w:tab w:val="clear" w:pos="432"/>
        </w:tabs>
        <w:spacing w:line="240" w:lineRule="auto"/>
        <w:ind w:left="720" w:firstLine="0"/>
        <w:contextualSpacing/>
        <w:jc w:val="left"/>
        <w:rPr>
          <w:rFonts w:ascii="Times New Roman" w:eastAsia="Calibri" w:hAnsi="Times New Roman"/>
        </w:rPr>
      </w:pPr>
    </w:p>
    <w:p w:rsidR="0086435D" w:rsidRDefault="0086435D" w:rsidP="00400C5C">
      <w:pPr>
        <w:numPr>
          <w:ilvl w:val="0"/>
          <w:numId w:val="29"/>
        </w:numPr>
        <w:tabs>
          <w:tab w:val="clear" w:pos="432"/>
        </w:tabs>
        <w:spacing w:line="240" w:lineRule="auto"/>
        <w:ind w:left="1080"/>
        <w:contextualSpacing/>
        <w:jc w:val="left"/>
        <w:rPr>
          <w:rFonts w:ascii="Times New Roman" w:eastAsia="Calibri" w:hAnsi="Times New Roman"/>
          <w:b/>
        </w:rPr>
      </w:pPr>
      <w:r w:rsidRPr="0086435D">
        <w:rPr>
          <w:rFonts w:ascii="Times New Roman" w:eastAsia="Calibri" w:hAnsi="Times New Roman"/>
          <w:b/>
        </w:rPr>
        <w:lastRenderedPageBreak/>
        <w:t>Simplifying the calculation of the household’s total tenant payment (TTP) and subsidy amount by:</w:t>
      </w:r>
    </w:p>
    <w:p w:rsidR="00400C5C" w:rsidRPr="0086435D" w:rsidRDefault="00400C5C" w:rsidP="00400C5C">
      <w:pPr>
        <w:tabs>
          <w:tab w:val="clear" w:pos="432"/>
        </w:tabs>
        <w:spacing w:line="240" w:lineRule="auto"/>
        <w:ind w:left="1080" w:firstLine="0"/>
        <w:contextualSpacing/>
        <w:jc w:val="left"/>
        <w:rPr>
          <w:rFonts w:ascii="Times New Roman" w:eastAsia="Calibri" w:hAnsi="Times New Roman"/>
          <w:b/>
        </w:rPr>
      </w:pPr>
    </w:p>
    <w:p w:rsidR="0086435D" w:rsidRPr="0086435D" w:rsidRDefault="00E91A64" w:rsidP="00400C5C">
      <w:pPr>
        <w:numPr>
          <w:ilvl w:val="1"/>
          <w:numId w:val="29"/>
        </w:numPr>
        <w:tabs>
          <w:tab w:val="clear" w:pos="432"/>
        </w:tabs>
        <w:spacing w:line="240" w:lineRule="auto"/>
        <w:contextualSpacing/>
        <w:jc w:val="left"/>
        <w:rPr>
          <w:rFonts w:ascii="Times New Roman" w:eastAsia="Calibri" w:hAnsi="Times New Roman"/>
        </w:rPr>
      </w:pPr>
      <w:r>
        <w:rPr>
          <w:rFonts w:ascii="Times New Roman" w:eastAsia="Calibri" w:hAnsi="Times New Roman"/>
        </w:rPr>
        <w:t xml:space="preserve"> </w:t>
      </w:r>
      <w:r w:rsidR="0086435D" w:rsidRPr="0086435D">
        <w:rPr>
          <w:rFonts w:ascii="Times New Roman" w:eastAsia="Calibri" w:hAnsi="Times New Roman"/>
        </w:rPr>
        <w:t>Eliminating deductions and allowances,</w:t>
      </w:r>
    </w:p>
    <w:p w:rsidR="0086435D" w:rsidRPr="0086435D" w:rsidRDefault="0086435D" w:rsidP="00400C5C">
      <w:pPr>
        <w:numPr>
          <w:ilvl w:val="1"/>
          <w:numId w:val="29"/>
        </w:numPr>
        <w:tabs>
          <w:tab w:val="clear" w:pos="432"/>
        </w:tabs>
        <w:spacing w:line="240" w:lineRule="auto"/>
        <w:contextualSpacing/>
        <w:jc w:val="left"/>
        <w:rPr>
          <w:rFonts w:ascii="Times New Roman" w:eastAsia="Calibri" w:hAnsi="Times New Roman"/>
        </w:rPr>
      </w:pPr>
      <w:r w:rsidRPr="0086435D">
        <w:rPr>
          <w:rFonts w:ascii="Times New Roman" w:eastAsia="Calibri" w:hAnsi="Times New Roman"/>
        </w:rPr>
        <w:t xml:space="preserve">Changing the percent of income that a household pays for its share, from 30 percent of </w:t>
      </w:r>
      <w:r w:rsidRPr="0086435D">
        <w:rPr>
          <w:rFonts w:ascii="Times New Roman" w:eastAsia="Calibri" w:hAnsi="Times New Roman"/>
          <w:i/>
        </w:rPr>
        <w:t>adjusted income</w:t>
      </w:r>
      <w:r w:rsidRPr="0086435D">
        <w:rPr>
          <w:rFonts w:ascii="Times New Roman" w:eastAsia="Calibri" w:hAnsi="Times New Roman"/>
        </w:rPr>
        <w:t xml:space="preserve"> to 28 percent of </w:t>
      </w:r>
      <w:r w:rsidRPr="0086435D">
        <w:rPr>
          <w:rFonts w:ascii="Times New Roman" w:eastAsia="Calibri" w:hAnsi="Times New Roman"/>
          <w:i/>
        </w:rPr>
        <w:t>gross income,</w:t>
      </w:r>
      <w:r w:rsidRPr="0086435D">
        <w:rPr>
          <w:rFonts w:ascii="Times New Roman" w:eastAsia="Calibri" w:hAnsi="Times New Roman"/>
        </w:rPr>
        <w:t xml:space="preserve">  </w:t>
      </w:r>
    </w:p>
    <w:p w:rsidR="0086435D" w:rsidRPr="0086435D" w:rsidRDefault="00E91A64" w:rsidP="00400C5C">
      <w:pPr>
        <w:numPr>
          <w:ilvl w:val="1"/>
          <w:numId w:val="29"/>
        </w:numPr>
        <w:tabs>
          <w:tab w:val="clear" w:pos="432"/>
        </w:tabs>
        <w:spacing w:line="240" w:lineRule="auto"/>
        <w:contextualSpacing/>
        <w:jc w:val="left"/>
        <w:rPr>
          <w:rFonts w:ascii="Times New Roman" w:eastAsia="Calibri" w:hAnsi="Times New Roman"/>
        </w:rPr>
      </w:pPr>
      <w:r>
        <w:rPr>
          <w:rFonts w:ascii="Times New Roman" w:eastAsia="Calibri" w:hAnsi="Times New Roman"/>
        </w:rPr>
        <w:t xml:space="preserve"> </w:t>
      </w:r>
      <w:r w:rsidR="0086435D" w:rsidRPr="0086435D">
        <w:rPr>
          <w:rFonts w:ascii="Times New Roman" w:eastAsia="Calibri" w:hAnsi="Times New Roman"/>
        </w:rPr>
        <w:t>Ignoring a household’s income from assets when the total value of its assets is $25,000</w:t>
      </w:r>
      <w:r w:rsidR="00B54408">
        <w:rPr>
          <w:rFonts w:ascii="Times New Roman" w:eastAsia="Calibri" w:hAnsi="Times New Roman"/>
        </w:rPr>
        <w:t xml:space="preserve"> or less</w:t>
      </w:r>
      <w:r w:rsidR="0086435D" w:rsidRPr="0086435D">
        <w:rPr>
          <w:rFonts w:ascii="Times New Roman" w:eastAsia="Calibri" w:hAnsi="Times New Roman"/>
        </w:rPr>
        <w:t>, and</w:t>
      </w:r>
    </w:p>
    <w:p w:rsidR="0086435D" w:rsidRPr="0086435D" w:rsidDel="00F11389" w:rsidRDefault="0086435D" w:rsidP="00400C5C">
      <w:pPr>
        <w:numPr>
          <w:ilvl w:val="1"/>
          <w:numId w:val="29"/>
        </w:numPr>
        <w:tabs>
          <w:tab w:val="clear" w:pos="432"/>
        </w:tabs>
        <w:spacing w:line="240" w:lineRule="auto"/>
        <w:contextualSpacing/>
        <w:jc w:val="left"/>
        <w:rPr>
          <w:rFonts w:ascii="Times New Roman" w:eastAsia="Calibri" w:hAnsi="Times New Roman"/>
        </w:rPr>
      </w:pPr>
      <w:r w:rsidRPr="0086435D">
        <w:rPr>
          <w:rFonts w:ascii="Times New Roman" w:eastAsia="Calibri" w:hAnsi="Times New Roman"/>
        </w:rPr>
        <w:t>Simplifying the policy for determining utility allowances</w:t>
      </w:r>
      <w:r w:rsidR="00D26C00">
        <w:rPr>
          <w:rFonts w:ascii="Times New Roman" w:eastAsia="Calibri" w:hAnsi="Times New Roman"/>
        </w:rPr>
        <w:t>.</w:t>
      </w:r>
    </w:p>
    <w:p w:rsidR="0086435D" w:rsidRPr="0086435D" w:rsidRDefault="0086435D" w:rsidP="00400C5C">
      <w:pPr>
        <w:tabs>
          <w:tab w:val="clear" w:pos="432"/>
        </w:tabs>
        <w:spacing w:line="240" w:lineRule="auto"/>
        <w:ind w:left="1080" w:firstLine="0"/>
        <w:contextualSpacing/>
        <w:jc w:val="left"/>
        <w:rPr>
          <w:rFonts w:ascii="Times New Roman" w:eastAsia="Calibri" w:hAnsi="Times New Roman"/>
        </w:rPr>
      </w:pPr>
    </w:p>
    <w:p w:rsidR="0086435D" w:rsidRPr="0086435D" w:rsidRDefault="00E91A64" w:rsidP="00400C5C">
      <w:pPr>
        <w:numPr>
          <w:ilvl w:val="0"/>
          <w:numId w:val="29"/>
        </w:numPr>
        <w:tabs>
          <w:tab w:val="clear" w:pos="432"/>
        </w:tabs>
        <w:spacing w:line="240" w:lineRule="auto"/>
        <w:ind w:left="1080"/>
        <w:contextualSpacing/>
        <w:jc w:val="left"/>
        <w:rPr>
          <w:rFonts w:ascii="Times New Roman" w:eastAsia="Calibri" w:hAnsi="Times New Roman"/>
        </w:rPr>
      </w:pPr>
      <w:r>
        <w:rPr>
          <w:rFonts w:ascii="Times New Roman" w:eastAsia="Calibri" w:hAnsi="Times New Roman"/>
          <w:b/>
        </w:rPr>
        <w:t>Using</w:t>
      </w:r>
      <w:r w:rsidRPr="0086435D">
        <w:rPr>
          <w:rFonts w:ascii="Times New Roman" w:eastAsia="Calibri" w:hAnsi="Times New Roman"/>
          <w:b/>
        </w:rPr>
        <w:t xml:space="preserve"> </w:t>
      </w:r>
      <w:r w:rsidR="0086435D" w:rsidRPr="0086435D">
        <w:rPr>
          <w:rFonts w:ascii="Times New Roman" w:eastAsia="Calibri" w:hAnsi="Times New Roman"/>
          <w:b/>
          <w:i/>
        </w:rPr>
        <w:t>retrospective</w:t>
      </w:r>
      <w:r w:rsidR="0086435D" w:rsidRPr="0086435D">
        <w:rPr>
          <w:rFonts w:ascii="Times New Roman" w:eastAsia="Calibri" w:hAnsi="Times New Roman"/>
          <w:b/>
        </w:rPr>
        <w:t xml:space="preserve"> income in setting a household’s TTP and housing subsidy</w:t>
      </w:r>
      <w:r w:rsidR="0086435D" w:rsidRPr="0086435D">
        <w:rPr>
          <w:rFonts w:ascii="Times New Roman" w:eastAsia="Calibri" w:hAnsi="Times New Roman"/>
        </w:rPr>
        <w:t xml:space="preserve"> (to discourage intention</w:t>
      </w:r>
      <w:r w:rsidR="00D26C00">
        <w:rPr>
          <w:rFonts w:ascii="Times New Roman" w:eastAsia="Calibri" w:hAnsi="Times New Roman"/>
        </w:rPr>
        <w:t>al</w:t>
      </w:r>
      <w:r w:rsidR="0086435D" w:rsidRPr="0086435D">
        <w:rPr>
          <w:rFonts w:ascii="Times New Roman" w:eastAsia="Calibri" w:hAnsi="Times New Roman"/>
        </w:rPr>
        <w:t xml:space="preserve"> reductions in income)</w:t>
      </w:r>
    </w:p>
    <w:p w:rsidR="0086435D" w:rsidRPr="0086435D" w:rsidRDefault="0086435D" w:rsidP="00400C5C">
      <w:pPr>
        <w:tabs>
          <w:tab w:val="clear" w:pos="432"/>
        </w:tabs>
        <w:spacing w:line="240" w:lineRule="auto"/>
        <w:ind w:left="1080" w:firstLine="0"/>
        <w:contextualSpacing/>
        <w:jc w:val="left"/>
        <w:rPr>
          <w:rFonts w:ascii="Times New Roman" w:eastAsia="Calibri" w:hAnsi="Times New Roman"/>
          <w:highlight w:val="yellow"/>
        </w:rPr>
      </w:pPr>
      <w:r w:rsidRPr="0086435D">
        <w:rPr>
          <w:rFonts w:ascii="Times New Roman" w:eastAsia="Calibri" w:hAnsi="Times New Roman"/>
          <w:highlight w:val="yellow"/>
        </w:rPr>
        <w:t xml:space="preserve"> </w:t>
      </w:r>
    </w:p>
    <w:p w:rsidR="0086435D" w:rsidRPr="0086435D" w:rsidRDefault="0086435D" w:rsidP="00400C5C">
      <w:pPr>
        <w:numPr>
          <w:ilvl w:val="0"/>
          <w:numId w:val="29"/>
        </w:numPr>
        <w:tabs>
          <w:tab w:val="clear" w:pos="432"/>
        </w:tabs>
        <w:spacing w:line="240" w:lineRule="auto"/>
        <w:ind w:left="1080"/>
        <w:contextualSpacing/>
        <w:jc w:val="left"/>
        <w:rPr>
          <w:rFonts w:ascii="Times New Roman" w:eastAsia="Calibri" w:hAnsi="Times New Roman"/>
        </w:rPr>
      </w:pPr>
      <w:r w:rsidRPr="0086435D">
        <w:rPr>
          <w:rFonts w:ascii="Times New Roman" w:eastAsia="Calibri" w:hAnsi="Times New Roman"/>
          <w:b/>
        </w:rPr>
        <w:t>Establishing a minimum TTP of at least $</w:t>
      </w:r>
      <w:r w:rsidR="001E4175">
        <w:rPr>
          <w:rFonts w:ascii="Times New Roman" w:eastAsia="Calibri" w:hAnsi="Times New Roman"/>
          <w:b/>
        </w:rPr>
        <w:t>50</w:t>
      </w:r>
      <w:r w:rsidR="001E4175" w:rsidRPr="0086435D">
        <w:rPr>
          <w:rFonts w:ascii="Times New Roman" w:eastAsia="Calibri" w:hAnsi="Times New Roman"/>
          <w:b/>
        </w:rPr>
        <w:t xml:space="preserve"> </w:t>
      </w:r>
      <w:r w:rsidRPr="0086435D">
        <w:rPr>
          <w:rFonts w:ascii="Times New Roman" w:eastAsia="Calibri" w:hAnsi="Times New Roman"/>
          <w:b/>
        </w:rPr>
        <w:t xml:space="preserve">and requiring that all households pay a minimum amount of rent directly to the landlord, </w:t>
      </w:r>
      <w:r w:rsidRPr="0086435D">
        <w:rPr>
          <w:rFonts w:ascii="Times New Roman" w:eastAsia="Calibri" w:hAnsi="Times New Roman"/>
        </w:rPr>
        <w:t>to mirror the landlord-tenant relationship in the non-subsidized rental market</w:t>
      </w:r>
    </w:p>
    <w:p w:rsidR="0086435D" w:rsidRPr="0086435D" w:rsidRDefault="0086435D" w:rsidP="00400C5C">
      <w:pPr>
        <w:tabs>
          <w:tab w:val="clear" w:pos="432"/>
        </w:tabs>
        <w:spacing w:line="240" w:lineRule="auto"/>
        <w:ind w:left="720" w:firstLine="0"/>
        <w:contextualSpacing/>
        <w:jc w:val="left"/>
        <w:rPr>
          <w:rFonts w:ascii="Times New Roman" w:eastAsia="Calibri" w:hAnsi="Times New Roman"/>
        </w:rPr>
      </w:pPr>
    </w:p>
    <w:p w:rsidR="0086435D" w:rsidRPr="0086435D" w:rsidRDefault="0086435D" w:rsidP="00400C5C">
      <w:pPr>
        <w:numPr>
          <w:ilvl w:val="0"/>
          <w:numId w:val="29"/>
        </w:numPr>
        <w:tabs>
          <w:tab w:val="clear" w:pos="432"/>
        </w:tabs>
        <w:spacing w:line="240" w:lineRule="auto"/>
        <w:ind w:left="1080"/>
        <w:contextualSpacing/>
        <w:jc w:val="left"/>
        <w:rPr>
          <w:rFonts w:ascii="Times New Roman" w:eastAsia="Calibri" w:hAnsi="Times New Roman"/>
        </w:rPr>
      </w:pPr>
      <w:r w:rsidRPr="0086435D">
        <w:rPr>
          <w:rFonts w:ascii="Times New Roman" w:eastAsia="Calibri" w:hAnsi="Times New Roman"/>
          <w:b/>
        </w:rPr>
        <w:t xml:space="preserve">Conducting income </w:t>
      </w:r>
      <w:proofErr w:type="spellStart"/>
      <w:r w:rsidRPr="0086435D">
        <w:rPr>
          <w:rFonts w:ascii="Times New Roman" w:eastAsia="Calibri" w:hAnsi="Times New Roman"/>
          <w:b/>
        </w:rPr>
        <w:t>recertifications</w:t>
      </w:r>
      <w:proofErr w:type="spellEnd"/>
      <w:r w:rsidRPr="0086435D">
        <w:rPr>
          <w:rFonts w:ascii="Times New Roman" w:eastAsia="Calibri" w:hAnsi="Times New Roman"/>
          <w:b/>
        </w:rPr>
        <w:t xml:space="preserve"> triennially rather than annually,</w:t>
      </w:r>
      <w:r w:rsidRPr="0086435D">
        <w:rPr>
          <w:rFonts w:ascii="Times New Roman" w:eastAsia="Calibri" w:hAnsi="Times New Roman"/>
        </w:rPr>
        <w:t xml:space="preserve"> so that earnings gains do not increase TTP for three years (thus creating a strong work incentive by eliminating, for an extended period, the implicit housing-subsidy-related “tax” on increased earnings ) </w:t>
      </w:r>
    </w:p>
    <w:p w:rsidR="0086435D" w:rsidRPr="0086435D" w:rsidRDefault="0086435D" w:rsidP="00400C5C">
      <w:pPr>
        <w:tabs>
          <w:tab w:val="clear" w:pos="432"/>
        </w:tabs>
        <w:spacing w:line="240" w:lineRule="auto"/>
        <w:ind w:left="1080" w:firstLine="0"/>
        <w:contextualSpacing/>
        <w:jc w:val="left"/>
        <w:rPr>
          <w:rFonts w:ascii="Times New Roman" w:eastAsia="Calibri" w:hAnsi="Times New Roman"/>
        </w:rPr>
      </w:pPr>
    </w:p>
    <w:p w:rsidR="0086435D" w:rsidRPr="0086435D" w:rsidRDefault="0086435D" w:rsidP="00400C5C">
      <w:pPr>
        <w:numPr>
          <w:ilvl w:val="0"/>
          <w:numId w:val="29"/>
        </w:numPr>
        <w:tabs>
          <w:tab w:val="clear" w:pos="432"/>
        </w:tabs>
        <w:spacing w:line="240" w:lineRule="auto"/>
        <w:ind w:left="1080"/>
        <w:contextualSpacing/>
        <w:jc w:val="left"/>
        <w:rPr>
          <w:rFonts w:ascii="Times New Roman" w:eastAsia="Calibri" w:hAnsi="Times New Roman"/>
        </w:rPr>
      </w:pPr>
      <w:r w:rsidRPr="0086435D">
        <w:rPr>
          <w:rFonts w:ascii="Times New Roman" w:eastAsia="Calibri" w:hAnsi="Times New Roman"/>
          <w:b/>
        </w:rPr>
        <w:t xml:space="preserve">Limiting </w:t>
      </w:r>
      <w:r w:rsidR="00D26C00">
        <w:rPr>
          <w:rFonts w:ascii="Times New Roman" w:eastAsia="Calibri" w:hAnsi="Times New Roman"/>
          <w:b/>
        </w:rPr>
        <w:t xml:space="preserve">household-requested </w:t>
      </w:r>
      <w:r w:rsidRPr="0086435D">
        <w:rPr>
          <w:rFonts w:ascii="Times New Roman" w:eastAsia="Calibri" w:hAnsi="Times New Roman"/>
          <w:b/>
        </w:rPr>
        <w:t xml:space="preserve">interim </w:t>
      </w:r>
      <w:proofErr w:type="spellStart"/>
      <w:r w:rsidRPr="0086435D">
        <w:rPr>
          <w:rFonts w:ascii="Times New Roman" w:eastAsia="Calibri" w:hAnsi="Times New Roman"/>
          <w:b/>
        </w:rPr>
        <w:t>recertifications</w:t>
      </w:r>
      <w:proofErr w:type="spellEnd"/>
      <w:r w:rsidRPr="0086435D">
        <w:rPr>
          <w:rFonts w:ascii="Times New Roman" w:eastAsia="Calibri" w:hAnsi="Times New Roman"/>
          <w:b/>
        </w:rPr>
        <w:t xml:space="preserve"> to a maximum of one per year</w:t>
      </w:r>
      <w:r w:rsidRPr="0086435D">
        <w:rPr>
          <w:rFonts w:ascii="Times New Roman" w:eastAsia="Calibri" w:hAnsi="Times New Roman"/>
        </w:rPr>
        <w:t xml:space="preserve">, to protect households when their income drops while limiting the burden to the housing agency </w:t>
      </w:r>
    </w:p>
    <w:p w:rsidR="0086435D" w:rsidRPr="0086435D" w:rsidRDefault="0086435D" w:rsidP="0086435D">
      <w:pPr>
        <w:tabs>
          <w:tab w:val="clear" w:pos="432"/>
        </w:tabs>
        <w:spacing w:line="276" w:lineRule="auto"/>
        <w:ind w:left="1080" w:firstLine="0"/>
        <w:contextualSpacing/>
        <w:jc w:val="left"/>
        <w:rPr>
          <w:rFonts w:ascii="Times New Roman" w:eastAsia="Calibri" w:hAnsi="Times New Roman"/>
        </w:rPr>
      </w:pPr>
    </w:p>
    <w:p w:rsidR="0086435D" w:rsidRPr="0086435D" w:rsidRDefault="0086435D" w:rsidP="00400C5C">
      <w:pPr>
        <w:numPr>
          <w:ilvl w:val="0"/>
          <w:numId w:val="29"/>
        </w:numPr>
        <w:tabs>
          <w:tab w:val="clear" w:pos="432"/>
        </w:tabs>
        <w:spacing w:line="240" w:lineRule="auto"/>
        <w:ind w:left="1080"/>
        <w:contextualSpacing/>
        <w:jc w:val="left"/>
        <w:rPr>
          <w:rFonts w:ascii="Times New Roman" w:eastAsia="Calibri" w:hAnsi="Times New Roman"/>
        </w:rPr>
      </w:pPr>
      <w:r w:rsidRPr="0086435D">
        <w:rPr>
          <w:rFonts w:ascii="Times New Roman" w:eastAsia="Calibri" w:hAnsi="Times New Roman"/>
          <w:b/>
        </w:rPr>
        <w:t>Establishing a suitable hardship policy</w:t>
      </w:r>
      <w:r w:rsidRPr="0086435D">
        <w:rPr>
          <w:rFonts w:ascii="Times New Roman" w:eastAsia="Calibri" w:hAnsi="Times New Roman"/>
        </w:rPr>
        <w:t xml:space="preserve"> that identifies a standard set of hardship conditions and remedies to protect households from excessive rent burdens.  </w:t>
      </w:r>
    </w:p>
    <w:p w:rsidR="0086435D" w:rsidRPr="0086435D" w:rsidRDefault="0086435D" w:rsidP="00400C5C">
      <w:pPr>
        <w:tabs>
          <w:tab w:val="clear" w:pos="432"/>
        </w:tabs>
        <w:spacing w:line="240" w:lineRule="auto"/>
        <w:ind w:left="720" w:firstLine="0"/>
        <w:contextualSpacing/>
        <w:jc w:val="left"/>
        <w:rPr>
          <w:rFonts w:ascii="Times New Roman" w:eastAsia="Calibri" w:hAnsi="Times New Roman"/>
        </w:rPr>
      </w:pPr>
    </w:p>
    <w:p w:rsidR="0086435D" w:rsidRPr="0086435D" w:rsidRDefault="00400C5C" w:rsidP="00400C5C">
      <w:pPr>
        <w:tabs>
          <w:tab w:val="clear" w:pos="432"/>
        </w:tabs>
        <w:spacing w:line="240" w:lineRule="auto"/>
        <w:ind w:firstLine="0"/>
        <w:jc w:val="left"/>
        <w:rPr>
          <w:rFonts w:ascii="Times New Roman" w:eastAsia="Calibri" w:hAnsi="Times New Roman"/>
        </w:rPr>
      </w:pPr>
      <w:r>
        <w:rPr>
          <w:rFonts w:ascii="Times New Roman" w:eastAsia="Calibri" w:hAnsi="Times New Roman"/>
        </w:rPr>
        <w:t>T</w:t>
      </w:r>
      <w:r w:rsidR="0086435D" w:rsidRPr="0086435D">
        <w:rPr>
          <w:rFonts w:ascii="Times New Roman" w:eastAsia="Calibri" w:hAnsi="Times New Roman"/>
        </w:rPr>
        <w:t xml:space="preserve">o increase the likelihood that the alternative rent policy encourages tenants to increase their work efforts, it will be important to inform them clearly and periodically of the implicit incentives associated with not having to report any earnings gains for three years. They must also understand the safeguards in place to protect them from excessive rent burdens if their incomes fall.  The MDRC team, as part of its technical assistance role, will help housing authorities develop appropriate materials and strategies for communicating these incentives and safeguards. </w:t>
      </w:r>
    </w:p>
    <w:p w:rsidR="00400C5C" w:rsidRDefault="00400C5C" w:rsidP="00400C5C">
      <w:pPr>
        <w:tabs>
          <w:tab w:val="clear" w:pos="432"/>
        </w:tabs>
        <w:spacing w:before="240" w:line="240" w:lineRule="auto"/>
        <w:ind w:firstLine="720"/>
        <w:contextualSpacing/>
        <w:jc w:val="left"/>
        <w:rPr>
          <w:rFonts w:ascii="Times New Roman" w:eastAsia="Calibri" w:hAnsi="Times New Roman"/>
          <w:i/>
        </w:rPr>
      </w:pPr>
    </w:p>
    <w:p w:rsidR="0086435D" w:rsidRPr="0086435D" w:rsidRDefault="0086435D" w:rsidP="00400C5C">
      <w:pPr>
        <w:tabs>
          <w:tab w:val="clear" w:pos="432"/>
        </w:tabs>
        <w:spacing w:before="240" w:line="240" w:lineRule="auto"/>
        <w:ind w:firstLine="720"/>
        <w:contextualSpacing/>
        <w:jc w:val="left"/>
        <w:rPr>
          <w:rFonts w:ascii="Times New Roman" w:eastAsia="Calibri" w:hAnsi="Times New Roman"/>
          <w:i/>
        </w:rPr>
      </w:pPr>
      <w:r w:rsidRPr="0086435D">
        <w:rPr>
          <w:rFonts w:ascii="Times New Roman" w:eastAsia="Calibri" w:hAnsi="Times New Roman"/>
          <w:i/>
        </w:rPr>
        <w:t>Local variations allowed</w:t>
      </w:r>
    </w:p>
    <w:p w:rsidR="0086435D" w:rsidRPr="0086435D" w:rsidRDefault="0086435D" w:rsidP="00400C5C">
      <w:pPr>
        <w:tabs>
          <w:tab w:val="clear" w:pos="432"/>
        </w:tabs>
        <w:spacing w:before="240" w:line="240" w:lineRule="auto"/>
        <w:ind w:firstLine="720"/>
        <w:contextualSpacing/>
        <w:jc w:val="left"/>
        <w:rPr>
          <w:rFonts w:ascii="Times New Roman" w:eastAsia="Calibri" w:hAnsi="Times New Roman"/>
          <w:b/>
          <w:i/>
        </w:rPr>
      </w:pPr>
    </w:p>
    <w:p w:rsidR="0086435D" w:rsidRDefault="0086435D" w:rsidP="00400C5C">
      <w:pPr>
        <w:tabs>
          <w:tab w:val="clear" w:pos="432"/>
        </w:tabs>
        <w:spacing w:before="240" w:line="240" w:lineRule="auto"/>
        <w:ind w:firstLine="0"/>
        <w:contextualSpacing/>
        <w:jc w:val="left"/>
        <w:rPr>
          <w:rFonts w:ascii="Times New Roman" w:eastAsia="Calibri" w:hAnsi="Times New Roman"/>
        </w:rPr>
      </w:pPr>
      <w:r w:rsidRPr="0086435D">
        <w:rPr>
          <w:rFonts w:ascii="Times New Roman" w:eastAsia="Calibri" w:hAnsi="Times New Roman"/>
        </w:rPr>
        <w:t xml:space="preserve">As previously indicated, the housing agencies </w:t>
      </w:r>
      <w:r w:rsidR="00447C89">
        <w:rPr>
          <w:rFonts w:ascii="Times New Roman" w:eastAsia="Calibri" w:hAnsi="Times New Roman"/>
        </w:rPr>
        <w:t>that are participating</w:t>
      </w:r>
      <w:r w:rsidRPr="0086435D">
        <w:rPr>
          <w:rFonts w:ascii="Times New Roman" w:eastAsia="Calibri" w:hAnsi="Times New Roman"/>
        </w:rPr>
        <w:t xml:space="preserve"> in the demonstration helped to develop and support this common framework. However, they also saw a need for some local adaptions of the model in response to local considerations.  </w:t>
      </w:r>
      <w:proofErr w:type="gramStart"/>
      <w:r w:rsidRPr="0086435D">
        <w:rPr>
          <w:rFonts w:ascii="Times New Roman" w:eastAsia="Calibri" w:hAnsi="Times New Roman"/>
        </w:rPr>
        <w:t>For example, the</w:t>
      </w:r>
      <w:r w:rsidR="00B622E3">
        <w:rPr>
          <w:rFonts w:ascii="Times New Roman" w:eastAsia="Calibri" w:hAnsi="Times New Roman"/>
        </w:rPr>
        <w:t xml:space="preserve"> need to </w:t>
      </w:r>
      <w:r w:rsidRPr="0086435D">
        <w:rPr>
          <w:rFonts w:ascii="Times New Roman" w:eastAsia="Calibri" w:hAnsi="Times New Roman"/>
        </w:rPr>
        <w:t>set the minimum TTP at different levels.</w:t>
      </w:r>
      <w:proofErr w:type="gramEnd"/>
      <w:r w:rsidRPr="0086435D">
        <w:rPr>
          <w:rFonts w:ascii="Times New Roman" w:eastAsia="Calibri" w:hAnsi="Times New Roman"/>
        </w:rPr>
        <w:t xml:space="preserve"> The process for determining hardship remedies (although not the conditions defining a hardship or the remedies themselve</w:t>
      </w:r>
      <w:r w:rsidR="00400C5C">
        <w:rPr>
          <w:rFonts w:ascii="Times New Roman" w:eastAsia="Calibri" w:hAnsi="Times New Roman"/>
        </w:rPr>
        <w:t xml:space="preserve">s) may also vary.  </w:t>
      </w:r>
      <w:r w:rsidRPr="0086435D">
        <w:rPr>
          <w:rFonts w:ascii="Times New Roman" w:eastAsia="Calibri" w:hAnsi="Times New Roman"/>
        </w:rPr>
        <w:t xml:space="preserve">The design team attempted to strike an effective balance between the extent of standardization that would be required in a national policy and the need to permit some local flexibility that may also be reasonable to include within a national policy.  </w:t>
      </w:r>
    </w:p>
    <w:p w:rsidR="00B622E3" w:rsidRDefault="00B622E3" w:rsidP="00400C5C">
      <w:pPr>
        <w:tabs>
          <w:tab w:val="clear" w:pos="432"/>
        </w:tabs>
        <w:spacing w:before="240" w:line="240" w:lineRule="auto"/>
        <w:ind w:firstLine="0"/>
        <w:contextualSpacing/>
        <w:jc w:val="left"/>
        <w:rPr>
          <w:rFonts w:ascii="Times New Roman" w:eastAsia="Calibri" w:hAnsi="Times New Roman"/>
        </w:rPr>
      </w:pPr>
    </w:p>
    <w:p w:rsidR="00302868" w:rsidRPr="0086435D" w:rsidRDefault="00302868" w:rsidP="00302868">
      <w:pPr>
        <w:tabs>
          <w:tab w:val="clear" w:pos="432"/>
        </w:tabs>
        <w:spacing w:before="240" w:line="240" w:lineRule="auto"/>
        <w:ind w:firstLine="720"/>
        <w:contextualSpacing/>
        <w:jc w:val="left"/>
        <w:rPr>
          <w:rFonts w:ascii="Times New Roman" w:eastAsia="Calibri" w:hAnsi="Times New Roman"/>
          <w:i/>
        </w:rPr>
      </w:pPr>
      <w:r>
        <w:rPr>
          <w:rFonts w:ascii="Times New Roman" w:eastAsia="Calibri" w:hAnsi="Times New Roman"/>
          <w:i/>
        </w:rPr>
        <w:t xml:space="preserve">Eligibility </w:t>
      </w:r>
    </w:p>
    <w:p w:rsidR="00302868" w:rsidRDefault="00302868" w:rsidP="00302868">
      <w:pPr>
        <w:tabs>
          <w:tab w:val="clear" w:pos="432"/>
        </w:tabs>
        <w:spacing w:line="240" w:lineRule="auto"/>
        <w:ind w:firstLine="0"/>
        <w:contextualSpacing/>
        <w:jc w:val="left"/>
        <w:rPr>
          <w:rFonts w:ascii="Times New Roman" w:eastAsia="Calibri" w:hAnsi="Times New Roman"/>
        </w:rPr>
      </w:pPr>
    </w:p>
    <w:p w:rsidR="00302868" w:rsidRPr="00187FBB" w:rsidRDefault="00302868" w:rsidP="00302868">
      <w:pPr>
        <w:tabs>
          <w:tab w:val="clear" w:pos="432"/>
        </w:tabs>
        <w:spacing w:line="240" w:lineRule="auto"/>
        <w:ind w:firstLine="0"/>
        <w:contextualSpacing/>
        <w:jc w:val="left"/>
        <w:rPr>
          <w:rFonts w:ascii="Times New Roman" w:eastAsia="Calibri" w:hAnsi="Times New Roman"/>
        </w:rPr>
      </w:pPr>
      <w:r w:rsidRPr="00302868">
        <w:rPr>
          <w:rFonts w:ascii="Times New Roman" w:eastAsia="Calibri" w:hAnsi="Times New Roman"/>
        </w:rPr>
        <w:t xml:space="preserve">The alternative rent policy will apply only to HCV recipients. </w:t>
      </w:r>
      <w:r w:rsidRPr="00302868">
        <w:rPr>
          <w:rFonts w:ascii="Times New Roman" w:hAnsi="Times New Roman"/>
        </w:rPr>
        <w:t xml:space="preserve">Eligible sample members will include voucher holders with vouchers that are administered under the (MTW) demonstration. Non-MTW Vouchers (i.e., Veterans Assisted Special Housing, Moderate Rehabilitation, and Shelter </w:t>
      </w:r>
      <w:proofErr w:type="gramStart"/>
      <w:r w:rsidRPr="00302868">
        <w:rPr>
          <w:rFonts w:ascii="Times New Roman" w:hAnsi="Times New Roman"/>
        </w:rPr>
        <w:t>Plus</w:t>
      </w:r>
      <w:proofErr w:type="gramEnd"/>
      <w:r w:rsidRPr="00302868">
        <w:rPr>
          <w:rFonts w:ascii="Times New Roman" w:hAnsi="Times New Roman"/>
        </w:rPr>
        <w:t xml:space="preserve"> Care), Enhanced Vouchers, </w:t>
      </w:r>
      <w:r w:rsidR="00A84F09">
        <w:rPr>
          <w:rFonts w:ascii="Times New Roman" w:hAnsi="Times New Roman"/>
        </w:rPr>
        <w:t xml:space="preserve">and </w:t>
      </w:r>
      <w:r w:rsidRPr="00302868">
        <w:rPr>
          <w:rFonts w:ascii="Times New Roman" w:hAnsi="Times New Roman"/>
        </w:rPr>
        <w:t xml:space="preserve">Project-Based Vouchers are excluded from the study.  </w:t>
      </w:r>
      <w:r w:rsidR="00A755F0">
        <w:rPr>
          <w:rFonts w:ascii="Times New Roman" w:hAnsi="Times New Roman"/>
        </w:rPr>
        <w:t xml:space="preserve">Households that have ported out are excluded.  </w:t>
      </w:r>
      <w:r w:rsidRPr="00302868">
        <w:rPr>
          <w:rFonts w:ascii="Times New Roman" w:hAnsi="Times New Roman"/>
        </w:rPr>
        <w:t xml:space="preserve">Additionally, the study is focused on work-able populations and will not include elderly households, disabled households, </w:t>
      </w:r>
      <w:r w:rsidR="00447C89" w:rsidRPr="00447C89">
        <w:rPr>
          <w:rFonts w:ascii="Times New Roman" w:hAnsi="Times New Roman"/>
        </w:rPr>
        <w:t xml:space="preserve">households that will become elderly during the course of the long-term study, </w:t>
      </w:r>
      <w:r w:rsidR="00447C89">
        <w:rPr>
          <w:rFonts w:ascii="Times New Roman" w:hAnsi="Times New Roman"/>
        </w:rPr>
        <w:t>or</w:t>
      </w:r>
      <w:r w:rsidR="00447C89" w:rsidRPr="00447C89">
        <w:rPr>
          <w:rFonts w:ascii="Times New Roman" w:hAnsi="Times New Roman"/>
        </w:rPr>
        <w:t xml:space="preserve"> households</w:t>
      </w:r>
      <w:r w:rsidR="00447C89">
        <w:rPr>
          <w:rFonts w:ascii="Times New Roman" w:hAnsi="Times New Roman"/>
        </w:rPr>
        <w:t xml:space="preserve"> where</w:t>
      </w:r>
      <w:r w:rsidR="00447C89" w:rsidRPr="00447C89">
        <w:rPr>
          <w:rFonts w:ascii="Times New Roman" w:hAnsi="Times New Roman"/>
        </w:rPr>
        <w:t xml:space="preserve"> at least one member does not have legal status in the U.S</w:t>
      </w:r>
      <w:r w:rsidRPr="00302868">
        <w:rPr>
          <w:rFonts w:ascii="Times New Roman" w:hAnsi="Times New Roman"/>
        </w:rPr>
        <w:t xml:space="preserve">.  Households receiving a child care deduction at the time of random assignment will also be excluded from the study.  </w:t>
      </w:r>
      <w:r w:rsidR="00567A6D">
        <w:rPr>
          <w:rFonts w:ascii="Times New Roman" w:hAnsi="Times New Roman"/>
        </w:rPr>
        <w:t>H</w:t>
      </w:r>
      <w:r w:rsidRPr="00302868">
        <w:rPr>
          <w:rFonts w:ascii="Times New Roman" w:hAnsi="Times New Roman"/>
        </w:rPr>
        <w:t xml:space="preserve">ouseholds currently participating in </w:t>
      </w:r>
      <w:r>
        <w:rPr>
          <w:rFonts w:ascii="Times New Roman" w:hAnsi="Times New Roman"/>
        </w:rPr>
        <w:t xml:space="preserve">the PHA’s </w:t>
      </w:r>
      <w:r w:rsidRPr="00302868">
        <w:rPr>
          <w:rFonts w:ascii="Times New Roman" w:hAnsi="Times New Roman"/>
        </w:rPr>
        <w:t>Family Self-Sufficiency</w:t>
      </w:r>
      <w:r w:rsidR="00A755F0">
        <w:rPr>
          <w:rFonts w:ascii="Times New Roman" w:hAnsi="Times New Roman"/>
        </w:rPr>
        <w:t>,</w:t>
      </w:r>
      <w:r w:rsidRPr="00302868">
        <w:rPr>
          <w:rFonts w:ascii="Times New Roman" w:hAnsi="Times New Roman"/>
        </w:rPr>
        <w:t xml:space="preserve"> homeownership programs</w:t>
      </w:r>
      <w:r w:rsidR="00A755F0">
        <w:rPr>
          <w:rFonts w:ascii="Times New Roman" w:hAnsi="Times New Roman"/>
        </w:rPr>
        <w:t>, or any of the PHA’s special programs with partner agencies</w:t>
      </w:r>
      <w:r w:rsidRPr="00302868">
        <w:rPr>
          <w:rFonts w:ascii="Times New Roman" w:hAnsi="Times New Roman"/>
        </w:rPr>
        <w:t xml:space="preserve"> will not be included in the study.</w:t>
      </w:r>
      <w:r w:rsidR="00447C89" w:rsidRPr="00447C89">
        <w:t xml:space="preserve"> </w:t>
      </w:r>
      <w:r w:rsidR="00567A6D">
        <w:rPr>
          <w:rFonts w:ascii="Times New Roman" w:hAnsi="Times New Roman"/>
        </w:rPr>
        <w:t>Lastly</w:t>
      </w:r>
      <w:r w:rsidR="00447C89" w:rsidRPr="00447C89">
        <w:rPr>
          <w:rFonts w:ascii="Times New Roman" w:hAnsi="Times New Roman"/>
        </w:rPr>
        <w:t>, households who have 0 HAP at the time of random assignment will not be included in the study.</w:t>
      </w:r>
    </w:p>
    <w:p w:rsidR="00474174" w:rsidRDefault="00474174" w:rsidP="00595FCB">
      <w:pPr>
        <w:tabs>
          <w:tab w:val="clear" w:pos="432"/>
        </w:tabs>
        <w:spacing w:line="240" w:lineRule="auto"/>
        <w:ind w:firstLine="720"/>
        <w:jc w:val="left"/>
        <w:rPr>
          <w:rFonts w:ascii="Arial" w:hAnsi="Arial" w:cs="Arial"/>
          <w:b/>
        </w:rPr>
      </w:pPr>
    </w:p>
    <w:p w:rsidR="000042A8" w:rsidRPr="001233A3" w:rsidRDefault="000042A8" w:rsidP="00595FCB">
      <w:pPr>
        <w:tabs>
          <w:tab w:val="clear" w:pos="432"/>
        </w:tabs>
        <w:spacing w:line="240" w:lineRule="auto"/>
        <w:ind w:firstLine="720"/>
        <w:jc w:val="left"/>
        <w:rPr>
          <w:rFonts w:ascii="Arial" w:hAnsi="Arial" w:cs="Arial"/>
          <w:b/>
        </w:rPr>
      </w:pPr>
      <w:r w:rsidRPr="00302868">
        <w:rPr>
          <w:rFonts w:ascii="Arial" w:hAnsi="Arial" w:cs="Arial"/>
          <w:b/>
        </w:rPr>
        <w:t>Evaluation design and components</w:t>
      </w:r>
    </w:p>
    <w:p w:rsidR="000042A8" w:rsidRDefault="000042A8" w:rsidP="00E80F50">
      <w:pPr>
        <w:tabs>
          <w:tab w:val="clear" w:pos="432"/>
        </w:tabs>
        <w:spacing w:line="240" w:lineRule="auto"/>
        <w:ind w:firstLine="0"/>
        <w:jc w:val="left"/>
        <w:rPr>
          <w:rFonts w:ascii="Times New Roman" w:hAnsi="Times New Roman"/>
        </w:rPr>
      </w:pPr>
    </w:p>
    <w:p w:rsidR="000E1899" w:rsidRDefault="00993CD9" w:rsidP="00993CD9">
      <w:pPr>
        <w:spacing w:line="240" w:lineRule="auto"/>
        <w:ind w:firstLine="0"/>
        <w:jc w:val="left"/>
        <w:rPr>
          <w:rFonts w:ascii="Times New Roman" w:hAnsi="Times New Roman"/>
        </w:rPr>
      </w:pPr>
      <w:r w:rsidRPr="001D47CF">
        <w:rPr>
          <w:rFonts w:ascii="Times New Roman" w:hAnsi="Times New Roman"/>
        </w:rPr>
        <w:t>The demonstration will use a randomized controlled experiment to compare the current rent</w:t>
      </w:r>
      <w:r>
        <w:rPr>
          <w:rFonts w:ascii="Times New Roman" w:hAnsi="Times New Roman"/>
        </w:rPr>
        <w:t xml:space="preserve"> subsidy</w:t>
      </w:r>
      <w:r w:rsidRPr="001D47CF">
        <w:rPr>
          <w:rFonts w:ascii="Times New Roman" w:hAnsi="Times New Roman"/>
        </w:rPr>
        <w:t xml:space="preserve"> </w:t>
      </w:r>
      <w:r>
        <w:rPr>
          <w:rFonts w:ascii="Times New Roman" w:hAnsi="Times New Roman"/>
        </w:rPr>
        <w:t>policy</w:t>
      </w:r>
      <w:r w:rsidRPr="001D47CF">
        <w:rPr>
          <w:rFonts w:ascii="Times New Roman" w:hAnsi="Times New Roman"/>
        </w:rPr>
        <w:t xml:space="preserve"> </w:t>
      </w:r>
      <w:r>
        <w:rPr>
          <w:rFonts w:ascii="Times New Roman" w:hAnsi="Times New Roman"/>
        </w:rPr>
        <w:t>for Housing Choice Vouchers</w:t>
      </w:r>
      <w:r w:rsidRPr="001D47CF">
        <w:rPr>
          <w:rFonts w:ascii="Times New Roman" w:hAnsi="Times New Roman"/>
        </w:rPr>
        <w:t xml:space="preserve"> to </w:t>
      </w:r>
      <w:r>
        <w:rPr>
          <w:rFonts w:ascii="Times New Roman" w:hAnsi="Times New Roman"/>
        </w:rPr>
        <w:t xml:space="preserve">an </w:t>
      </w:r>
      <w:r w:rsidRPr="001D47CF">
        <w:rPr>
          <w:rFonts w:ascii="Times New Roman" w:hAnsi="Times New Roman"/>
        </w:rPr>
        <w:t>alternat</w:t>
      </w:r>
      <w:r>
        <w:rPr>
          <w:rFonts w:ascii="Times New Roman" w:hAnsi="Times New Roman"/>
        </w:rPr>
        <w:t xml:space="preserve">ive rent policy.  </w:t>
      </w:r>
      <w:r w:rsidRPr="00400C5C">
        <w:rPr>
          <w:rFonts w:ascii="Times New Roman" w:hAnsi="Times New Roman"/>
        </w:rPr>
        <w:t>F</w:t>
      </w:r>
      <w:r w:rsidR="00F811FD" w:rsidRPr="00400C5C">
        <w:rPr>
          <w:rFonts w:ascii="Times New Roman" w:hAnsi="Times New Roman"/>
        </w:rPr>
        <w:t xml:space="preserve">our </w:t>
      </w:r>
      <w:r w:rsidR="00A658DA">
        <w:rPr>
          <w:rFonts w:ascii="Times New Roman" w:hAnsi="Times New Roman"/>
        </w:rPr>
        <w:t>MTW PHAs</w:t>
      </w:r>
      <w:r w:rsidRPr="001D47CF">
        <w:rPr>
          <w:rFonts w:ascii="Times New Roman" w:hAnsi="Times New Roman"/>
        </w:rPr>
        <w:t xml:space="preserve"> will participa</w:t>
      </w:r>
      <w:r>
        <w:rPr>
          <w:rFonts w:ascii="Times New Roman" w:hAnsi="Times New Roman"/>
        </w:rPr>
        <w:t xml:space="preserve">te in the study. </w:t>
      </w:r>
      <w:r w:rsidRPr="001D47CF">
        <w:rPr>
          <w:rFonts w:ascii="Times New Roman" w:hAnsi="Times New Roman"/>
        </w:rPr>
        <w:t>The demonstration is being guided by a comprehensive research agenda structured around three study components: impacts, implementation processes, and cost</w:t>
      </w:r>
      <w:r w:rsidR="008A0ACE">
        <w:rPr>
          <w:rFonts w:ascii="Times New Roman" w:hAnsi="Times New Roman"/>
        </w:rPr>
        <w:t xml:space="preserve"> analysis</w:t>
      </w:r>
      <w:r w:rsidRPr="001D47CF">
        <w:rPr>
          <w:rFonts w:ascii="Times New Roman" w:hAnsi="Times New Roman"/>
        </w:rPr>
        <w:t>.</w:t>
      </w:r>
      <w:r>
        <w:rPr>
          <w:rFonts w:ascii="Times New Roman" w:hAnsi="Times New Roman"/>
        </w:rPr>
        <w:t xml:space="preserve"> </w:t>
      </w:r>
    </w:p>
    <w:p w:rsidR="000E1899" w:rsidRDefault="000E1899" w:rsidP="00993CD9">
      <w:pPr>
        <w:spacing w:line="240" w:lineRule="auto"/>
        <w:ind w:firstLine="0"/>
        <w:jc w:val="left"/>
        <w:rPr>
          <w:rFonts w:ascii="Times New Roman" w:hAnsi="Times New Roman"/>
        </w:rPr>
      </w:pPr>
    </w:p>
    <w:p w:rsidR="006C0F21" w:rsidRDefault="000E1899" w:rsidP="00302868">
      <w:pPr>
        <w:tabs>
          <w:tab w:val="clear" w:pos="432"/>
        </w:tabs>
        <w:spacing w:line="240" w:lineRule="auto"/>
        <w:ind w:firstLine="0"/>
        <w:jc w:val="left"/>
        <w:rPr>
          <w:rFonts w:ascii="Times New Roman" w:hAnsi="Times New Roman"/>
        </w:rPr>
      </w:pPr>
      <w:r w:rsidRPr="000E1899">
        <w:rPr>
          <w:rFonts w:ascii="Times New Roman" w:hAnsi="Times New Roman"/>
        </w:rPr>
        <w:t xml:space="preserve">In order to evaluate the impacts of the alternative rent policy, all households that meet the eligibility requirements for the demonstration </w:t>
      </w:r>
      <w:r w:rsidR="00DE49B4">
        <w:rPr>
          <w:rFonts w:ascii="Times New Roman" w:hAnsi="Times New Roman"/>
        </w:rPr>
        <w:t xml:space="preserve">are being </w:t>
      </w:r>
      <w:r w:rsidRPr="000E1899">
        <w:rPr>
          <w:rFonts w:ascii="Times New Roman" w:hAnsi="Times New Roman"/>
        </w:rPr>
        <w:t xml:space="preserve">randomly assigned to either a new policy group or an existing rent policy group (i.e., the control group).  Households will not have an opportunity to switch their assignment from one rent policy group to the other.  This approach is consistent with the MTW Demonstration’s policy of authorizing PHAs to implement and test innovative rent policies to try to help voucher holders become self-sufficient and to reduce administrative costs.  When MTW PHAs that are not part of the Rent Reform Demonstration have implemented their own rent reforms, they have not been expected to limit these new policies to tenants who volunteer for them.   </w:t>
      </w:r>
    </w:p>
    <w:p w:rsidR="000E1899" w:rsidRPr="000E1899" w:rsidRDefault="000E1899" w:rsidP="000E1899">
      <w:pPr>
        <w:spacing w:line="240" w:lineRule="auto"/>
        <w:ind w:firstLine="0"/>
        <w:jc w:val="left"/>
        <w:rPr>
          <w:rFonts w:ascii="Times New Roman" w:hAnsi="Times New Roman"/>
        </w:rPr>
      </w:pPr>
      <w:r w:rsidRPr="000E1899">
        <w:rPr>
          <w:rFonts w:ascii="Times New Roman" w:hAnsi="Times New Roman"/>
        </w:rPr>
        <w:t xml:space="preserve"> </w:t>
      </w:r>
    </w:p>
    <w:p w:rsidR="000E1899" w:rsidRPr="000E1899" w:rsidRDefault="000E1899" w:rsidP="000E1899">
      <w:pPr>
        <w:spacing w:line="240" w:lineRule="auto"/>
        <w:ind w:firstLine="0"/>
        <w:jc w:val="left"/>
        <w:rPr>
          <w:rFonts w:ascii="Times New Roman" w:hAnsi="Times New Roman"/>
        </w:rPr>
      </w:pPr>
      <w:r w:rsidRPr="000E1899">
        <w:rPr>
          <w:rFonts w:ascii="Times New Roman" w:hAnsi="Times New Roman"/>
        </w:rPr>
        <w:t xml:space="preserve">A research design that includes the broader eligible population fits the compelling need for HUD and Congress to understand the effectiveness of the new rent policy for the full eligible population, not just for a subset of volunteers recruited for a special demonstration project. For a variety of reasons, volunteers may not adequately represent the full eligible population. The new rent policy itself offers all tenants the possibility of becoming economically better off, while also including a number of safeguards intended to help prevent them from becoming </w:t>
      </w:r>
      <w:r w:rsidR="006C0F21">
        <w:rPr>
          <w:rFonts w:ascii="Times New Roman" w:hAnsi="Times New Roman"/>
        </w:rPr>
        <w:t xml:space="preserve">economically </w:t>
      </w:r>
      <w:r w:rsidRPr="000E1899">
        <w:rPr>
          <w:rFonts w:ascii="Times New Roman" w:hAnsi="Times New Roman"/>
        </w:rPr>
        <w:t xml:space="preserve">worse off. </w:t>
      </w:r>
      <w:r w:rsidR="006C0F21">
        <w:rPr>
          <w:rFonts w:ascii="Times New Roman" w:hAnsi="Times New Roman"/>
        </w:rPr>
        <w:t xml:space="preserve">(As described in </w:t>
      </w:r>
      <w:r w:rsidR="00FB49F3">
        <w:rPr>
          <w:rFonts w:ascii="Times New Roman" w:hAnsi="Times New Roman"/>
        </w:rPr>
        <w:t xml:space="preserve">a </w:t>
      </w:r>
      <w:r w:rsidR="006C0F21">
        <w:rPr>
          <w:rFonts w:ascii="Times New Roman" w:hAnsi="Times New Roman"/>
        </w:rPr>
        <w:t xml:space="preserve">later section in this document, all tenants will be given an opportunity to </w:t>
      </w:r>
      <w:r w:rsidR="00A84F09">
        <w:rPr>
          <w:rFonts w:ascii="Times New Roman" w:hAnsi="Times New Roman"/>
        </w:rPr>
        <w:t xml:space="preserve">withdraw from </w:t>
      </w:r>
      <w:r w:rsidR="006C0F21">
        <w:rPr>
          <w:rFonts w:ascii="Times New Roman" w:hAnsi="Times New Roman"/>
        </w:rPr>
        <w:t xml:space="preserve">having their personally identifiable data shared with the researchers if they wish that it not be disclosed.)  </w:t>
      </w:r>
    </w:p>
    <w:p w:rsidR="006C0F21" w:rsidRDefault="006C0F21" w:rsidP="000E1899">
      <w:pPr>
        <w:spacing w:line="240" w:lineRule="auto"/>
        <w:ind w:firstLine="0"/>
        <w:jc w:val="left"/>
        <w:rPr>
          <w:rFonts w:ascii="Times New Roman" w:hAnsi="Times New Roman"/>
        </w:rPr>
      </w:pPr>
    </w:p>
    <w:p w:rsidR="000E1899" w:rsidRPr="000E1899" w:rsidRDefault="006C0F21" w:rsidP="000E1899">
      <w:pPr>
        <w:spacing w:line="240" w:lineRule="auto"/>
        <w:ind w:firstLine="0"/>
        <w:jc w:val="left"/>
        <w:rPr>
          <w:rFonts w:ascii="Times New Roman" w:hAnsi="Times New Roman"/>
        </w:rPr>
      </w:pPr>
      <w:r>
        <w:rPr>
          <w:rFonts w:ascii="Times New Roman" w:hAnsi="Times New Roman"/>
        </w:rPr>
        <w:t>The evaluation plan includes</w:t>
      </w:r>
      <w:r w:rsidR="000E1899" w:rsidRPr="000E1899">
        <w:rPr>
          <w:rFonts w:ascii="Times New Roman" w:hAnsi="Times New Roman"/>
        </w:rPr>
        <w:t xml:space="preserve"> an exception for one of its sites, the Louisville Metropolitan Housing Authority (LMHA).  Households in this PHA that are randomly assigned to the new </w:t>
      </w:r>
      <w:r w:rsidR="000E1899" w:rsidRPr="000E1899">
        <w:rPr>
          <w:rFonts w:ascii="Times New Roman" w:hAnsi="Times New Roman"/>
        </w:rPr>
        <w:lastRenderedPageBreak/>
        <w:t xml:space="preserve">policy will be given the option to opt out of the new rent policy group in addition to </w:t>
      </w:r>
      <w:r w:rsidR="00A84F09">
        <w:rPr>
          <w:rFonts w:ascii="Times New Roman" w:hAnsi="Times New Roman"/>
        </w:rPr>
        <w:t>withdrawing from</w:t>
      </w:r>
      <w:r w:rsidR="000E1899" w:rsidRPr="000E1899">
        <w:rPr>
          <w:rFonts w:ascii="Times New Roman" w:hAnsi="Times New Roman"/>
        </w:rPr>
        <w:t xml:space="preserve"> having their data disclosed to the researchers.  HUD agreed to this exception to be responsive to concerns raised by LMHA and the local community.  It is hoped that few tenants will choose to opt out of the new rent policy group; if that is the case, a valid comparison of outcomes between the new rent policy group and the control group will be possible.  However, if a substantial proportion of tenants from the new rent policy group opt out (i.e., choose to switch to the existing rent rules), a bias may be introduced into the impact estimates.  MDRC will conduct an analysis of the potential bias (using techniques similar to those used in a survey response bias analysis) to try to assess the extent of this problem.  If the level of bias is deemed unacceptably high, the overall evaluation will rely more heavily on the results from the other three demonstration sites where a more robust research design is being implemented.  </w:t>
      </w:r>
    </w:p>
    <w:p w:rsidR="000E1899" w:rsidRPr="000E1899" w:rsidRDefault="000E1899" w:rsidP="000E1899">
      <w:pPr>
        <w:spacing w:line="240" w:lineRule="auto"/>
        <w:ind w:firstLine="0"/>
        <w:jc w:val="left"/>
        <w:rPr>
          <w:rFonts w:ascii="Times New Roman" w:hAnsi="Times New Roman"/>
        </w:rPr>
      </w:pPr>
    </w:p>
    <w:p w:rsidR="000E1899" w:rsidRDefault="00993CD9" w:rsidP="00993CD9">
      <w:pPr>
        <w:spacing w:line="240" w:lineRule="auto"/>
        <w:ind w:firstLine="0"/>
        <w:jc w:val="left"/>
        <w:rPr>
          <w:rFonts w:ascii="Times New Roman" w:hAnsi="Times New Roman"/>
        </w:rPr>
      </w:pPr>
      <w:r>
        <w:rPr>
          <w:rFonts w:ascii="Times New Roman" w:hAnsi="Times New Roman"/>
        </w:rPr>
        <w:t xml:space="preserve">The study will examine the effects of the alternative policy from </w:t>
      </w:r>
      <w:r w:rsidRPr="00364A8A">
        <w:rPr>
          <w:rFonts w:ascii="Times New Roman" w:hAnsi="Times New Roman"/>
        </w:rPr>
        <w:t>two perspectives: that of the housing a</w:t>
      </w:r>
      <w:r w:rsidR="002E7597">
        <w:rPr>
          <w:rFonts w:ascii="Times New Roman" w:hAnsi="Times New Roman"/>
        </w:rPr>
        <w:t xml:space="preserve">gencies </w:t>
      </w:r>
      <w:r w:rsidRPr="00364A8A">
        <w:rPr>
          <w:rFonts w:ascii="Times New Roman" w:hAnsi="Times New Roman"/>
        </w:rPr>
        <w:t>and that of the voucher holders</w:t>
      </w:r>
      <w:r>
        <w:rPr>
          <w:rFonts w:ascii="Times New Roman" w:hAnsi="Times New Roman"/>
        </w:rPr>
        <w:t xml:space="preserve"> </w:t>
      </w:r>
      <w:r w:rsidRPr="00AD0D6E">
        <w:rPr>
          <w:rFonts w:ascii="Times New Roman" w:hAnsi="Times New Roman"/>
        </w:rPr>
        <w:t xml:space="preserve">(also summarized in </w:t>
      </w:r>
      <w:r w:rsidRPr="00AD1687">
        <w:rPr>
          <w:rFonts w:ascii="Times New Roman" w:hAnsi="Times New Roman"/>
        </w:rPr>
        <w:t xml:space="preserve">Table </w:t>
      </w:r>
      <w:r w:rsidR="00B726CC" w:rsidRPr="00AD1687">
        <w:rPr>
          <w:rFonts w:ascii="Times New Roman" w:hAnsi="Times New Roman"/>
        </w:rPr>
        <w:t>1</w:t>
      </w:r>
      <w:r w:rsidR="00AD1687" w:rsidRPr="00AD1687">
        <w:rPr>
          <w:rFonts w:ascii="Times New Roman" w:hAnsi="Times New Roman"/>
        </w:rPr>
        <w:t xml:space="preserve"> below</w:t>
      </w:r>
      <w:r w:rsidRPr="00AD1687">
        <w:rPr>
          <w:rFonts w:ascii="Times New Roman" w:hAnsi="Times New Roman"/>
        </w:rPr>
        <w:t>).</w:t>
      </w:r>
      <w:r w:rsidRPr="00364A8A">
        <w:rPr>
          <w:rFonts w:ascii="Times New Roman" w:hAnsi="Times New Roman"/>
        </w:rPr>
        <w:t xml:space="preserve"> </w:t>
      </w:r>
    </w:p>
    <w:p w:rsidR="00993CD9" w:rsidRPr="00364A8A" w:rsidRDefault="00993CD9" w:rsidP="0039217D">
      <w:pPr>
        <w:spacing w:line="240" w:lineRule="auto"/>
        <w:ind w:firstLine="0"/>
        <w:jc w:val="left"/>
        <w:rPr>
          <w:rFonts w:ascii="Times New Roman" w:hAnsi="Times New Roman"/>
        </w:rPr>
      </w:pPr>
    </w:p>
    <w:p w:rsidR="00993CD9" w:rsidRPr="00C96F58" w:rsidRDefault="00993CD9" w:rsidP="00993CD9">
      <w:pPr>
        <w:pStyle w:val="ListParagraph"/>
        <w:rPr>
          <w:b/>
        </w:rPr>
      </w:pPr>
      <w:r w:rsidRPr="00C96F58">
        <w:rPr>
          <w:b/>
        </w:rPr>
        <w:t xml:space="preserve">A.  Research questions concerning </w:t>
      </w:r>
      <w:r w:rsidR="00A658DA">
        <w:rPr>
          <w:b/>
        </w:rPr>
        <w:t>PHAs</w:t>
      </w:r>
      <w:r w:rsidRPr="00C96F58">
        <w:rPr>
          <w:b/>
        </w:rPr>
        <w:t xml:space="preserve">   </w:t>
      </w:r>
    </w:p>
    <w:p w:rsidR="00993CD9" w:rsidRPr="007F1D4D" w:rsidRDefault="00993CD9" w:rsidP="00993CD9">
      <w:pPr>
        <w:pStyle w:val="ListParagraph"/>
        <w:ind w:left="360"/>
        <w:rPr>
          <w:b/>
          <w:color w:val="C00000"/>
        </w:rPr>
      </w:pPr>
      <w:r w:rsidRPr="007F1D4D">
        <w:rPr>
          <w:b/>
        </w:rPr>
        <w:t xml:space="preserve"> </w:t>
      </w:r>
    </w:p>
    <w:p w:rsidR="00993CD9" w:rsidRPr="00364A8A" w:rsidRDefault="00993CD9" w:rsidP="00993CD9">
      <w:pPr>
        <w:spacing w:line="240" w:lineRule="auto"/>
        <w:ind w:firstLine="0"/>
        <w:jc w:val="left"/>
        <w:rPr>
          <w:rFonts w:ascii="Times New Roman" w:hAnsi="Times New Roman"/>
        </w:rPr>
      </w:pPr>
      <w:r>
        <w:rPr>
          <w:rFonts w:ascii="Times New Roman" w:hAnsi="Times New Roman"/>
        </w:rPr>
        <w:t>T</w:t>
      </w:r>
      <w:r w:rsidRPr="00364A8A">
        <w:rPr>
          <w:rFonts w:ascii="Times New Roman" w:hAnsi="Times New Roman"/>
        </w:rPr>
        <w:t xml:space="preserve">he goal of reducing the burden and costs that </w:t>
      </w:r>
      <w:r w:rsidR="00A658DA">
        <w:rPr>
          <w:rFonts w:ascii="Times New Roman" w:hAnsi="Times New Roman"/>
        </w:rPr>
        <w:t>PHAs</w:t>
      </w:r>
      <w:r w:rsidRPr="00364A8A">
        <w:rPr>
          <w:rFonts w:ascii="Times New Roman" w:hAnsi="Times New Roman"/>
        </w:rPr>
        <w:t xml:space="preserve"> incur in administering the current rent rules is one of the primary motivations driving interest in rent reform. Indeed, it was a major reason why the MTW </w:t>
      </w:r>
      <w:r w:rsidR="00A658DA">
        <w:rPr>
          <w:rFonts w:ascii="Times New Roman" w:hAnsi="Times New Roman"/>
        </w:rPr>
        <w:t>PHAs</w:t>
      </w:r>
      <w:r w:rsidRPr="00364A8A">
        <w:rPr>
          <w:rFonts w:ascii="Times New Roman" w:hAnsi="Times New Roman"/>
        </w:rPr>
        <w:t xml:space="preserve"> wanted to join MTW in the first place. For this reason, the demonstration will assess to what extent the alternative rent model actually </w:t>
      </w:r>
      <w:r w:rsidRPr="00364A8A">
        <w:rPr>
          <w:rFonts w:ascii="Times New Roman" w:hAnsi="Times New Roman"/>
          <w:i/>
        </w:rPr>
        <w:t>simplifies</w:t>
      </w:r>
      <w:r w:rsidRPr="00364A8A">
        <w:rPr>
          <w:rFonts w:ascii="Times New Roman" w:hAnsi="Times New Roman"/>
        </w:rPr>
        <w:t xml:space="preserve"> the administration of rent subsidies, and improves </w:t>
      </w:r>
      <w:r w:rsidR="00A658DA" w:rsidRPr="0091798D">
        <w:rPr>
          <w:rFonts w:ascii="Times New Roman" w:hAnsi="Times New Roman"/>
          <w:i/>
        </w:rPr>
        <w:t>P</w:t>
      </w:r>
      <w:r>
        <w:rPr>
          <w:rFonts w:ascii="Times New Roman" w:hAnsi="Times New Roman"/>
          <w:i/>
        </w:rPr>
        <w:t>HA</w:t>
      </w:r>
      <w:r w:rsidRPr="00364A8A">
        <w:rPr>
          <w:rFonts w:ascii="Times New Roman" w:hAnsi="Times New Roman"/>
          <w:i/>
        </w:rPr>
        <w:t xml:space="preserve"> finances</w:t>
      </w:r>
      <w:r w:rsidRPr="00364A8A">
        <w:rPr>
          <w:rFonts w:ascii="Times New Roman" w:hAnsi="Times New Roman"/>
        </w:rPr>
        <w:t xml:space="preserve">, without placing undue burdens on residents. Related goals concern </w:t>
      </w:r>
      <w:r w:rsidR="00A658DA">
        <w:rPr>
          <w:rFonts w:ascii="Times New Roman" w:hAnsi="Times New Roman"/>
        </w:rPr>
        <w:t>PHAs</w:t>
      </w:r>
      <w:r w:rsidRPr="00364A8A">
        <w:rPr>
          <w:rFonts w:ascii="Times New Roman" w:hAnsi="Times New Roman"/>
        </w:rPr>
        <w:t xml:space="preserve">’ ability to stretch their budgets to serve more residents in need of housing assistance, such as by reducing average subsidy levels and the duration of subsidy receipt. </w:t>
      </w:r>
    </w:p>
    <w:p w:rsidR="00993CD9" w:rsidRPr="00364A8A" w:rsidRDefault="00993CD9" w:rsidP="00993CD9">
      <w:pPr>
        <w:spacing w:line="240" w:lineRule="auto"/>
        <w:jc w:val="left"/>
        <w:rPr>
          <w:rFonts w:ascii="Times New Roman" w:hAnsi="Times New Roman"/>
        </w:rPr>
      </w:pPr>
    </w:p>
    <w:p w:rsidR="00E80F50" w:rsidRPr="00364A8A" w:rsidRDefault="00E80F50" w:rsidP="008F2555">
      <w:pPr>
        <w:spacing w:line="240" w:lineRule="auto"/>
        <w:ind w:firstLine="0"/>
        <w:jc w:val="left"/>
        <w:rPr>
          <w:rFonts w:ascii="Times New Roman" w:hAnsi="Times New Roman"/>
        </w:rPr>
      </w:pPr>
      <w:r w:rsidRPr="00364A8A">
        <w:rPr>
          <w:rFonts w:ascii="Times New Roman" w:hAnsi="Times New Roman"/>
        </w:rPr>
        <w:t xml:space="preserve">The evaluation will address these important issues in the following ways:  </w:t>
      </w:r>
    </w:p>
    <w:p w:rsidR="00E80F50" w:rsidRPr="00364A8A" w:rsidRDefault="00E80F50" w:rsidP="00617C58">
      <w:pPr>
        <w:spacing w:line="240" w:lineRule="auto"/>
        <w:ind w:firstLine="720"/>
        <w:jc w:val="left"/>
        <w:rPr>
          <w:rFonts w:ascii="Times New Roman" w:hAnsi="Times New Roman"/>
          <w:b/>
        </w:rPr>
      </w:pPr>
    </w:p>
    <w:p w:rsidR="00E80F50" w:rsidRPr="00375C2A" w:rsidRDefault="00E80F50" w:rsidP="008F2555">
      <w:pPr>
        <w:pStyle w:val="ListParagraph"/>
        <w:numPr>
          <w:ilvl w:val="0"/>
          <w:numId w:val="24"/>
        </w:numPr>
      </w:pPr>
      <w:r w:rsidRPr="00E80F50">
        <w:rPr>
          <w:b/>
        </w:rPr>
        <w:t xml:space="preserve">Document the alternative rent model </w:t>
      </w:r>
      <w:r w:rsidRPr="00C96F58">
        <w:rPr>
          <w:b/>
          <w:i/>
        </w:rPr>
        <w:t>as implemented</w:t>
      </w:r>
      <w:r w:rsidRPr="00C96F58">
        <w:rPr>
          <w:b/>
        </w:rPr>
        <w:t xml:space="preserve"> in practice. </w:t>
      </w:r>
      <w:r w:rsidRPr="00C96F58">
        <w:t xml:space="preserve">Once the alternative rent model </w:t>
      </w:r>
      <w:r w:rsidR="00A658DA">
        <w:t xml:space="preserve">and implementation strategy </w:t>
      </w:r>
      <w:r w:rsidR="00B906A8">
        <w:t xml:space="preserve">are </w:t>
      </w:r>
      <w:r w:rsidR="00F811FD">
        <w:t>developed f</w:t>
      </w:r>
      <w:r w:rsidRPr="00C96F58">
        <w:t>or the demo</w:t>
      </w:r>
      <w:r w:rsidR="009B6041">
        <w:t>nstration sites</w:t>
      </w:r>
      <w:r w:rsidRPr="00C96F58">
        <w:t xml:space="preserve">, </w:t>
      </w:r>
      <w:r w:rsidR="00A658DA">
        <w:t>the four</w:t>
      </w:r>
      <w:r w:rsidR="00A658DA" w:rsidRPr="00C96F58">
        <w:t xml:space="preserve"> </w:t>
      </w:r>
      <w:r w:rsidRPr="00C96F58">
        <w:t xml:space="preserve">participating </w:t>
      </w:r>
      <w:r w:rsidR="00A658DA">
        <w:t>PHAs</w:t>
      </w:r>
      <w:r w:rsidRPr="00C96F58">
        <w:t xml:space="preserve"> will implement this model</w:t>
      </w:r>
      <w:r w:rsidR="00A658DA">
        <w:t>,</w:t>
      </w:r>
      <w:r w:rsidRPr="00C96F58">
        <w:t xml:space="preserve"> </w:t>
      </w:r>
      <w:r w:rsidR="00A658DA">
        <w:t xml:space="preserve">including any </w:t>
      </w:r>
      <w:r w:rsidRPr="00C96F58">
        <w:t>adapt</w:t>
      </w:r>
      <w:r w:rsidR="00A658DA">
        <w:t>ations of</w:t>
      </w:r>
      <w:r w:rsidRPr="00C96F58">
        <w:t xml:space="preserve"> the model to </w:t>
      </w:r>
      <w:r w:rsidR="00A658DA">
        <w:t>their</w:t>
      </w:r>
      <w:r w:rsidR="00A658DA" w:rsidRPr="00C96F58">
        <w:t xml:space="preserve"> </w:t>
      </w:r>
      <w:r w:rsidRPr="00C96F58">
        <w:t xml:space="preserve">local circumstances. The </w:t>
      </w:r>
      <w:r w:rsidR="00A658DA">
        <w:t>PHAs</w:t>
      </w:r>
      <w:r w:rsidRPr="00C96F58">
        <w:t xml:space="preserve">’ experiences in operating the model are also likely to vary, given their different administrative systems, organizational capacities, and local contexts.  Thus, what may seem like a uniform model </w:t>
      </w:r>
      <w:r w:rsidRPr="007F1D4D">
        <w:t xml:space="preserve">on paper, may take on distinctive features as </w:t>
      </w:r>
      <w:r w:rsidR="00A658DA">
        <w:t>PHAs</w:t>
      </w:r>
      <w:r w:rsidRPr="007F1D4D">
        <w:t xml:space="preserve"> translate it into practice and incorporate it into their existing organizations and communities. Consequently, a thorough understanding of the features of the alternative rent model </w:t>
      </w:r>
      <w:r w:rsidRPr="00010FEB">
        <w:rPr>
          <w:i/>
        </w:rPr>
        <w:t>as implemented</w:t>
      </w:r>
      <w:r w:rsidRPr="00010FEB">
        <w:t xml:space="preserve"> will be an important component over the course of the full evaluation. </w:t>
      </w:r>
    </w:p>
    <w:p w:rsidR="00E80F50" w:rsidRPr="00364A8A" w:rsidRDefault="00E80F50" w:rsidP="00617C58">
      <w:pPr>
        <w:spacing w:line="240" w:lineRule="auto"/>
        <w:ind w:left="720"/>
        <w:jc w:val="left"/>
        <w:rPr>
          <w:rFonts w:ascii="Times New Roman" w:hAnsi="Times New Roman"/>
        </w:rPr>
      </w:pPr>
    </w:p>
    <w:p w:rsidR="00E80F50" w:rsidRPr="00364A8A" w:rsidRDefault="00E80F50" w:rsidP="008F2555">
      <w:pPr>
        <w:spacing w:line="240" w:lineRule="auto"/>
        <w:ind w:left="720" w:firstLine="0"/>
        <w:jc w:val="left"/>
        <w:rPr>
          <w:rFonts w:ascii="Times New Roman" w:hAnsi="Times New Roman"/>
        </w:rPr>
      </w:pPr>
      <w:r w:rsidRPr="00364A8A">
        <w:rPr>
          <w:rFonts w:ascii="Times New Roman" w:hAnsi="Times New Roman"/>
        </w:rPr>
        <w:t xml:space="preserve">Three components of the evaluation will document how the new rent policy is operationalized in each </w:t>
      </w:r>
      <w:r w:rsidR="007F1D4D">
        <w:rPr>
          <w:rFonts w:ascii="Times New Roman" w:hAnsi="Times New Roman"/>
        </w:rPr>
        <w:t>HA</w:t>
      </w:r>
      <w:r w:rsidRPr="00364A8A">
        <w:rPr>
          <w:rFonts w:ascii="Times New Roman" w:hAnsi="Times New Roman"/>
        </w:rPr>
        <w:t>:  (1) a</w:t>
      </w:r>
      <w:r w:rsidR="004D172C">
        <w:rPr>
          <w:rFonts w:ascii="Times New Roman" w:hAnsi="Times New Roman"/>
        </w:rPr>
        <w:t>n</w:t>
      </w:r>
      <w:r w:rsidRPr="00364A8A">
        <w:rPr>
          <w:rFonts w:ascii="Times New Roman" w:hAnsi="Times New Roman"/>
        </w:rPr>
        <w:t xml:space="preserve"> </w:t>
      </w:r>
      <w:r w:rsidR="004D172C" w:rsidRPr="00364A8A">
        <w:rPr>
          <w:rFonts w:ascii="Times New Roman" w:hAnsi="Times New Roman"/>
        </w:rPr>
        <w:t>implementation research</w:t>
      </w:r>
      <w:r w:rsidR="004D172C">
        <w:rPr>
          <w:rFonts w:ascii="Times New Roman" w:hAnsi="Times New Roman"/>
        </w:rPr>
        <w:t xml:space="preserve">; </w:t>
      </w:r>
      <w:r w:rsidRPr="00364A8A">
        <w:rPr>
          <w:rFonts w:ascii="Times New Roman" w:hAnsi="Times New Roman"/>
        </w:rPr>
        <w:t xml:space="preserve">(2) ongoing technical assistance monitoring efforts that </w:t>
      </w:r>
      <w:r w:rsidR="004001DE">
        <w:rPr>
          <w:rFonts w:ascii="Times New Roman" w:hAnsi="Times New Roman"/>
        </w:rPr>
        <w:t>began</w:t>
      </w:r>
      <w:r w:rsidRPr="00364A8A">
        <w:rPr>
          <w:rFonts w:ascii="Times New Roman" w:hAnsi="Times New Roman"/>
        </w:rPr>
        <w:t xml:space="preserve"> as part of </w:t>
      </w:r>
      <w:r w:rsidR="009B6041">
        <w:rPr>
          <w:rFonts w:ascii="Times New Roman" w:hAnsi="Times New Roman"/>
        </w:rPr>
        <w:t>Task Order 1 (</w:t>
      </w:r>
      <w:r w:rsidRPr="00364A8A">
        <w:rPr>
          <w:rFonts w:ascii="Times New Roman" w:hAnsi="Times New Roman"/>
        </w:rPr>
        <w:t>TO1</w:t>
      </w:r>
      <w:r w:rsidR="009B6041">
        <w:rPr>
          <w:rFonts w:ascii="Times New Roman" w:hAnsi="Times New Roman"/>
        </w:rPr>
        <w:t>)</w:t>
      </w:r>
      <w:r w:rsidRPr="00364A8A">
        <w:rPr>
          <w:rFonts w:ascii="Times New Roman" w:hAnsi="Times New Roman"/>
        </w:rPr>
        <w:t>; and</w:t>
      </w:r>
      <w:r w:rsidR="004D172C">
        <w:rPr>
          <w:rFonts w:ascii="Times New Roman" w:hAnsi="Times New Roman"/>
        </w:rPr>
        <w:t xml:space="preserve"> </w:t>
      </w:r>
      <w:r w:rsidR="002E7597">
        <w:rPr>
          <w:rFonts w:ascii="Times New Roman" w:hAnsi="Times New Roman"/>
        </w:rPr>
        <w:t xml:space="preserve">(3) </w:t>
      </w:r>
      <w:r w:rsidR="004D172C">
        <w:rPr>
          <w:rFonts w:ascii="Times New Roman" w:hAnsi="Times New Roman"/>
        </w:rPr>
        <w:t>a cost study</w:t>
      </w:r>
      <w:r w:rsidR="002E7597">
        <w:rPr>
          <w:rFonts w:ascii="Times New Roman" w:hAnsi="Times New Roman"/>
        </w:rPr>
        <w:t xml:space="preserve">. </w:t>
      </w:r>
      <w:r w:rsidRPr="00364A8A">
        <w:rPr>
          <w:rFonts w:ascii="Times New Roman" w:hAnsi="Times New Roman"/>
        </w:rPr>
        <w:t xml:space="preserve"> Data collected through these methods </w:t>
      </w:r>
      <w:r w:rsidR="00F811FD">
        <w:rPr>
          <w:rFonts w:ascii="Times New Roman" w:hAnsi="Times New Roman"/>
        </w:rPr>
        <w:t>(</w:t>
      </w:r>
      <w:r w:rsidRPr="00364A8A">
        <w:rPr>
          <w:rFonts w:ascii="Times New Roman" w:hAnsi="Times New Roman"/>
        </w:rPr>
        <w:t>which combine direct observations, interviews, and more standardized measurement</w:t>
      </w:r>
      <w:r w:rsidR="00F811FD">
        <w:rPr>
          <w:rFonts w:ascii="Times New Roman" w:hAnsi="Times New Roman"/>
        </w:rPr>
        <w:t>)</w:t>
      </w:r>
      <w:r w:rsidR="004001DE">
        <w:rPr>
          <w:rFonts w:ascii="Times New Roman" w:hAnsi="Times New Roman"/>
        </w:rPr>
        <w:t xml:space="preserve"> </w:t>
      </w:r>
      <w:r w:rsidRPr="00364A8A">
        <w:rPr>
          <w:rFonts w:ascii="Times New Roman" w:hAnsi="Times New Roman"/>
        </w:rPr>
        <w:t xml:space="preserve">would be used in computing the costs of operating the rent systems and in determining whether and how much the alternative system yielded costs savings. The data collection would also include explorations of the choices </w:t>
      </w:r>
      <w:r w:rsidR="00A658DA">
        <w:rPr>
          <w:rFonts w:ascii="Times New Roman" w:hAnsi="Times New Roman"/>
        </w:rPr>
        <w:t>PHAs</w:t>
      </w:r>
      <w:r w:rsidRPr="00364A8A">
        <w:rPr>
          <w:rFonts w:ascii="Times New Roman" w:hAnsi="Times New Roman"/>
        </w:rPr>
        <w:t xml:space="preserve"> make, for example, with regard to hardship exemptions, and what </w:t>
      </w:r>
      <w:r w:rsidRPr="00364A8A">
        <w:rPr>
          <w:rFonts w:ascii="Times New Roman" w:hAnsi="Times New Roman"/>
        </w:rPr>
        <w:lastRenderedPageBreak/>
        <w:t xml:space="preserve">procedures they establish to approve or deny exemption requests. The research will also document the kinds of changes in administrative processes, including data management systems and software, income verification procedures, and staff deployment, all of which are crucial for understanding whether the new policies simplify or complicate rent administration for the </w:t>
      </w:r>
      <w:r w:rsidR="00A658DA">
        <w:rPr>
          <w:rFonts w:ascii="Times New Roman" w:hAnsi="Times New Roman"/>
        </w:rPr>
        <w:t>PHAs</w:t>
      </w:r>
      <w:r w:rsidRPr="00364A8A">
        <w:rPr>
          <w:rFonts w:ascii="Times New Roman" w:hAnsi="Times New Roman"/>
        </w:rPr>
        <w:t xml:space="preserve">, and whether strategies adopted by some </w:t>
      </w:r>
      <w:r w:rsidR="00A658DA">
        <w:rPr>
          <w:rFonts w:ascii="Times New Roman" w:hAnsi="Times New Roman"/>
        </w:rPr>
        <w:t>PHAs</w:t>
      </w:r>
      <w:r w:rsidRPr="00364A8A">
        <w:rPr>
          <w:rFonts w:ascii="Times New Roman" w:hAnsi="Times New Roman"/>
        </w:rPr>
        <w:t xml:space="preserve"> are more efficient and accurate than others and worthy of emulation.  This documentation </w:t>
      </w:r>
      <w:r w:rsidR="004001DE">
        <w:rPr>
          <w:rFonts w:ascii="Times New Roman" w:hAnsi="Times New Roman"/>
        </w:rPr>
        <w:t>began</w:t>
      </w:r>
      <w:r w:rsidRPr="00364A8A">
        <w:rPr>
          <w:rFonts w:ascii="Times New Roman" w:hAnsi="Times New Roman"/>
        </w:rPr>
        <w:t xml:space="preserve"> under TO1 through the information we </w:t>
      </w:r>
      <w:r w:rsidR="004001DE">
        <w:rPr>
          <w:rFonts w:ascii="Times New Roman" w:hAnsi="Times New Roman"/>
        </w:rPr>
        <w:t xml:space="preserve">are </w:t>
      </w:r>
      <w:r w:rsidRPr="00364A8A">
        <w:rPr>
          <w:rFonts w:ascii="Times New Roman" w:hAnsi="Times New Roman"/>
        </w:rPr>
        <w:t>collect</w:t>
      </w:r>
      <w:r w:rsidR="004001DE">
        <w:rPr>
          <w:rFonts w:ascii="Times New Roman" w:hAnsi="Times New Roman"/>
        </w:rPr>
        <w:t>ing</w:t>
      </w:r>
      <w:r w:rsidRPr="00364A8A">
        <w:rPr>
          <w:rFonts w:ascii="Times New Roman" w:hAnsi="Times New Roman"/>
        </w:rPr>
        <w:t xml:space="preserve"> through our technical assistance to help </w:t>
      </w:r>
      <w:r w:rsidR="00A658DA">
        <w:rPr>
          <w:rFonts w:ascii="Times New Roman" w:hAnsi="Times New Roman"/>
        </w:rPr>
        <w:t>PHAs</w:t>
      </w:r>
      <w:r w:rsidRPr="00364A8A">
        <w:rPr>
          <w:rFonts w:ascii="Times New Roman" w:hAnsi="Times New Roman"/>
        </w:rPr>
        <w:t xml:space="preserve"> implement the new policies and set up random assignment. Future data collection efforts will be expected to generate richer data for systematic comparisons of site implementation experiences and practices. </w:t>
      </w:r>
    </w:p>
    <w:p w:rsidR="00E80F50" w:rsidRPr="00364A8A" w:rsidRDefault="00E80F50" w:rsidP="00617C58">
      <w:pPr>
        <w:spacing w:line="240" w:lineRule="auto"/>
        <w:ind w:left="720"/>
        <w:jc w:val="left"/>
        <w:rPr>
          <w:rFonts w:ascii="Times New Roman" w:hAnsi="Times New Roman"/>
        </w:rPr>
      </w:pPr>
      <w:r w:rsidRPr="00364A8A">
        <w:rPr>
          <w:rFonts w:ascii="Times New Roman" w:hAnsi="Times New Roman"/>
        </w:rPr>
        <w:t xml:space="preserve"> </w:t>
      </w:r>
    </w:p>
    <w:p w:rsidR="00E80F50" w:rsidRPr="00364A8A" w:rsidRDefault="00E80F50" w:rsidP="009A7FE2">
      <w:pPr>
        <w:numPr>
          <w:ilvl w:val="0"/>
          <w:numId w:val="23"/>
        </w:numPr>
        <w:tabs>
          <w:tab w:val="clear" w:pos="432"/>
        </w:tabs>
        <w:spacing w:line="240" w:lineRule="auto"/>
        <w:jc w:val="left"/>
        <w:rPr>
          <w:rFonts w:ascii="Times New Roman" w:hAnsi="Times New Roman"/>
        </w:rPr>
      </w:pPr>
      <w:r w:rsidRPr="00364A8A">
        <w:rPr>
          <w:rFonts w:ascii="Times New Roman" w:hAnsi="Times New Roman"/>
          <w:b/>
          <w:bCs/>
        </w:rPr>
        <w:t xml:space="preserve">Measuring effects on tenant turnover and the availability of vouchers. </w:t>
      </w:r>
      <w:r w:rsidRPr="00364A8A">
        <w:rPr>
          <w:rFonts w:ascii="Times New Roman" w:hAnsi="Times New Roman"/>
        </w:rPr>
        <w:t xml:space="preserve">Changes in the rent rules could change tenant turnover in a number of ways.  First, they may increase earnings and income and, in turn, </w:t>
      </w:r>
      <w:r w:rsidRPr="00364A8A">
        <w:rPr>
          <w:rFonts w:ascii="Times New Roman" w:hAnsi="Times New Roman"/>
          <w:i/>
        </w:rPr>
        <w:t>increase</w:t>
      </w:r>
      <w:r w:rsidRPr="00364A8A">
        <w:rPr>
          <w:rFonts w:ascii="Times New Roman" w:hAnsi="Times New Roman"/>
        </w:rPr>
        <w:t xml:space="preserve"> or hasten exits from vouchers. But, second, and in contrast, the new rent policy could </w:t>
      </w:r>
      <w:r w:rsidRPr="00364A8A">
        <w:rPr>
          <w:rFonts w:ascii="Times New Roman" w:hAnsi="Times New Roman"/>
          <w:i/>
        </w:rPr>
        <w:t>reduce</w:t>
      </w:r>
      <w:r w:rsidRPr="00364A8A">
        <w:rPr>
          <w:rFonts w:ascii="Times New Roman" w:hAnsi="Times New Roman"/>
        </w:rPr>
        <w:t xml:space="preserve"> tenant turnover if more voucher holders come to view voucher receipt as more attractive than unsubsidized housing on the private market than they would otherwise view it. As described later, we would compare lengths of stay and reasons for exit for the program and control groups, and we would try to discern the relative influence of different factors on that impact. </w:t>
      </w:r>
    </w:p>
    <w:p w:rsidR="007F1D4D" w:rsidRDefault="007F1D4D" w:rsidP="00617C58">
      <w:pPr>
        <w:pStyle w:val="ListParagraph"/>
        <w:ind w:left="0"/>
        <w:rPr>
          <w:rFonts w:eastAsia="Times New Roman"/>
        </w:rPr>
      </w:pPr>
    </w:p>
    <w:p w:rsidR="00E80F50" w:rsidRPr="00364A8A" w:rsidRDefault="00E80F50" w:rsidP="008F2555">
      <w:pPr>
        <w:numPr>
          <w:ilvl w:val="0"/>
          <w:numId w:val="23"/>
        </w:numPr>
        <w:spacing w:line="240" w:lineRule="auto"/>
        <w:jc w:val="left"/>
        <w:rPr>
          <w:rFonts w:ascii="Times New Roman" w:hAnsi="Times New Roman"/>
        </w:rPr>
      </w:pPr>
      <w:r w:rsidRPr="00364A8A">
        <w:rPr>
          <w:rFonts w:ascii="Times New Roman" w:hAnsi="Times New Roman"/>
          <w:b/>
          <w:bCs/>
        </w:rPr>
        <w:t xml:space="preserve">Effects on tenants’ housing-related hardships. </w:t>
      </w:r>
      <w:r w:rsidRPr="00364A8A">
        <w:rPr>
          <w:rFonts w:ascii="Times New Roman" w:hAnsi="Times New Roman"/>
        </w:rPr>
        <w:t xml:space="preserve">Changes in the rent rules affect tenants’ rent burden and thus their likelihood of being evicted or having their utilities shut off. For example, families at the lower end of the income distribution may strain to afford a high minimum rent, or those with higher incomes may fall into arrears if their income drops, unless adequate </w:t>
      </w:r>
      <w:r w:rsidR="00524668">
        <w:rPr>
          <w:rFonts w:ascii="Times New Roman" w:hAnsi="Times New Roman"/>
        </w:rPr>
        <w:t xml:space="preserve">hardship </w:t>
      </w:r>
      <w:r w:rsidRPr="00364A8A">
        <w:rPr>
          <w:rFonts w:ascii="Times New Roman" w:hAnsi="Times New Roman"/>
        </w:rPr>
        <w:t xml:space="preserve">protections are included in the rent policy. As described below, we would assess the effects on housing hardships and rent burden in the impact analysis, comparing rates of several dimensions of material hardship and also eviction rates for families in the program and control groups. We will do this for all families and for certain subgroups of families thought to be most at risk for these hardships. </w:t>
      </w:r>
    </w:p>
    <w:p w:rsidR="007F1D4D" w:rsidRDefault="007F1D4D" w:rsidP="00617C58">
      <w:pPr>
        <w:pStyle w:val="ListParagraph"/>
        <w:ind w:left="0"/>
        <w:rPr>
          <w:rFonts w:eastAsia="Times New Roman"/>
        </w:rPr>
      </w:pPr>
    </w:p>
    <w:p w:rsidR="00075139" w:rsidRPr="007F1D4D" w:rsidRDefault="00075139" w:rsidP="00075139">
      <w:pPr>
        <w:pStyle w:val="ListParagraph"/>
        <w:numPr>
          <w:ilvl w:val="0"/>
          <w:numId w:val="23"/>
        </w:numPr>
      </w:pPr>
      <w:r w:rsidRPr="00E80F50">
        <w:rPr>
          <w:b/>
          <w:bCs/>
        </w:rPr>
        <w:t xml:space="preserve">Effects on </w:t>
      </w:r>
      <w:r w:rsidR="00A658DA">
        <w:rPr>
          <w:b/>
          <w:bCs/>
        </w:rPr>
        <w:t>PHAs</w:t>
      </w:r>
      <w:r w:rsidRPr="00E80F50">
        <w:rPr>
          <w:b/>
          <w:bCs/>
        </w:rPr>
        <w:t>’ costs and ability to serve</w:t>
      </w:r>
      <w:r w:rsidRPr="00C96F58">
        <w:rPr>
          <w:b/>
          <w:bCs/>
        </w:rPr>
        <w:t xml:space="preserve"> more eligible families. </w:t>
      </w:r>
      <w:r w:rsidRPr="00C96F58">
        <w:t>The effect of rent reform on tenant turnover is a key question because it concerns</w:t>
      </w:r>
      <w:r w:rsidR="00AB47A6">
        <w:t>,</w:t>
      </w:r>
      <w:r w:rsidRPr="00C96F58">
        <w:t xml:space="preserve"> not only the well-being of families with vouchers, but also the number of families </w:t>
      </w:r>
      <w:r w:rsidR="00A658DA">
        <w:t>PHAs</w:t>
      </w:r>
      <w:r w:rsidRPr="00C96F58">
        <w:t xml:space="preserve"> can afford to serve with a given budget. </w:t>
      </w:r>
      <w:r w:rsidRPr="007F1D4D">
        <w:rPr>
          <w:bCs/>
        </w:rPr>
        <w:t xml:space="preserve">In theory, a new rent policy may allow </w:t>
      </w:r>
      <w:r w:rsidR="00A658DA">
        <w:rPr>
          <w:bCs/>
        </w:rPr>
        <w:t>PHAs</w:t>
      </w:r>
      <w:r w:rsidRPr="007F1D4D">
        <w:rPr>
          <w:bCs/>
        </w:rPr>
        <w:t xml:space="preserve"> to stretch their budgets and fund subsidies for more families by causing </w:t>
      </w:r>
      <w:r w:rsidRPr="007F1D4D">
        <w:t xml:space="preserve">tenants’ earnings to grow and/or more directly by reducing the amount of subsidy offered over time.  </w:t>
      </w:r>
    </w:p>
    <w:p w:rsidR="00075139" w:rsidRDefault="00075139" w:rsidP="00075139">
      <w:pPr>
        <w:pStyle w:val="ListParagraph"/>
        <w:ind w:left="0"/>
      </w:pPr>
    </w:p>
    <w:p w:rsidR="00075139" w:rsidRPr="007F1D4D" w:rsidRDefault="00075139" w:rsidP="00075139">
      <w:pPr>
        <w:pStyle w:val="ListParagraph"/>
        <w:rPr>
          <w:bCs/>
        </w:rPr>
      </w:pPr>
      <w:r w:rsidRPr="007F1D4D">
        <w:t xml:space="preserve">Alternatively, some policies could end up increasing rather than reducing </w:t>
      </w:r>
      <w:r w:rsidR="00A658DA">
        <w:t>PHAs</w:t>
      </w:r>
      <w:r w:rsidRPr="007F1D4D">
        <w:t xml:space="preserve">’ costs. That might be the case, for example, if the policy </w:t>
      </w:r>
      <w:r>
        <w:t xml:space="preserve">causes some tenants to work less than they might have otherwise (e.g., because of a fear of the implications of the loss of deductions such as child care), despite the fact that they have a greater economic incentive to work in the following three years, while also having no effect on other tenants’ work rates. If that’s the case, </w:t>
      </w:r>
      <w:r w:rsidRPr="00010FEB">
        <w:t xml:space="preserve">(relative to the 30-percent rule) </w:t>
      </w:r>
      <w:r>
        <w:t xml:space="preserve">the aggregate amount of tenant contributions would be lower at the end of the three-year rent-freeze period and heading into the subsequent period, </w:t>
      </w:r>
      <w:r w:rsidRPr="00010FEB">
        <w:t xml:space="preserve">thus </w:t>
      </w:r>
      <w:r w:rsidRPr="00375C2A">
        <w:rPr>
          <w:i/>
        </w:rPr>
        <w:t>costing</w:t>
      </w:r>
      <w:r w:rsidRPr="00364A8A">
        <w:t xml:space="preserve"> the</w:t>
      </w:r>
      <w:r w:rsidR="006E419F">
        <w:t xml:space="preserve"> PHA </w:t>
      </w:r>
      <w:r w:rsidRPr="007F1D4D">
        <w:t>more in subsidies</w:t>
      </w:r>
      <w:r>
        <w:t xml:space="preserve">. Although this result is not anticipated, it cannot be ruled out. The evaluation will </w:t>
      </w:r>
      <w:r>
        <w:lastRenderedPageBreak/>
        <w:t xml:space="preserve">determine whether it in fact occurs, or whether, as hoped, the new policy produces increases in tenant work effort. </w:t>
      </w:r>
      <w:r w:rsidRPr="00C96F58">
        <w:rPr>
          <w:bCs/>
        </w:rPr>
        <w:t>Whether or not a new policy is budget-neutral, and whether it achieves the broader goals of rent reform, will depe</w:t>
      </w:r>
      <w:r w:rsidRPr="007F1D4D">
        <w:rPr>
          <w:bCs/>
        </w:rPr>
        <w:t xml:space="preserve">nd to a very important extent on the changes it causes in participants’ labor market and housing decisions. </w:t>
      </w:r>
    </w:p>
    <w:p w:rsidR="00075139" w:rsidRPr="007F1D4D" w:rsidRDefault="00075139" w:rsidP="00075139">
      <w:pPr>
        <w:pStyle w:val="ListParagraph"/>
        <w:rPr>
          <w:bCs/>
        </w:rPr>
      </w:pPr>
    </w:p>
    <w:p w:rsidR="00075139" w:rsidRPr="00364A8A" w:rsidRDefault="00075139" w:rsidP="00075139">
      <w:pPr>
        <w:numPr>
          <w:ilvl w:val="0"/>
          <w:numId w:val="23"/>
        </w:numPr>
        <w:spacing w:line="240" w:lineRule="auto"/>
        <w:jc w:val="left"/>
        <w:rPr>
          <w:rFonts w:ascii="Times New Roman" w:hAnsi="Times New Roman"/>
          <w:bCs/>
        </w:rPr>
      </w:pPr>
      <w:r w:rsidRPr="00364A8A">
        <w:rPr>
          <w:rFonts w:ascii="Times New Roman" w:hAnsi="Times New Roman"/>
          <w:b/>
        </w:rPr>
        <w:t>Administrative reforms and</w:t>
      </w:r>
      <w:r w:rsidR="006E419F">
        <w:rPr>
          <w:rFonts w:ascii="Times New Roman" w:hAnsi="Times New Roman"/>
          <w:b/>
        </w:rPr>
        <w:t xml:space="preserve"> PHA </w:t>
      </w:r>
      <w:r w:rsidRPr="00364A8A">
        <w:rPr>
          <w:rFonts w:ascii="Times New Roman" w:hAnsi="Times New Roman"/>
          <w:b/>
        </w:rPr>
        <w:t xml:space="preserve">cost savings. </w:t>
      </w:r>
      <w:r>
        <w:rPr>
          <w:rFonts w:ascii="Times New Roman" w:hAnsi="Times New Roman"/>
        </w:rPr>
        <w:t>The alternative rent policy should reduce the administrative burden on the housing a</w:t>
      </w:r>
      <w:r w:rsidR="004E5E4F">
        <w:rPr>
          <w:rFonts w:ascii="Times New Roman" w:hAnsi="Times New Roman"/>
        </w:rPr>
        <w:t>gency</w:t>
      </w:r>
      <w:r>
        <w:rPr>
          <w:rFonts w:ascii="Times New Roman" w:hAnsi="Times New Roman"/>
        </w:rPr>
        <w:t xml:space="preserve"> because it should be simpler to administer and require fewer tenant-staff interactions. This should produce administrative cost savings. </w:t>
      </w:r>
      <w:r w:rsidRPr="00364A8A">
        <w:rPr>
          <w:rFonts w:ascii="Times New Roman" w:hAnsi="Times New Roman"/>
        </w:rPr>
        <w:t xml:space="preserve"> It will thus be important </w:t>
      </w:r>
      <w:r w:rsidR="00AB47A6">
        <w:rPr>
          <w:rFonts w:ascii="Times New Roman" w:hAnsi="Times New Roman"/>
        </w:rPr>
        <w:t xml:space="preserve">to </w:t>
      </w:r>
      <w:r w:rsidRPr="00364A8A">
        <w:rPr>
          <w:rFonts w:ascii="Times New Roman" w:hAnsi="Times New Roman"/>
        </w:rPr>
        <w:t>document how the changes in rent policy affect a variety of administrative processes</w:t>
      </w:r>
      <w:r>
        <w:rPr>
          <w:rFonts w:ascii="Times New Roman" w:hAnsi="Times New Roman"/>
        </w:rPr>
        <w:t xml:space="preserve"> and the extent to which there is any offsetting increase in the administrative burden of dealing with hardship cases un</w:t>
      </w:r>
      <w:r w:rsidR="00911792">
        <w:rPr>
          <w:rFonts w:ascii="Times New Roman" w:hAnsi="Times New Roman"/>
        </w:rPr>
        <w:t>d</w:t>
      </w:r>
      <w:r>
        <w:rPr>
          <w:rFonts w:ascii="Times New Roman" w:hAnsi="Times New Roman"/>
        </w:rPr>
        <w:t xml:space="preserve">er the new policy. </w:t>
      </w:r>
      <w:r w:rsidRPr="00364A8A">
        <w:rPr>
          <w:rFonts w:ascii="Times New Roman" w:hAnsi="Times New Roman"/>
        </w:rPr>
        <w:t xml:space="preserve"> </w:t>
      </w:r>
    </w:p>
    <w:p w:rsidR="00075139" w:rsidRPr="00E80F50" w:rsidRDefault="00075139" w:rsidP="00075139">
      <w:pPr>
        <w:pStyle w:val="ListParagraph"/>
        <w:rPr>
          <w:b/>
          <w:bCs/>
        </w:rPr>
      </w:pPr>
    </w:p>
    <w:p w:rsidR="00075139" w:rsidRPr="00364A8A" w:rsidRDefault="00075139" w:rsidP="00075139">
      <w:pPr>
        <w:numPr>
          <w:ilvl w:val="0"/>
          <w:numId w:val="23"/>
        </w:numPr>
        <w:spacing w:line="240" w:lineRule="auto"/>
        <w:jc w:val="left"/>
        <w:rPr>
          <w:rFonts w:ascii="Times New Roman" w:hAnsi="Times New Roman"/>
        </w:rPr>
      </w:pPr>
      <w:r w:rsidRPr="00364A8A">
        <w:rPr>
          <w:rFonts w:ascii="Times New Roman" w:hAnsi="Times New Roman"/>
          <w:b/>
        </w:rPr>
        <w:t>Assessing administrative efficiencies with an eye toward “scaling-up</w:t>
      </w:r>
      <w:r>
        <w:rPr>
          <w:rFonts w:ascii="Times New Roman" w:hAnsi="Times New Roman"/>
          <w:b/>
        </w:rPr>
        <w:t>.</w:t>
      </w:r>
      <w:r w:rsidRPr="00364A8A">
        <w:rPr>
          <w:rFonts w:ascii="Times New Roman" w:hAnsi="Times New Roman"/>
          <w:b/>
        </w:rPr>
        <w:t xml:space="preserve">” </w:t>
      </w:r>
      <w:r w:rsidRPr="00364A8A">
        <w:rPr>
          <w:rFonts w:ascii="Times New Roman" w:hAnsi="Times New Roman"/>
        </w:rPr>
        <w:t xml:space="preserve">In any demonstration project, one must be concerned that the ways of operating a program or policy as a special research initiative may not mirror the ways it would operate as a scaled-up policy. In the </w:t>
      </w:r>
      <w:r w:rsidR="004001DE">
        <w:rPr>
          <w:rFonts w:ascii="Times New Roman" w:hAnsi="Times New Roman"/>
        </w:rPr>
        <w:t>R</w:t>
      </w:r>
      <w:r w:rsidRPr="00364A8A">
        <w:rPr>
          <w:rFonts w:ascii="Times New Roman" w:hAnsi="Times New Roman"/>
        </w:rPr>
        <w:t xml:space="preserve">ent </w:t>
      </w:r>
      <w:r w:rsidR="004001DE">
        <w:rPr>
          <w:rFonts w:ascii="Times New Roman" w:hAnsi="Times New Roman"/>
        </w:rPr>
        <w:t>R</w:t>
      </w:r>
      <w:r w:rsidRPr="00364A8A">
        <w:rPr>
          <w:rFonts w:ascii="Times New Roman" w:hAnsi="Times New Roman"/>
        </w:rPr>
        <w:t xml:space="preserve">eform </w:t>
      </w:r>
      <w:r w:rsidR="004001DE">
        <w:rPr>
          <w:rFonts w:ascii="Times New Roman" w:hAnsi="Times New Roman"/>
        </w:rPr>
        <w:t>D</w:t>
      </w:r>
      <w:r w:rsidRPr="00364A8A">
        <w:rPr>
          <w:rFonts w:ascii="Times New Roman" w:hAnsi="Times New Roman"/>
        </w:rPr>
        <w:t xml:space="preserve">emonstration, the </w:t>
      </w:r>
      <w:r w:rsidR="00A658DA">
        <w:rPr>
          <w:rFonts w:ascii="Times New Roman" w:hAnsi="Times New Roman"/>
        </w:rPr>
        <w:t>PHAs</w:t>
      </w:r>
      <w:r w:rsidRPr="00364A8A">
        <w:rPr>
          <w:rFonts w:ascii="Times New Roman" w:hAnsi="Times New Roman"/>
        </w:rPr>
        <w:t xml:space="preserve"> will be required to operate </w:t>
      </w:r>
      <w:r w:rsidRPr="00364A8A">
        <w:rPr>
          <w:rFonts w:ascii="Times New Roman" w:hAnsi="Times New Roman"/>
          <w:i/>
        </w:rPr>
        <w:t>dual</w:t>
      </w:r>
      <w:r w:rsidRPr="00364A8A">
        <w:rPr>
          <w:rFonts w:ascii="Times New Roman" w:hAnsi="Times New Roman"/>
        </w:rPr>
        <w:t xml:space="preserve"> rent systems – the current income-based system plus an alternative system. At the very least, this means that the </w:t>
      </w:r>
      <w:r w:rsidR="00A658DA">
        <w:rPr>
          <w:rFonts w:ascii="Times New Roman" w:hAnsi="Times New Roman"/>
        </w:rPr>
        <w:t>PHAs</w:t>
      </w:r>
      <w:r w:rsidRPr="00364A8A">
        <w:rPr>
          <w:rFonts w:ascii="Times New Roman" w:hAnsi="Times New Roman"/>
        </w:rPr>
        <w:t xml:space="preserve"> will not be able to achieve the same efficiencies and economies of scale with the hybrid system as they could if the new policy were operated at full-scale for all voucher recipients.  </w:t>
      </w:r>
    </w:p>
    <w:p w:rsidR="00075139" w:rsidRPr="00E80F50" w:rsidRDefault="00075139" w:rsidP="00075139">
      <w:pPr>
        <w:pStyle w:val="ListParagraph"/>
      </w:pPr>
    </w:p>
    <w:p w:rsidR="00075139" w:rsidRPr="00010FEB" w:rsidRDefault="00075139" w:rsidP="00075139">
      <w:pPr>
        <w:pStyle w:val="ListParagraph"/>
      </w:pPr>
      <w:r w:rsidRPr="00C96F58">
        <w:t>Although it is not possible to avoid this problem in the context of the demonstration, we propo</w:t>
      </w:r>
      <w:r w:rsidRPr="007F1D4D">
        <w:t xml:space="preserve">se to include as part of a longer-term implementation study an assessment of where further operational efficiencies could be achieved if the rent policy were implemented at scale. For example, we would look for ways in which everything from staff deployment to information systems could be modified or consolidated if the </w:t>
      </w:r>
      <w:r>
        <w:t>new</w:t>
      </w:r>
      <w:r w:rsidRPr="007F1D4D">
        <w:t xml:space="preserve"> policy were adopted wholesale</w:t>
      </w:r>
      <w:r>
        <w:t>.</w:t>
      </w:r>
      <w:r w:rsidRPr="007F1D4D">
        <w:t xml:space="preserve"> In addition, as part of our proposed cost-benefit analysis (see below), we would include sensitivity tests that build in reasonable assumptions about those possible economies of scale. </w:t>
      </w:r>
    </w:p>
    <w:p w:rsidR="00075139" w:rsidRPr="00375C2A" w:rsidRDefault="00075139" w:rsidP="00075139">
      <w:pPr>
        <w:pStyle w:val="ListParagraph"/>
      </w:pPr>
    </w:p>
    <w:p w:rsidR="00E80F50" w:rsidRPr="007F1D4D" w:rsidRDefault="00E80F50" w:rsidP="00617C58">
      <w:pPr>
        <w:pStyle w:val="ListParagraph"/>
        <w:ind w:left="360" w:firstLine="360"/>
        <w:rPr>
          <w:b/>
        </w:rPr>
      </w:pPr>
      <w:r w:rsidRPr="00C96F58">
        <w:rPr>
          <w:b/>
        </w:rPr>
        <w:t xml:space="preserve">B. Research questions concerning individuals and families </w:t>
      </w:r>
    </w:p>
    <w:p w:rsidR="00E80F50" w:rsidRPr="007F1D4D" w:rsidRDefault="00E80F50" w:rsidP="00617C58">
      <w:pPr>
        <w:pStyle w:val="ListParagraph"/>
        <w:ind w:left="0"/>
        <w:rPr>
          <w:b/>
        </w:rPr>
      </w:pPr>
    </w:p>
    <w:p w:rsidR="00E80F50" w:rsidRPr="00A90552" w:rsidRDefault="00E80F50" w:rsidP="00617C58">
      <w:pPr>
        <w:pStyle w:val="ListParagraph"/>
        <w:ind w:left="0"/>
      </w:pPr>
      <w:r w:rsidRPr="007F1D4D">
        <w:t xml:space="preserve">A premise behind many rent reform proposals is that the reforms will benefit assisted families as </w:t>
      </w:r>
      <w:r w:rsidRPr="00A90552">
        <w:t xml:space="preserve">well as </w:t>
      </w:r>
      <w:r w:rsidR="00A658DA" w:rsidRPr="00A90552">
        <w:t>PHAs</w:t>
      </w:r>
      <w:r w:rsidRPr="00A90552">
        <w:t xml:space="preserve">. Thus, </w:t>
      </w:r>
      <w:r w:rsidR="00085E24">
        <w:t xml:space="preserve">drawing on the available data sources (which does not include a participant survey), </w:t>
      </w:r>
      <w:r w:rsidRPr="00A90552">
        <w:t>the evaluation is designed to assess whether this is true, using the following approach:</w:t>
      </w:r>
    </w:p>
    <w:p w:rsidR="00E80F50" w:rsidRPr="00A90552" w:rsidRDefault="00E80F50" w:rsidP="00617C58">
      <w:pPr>
        <w:pStyle w:val="ListParagraph"/>
        <w:rPr>
          <w:b/>
        </w:rPr>
      </w:pPr>
    </w:p>
    <w:p w:rsidR="00E80F50" w:rsidRPr="00A90552" w:rsidRDefault="00E80F50" w:rsidP="00BC4332">
      <w:pPr>
        <w:numPr>
          <w:ilvl w:val="0"/>
          <w:numId w:val="25"/>
        </w:numPr>
        <w:spacing w:line="240" w:lineRule="auto"/>
        <w:jc w:val="left"/>
        <w:rPr>
          <w:rFonts w:ascii="Times New Roman" w:hAnsi="Times New Roman"/>
        </w:rPr>
      </w:pPr>
      <w:r w:rsidRPr="00A90552">
        <w:rPr>
          <w:rFonts w:ascii="Times New Roman" w:hAnsi="Times New Roman"/>
          <w:b/>
        </w:rPr>
        <w:t xml:space="preserve">Assessing voucher recipients’ understanding of rent reform incentives. </w:t>
      </w:r>
      <w:r w:rsidRPr="00A90552">
        <w:rPr>
          <w:rFonts w:ascii="Times New Roman" w:hAnsi="Times New Roman"/>
        </w:rPr>
        <w:t xml:space="preserve">Tenants’ understanding of the new model and its implicit incentives will inform how they make labor market and housing choices. Using qualitative research methods, the evaluation will explore whether tenants understand the new rules, and the “frames” they use in interpreting them, such as whether they believe that “extra work is penalized.”  </w:t>
      </w:r>
      <w:r w:rsidR="00A90552" w:rsidRPr="00A90552">
        <w:rPr>
          <w:rFonts w:ascii="Times New Roman" w:hAnsi="Times New Roman"/>
        </w:rPr>
        <w:t>The MDRC team will conduct a small number of interviews to get an early read on voucher recipients’ understanding of these.</w:t>
      </w:r>
    </w:p>
    <w:p w:rsidR="00E80F50" w:rsidRPr="00E80F50" w:rsidRDefault="00E80F50" w:rsidP="00617C58">
      <w:pPr>
        <w:pStyle w:val="ListParagraph"/>
      </w:pPr>
    </w:p>
    <w:p w:rsidR="00E80F50" w:rsidRPr="00085E24" w:rsidRDefault="00085E24" w:rsidP="00085E24">
      <w:pPr>
        <w:pStyle w:val="ListParagraph"/>
        <w:numPr>
          <w:ilvl w:val="0"/>
          <w:numId w:val="25"/>
        </w:numPr>
      </w:pPr>
      <w:r>
        <w:rPr>
          <w:b/>
        </w:rPr>
        <w:t>M</w:t>
      </w:r>
      <w:r w:rsidR="00E80F50" w:rsidRPr="00085E24">
        <w:rPr>
          <w:b/>
        </w:rPr>
        <w:t>easur</w:t>
      </w:r>
      <w:r w:rsidR="00D9357C">
        <w:rPr>
          <w:b/>
        </w:rPr>
        <w:t xml:space="preserve">ing </w:t>
      </w:r>
      <w:r w:rsidR="00E80F50" w:rsidRPr="00085E24">
        <w:rPr>
          <w:b/>
        </w:rPr>
        <w:t>tenant outcomes</w:t>
      </w:r>
      <w:r w:rsidR="00617C58" w:rsidRPr="00085E24">
        <w:rPr>
          <w:b/>
        </w:rPr>
        <w:t>:</w:t>
      </w:r>
      <w:r w:rsidR="00E80F50" w:rsidRPr="00085E24">
        <w:rPr>
          <w:b/>
        </w:rPr>
        <w:t xml:space="preserve"> </w:t>
      </w:r>
      <w:r w:rsidR="00E80F50" w:rsidRPr="00085E24">
        <w:t xml:space="preserve">We identify </w:t>
      </w:r>
      <w:r w:rsidR="002E7597" w:rsidRPr="00085E24">
        <w:t xml:space="preserve">the following </w:t>
      </w:r>
      <w:r w:rsidR="00E80F50" w:rsidRPr="00085E24">
        <w:t>clusters of tenant outcomes</w:t>
      </w:r>
      <w:r w:rsidR="002E7597" w:rsidRPr="00085E24">
        <w:t xml:space="preserve">.  </w:t>
      </w:r>
      <w:r w:rsidR="00E80F50" w:rsidRPr="00085E24">
        <w:t xml:space="preserve">    </w:t>
      </w:r>
    </w:p>
    <w:p w:rsidR="00E80F50" w:rsidRPr="00364A8A" w:rsidRDefault="00E80F50" w:rsidP="00617C58">
      <w:pPr>
        <w:spacing w:line="240" w:lineRule="auto"/>
        <w:ind w:left="720" w:firstLine="720"/>
        <w:jc w:val="left"/>
        <w:rPr>
          <w:rFonts w:ascii="Times New Roman" w:hAnsi="Times New Roman"/>
        </w:rPr>
      </w:pPr>
    </w:p>
    <w:p w:rsidR="00E80F50" w:rsidRPr="00085E24" w:rsidRDefault="00E80F50" w:rsidP="00085E24">
      <w:pPr>
        <w:tabs>
          <w:tab w:val="clear" w:pos="432"/>
        </w:tabs>
        <w:spacing w:line="240" w:lineRule="auto"/>
        <w:ind w:left="720" w:firstLine="0"/>
        <w:jc w:val="left"/>
        <w:rPr>
          <w:rFonts w:ascii="Times New Roman" w:hAnsi="Times New Roman"/>
        </w:rPr>
      </w:pPr>
      <w:r w:rsidRPr="00085E24">
        <w:rPr>
          <w:rFonts w:ascii="Times New Roman" w:hAnsi="Times New Roman"/>
          <w:b/>
          <w:bCs/>
          <w:i/>
          <w:iCs/>
        </w:rPr>
        <w:t xml:space="preserve">Household </w:t>
      </w:r>
      <w:r w:rsidR="00D9357C">
        <w:rPr>
          <w:rFonts w:ascii="Times New Roman" w:hAnsi="Times New Roman"/>
          <w:b/>
          <w:bCs/>
          <w:i/>
          <w:iCs/>
        </w:rPr>
        <w:t>c</w:t>
      </w:r>
      <w:r w:rsidRPr="00085E24">
        <w:rPr>
          <w:rFonts w:ascii="Times New Roman" w:hAnsi="Times New Roman"/>
          <w:b/>
          <w:bCs/>
          <w:i/>
          <w:iCs/>
        </w:rPr>
        <w:t xml:space="preserve">omposition and </w:t>
      </w:r>
      <w:r w:rsidR="00D9357C">
        <w:rPr>
          <w:rFonts w:ascii="Times New Roman" w:hAnsi="Times New Roman"/>
          <w:b/>
          <w:bCs/>
          <w:i/>
          <w:iCs/>
        </w:rPr>
        <w:t>s</w:t>
      </w:r>
      <w:r w:rsidRPr="00085E24">
        <w:rPr>
          <w:rFonts w:ascii="Times New Roman" w:hAnsi="Times New Roman"/>
          <w:b/>
          <w:bCs/>
          <w:i/>
          <w:iCs/>
        </w:rPr>
        <w:t>tructure:</w:t>
      </w:r>
      <w:r w:rsidRPr="00085E24">
        <w:rPr>
          <w:rFonts w:ascii="Times New Roman" w:hAnsi="Times New Roman"/>
        </w:rPr>
        <w:t xml:space="preserve"> To explore effects on household composition and structure, the analysis would rely on information collected about all household members, including names, ages, employment status (if appropriate), and relationship to the head of household through the </w:t>
      </w:r>
      <w:r w:rsidR="00B54408" w:rsidRPr="00085E24">
        <w:rPr>
          <w:rFonts w:ascii="Times New Roman" w:hAnsi="Times New Roman"/>
        </w:rPr>
        <w:t xml:space="preserve">HUD </w:t>
      </w:r>
      <w:r w:rsidRPr="00085E24">
        <w:rPr>
          <w:rFonts w:ascii="Times New Roman" w:hAnsi="Times New Roman"/>
        </w:rPr>
        <w:t>50058 form.</w:t>
      </w:r>
    </w:p>
    <w:p w:rsidR="00E80F50" w:rsidRPr="00085E24" w:rsidRDefault="00E80F50" w:rsidP="00085E24">
      <w:pPr>
        <w:spacing w:line="240" w:lineRule="auto"/>
        <w:ind w:left="1800" w:firstLine="0"/>
        <w:jc w:val="left"/>
        <w:rPr>
          <w:rFonts w:ascii="Times New Roman" w:hAnsi="Times New Roman"/>
          <w:b/>
          <w:iCs/>
        </w:rPr>
      </w:pPr>
    </w:p>
    <w:p w:rsidR="00E80F50" w:rsidRPr="00085E24" w:rsidRDefault="00E80F50" w:rsidP="00085E24">
      <w:pPr>
        <w:tabs>
          <w:tab w:val="clear" w:pos="432"/>
        </w:tabs>
        <w:spacing w:line="240" w:lineRule="auto"/>
        <w:ind w:left="720" w:firstLine="0"/>
        <w:jc w:val="left"/>
        <w:rPr>
          <w:rFonts w:ascii="Times New Roman" w:hAnsi="Times New Roman"/>
        </w:rPr>
      </w:pPr>
      <w:r w:rsidRPr="00085E24">
        <w:rPr>
          <w:rFonts w:ascii="Times New Roman" w:hAnsi="Times New Roman"/>
          <w:b/>
          <w:i/>
          <w:iCs/>
        </w:rPr>
        <w:t>Work behaviors:</w:t>
      </w:r>
      <w:r w:rsidRPr="00085E24">
        <w:rPr>
          <w:rFonts w:ascii="Times New Roman" w:hAnsi="Times New Roman"/>
          <w:b/>
          <w:iCs/>
        </w:rPr>
        <w:t xml:space="preserve"> </w:t>
      </w:r>
      <w:r w:rsidRPr="00085E24">
        <w:rPr>
          <w:rFonts w:ascii="Times New Roman" w:hAnsi="Times New Roman"/>
        </w:rPr>
        <w:t xml:space="preserve"> Unemployment Insurance wage records will include information on employment</w:t>
      </w:r>
      <w:r w:rsidR="0001795B" w:rsidRPr="00085E24">
        <w:rPr>
          <w:rFonts w:ascii="Times New Roman" w:hAnsi="Times New Roman"/>
        </w:rPr>
        <w:t xml:space="preserve"> and</w:t>
      </w:r>
      <w:r w:rsidRPr="00085E24">
        <w:rPr>
          <w:rFonts w:ascii="Times New Roman" w:hAnsi="Times New Roman"/>
        </w:rPr>
        <w:t xml:space="preserve"> earnings.</w:t>
      </w:r>
    </w:p>
    <w:p w:rsidR="00B90C6E" w:rsidRPr="00085E24" w:rsidRDefault="00B90C6E" w:rsidP="00085E24">
      <w:pPr>
        <w:pStyle w:val="ListParagraph"/>
        <w:ind w:left="1080"/>
      </w:pPr>
    </w:p>
    <w:p w:rsidR="00E80F50" w:rsidRPr="00085E24" w:rsidRDefault="00E80F50" w:rsidP="00085E24">
      <w:pPr>
        <w:autoSpaceDE w:val="0"/>
        <w:autoSpaceDN w:val="0"/>
        <w:adjustRightInd w:val="0"/>
        <w:spacing w:line="240" w:lineRule="auto"/>
        <w:ind w:left="720" w:firstLine="0"/>
        <w:rPr>
          <w:rFonts w:ascii="Times New Roman" w:hAnsi="Times New Roman"/>
          <w:color w:val="000000"/>
        </w:rPr>
      </w:pPr>
      <w:r w:rsidRPr="00085E24">
        <w:rPr>
          <w:rFonts w:ascii="Times New Roman" w:hAnsi="Times New Roman"/>
          <w:b/>
          <w:bCs/>
          <w:i/>
          <w:iCs/>
        </w:rPr>
        <w:t>Income</w:t>
      </w:r>
      <w:r w:rsidRPr="00085E24">
        <w:rPr>
          <w:rFonts w:ascii="Times New Roman" w:hAnsi="Times New Roman"/>
          <w:b/>
          <w:bCs/>
          <w:i/>
          <w:iCs/>
          <w:color w:val="000000"/>
        </w:rPr>
        <w:t>, assets,</w:t>
      </w:r>
      <w:r w:rsidR="00B90C6E" w:rsidRPr="00085E24">
        <w:rPr>
          <w:rFonts w:ascii="Times New Roman" w:hAnsi="Times New Roman"/>
          <w:b/>
          <w:bCs/>
          <w:i/>
          <w:iCs/>
          <w:color w:val="000000"/>
        </w:rPr>
        <w:t xml:space="preserve"> </w:t>
      </w:r>
      <w:r w:rsidRPr="00085E24">
        <w:rPr>
          <w:rFonts w:ascii="Times New Roman" w:hAnsi="Times New Roman"/>
          <w:b/>
          <w:bCs/>
          <w:i/>
          <w:iCs/>
          <w:color w:val="000000"/>
        </w:rPr>
        <w:t>and rent burden:</w:t>
      </w:r>
      <w:r w:rsidRPr="00085E24">
        <w:rPr>
          <w:rFonts w:ascii="Times New Roman" w:hAnsi="Times New Roman"/>
          <w:b/>
          <w:bCs/>
          <w:iCs/>
          <w:color w:val="000000"/>
        </w:rPr>
        <w:t xml:space="preserve"> </w:t>
      </w:r>
      <w:r w:rsidRPr="00085E24">
        <w:rPr>
          <w:rFonts w:ascii="Times New Roman" w:hAnsi="Times New Roman"/>
          <w:color w:val="000000"/>
        </w:rPr>
        <w:t xml:space="preserve">If rent reform increases tenants’ disposable income, it may help them </w:t>
      </w:r>
      <w:r w:rsidR="00B90C6E" w:rsidRPr="00085E24">
        <w:rPr>
          <w:rFonts w:ascii="Times New Roman" w:hAnsi="Times New Roman"/>
          <w:color w:val="000000"/>
        </w:rPr>
        <w:t>a</w:t>
      </w:r>
      <w:r w:rsidRPr="00085E24">
        <w:rPr>
          <w:rFonts w:ascii="Times New Roman" w:hAnsi="Times New Roman"/>
          <w:color w:val="000000"/>
        </w:rPr>
        <w:t xml:space="preserve">ccumulate assets. Data on income </w:t>
      </w:r>
      <w:r w:rsidR="00B90C6E" w:rsidRPr="00085E24">
        <w:rPr>
          <w:rFonts w:ascii="Times New Roman" w:hAnsi="Times New Roman"/>
          <w:color w:val="000000"/>
        </w:rPr>
        <w:t xml:space="preserve">(for </w:t>
      </w:r>
      <w:r w:rsidRPr="00085E24">
        <w:rPr>
          <w:rFonts w:ascii="Times New Roman" w:hAnsi="Times New Roman"/>
          <w:color w:val="000000"/>
        </w:rPr>
        <w:t xml:space="preserve">housing </w:t>
      </w:r>
      <w:r w:rsidR="004E5E4F" w:rsidRPr="00085E24">
        <w:rPr>
          <w:rFonts w:ascii="Times New Roman" w:hAnsi="Times New Roman"/>
          <w:color w:val="000000"/>
        </w:rPr>
        <w:t xml:space="preserve">agency </w:t>
      </w:r>
      <w:r w:rsidRPr="00085E24">
        <w:rPr>
          <w:rFonts w:ascii="Times New Roman" w:hAnsi="Times New Roman"/>
          <w:color w:val="000000"/>
        </w:rPr>
        <w:t>data</w:t>
      </w:r>
      <w:r w:rsidR="00B90C6E" w:rsidRPr="00085E24">
        <w:rPr>
          <w:rFonts w:ascii="Times New Roman" w:hAnsi="Times New Roman"/>
          <w:color w:val="000000"/>
        </w:rPr>
        <w:t xml:space="preserve">), </w:t>
      </w:r>
      <w:r w:rsidRPr="00085E24">
        <w:rPr>
          <w:rFonts w:ascii="Times New Roman" w:hAnsi="Times New Roman"/>
          <w:color w:val="000000"/>
        </w:rPr>
        <w:t>rent</w:t>
      </w:r>
      <w:r w:rsidR="00B90C6E" w:rsidRPr="00085E24">
        <w:rPr>
          <w:rFonts w:ascii="Times New Roman" w:hAnsi="Times New Roman"/>
          <w:color w:val="000000"/>
        </w:rPr>
        <w:t>,</w:t>
      </w:r>
      <w:r w:rsidRPr="00085E24">
        <w:rPr>
          <w:rFonts w:ascii="Times New Roman" w:hAnsi="Times New Roman"/>
          <w:color w:val="000000"/>
        </w:rPr>
        <w:t xml:space="preserve"> and utilities payments would be used to co</w:t>
      </w:r>
      <w:r w:rsidR="00B90C6E" w:rsidRPr="00085E24">
        <w:rPr>
          <w:rFonts w:ascii="Times New Roman" w:hAnsi="Times New Roman"/>
          <w:color w:val="000000"/>
        </w:rPr>
        <w:t>nstruct measures of rent burden</w:t>
      </w:r>
      <w:r w:rsidRPr="00085E24">
        <w:rPr>
          <w:rFonts w:ascii="Times New Roman" w:hAnsi="Times New Roman"/>
          <w:color w:val="000000"/>
        </w:rPr>
        <w:t>.</w:t>
      </w:r>
    </w:p>
    <w:p w:rsidR="00B90C6E" w:rsidRPr="00085E24" w:rsidRDefault="00B90C6E" w:rsidP="00085E24">
      <w:pPr>
        <w:pStyle w:val="ListParagraph"/>
        <w:ind w:left="1080"/>
        <w:rPr>
          <w:color w:val="000000"/>
        </w:rPr>
      </w:pPr>
    </w:p>
    <w:p w:rsidR="00E80F50" w:rsidRPr="00085E24" w:rsidRDefault="0001795B" w:rsidP="00085E24">
      <w:pPr>
        <w:tabs>
          <w:tab w:val="clear" w:pos="432"/>
        </w:tabs>
        <w:spacing w:line="240" w:lineRule="auto"/>
        <w:ind w:left="720" w:firstLine="0"/>
        <w:jc w:val="left"/>
        <w:rPr>
          <w:rFonts w:ascii="Times New Roman" w:hAnsi="Times New Roman"/>
        </w:rPr>
      </w:pPr>
      <w:r w:rsidRPr="00085E24">
        <w:rPr>
          <w:rFonts w:ascii="Times New Roman" w:hAnsi="Times New Roman"/>
          <w:b/>
          <w:bCs/>
          <w:i/>
          <w:iCs/>
        </w:rPr>
        <w:t>H</w:t>
      </w:r>
      <w:r w:rsidR="00E80F50" w:rsidRPr="00085E24">
        <w:rPr>
          <w:rFonts w:ascii="Times New Roman" w:hAnsi="Times New Roman"/>
          <w:b/>
          <w:bCs/>
          <w:i/>
          <w:iCs/>
        </w:rPr>
        <w:t>omelessness</w:t>
      </w:r>
      <w:r w:rsidRPr="00085E24">
        <w:rPr>
          <w:rFonts w:ascii="Times New Roman" w:hAnsi="Times New Roman"/>
          <w:b/>
          <w:bCs/>
          <w:i/>
          <w:iCs/>
        </w:rPr>
        <w:t>:</w:t>
      </w:r>
      <w:r w:rsidR="000F4135" w:rsidRPr="00085E24">
        <w:rPr>
          <w:rFonts w:ascii="Times New Roman" w:hAnsi="Times New Roman"/>
          <w:b/>
          <w:bCs/>
          <w:iCs/>
        </w:rPr>
        <w:t xml:space="preserve"> </w:t>
      </w:r>
      <w:r w:rsidR="00E80F50" w:rsidRPr="00085E24">
        <w:rPr>
          <w:rFonts w:ascii="Times New Roman" w:hAnsi="Times New Roman"/>
        </w:rPr>
        <w:t>We will measure effects on homelessness</w:t>
      </w:r>
      <w:r w:rsidRPr="00085E24">
        <w:rPr>
          <w:rFonts w:ascii="Times New Roman" w:hAnsi="Times New Roman"/>
        </w:rPr>
        <w:t xml:space="preserve"> using </w:t>
      </w:r>
      <w:r w:rsidR="006937DC" w:rsidRPr="00085E24">
        <w:rPr>
          <w:rFonts w:ascii="Times New Roman" w:hAnsi="Times New Roman"/>
        </w:rPr>
        <w:t>Homeless Management Information Systems (HMIS)</w:t>
      </w:r>
      <w:r w:rsidRPr="00085E24">
        <w:rPr>
          <w:rFonts w:ascii="Times New Roman" w:hAnsi="Times New Roman"/>
        </w:rPr>
        <w:t xml:space="preserve"> data.</w:t>
      </w:r>
      <w:r w:rsidR="00E80F50" w:rsidRPr="00085E24">
        <w:rPr>
          <w:rFonts w:ascii="Times New Roman" w:hAnsi="Times New Roman"/>
        </w:rPr>
        <w:t xml:space="preserve"> </w:t>
      </w:r>
    </w:p>
    <w:p w:rsidR="00E80F50" w:rsidRPr="00085E24" w:rsidRDefault="00E80F50" w:rsidP="00085E24">
      <w:pPr>
        <w:autoSpaceDE w:val="0"/>
        <w:autoSpaceDN w:val="0"/>
        <w:adjustRightInd w:val="0"/>
        <w:spacing w:line="240" w:lineRule="auto"/>
        <w:ind w:left="1512" w:firstLine="0"/>
        <w:jc w:val="left"/>
        <w:rPr>
          <w:rFonts w:ascii="Times New Roman" w:hAnsi="Times New Roman"/>
        </w:rPr>
      </w:pPr>
    </w:p>
    <w:p w:rsidR="00E80F50" w:rsidRPr="00085E24" w:rsidRDefault="00E80F50" w:rsidP="00085E24">
      <w:pPr>
        <w:tabs>
          <w:tab w:val="clear" w:pos="432"/>
        </w:tabs>
        <w:spacing w:line="240" w:lineRule="auto"/>
        <w:ind w:left="720" w:firstLine="0"/>
        <w:jc w:val="left"/>
        <w:rPr>
          <w:rFonts w:ascii="Times New Roman" w:hAnsi="Times New Roman"/>
        </w:rPr>
      </w:pPr>
      <w:r w:rsidRPr="00085E24">
        <w:rPr>
          <w:rFonts w:ascii="Times New Roman" w:hAnsi="Times New Roman"/>
          <w:b/>
          <w:i/>
          <w:iCs/>
        </w:rPr>
        <w:t>Other benefits:</w:t>
      </w:r>
      <w:r w:rsidRPr="00085E24">
        <w:rPr>
          <w:rFonts w:ascii="Times New Roman" w:hAnsi="Times New Roman"/>
          <w:iCs/>
        </w:rPr>
        <w:t xml:space="preserve"> </w:t>
      </w:r>
      <w:r w:rsidRPr="00085E24">
        <w:rPr>
          <w:rFonts w:ascii="Times New Roman" w:hAnsi="Times New Roman"/>
        </w:rPr>
        <w:t>TANF</w:t>
      </w:r>
      <w:r w:rsidR="0001795B" w:rsidRPr="00085E24">
        <w:rPr>
          <w:rFonts w:ascii="Times New Roman" w:hAnsi="Times New Roman"/>
        </w:rPr>
        <w:t xml:space="preserve"> and</w:t>
      </w:r>
      <w:r w:rsidRPr="00085E24">
        <w:rPr>
          <w:rFonts w:ascii="Times New Roman" w:hAnsi="Times New Roman"/>
        </w:rPr>
        <w:t xml:space="preserve"> SNAP data</w:t>
      </w:r>
      <w:r w:rsidR="0001795B" w:rsidRPr="00085E24">
        <w:rPr>
          <w:rFonts w:ascii="Times New Roman" w:hAnsi="Times New Roman"/>
        </w:rPr>
        <w:t xml:space="preserve"> will be used to examine effects on other subsidy use,</w:t>
      </w:r>
      <w:r w:rsidRPr="00085E24">
        <w:rPr>
          <w:rFonts w:ascii="Times New Roman" w:hAnsi="Times New Roman"/>
        </w:rPr>
        <w:t xml:space="preserve"> since changes in the receipt of these public benefits may flow from any impacts that rent reform has on tenants’ earnings. </w:t>
      </w:r>
    </w:p>
    <w:p w:rsidR="00E80F50" w:rsidRPr="00085E24" w:rsidRDefault="00E80F50" w:rsidP="00085E24">
      <w:pPr>
        <w:autoSpaceDE w:val="0"/>
        <w:autoSpaceDN w:val="0"/>
        <w:adjustRightInd w:val="0"/>
        <w:spacing w:line="240" w:lineRule="auto"/>
        <w:ind w:left="1512" w:firstLine="0"/>
        <w:jc w:val="left"/>
        <w:rPr>
          <w:rFonts w:ascii="Times New Roman" w:hAnsi="Times New Roman"/>
          <w:b/>
          <w:bCs/>
          <w:iCs/>
          <w:color w:val="000000"/>
        </w:rPr>
      </w:pPr>
    </w:p>
    <w:p w:rsidR="00E80F50" w:rsidRPr="00085E24" w:rsidRDefault="00E80F50" w:rsidP="00085E24">
      <w:pPr>
        <w:tabs>
          <w:tab w:val="clear" w:pos="432"/>
        </w:tabs>
        <w:autoSpaceDE w:val="0"/>
        <w:autoSpaceDN w:val="0"/>
        <w:adjustRightInd w:val="0"/>
        <w:spacing w:line="240" w:lineRule="auto"/>
        <w:ind w:left="720" w:firstLine="0"/>
        <w:jc w:val="left"/>
        <w:rPr>
          <w:rFonts w:ascii="Times New Roman" w:hAnsi="Times New Roman"/>
          <w:iCs/>
        </w:rPr>
      </w:pPr>
      <w:r w:rsidRPr="00085E24">
        <w:rPr>
          <w:rFonts w:ascii="Times New Roman" w:hAnsi="Times New Roman"/>
          <w:b/>
          <w:bCs/>
          <w:i/>
          <w:iCs/>
        </w:rPr>
        <w:t>Voucher use:</w:t>
      </w:r>
      <w:r w:rsidRPr="00085E24">
        <w:rPr>
          <w:rFonts w:ascii="Times New Roman" w:hAnsi="Times New Roman"/>
          <w:b/>
          <w:bCs/>
          <w:iCs/>
        </w:rPr>
        <w:t xml:space="preserve"> </w:t>
      </w:r>
      <w:r w:rsidRPr="00085E24">
        <w:rPr>
          <w:rFonts w:ascii="Times New Roman" w:hAnsi="Times New Roman"/>
          <w:bCs/>
          <w:iCs/>
        </w:rPr>
        <w:t>Using the HUD 50058 data, the study would examine the effects of alternative rent strategies on the duration of voucher receipt and exit re</w:t>
      </w:r>
      <w:r w:rsidRPr="00085E24">
        <w:rPr>
          <w:rFonts w:ascii="Times New Roman" w:hAnsi="Times New Roman"/>
          <w:iCs/>
        </w:rPr>
        <w:t xml:space="preserve">asons.  </w:t>
      </w:r>
    </w:p>
    <w:p w:rsidR="00E80F50" w:rsidRPr="00085E24" w:rsidRDefault="00E80F50" w:rsidP="00085E24">
      <w:pPr>
        <w:autoSpaceDE w:val="0"/>
        <w:autoSpaceDN w:val="0"/>
        <w:adjustRightInd w:val="0"/>
        <w:spacing w:line="240" w:lineRule="auto"/>
        <w:ind w:left="1512" w:firstLine="0"/>
        <w:jc w:val="left"/>
        <w:rPr>
          <w:rFonts w:ascii="Times New Roman" w:hAnsi="Times New Roman"/>
          <w:b/>
          <w:iCs/>
        </w:rPr>
      </w:pPr>
    </w:p>
    <w:p w:rsidR="00E80F50" w:rsidRPr="00364A8A" w:rsidRDefault="00E80F50" w:rsidP="00085E24">
      <w:pPr>
        <w:tabs>
          <w:tab w:val="clear" w:pos="432"/>
        </w:tabs>
        <w:autoSpaceDE w:val="0"/>
        <w:autoSpaceDN w:val="0"/>
        <w:adjustRightInd w:val="0"/>
        <w:spacing w:line="240" w:lineRule="auto"/>
        <w:ind w:left="720" w:firstLine="0"/>
        <w:jc w:val="left"/>
        <w:rPr>
          <w:rFonts w:ascii="Times New Roman" w:hAnsi="Times New Roman"/>
        </w:rPr>
      </w:pPr>
      <w:r w:rsidRPr="00085E24">
        <w:rPr>
          <w:rFonts w:ascii="Times New Roman" w:hAnsi="Times New Roman"/>
          <w:b/>
          <w:i/>
          <w:iCs/>
        </w:rPr>
        <w:t>Knowledge and perceptions of rent rules</w:t>
      </w:r>
      <w:r w:rsidRPr="00085E24">
        <w:rPr>
          <w:rFonts w:ascii="Times New Roman" w:hAnsi="Times New Roman"/>
          <w:i/>
          <w:iCs/>
        </w:rPr>
        <w:t>:</w:t>
      </w:r>
      <w:r w:rsidRPr="00085E24">
        <w:rPr>
          <w:rFonts w:ascii="Times New Roman" w:hAnsi="Times New Roman"/>
          <w:iCs/>
        </w:rPr>
        <w:t xml:space="preserve"> In-depth qualitative data </w:t>
      </w:r>
      <w:r w:rsidRPr="00085E24">
        <w:rPr>
          <w:rFonts w:ascii="Times New Roman" w:hAnsi="Times New Roman"/>
        </w:rPr>
        <w:t xml:space="preserve">would </w:t>
      </w:r>
      <w:r w:rsidRPr="00085E24">
        <w:rPr>
          <w:rFonts w:ascii="Times New Roman" w:hAnsi="Times New Roman"/>
          <w:iCs/>
        </w:rPr>
        <w:t>be used to examine voucher recipients’ perceptions, understanding, and awareness of the rent rules, and their attitudes toward the</w:t>
      </w:r>
      <w:r w:rsidR="006E419F">
        <w:rPr>
          <w:rFonts w:ascii="Times New Roman" w:hAnsi="Times New Roman"/>
          <w:iCs/>
        </w:rPr>
        <w:t xml:space="preserve"> PHA </w:t>
      </w:r>
      <w:r w:rsidRPr="00085E24">
        <w:rPr>
          <w:rFonts w:ascii="Times New Roman" w:hAnsi="Times New Roman"/>
          <w:iCs/>
        </w:rPr>
        <w:t>and frontline staff.</w:t>
      </w:r>
    </w:p>
    <w:p w:rsidR="00E80F50" w:rsidRPr="00E80F50" w:rsidRDefault="00E80F50" w:rsidP="00617C58">
      <w:pPr>
        <w:pStyle w:val="ListParagraph"/>
        <w:ind w:left="0" w:firstLine="720"/>
        <w:rPr>
          <w:b/>
        </w:rPr>
      </w:pPr>
    </w:p>
    <w:p w:rsidR="00E80F50" w:rsidRPr="007F1D4D" w:rsidRDefault="00E80F50" w:rsidP="00617C58">
      <w:pPr>
        <w:pStyle w:val="ListParagraph"/>
        <w:ind w:left="0" w:firstLine="720"/>
        <w:rPr>
          <w:b/>
        </w:rPr>
      </w:pPr>
      <w:r w:rsidRPr="007F1D4D">
        <w:rPr>
          <w:b/>
        </w:rPr>
        <w:t>C. Counterfactual and service context</w:t>
      </w:r>
    </w:p>
    <w:p w:rsidR="00E80F50" w:rsidRPr="007F1D4D" w:rsidRDefault="00E80F50" w:rsidP="00617C58">
      <w:pPr>
        <w:pStyle w:val="ListParagraph"/>
        <w:ind w:left="0"/>
        <w:rPr>
          <w:b/>
        </w:rPr>
      </w:pPr>
    </w:p>
    <w:p w:rsidR="00E80F50" w:rsidRPr="00364A8A" w:rsidRDefault="00E80F50" w:rsidP="00617C58">
      <w:pPr>
        <w:pStyle w:val="ListParagraph"/>
        <w:ind w:left="0"/>
      </w:pPr>
      <w:r w:rsidRPr="00010FEB">
        <w:t xml:space="preserve">Knowing not only the control group’s outcomes, but also the </w:t>
      </w:r>
      <w:r w:rsidRPr="00010FEB">
        <w:rPr>
          <w:i/>
        </w:rPr>
        <w:t>“treatment”</w:t>
      </w:r>
      <w:r w:rsidRPr="00010FEB">
        <w:t xml:space="preserve"> they receive is crucial to making sense of impact findings in any random assignment trial. P</w:t>
      </w:r>
      <w:r w:rsidRPr="00375C2A">
        <w:t xml:space="preserve">ut differently, what a randomized trial tests is not simply the effects of an intervention for the program group, but, rather, </w:t>
      </w:r>
      <w:r w:rsidRPr="00364A8A">
        <w:rPr>
          <w:i/>
        </w:rPr>
        <w:t>the difference in treatment</w:t>
      </w:r>
      <w:r w:rsidRPr="00364A8A">
        <w:t xml:space="preserve"> between the program and control groups, which is what produces the </w:t>
      </w:r>
      <w:r w:rsidRPr="00364A8A">
        <w:rPr>
          <w:i/>
        </w:rPr>
        <w:t>difference in outcomes</w:t>
      </w:r>
      <w:r w:rsidRPr="00364A8A">
        <w:t xml:space="preserve"> (or program “impacts” or effects) between those two groups. This is critical because it will influence what the experiment </w:t>
      </w:r>
      <w:r w:rsidRPr="00364A8A">
        <w:rPr>
          <w:i/>
        </w:rPr>
        <w:t>actually</w:t>
      </w:r>
      <w:r w:rsidRPr="00364A8A">
        <w:t xml:space="preserve"> tests.  </w:t>
      </w:r>
    </w:p>
    <w:p w:rsidR="00E80F50" w:rsidRPr="00364A8A" w:rsidRDefault="00E80F50" w:rsidP="00617C58">
      <w:pPr>
        <w:pStyle w:val="ListParagraph"/>
        <w:ind w:left="0"/>
      </w:pPr>
    </w:p>
    <w:p w:rsidR="00134AE3" w:rsidRDefault="00134AE3" w:rsidP="00134AE3">
      <w:pPr>
        <w:pStyle w:val="ListParagraph"/>
        <w:ind w:left="0"/>
      </w:pPr>
      <w:r>
        <w:t xml:space="preserve">For this </w:t>
      </w:r>
      <w:r w:rsidRPr="00595FCB">
        <w:t xml:space="preserve">demonstration, how much the MTW sites have </w:t>
      </w:r>
      <w:r w:rsidRPr="00595FCB">
        <w:rPr>
          <w:i/>
        </w:rPr>
        <w:t xml:space="preserve">already </w:t>
      </w:r>
      <w:r w:rsidRPr="00595FCB">
        <w:t xml:space="preserve">implemented some features of rent reform </w:t>
      </w:r>
      <w:r>
        <w:t xml:space="preserve">was a subject of initial exploration.  </w:t>
      </w:r>
      <w:r w:rsidRPr="00595FCB">
        <w:t>Our scan of MTW plans and reports indicate</w:t>
      </w:r>
      <w:r>
        <w:t>d</w:t>
      </w:r>
      <w:r w:rsidRPr="00595FCB">
        <w:t xml:space="preserve"> that MTW </w:t>
      </w:r>
      <w:r w:rsidR="00A658DA">
        <w:t>PHAs</w:t>
      </w:r>
      <w:r w:rsidRPr="00595FCB">
        <w:t xml:space="preserve"> have taken some steps in this direction, and some have moved quite far down the road. Thus, the benchmark against which the sites’ impacts would be judged differ, making the intervention (the alternative rent policy) a bigger change or a qualitatively different change in some sites than in others </w:t>
      </w:r>
      <w:r>
        <w:t>(</w:t>
      </w:r>
      <w:r w:rsidRPr="00595FCB">
        <w:t>to limit this problem, we have not selected sites that have already instituted wholesale rent reform</w:t>
      </w:r>
      <w:r>
        <w:t>)</w:t>
      </w:r>
      <w:r w:rsidRPr="00595FCB">
        <w:t xml:space="preserve">. </w:t>
      </w:r>
      <w:r>
        <w:t xml:space="preserve">For instance, we know that in the sites we </w:t>
      </w:r>
      <w:r w:rsidR="00425BB9">
        <w:t xml:space="preserve">have selected, </w:t>
      </w:r>
      <w:r>
        <w:t xml:space="preserve">the counterfactual will differ in terms of length of the current recertification period: some are annual, but </w:t>
      </w:r>
      <w:r w:rsidR="00602152">
        <w:t>one is</w:t>
      </w:r>
      <w:r>
        <w:t xml:space="preserve"> already biennial, </w:t>
      </w:r>
      <w:r w:rsidRPr="003773C5">
        <w:t xml:space="preserve">and we are considering </w:t>
      </w:r>
      <w:r w:rsidR="00602152">
        <w:t xml:space="preserve">conducting the analysis separately for the full </w:t>
      </w:r>
      <w:r w:rsidR="00602152">
        <w:lastRenderedPageBreak/>
        <w:t xml:space="preserve">sample and for only the three sites with the </w:t>
      </w:r>
      <w:r w:rsidRPr="003773C5">
        <w:t>3 years recertification v</w:t>
      </w:r>
      <w:r w:rsidR="00CB7235">
        <w:t>ersus</w:t>
      </w:r>
      <w:r w:rsidRPr="003773C5">
        <w:t xml:space="preserve"> 1 year</w:t>
      </w:r>
      <w:r w:rsidR="00602152">
        <w:t xml:space="preserve"> recertification comparison</w:t>
      </w:r>
      <w:r w:rsidRPr="003773C5">
        <w:t>.</w:t>
      </w:r>
      <w:r>
        <w:t xml:space="preserve"> </w:t>
      </w:r>
    </w:p>
    <w:p w:rsidR="00134AE3" w:rsidRDefault="00134AE3" w:rsidP="00134AE3">
      <w:pPr>
        <w:pStyle w:val="ListParagraph"/>
        <w:ind w:left="0"/>
      </w:pPr>
    </w:p>
    <w:p w:rsidR="00134AE3" w:rsidRDefault="00134AE3" w:rsidP="00134AE3">
      <w:pPr>
        <w:pStyle w:val="ListParagraph"/>
        <w:ind w:left="0"/>
      </w:pPr>
      <w:r w:rsidRPr="00595FCB">
        <w:t xml:space="preserve">The control group benchmarks could also differ </w:t>
      </w:r>
      <w:r>
        <w:t xml:space="preserve">across sites </w:t>
      </w:r>
      <w:r w:rsidRPr="00595FCB">
        <w:t xml:space="preserve">in terms of the intensity of services </w:t>
      </w:r>
      <w:r w:rsidR="00AC31B3">
        <w:t xml:space="preserve">available to study participants. For instance, </w:t>
      </w:r>
      <w:r w:rsidRPr="00595FCB">
        <w:t>the control group might receive more employment services in certain sites simply because those sites are located in “service-rich” environments, which might influence the effectiveness of the incentives. These circumstances of the control group will have very important implications for interpreting the impact findings and drawing lessons for policy.</w:t>
      </w:r>
      <w:r w:rsidRPr="00375C2A">
        <w:t xml:space="preserve">   </w:t>
      </w:r>
    </w:p>
    <w:p w:rsidR="009D7EA7" w:rsidRPr="00364A8A" w:rsidRDefault="009D7EA7" w:rsidP="00617C58">
      <w:pPr>
        <w:pStyle w:val="ListParagraph"/>
        <w:ind w:left="0"/>
      </w:pPr>
    </w:p>
    <w:p w:rsidR="00E80F50" w:rsidRPr="00010FEB" w:rsidRDefault="00E80F50" w:rsidP="00617C58">
      <w:pPr>
        <w:pStyle w:val="ListParagraph"/>
        <w:ind w:left="0"/>
      </w:pPr>
      <w:r w:rsidRPr="00364A8A">
        <w:t>The MDRC team would address this issue as part of its implementation research, drawing on information obtained in the</w:t>
      </w:r>
      <w:r w:rsidR="006E419F">
        <w:t xml:space="preserve"> PHA </w:t>
      </w:r>
      <w:r w:rsidRPr="007F1D4D">
        <w:t xml:space="preserve">site selection </w:t>
      </w:r>
      <w:r w:rsidR="00B60A8E">
        <w:t xml:space="preserve">discussions </w:t>
      </w:r>
      <w:r w:rsidRPr="007F1D4D">
        <w:t xml:space="preserve">and visits in which the alternative rent rules are discussed as part of TO1; through later interviews with </w:t>
      </w:r>
      <w:r w:rsidR="007F1D4D">
        <w:t>HA</w:t>
      </w:r>
      <w:r w:rsidRPr="007F1D4D">
        <w:t xml:space="preserve"> staff; through</w:t>
      </w:r>
      <w:r w:rsidR="006E419F">
        <w:t xml:space="preserve"> PHA </w:t>
      </w:r>
      <w:r w:rsidRPr="007F1D4D">
        <w:t xml:space="preserve">data on participation in </w:t>
      </w:r>
      <w:r w:rsidR="00E44226">
        <w:t xml:space="preserve">self-sufficiency programs </w:t>
      </w:r>
      <w:r w:rsidRPr="007F1D4D">
        <w:t xml:space="preserve">(where appropriate); and through the </w:t>
      </w:r>
      <w:r w:rsidR="00AC31B3">
        <w:t xml:space="preserve">participant </w:t>
      </w:r>
      <w:r w:rsidR="00FF2D14">
        <w:t>interviews</w:t>
      </w:r>
      <w:r w:rsidRPr="007F1D4D">
        <w:t xml:space="preserve">, which would ask </w:t>
      </w:r>
      <w:r w:rsidR="00AC31B3">
        <w:t>r</w:t>
      </w:r>
      <w:r w:rsidRPr="007F1D4D">
        <w:t xml:space="preserve">espondents about the extent to which they receive relevant work-related services.  </w:t>
      </w:r>
    </w:p>
    <w:p w:rsidR="00E80F50" w:rsidRPr="00375C2A" w:rsidRDefault="00E80F50" w:rsidP="00617C58">
      <w:pPr>
        <w:pStyle w:val="ListParagraph"/>
        <w:rPr>
          <w:b/>
        </w:rPr>
      </w:pPr>
    </w:p>
    <w:p w:rsidR="00E80F50" w:rsidRPr="00364A8A" w:rsidRDefault="00E80F50" w:rsidP="00617C58">
      <w:pPr>
        <w:spacing w:line="240" w:lineRule="auto"/>
        <w:ind w:firstLine="720"/>
        <w:contextualSpacing/>
        <w:jc w:val="left"/>
        <w:rPr>
          <w:rFonts w:ascii="Times New Roman" w:hAnsi="Times New Roman"/>
          <w:b/>
        </w:rPr>
      </w:pPr>
      <w:r w:rsidRPr="00364A8A">
        <w:rPr>
          <w:rFonts w:ascii="Times New Roman" w:hAnsi="Times New Roman"/>
          <w:b/>
        </w:rPr>
        <w:t xml:space="preserve">D. Measuring the effects on place-based outcomes </w:t>
      </w:r>
    </w:p>
    <w:p w:rsidR="00E80F50" w:rsidRPr="00364A8A" w:rsidRDefault="00E80F50" w:rsidP="00617C58">
      <w:pPr>
        <w:spacing w:line="240" w:lineRule="auto"/>
        <w:ind w:firstLine="720"/>
        <w:contextualSpacing/>
        <w:jc w:val="left"/>
        <w:rPr>
          <w:rFonts w:ascii="Times New Roman" w:hAnsi="Times New Roman"/>
          <w:b/>
        </w:rPr>
      </w:pPr>
    </w:p>
    <w:p w:rsidR="00134AE3" w:rsidRPr="00364A8A" w:rsidRDefault="00134AE3" w:rsidP="00134AE3">
      <w:pPr>
        <w:spacing w:line="240" w:lineRule="auto"/>
        <w:ind w:firstLine="0"/>
        <w:contextualSpacing/>
        <w:jc w:val="left"/>
        <w:rPr>
          <w:rFonts w:ascii="Times New Roman" w:hAnsi="Times New Roman"/>
        </w:rPr>
      </w:pPr>
      <w:r>
        <w:rPr>
          <w:rFonts w:ascii="Times New Roman" w:hAnsi="Times New Roman"/>
        </w:rPr>
        <w:t>R</w:t>
      </w:r>
      <w:r w:rsidRPr="00364A8A">
        <w:rPr>
          <w:rFonts w:ascii="Times New Roman" w:hAnsi="Times New Roman"/>
        </w:rPr>
        <w:t xml:space="preserve">ent reform may affect the residential choices that voucher holders </w:t>
      </w:r>
      <w:r>
        <w:rPr>
          <w:rFonts w:ascii="Times New Roman" w:hAnsi="Times New Roman"/>
        </w:rPr>
        <w:t xml:space="preserve">make. For example, because the tenants’ rent share will remain fixed for each three-year recertification period, some tenants may choose to move to higher-cost apartments or neighborhoods if they increase their earnings and keep more of their extra income. </w:t>
      </w:r>
      <w:r w:rsidRPr="00364A8A">
        <w:rPr>
          <w:rFonts w:ascii="Times New Roman" w:hAnsi="Times New Roman"/>
        </w:rPr>
        <w:t xml:space="preserve"> </w:t>
      </w:r>
    </w:p>
    <w:p w:rsidR="00E80F50" w:rsidRPr="00364A8A" w:rsidRDefault="00E80F50" w:rsidP="00617C58">
      <w:pPr>
        <w:spacing w:line="240" w:lineRule="auto"/>
        <w:contextualSpacing/>
        <w:jc w:val="left"/>
        <w:rPr>
          <w:rFonts w:ascii="Times New Roman" w:hAnsi="Times New Roman"/>
        </w:rPr>
      </w:pPr>
    </w:p>
    <w:p w:rsidR="00E80F50" w:rsidRPr="00364A8A" w:rsidRDefault="00E80F50" w:rsidP="005636E0">
      <w:pPr>
        <w:spacing w:line="240" w:lineRule="auto"/>
        <w:ind w:firstLine="0"/>
        <w:contextualSpacing/>
        <w:jc w:val="left"/>
        <w:rPr>
          <w:rFonts w:ascii="Times New Roman" w:hAnsi="Times New Roman"/>
        </w:rPr>
      </w:pPr>
      <w:r w:rsidRPr="00364A8A">
        <w:rPr>
          <w:rFonts w:ascii="Times New Roman" w:hAnsi="Times New Roman"/>
        </w:rPr>
        <w:t xml:space="preserve">For voucher holders, we would rely on </w:t>
      </w:r>
      <w:r w:rsidR="00B54408">
        <w:rPr>
          <w:rFonts w:ascii="Times New Roman" w:hAnsi="Times New Roman"/>
        </w:rPr>
        <w:t xml:space="preserve">HUD 50058 </w:t>
      </w:r>
      <w:r w:rsidRPr="00364A8A">
        <w:rPr>
          <w:rFonts w:ascii="Times New Roman" w:hAnsi="Times New Roman"/>
        </w:rPr>
        <w:t>data to track the location of both voucher holders in treatment and control groups.  We would then compare overall mobility rates for treatment and control groups</w:t>
      </w:r>
      <w:r w:rsidR="005636E0">
        <w:rPr>
          <w:rFonts w:ascii="Times New Roman" w:hAnsi="Times New Roman"/>
        </w:rPr>
        <w:t>.</w:t>
      </w:r>
      <w:r w:rsidRPr="00364A8A">
        <w:rPr>
          <w:rFonts w:ascii="Times New Roman" w:hAnsi="Times New Roman"/>
        </w:rPr>
        <w:t xml:space="preserve"> </w:t>
      </w:r>
    </w:p>
    <w:p w:rsidR="00E07A41" w:rsidRDefault="00E07A41" w:rsidP="00542556">
      <w:pPr>
        <w:spacing w:line="240" w:lineRule="auto"/>
        <w:ind w:firstLine="0"/>
        <w:rPr>
          <w:rFonts w:ascii="Times New Roman" w:hAnsi="Times New Roman"/>
          <w:b/>
        </w:rPr>
      </w:pPr>
    </w:p>
    <w:p w:rsidR="00DC7C95" w:rsidRPr="00933DA0" w:rsidRDefault="00DC7C95" w:rsidP="00542556">
      <w:pPr>
        <w:spacing w:line="240" w:lineRule="auto"/>
        <w:ind w:firstLine="0"/>
        <w:rPr>
          <w:rFonts w:ascii="Arial" w:hAnsi="Arial" w:cs="Arial"/>
          <w:b/>
        </w:rPr>
      </w:pPr>
      <w:r w:rsidRPr="00933DA0">
        <w:rPr>
          <w:rFonts w:ascii="Arial" w:hAnsi="Arial" w:cs="Arial"/>
          <w:b/>
        </w:rPr>
        <w:t>A</w:t>
      </w:r>
      <w:r w:rsidR="00C94ED9">
        <w:rPr>
          <w:rFonts w:ascii="Arial" w:hAnsi="Arial" w:cs="Arial"/>
          <w:b/>
        </w:rPr>
        <w:t>.</w:t>
      </w:r>
      <w:r w:rsidRPr="00933DA0">
        <w:rPr>
          <w:rFonts w:ascii="Arial" w:hAnsi="Arial" w:cs="Arial"/>
          <w:b/>
        </w:rPr>
        <w:t>2.</w:t>
      </w:r>
      <w:r w:rsidR="00C94ED9">
        <w:rPr>
          <w:rFonts w:ascii="Arial" w:hAnsi="Arial" w:cs="Arial"/>
          <w:b/>
        </w:rPr>
        <w:t xml:space="preserve"> </w:t>
      </w:r>
      <w:r w:rsidRPr="00933DA0">
        <w:rPr>
          <w:rFonts w:ascii="Arial" w:hAnsi="Arial" w:cs="Arial"/>
          <w:b/>
        </w:rPr>
        <w:t xml:space="preserve">How, by </w:t>
      </w:r>
      <w:proofErr w:type="gramStart"/>
      <w:r w:rsidRPr="00933DA0">
        <w:rPr>
          <w:rFonts w:ascii="Arial" w:hAnsi="Arial" w:cs="Arial"/>
          <w:b/>
        </w:rPr>
        <w:t>Whom</w:t>
      </w:r>
      <w:proofErr w:type="gramEnd"/>
      <w:r w:rsidRPr="00933DA0">
        <w:rPr>
          <w:rFonts w:ascii="Arial" w:hAnsi="Arial" w:cs="Arial"/>
          <w:b/>
        </w:rPr>
        <w:t>, and for What Purpose Are Data to be Used</w:t>
      </w:r>
    </w:p>
    <w:p w:rsidR="00E07A41" w:rsidRDefault="00E07A41" w:rsidP="00542556">
      <w:pPr>
        <w:pStyle w:val="ParagraphLAST"/>
        <w:spacing w:after="0" w:line="240" w:lineRule="auto"/>
        <w:jc w:val="left"/>
        <w:rPr>
          <w:rFonts w:ascii="Times New Roman" w:hAnsi="Times New Roman"/>
          <w:b/>
        </w:rPr>
      </w:pPr>
    </w:p>
    <w:p w:rsidR="00DC7C95" w:rsidRPr="004B740F" w:rsidRDefault="00DC7C95" w:rsidP="00542556">
      <w:pPr>
        <w:pStyle w:val="ParagraphLAST"/>
        <w:spacing w:after="0" w:line="240" w:lineRule="auto"/>
        <w:jc w:val="left"/>
        <w:rPr>
          <w:rFonts w:ascii="Arial" w:hAnsi="Arial" w:cs="Arial"/>
          <w:b/>
        </w:rPr>
      </w:pPr>
      <w:r w:rsidRPr="004B740F">
        <w:rPr>
          <w:rFonts w:ascii="Arial" w:hAnsi="Arial" w:cs="Arial"/>
          <w:b/>
        </w:rPr>
        <w:t>How the Information will be used?</w:t>
      </w:r>
    </w:p>
    <w:p w:rsidR="00E07A41" w:rsidRDefault="00E07A41" w:rsidP="00542556">
      <w:pPr>
        <w:pStyle w:val="ParagraphLAST"/>
        <w:spacing w:after="0" w:line="240" w:lineRule="auto"/>
        <w:jc w:val="left"/>
        <w:rPr>
          <w:rFonts w:ascii="Times New Roman" w:hAnsi="Times New Roman"/>
        </w:rPr>
      </w:pPr>
    </w:p>
    <w:p w:rsidR="00DC7C95" w:rsidRDefault="00DC7C95" w:rsidP="00C33231">
      <w:pPr>
        <w:pStyle w:val="ParagraphLAST"/>
        <w:spacing w:after="0" w:line="240" w:lineRule="auto"/>
        <w:ind w:firstLine="0"/>
        <w:jc w:val="left"/>
        <w:rPr>
          <w:rFonts w:ascii="Times New Roman" w:hAnsi="Times New Roman"/>
        </w:rPr>
      </w:pPr>
      <w:r w:rsidRPr="00542556">
        <w:rPr>
          <w:rFonts w:ascii="Times New Roman" w:hAnsi="Times New Roman"/>
        </w:rPr>
        <w:t xml:space="preserve">The findings from the study will be used to inform the Federal government, </w:t>
      </w:r>
      <w:r w:rsidR="005636E0">
        <w:rPr>
          <w:rFonts w:ascii="Times New Roman" w:hAnsi="Times New Roman"/>
        </w:rPr>
        <w:t xml:space="preserve">public </w:t>
      </w:r>
      <w:r w:rsidR="009C5A63">
        <w:rPr>
          <w:rFonts w:ascii="Times New Roman" w:hAnsi="Times New Roman"/>
        </w:rPr>
        <w:t xml:space="preserve">housing </w:t>
      </w:r>
      <w:r w:rsidR="005636E0">
        <w:rPr>
          <w:rFonts w:ascii="Times New Roman" w:hAnsi="Times New Roman"/>
        </w:rPr>
        <w:t>agencies</w:t>
      </w:r>
      <w:r w:rsidR="009C5A63">
        <w:rPr>
          <w:rFonts w:ascii="Times New Roman" w:hAnsi="Times New Roman"/>
        </w:rPr>
        <w:t>,</w:t>
      </w:r>
      <w:r w:rsidRPr="00542556">
        <w:rPr>
          <w:rFonts w:ascii="Times New Roman" w:hAnsi="Times New Roman"/>
        </w:rPr>
        <w:t xml:space="preserve"> </w:t>
      </w:r>
      <w:r w:rsidRPr="00F66D8F">
        <w:rPr>
          <w:rFonts w:ascii="Times New Roman" w:hAnsi="Times New Roman"/>
        </w:rPr>
        <w:t>and other stakehol</w:t>
      </w:r>
      <w:r w:rsidR="007D58BF" w:rsidRPr="00F66D8F">
        <w:rPr>
          <w:rFonts w:ascii="Times New Roman" w:hAnsi="Times New Roman"/>
        </w:rPr>
        <w:t xml:space="preserve">ders about the effectiveness of </w:t>
      </w:r>
      <w:r w:rsidR="009B6041" w:rsidRPr="00F66D8F">
        <w:rPr>
          <w:rFonts w:ascii="Times New Roman" w:hAnsi="Times New Roman"/>
        </w:rPr>
        <w:t xml:space="preserve">the </w:t>
      </w:r>
      <w:r w:rsidR="007D58BF" w:rsidRPr="00F66D8F">
        <w:rPr>
          <w:rFonts w:ascii="Times New Roman" w:hAnsi="Times New Roman"/>
        </w:rPr>
        <w:t>alternative rent polic</w:t>
      </w:r>
      <w:r w:rsidR="00010FEB" w:rsidRPr="00F66D8F">
        <w:rPr>
          <w:rFonts w:ascii="Times New Roman" w:hAnsi="Times New Roman"/>
        </w:rPr>
        <w:t xml:space="preserve">y. </w:t>
      </w:r>
    </w:p>
    <w:p w:rsidR="004B740F" w:rsidRDefault="004B740F" w:rsidP="004B740F">
      <w:pPr>
        <w:pStyle w:val="ParagraphLAST"/>
        <w:spacing w:after="0" w:line="240" w:lineRule="auto"/>
        <w:ind w:firstLine="0"/>
        <w:jc w:val="left"/>
      </w:pPr>
    </w:p>
    <w:p w:rsidR="00DC7C95" w:rsidRPr="004B740F" w:rsidRDefault="004B740F" w:rsidP="004B740F">
      <w:pPr>
        <w:pStyle w:val="ParagraphLAST"/>
        <w:spacing w:after="0" w:line="240" w:lineRule="auto"/>
        <w:ind w:firstLine="0"/>
        <w:jc w:val="left"/>
        <w:rPr>
          <w:rFonts w:ascii="Arial" w:hAnsi="Arial" w:cs="Arial"/>
        </w:rPr>
      </w:pPr>
      <w:r w:rsidRPr="004B740F">
        <w:rPr>
          <w:rFonts w:ascii="Arial" w:hAnsi="Arial" w:cs="Arial"/>
        </w:rPr>
        <w:tab/>
      </w:r>
      <w:r w:rsidR="00DC7C95" w:rsidRPr="004B740F">
        <w:rPr>
          <w:rFonts w:ascii="Arial" w:hAnsi="Arial" w:cs="Arial"/>
          <w:b/>
        </w:rPr>
        <w:t xml:space="preserve">Who </w:t>
      </w:r>
      <w:r w:rsidR="00D84C8E">
        <w:rPr>
          <w:rFonts w:ascii="Arial" w:hAnsi="Arial" w:cs="Arial"/>
          <w:b/>
        </w:rPr>
        <w:t>w</w:t>
      </w:r>
      <w:r w:rsidR="00DC7C95" w:rsidRPr="004B740F">
        <w:rPr>
          <w:rFonts w:ascii="Arial" w:hAnsi="Arial" w:cs="Arial"/>
          <w:b/>
        </w:rPr>
        <w:t xml:space="preserve">ill </w:t>
      </w:r>
      <w:r w:rsidR="00D84C8E">
        <w:rPr>
          <w:rFonts w:ascii="Arial" w:hAnsi="Arial" w:cs="Arial"/>
          <w:b/>
        </w:rPr>
        <w:t>c</w:t>
      </w:r>
      <w:r w:rsidR="00DC7C95" w:rsidRPr="004B740F">
        <w:rPr>
          <w:rFonts w:ascii="Arial" w:hAnsi="Arial" w:cs="Arial"/>
          <w:b/>
        </w:rPr>
        <w:t xml:space="preserve">ollect the </w:t>
      </w:r>
      <w:r w:rsidR="00D84C8E">
        <w:rPr>
          <w:rFonts w:ascii="Arial" w:hAnsi="Arial" w:cs="Arial"/>
          <w:b/>
        </w:rPr>
        <w:t>i</w:t>
      </w:r>
      <w:r w:rsidR="00DC7C95" w:rsidRPr="004B740F">
        <w:rPr>
          <w:rFonts w:ascii="Arial" w:hAnsi="Arial" w:cs="Arial"/>
          <w:b/>
        </w:rPr>
        <w:t>nformation</w:t>
      </w:r>
      <w:r w:rsidR="006A5FA6" w:rsidRPr="004B740F">
        <w:rPr>
          <w:rFonts w:ascii="Arial" w:hAnsi="Arial" w:cs="Arial"/>
          <w:b/>
        </w:rPr>
        <w:t>?</w:t>
      </w:r>
    </w:p>
    <w:p w:rsidR="00E07A41" w:rsidRDefault="00E07A41" w:rsidP="00542556">
      <w:pPr>
        <w:pStyle w:val="ParagraphLAST"/>
        <w:spacing w:after="0" w:line="240" w:lineRule="auto"/>
        <w:jc w:val="left"/>
        <w:rPr>
          <w:rFonts w:ascii="Times New Roman" w:hAnsi="Times New Roman"/>
        </w:rPr>
      </w:pPr>
    </w:p>
    <w:p w:rsidR="00DC7C95" w:rsidRPr="00B95862" w:rsidRDefault="00DC08C0" w:rsidP="00C33231">
      <w:pPr>
        <w:pStyle w:val="ParagraphLAST"/>
        <w:spacing w:after="0" w:line="240" w:lineRule="auto"/>
        <w:ind w:firstLine="0"/>
        <w:jc w:val="left"/>
        <w:rPr>
          <w:rFonts w:ascii="Times New Roman" w:hAnsi="Times New Roman"/>
        </w:rPr>
      </w:pPr>
      <w:r>
        <w:rPr>
          <w:rFonts w:ascii="Times New Roman" w:hAnsi="Times New Roman"/>
        </w:rPr>
        <w:t>Under the first task order, b</w:t>
      </w:r>
      <w:r w:rsidR="00B95862" w:rsidRPr="00B95862">
        <w:rPr>
          <w:rFonts w:ascii="Times New Roman" w:hAnsi="Times New Roman"/>
        </w:rPr>
        <w:t xml:space="preserve">aseline data </w:t>
      </w:r>
      <w:r w:rsidR="005636E0">
        <w:rPr>
          <w:rFonts w:ascii="Times New Roman" w:hAnsi="Times New Roman"/>
        </w:rPr>
        <w:t>are</w:t>
      </w:r>
      <w:r w:rsidR="009E476C">
        <w:rPr>
          <w:rFonts w:ascii="Times New Roman" w:hAnsi="Times New Roman"/>
        </w:rPr>
        <w:t xml:space="preserve"> currently</w:t>
      </w:r>
      <w:r w:rsidR="005636E0">
        <w:rPr>
          <w:rFonts w:ascii="Times New Roman" w:hAnsi="Times New Roman"/>
        </w:rPr>
        <w:t xml:space="preserve"> being</w:t>
      </w:r>
      <w:r w:rsidR="00B95862" w:rsidRPr="00B95862">
        <w:rPr>
          <w:rFonts w:ascii="Times New Roman" w:hAnsi="Times New Roman"/>
        </w:rPr>
        <w:t xml:space="preserve"> collected through interviews administered by </w:t>
      </w:r>
      <w:r w:rsidR="00B95862">
        <w:rPr>
          <w:rFonts w:ascii="Times New Roman" w:hAnsi="Times New Roman"/>
        </w:rPr>
        <w:t xml:space="preserve">housing </w:t>
      </w:r>
      <w:r w:rsidR="004E5E4F">
        <w:rPr>
          <w:rFonts w:ascii="Times New Roman" w:hAnsi="Times New Roman"/>
        </w:rPr>
        <w:t xml:space="preserve">agency </w:t>
      </w:r>
      <w:r w:rsidR="00B95862" w:rsidRPr="00B95862">
        <w:rPr>
          <w:rFonts w:ascii="Times New Roman" w:hAnsi="Times New Roman"/>
        </w:rPr>
        <w:t>staff during recertification</w:t>
      </w:r>
      <w:r w:rsidR="00F6177F">
        <w:rPr>
          <w:rFonts w:ascii="Times New Roman" w:hAnsi="Times New Roman"/>
        </w:rPr>
        <w:t xml:space="preserve"> and from housing </w:t>
      </w:r>
      <w:r w:rsidR="004E5E4F">
        <w:rPr>
          <w:rFonts w:ascii="Times New Roman" w:hAnsi="Times New Roman"/>
        </w:rPr>
        <w:t xml:space="preserve">agency </w:t>
      </w:r>
      <w:r w:rsidR="00F6177F">
        <w:rPr>
          <w:rFonts w:ascii="Times New Roman" w:hAnsi="Times New Roman"/>
        </w:rPr>
        <w:t>or HUD data.</w:t>
      </w:r>
      <w:r w:rsidR="00B95862" w:rsidRPr="00B95862">
        <w:rPr>
          <w:rFonts w:ascii="Times New Roman" w:hAnsi="Times New Roman"/>
        </w:rPr>
        <w:t xml:space="preserve"> </w:t>
      </w:r>
      <w:r w:rsidR="00AC31B3" w:rsidRPr="00617C58">
        <w:rPr>
          <w:rFonts w:ascii="Times New Roman" w:hAnsi="Times New Roman"/>
        </w:rPr>
        <w:t xml:space="preserve">Study participants </w:t>
      </w:r>
      <w:r w:rsidR="00AC31B3">
        <w:rPr>
          <w:rFonts w:ascii="Times New Roman" w:hAnsi="Times New Roman"/>
        </w:rPr>
        <w:t xml:space="preserve">were </w:t>
      </w:r>
      <w:r w:rsidR="00AC31B3" w:rsidRPr="00617C58">
        <w:rPr>
          <w:rFonts w:ascii="Times New Roman" w:hAnsi="Times New Roman"/>
        </w:rPr>
        <w:t xml:space="preserve">also provided </w:t>
      </w:r>
      <w:r w:rsidR="00AC31B3">
        <w:rPr>
          <w:rFonts w:ascii="Times New Roman" w:hAnsi="Times New Roman"/>
        </w:rPr>
        <w:t xml:space="preserve">with </w:t>
      </w:r>
      <w:r w:rsidR="00AC31B3" w:rsidRPr="00617C58">
        <w:rPr>
          <w:rFonts w:ascii="Times New Roman" w:hAnsi="Times New Roman"/>
        </w:rPr>
        <w:t xml:space="preserve">a brief information sheet </w:t>
      </w:r>
      <w:r w:rsidR="00AC31B3">
        <w:rPr>
          <w:rFonts w:ascii="Times New Roman" w:hAnsi="Times New Roman"/>
        </w:rPr>
        <w:t>that</w:t>
      </w:r>
      <w:r w:rsidR="00AC31B3" w:rsidRPr="00617C58">
        <w:rPr>
          <w:rFonts w:ascii="Times New Roman" w:hAnsi="Times New Roman"/>
          <w:lang w:val="yo-NG"/>
        </w:rPr>
        <w:t xml:space="preserve"> </w:t>
      </w:r>
      <w:r w:rsidR="00AC31B3" w:rsidRPr="00617C58">
        <w:rPr>
          <w:rFonts w:ascii="Times New Roman" w:hAnsi="Times New Roman"/>
        </w:rPr>
        <w:t>ensure</w:t>
      </w:r>
      <w:r w:rsidR="00AC31B3">
        <w:rPr>
          <w:rFonts w:ascii="Times New Roman" w:hAnsi="Times New Roman"/>
        </w:rPr>
        <w:t>s</w:t>
      </w:r>
      <w:r w:rsidR="00AC31B3" w:rsidRPr="00617C58">
        <w:rPr>
          <w:rFonts w:ascii="Times New Roman" w:hAnsi="Times New Roman"/>
        </w:rPr>
        <w:t xml:space="preserve"> that </w:t>
      </w:r>
      <w:r w:rsidR="00AC31B3">
        <w:rPr>
          <w:rFonts w:ascii="Times New Roman" w:hAnsi="Times New Roman"/>
        </w:rPr>
        <w:t xml:space="preserve">they  </w:t>
      </w:r>
      <w:r w:rsidR="00AC31B3" w:rsidRPr="00617C58">
        <w:rPr>
          <w:rFonts w:ascii="Times New Roman" w:hAnsi="Times New Roman"/>
        </w:rPr>
        <w:t xml:space="preserve"> understand the demonstration, as well as their role and rights within the study. </w:t>
      </w:r>
      <w:r w:rsidR="00AC31B3">
        <w:rPr>
          <w:rFonts w:ascii="Times New Roman" w:hAnsi="Times New Roman"/>
        </w:rPr>
        <w:t xml:space="preserve"> This form was also approved under the TO1 OMB submission. </w:t>
      </w:r>
      <w:r w:rsidR="005636E0">
        <w:rPr>
          <w:rFonts w:ascii="Times New Roman" w:hAnsi="Times New Roman"/>
        </w:rPr>
        <w:t>Under Task Order 2</w:t>
      </w:r>
      <w:r w:rsidR="00D9357C">
        <w:rPr>
          <w:rFonts w:ascii="Times New Roman" w:hAnsi="Times New Roman"/>
        </w:rPr>
        <w:t xml:space="preserve">, </w:t>
      </w:r>
      <w:r w:rsidR="005636E0">
        <w:rPr>
          <w:rFonts w:ascii="Times New Roman" w:hAnsi="Times New Roman"/>
        </w:rPr>
        <w:t>t</w:t>
      </w:r>
      <w:r w:rsidR="00DC7C95" w:rsidRPr="00B95862">
        <w:rPr>
          <w:rFonts w:ascii="Times New Roman" w:hAnsi="Times New Roman"/>
        </w:rPr>
        <w:t xml:space="preserve">he </w:t>
      </w:r>
      <w:r>
        <w:rPr>
          <w:rFonts w:ascii="Times New Roman" w:hAnsi="Times New Roman"/>
        </w:rPr>
        <w:t xml:space="preserve">longer-term evaluation </w:t>
      </w:r>
      <w:r w:rsidR="00DC7C95" w:rsidRPr="00B95862">
        <w:rPr>
          <w:rFonts w:ascii="Times New Roman" w:hAnsi="Times New Roman"/>
        </w:rPr>
        <w:t xml:space="preserve">will </w:t>
      </w:r>
      <w:r w:rsidR="00F6177F">
        <w:rPr>
          <w:rFonts w:ascii="Times New Roman" w:hAnsi="Times New Roman"/>
        </w:rPr>
        <w:t xml:space="preserve">also </w:t>
      </w:r>
      <w:r w:rsidR="00DC7C95" w:rsidRPr="00B95862">
        <w:rPr>
          <w:rFonts w:ascii="Times New Roman" w:hAnsi="Times New Roman"/>
        </w:rPr>
        <w:t xml:space="preserve">collect </w:t>
      </w:r>
      <w:r w:rsidR="00115E00" w:rsidRPr="00B95862">
        <w:rPr>
          <w:rFonts w:ascii="Times New Roman" w:hAnsi="Times New Roman"/>
        </w:rPr>
        <w:t xml:space="preserve">follow-up data </w:t>
      </w:r>
      <w:r w:rsidR="00DC7C95" w:rsidRPr="00B95862">
        <w:rPr>
          <w:rFonts w:ascii="Times New Roman" w:hAnsi="Times New Roman"/>
        </w:rPr>
        <w:t>through interviews with key informants</w:t>
      </w:r>
      <w:r w:rsidR="007D58BF" w:rsidRPr="00B95862">
        <w:rPr>
          <w:rFonts w:ascii="Times New Roman" w:hAnsi="Times New Roman"/>
        </w:rPr>
        <w:t xml:space="preserve"> and access to housing </w:t>
      </w:r>
      <w:r w:rsidR="004E5E4F">
        <w:rPr>
          <w:rFonts w:ascii="Times New Roman" w:hAnsi="Times New Roman"/>
        </w:rPr>
        <w:t>agency</w:t>
      </w:r>
      <w:r w:rsidR="004E5E4F" w:rsidRPr="00B95862">
        <w:rPr>
          <w:rFonts w:ascii="Times New Roman" w:hAnsi="Times New Roman"/>
        </w:rPr>
        <w:t xml:space="preserve"> </w:t>
      </w:r>
      <w:r w:rsidR="00AE378A">
        <w:rPr>
          <w:rFonts w:ascii="Times New Roman" w:hAnsi="Times New Roman"/>
        </w:rPr>
        <w:t xml:space="preserve">/ </w:t>
      </w:r>
      <w:r w:rsidR="007D58BF" w:rsidRPr="00B95862">
        <w:rPr>
          <w:rFonts w:ascii="Times New Roman" w:hAnsi="Times New Roman"/>
        </w:rPr>
        <w:t>HUD data</w:t>
      </w:r>
      <w:r w:rsidR="00AE378A">
        <w:rPr>
          <w:rFonts w:ascii="Times New Roman" w:hAnsi="Times New Roman"/>
        </w:rPr>
        <w:t xml:space="preserve"> and other administrative records (</w:t>
      </w:r>
      <w:r w:rsidR="00D9357C">
        <w:rPr>
          <w:rFonts w:ascii="Times New Roman" w:hAnsi="Times New Roman"/>
        </w:rPr>
        <w:t>employment</w:t>
      </w:r>
      <w:r w:rsidR="00BE1C4C">
        <w:rPr>
          <w:rFonts w:ascii="Times New Roman" w:hAnsi="Times New Roman"/>
        </w:rPr>
        <w:t xml:space="preserve"> records</w:t>
      </w:r>
      <w:r w:rsidR="00AE378A">
        <w:rPr>
          <w:rFonts w:ascii="Times New Roman" w:hAnsi="Times New Roman"/>
        </w:rPr>
        <w:t>, for example)</w:t>
      </w:r>
      <w:r w:rsidR="007D58BF" w:rsidRPr="00B95862">
        <w:rPr>
          <w:rFonts w:ascii="Times New Roman" w:hAnsi="Times New Roman"/>
        </w:rPr>
        <w:t xml:space="preserve">. </w:t>
      </w:r>
      <w:r w:rsidR="00AC31B3">
        <w:rPr>
          <w:rFonts w:ascii="Times New Roman" w:hAnsi="Times New Roman"/>
        </w:rPr>
        <w:t xml:space="preserve">As with the baseline data, and in an effort to limit data collection burden on participants, the participant </w:t>
      </w:r>
      <w:r w:rsidR="00AC31B3">
        <w:rPr>
          <w:rFonts w:ascii="Times New Roman" w:hAnsi="Times New Roman"/>
        </w:rPr>
        <w:lastRenderedPageBreak/>
        <w:t>interviews will focus on information that is not readily available in available data sources (or not available in the format required for the evaluation).</w:t>
      </w:r>
    </w:p>
    <w:p w:rsidR="00086398" w:rsidRPr="00542556" w:rsidRDefault="00086398" w:rsidP="00542556">
      <w:pPr>
        <w:pStyle w:val="ParagraphLAST"/>
        <w:spacing w:after="0" w:line="240" w:lineRule="auto"/>
        <w:jc w:val="left"/>
        <w:rPr>
          <w:rFonts w:ascii="Times New Roman" w:hAnsi="Times New Roman"/>
          <w:b/>
        </w:rPr>
      </w:pPr>
    </w:p>
    <w:p w:rsidR="00703F1F" w:rsidRPr="00617C58" w:rsidRDefault="00BD275F" w:rsidP="00617C58">
      <w:pPr>
        <w:spacing w:line="240" w:lineRule="auto"/>
        <w:rPr>
          <w:rFonts w:ascii="Times New Roman" w:hAnsi="Times New Roman"/>
          <w:b/>
          <w:u w:val="single"/>
        </w:rPr>
      </w:pPr>
      <w:r>
        <w:rPr>
          <w:rFonts w:ascii="Times New Roman" w:hAnsi="Times New Roman"/>
          <w:b/>
          <w:u w:val="single"/>
        </w:rPr>
        <w:t>D</w:t>
      </w:r>
      <w:r w:rsidR="00703F1F" w:rsidRPr="00617C58">
        <w:rPr>
          <w:rFonts w:ascii="Times New Roman" w:hAnsi="Times New Roman"/>
          <w:b/>
          <w:u w:val="single"/>
        </w:rPr>
        <w:t>ata sources</w:t>
      </w:r>
      <w:r w:rsidR="006F470B" w:rsidRPr="00617C58">
        <w:rPr>
          <w:rFonts w:ascii="Times New Roman" w:hAnsi="Times New Roman"/>
          <w:b/>
          <w:u w:val="single"/>
        </w:rPr>
        <w:t xml:space="preserve">  </w:t>
      </w:r>
    </w:p>
    <w:p w:rsidR="00B1381C" w:rsidRPr="00542556" w:rsidRDefault="00B1381C" w:rsidP="00542556">
      <w:pPr>
        <w:spacing w:line="240" w:lineRule="auto"/>
        <w:ind w:firstLine="0"/>
        <w:rPr>
          <w:rFonts w:ascii="Times New Roman" w:hAnsi="Times New Roman"/>
        </w:rPr>
      </w:pPr>
    </w:p>
    <w:p w:rsidR="00AD1687" w:rsidRDefault="00703F1F" w:rsidP="00617C58">
      <w:pPr>
        <w:spacing w:line="240" w:lineRule="auto"/>
        <w:ind w:firstLine="0"/>
        <w:rPr>
          <w:rFonts w:ascii="Times New Roman" w:hAnsi="Times New Roman"/>
        </w:rPr>
      </w:pPr>
      <w:r w:rsidRPr="00F6177F">
        <w:rPr>
          <w:rFonts w:ascii="Times New Roman" w:hAnsi="Times New Roman"/>
        </w:rPr>
        <w:t xml:space="preserve">Table </w:t>
      </w:r>
      <w:r w:rsidR="00B726CC">
        <w:rPr>
          <w:rFonts w:ascii="Times New Roman" w:hAnsi="Times New Roman"/>
        </w:rPr>
        <w:t xml:space="preserve">1 </w:t>
      </w:r>
      <w:r w:rsidRPr="00F6177F">
        <w:rPr>
          <w:rFonts w:ascii="Times New Roman" w:hAnsi="Times New Roman"/>
        </w:rPr>
        <w:t>provides a summary of the impact analysis outcome clusters described above and the associated data sources. As shown,</w:t>
      </w:r>
      <w:r w:rsidRPr="00617C58">
        <w:rPr>
          <w:rFonts w:ascii="Times New Roman" w:hAnsi="Times New Roman"/>
        </w:rPr>
        <w:t xml:space="preserve"> these data will come from a few data sources, including UI wage records, HUD data, and </w:t>
      </w:r>
      <w:r w:rsidR="00B776D6">
        <w:rPr>
          <w:rFonts w:ascii="Times New Roman" w:hAnsi="Times New Roman"/>
        </w:rPr>
        <w:t>interviews</w:t>
      </w:r>
      <w:r w:rsidRPr="00617C58">
        <w:rPr>
          <w:rFonts w:ascii="Times New Roman" w:hAnsi="Times New Roman"/>
        </w:rPr>
        <w:t>.</w:t>
      </w:r>
      <w:r w:rsidR="00F851B8">
        <w:rPr>
          <w:rFonts w:ascii="Times New Roman" w:hAnsi="Times New Roman"/>
        </w:rPr>
        <w:t xml:space="preserve"> </w:t>
      </w:r>
      <w:r w:rsidR="003E76EE">
        <w:rPr>
          <w:rFonts w:ascii="Times New Roman" w:hAnsi="Times New Roman"/>
        </w:rPr>
        <w:t>Table 2 provides more specific information about the data source for each quantitative data type.</w:t>
      </w:r>
    </w:p>
    <w:p w:rsidR="00AD1687" w:rsidRDefault="00AD1687" w:rsidP="00617C58">
      <w:pPr>
        <w:spacing w:line="240" w:lineRule="auto"/>
        <w:ind w:firstLine="0"/>
        <w:rPr>
          <w:rFonts w:ascii="Times New Roman" w:hAnsi="Times New Roman"/>
        </w:rPr>
      </w:pPr>
    </w:p>
    <w:tbl>
      <w:tblPr>
        <w:tblpPr w:leftFromText="180" w:rightFromText="180" w:vertAnchor="text" w:horzAnchor="margin"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3960"/>
      </w:tblGrid>
      <w:tr w:rsidR="00BE1C4C" w:rsidRPr="00187567" w:rsidTr="00BE1C4C">
        <w:tc>
          <w:tcPr>
            <w:tcW w:w="9018" w:type="dxa"/>
            <w:gridSpan w:val="2"/>
            <w:shd w:val="clear" w:color="auto" w:fill="auto"/>
          </w:tcPr>
          <w:p w:rsidR="00BE1C4C" w:rsidRDefault="00BE1C4C" w:rsidP="00BE1C4C">
            <w:pPr>
              <w:spacing w:line="240" w:lineRule="auto"/>
              <w:jc w:val="center"/>
              <w:rPr>
                <w:rFonts w:ascii="Times New Roman" w:hAnsi="Times New Roman"/>
                <w:b/>
                <w:sz w:val="20"/>
                <w:szCs w:val="20"/>
              </w:rPr>
            </w:pPr>
            <w:r>
              <w:rPr>
                <w:rFonts w:ascii="Times New Roman" w:hAnsi="Times New Roman"/>
                <w:b/>
                <w:sz w:val="20"/>
                <w:szCs w:val="20"/>
              </w:rPr>
              <w:t xml:space="preserve">Table 1 </w:t>
            </w:r>
          </w:p>
          <w:p w:rsidR="00BE1C4C" w:rsidRDefault="00BE1C4C" w:rsidP="00BE1C4C">
            <w:pPr>
              <w:spacing w:line="240" w:lineRule="auto"/>
              <w:jc w:val="center"/>
              <w:rPr>
                <w:rFonts w:ascii="Times New Roman" w:hAnsi="Times New Roman"/>
                <w:b/>
                <w:sz w:val="20"/>
                <w:szCs w:val="20"/>
              </w:rPr>
            </w:pPr>
            <w:r>
              <w:rPr>
                <w:rFonts w:ascii="Times New Roman" w:hAnsi="Times New Roman"/>
                <w:b/>
                <w:sz w:val="20"/>
                <w:szCs w:val="20"/>
              </w:rPr>
              <w:t>Summary of Data Collection Clusters and Data Sources</w:t>
            </w:r>
          </w:p>
          <w:p w:rsidR="00BE1C4C" w:rsidRPr="00187567" w:rsidRDefault="00BE1C4C" w:rsidP="00BE1C4C">
            <w:pPr>
              <w:spacing w:line="240" w:lineRule="auto"/>
              <w:jc w:val="center"/>
              <w:rPr>
                <w:rFonts w:ascii="Times New Roman" w:hAnsi="Times New Roman"/>
                <w:b/>
                <w:sz w:val="20"/>
                <w:szCs w:val="20"/>
              </w:rPr>
            </w:pPr>
          </w:p>
        </w:tc>
      </w:tr>
      <w:tr w:rsidR="00BE1C4C" w:rsidRPr="00187567" w:rsidTr="00BE1C4C">
        <w:tc>
          <w:tcPr>
            <w:tcW w:w="5058" w:type="dxa"/>
            <w:shd w:val="clear" w:color="auto" w:fill="EEECE1"/>
          </w:tcPr>
          <w:p w:rsidR="00BE1C4C" w:rsidRPr="00187567" w:rsidRDefault="00BE1C4C" w:rsidP="00BE1C4C">
            <w:pPr>
              <w:tabs>
                <w:tab w:val="clear" w:pos="432"/>
              </w:tabs>
              <w:spacing w:line="240" w:lineRule="auto"/>
              <w:ind w:firstLine="0"/>
              <w:jc w:val="left"/>
              <w:rPr>
                <w:rFonts w:ascii="Times New Roman" w:hAnsi="Times New Roman"/>
                <w:b/>
                <w:sz w:val="20"/>
                <w:szCs w:val="20"/>
              </w:rPr>
            </w:pPr>
            <w:r>
              <w:rPr>
                <w:rFonts w:ascii="Times New Roman" w:hAnsi="Times New Roman"/>
                <w:b/>
                <w:sz w:val="20"/>
                <w:szCs w:val="20"/>
              </w:rPr>
              <w:t>PHA’s</w:t>
            </w:r>
            <w:r w:rsidRPr="00187567">
              <w:rPr>
                <w:rFonts w:ascii="Times New Roman" w:hAnsi="Times New Roman"/>
                <w:b/>
                <w:sz w:val="20"/>
                <w:szCs w:val="20"/>
              </w:rPr>
              <w:t xml:space="preserve"> perspective </w:t>
            </w:r>
          </w:p>
        </w:tc>
        <w:tc>
          <w:tcPr>
            <w:tcW w:w="3960" w:type="dxa"/>
            <w:shd w:val="clear" w:color="auto" w:fill="EEECE1"/>
          </w:tcPr>
          <w:p w:rsidR="00BE1C4C" w:rsidRPr="00187567" w:rsidRDefault="00BE1C4C" w:rsidP="00BE1C4C">
            <w:pPr>
              <w:tabs>
                <w:tab w:val="clear" w:pos="432"/>
              </w:tabs>
              <w:spacing w:line="240" w:lineRule="auto"/>
              <w:ind w:hanging="18"/>
              <w:jc w:val="center"/>
              <w:rPr>
                <w:rFonts w:ascii="Times New Roman" w:hAnsi="Times New Roman"/>
                <w:b/>
                <w:sz w:val="20"/>
                <w:szCs w:val="20"/>
              </w:rPr>
            </w:pPr>
          </w:p>
        </w:tc>
      </w:tr>
      <w:tr w:rsidR="00BE1C4C" w:rsidRPr="00187567" w:rsidTr="00BE1C4C">
        <w:tc>
          <w:tcPr>
            <w:tcW w:w="5058" w:type="dxa"/>
            <w:shd w:val="clear" w:color="auto" w:fill="auto"/>
          </w:tcPr>
          <w:p w:rsidR="00BE1C4C" w:rsidRPr="00187567" w:rsidRDefault="00BE1C4C" w:rsidP="00BE1C4C">
            <w:pPr>
              <w:tabs>
                <w:tab w:val="clear" w:pos="432"/>
              </w:tabs>
              <w:spacing w:line="240" w:lineRule="auto"/>
              <w:ind w:firstLine="0"/>
              <w:jc w:val="left"/>
              <w:rPr>
                <w:rFonts w:ascii="Times New Roman" w:hAnsi="Times New Roman"/>
                <w:sz w:val="20"/>
                <w:szCs w:val="20"/>
              </w:rPr>
            </w:pPr>
            <w:r w:rsidRPr="00187567">
              <w:rPr>
                <w:rFonts w:ascii="Times New Roman" w:hAnsi="Times New Roman"/>
                <w:sz w:val="20"/>
                <w:szCs w:val="20"/>
              </w:rPr>
              <w:t xml:space="preserve">Experiences operating and implementing rent reform; relationship with participants </w:t>
            </w:r>
          </w:p>
        </w:tc>
        <w:tc>
          <w:tcPr>
            <w:tcW w:w="3960" w:type="dxa"/>
            <w:shd w:val="clear" w:color="auto" w:fill="auto"/>
          </w:tcPr>
          <w:p w:rsidR="00BE1C4C" w:rsidRPr="00187567" w:rsidRDefault="00BE1C4C" w:rsidP="00BE1C4C">
            <w:pPr>
              <w:spacing w:line="240" w:lineRule="auto"/>
              <w:ind w:firstLine="0"/>
              <w:rPr>
                <w:rFonts w:ascii="Times New Roman" w:hAnsi="Times New Roman"/>
                <w:sz w:val="20"/>
                <w:szCs w:val="20"/>
              </w:rPr>
            </w:pPr>
            <w:r w:rsidRPr="00187567">
              <w:rPr>
                <w:rFonts w:ascii="Times New Roman" w:hAnsi="Times New Roman"/>
                <w:sz w:val="20"/>
                <w:szCs w:val="20"/>
              </w:rPr>
              <w:t>Ongoing TA observations</w:t>
            </w:r>
          </w:p>
          <w:p w:rsidR="00BE1C4C" w:rsidRPr="00187567" w:rsidRDefault="00BE1C4C" w:rsidP="00BE1C4C">
            <w:pPr>
              <w:spacing w:line="240" w:lineRule="auto"/>
              <w:ind w:firstLine="0"/>
              <w:rPr>
                <w:rFonts w:ascii="Times New Roman" w:hAnsi="Times New Roman"/>
                <w:sz w:val="20"/>
                <w:szCs w:val="20"/>
              </w:rPr>
            </w:pPr>
            <w:r w:rsidRPr="00187567">
              <w:rPr>
                <w:rFonts w:ascii="Times New Roman" w:hAnsi="Times New Roman"/>
                <w:sz w:val="20"/>
                <w:szCs w:val="20"/>
              </w:rPr>
              <w:t xml:space="preserve">Implementation research   </w:t>
            </w:r>
          </w:p>
        </w:tc>
      </w:tr>
      <w:tr w:rsidR="00BE1C4C" w:rsidRPr="00187567" w:rsidTr="00BE1C4C">
        <w:tc>
          <w:tcPr>
            <w:tcW w:w="5058" w:type="dxa"/>
            <w:shd w:val="clear" w:color="auto" w:fill="auto"/>
          </w:tcPr>
          <w:p w:rsidR="00BE1C4C" w:rsidRPr="00187567" w:rsidRDefault="00BE1C4C" w:rsidP="00BE1C4C">
            <w:pPr>
              <w:tabs>
                <w:tab w:val="clear" w:pos="432"/>
              </w:tabs>
              <w:spacing w:line="240" w:lineRule="auto"/>
              <w:ind w:firstLine="0"/>
              <w:jc w:val="left"/>
              <w:rPr>
                <w:rFonts w:ascii="Times New Roman" w:hAnsi="Times New Roman"/>
                <w:sz w:val="20"/>
                <w:szCs w:val="20"/>
              </w:rPr>
            </w:pPr>
            <w:r w:rsidRPr="00187567">
              <w:rPr>
                <w:rFonts w:ascii="Times New Roman" w:hAnsi="Times New Roman"/>
                <w:bCs/>
                <w:sz w:val="20"/>
                <w:szCs w:val="20"/>
              </w:rPr>
              <w:t>Tenant turnover, availability of vouchers, reasons for exit</w:t>
            </w:r>
          </w:p>
        </w:tc>
        <w:tc>
          <w:tcPr>
            <w:tcW w:w="3960" w:type="dxa"/>
            <w:shd w:val="clear" w:color="auto" w:fill="auto"/>
          </w:tcPr>
          <w:p w:rsidR="00BE1C4C" w:rsidRPr="00187567" w:rsidRDefault="00BE1C4C" w:rsidP="00BE1C4C">
            <w:pPr>
              <w:spacing w:line="240" w:lineRule="auto"/>
              <w:ind w:firstLine="0"/>
              <w:rPr>
                <w:rFonts w:ascii="Times New Roman" w:hAnsi="Times New Roman"/>
                <w:sz w:val="20"/>
                <w:szCs w:val="20"/>
              </w:rPr>
            </w:pPr>
            <w:r w:rsidRPr="00187567">
              <w:rPr>
                <w:rFonts w:ascii="Times New Roman" w:hAnsi="Times New Roman"/>
                <w:sz w:val="20"/>
                <w:szCs w:val="20"/>
              </w:rPr>
              <w:t>HUD 50058</w:t>
            </w:r>
          </w:p>
          <w:p w:rsidR="00BE1C4C" w:rsidRPr="00187567" w:rsidRDefault="00BE1C4C" w:rsidP="00BE1C4C">
            <w:pPr>
              <w:spacing w:line="240" w:lineRule="auto"/>
              <w:ind w:firstLine="0"/>
              <w:rPr>
                <w:rFonts w:ascii="Times New Roman" w:hAnsi="Times New Roman"/>
                <w:sz w:val="20"/>
                <w:szCs w:val="20"/>
              </w:rPr>
            </w:pPr>
          </w:p>
        </w:tc>
      </w:tr>
      <w:tr w:rsidR="00BE1C4C" w:rsidRPr="00187567" w:rsidTr="00BE1C4C">
        <w:tc>
          <w:tcPr>
            <w:tcW w:w="5058" w:type="dxa"/>
            <w:shd w:val="clear" w:color="auto" w:fill="auto"/>
          </w:tcPr>
          <w:p w:rsidR="00BE1C4C" w:rsidRPr="00187567" w:rsidRDefault="00BE1C4C" w:rsidP="00BE1C4C">
            <w:pPr>
              <w:tabs>
                <w:tab w:val="clear" w:pos="432"/>
              </w:tabs>
              <w:spacing w:line="240" w:lineRule="auto"/>
              <w:ind w:firstLine="0"/>
              <w:jc w:val="left"/>
              <w:rPr>
                <w:rFonts w:ascii="Times New Roman" w:hAnsi="Times New Roman"/>
                <w:sz w:val="20"/>
                <w:szCs w:val="20"/>
              </w:rPr>
            </w:pPr>
            <w:r>
              <w:rPr>
                <w:rFonts w:ascii="Times New Roman" w:hAnsi="Times New Roman"/>
                <w:bCs/>
                <w:sz w:val="20"/>
                <w:szCs w:val="20"/>
              </w:rPr>
              <w:t>PHAs</w:t>
            </w:r>
            <w:r w:rsidRPr="00187567">
              <w:rPr>
                <w:rFonts w:ascii="Times New Roman" w:hAnsi="Times New Roman"/>
                <w:bCs/>
                <w:sz w:val="20"/>
                <w:szCs w:val="20"/>
              </w:rPr>
              <w:t>’ costs and ability to serve more eligible families</w:t>
            </w:r>
          </w:p>
        </w:tc>
        <w:tc>
          <w:tcPr>
            <w:tcW w:w="3960" w:type="dxa"/>
            <w:shd w:val="clear" w:color="auto" w:fill="auto"/>
          </w:tcPr>
          <w:p w:rsidR="00BE1C4C" w:rsidRPr="00187567" w:rsidRDefault="00BE1C4C" w:rsidP="00BE1C4C">
            <w:pPr>
              <w:spacing w:line="240" w:lineRule="auto"/>
              <w:ind w:firstLine="0"/>
              <w:rPr>
                <w:rFonts w:ascii="Times New Roman" w:hAnsi="Times New Roman"/>
                <w:sz w:val="20"/>
                <w:szCs w:val="20"/>
              </w:rPr>
            </w:pPr>
            <w:r w:rsidRPr="00187567">
              <w:rPr>
                <w:rFonts w:ascii="Times New Roman" w:hAnsi="Times New Roman"/>
                <w:sz w:val="20"/>
                <w:szCs w:val="20"/>
              </w:rPr>
              <w:t>Cost-analysis data</w:t>
            </w:r>
          </w:p>
          <w:p w:rsidR="00BE1C4C" w:rsidRPr="00187567" w:rsidRDefault="00BE1C4C" w:rsidP="00BE1C4C">
            <w:pPr>
              <w:spacing w:line="240" w:lineRule="auto"/>
              <w:ind w:firstLine="0"/>
              <w:rPr>
                <w:rFonts w:ascii="Times New Roman" w:hAnsi="Times New Roman"/>
                <w:sz w:val="20"/>
                <w:szCs w:val="20"/>
              </w:rPr>
            </w:pPr>
            <w:r w:rsidRPr="00187567">
              <w:rPr>
                <w:rFonts w:ascii="Times New Roman" w:hAnsi="Times New Roman"/>
                <w:sz w:val="20"/>
                <w:szCs w:val="20"/>
              </w:rPr>
              <w:t xml:space="preserve">Interviews with administrators </w:t>
            </w:r>
          </w:p>
        </w:tc>
      </w:tr>
      <w:tr w:rsidR="00BE1C4C" w:rsidRPr="00187567" w:rsidTr="00BE1C4C">
        <w:tc>
          <w:tcPr>
            <w:tcW w:w="5058" w:type="dxa"/>
            <w:shd w:val="clear" w:color="auto" w:fill="auto"/>
          </w:tcPr>
          <w:p w:rsidR="00BE1C4C" w:rsidRPr="00187567" w:rsidRDefault="00BE1C4C" w:rsidP="00BE1C4C">
            <w:pPr>
              <w:tabs>
                <w:tab w:val="clear" w:pos="432"/>
              </w:tabs>
              <w:spacing w:line="240" w:lineRule="auto"/>
              <w:ind w:firstLine="0"/>
              <w:jc w:val="left"/>
              <w:rPr>
                <w:rFonts w:ascii="Times New Roman" w:hAnsi="Times New Roman"/>
                <w:sz w:val="20"/>
                <w:szCs w:val="20"/>
              </w:rPr>
            </w:pPr>
            <w:r w:rsidRPr="00187567">
              <w:rPr>
                <w:rFonts w:ascii="Times New Roman" w:hAnsi="Times New Roman"/>
                <w:sz w:val="20"/>
                <w:szCs w:val="20"/>
              </w:rPr>
              <w:t>Administrative efficiencies and scaling-up</w:t>
            </w:r>
          </w:p>
        </w:tc>
        <w:tc>
          <w:tcPr>
            <w:tcW w:w="3960" w:type="dxa"/>
            <w:shd w:val="clear" w:color="auto" w:fill="auto"/>
          </w:tcPr>
          <w:p w:rsidR="00BE1C4C" w:rsidRPr="00187567" w:rsidRDefault="00BE1C4C" w:rsidP="00BE1C4C">
            <w:pPr>
              <w:spacing w:line="240" w:lineRule="auto"/>
              <w:ind w:firstLine="0"/>
              <w:rPr>
                <w:rFonts w:ascii="Times New Roman" w:hAnsi="Times New Roman"/>
                <w:sz w:val="20"/>
                <w:szCs w:val="20"/>
              </w:rPr>
            </w:pPr>
            <w:r w:rsidRPr="00187567">
              <w:rPr>
                <w:rFonts w:ascii="Times New Roman" w:hAnsi="Times New Roman"/>
                <w:sz w:val="20"/>
                <w:szCs w:val="20"/>
              </w:rPr>
              <w:t>Cost-analysis data</w:t>
            </w:r>
          </w:p>
          <w:p w:rsidR="00BE1C4C" w:rsidRPr="00187567" w:rsidRDefault="00BE1C4C" w:rsidP="00BE1C4C">
            <w:pPr>
              <w:spacing w:line="240" w:lineRule="auto"/>
              <w:ind w:firstLine="0"/>
              <w:rPr>
                <w:rFonts w:ascii="Times New Roman" w:hAnsi="Times New Roman"/>
                <w:sz w:val="20"/>
                <w:szCs w:val="20"/>
              </w:rPr>
            </w:pPr>
            <w:r w:rsidRPr="00187567">
              <w:rPr>
                <w:rFonts w:ascii="Times New Roman" w:hAnsi="Times New Roman"/>
                <w:sz w:val="20"/>
                <w:szCs w:val="20"/>
              </w:rPr>
              <w:t>Interviews with</w:t>
            </w:r>
            <w:r>
              <w:rPr>
                <w:rFonts w:ascii="Times New Roman" w:hAnsi="Times New Roman"/>
                <w:sz w:val="20"/>
                <w:szCs w:val="20"/>
              </w:rPr>
              <w:t xml:space="preserve"> PHA </w:t>
            </w:r>
            <w:r w:rsidRPr="00187567">
              <w:rPr>
                <w:rFonts w:ascii="Times New Roman" w:hAnsi="Times New Roman"/>
                <w:sz w:val="20"/>
                <w:szCs w:val="20"/>
              </w:rPr>
              <w:t>staff</w:t>
            </w:r>
          </w:p>
        </w:tc>
      </w:tr>
      <w:tr w:rsidR="00BE1C4C" w:rsidRPr="00187567" w:rsidTr="00BE1C4C">
        <w:tc>
          <w:tcPr>
            <w:tcW w:w="5058" w:type="dxa"/>
            <w:shd w:val="clear" w:color="auto" w:fill="EEECE1"/>
          </w:tcPr>
          <w:p w:rsidR="00BE1C4C" w:rsidRPr="00187567" w:rsidRDefault="00BE1C4C" w:rsidP="00BE1C4C">
            <w:pPr>
              <w:tabs>
                <w:tab w:val="clear" w:pos="432"/>
              </w:tabs>
              <w:spacing w:line="240" w:lineRule="auto"/>
              <w:ind w:firstLine="0"/>
              <w:rPr>
                <w:rFonts w:ascii="Times New Roman" w:hAnsi="Times New Roman"/>
                <w:sz w:val="20"/>
                <w:szCs w:val="20"/>
              </w:rPr>
            </w:pPr>
            <w:r w:rsidRPr="00187567">
              <w:rPr>
                <w:rFonts w:ascii="Times New Roman" w:hAnsi="Times New Roman"/>
                <w:b/>
                <w:sz w:val="20"/>
                <w:szCs w:val="20"/>
              </w:rPr>
              <w:t>Tenant’s perspective</w:t>
            </w:r>
          </w:p>
        </w:tc>
        <w:tc>
          <w:tcPr>
            <w:tcW w:w="3960" w:type="dxa"/>
            <w:shd w:val="clear" w:color="auto" w:fill="EEECE1"/>
          </w:tcPr>
          <w:p w:rsidR="00BE1C4C" w:rsidRPr="00187567" w:rsidRDefault="00BE1C4C" w:rsidP="00BE1C4C">
            <w:pPr>
              <w:spacing w:line="240" w:lineRule="auto"/>
              <w:rPr>
                <w:rFonts w:ascii="Times New Roman" w:hAnsi="Times New Roman"/>
                <w:sz w:val="20"/>
                <w:szCs w:val="20"/>
              </w:rPr>
            </w:pP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sz w:val="20"/>
                <w:szCs w:val="20"/>
              </w:rPr>
            </w:pPr>
            <w:r w:rsidRPr="00187567">
              <w:rPr>
                <w:rFonts w:ascii="Times New Roman" w:hAnsi="Times New Roman"/>
                <w:sz w:val="20"/>
                <w:szCs w:val="20"/>
              </w:rPr>
              <w:t xml:space="preserve">Understanding, knowledge, awareness of rent reform; perceptions of and relationship with </w:t>
            </w:r>
            <w:r>
              <w:rPr>
                <w:rFonts w:ascii="Times New Roman" w:hAnsi="Times New Roman"/>
                <w:sz w:val="20"/>
                <w:szCs w:val="20"/>
              </w:rPr>
              <w:t>HA</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sidRPr="00187567">
              <w:rPr>
                <w:rFonts w:ascii="Times New Roman" w:hAnsi="Times New Roman"/>
                <w:sz w:val="20"/>
                <w:szCs w:val="20"/>
              </w:rPr>
              <w:t>Ongoing in-depth interviews / focus groups with tenants</w:t>
            </w:r>
          </w:p>
          <w:p w:rsidR="00BE1C4C" w:rsidRPr="00187567" w:rsidRDefault="00BE1C4C" w:rsidP="00BE1C4C">
            <w:pPr>
              <w:spacing w:line="240" w:lineRule="auto"/>
              <w:ind w:firstLine="0"/>
              <w:jc w:val="left"/>
              <w:rPr>
                <w:rFonts w:ascii="Times New Roman" w:hAnsi="Times New Roman"/>
                <w:sz w:val="20"/>
                <w:szCs w:val="20"/>
              </w:rPr>
            </w:pP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sz w:val="20"/>
                <w:szCs w:val="20"/>
              </w:rPr>
            </w:pPr>
            <w:r w:rsidRPr="00187567">
              <w:rPr>
                <w:rFonts w:ascii="Times New Roman" w:hAnsi="Times New Roman"/>
                <w:bCs/>
                <w:iCs/>
                <w:sz w:val="20"/>
                <w:szCs w:val="20"/>
              </w:rPr>
              <w:t>Household Composition and Structure</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sidRPr="00187567">
              <w:rPr>
                <w:rFonts w:ascii="Times New Roman" w:hAnsi="Times New Roman"/>
                <w:sz w:val="20"/>
                <w:szCs w:val="20"/>
              </w:rPr>
              <w:t>HUD 50058</w:t>
            </w:r>
          </w:p>
          <w:p w:rsidR="00BE1C4C" w:rsidRPr="00187567" w:rsidRDefault="00BE1C4C" w:rsidP="00BE1C4C">
            <w:pPr>
              <w:spacing w:line="240" w:lineRule="auto"/>
              <w:ind w:firstLine="0"/>
              <w:jc w:val="left"/>
              <w:rPr>
                <w:rFonts w:ascii="Times New Roman" w:hAnsi="Times New Roman"/>
                <w:sz w:val="20"/>
                <w:szCs w:val="20"/>
              </w:rPr>
            </w:pP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sz w:val="20"/>
                <w:szCs w:val="20"/>
              </w:rPr>
            </w:pPr>
            <w:r w:rsidRPr="00187567">
              <w:rPr>
                <w:rFonts w:ascii="Times New Roman" w:hAnsi="Times New Roman"/>
                <w:iCs/>
                <w:sz w:val="20"/>
                <w:szCs w:val="20"/>
              </w:rPr>
              <w:t xml:space="preserve">Employment and earnings </w:t>
            </w:r>
            <w:r w:rsidRPr="00187567">
              <w:rPr>
                <w:rFonts w:ascii="Times New Roman" w:hAnsi="Times New Roman"/>
                <w:sz w:val="20"/>
                <w:szCs w:val="20"/>
              </w:rPr>
              <w:t xml:space="preserve"> </w:t>
            </w:r>
          </w:p>
        </w:tc>
        <w:tc>
          <w:tcPr>
            <w:tcW w:w="3960" w:type="dxa"/>
            <w:shd w:val="clear" w:color="auto" w:fill="auto"/>
          </w:tcPr>
          <w:p w:rsidR="00BE1C4C" w:rsidRPr="00F877CE" w:rsidRDefault="00BE1C4C" w:rsidP="00BE1C4C">
            <w:pPr>
              <w:spacing w:line="240" w:lineRule="auto"/>
              <w:ind w:firstLine="0"/>
              <w:jc w:val="left"/>
              <w:rPr>
                <w:rFonts w:ascii="Times New Roman" w:hAnsi="Times New Roman"/>
                <w:sz w:val="20"/>
                <w:szCs w:val="20"/>
              </w:rPr>
            </w:pPr>
            <w:r w:rsidRPr="00EA7CF9">
              <w:rPr>
                <w:rFonts w:ascii="Times New Roman" w:hAnsi="Times New Roman"/>
                <w:sz w:val="20"/>
                <w:szCs w:val="20"/>
              </w:rPr>
              <w:t>National Directory of New Hires (NDNH).</w:t>
            </w: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bCs/>
                <w:iCs/>
                <w:sz w:val="20"/>
                <w:szCs w:val="20"/>
              </w:rPr>
            </w:pPr>
            <w:r w:rsidRPr="00187567">
              <w:rPr>
                <w:rFonts w:ascii="Times New Roman" w:hAnsi="Times New Roman"/>
                <w:bCs/>
                <w:iCs/>
                <w:sz w:val="20"/>
                <w:szCs w:val="20"/>
              </w:rPr>
              <w:t>Income and income supports</w:t>
            </w:r>
          </w:p>
          <w:p w:rsidR="00BE1C4C" w:rsidRPr="00187567" w:rsidRDefault="00BE1C4C" w:rsidP="00BE1C4C">
            <w:pPr>
              <w:spacing w:line="240" w:lineRule="auto"/>
              <w:ind w:firstLine="0"/>
              <w:contextualSpacing/>
              <w:jc w:val="left"/>
              <w:rPr>
                <w:rFonts w:ascii="Times New Roman" w:hAnsi="Times New Roman"/>
                <w:bCs/>
                <w:iCs/>
                <w:sz w:val="20"/>
                <w:szCs w:val="20"/>
              </w:rPr>
            </w:pP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sidRPr="00187567">
              <w:rPr>
                <w:rFonts w:ascii="Times New Roman" w:hAnsi="Times New Roman"/>
                <w:sz w:val="20"/>
                <w:szCs w:val="20"/>
              </w:rPr>
              <w:t>HUD 50058</w:t>
            </w:r>
          </w:p>
          <w:p w:rsidR="00BE1C4C" w:rsidRPr="00187567" w:rsidRDefault="00BE1C4C" w:rsidP="00BE1C4C">
            <w:pPr>
              <w:spacing w:line="240" w:lineRule="auto"/>
              <w:ind w:firstLine="0"/>
              <w:jc w:val="left"/>
              <w:rPr>
                <w:rFonts w:ascii="Times New Roman" w:hAnsi="Times New Roman"/>
                <w:sz w:val="20"/>
                <w:szCs w:val="20"/>
              </w:rPr>
            </w:pPr>
            <w:r w:rsidRPr="00187567">
              <w:rPr>
                <w:rFonts w:ascii="Times New Roman" w:hAnsi="Times New Roman"/>
                <w:sz w:val="20"/>
                <w:szCs w:val="20"/>
              </w:rPr>
              <w:t>TANF</w:t>
            </w:r>
            <w:r>
              <w:rPr>
                <w:rFonts w:ascii="Times New Roman" w:hAnsi="Times New Roman"/>
                <w:sz w:val="20"/>
                <w:szCs w:val="20"/>
              </w:rPr>
              <w:t xml:space="preserve"> and </w:t>
            </w:r>
            <w:r w:rsidRPr="00187567">
              <w:rPr>
                <w:rFonts w:ascii="Times New Roman" w:hAnsi="Times New Roman"/>
                <w:sz w:val="20"/>
                <w:szCs w:val="20"/>
              </w:rPr>
              <w:t>SNAP</w:t>
            </w:r>
            <w:r>
              <w:rPr>
                <w:rFonts w:ascii="Times New Roman" w:hAnsi="Times New Roman"/>
                <w:sz w:val="20"/>
                <w:szCs w:val="20"/>
              </w:rPr>
              <w:t xml:space="preserve"> </w:t>
            </w: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bCs/>
                <w:iCs/>
                <w:sz w:val="20"/>
                <w:szCs w:val="20"/>
              </w:rPr>
            </w:pPr>
            <w:r w:rsidRPr="00187567">
              <w:rPr>
                <w:rFonts w:ascii="Times New Roman" w:hAnsi="Times New Roman"/>
                <w:bCs/>
                <w:iCs/>
                <w:color w:val="000000"/>
                <w:sz w:val="20"/>
                <w:szCs w:val="20"/>
              </w:rPr>
              <w:t>Assets and</w:t>
            </w:r>
            <w:r w:rsidRPr="00187567">
              <w:rPr>
                <w:rFonts w:ascii="Times New Roman" w:hAnsi="Times New Roman"/>
                <w:bCs/>
                <w:iCs/>
                <w:sz w:val="20"/>
                <w:szCs w:val="20"/>
              </w:rPr>
              <w:t xml:space="preserve"> </w:t>
            </w:r>
            <w:r w:rsidRPr="00187567">
              <w:rPr>
                <w:rFonts w:ascii="Times New Roman" w:hAnsi="Times New Roman"/>
                <w:bCs/>
                <w:iCs/>
                <w:color w:val="000000"/>
                <w:sz w:val="20"/>
                <w:szCs w:val="20"/>
              </w:rPr>
              <w:t>finances</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sidRPr="00187567">
              <w:rPr>
                <w:rFonts w:ascii="Times New Roman" w:hAnsi="Times New Roman"/>
                <w:sz w:val="20"/>
                <w:szCs w:val="20"/>
              </w:rPr>
              <w:t>HUD 50058</w:t>
            </w: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bCs/>
                <w:iCs/>
                <w:sz w:val="20"/>
                <w:szCs w:val="20"/>
              </w:rPr>
            </w:pPr>
            <w:r w:rsidRPr="00187567">
              <w:rPr>
                <w:rFonts w:ascii="Times New Roman" w:hAnsi="Times New Roman"/>
                <w:bCs/>
                <w:iCs/>
                <w:sz w:val="20"/>
                <w:szCs w:val="20"/>
              </w:rPr>
              <w:t>Rent burden</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Pr>
                <w:rFonts w:ascii="Times New Roman" w:hAnsi="Times New Roman"/>
                <w:sz w:val="20"/>
                <w:szCs w:val="20"/>
              </w:rPr>
              <w:t>HUD 50058, UI, TANF</w:t>
            </w: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sz w:val="20"/>
                <w:szCs w:val="20"/>
              </w:rPr>
            </w:pPr>
            <w:r w:rsidRPr="00187567">
              <w:rPr>
                <w:rFonts w:ascii="Times New Roman" w:hAnsi="Times New Roman"/>
                <w:bCs/>
                <w:iCs/>
                <w:sz w:val="20"/>
                <w:szCs w:val="20"/>
              </w:rPr>
              <w:t>Material hardship</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Pr>
                <w:rFonts w:ascii="Times New Roman" w:hAnsi="Times New Roman"/>
                <w:sz w:val="20"/>
                <w:szCs w:val="20"/>
              </w:rPr>
              <w:t xml:space="preserve">Participant interviews </w:t>
            </w: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sz w:val="20"/>
                <w:szCs w:val="20"/>
              </w:rPr>
            </w:pPr>
            <w:r w:rsidRPr="00187567">
              <w:rPr>
                <w:rFonts w:ascii="Times New Roman" w:hAnsi="Times New Roman"/>
                <w:bCs/>
                <w:iCs/>
                <w:sz w:val="20"/>
                <w:szCs w:val="20"/>
              </w:rPr>
              <w:t>Homelessness</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Pr>
                <w:rFonts w:ascii="Times New Roman" w:hAnsi="Times New Roman"/>
                <w:sz w:val="20"/>
                <w:szCs w:val="20"/>
              </w:rPr>
              <w:t xml:space="preserve">HMIS data </w:t>
            </w: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sz w:val="20"/>
                <w:szCs w:val="20"/>
              </w:rPr>
            </w:pPr>
            <w:r w:rsidRPr="00187567">
              <w:rPr>
                <w:rFonts w:ascii="Times New Roman" w:hAnsi="Times New Roman"/>
                <w:bCs/>
                <w:iCs/>
                <w:sz w:val="20"/>
                <w:szCs w:val="20"/>
              </w:rPr>
              <w:t>Neighborhood conditions and safety, and housing quality</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sidRPr="00187567">
              <w:rPr>
                <w:rFonts w:ascii="Times New Roman" w:hAnsi="Times New Roman"/>
                <w:sz w:val="20"/>
                <w:szCs w:val="20"/>
              </w:rPr>
              <w:t>Neighborhood data</w:t>
            </w: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bCs/>
                <w:iCs/>
                <w:sz w:val="20"/>
                <w:szCs w:val="20"/>
              </w:rPr>
            </w:pPr>
            <w:r w:rsidRPr="00187567">
              <w:rPr>
                <w:rFonts w:ascii="Times New Roman" w:hAnsi="Times New Roman"/>
                <w:bCs/>
                <w:iCs/>
                <w:sz w:val="20"/>
                <w:szCs w:val="20"/>
              </w:rPr>
              <w:t xml:space="preserve">Voucher use </w:t>
            </w:r>
          </w:p>
        </w:tc>
        <w:tc>
          <w:tcPr>
            <w:tcW w:w="3960" w:type="dxa"/>
            <w:shd w:val="clear" w:color="auto" w:fill="auto"/>
          </w:tcPr>
          <w:p w:rsidR="00BE1C4C" w:rsidRPr="00187567" w:rsidRDefault="00BE1C4C" w:rsidP="00BE1C4C">
            <w:pPr>
              <w:spacing w:line="240" w:lineRule="auto"/>
              <w:ind w:firstLine="0"/>
              <w:jc w:val="left"/>
              <w:rPr>
                <w:rFonts w:ascii="Times New Roman" w:hAnsi="Times New Roman"/>
                <w:sz w:val="20"/>
                <w:szCs w:val="20"/>
              </w:rPr>
            </w:pPr>
            <w:r w:rsidRPr="00187567">
              <w:rPr>
                <w:rFonts w:ascii="Times New Roman" w:hAnsi="Times New Roman"/>
                <w:sz w:val="20"/>
                <w:szCs w:val="20"/>
              </w:rPr>
              <w:t>HUD 50058</w:t>
            </w:r>
          </w:p>
          <w:p w:rsidR="00BE1C4C" w:rsidRPr="00187567" w:rsidRDefault="00BE1C4C" w:rsidP="00BE1C4C">
            <w:pPr>
              <w:spacing w:line="240" w:lineRule="auto"/>
              <w:ind w:firstLine="0"/>
              <w:jc w:val="left"/>
              <w:rPr>
                <w:rFonts w:ascii="Times New Roman" w:hAnsi="Times New Roman"/>
                <w:sz w:val="20"/>
                <w:szCs w:val="20"/>
              </w:rPr>
            </w:pPr>
          </w:p>
        </w:tc>
      </w:tr>
      <w:tr w:rsidR="00BE1C4C" w:rsidRPr="00187567" w:rsidTr="00BE1C4C">
        <w:tc>
          <w:tcPr>
            <w:tcW w:w="5058" w:type="dxa"/>
            <w:shd w:val="clear" w:color="auto" w:fill="auto"/>
          </w:tcPr>
          <w:p w:rsidR="00BE1C4C" w:rsidRPr="00187567" w:rsidRDefault="00BE1C4C" w:rsidP="00BE1C4C">
            <w:pPr>
              <w:spacing w:line="240" w:lineRule="auto"/>
              <w:ind w:firstLine="0"/>
              <w:contextualSpacing/>
              <w:jc w:val="left"/>
              <w:rPr>
                <w:rFonts w:ascii="Times New Roman" w:hAnsi="Times New Roman"/>
                <w:bCs/>
                <w:iCs/>
                <w:sz w:val="20"/>
                <w:szCs w:val="20"/>
              </w:rPr>
            </w:pPr>
            <w:r>
              <w:rPr>
                <w:rFonts w:ascii="Times New Roman" w:hAnsi="Times New Roman"/>
                <w:bCs/>
                <w:iCs/>
                <w:sz w:val="20"/>
                <w:szCs w:val="20"/>
              </w:rPr>
              <w:t>Frequency of moves</w:t>
            </w:r>
          </w:p>
        </w:tc>
        <w:tc>
          <w:tcPr>
            <w:tcW w:w="3960" w:type="dxa"/>
            <w:shd w:val="clear" w:color="auto" w:fill="auto"/>
          </w:tcPr>
          <w:p w:rsidR="00BE1C4C" w:rsidRPr="00187567" w:rsidRDefault="00BE1C4C" w:rsidP="00BE1C4C">
            <w:pPr>
              <w:spacing w:line="240" w:lineRule="auto"/>
              <w:ind w:firstLine="0"/>
              <w:contextualSpacing/>
              <w:jc w:val="left"/>
              <w:rPr>
                <w:rFonts w:ascii="Times New Roman" w:hAnsi="Times New Roman"/>
                <w:sz w:val="20"/>
                <w:szCs w:val="20"/>
              </w:rPr>
            </w:pPr>
            <w:r w:rsidRPr="00187567">
              <w:rPr>
                <w:rFonts w:ascii="Times New Roman" w:hAnsi="Times New Roman"/>
                <w:sz w:val="20"/>
                <w:szCs w:val="20"/>
              </w:rPr>
              <w:t>HUD 50058</w:t>
            </w:r>
          </w:p>
          <w:p w:rsidR="00BE1C4C" w:rsidRPr="00187567" w:rsidRDefault="00BE1C4C" w:rsidP="00BE1C4C">
            <w:pPr>
              <w:spacing w:line="240" w:lineRule="auto"/>
              <w:ind w:firstLine="0"/>
              <w:contextualSpacing/>
              <w:jc w:val="left"/>
              <w:rPr>
                <w:rFonts w:ascii="Times New Roman" w:hAnsi="Times New Roman"/>
                <w:sz w:val="20"/>
                <w:szCs w:val="20"/>
              </w:rPr>
            </w:pPr>
          </w:p>
        </w:tc>
      </w:tr>
    </w:tbl>
    <w:p w:rsidR="00BE1C4C" w:rsidRDefault="00BE1C4C">
      <w:pPr>
        <w:tabs>
          <w:tab w:val="clear" w:pos="432"/>
        </w:tabs>
        <w:spacing w:line="240" w:lineRule="auto"/>
        <w:ind w:firstLine="0"/>
        <w:jc w:val="left"/>
        <w:rPr>
          <w:rFonts w:ascii="Times New Roman" w:hAnsi="Times New Roman"/>
        </w:rPr>
      </w:pPr>
    </w:p>
    <w:p w:rsidR="00F70801" w:rsidRPr="006F470B" w:rsidRDefault="00F70801" w:rsidP="00C33231">
      <w:pPr>
        <w:pStyle w:val="Default"/>
        <w:widowControl w:val="0"/>
        <w:rPr>
          <w:rFonts w:ascii="Times New Roman" w:hAnsi="Times New Roman" w:cs="Times New Roman"/>
          <w:highlight w:val="yellow"/>
        </w:rPr>
      </w:pPr>
    </w:p>
    <w:p w:rsidR="00086398" w:rsidRDefault="00D84C8E" w:rsidP="00F66D8F">
      <w:pPr>
        <w:pStyle w:val="Default"/>
        <w:widowControl w:val="0"/>
        <w:rPr>
          <w:rFonts w:ascii="Times New Roman" w:hAnsi="Times New Roman" w:cs="Times New Roman"/>
        </w:rPr>
      </w:pPr>
      <w:r w:rsidRPr="00617C58">
        <w:rPr>
          <w:rFonts w:ascii="Times New Roman" w:hAnsi="Times New Roman" w:cs="Times New Roman"/>
        </w:rPr>
        <w:t xml:space="preserve">Through these various data sources, the analysis will address the types of topics listed above. The analysis will take a comparative approach, examining the similarities and differences across </w:t>
      </w:r>
      <w:r w:rsidR="00A658DA">
        <w:rPr>
          <w:rFonts w:ascii="Times New Roman" w:hAnsi="Times New Roman" w:cs="Times New Roman"/>
        </w:rPr>
        <w:t>PHAs</w:t>
      </w:r>
      <w:r w:rsidRPr="00617C58">
        <w:rPr>
          <w:rFonts w:ascii="Times New Roman" w:hAnsi="Times New Roman" w:cs="Times New Roman"/>
        </w:rPr>
        <w:t xml:space="preserve"> in how they structure and </w:t>
      </w:r>
      <w:r w:rsidR="00287A55" w:rsidRPr="00617C58">
        <w:rPr>
          <w:rFonts w:ascii="Times New Roman" w:hAnsi="Times New Roman" w:cs="Times New Roman"/>
        </w:rPr>
        <w:t>implement the alternative rent policy. (Additional details about the analytic approach are outlined in Supporting Statement B</w:t>
      </w:r>
      <w:r w:rsidR="00F851B8" w:rsidRPr="00617C58">
        <w:rPr>
          <w:rFonts w:ascii="Times New Roman" w:hAnsi="Times New Roman" w:cs="Times New Roman"/>
        </w:rPr>
        <w:t>)</w:t>
      </w:r>
      <w:r w:rsidR="00287A55" w:rsidRPr="00617C58">
        <w:rPr>
          <w:rFonts w:ascii="Times New Roman" w:hAnsi="Times New Roman" w:cs="Times New Roman"/>
        </w:rPr>
        <w:t xml:space="preserve">. </w:t>
      </w:r>
    </w:p>
    <w:p w:rsidR="00AD1687" w:rsidRDefault="00AD1687">
      <w:pPr>
        <w:tabs>
          <w:tab w:val="clear" w:pos="432"/>
        </w:tabs>
        <w:spacing w:line="240" w:lineRule="auto"/>
        <w:ind w:firstLine="0"/>
        <w:jc w:val="left"/>
        <w:rPr>
          <w:rFonts w:ascii="Times New Roman" w:eastAsia="Calibri" w:hAnsi="Times New Roman"/>
          <w:color w:val="000000"/>
        </w:rPr>
      </w:pPr>
      <w:r>
        <w:rPr>
          <w:rFonts w:ascii="Times New Roman" w:hAnsi="Times New Roman"/>
        </w:rPr>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61"/>
        <w:gridCol w:w="2111"/>
        <w:gridCol w:w="6804"/>
      </w:tblGrid>
      <w:tr w:rsidR="005F1B55" w:rsidRPr="005F1B55" w:rsidTr="005F1B55">
        <w:trPr>
          <w:trHeight w:val="520"/>
          <w:jc w:val="center"/>
        </w:trPr>
        <w:tc>
          <w:tcPr>
            <w:tcW w:w="9576" w:type="dxa"/>
            <w:gridSpan w:val="3"/>
            <w:tcBorders>
              <w:top w:val="nil"/>
              <w:left w:val="nil"/>
              <w:bottom w:val="single" w:sz="4" w:space="0" w:color="auto"/>
              <w:right w:val="nil"/>
            </w:tcBorders>
            <w:vAlign w:val="center"/>
            <w:hideMark/>
          </w:tcPr>
          <w:p w:rsidR="005F1B55" w:rsidRPr="005F1B55" w:rsidRDefault="005F1B55" w:rsidP="005F1B55">
            <w:pPr>
              <w:tabs>
                <w:tab w:val="clear" w:pos="432"/>
              </w:tabs>
              <w:spacing w:line="240" w:lineRule="auto"/>
              <w:ind w:firstLine="0"/>
              <w:jc w:val="center"/>
              <w:rPr>
                <w:rFonts w:ascii="Times New Roman" w:eastAsia="Calibri" w:hAnsi="Times New Roman"/>
                <w:b/>
              </w:rPr>
            </w:pPr>
            <w:r w:rsidRPr="005F1B55">
              <w:rPr>
                <w:rFonts w:ascii="Times New Roman" w:eastAsia="Calibri" w:hAnsi="Times New Roman"/>
                <w:b/>
              </w:rPr>
              <w:lastRenderedPageBreak/>
              <w:t xml:space="preserve">Table </w:t>
            </w:r>
            <w:r>
              <w:rPr>
                <w:rFonts w:ascii="Times New Roman" w:eastAsia="Calibri" w:hAnsi="Times New Roman"/>
                <w:b/>
              </w:rPr>
              <w:t>2</w:t>
            </w:r>
            <w:r w:rsidRPr="005F1B55">
              <w:rPr>
                <w:rFonts w:ascii="Times New Roman" w:eastAsia="Calibri" w:hAnsi="Times New Roman"/>
                <w:b/>
              </w:rPr>
              <w:t>: Data Sources</w:t>
            </w:r>
          </w:p>
        </w:tc>
      </w:tr>
      <w:tr w:rsidR="005F1B55" w:rsidRPr="005F1B55" w:rsidTr="005F1B55">
        <w:trPr>
          <w:trHeight w:val="449"/>
          <w:jc w:val="center"/>
        </w:trPr>
        <w:tc>
          <w:tcPr>
            <w:tcW w:w="2772" w:type="dxa"/>
            <w:gridSpan w:val="2"/>
            <w:tcBorders>
              <w:top w:val="single" w:sz="4" w:space="0" w:color="auto"/>
              <w:left w:val="single" w:sz="8" w:space="0" w:color="auto"/>
              <w:bottom w:val="single" w:sz="4" w:space="0" w:color="auto"/>
              <w:right w:val="single" w:sz="4" w:space="0" w:color="auto"/>
            </w:tcBorders>
            <w:shd w:val="clear" w:color="auto" w:fill="D9D9D9"/>
            <w:vAlign w:val="center"/>
            <w:hideMark/>
          </w:tcPr>
          <w:p w:rsidR="005F1B55" w:rsidRPr="005F1B55" w:rsidRDefault="005F1B55" w:rsidP="005F1B55">
            <w:pPr>
              <w:tabs>
                <w:tab w:val="clear" w:pos="432"/>
              </w:tabs>
              <w:spacing w:line="240" w:lineRule="auto"/>
              <w:ind w:firstLine="0"/>
              <w:jc w:val="center"/>
              <w:rPr>
                <w:rFonts w:ascii="Times New Roman" w:eastAsia="Calibri" w:hAnsi="Times New Roman"/>
                <w:b/>
                <w:sz w:val="20"/>
                <w:szCs w:val="20"/>
              </w:rPr>
            </w:pPr>
            <w:r w:rsidRPr="005F1B55">
              <w:rPr>
                <w:rFonts w:ascii="Times New Roman" w:eastAsia="Calibri" w:hAnsi="Times New Roman"/>
                <w:b/>
                <w:sz w:val="20"/>
                <w:szCs w:val="20"/>
              </w:rPr>
              <w:t>DATA TYPE</w:t>
            </w:r>
          </w:p>
        </w:tc>
        <w:tc>
          <w:tcPr>
            <w:tcW w:w="6804" w:type="dxa"/>
            <w:tcBorders>
              <w:top w:val="single" w:sz="4" w:space="0" w:color="auto"/>
              <w:left w:val="single" w:sz="4" w:space="0" w:color="auto"/>
              <w:bottom w:val="single" w:sz="4" w:space="0" w:color="auto"/>
              <w:right w:val="single" w:sz="8" w:space="0" w:color="auto"/>
            </w:tcBorders>
            <w:shd w:val="clear" w:color="auto" w:fill="D9D9D9"/>
            <w:vAlign w:val="center"/>
            <w:hideMark/>
          </w:tcPr>
          <w:p w:rsidR="005F1B55" w:rsidRPr="005F1B55" w:rsidRDefault="005F1B55" w:rsidP="005F1B55">
            <w:pPr>
              <w:tabs>
                <w:tab w:val="clear" w:pos="432"/>
              </w:tabs>
              <w:spacing w:line="240" w:lineRule="auto"/>
              <w:ind w:firstLine="0"/>
              <w:jc w:val="center"/>
              <w:rPr>
                <w:rFonts w:ascii="Times New Roman" w:eastAsia="Calibri" w:hAnsi="Times New Roman"/>
                <w:b/>
                <w:sz w:val="20"/>
                <w:szCs w:val="20"/>
              </w:rPr>
            </w:pPr>
            <w:r w:rsidRPr="005F1B55">
              <w:rPr>
                <w:rFonts w:ascii="Times New Roman" w:eastAsia="Calibri" w:hAnsi="Times New Roman"/>
                <w:b/>
                <w:sz w:val="20"/>
                <w:szCs w:val="20"/>
              </w:rPr>
              <w:t>DATA SOURCE</w:t>
            </w:r>
          </w:p>
        </w:tc>
      </w:tr>
      <w:tr w:rsidR="005F1B55" w:rsidRPr="005F1B55" w:rsidTr="005F1B55">
        <w:trPr>
          <w:trHeight w:val="350"/>
          <w:jc w:val="center"/>
        </w:trPr>
        <w:tc>
          <w:tcPr>
            <w:tcW w:w="2772" w:type="dxa"/>
            <w:gridSpan w:val="2"/>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b/>
                <w:sz w:val="20"/>
                <w:szCs w:val="20"/>
              </w:rPr>
              <w:t xml:space="preserve">Baseline Characteristics </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MDRC Baseline Information System</w:t>
            </w:r>
          </w:p>
        </w:tc>
      </w:tr>
      <w:tr w:rsidR="005F1B55" w:rsidRPr="005F1B55" w:rsidTr="005F1B55">
        <w:trPr>
          <w:trHeight w:val="395"/>
          <w:jc w:val="center"/>
        </w:trPr>
        <w:tc>
          <w:tcPr>
            <w:tcW w:w="2772" w:type="dxa"/>
            <w:gridSpan w:val="2"/>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b/>
                <w:sz w:val="20"/>
                <w:szCs w:val="20"/>
              </w:rPr>
              <w:t>50058 baseline from</w:t>
            </w:r>
            <w:r w:rsidR="006E419F">
              <w:rPr>
                <w:rFonts w:ascii="Times New Roman" w:eastAsia="Calibri" w:hAnsi="Times New Roman"/>
                <w:b/>
                <w:sz w:val="20"/>
                <w:szCs w:val="20"/>
              </w:rPr>
              <w:t xml:space="preserve"> PHA </w:t>
            </w:r>
            <w:r w:rsidRPr="005F1B55">
              <w:rPr>
                <w:rFonts w:ascii="Times New Roman" w:eastAsia="Calibri" w:hAnsi="Times New Roman"/>
                <w:b/>
                <w:sz w:val="20"/>
                <w:szCs w:val="20"/>
              </w:rPr>
              <w:t>data</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Housing Authority (DCHA, LHA, LMHA, SAHA)</w:t>
            </w:r>
          </w:p>
        </w:tc>
      </w:tr>
      <w:tr w:rsidR="005F1B55" w:rsidRPr="005F1B55" w:rsidTr="005F1B55">
        <w:trPr>
          <w:trHeight w:val="350"/>
          <w:jc w:val="center"/>
        </w:trPr>
        <w:tc>
          <w:tcPr>
            <w:tcW w:w="2772" w:type="dxa"/>
            <w:gridSpan w:val="2"/>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b/>
                <w:sz w:val="20"/>
                <w:szCs w:val="20"/>
              </w:rPr>
              <w:t>Housing Authority Data</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Housing Authority (DCHA, LHA, LMHA, SAHA)</w:t>
            </w:r>
          </w:p>
        </w:tc>
      </w:tr>
      <w:tr w:rsidR="005F1B55" w:rsidRPr="005F1B55" w:rsidTr="005F1B55">
        <w:trPr>
          <w:trHeight w:val="395"/>
          <w:jc w:val="center"/>
        </w:trPr>
        <w:tc>
          <w:tcPr>
            <w:tcW w:w="661" w:type="dxa"/>
            <w:vMerge w:val="restart"/>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b/>
                <w:sz w:val="20"/>
                <w:szCs w:val="20"/>
              </w:rPr>
              <w:t>HUD Data</w:t>
            </w:r>
          </w:p>
        </w:tc>
        <w:tc>
          <w:tcPr>
            <w:tcW w:w="2111" w:type="dxa"/>
            <w:tcBorders>
              <w:top w:val="single" w:sz="4" w:space="0" w:color="auto"/>
              <w:left w:val="single" w:sz="4"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b/>
                <w:sz w:val="20"/>
                <w:szCs w:val="20"/>
              </w:rPr>
              <w:t>Port out info</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HUD</w:t>
            </w:r>
          </w:p>
        </w:tc>
      </w:tr>
      <w:tr w:rsidR="005F1B55" w:rsidRPr="005F1B55" w:rsidTr="005F1B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left="90" w:hanging="90"/>
              <w:jc w:val="left"/>
              <w:rPr>
                <w:rFonts w:ascii="Times New Roman" w:eastAsia="Calibri" w:hAnsi="Times New Roman"/>
                <w:b/>
                <w:sz w:val="20"/>
                <w:szCs w:val="20"/>
              </w:rPr>
            </w:pPr>
            <w:r w:rsidRPr="005F1B55">
              <w:rPr>
                <w:rFonts w:ascii="Times New Roman" w:eastAsia="Calibri" w:hAnsi="Times New Roman"/>
                <w:b/>
                <w:sz w:val="20"/>
                <w:szCs w:val="20"/>
              </w:rPr>
              <w:t>All HCV households in the US</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HUD</w:t>
            </w:r>
          </w:p>
        </w:tc>
      </w:tr>
      <w:tr w:rsidR="005F1B55" w:rsidRPr="005F1B55" w:rsidTr="005F1B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left="90" w:hanging="90"/>
              <w:jc w:val="left"/>
              <w:rPr>
                <w:rFonts w:ascii="Times New Roman" w:eastAsia="Calibri" w:hAnsi="Times New Roman"/>
                <w:b/>
                <w:sz w:val="20"/>
                <w:szCs w:val="20"/>
              </w:rPr>
            </w:pPr>
            <w:r w:rsidRPr="005F1B55">
              <w:rPr>
                <w:rFonts w:ascii="Times New Roman" w:eastAsia="Calibri" w:hAnsi="Times New Roman"/>
                <w:b/>
                <w:sz w:val="20"/>
                <w:szCs w:val="20"/>
              </w:rPr>
              <w:t>Data for updated modeling</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HUD</w:t>
            </w:r>
          </w:p>
        </w:tc>
      </w:tr>
      <w:tr w:rsidR="005F1B55" w:rsidRPr="005F1B55" w:rsidTr="005F1B55">
        <w:trPr>
          <w:trHeight w:val="647"/>
          <w:jc w:val="center"/>
        </w:trPr>
        <w:tc>
          <w:tcPr>
            <w:tcW w:w="2772" w:type="dxa"/>
            <w:gridSpan w:val="2"/>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b/>
                <w:sz w:val="20"/>
                <w:szCs w:val="20"/>
              </w:rPr>
              <w:t>Employment and Earnings from NDNH</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Office of Child Support Enforcement</w:t>
            </w:r>
          </w:p>
        </w:tc>
      </w:tr>
      <w:tr w:rsidR="005F1B55" w:rsidRPr="005F1B55" w:rsidTr="005F1B55">
        <w:trPr>
          <w:jc w:val="center"/>
        </w:trPr>
        <w:tc>
          <w:tcPr>
            <w:tcW w:w="2772" w:type="dxa"/>
            <w:gridSpan w:val="2"/>
            <w:tcBorders>
              <w:top w:val="single" w:sz="4" w:space="0" w:color="auto"/>
              <w:left w:val="single" w:sz="8" w:space="0" w:color="auto"/>
              <w:bottom w:val="single" w:sz="4"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b/>
                <w:sz w:val="20"/>
                <w:szCs w:val="20"/>
              </w:rPr>
              <w:t>TANF and  SNAP</w:t>
            </w:r>
          </w:p>
        </w:tc>
        <w:tc>
          <w:tcPr>
            <w:tcW w:w="6804" w:type="dxa"/>
            <w:tcBorders>
              <w:top w:val="single" w:sz="4" w:space="0" w:color="auto"/>
              <w:left w:val="single" w:sz="4" w:space="0" w:color="auto"/>
              <w:bottom w:val="single" w:sz="4"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 xml:space="preserve">DC Department of Human Services; </w:t>
            </w:r>
          </w:p>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Kentucky Cabinet for Health and Human Services - Division of Family Support;</w:t>
            </w:r>
          </w:p>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 xml:space="preserve">Texas Health and Human Services Commission </w:t>
            </w:r>
          </w:p>
        </w:tc>
      </w:tr>
      <w:tr w:rsidR="005F1B55" w:rsidRPr="005F1B55" w:rsidTr="005F1B55">
        <w:trPr>
          <w:jc w:val="center"/>
        </w:trPr>
        <w:tc>
          <w:tcPr>
            <w:tcW w:w="2772" w:type="dxa"/>
            <w:gridSpan w:val="2"/>
            <w:tcBorders>
              <w:top w:val="single" w:sz="4" w:space="0" w:color="auto"/>
              <w:left w:val="single" w:sz="8" w:space="0" w:color="auto"/>
              <w:bottom w:val="single" w:sz="8" w:space="0" w:color="auto"/>
              <w:right w:val="single" w:sz="4" w:space="0" w:color="auto"/>
            </w:tcBorders>
            <w:vAlign w:val="center"/>
            <w:hideMark/>
          </w:tcPr>
          <w:p w:rsidR="005F1B55" w:rsidRPr="005F1B55" w:rsidRDefault="005F1B55" w:rsidP="005F1B55">
            <w:pPr>
              <w:tabs>
                <w:tab w:val="clear" w:pos="432"/>
              </w:tabs>
              <w:spacing w:line="240" w:lineRule="auto"/>
              <w:ind w:firstLine="0"/>
              <w:jc w:val="left"/>
              <w:rPr>
                <w:rFonts w:ascii="Times New Roman" w:eastAsia="Calibri" w:hAnsi="Times New Roman"/>
                <w:b/>
                <w:sz w:val="20"/>
                <w:szCs w:val="20"/>
              </w:rPr>
            </w:pPr>
            <w:r w:rsidRPr="005F1B55">
              <w:rPr>
                <w:rFonts w:ascii="Times New Roman" w:eastAsia="Calibri" w:hAnsi="Times New Roman"/>
                <w:sz w:val="20"/>
                <w:szCs w:val="20"/>
              </w:rPr>
              <w:t>Homeless Management Information Systems (</w:t>
            </w:r>
            <w:r w:rsidRPr="005F1B55">
              <w:rPr>
                <w:rFonts w:ascii="Times New Roman" w:eastAsia="Calibri" w:hAnsi="Times New Roman"/>
                <w:b/>
                <w:sz w:val="20"/>
                <w:szCs w:val="20"/>
              </w:rPr>
              <w:t>HMIS)</w:t>
            </w:r>
          </w:p>
        </w:tc>
        <w:tc>
          <w:tcPr>
            <w:tcW w:w="6804" w:type="dxa"/>
            <w:tcBorders>
              <w:top w:val="single" w:sz="4" w:space="0" w:color="auto"/>
              <w:left w:val="single" w:sz="4" w:space="0" w:color="auto"/>
              <w:bottom w:val="single" w:sz="8" w:space="0" w:color="auto"/>
              <w:right w:val="single" w:sz="8" w:space="0" w:color="auto"/>
            </w:tcBorders>
            <w:hideMark/>
          </w:tcPr>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Kentucky Housing Corporation;</w:t>
            </w:r>
          </w:p>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The Community Partnership for the Prevention of Homelessness (DC);</w:t>
            </w:r>
          </w:p>
          <w:p w:rsidR="005F1B55" w:rsidRPr="005F1B55" w:rsidRDefault="005F1B55" w:rsidP="005F1B55">
            <w:pPr>
              <w:tabs>
                <w:tab w:val="clear" w:pos="432"/>
              </w:tabs>
              <w:spacing w:line="240" w:lineRule="auto"/>
              <w:ind w:firstLine="0"/>
              <w:jc w:val="left"/>
              <w:rPr>
                <w:rFonts w:ascii="Times New Roman" w:eastAsia="Calibri" w:hAnsi="Times New Roman"/>
                <w:sz w:val="20"/>
                <w:szCs w:val="20"/>
              </w:rPr>
            </w:pPr>
            <w:r w:rsidRPr="005F1B55">
              <w:rPr>
                <w:rFonts w:ascii="Times New Roman" w:eastAsia="Calibri" w:hAnsi="Times New Roman"/>
                <w:sz w:val="20"/>
                <w:szCs w:val="20"/>
              </w:rPr>
              <w:t>Haven for Hope (San Antonio)</w:t>
            </w:r>
          </w:p>
        </w:tc>
      </w:tr>
    </w:tbl>
    <w:p w:rsidR="003E76EE" w:rsidRDefault="003E76EE" w:rsidP="00F66D8F">
      <w:pPr>
        <w:pStyle w:val="Default"/>
        <w:widowControl w:val="0"/>
        <w:rPr>
          <w:rFonts w:ascii="Times New Roman" w:hAnsi="Times New Roman" w:cs="Times New Roman"/>
        </w:rPr>
      </w:pPr>
    </w:p>
    <w:p w:rsidR="00B776D6" w:rsidRDefault="00B776D6" w:rsidP="00F66D8F">
      <w:pPr>
        <w:pStyle w:val="Default"/>
        <w:widowControl w:val="0"/>
        <w:rPr>
          <w:rFonts w:ascii="Times New Roman" w:hAnsi="Times New Roman" w:cs="Times New Roman"/>
        </w:rPr>
      </w:pPr>
    </w:p>
    <w:p w:rsidR="00B776D6" w:rsidRDefault="00B776D6" w:rsidP="00F66D8F">
      <w:pPr>
        <w:pStyle w:val="Default"/>
        <w:widowControl w:val="0"/>
        <w:rPr>
          <w:rFonts w:ascii="Times New Roman" w:hAnsi="Times New Roman"/>
        </w:rPr>
      </w:pPr>
      <w:r w:rsidRPr="00913A2F">
        <w:rPr>
          <w:rFonts w:ascii="Times New Roman" w:hAnsi="Times New Roman"/>
          <w:b/>
        </w:rPr>
        <w:t>HUD 50058 data and other housing data</w:t>
      </w:r>
      <w:r w:rsidRPr="00B776D6">
        <w:rPr>
          <w:rFonts w:ascii="Times New Roman" w:hAnsi="Times New Roman"/>
        </w:rPr>
        <w:t xml:space="preserve">:  MDRC will collect data recorded from HUD MTW </w:t>
      </w:r>
      <w:r w:rsidRPr="00913A2F">
        <w:rPr>
          <w:rFonts w:ascii="Times New Roman" w:hAnsi="Times New Roman"/>
        </w:rPr>
        <w:t>50058 forms directly from the housing agencies</w:t>
      </w:r>
      <w:r w:rsidR="00913A2F">
        <w:rPr>
          <w:rFonts w:ascii="Times New Roman" w:hAnsi="Times New Roman"/>
        </w:rPr>
        <w:t>.</w:t>
      </w:r>
      <w:r>
        <w:rPr>
          <w:rFonts w:ascii="Times New Roman" w:hAnsi="Times New Roman"/>
        </w:rPr>
        <w:t xml:space="preserve"> </w:t>
      </w:r>
      <w:r w:rsidRPr="00B776D6">
        <w:rPr>
          <w:rFonts w:ascii="Times New Roman" w:hAnsi="Times New Roman"/>
        </w:rPr>
        <w:t>All voucher households enrolled in the study will complete or update a 50058 form as part of their redetermination interview at the beginning of the study. Where possible, we will use 50058 data from 1-3 years prior to random assignment to supplement data collected at random assignment and to describe voucher household characteristics and their monthly rent to owner and estimated TTP. Data from later extracts will be used to track changes in tenants’ reported income, rent to owner</w:t>
      </w:r>
      <w:r w:rsidR="00AD1687">
        <w:rPr>
          <w:rFonts w:ascii="Times New Roman" w:hAnsi="Times New Roman"/>
        </w:rPr>
        <w:t>,</w:t>
      </w:r>
      <w:r w:rsidRPr="00B776D6">
        <w:rPr>
          <w:rFonts w:ascii="Times New Roman" w:hAnsi="Times New Roman"/>
        </w:rPr>
        <w:t xml:space="preserve"> and receipt of vouchers over the course of the follow-up period. In addition to the 50058 data, we will also collect data from the PHA’s internal reporting systems that are not available in the 50058 data, such as total HAP, actual TTP, </w:t>
      </w:r>
      <w:r w:rsidR="004E6D18">
        <w:rPr>
          <w:rFonts w:ascii="Times New Roman" w:hAnsi="Times New Roman"/>
        </w:rPr>
        <w:t xml:space="preserve">use of interim </w:t>
      </w:r>
      <w:proofErr w:type="spellStart"/>
      <w:r w:rsidR="004E6D18">
        <w:rPr>
          <w:rFonts w:ascii="Times New Roman" w:hAnsi="Times New Roman"/>
        </w:rPr>
        <w:t>recertifications</w:t>
      </w:r>
      <w:proofErr w:type="spellEnd"/>
      <w:r w:rsidR="004E6D18">
        <w:rPr>
          <w:rFonts w:ascii="Times New Roman" w:hAnsi="Times New Roman"/>
        </w:rPr>
        <w:t xml:space="preserve">, </w:t>
      </w:r>
      <w:r w:rsidRPr="00B776D6">
        <w:rPr>
          <w:rFonts w:ascii="Times New Roman" w:hAnsi="Times New Roman"/>
        </w:rPr>
        <w:t>reason for termination</w:t>
      </w:r>
      <w:r w:rsidR="004E6D18">
        <w:rPr>
          <w:rFonts w:ascii="Times New Roman" w:hAnsi="Times New Roman"/>
        </w:rPr>
        <w:t>, and hardship exemptions</w:t>
      </w:r>
      <w:r w:rsidRPr="00B776D6">
        <w:rPr>
          <w:rFonts w:ascii="Times New Roman" w:hAnsi="Times New Roman"/>
        </w:rPr>
        <w:t xml:space="preserve">. For </w:t>
      </w:r>
      <w:r w:rsidR="004E6D18">
        <w:rPr>
          <w:rFonts w:ascii="Times New Roman" w:hAnsi="Times New Roman"/>
        </w:rPr>
        <w:t>the Rent Reform rules group</w:t>
      </w:r>
      <w:r w:rsidRPr="00B776D6">
        <w:rPr>
          <w:rFonts w:ascii="Times New Roman" w:hAnsi="Times New Roman"/>
        </w:rPr>
        <w:t>, we will collect additional information on their use of the grace period</w:t>
      </w:r>
      <w:proofErr w:type="gramStart"/>
      <w:r w:rsidRPr="00B776D6">
        <w:rPr>
          <w:rFonts w:ascii="Times New Roman" w:hAnsi="Times New Roman"/>
        </w:rPr>
        <w:t>,  as</w:t>
      </w:r>
      <w:proofErr w:type="gramEnd"/>
      <w:r w:rsidRPr="00B776D6">
        <w:rPr>
          <w:rFonts w:ascii="Times New Roman" w:hAnsi="Times New Roman"/>
        </w:rPr>
        <w:t xml:space="preserve"> well as retrospective income. MDRC is working with the housing authorities to identify changes that will be required to their existing software.  Data will be collected directly from HUD to describe the HCV national population, estimate 50058 data for households who port out, update the national modeling analysis, and possibly to enable geographic analysis.   </w:t>
      </w:r>
    </w:p>
    <w:p w:rsidR="004E6D18" w:rsidRDefault="004E6D18" w:rsidP="00F66D8F">
      <w:pPr>
        <w:pStyle w:val="Default"/>
        <w:widowControl w:val="0"/>
        <w:rPr>
          <w:rFonts w:ascii="Times New Roman" w:hAnsi="Times New Roman"/>
        </w:rPr>
      </w:pPr>
    </w:p>
    <w:p w:rsidR="00B776D6" w:rsidRPr="00B776D6" w:rsidRDefault="00B776D6" w:rsidP="00B776D6">
      <w:pPr>
        <w:pStyle w:val="Default"/>
        <w:widowControl w:val="0"/>
        <w:rPr>
          <w:rFonts w:ascii="Times New Roman" w:hAnsi="Times New Roman"/>
        </w:rPr>
      </w:pPr>
      <w:r w:rsidRPr="00B776D6">
        <w:rPr>
          <w:rFonts w:ascii="Times New Roman" w:hAnsi="Times New Roman"/>
          <w:b/>
        </w:rPr>
        <w:t>Non-Housing Administrative Records</w:t>
      </w:r>
      <w:r w:rsidRPr="00B776D6">
        <w:rPr>
          <w:rFonts w:ascii="Times New Roman" w:hAnsi="Times New Roman"/>
        </w:rPr>
        <w:t xml:space="preserve">:  HUD’s interest in tracking employment and earnings information of those in the Rent Reform Demonstration can be accomplished directly through agreement with the state labor agency, indirectly through the local housing authority, or via the National Directory of New Hires (NDNH). The NDNH is a national database of wage and employment information that was established pursuant to the Personal Responsibility and Work Opportunity Reconciliation Act of 1996 (PRWORA).  As the central location for earnings and employment data, NDNH data offers advantages over seeking data from separate state labor or employment agencies. MDRC and HUD </w:t>
      </w:r>
      <w:r w:rsidR="004E6D18">
        <w:rPr>
          <w:rFonts w:ascii="Times New Roman" w:hAnsi="Times New Roman"/>
        </w:rPr>
        <w:t>are</w:t>
      </w:r>
      <w:r w:rsidR="004E6D18" w:rsidRPr="00B776D6">
        <w:rPr>
          <w:rFonts w:ascii="Times New Roman" w:hAnsi="Times New Roman"/>
        </w:rPr>
        <w:t xml:space="preserve"> </w:t>
      </w:r>
      <w:r w:rsidRPr="00B776D6">
        <w:rPr>
          <w:rFonts w:ascii="Times New Roman" w:hAnsi="Times New Roman"/>
        </w:rPr>
        <w:t xml:space="preserve">exploring this preferred data option. </w:t>
      </w:r>
    </w:p>
    <w:p w:rsidR="00B776D6" w:rsidRPr="00B776D6" w:rsidRDefault="00B776D6" w:rsidP="00B776D6">
      <w:pPr>
        <w:pStyle w:val="Default"/>
        <w:widowControl w:val="0"/>
        <w:rPr>
          <w:rFonts w:ascii="Times New Roman" w:hAnsi="Times New Roman"/>
        </w:rPr>
      </w:pPr>
    </w:p>
    <w:p w:rsidR="00B776D6" w:rsidRDefault="00B776D6" w:rsidP="00B776D6">
      <w:pPr>
        <w:pStyle w:val="Default"/>
        <w:widowControl w:val="0"/>
        <w:rPr>
          <w:rFonts w:ascii="Times New Roman" w:hAnsi="Times New Roman"/>
        </w:rPr>
      </w:pPr>
      <w:r w:rsidRPr="00B776D6">
        <w:rPr>
          <w:rFonts w:ascii="Times New Roman" w:hAnsi="Times New Roman"/>
        </w:rPr>
        <w:t>In addition, other data sources, such as administrative data on TANF, SNAP</w:t>
      </w:r>
      <w:r w:rsidR="005A3450">
        <w:rPr>
          <w:rFonts w:ascii="Times New Roman" w:hAnsi="Times New Roman"/>
        </w:rPr>
        <w:t xml:space="preserve">, and homelessness (HMIS data) </w:t>
      </w:r>
      <w:r w:rsidRPr="00B776D6">
        <w:rPr>
          <w:rFonts w:ascii="Times New Roman" w:hAnsi="Times New Roman"/>
        </w:rPr>
        <w:t xml:space="preserve">will also be collected. The data collection methods will vary in form, intensity, and duration, based on (1) how each agency organizes and extracts the data; and (2) whether MDRC has had prior experience in collecting these data for previous and ongoing studies.  </w:t>
      </w:r>
    </w:p>
    <w:p w:rsidR="005A3450" w:rsidRDefault="005A3450" w:rsidP="00B776D6">
      <w:pPr>
        <w:pStyle w:val="Default"/>
        <w:widowControl w:val="0"/>
        <w:rPr>
          <w:rFonts w:ascii="Times New Roman" w:hAnsi="Times New Roman"/>
        </w:rPr>
      </w:pPr>
    </w:p>
    <w:p w:rsidR="005A3450" w:rsidRPr="005A3450" w:rsidRDefault="005A3450" w:rsidP="005A3450">
      <w:pPr>
        <w:pStyle w:val="Default"/>
        <w:widowControl w:val="0"/>
        <w:rPr>
          <w:rFonts w:ascii="Times New Roman" w:hAnsi="Times New Roman"/>
        </w:rPr>
      </w:pPr>
      <w:r w:rsidRPr="005A3450">
        <w:rPr>
          <w:rFonts w:ascii="Times New Roman" w:hAnsi="Times New Roman"/>
          <w:b/>
        </w:rPr>
        <w:t>PHA financial data</w:t>
      </w:r>
      <w:r w:rsidRPr="005A3450">
        <w:rPr>
          <w:rFonts w:ascii="Times New Roman" w:hAnsi="Times New Roman"/>
        </w:rPr>
        <w:t xml:space="preserve">:  In order to build accurate estimates of the costs incurred by PHAs to administer the alternative rent policy compared with the current policy, MDRC will collect and analyze comprehensive financial and organizational data from PHAs on labor and non-labor costs; salaries; number of staff; staff schedules; recorded hours of employment; and the total number of annual (or triennial) and interim </w:t>
      </w:r>
      <w:proofErr w:type="spellStart"/>
      <w:r w:rsidRPr="005A3450">
        <w:rPr>
          <w:rFonts w:ascii="Times New Roman" w:hAnsi="Times New Roman"/>
        </w:rPr>
        <w:t>recertifications</w:t>
      </w:r>
      <w:proofErr w:type="spellEnd"/>
      <w:r w:rsidRPr="005A3450">
        <w:rPr>
          <w:rFonts w:ascii="Times New Roman" w:hAnsi="Times New Roman"/>
        </w:rPr>
        <w:t xml:space="preserve"> and other types of action recorded on HUD Form 50058 per month. We will collect these data from the PHAs’ financial statements and other administrative records, as well as Financial Assessment System (FASS) data on total revenues and expenditure, and will combine the data with PIC or PHA management information system data on total households served and types of action each month during the follow-up period.</w:t>
      </w:r>
    </w:p>
    <w:p w:rsidR="005A3450" w:rsidRPr="005A3450" w:rsidRDefault="005A3450" w:rsidP="005A3450">
      <w:pPr>
        <w:pStyle w:val="Default"/>
        <w:widowControl w:val="0"/>
        <w:rPr>
          <w:rFonts w:ascii="Times New Roman" w:hAnsi="Times New Roman"/>
        </w:rPr>
      </w:pPr>
    </w:p>
    <w:p w:rsidR="00B776D6" w:rsidRPr="005A3450" w:rsidRDefault="005A3450" w:rsidP="005A3450">
      <w:pPr>
        <w:pStyle w:val="Default"/>
        <w:widowControl w:val="0"/>
        <w:rPr>
          <w:rFonts w:ascii="Times New Roman" w:hAnsi="Times New Roman"/>
        </w:rPr>
      </w:pPr>
      <w:r w:rsidRPr="005A3450">
        <w:rPr>
          <w:rFonts w:ascii="Times New Roman" w:hAnsi="Times New Roman"/>
          <w:b/>
        </w:rPr>
        <w:t>Process data</w:t>
      </w:r>
      <w:r w:rsidRPr="005A3450">
        <w:rPr>
          <w:rFonts w:ascii="Times New Roman" w:hAnsi="Times New Roman"/>
        </w:rPr>
        <w:t>: Implementation research visits are budgeted as part of the TO2 research activities</w:t>
      </w:r>
      <w:r w:rsidR="00F877CE">
        <w:rPr>
          <w:rFonts w:ascii="Times New Roman" w:hAnsi="Times New Roman"/>
        </w:rPr>
        <w:t xml:space="preserve">. </w:t>
      </w:r>
      <w:r w:rsidRPr="005A3450">
        <w:rPr>
          <w:rFonts w:ascii="Times New Roman" w:hAnsi="Times New Roman"/>
        </w:rPr>
        <w:t xml:space="preserve">PHA and participant experiences will be documented as part of two rounds of implementation research. Specifically, </w:t>
      </w:r>
      <w:r w:rsidR="00F877CE">
        <w:rPr>
          <w:rFonts w:ascii="Times New Roman" w:hAnsi="Times New Roman"/>
        </w:rPr>
        <w:t xml:space="preserve">Round 1 </w:t>
      </w:r>
      <w:r w:rsidRPr="005A3450">
        <w:rPr>
          <w:rFonts w:ascii="Times New Roman" w:hAnsi="Times New Roman"/>
        </w:rPr>
        <w:t xml:space="preserve">would cover the initial recertification process </w:t>
      </w:r>
      <w:r w:rsidR="00F877CE">
        <w:rPr>
          <w:rFonts w:ascii="Times New Roman" w:hAnsi="Times New Roman"/>
        </w:rPr>
        <w:t xml:space="preserve">and experiences </w:t>
      </w:r>
      <w:r w:rsidRPr="005A3450">
        <w:rPr>
          <w:rFonts w:ascii="Times New Roman" w:hAnsi="Times New Roman"/>
        </w:rPr>
        <w:t>(initial briefings, income verifications, notices, and early use of the grace period and hardship requests)</w:t>
      </w:r>
      <w:r w:rsidR="00F877CE">
        <w:rPr>
          <w:rFonts w:ascii="Times New Roman" w:hAnsi="Times New Roman"/>
        </w:rPr>
        <w:t>, focusing on interviews with PHA managers and housing specialists</w:t>
      </w:r>
      <w:r w:rsidRPr="005A3450">
        <w:rPr>
          <w:rFonts w:ascii="Times New Roman" w:hAnsi="Times New Roman"/>
        </w:rPr>
        <w:t xml:space="preserve">. Wave 2 would focus more on the interim </w:t>
      </w:r>
      <w:proofErr w:type="spellStart"/>
      <w:r w:rsidRPr="005A3450">
        <w:rPr>
          <w:rFonts w:ascii="Times New Roman" w:hAnsi="Times New Roman"/>
        </w:rPr>
        <w:t>recertifications</w:t>
      </w:r>
      <w:proofErr w:type="spellEnd"/>
      <w:r w:rsidRPr="005A3450">
        <w:rPr>
          <w:rFonts w:ascii="Times New Roman" w:hAnsi="Times New Roman"/>
        </w:rPr>
        <w:t xml:space="preserve"> in-between the initial and triennial recertification, and on the triennial recertification. This sequence also aligns with the data requirements for the interim and final reports. </w:t>
      </w:r>
      <w:r w:rsidR="00B54408">
        <w:rPr>
          <w:rFonts w:ascii="Times New Roman" w:hAnsi="Times New Roman"/>
        </w:rPr>
        <w:t xml:space="preserve">During each </w:t>
      </w:r>
      <w:r w:rsidR="00F877CE">
        <w:rPr>
          <w:rFonts w:ascii="Times New Roman" w:hAnsi="Times New Roman"/>
        </w:rPr>
        <w:t>round</w:t>
      </w:r>
      <w:r w:rsidR="00B54408">
        <w:rPr>
          <w:rFonts w:ascii="Times New Roman" w:hAnsi="Times New Roman"/>
        </w:rPr>
        <w:t xml:space="preserve">, </w:t>
      </w:r>
      <w:r w:rsidRPr="005A3450">
        <w:rPr>
          <w:rFonts w:ascii="Times New Roman" w:hAnsi="Times New Roman"/>
        </w:rPr>
        <w:t xml:space="preserve">MDRC will conduct structured in-depth interviews with approximately 20 tenants </w:t>
      </w:r>
      <w:r w:rsidR="00B54408">
        <w:rPr>
          <w:rFonts w:ascii="Times New Roman" w:hAnsi="Times New Roman"/>
        </w:rPr>
        <w:t xml:space="preserve">at </w:t>
      </w:r>
      <w:r w:rsidRPr="005A3450">
        <w:rPr>
          <w:rFonts w:ascii="Times New Roman" w:hAnsi="Times New Roman"/>
        </w:rPr>
        <w:t>each PHA</w:t>
      </w:r>
      <w:r w:rsidR="00B54408">
        <w:rPr>
          <w:rFonts w:ascii="Times New Roman" w:hAnsi="Times New Roman"/>
        </w:rPr>
        <w:t xml:space="preserve"> </w:t>
      </w:r>
      <w:r w:rsidRPr="005A3450">
        <w:rPr>
          <w:rFonts w:ascii="Times New Roman" w:hAnsi="Times New Roman"/>
        </w:rPr>
        <w:t>to learn about their experiences with and perspectives on the new rent policy, including any hardships that appear to be created by the new policy.</w:t>
      </w:r>
      <w:r w:rsidR="00F877CE">
        <w:rPr>
          <w:rFonts w:ascii="Times New Roman" w:hAnsi="Times New Roman"/>
        </w:rPr>
        <w:t xml:space="preserve"> The interview protocols for the first round are included in this submission. </w:t>
      </w:r>
    </w:p>
    <w:p w:rsidR="00B776D6" w:rsidRPr="00B776D6" w:rsidRDefault="00B776D6" w:rsidP="00B776D6">
      <w:pPr>
        <w:rPr>
          <w:lang w:eastAsia="x-none"/>
        </w:rPr>
      </w:pPr>
    </w:p>
    <w:p w:rsidR="000E7094" w:rsidRPr="00933DA0" w:rsidRDefault="000E7094" w:rsidP="002E6C53">
      <w:pPr>
        <w:pStyle w:val="Heading3"/>
        <w:tabs>
          <w:tab w:val="clear" w:pos="432"/>
        </w:tabs>
        <w:ind w:left="0" w:firstLine="0"/>
        <w:jc w:val="left"/>
        <w:rPr>
          <w:rFonts w:ascii="Arial" w:hAnsi="Arial" w:cs="Arial"/>
          <w:bCs w:val="0"/>
          <w:sz w:val="24"/>
          <w:szCs w:val="24"/>
        </w:rPr>
      </w:pPr>
      <w:r w:rsidRPr="00933DA0">
        <w:rPr>
          <w:rFonts w:ascii="Arial" w:hAnsi="Arial" w:cs="Arial"/>
          <w:sz w:val="24"/>
          <w:szCs w:val="24"/>
        </w:rPr>
        <w:t>A.3 Use of Information Technology for Data Collection to Reduce Respondent Burden</w:t>
      </w:r>
      <w:r w:rsidR="00D87976" w:rsidRPr="00933DA0">
        <w:rPr>
          <w:rFonts w:ascii="Arial" w:hAnsi="Arial" w:cs="Arial"/>
          <w:sz w:val="24"/>
          <w:szCs w:val="24"/>
        </w:rPr>
        <w:t xml:space="preserve"> </w:t>
      </w:r>
    </w:p>
    <w:p w:rsidR="000E7094" w:rsidRPr="00D24646" w:rsidRDefault="000E7094" w:rsidP="00B17BCF">
      <w:pPr>
        <w:pStyle w:val="BodyText"/>
        <w:rPr>
          <w:rFonts w:ascii="Times New Roman" w:hAnsi="Times New Roman"/>
          <w:sz w:val="24"/>
          <w:szCs w:val="24"/>
        </w:rPr>
      </w:pPr>
      <w:r w:rsidRPr="00542556">
        <w:rPr>
          <w:rFonts w:ascii="Times New Roman" w:hAnsi="Times New Roman"/>
          <w:sz w:val="24"/>
          <w:szCs w:val="24"/>
        </w:rPr>
        <w:t xml:space="preserve">Wherever possible, advanced technology will be used in data collection efforts to reduce burden on study participants and on site staff. </w:t>
      </w:r>
      <w:r w:rsidR="00D902CA">
        <w:rPr>
          <w:rFonts w:ascii="Times New Roman" w:hAnsi="Times New Roman"/>
          <w:sz w:val="24"/>
          <w:szCs w:val="24"/>
          <w:lang w:val="en-US"/>
        </w:rPr>
        <w:t xml:space="preserve">As it pertains to this OMB submission, </w:t>
      </w:r>
      <w:r w:rsidR="00B17BCF">
        <w:rPr>
          <w:rFonts w:ascii="Times New Roman" w:hAnsi="Times New Roman"/>
          <w:sz w:val="24"/>
          <w:szCs w:val="24"/>
          <w:lang w:val="en-US"/>
        </w:rPr>
        <w:t>w</w:t>
      </w:r>
      <w:r w:rsidRPr="00D24646">
        <w:rPr>
          <w:rFonts w:ascii="Times New Roman" w:hAnsi="Times New Roman"/>
          <w:sz w:val="24"/>
          <w:szCs w:val="24"/>
        </w:rPr>
        <w:t>he</w:t>
      </w:r>
      <w:r w:rsidR="00F877CE">
        <w:rPr>
          <w:rFonts w:ascii="Times New Roman" w:hAnsi="Times New Roman"/>
          <w:sz w:val="24"/>
          <w:szCs w:val="24"/>
          <w:lang w:val="en-US"/>
        </w:rPr>
        <w:t xml:space="preserve">re </w:t>
      </w:r>
      <w:r w:rsidRPr="00D24646">
        <w:rPr>
          <w:rFonts w:ascii="Times New Roman" w:hAnsi="Times New Roman"/>
          <w:sz w:val="24"/>
          <w:szCs w:val="24"/>
        </w:rPr>
        <w:t>relevant person-level data has been identified as available through an accessible</w:t>
      </w:r>
      <w:r w:rsidR="00C25CC8" w:rsidRPr="00D24646">
        <w:rPr>
          <w:rFonts w:ascii="Times New Roman" w:hAnsi="Times New Roman"/>
          <w:sz w:val="24"/>
          <w:szCs w:val="24"/>
        </w:rPr>
        <w:t>,</w:t>
      </w:r>
      <w:r w:rsidRPr="00D24646">
        <w:rPr>
          <w:rFonts w:ascii="Times New Roman" w:hAnsi="Times New Roman"/>
          <w:sz w:val="24"/>
          <w:szCs w:val="24"/>
        </w:rPr>
        <w:t xml:space="preserve"> centralized</w:t>
      </w:r>
      <w:r w:rsidR="00491B76">
        <w:rPr>
          <w:rFonts w:ascii="Times New Roman" w:hAnsi="Times New Roman"/>
          <w:sz w:val="24"/>
          <w:szCs w:val="24"/>
          <w:lang w:val="en-US"/>
        </w:rPr>
        <w:t>,</w:t>
      </w:r>
      <w:r w:rsidR="00C25CC8" w:rsidRPr="00D24646">
        <w:rPr>
          <w:rFonts w:ascii="Times New Roman" w:hAnsi="Times New Roman"/>
          <w:sz w:val="24"/>
          <w:szCs w:val="24"/>
        </w:rPr>
        <w:t xml:space="preserve"> and </w:t>
      </w:r>
      <w:r w:rsidRPr="00D24646">
        <w:rPr>
          <w:rFonts w:ascii="Times New Roman" w:hAnsi="Times New Roman"/>
          <w:sz w:val="24"/>
          <w:szCs w:val="24"/>
        </w:rPr>
        <w:t>computerized source, th</w:t>
      </w:r>
      <w:r w:rsidR="00B17BCF">
        <w:rPr>
          <w:rFonts w:ascii="Times New Roman" w:hAnsi="Times New Roman"/>
          <w:sz w:val="24"/>
          <w:szCs w:val="24"/>
          <w:lang w:val="en-US"/>
        </w:rPr>
        <w:t xml:space="preserve">at source is being pursued. </w:t>
      </w:r>
      <w:r w:rsidRPr="00D24646">
        <w:rPr>
          <w:rFonts w:ascii="Times New Roman" w:hAnsi="Times New Roman"/>
          <w:sz w:val="24"/>
          <w:szCs w:val="24"/>
        </w:rPr>
        <w:t xml:space="preserve">For example, </w:t>
      </w:r>
      <w:r w:rsidR="00B17BCF">
        <w:rPr>
          <w:rFonts w:ascii="Times New Roman" w:hAnsi="Times New Roman"/>
          <w:sz w:val="24"/>
          <w:szCs w:val="24"/>
          <w:lang w:val="en-US"/>
        </w:rPr>
        <w:t xml:space="preserve">MDRC is working with HUD to obtain </w:t>
      </w:r>
      <w:r w:rsidR="00F877CE">
        <w:rPr>
          <w:rFonts w:ascii="Times New Roman" w:hAnsi="Times New Roman"/>
          <w:sz w:val="24"/>
          <w:szCs w:val="24"/>
          <w:lang w:val="en-US"/>
        </w:rPr>
        <w:t xml:space="preserve">records from </w:t>
      </w:r>
      <w:r w:rsidR="00B17BCF">
        <w:rPr>
          <w:rFonts w:ascii="Times New Roman" w:hAnsi="Times New Roman"/>
          <w:sz w:val="24"/>
          <w:szCs w:val="24"/>
          <w:lang w:val="en-US"/>
        </w:rPr>
        <w:t xml:space="preserve">the </w:t>
      </w:r>
      <w:r w:rsidR="00F877CE">
        <w:rPr>
          <w:rFonts w:ascii="Times New Roman" w:hAnsi="Times New Roman"/>
          <w:sz w:val="24"/>
          <w:szCs w:val="24"/>
          <w:lang w:val="en-US"/>
        </w:rPr>
        <w:t xml:space="preserve">National Directory of </w:t>
      </w:r>
      <w:r w:rsidR="00B17BCF">
        <w:rPr>
          <w:rFonts w:ascii="Times New Roman" w:hAnsi="Times New Roman"/>
          <w:sz w:val="24"/>
          <w:szCs w:val="24"/>
          <w:lang w:val="en-US"/>
        </w:rPr>
        <w:t xml:space="preserve">New Hires database to analyze study participants’ employment and earnings. </w:t>
      </w:r>
      <w:r w:rsidRPr="00D24646">
        <w:rPr>
          <w:rFonts w:ascii="Times New Roman" w:hAnsi="Times New Roman"/>
          <w:sz w:val="24"/>
          <w:szCs w:val="24"/>
        </w:rPr>
        <w:t xml:space="preserve">While </w:t>
      </w:r>
      <w:r w:rsidR="00B17BCF">
        <w:rPr>
          <w:rFonts w:ascii="Times New Roman" w:hAnsi="Times New Roman"/>
          <w:sz w:val="24"/>
          <w:szCs w:val="24"/>
          <w:lang w:val="en-US"/>
        </w:rPr>
        <w:t xml:space="preserve">program </w:t>
      </w:r>
      <w:r w:rsidRPr="00D24646">
        <w:rPr>
          <w:rFonts w:ascii="Times New Roman" w:hAnsi="Times New Roman"/>
          <w:sz w:val="24"/>
          <w:szCs w:val="24"/>
        </w:rPr>
        <w:t>implementation data collection relies on evaluation staff efforts on-site, we have sought</w:t>
      </w:r>
      <w:r w:rsidR="00AB2139">
        <w:rPr>
          <w:rFonts w:ascii="Times New Roman" w:hAnsi="Times New Roman"/>
          <w:sz w:val="24"/>
          <w:szCs w:val="24"/>
          <w:lang w:val="en-US"/>
        </w:rPr>
        <w:t>,</w:t>
      </w:r>
      <w:r w:rsidRPr="00D24646">
        <w:rPr>
          <w:rFonts w:ascii="Times New Roman" w:hAnsi="Times New Roman"/>
          <w:sz w:val="24"/>
          <w:szCs w:val="24"/>
        </w:rPr>
        <w:t xml:space="preserve"> wherever possible</w:t>
      </w:r>
      <w:r w:rsidR="00AB2139">
        <w:rPr>
          <w:rFonts w:ascii="Times New Roman" w:hAnsi="Times New Roman"/>
          <w:sz w:val="24"/>
          <w:szCs w:val="24"/>
          <w:lang w:val="en-US"/>
        </w:rPr>
        <w:t>,</w:t>
      </w:r>
      <w:r w:rsidRPr="00D24646">
        <w:rPr>
          <w:rFonts w:ascii="Times New Roman" w:hAnsi="Times New Roman"/>
          <w:sz w:val="24"/>
          <w:szCs w:val="24"/>
        </w:rPr>
        <w:t xml:space="preserve"> to minimize overlap between questions we include in implementation </w:t>
      </w:r>
      <w:r w:rsidR="00B17BCF">
        <w:rPr>
          <w:rFonts w:ascii="Times New Roman" w:hAnsi="Times New Roman"/>
          <w:sz w:val="24"/>
          <w:szCs w:val="24"/>
          <w:lang w:val="en-US"/>
        </w:rPr>
        <w:t xml:space="preserve">research </w:t>
      </w:r>
      <w:r w:rsidRPr="00D24646">
        <w:rPr>
          <w:rFonts w:ascii="Times New Roman" w:hAnsi="Times New Roman"/>
          <w:sz w:val="24"/>
          <w:szCs w:val="24"/>
        </w:rPr>
        <w:t xml:space="preserve">protocols and </w:t>
      </w:r>
      <w:r w:rsidR="00581E85" w:rsidRPr="00D24646">
        <w:rPr>
          <w:rFonts w:ascii="Times New Roman" w:hAnsi="Times New Roman"/>
          <w:sz w:val="24"/>
          <w:szCs w:val="24"/>
          <w:lang w:val="en-US"/>
        </w:rPr>
        <w:t>information that is available through PHA data and other administrative records</w:t>
      </w:r>
      <w:r w:rsidRPr="00D24646">
        <w:rPr>
          <w:rFonts w:ascii="Times New Roman" w:hAnsi="Times New Roman"/>
          <w:sz w:val="24"/>
          <w:szCs w:val="24"/>
        </w:rPr>
        <w:t>.</w:t>
      </w:r>
    </w:p>
    <w:p w:rsidR="007579E8" w:rsidRPr="00933DA0" w:rsidRDefault="007579E8" w:rsidP="00542556">
      <w:pPr>
        <w:pStyle w:val="Heading4"/>
        <w:spacing w:line="240" w:lineRule="auto"/>
        <w:ind w:firstLine="0"/>
        <w:jc w:val="left"/>
        <w:rPr>
          <w:rFonts w:ascii="Arial" w:hAnsi="Arial" w:cs="Arial"/>
          <w:i w:val="0"/>
          <w:color w:val="auto"/>
        </w:rPr>
      </w:pPr>
      <w:r w:rsidRPr="00933DA0">
        <w:rPr>
          <w:rFonts w:ascii="Arial" w:hAnsi="Arial" w:cs="Arial"/>
          <w:i w:val="0"/>
          <w:color w:val="auto"/>
        </w:rPr>
        <w:t>A.4</w:t>
      </w:r>
      <w:r w:rsidR="00106274">
        <w:rPr>
          <w:rFonts w:ascii="Arial" w:hAnsi="Arial" w:cs="Arial"/>
          <w:i w:val="0"/>
          <w:color w:val="auto"/>
          <w:lang w:val="en-US"/>
        </w:rPr>
        <w:t xml:space="preserve"> </w:t>
      </w:r>
      <w:r w:rsidRPr="00933DA0">
        <w:rPr>
          <w:rFonts w:ascii="Arial" w:hAnsi="Arial" w:cs="Arial"/>
          <w:i w:val="0"/>
          <w:color w:val="auto"/>
        </w:rPr>
        <w:t>Efforts to Identify Duplication</w:t>
      </w:r>
    </w:p>
    <w:p w:rsidR="00B1381C" w:rsidRDefault="00B1381C" w:rsidP="00542556">
      <w:pPr>
        <w:pStyle w:val="BodyText"/>
        <w:ind w:firstLine="432"/>
        <w:rPr>
          <w:rFonts w:ascii="Times New Roman" w:hAnsi="Times New Roman"/>
          <w:sz w:val="24"/>
          <w:szCs w:val="24"/>
        </w:rPr>
      </w:pPr>
    </w:p>
    <w:p w:rsidR="007579E8" w:rsidRDefault="007579E8" w:rsidP="00C33231">
      <w:pPr>
        <w:pStyle w:val="BodyText"/>
        <w:rPr>
          <w:rFonts w:ascii="Times New Roman" w:hAnsi="Times New Roman"/>
          <w:sz w:val="24"/>
          <w:szCs w:val="24"/>
        </w:rPr>
      </w:pPr>
      <w:r w:rsidRPr="00542556">
        <w:rPr>
          <w:rFonts w:ascii="Times New Roman" w:hAnsi="Times New Roman"/>
          <w:sz w:val="24"/>
          <w:szCs w:val="24"/>
        </w:rPr>
        <w:t xml:space="preserve">The information collection will not duplicate information that is already available. Where possible, the evaluation will use available data sources, such as </w:t>
      </w:r>
      <w:r w:rsidR="00F877CE">
        <w:rPr>
          <w:rFonts w:ascii="Times New Roman" w:hAnsi="Times New Roman"/>
          <w:sz w:val="24"/>
          <w:szCs w:val="24"/>
          <w:lang w:val="en-US"/>
        </w:rPr>
        <w:t xml:space="preserve">employment </w:t>
      </w:r>
      <w:r w:rsidRPr="00542556">
        <w:rPr>
          <w:rFonts w:ascii="Times New Roman" w:hAnsi="Times New Roman"/>
          <w:sz w:val="24"/>
          <w:szCs w:val="24"/>
        </w:rPr>
        <w:t xml:space="preserve">records. </w:t>
      </w:r>
    </w:p>
    <w:p w:rsidR="00B1381C" w:rsidRPr="00542556" w:rsidRDefault="00B1381C" w:rsidP="00542556">
      <w:pPr>
        <w:pStyle w:val="BodyText"/>
        <w:ind w:firstLine="432"/>
        <w:rPr>
          <w:rFonts w:ascii="Times New Roman" w:hAnsi="Times New Roman"/>
          <w:sz w:val="24"/>
          <w:szCs w:val="24"/>
        </w:rPr>
      </w:pPr>
    </w:p>
    <w:p w:rsidR="007579E8" w:rsidRPr="00933DA0" w:rsidRDefault="007579E8" w:rsidP="00542556">
      <w:pPr>
        <w:pStyle w:val="BodyText"/>
        <w:spacing w:after="240"/>
        <w:rPr>
          <w:rFonts w:cs="Arial"/>
          <w:b/>
          <w:sz w:val="24"/>
          <w:szCs w:val="24"/>
        </w:rPr>
      </w:pPr>
      <w:r w:rsidRPr="00933DA0">
        <w:rPr>
          <w:rFonts w:cs="Arial"/>
          <w:b/>
          <w:sz w:val="24"/>
          <w:szCs w:val="24"/>
        </w:rPr>
        <w:t>A.5 Burden on Small Business</w:t>
      </w:r>
    </w:p>
    <w:p w:rsidR="00086398" w:rsidRPr="00542556" w:rsidRDefault="007579E8" w:rsidP="00542556">
      <w:pPr>
        <w:spacing w:line="240" w:lineRule="auto"/>
        <w:ind w:firstLine="0"/>
        <w:rPr>
          <w:rFonts w:ascii="Times New Roman" w:hAnsi="Times New Roman"/>
        </w:rPr>
      </w:pPr>
      <w:r w:rsidRPr="00542556">
        <w:rPr>
          <w:rFonts w:ascii="Times New Roman" w:hAnsi="Times New Roman"/>
        </w:rPr>
        <w:t>We do not anticipate that this study will burden small businesses.</w:t>
      </w:r>
    </w:p>
    <w:p w:rsidR="00834371" w:rsidRPr="00933DA0" w:rsidRDefault="00834371" w:rsidP="00542556">
      <w:pPr>
        <w:pStyle w:val="Heading4"/>
        <w:spacing w:line="240" w:lineRule="auto"/>
        <w:ind w:firstLine="0"/>
        <w:jc w:val="left"/>
        <w:rPr>
          <w:rFonts w:ascii="Arial" w:hAnsi="Arial" w:cs="Arial"/>
          <w:i w:val="0"/>
          <w:color w:val="auto"/>
        </w:rPr>
      </w:pPr>
      <w:r w:rsidRPr="00933DA0">
        <w:rPr>
          <w:rFonts w:ascii="Arial" w:hAnsi="Arial" w:cs="Arial"/>
          <w:i w:val="0"/>
          <w:color w:val="auto"/>
        </w:rPr>
        <w:t xml:space="preserve">A.6 Consequence </w:t>
      </w:r>
      <w:r w:rsidR="00106274">
        <w:rPr>
          <w:rFonts w:ascii="Arial" w:hAnsi="Arial" w:cs="Arial"/>
          <w:i w:val="0"/>
          <w:color w:val="auto"/>
          <w:lang w:val="en-US"/>
        </w:rPr>
        <w:t>i</w:t>
      </w:r>
      <w:r w:rsidR="00106274" w:rsidRPr="00933DA0">
        <w:rPr>
          <w:rFonts w:ascii="Arial" w:hAnsi="Arial" w:cs="Arial"/>
          <w:i w:val="0"/>
          <w:color w:val="auto"/>
        </w:rPr>
        <w:t xml:space="preserve">f </w:t>
      </w:r>
      <w:r w:rsidRPr="00933DA0">
        <w:rPr>
          <w:rFonts w:ascii="Arial" w:hAnsi="Arial" w:cs="Arial"/>
          <w:i w:val="0"/>
          <w:color w:val="auto"/>
        </w:rPr>
        <w:t>Data Collection is Not Conducted</w:t>
      </w:r>
    </w:p>
    <w:p w:rsidR="00B1381C" w:rsidRDefault="00B1381C" w:rsidP="00542556">
      <w:pPr>
        <w:spacing w:line="240" w:lineRule="auto"/>
        <w:jc w:val="left"/>
        <w:rPr>
          <w:rFonts w:ascii="Times New Roman" w:hAnsi="Times New Roman"/>
        </w:rPr>
      </w:pPr>
    </w:p>
    <w:p w:rsidR="00740E33" w:rsidRPr="00542556" w:rsidRDefault="00740E33" w:rsidP="00740E33">
      <w:pPr>
        <w:spacing w:line="240" w:lineRule="auto"/>
        <w:ind w:firstLine="0"/>
        <w:jc w:val="left"/>
        <w:rPr>
          <w:rFonts w:ascii="Times New Roman" w:hAnsi="Times New Roman"/>
        </w:rPr>
      </w:pPr>
      <w:r w:rsidRPr="00542556">
        <w:rPr>
          <w:rFonts w:ascii="Times New Roman" w:hAnsi="Times New Roman"/>
        </w:rPr>
        <w:t xml:space="preserve">This evaluation represents an important opportunity for the Federal </w:t>
      </w:r>
      <w:r>
        <w:rPr>
          <w:rFonts w:ascii="Times New Roman" w:hAnsi="Times New Roman"/>
        </w:rPr>
        <w:t>g</w:t>
      </w:r>
      <w:r w:rsidRPr="00542556">
        <w:rPr>
          <w:rFonts w:ascii="Times New Roman" w:hAnsi="Times New Roman"/>
        </w:rPr>
        <w:t xml:space="preserve">overnment to </w:t>
      </w:r>
      <w:r>
        <w:rPr>
          <w:rFonts w:ascii="Times New Roman" w:hAnsi="Times New Roman"/>
        </w:rPr>
        <w:t>build a</w:t>
      </w:r>
      <w:r w:rsidRPr="00542556">
        <w:rPr>
          <w:rFonts w:ascii="Times New Roman" w:hAnsi="Times New Roman"/>
        </w:rPr>
        <w:t xml:space="preserve"> body of knowledge about the </w:t>
      </w:r>
      <w:r>
        <w:rPr>
          <w:rFonts w:ascii="Times New Roman" w:hAnsi="Times New Roman"/>
        </w:rPr>
        <w:t xml:space="preserve">effects </w:t>
      </w:r>
      <w:r w:rsidRPr="00542556">
        <w:rPr>
          <w:rFonts w:ascii="Times New Roman" w:hAnsi="Times New Roman"/>
        </w:rPr>
        <w:t>of a</w:t>
      </w:r>
      <w:r>
        <w:rPr>
          <w:rFonts w:ascii="Times New Roman" w:hAnsi="Times New Roman"/>
        </w:rPr>
        <w:t>n alternative rent policy.</w:t>
      </w:r>
      <w:r w:rsidRPr="00542556">
        <w:rPr>
          <w:rFonts w:ascii="Times New Roman" w:hAnsi="Times New Roman"/>
        </w:rPr>
        <w:t xml:space="preserve"> This is consistent with the Administration’s strong focus on evidence-based policymaking. </w:t>
      </w:r>
      <w:r>
        <w:rPr>
          <w:rFonts w:ascii="Times New Roman" w:hAnsi="Times New Roman"/>
        </w:rPr>
        <w:t>If this study is not conducted and the</w:t>
      </w:r>
      <w:r w:rsidRPr="00542556">
        <w:rPr>
          <w:rFonts w:ascii="Times New Roman" w:hAnsi="Times New Roman"/>
        </w:rPr>
        <w:t xml:space="preserve"> </w:t>
      </w:r>
      <w:r>
        <w:rPr>
          <w:rFonts w:ascii="Times New Roman" w:hAnsi="Times New Roman"/>
        </w:rPr>
        <w:t xml:space="preserve">data </w:t>
      </w:r>
      <w:r w:rsidRPr="00542556">
        <w:rPr>
          <w:rFonts w:ascii="Times New Roman" w:hAnsi="Times New Roman"/>
        </w:rPr>
        <w:t xml:space="preserve">not collected, analyzed, reported, and disseminated, Federal </w:t>
      </w:r>
      <w:r>
        <w:rPr>
          <w:rFonts w:ascii="Times New Roman" w:hAnsi="Times New Roman"/>
        </w:rPr>
        <w:t xml:space="preserve">and local </w:t>
      </w:r>
      <w:r w:rsidRPr="00542556">
        <w:rPr>
          <w:rFonts w:ascii="Times New Roman" w:hAnsi="Times New Roman"/>
        </w:rPr>
        <w:t xml:space="preserve">program or policy </w:t>
      </w:r>
      <w:r>
        <w:rPr>
          <w:rFonts w:ascii="Times New Roman" w:hAnsi="Times New Roman"/>
        </w:rPr>
        <w:t>decisions</w:t>
      </w:r>
      <w:r w:rsidRPr="00542556">
        <w:rPr>
          <w:rFonts w:ascii="Times New Roman" w:hAnsi="Times New Roman"/>
        </w:rPr>
        <w:t xml:space="preserve"> will not be informed by high quality </w:t>
      </w:r>
      <w:r>
        <w:rPr>
          <w:rFonts w:ascii="Times New Roman" w:hAnsi="Times New Roman"/>
        </w:rPr>
        <w:t>evidence</w:t>
      </w:r>
      <w:r w:rsidRPr="00542556">
        <w:rPr>
          <w:rFonts w:ascii="Times New Roman" w:hAnsi="Times New Roman"/>
        </w:rPr>
        <w:t xml:space="preserve"> upon which to base critical decisions regarding </w:t>
      </w:r>
      <w:r>
        <w:rPr>
          <w:rFonts w:ascii="Times New Roman" w:hAnsi="Times New Roman"/>
        </w:rPr>
        <w:t xml:space="preserve">future rent policy.  </w:t>
      </w:r>
    </w:p>
    <w:p w:rsidR="00834371" w:rsidRPr="00933DA0" w:rsidRDefault="00834371" w:rsidP="00542556">
      <w:pPr>
        <w:pStyle w:val="Heading4"/>
        <w:spacing w:line="240" w:lineRule="auto"/>
        <w:ind w:firstLine="0"/>
        <w:jc w:val="left"/>
        <w:rPr>
          <w:rFonts w:ascii="Arial" w:hAnsi="Arial" w:cs="Arial"/>
          <w:i w:val="0"/>
          <w:color w:val="auto"/>
        </w:rPr>
      </w:pPr>
      <w:r w:rsidRPr="00933DA0">
        <w:rPr>
          <w:rFonts w:ascii="Arial" w:hAnsi="Arial" w:cs="Arial"/>
          <w:i w:val="0"/>
          <w:color w:val="auto"/>
        </w:rPr>
        <w:t>A.7 Special Data Collection Circumstances</w:t>
      </w:r>
    </w:p>
    <w:p w:rsidR="00B1381C" w:rsidRDefault="00B1381C" w:rsidP="00542556">
      <w:pPr>
        <w:spacing w:line="240" w:lineRule="auto"/>
        <w:jc w:val="left"/>
        <w:rPr>
          <w:rFonts w:ascii="Times New Roman" w:hAnsi="Times New Roman"/>
        </w:rPr>
      </w:pPr>
    </w:p>
    <w:p w:rsidR="00834371" w:rsidRPr="00542556" w:rsidRDefault="00834371" w:rsidP="00C33231">
      <w:pPr>
        <w:spacing w:line="240" w:lineRule="auto"/>
        <w:ind w:firstLine="0"/>
        <w:jc w:val="left"/>
        <w:rPr>
          <w:rFonts w:ascii="Times New Roman" w:hAnsi="Times New Roman"/>
        </w:rPr>
      </w:pPr>
      <w:r w:rsidRPr="00542556">
        <w:rPr>
          <w:rFonts w:ascii="Times New Roman" w:hAnsi="Times New Roman"/>
        </w:rPr>
        <w:t xml:space="preserve">The proposed data collection activities are consistent with the guidelines set forth in 5 CFR 1320 (Controlling Paperwork Burdens on the Public). There are no special circumstances that require deviation from these guidelines.  </w:t>
      </w:r>
    </w:p>
    <w:p w:rsidR="00834371" w:rsidRPr="00542556" w:rsidRDefault="00834371" w:rsidP="00542556">
      <w:pPr>
        <w:spacing w:line="240" w:lineRule="auto"/>
        <w:ind w:firstLine="0"/>
        <w:jc w:val="left"/>
        <w:rPr>
          <w:rFonts w:ascii="Times New Roman" w:hAnsi="Times New Roman"/>
        </w:rPr>
      </w:pPr>
    </w:p>
    <w:p w:rsidR="00834371" w:rsidRPr="00933DA0" w:rsidRDefault="00834371" w:rsidP="00542556">
      <w:pPr>
        <w:tabs>
          <w:tab w:val="left" w:pos="720"/>
          <w:tab w:val="left" w:pos="1440"/>
          <w:tab w:val="left" w:pos="2160"/>
          <w:tab w:val="right" w:leader="dot" w:pos="9360"/>
        </w:tabs>
        <w:spacing w:after="240" w:line="240" w:lineRule="auto"/>
        <w:ind w:firstLine="0"/>
        <w:jc w:val="left"/>
        <w:rPr>
          <w:rFonts w:ascii="Arial" w:hAnsi="Arial" w:cs="Arial"/>
          <w:b/>
        </w:rPr>
      </w:pPr>
      <w:r w:rsidRPr="00933DA0">
        <w:rPr>
          <w:rFonts w:ascii="Arial" w:hAnsi="Arial" w:cs="Arial"/>
          <w:b/>
        </w:rPr>
        <w:t>A</w:t>
      </w:r>
      <w:r w:rsidR="00106274">
        <w:rPr>
          <w:rFonts w:ascii="Arial" w:hAnsi="Arial" w:cs="Arial"/>
          <w:b/>
        </w:rPr>
        <w:t>.</w:t>
      </w:r>
      <w:r w:rsidRPr="00933DA0">
        <w:rPr>
          <w:rFonts w:ascii="Arial" w:hAnsi="Arial" w:cs="Arial"/>
          <w:b/>
        </w:rPr>
        <w:t>8 Form 5 CFR 1320.8(d) and Consultations Prior to OMB Submission</w:t>
      </w:r>
    </w:p>
    <w:p w:rsidR="00834371" w:rsidRPr="00106274" w:rsidRDefault="00834371" w:rsidP="00542556">
      <w:pPr>
        <w:pStyle w:val="Heading4"/>
        <w:numPr>
          <w:ilvl w:val="0"/>
          <w:numId w:val="10"/>
        </w:numPr>
        <w:spacing w:line="240" w:lineRule="auto"/>
        <w:jc w:val="left"/>
        <w:rPr>
          <w:rFonts w:ascii="Times New Roman" w:hAnsi="Times New Roman"/>
          <w:b w:val="0"/>
          <w:i w:val="0"/>
          <w:color w:val="auto"/>
        </w:rPr>
      </w:pPr>
      <w:r w:rsidRPr="00106274">
        <w:rPr>
          <w:rFonts w:ascii="Times New Roman" w:hAnsi="Times New Roman"/>
          <w:b w:val="0"/>
          <w:i w:val="0"/>
          <w:color w:val="auto"/>
        </w:rPr>
        <w:t xml:space="preserve">Federal Register Notice and Comments </w:t>
      </w:r>
    </w:p>
    <w:p w:rsidR="00B1381C" w:rsidRDefault="00B1381C" w:rsidP="00DF7593">
      <w:pPr>
        <w:tabs>
          <w:tab w:val="clear" w:pos="432"/>
        </w:tabs>
        <w:autoSpaceDE w:val="0"/>
        <w:autoSpaceDN w:val="0"/>
        <w:adjustRightInd w:val="0"/>
        <w:spacing w:line="240" w:lineRule="auto"/>
        <w:ind w:firstLine="0"/>
        <w:jc w:val="left"/>
        <w:rPr>
          <w:rFonts w:ascii="Times New Roman" w:hAnsi="Times New Roman"/>
        </w:rPr>
      </w:pPr>
    </w:p>
    <w:p w:rsidR="00B1381C" w:rsidRDefault="00C20762" w:rsidP="00DF7593">
      <w:pPr>
        <w:tabs>
          <w:tab w:val="clear" w:pos="432"/>
        </w:tabs>
        <w:autoSpaceDE w:val="0"/>
        <w:autoSpaceDN w:val="0"/>
        <w:adjustRightInd w:val="0"/>
        <w:spacing w:line="240" w:lineRule="auto"/>
        <w:ind w:firstLine="0"/>
        <w:jc w:val="left"/>
        <w:rPr>
          <w:rFonts w:ascii="Times New Roman" w:eastAsia="Calibri" w:hAnsi="Times New Roman"/>
        </w:rPr>
      </w:pPr>
      <w:r w:rsidRPr="00F6177F">
        <w:rPr>
          <w:rFonts w:ascii="Times New Roman" w:hAnsi="Times New Roman"/>
        </w:rPr>
        <w:t xml:space="preserve">Please see Appendix </w:t>
      </w:r>
      <w:r w:rsidR="00425BB9">
        <w:rPr>
          <w:rFonts w:ascii="Times New Roman" w:hAnsi="Times New Roman"/>
        </w:rPr>
        <w:t>x</w:t>
      </w:r>
      <w:r w:rsidR="00425BB9" w:rsidRPr="00F6177F">
        <w:rPr>
          <w:rFonts w:ascii="Times New Roman" w:hAnsi="Times New Roman"/>
        </w:rPr>
        <w:t xml:space="preserve"> </w:t>
      </w:r>
      <w:r w:rsidRPr="00F6177F">
        <w:rPr>
          <w:rFonts w:ascii="Times New Roman" w:hAnsi="Times New Roman"/>
        </w:rPr>
        <w:t xml:space="preserve">for a copy of the HUD’s notice in the Federal Register, required </w:t>
      </w:r>
      <w:r w:rsidR="00DF7593" w:rsidRPr="00F6177F">
        <w:rPr>
          <w:rFonts w:ascii="Times New Roman" w:eastAsia="Calibri" w:hAnsi="Times New Roman"/>
        </w:rPr>
        <w:t>by 5</w:t>
      </w:r>
      <w:r w:rsidR="00DF7593" w:rsidRPr="00F66D8F">
        <w:rPr>
          <w:rFonts w:ascii="Times New Roman" w:eastAsia="Calibri" w:hAnsi="Times New Roman"/>
        </w:rPr>
        <w:t xml:space="preserve"> CFR 1320.8(d), soliciting comments on the information collection prior to submission to OMB. </w:t>
      </w:r>
    </w:p>
    <w:p w:rsidR="00B1381C" w:rsidRDefault="00B1381C" w:rsidP="00DF7593">
      <w:pPr>
        <w:tabs>
          <w:tab w:val="clear" w:pos="432"/>
        </w:tabs>
        <w:autoSpaceDE w:val="0"/>
        <w:autoSpaceDN w:val="0"/>
        <w:adjustRightInd w:val="0"/>
        <w:spacing w:line="240" w:lineRule="auto"/>
        <w:ind w:firstLine="0"/>
        <w:jc w:val="left"/>
        <w:rPr>
          <w:rFonts w:ascii="Times New Roman" w:eastAsia="Calibri" w:hAnsi="Times New Roman"/>
        </w:rPr>
      </w:pPr>
    </w:p>
    <w:p w:rsidR="00E35AB0" w:rsidRPr="00255B1D" w:rsidRDefault="00D902CA" w:rsidP="00F877CE">
      <w:pPr>
        <w:spacing w:line="240" w:lineRule="auto"/>
        <w:ind w:firstLine="0"/>
        <w:rPr>
          <w:rFonts w:ascii="Melior" w:hAnsi="Melior"/>
        </w:rPr>
      </w:pPr>
      <w:r w:rsidRPr="00952533">
        <w:rPr>
          <w:rFonts w:ascii="Times New Roman" w:hAnsi="Times New Roman"/>
        </w:rPr>
        <w:t xml:space="preserve">The notice is posted at: </w:t>
      </w:r>
      <w:hyperlink r:id="rId14" w:history="1">
        <w:r w:rsidRPr="00952533">
          <w:rPr>
            <w:rStyle w:val="Hyperlink"/>
            <w:rFonts w:ascii="Times New Roman" w:hAnsi="Times New Roman"/>
          </w:rPr>
          <w:t>https://www.federalregister.gov/articles/2015/04/14/2015-08538/60-day-notice-of-proposed-information-collection-rent-reform-demonstration-task-order-2</w:t>
        </w:r>
      </w:hyperlink>
      <w:r w:rsidRPr="00952533">
        <w:t>.</w:t>
      </w:r>
      <w:r>
        <w:t xml:space="preserve"> </w:t>
      </w:r>
      <w:r>
        <w:rPr>
          <w:rFonts w:ascii="Times New Roman" w:eastAsia="Calibri" w:hAnsi="Times New Roman"/>
        </w:rPr>
        <w:t xml:space="preserve"> </w:t>
      </w:r>
    </w:p>
    <w:p w:rsidR="00C20762" w:rsidRDefault="00C20762" w:rsidP="00255B1D">
      <w:pPr>
        <w:tabs>
          <w:tab w:val="clear" w:pos="432"/>
        </w:tabs>
        <w:autoSpaceDE w:val="0"/>
        <w:autoSpaceDN w:val="0"/>
        <w:adjustRightInd w:val="0"/>
        <w:spacing w:line="240" w:lineRule="auto"/>
        <w:ind w:firstLine="0"/>
        <w:jc w:val="left"/>
        <w:rPr>
          <w:rFonts w:ascii="Times New Roman" w:hAnsi="Times New Roman"/>
        </w:rPr>
      </w:pPr>
    </w:p>
    <w:p w:rsidR="00834371" w:rsidRDefault="00834371" w:rsidP="00542556">
      <w:pPr>
        <w:spacing w:line="240" w:lineRule="auto"/>
        <w:rPr>
          <w:rFonts w:ascii="Times New Roman" w:hAnsi="Times New Roman"/>
        </w:rPr>
      </w:pPr>
      <w:r w:rsidRPr="00542556">
        <w:rPr>
          <w:rFonts w:ascii="Times New Roman" w:hAnsi="Times New Roman"/>
        </w:rPr>
        <w:t>b.</w:t>
      </w:r>
      <w:r w:rsidRPr="00542556">
        <w:rPr>
          <w:rFonts w:ascii="Times New Roman" w:hAnsi="Times New Roman"/>
        </w:rPr>
        <w:tab/>
        <w:t>Consultations Outside of the Agency</w:t>
      </w:r>
    </w:p>
    <w:p w:rsidR="00B1381C" w:rsidRPr="00542556" w:rsidRDefault="00B1381C" w:rsidP="00542556">
      <w:pPr>
        <w:spacing w:line="240" w:lineRule="auto"/>
        <w:rPr>
          <w:rFonts w:ascii="Times New Roman" w:hAnsi="Times New Roman"/>
        </w:rPr>
      </w:pPr>
    </w:p>
    <w:p w:rsidR="00834371" w:rsidRPr="00542556" w:rsidRDefault="00740E33" w:rsidP="00C33231">
      <w:pPr>
        <w:spacing w:after="240" w:line="240" w:lineRule="auto"/>
        <w:ind w:firstLine="0"/>
        <w:jc w:val="left"/>
        <w:rPr>
          <w:rFonts w:ascii="Times New Roman" w:hAnsi="Times New Roman"/>
        </w:rPr>
      </w:pPr>
      <w:r>
        <w:rPr>
          <w:rFonts w:ascii="Times New Roman" w:hAnsi="Times New Roman"/>
        </w:rPr>
        <w:t>During study design, we have sought the input of nationally recognized experts on public housing and Section 8 housing support, including Professors John Goering (City University of New York) and Ingrid Gould-Ellen (New York University).</w:t>
      </w:r>
    </w:p>
    <w:p w:rsidR="00B17A60" w:rsidRPr="00933DA0" w:rsidRDefault="00B17A60" w:rsidP="00542556">
      <w:pPr>
        <w:pStyle w:val="Heading3"/>
        <w:jc w:val="left"/>
        <w:rPr>
          <w:rFonts w:ascii="Arial" w:hAnsi="Arial" w:cs="Arial"/>
          <w:sz w:val="24"/>
          <w:szCs w:val="24"/>
        </w:rPr>
      </w:pPr>
      <w:r w:rsidRPr="00933DA0">
        <w:rPr>
          <w:rFonts w:ascii="Arial" w:hAnsi="Arial" w:cs="Arial"/>
          <w:sz w:val="24"/>
          <w:szCs w:val="24"/>
        </w:rPr>
        <w:t xml:space="preserve">A.9 Justification for Respondent </w:t>
      </w:r>
      <w:r w:rsidR="00D54C22">
        <w:rPr>
          <w:rFonts w:ascii="Arial" w:hAnsi="Arial" w:cs="Arial"/>
          <w:sz w:val="24"/>
          <w:szCs w:val="24"/>
          <w:lang w:val="en-US"/>
        </w:rPr>
        <w:t xml:space="preserve">and Site </w:t>
      </w:r>
      <w:r w:rsidRPr="00933DA0">
        <w:rPr>
          <w:rFonts w:ascii="Arial" w:hAnsi="Arial" w:cs="Arial"/>
          <w:sz w:val="24"/>
          <w:szCs w:val="24"/>
        </w:rPr>
        <w:t>Payments</w:t>
      </w:r>
    </w:p>
    <w:p w:rsidR="005629D8" w:rsidRDefault="006E545D" w:rsidP="00AE378A">
      <w:pPr>
        <w:spacing w:after="240" w:line="240" w:lineRule="auto"/>
        <w:ind w:firstLine="0"/>
        <w:jc w:val="left"/>
        <w:rPr>
          <w:rFonts w:ascii="Times New Roman" w:hAnsi="Times New Roman"/>
        </w:rPr>
      </w:pPr>
      <w:r w:rsidRPr="00AE378A">
        <w:rPr>
          <w:rFonts w:ascii="Times New Roman" w:hAnsi="Times New Roman"/>
        </w:rPr>
        <w:t>As part of TO</w:t>
      </w:r>
      <w:r w:rsidR="00AE378A">
        <w:rPr>
          <w:rFonts w:ascii="Times New Roman" w:hAnsi="Times New Roman"/>
        </w:rPr>
        <w:t>1</w:t>
      </w:r>
      <w:r w:rsidR="00740E33" w:rsidRPr="00AE378A">
        <w:rPr>
          <w:rFonts w:ascii="Times New Roman" w:hAnsi="Times New Roman"/>
        </w:rPr>
        <w:t xml:space="preserve">, </w:t>
      </w:r>
      <w:r w:rsidR="005629D8">
        <w:rPr>
          <w:rFonts w:ascii="Times New Roman" w:hAnsi="Times New Roman"/>
        </w:rPr>
        <w:t xml:space="preserve">study participants were offered </w:t>
      </w:r>
      <w:r w:rsidRPr="00AE378A">
        <w:rPr>
          <w:rFonts w:ascii="Times New Roman" w:hAnsi="Times New Roman"/>
        </w:rPr>
        <w:t>a payment of $25 in the form of a gift card</w:t>
      </w:r>
      <w:r w:rsidR="00740E33" w:rsidRPr="00AE378A">
        <w:rPr>
          <w:rFonts w:ascii="Times New Roman" w:hAnsi="Times New Roman"/>
        </w:rPr>
        <w:t xml:space="preserve"> upon study enrollment</w:t>
      </w:r>
      <w:r w:rsidRPr="00AE378A">
        <w:rPr>
          <w:rFonts w:ascii="Times New Roman" w:hAnsi="Times New Roman"/>
        </w:rPr>
        <w:t xml:space="preserve"> when the BIF is completed.  This payment </w:t>
      </w:r>
      <w:r w:rsidR="005629D8">
        <w:rPr>
          <w:rFonts w:ascii="Times New Roman" w:hAnsi="Times New Roman"/>
        </w:rPr>
        <w:t xml:space="preserve">was </w:t>
      </w:r>
      <w:r w:rsidRPr="00AE378A">
        <w:rPr>
          <w:rFonts w:ascii="Times New Roman" w:hAnsi="Times New Roman"/>
        </w:rPr>
        <w:t xml:space="preserve">intended as a small compensation for study participants for their time to complete the BIF.  </w:t>
      </w:r>
      <w:r w:rsidR="005629D8">
        <w:rPr>
          <w:rFonts w:ascii="Times New Roman" w:hAnsi="Times New Roman"/>
        </w:rPr>
        <w:t>HUD also provided the participating PHA</w:t>
      </w:r>
      <w:r w:rsidR="003F5B3A">
        <w:rPr>
          <w:rFonts w:ascii="Times New Roman" w:hAnsi="Times New Roman"/>
        </w:rPr>
        <w:t>s</w:t>
      </w:r>
      <w:r w:rsidR="005629D8">
        <w:rPr>
          <w:rFonts w:ascii="Times New Roman" w:hAnsi="Times New Roman"/>
        </w:rPr>
        <w:t xml:space="preserve"> with resources to </w:t>
      </w:r>
      <w:r w:rsidR="00193E88" w:rsidRPr="00AE378A">
        <w:rPr>
          <w:rFonts w:ascii="Times New Roman" w:hAnsi="Times New Roman"/>
        </w:rPr>
        <w:t xml:space="preserve">offset costs </w:t>
      </w:r>
      <w:r w:rsidR="005629D8">
        <w:rPr>
          <w:rFonts w:ascii="Times New Roman" w:hAnsi="Times New Roman"/>
        </w:rPr>
        <w:t xml:space="preserve">related to </w:t>
      </w:r>
      <w:r w:rsidR="00193E88" w:rsidRPr="00AE378A">
        <w:rPr>
          <w:rFonts w:ascii="Times New Roman" w:hAnsi="Times New Roman"/>
        </w:rPr>
        <w:t>necessary changes to their software systems</w:t>
      </w:r>
      <w:r w:rsidR="00740E33" w:rsidRPr="00AE378A">
        <w:rPr>
          <w:rFonts w:ascii="Times New Roman" w:hAnsi="Times New Roman"/>
        </w:rPr>
        <w:t>.</w:t>
      </w:r>
      <w:r w:rsidRPr="00AE378A">
        <w:rPr>
          <w:rFonts w:ascii="Times New Roman" w:hAnsi="Times New Roman"/>
        </w:rPr>
        <w:t xml:space="preserve"> </w:t>
      </w:r>
      <w:r w:rsidR="005629D8">
        <w:rPr>
          <w:rFonts w:ascii="Times New Roman" w:hAnsi="Times New Roman"/>
        </w:rPr>
        <w:t xml:space="preserve"> </w:t>
      </w:r>
    </w:p>
    <w:p w:rsidR="006B27EB" w:rsidRPr="00DE5F46" w:rsidRDefault="006E545D" w:rsidP="00AE378A">
      <w:pPr>
        <w:spacing w:after="240" w:line="240" w:lineRule="auto"/>
        <w:ind w:firstLine="0"/>
        <w:jc w:val="left"/>
        <w:rPr>
          <w:rFonts w:ascii="Times New Roman" w:hAnsi="Times New Roman"/>
        </w:rPr>
      </w:pPr>
      <w:r>
        <w:rPr>
          <w:rFonts w:ascii="Times New Roman" w:hAnsi="Times New Roman"/>
        </w:rPr>
        <w:t xml:space="preserve">Under TO2, we plan to provide a </w:t>
      </w:r>
      <w:r w:rsidR="00AE378A">
        <w:rPr>
          <w:rFonts w:ascii="Times New Roman" w:hAnsi="Times New Roman"/>
        </w:rPr>
        <w:t xml:space="preserve">small </w:t>
      </w:r>
      <w:r>
        <w:rPr>
          <w:rFonts w:ascii="Times New Roman" w:hAnsi="Times New Roman"/>
        </w:rPr>
        <w:t xml:space="preserve">payment of </w:t>
      </w:r>
      <w:r w:rsidR="0089485A">
        <w:rPr>
          <w:rFonts w:ascii="Times New Roman" w:hAnsi="Times New Roman"/>
        </w:rPr>
        <w:t>$30</w:t>
      </w:r>
      <w:r>
        <w:rPr>
          <w:rFonts w:ascii="Times New Roman" w:hAnsi="Times New Roman"/>
        </w:rPr>
        <w:t xml:space="preserve"> to the households who participate in the in-person interviews as part of the implementation research</w:t>
      </w:r>
      <w:r w:rsidR="005629D8">
        <w:rPr>
          <w:rFonts w:ascii="Times New Roman" w:hAnsi="Times New Roman"/>
        </w:rPr>
        <w:t xml:space="preserve"> (about 20 participants per site, for a total of 80)</w:t>
      </w:r>
      <w:r>
        <w:rPr>
          <w:rFonts w:ascii="Times New Roman" w:hAnsi="Times New Roman"/>
        </w:rPr>
        <w:t xml:space="preserve">. </w:t>
      </w:r>
      <w:r w:rsidR="005629D8">
        <w:rPr>
          <w:rFonts w:ascii="Times New Roman" w:hAnsi="Times New Roman"/>
        </w:rPr>
        <w:t>As with TO1, t</w:t>
      </w:r>
      <w:r>
        <w:rPr>
          <w:rFonts w:ascii="Times New Roman" w:hAnsi="Times New Roman"/>
        </w:rPr>
        <w:t>his payment is intended to compensate participants for their time participating in these discussions.</w:t>
      </w:r>
      <w:r w:rsidR="001835D3" w:rsidRPr="001835D3">
        <w:rPr>
          <w:rFonts w:ascii="Times New Roman" w:hAnsi="Times New Roman"/>
          <w:i/>
        </w:rPr>
        <w:tab/>
      </w:r>
    </w:p>
    <w:p w:rsidR="00B17A60" w:rsidRPr="003F5B3A" w:rsidRDefault="00B17A60" w:rsidP="00542556">
      <w:pPr>
        <w:pStyle w:val="Heading3"/>
        <w:jc w:val="left"/>
        <w:rPr>
          <w:rFonts w:ascii="Arial" w:hAnsi="Arial" w:cs="Arial"/>
          <w:sz w:val="24"/>
          <w:szCs w:val="24"/>
        </w:rPr>
      </w:pPr>
      <w:r w:rsidRPr="003F5B3A">
        <w:rPr>
          <w:rFonts w:ascii="Arial" w:hAnsi="Arial" w:cs="Arial"/>
          <w:sz w:val="24"/>
          <w:szCs w:val="24"/>
        </w:rPr>
        <w:lastRenderedPageBreak/>
        <w:t>A.10</w:t>
      </w:r>
      <w:r w:rsidR="003F5B3A">
        <w:rPr>
          <w:rFonts w:ascii="Arial" w:hAnsi="Arial" w:cs="Arial"/>
          <w:sz w:val="24"/>
          <w:szCs w:val="24"/>
          <w:lang w:val="en-US"/>
        </w:rPr>
        <w:t xml:space="preserve"> </w:t>
      </w:r>
      <w:r w:rsidRPr="003F5B3A">
        <w:rPr>
          <w:rFonts w:ascii="Arial" w:hAnsi="Arial" w:cs="Arial"/>
          <w:sz w:val="24"/>
          <w:szCs w:val="24"/>
        </w:rPr>
        <w:t>Assurances of Privacy</w:t>
      </w:r>
    </w:p>
    <w:p w:rsidR="00AE0582" w:rsidRDefault="000E1899" w:rsidP="00C33231">
      <w:pPr>
        <w:spacing w:line="240" w:lineRule="auto"/>
        <w:ind w:firstLine="0"/>
        <w:jc w:val="left"/>
        <w:rPr>
          <w:rFonts w:ascii="Times New Roman" w:hAnsi="Times New Roman"/>
        </w:rPr>
      </w:pPr>
      <w:r>
        <w:rPr>
          <w:rFonts w:ascii="Times New Roman" w:hAnsi="Times New Roman"/>
        </w:rPr>
        <w:t>S</w:t>
      </w:r>
      <w:r w:rsidR="00A77604">
        <w:rPr>
          <w:rFonts w:ascii="Times New Roman" w:hAnsi="Times New Roman"/>
        </w:rPr>
        <w:t xml:space="preserve">trong protections </w:t>
      </w:r>
      <w:r w:rsidR="007422FE">
        <w:rPr>
          <w:rFonts w:ascii="Times New Roman" w:hAnsi="Times New Roman"/>
        </w:rPr>
        <w:t xml:space="preserve">have been </w:t>
      </w:r>
      <w:r w:rsidR="00A77604">
        <w:rPr>
          <w:rFonts w:ascii="Times New Roman" w:hAnsi="Times New Roman"/>
        </w:rPr>
        <w:t xml:space="preserve">implemented to maintain </w:t>
      </w:r>
      <w:r>
        <w:rPr>
          <w:rFonts w:ascii="Times New Roman" w:hAnsi="Times New Roman"/>
        </w:rPr>
        <w:t xml:space="preserve">the </w:t>
      </w:r>
      <w:r w:rsidR="00A77604" w:rsidRPr="00E74DCF">
        <w:rPr>
          <w:rFonts w:ascii="Times New Roman" w:hAnsi="Times New Roman"/>
        </w:rPr>
        <w:t>privacy</w:t>
      </w:r>
      <w:r>
        <w:rPr>
          <w:rFonts w:ascii="Times New Roman" w:hAnsi="Times New Roman"/>
        </w:rPr>
        <w:t xml:space="preserve"> of tenants in all four demonstration sites</w:t>
      </w:r>
      <w:r w:rsidR="00A77604">
        <w:rPr>
          <w:rFonts w:ascii="Times New Roman" w:hAnsi="Times New Roman"/>
        </w:rPr>
        <w:t>,</w:t>
      </w:r>
      <w:r w:rsidR="00A77604" w:rsidRPr="00E74DCF">
        <w:rPr>
          <w:rFonts w:ascii="Times New Roman" w:hAnsi="Times New Roman"/>
        </w:rPr>
        <w:t xml:space="preserve"> to the extent permitted by law.</w:t>
      </w:r>
      <w:r>
        <w:rPr>
          <w:rFonts w:ascii="Times New Roman" w:hAnsi="Times New Roman"/>
        </w:rPr>
        <w:t xml:space="preserve">  </w:t>
      </w:r>
      <w:r w:rsidR="00AE0582">
        <w:rPr>
          <w:rFonts w:ascii="Times New Roman" w:hAnsi="Times New Roman"/>
        </w:rPr>
        <w:t xml:space="preserve">All tenants </w:t>
      </w:r>
      <w:r w:rsidR="007422FE">
        <w:rPr>
          <w:rFonts w:ascii="Times New Roman" w:hAnsi="Times New Roman"/>
        </w:rPr>
        <w:t xml:space="preserve">are </w:t>
      </w:r>
      <w:r w:rsidR="00E74DCF">
        <w:rPr>
          <w:rFonts w:ascii="Times New Roman" w:hAnsi="Times New Roman"/>
        </w:rPr>
        <w:t xml:space="preserve">allowed to </w:t>
      </w:r>
      <w:r w:rsidR="003F5B3A">
        <w:rPr>
          <w:rFonts w:ascii="Times New Roman" w:hAnsi="Times New Roman"/>
        </w:rPr>
        <w:t>withdraw from</w:t>
      </w:r>
      <w:r w:rsidR="00E74DCF">
        <w:rPr>
          <w:rFonts w:ascii="Times New Roman" w:hAnsi="Times New Roman"/>
        </w:rPr>
        <w:t xml:space="preserve"> having their personal</w:t>
      </w:r>
      <w:r w:rsidR="00AE0582">
        <w:rPr>
          <w:rFonts w:ascii="Times New Roman" w:hAnsi="Times New Roman"/>
        </w:rPr>
        <w:t>ly identifiable</w:t>
      </w:r>
      <w:r w:rsidR="00E74DCF">
        <w:rPr>
          <w:rFonts w:ascii="Times New Roman" w:hAnsi="Times New Roman"/>
        </w:rPr>
        <w:t xml:space="preserve"> data shared with MDRC or its research partners.</w:t>
      </w:r>
      <w:r w:rsidR="00AE0582">
        <w:rPr>
          <w:rFonts w:ascii="Times New Roman" w:hAnsi="Times New Roman"/>
        </w:rPr>
        <w:t xml:space="preserve">  </w:t>
      </w:r>
      <w:r w:rsidR="002B7D26">
        <w:rPr>
          <w:rFonts w:ascii="Times New Roman" w:hAnsi="Times New Roman"/>
        </w:rPr>
        <w:t>Tenants</w:t>
      </w:r>
      <w:r w:rsidR="00E74DCF">
        <w:rPr>
          <w:rFonts w:ascii="Times New Roman" w:hAnsi="Times New Roman"/>
        </w:rPr>
        <w:t xml:space="preserve"> </w:t>
      </w:r>
      <w:r w:rsidR="007422FE">
        <w:rPr>
          <w:rFonts w:ascii="Times New Roman" w:hAnsi="Times New Roman"/>
        </w:rPr>
        <w:t xml:space="preserve">are being </w:t>
      </w:r>
      <w:r w:rsidR="00E74DCF">
        <w:rPr>
          <w:rFonts w:ascii="Times New Roman" w:hAnsi="Times New Roman"/>
        </w:rPr>
        <w:t xml:space="preserve">notified about this opportunity as part of the normal certification process they undergo </w:t>
      </w:r>
      <w:r w:rsidR="00AE0582">
        <w:rPr>
          <w:rFonts w:ascii="Times New Roman" w:hAnsi="Times New Roman"/>
        </w:rPr>
        <w:t xml:space="preserve">to </w:t>
      </w:r>
      <w:r w:rsidR="00E74DCF">
        <w:rPr>
          <w:rFonts w:ascii="Times New Roman" w:hAnsi="Times New Roman"/>
        </w:rPr>
        <w:t xml:space="preserve">renew vouchers. This process was </w:t>
      </w:r>
      <w:r w:rsidR="00F76667" w:rsidRPr="00E74DCF">
        <w:rPr>
          <w:rFonts w:ascii="Times New Roman" w:hAnsi="Times New Roman"/>
        </w:rPr>
        <w:t xml:space="preserve">approved by MDRC’s IRB and </w:t>
      </w:r>
      <w:r w:rsidR="006104B6">
        <w:rPr>
          <w:rFonts w:ascii="Times New Roman" w:hAnsi="Times New Roman"/>
        </w:rPr>
        <w:t xml:space="preserve">by </w:t>
      </w:r>
      <w:r w:rsidR="00F76667" w:rsidRPr="00E74DCF">
        <w:rPr>
          <w:rFonts w:ascii="Times New Roman" w:hAnsi="Times New Roman"/>
        </w:rPr>
        <w:t>HUD</w:t>
      </w:r>
      <w:r w:rsidR="005629D8">
        <w:rPr>
          <w:rFonts w:ascii="Times New Roman" w:hAnsi="Times New Roman"/>
        </w:rPr>
        <w:t xml:space="preserve"> (also approved by OMB</w:t>
      </w:r>
      <w:r w:rsidR="006104B6">
        <w:rPr>
          <w:rFonts w:ascii="Times New Roman" w:hAnsi="Times New Roman"/>
        </w:rPr>
        <w:t xml:space="preserve"> </w:t>
      </w:r>
      <w:r w:rsidR="00C022E3">
        <w:rPr>
          <w:rFonts w:ascii="Times New Roman" w:eastAsia="Calibri" w:hAnsi="Times New Roman"/>
        </w:rPr>
        <w:t>Tenants</w:t>
      </w:r>
      <w:r w:rsidR="00C022E3" w:rsidRPr="001B601E">
        <w:rPr>
          <w:rFonts w:ascii="Times New Roman" w:eastAsia="Calibri" w:hAnsi="Times New Roman"/>
        </w:rPr>
        <w:t xml:space="preserve"> may </w:t>
      </w:r>
      <w:r w:rsidR="003F5B3A">
        <w:rPr>
          <w:rFonts w:ascii="Times New Roman" w:eastAsia="Calibri" w:hAnsi="Times New Roman"/>
        </w:rPr>
        <w:t>withdraw from</w:t>
      </w:r>
      <w:r w:rsidR="00C022E3">
        <w:rPr>
          <w:rFonts w:ascii="Times New Roman" w:eastAsia="Calibri" w:hAnsi="Times New Roman"/>
        </w:rPr>
        <w:t xml:space="preserve"> data disclosure</w:t>
      </w:r>
      <w:r w:rsidR="00C022E3" w:rsidRPr="001B601E">
        <w:rPr>
          <w:rFonts w:ascii="Times New Roman" w:eastAsia="Calibri" w:hAnsi="Times New Roman"/>
        </w:rPr>
        <w:t xml:space="preserve"> by </w:t>
      </w:r>
      <w:r w:rsidR="003F5B3A">
        <w:rPr>
          <w:rFonts w:ascii="Times New Roman" w:eastAsia="Calibri" w:hAnsi="Times New Roman"/>
        </w:rPr>
        <w:t xml:space="preserve">contacting </w:t>
      </w:r>
      <w:r w:rsidR="00C022E3">
        <w:rPr>
          <w:rFonts w:ascii="Times New Roman" w:hAnsi="Times New Roman"/>
        </w:rPr>
        <w:t>MDRC</w:t>
      </w:r>
      <w:r w:rsidR="002E7597">
        <w:rPr>
          <w:rFonts w:ascii="Times New Roman" w:hAnsi="Times New Roman"/>
        </w:rPr>
        <w:t xml:space="preserve">.  </w:t>
      </w:r>
    </w:p>
    <w:p w:rsidR="00AE0582" w:rsidRDefault="00AE0582" w:rsidP="00C33231">
      <w:pPr>
        <w:spacing w:line="240" w:lineRule="auto"/>
        <w:ind w:firstLine="0"/>
        <w:jc w:val="left"/>
        <w:rPr>
          <w:rFonts w:ascii="Times New Roman" w:hAnsi="Times New Roman"/>
        </w:rPr>
      </w:pPr>
    </w:p>
    <w:p w:rsidR="00B17A60" w:rsidRPr="001B601E" w:rsidRDefault="007422FE" w:rsidP="00C33231">
      <w:pPr>
        <w:spacing w:line="240" w:lineRule="auto"/>
        <w:ind w:firstLine="0"/>
        <w:jc w:val="left"/>
        <w:rPr>
          <w:rFonts w:ascii="Times New Roman" w:hAnsi="Times New Roman"/>
        </w:rPr>
      </w:pPr>
      <w:r>
        <w:rPr>
          <w:rFonts w:ascii="Times New Roman" w:eastAsia="Calibri" w:hAnsi="Times New Roman"/>
        </w:rPr>
        <w:t xml:space="preserve">As previously described, </w:t>
      </w:r>
      <w:r w:rsidR="006104B6" w:rsidRPr="001B601E">
        <w:rPr>
          <w:rFonts w:ascii="Times New Roman" w:eastAsia="Calibri" w:hAnsi="Times New Roman"/>
        </w:rPr>
        <w:t xml:space="preserve">MDRC will collect data on </w:t>
      </w:r>
      <w:r w:rsidR="006104B6">
        <w:rPr>
          <w:rFonts w:ascii="Times New Roman" w:eastAsia="Calibri" w:hAnsi="Times New Roman"/>
        </w:rPr>
        <w:t xml:space="preserve">each household </w:t>
      </w:r>
      <w:r w:rsidR="006104B6" w:rsidRPr="001B601E">
        <w:rPr>
          <w:rFonts w:ascii="Times New Roman" w:eastAsia="Calibri" w:hAnsi="Times New Roman"/>
        </w:rPr>
        <w:t xml:space="preserve">from HUD 50058 forms prior to </w:t>
      </w:r>
      <w:r w:rsidR="006104B6">
        <w:rPr>
          <w:rFonts w:ascii="Times New Roman" w:eastAsia="Calibri" w:hAnsi="Times New Roman"/>
        </w:rPr>
        <w:t xml:space="preserve">random assignment </w:t>
      </w:r>
      <w:r w:rsidR="006104B6" w:rsidRPr="001B601E">
        <w:rPr>
          <w:rFonts w:ascii="Times New Roman" w:eastAsia="Calibri" w:hAnsi="Times New Roman"/>
        </w:rPr>
        <w:t xml:space="preserve">and </w:t>
      </w:r>
      <w:r w:rsidR="006104B6" w:rsidRPr="00B57494">
        <w:rPr>
          <w:rFonts w:ascii="Times New Roman" w:eastAsia="Calibri" w:hAnsi="Times New Roman"/>
        </w:rPr>
        <w:t xml:space="preserve">for a </w:t>
      </w:r>
      <w:r w:rsidR="006104B6" w:rsidRPr="001D6FE2">
        <w:rPr>
          <w:rFonts w:ascii="Times New Roman" w:eastAsia="Calibri" w:hAnsi="Times New Roman"/>
          <w:i/>
        </w:rPr>
        <w:t>minimum</w:t>
      </w:r>
      <w:r w:rsidR="006104B6">
        <w:rPr>
          <w:rFonts w:ascii="Times New Roman" w:eastAsia="Calibri" w:hAnsi="Times New Roman"/>
        </w:rPr>
        <w:t xml:space="preserve"> of three full years </w:t>
      </w:r>
      <w:r w:rsidR="006104B6" w:rsidRPr="001B601E">
        <w:rPr>
          <w:rFonts w:ascii="Times New Roman" w:eastAsia="Calibri" w:hAnsi="Times New Roman"/>
        </w:rPr>
        <w:t>after random assig</w:t>
      </w:r>
      <w:r w:rsidR="006104B6" w:rsidRPr="00B57494">
        <w:rPr>
          <w:rFonts w:ascii="Times New Roman" w:eastAsia="Calibri" w:hAnsi="Times New Roman"/>
        </w:rPr>
        <w:t>nment</w:t>
      </w:r>
      <w:r w:rsidR="006104B6" w:rsidRPr="003175C3">
        <w:rPr>
          <w:rFonts w:ascii="Times New Roman" w:eastAsia="Calibri" w:hAnsi="Times New Roman"/>
        </w:rPr>
        <w:t xml:space="preserve">. </w:t>
      </w:r>
      <w:r w:rsidR="006104B6">
        <w:rPr>
          <w:rFonts w:ascii="Times New Roman" w:eastAsia="Calibri" w:hAnsi="Times New Roman"/>
        </w:rPr>
        <w:t xml:space="preserve"> </w:t>
      </w:r>
      <w:r w:rsidR="006104B6" w:rsidRPr="003175C3">
        <w:rPr>
          <w:rFonts w:ascii="Times New Roman" w:eastAsia="Calibri" w:hAnsi="Times New Roman"/>
        </w:rPr>
        <w:t xml:space="preserve">Employment and earnings data </w:t>
      </w:r>
      <w:r w:rsidR="006104B6" w:rsidRPr="005629D8">
        <w:rPr>
          <w:rFonts w:ascii="Times New Roman" w:eastAsia="Calibri" w:hAnsi="Times New Roman"/>
        </w:rPr>
        <w:t xml:space="preserve">will be sought through state agencies or the </w:t>
      </w:r>
      <w:r w:rsidR="00DC08C0" w:rsidRPr="005629D8">
        <w:rPr>
          <w:rFonts w:ascii="Times New Roman" w:hAnsi="Times New Roman"/>
        </w:rPr>
        <w:t xml:space="preserve">National Directory of New Hires </w:t>
      </w:r>
      <w:r w:rsidR="00F921E1" w:rsidRPr="005629D8">
        <w:rPr>
          <w:rFonts w:ascii="Times New Roman" w:hAnsi="Times New Roman"/>
        </w:rPr>
        <w:t>(</w:t>
      </w:r>
      <w:r w:rsidR="006104B6" w:rsidRPr="005629D8">
        <w:rPr>
          <w:rFonts w:ascii="Times New Roman" w:eastAsia="Calibri" w:hAnsi="Times New Roman"/>
        </w:rPr>
        <w:t>NDNH</w:t>
      </w:r>
      <w:r w:rsidR="00F921E1" w:rsidRPr="005629D8">
        <w:rPr>
          <w:rFonts w:ascii="Times New Roman" w:eastAsia="Calibri" w:hAnsi="Times New Roman"/>
        </w:rPr>
        <w:t>)</w:t>
      </w:r>
      <w:r w:rsidR="006104B6" w:rsidRPr="005629D8">
        <w:rPr>
          <w:rFonts w:ascii="Times New Roman" w:eastAsia="Calibri" w:hAnsi="Times New Roman"/>
        </w:rPr>
        <w:t xml:space="preserve"> data base,</w:t>
      </w:r>
      <w:r w:rsidR="006104B6">
        <w:rPr>
          <w:rFonts w:ascii="Times New Roman" w:eastAsia="Calibri" w:hAnsi="Times New Roman"/>
        </w:rPr>
        <w:t xml:space="preserve"> </w:t>
      </w:r>
      <w:r w:rsidR="006104B6" w:rsidRPr="003175C3">
        <w:rPr>
          <w:rFonts w:ascii="Times New Roman" w:eastAsia="Calibri" w:hAnsi="Times New Roman"/>
        </w:rPr>
        <w:t>and public assistance data will be sought through state agenci</w:t>
      </w:r>
      <w:r w:rsidR="006104B6" w:rsidRPr="003F5B3A">
        <w:rPr>
          <w:rFonts w:ascii="Times New Roman" w:eastAsia="Calibri" w:hAnsi="Times New Roman"/>
        </w:rPr>
        <w:t>es.</w:t>
      </w:r>
      <w:r w:rsidR="002E7597" w:rsidRPr="003F5B3A">
        <w:rPr>
          <w:rFonts w:ascii="Times New Roman" w:hAnsi="Times New Roman"/>
        </w:rPr>
        <w:t xml:space="preserve"> </w:t>
      </w:r>
      <w:r w:rsidR="002E7597" w:rsidRPr="003A2B35">
        <w:rPr>
          <w:rFonts w:ascii="Times New Roman" w:hAnsi="Times New Roman"/>
        </w:rPr>
        <w:t>HMIS</w:t>
      </w:r>
      <w:r w:rsidR="002E7597" w:rsidRPr="003F5B3A">
        <w:rPr>
          <w:rFonts w:ascii="Times New Roman" w:hAnsi="Times New Roman"/>
        </w:rPr>
        <w:t xml:space="preserve"> data will be collected through local Continuum of Care organizations.</w:t>
      </w:r>
      <w:r w:rsidR="006104B6" w:rsidRPr="003F5B3A">
        <w:rPr>
          <w:rFonts w:ascii="Times New Roman" w:eastAsia="Calibri" w:hAnsi="Times New Roman"/>
        </w:rPr>
        <w:t xml:space="preserve"> In all circumstances, M</w:t>
      </w:r>
      <w:r w:rsidR="006104B6" w:rsidRPr="003175C3">
        <w:rPr>
          <w:rFonts w:ascii="Times New Roman" w:eastAsia="Calibri" w:hAnsi="Times New Roman"/>
        </w:rPr>
        <w:t>DRC will protect the confidentialit</w:t>
      </w:r>
      <w:r w:rsidR="006104B6" w:rsidRPr="00DE5F46">
        <w:rPr>
          <w:rFonts w:ascii="Times New Roman" w:eastAsia="Calibri" w:hAnsi="Times New Roman"/>
        </w:rPr>
        <w:t xml:space="preserve">y of the data </w:t>
      </w:r>
      <w:r w:rsidR="006104B6">
        <w:rPr>
          <w:rFonts w:ascii="Times New Roman" w:eastAsia="Calibri" w:hAnsi="Times New Roman"/>
        </w:rPr>
        <w:t xml:space="preserve">it collects </w:t>
      </w:r>
      <w:r w:rsidR="006104B6" w:rsidRPr="00DE5F46">
        <w:rPr>
          <w:rFonts w:ascii="Times New Roman" w:eastAsia="Calibri" w:hAnsi="Times New Roman"/>
        </w:rPr>
        <w:t xml:space="preserve">through </w:t>
      </w:r>
      <w:r w:rsidR="006104B6">
        <w:rPr>
          <w:rFonts w:ascii="Times New Roman" w:eastAsia="Calibri" w:hAnsi="Times New Roman"/>
        </w:rPr>
        <w:t xml:space="preserve">its regular high-security </w:t>
      </w:r>
      <w:r w:rsidR="006104B6" w:rsidRPr="00DE5F46">
        <w:rPr>
          <w:rFonts w:ascii="Times New Roman" w:eastAsia="Calibri" w:hAnsi="Times New Roman"/>
        </w:rPr>
        <w:t>safeguards and practices.</w:t>
      </w:r>
      <w:r w:rsidR="000E1899">
        <w:rPr>
          <w:rFonts w:ascii="Times New Roman" w:eastAsia="Calibri" w:hAnsi="Times New Roman"/>
        </w:rPr>
        <w:t xml:space="preserve">  </w:t>
      </w:r>
      <w:r w:rsidR="002B7D26">
        <w:rPr>
          <w:rFonts w:ascii="Times New Roman" w:hAnsi="Times New Roman"/>
        </w:rPr>
        <w:t>A</w:t>
      </w:r>
      <w:r w:rsidR="00B17A60" w:rsidRPr="00E74DCF">
        <w:rPr>
          <w:rFonts w:ascii="Times New Roman" w:hAnsi="Times New Roman"/>
        </w:rPr>
        <w:t xml:space="preserve">ll </w:t>
      </w:r>
      <w:r w:rsidR="00E74DCF">
        <w:rPr>
          <w:rFonts w:ascii="Times New Roman" w:hAnsi="Times New Roman"/>
        </w:rPr>
        <w:t>tenants</w:t>
      </w:r>
      <w:r w:rsidR="00E74DCF" w:rsidRPr="00E74DCF">
        <w:rPr>
          <w:rFonts w:ascii="Times New Roman" w:hAnsi="Times New Roman"/>
        </w:rPr>
        <w:t xml:space="preserve"> </w:t>
      </w:r>
      <w:r w:rsidR="00B17A60" w:rsidRPr="00E74DCF">
        <w:rPr>
          <w:rFonts w:ascii="Times New Roman" w:hAnsi="Times New Roman"/>
        </w:rPr>
        <w:t xml:space="preserve">will be informed that </w:t>
      </w:r>
      <w:r w:rsidR="00E74DCF">
        <w:rPr>
          <w:rFonts w:ascii="Times New Roman" w:hAnsi="Times New Roman"/>
        </w:rPr>
        <w:t xml:space="preserve">any personal </w:t>
      </w:r>
      <w:r w:rsidR="00B17A60" w:rsidRPr="00E74DCF">
        <w:rPr>
          <w:rFonts w:ascii="Times New Roman" w:hAnsi="Times New Roman"/>
        </w:rPr>
        <w:t xml:space="preserve">information they provide </w:t>
      </w:r>
      <w:r w:rsidR="00E74DCF">
        <w:rPr>
          <w:rFonts w:ascii="Times New Roman" w:hAnsi="Times New Roman"/>
        </w:rPr>
        <w:t xml:space="preserve">or allow access to for the study </w:t>
      </w:r>
      <w:r w:rsidR="00B17A60" w:rsidRPr="00E74DCF">
        <w:rPr>
          <w:rFonts w:ascii="Times New Roman" w:hAnsi="Times New Roman"/>
        </w:rPr>
        <w:t>will be used only for the purpose of this</w:t>
      </w:r>
      <w:r w:rsidR="00C022E3">
        <w:rPr>
          <w:rFonts w:ascii="Times New Roman" w:hAnsi="Times New Roman"/>
        </w:rPr>
        <w:t xml:space="preserve">.  </w:t>
      </w:r>
      <w:r w:rsidR="00B17A60" w:rsidRPr="00E74DCF">
        <w:rPr>
          <w:rFonts w:ascii="Times New Roman" w:hAnsi="Times New Roman"/>
        </w:rPr>
        <w:t xml:space="preserve">Individuals will not be </w:t>
      </w:r>
      <w:r w:rsidR="00C022E3">
        <w:rPr>
          <w:rFonts w:ascii="Times New Roman" w:hAnsi="Times New Roman"/>
        </w:rPr>
        <w:t xml:space="preserve">identified </w:t>
      </w:r>
      <w:r w:rsidR="00B17A60" w:rsidRPr="00E74DCF">
        <w:rPr>
          <w:rFonts w:ascii="Times New Roman" w:hAnsi="Times New Roman"/>
        </w:rPr>
        <w:t xml:space="preserve">in prepared reports. </w:t>
      </w:r>
      <w:r w:rsidR="00B17A60" w:rsidRPr="007F7E9B">
        <w:rPr>
          <w:rFonts w:ascii="Times New Roman" w:hAnsi="Times New Roman"/>
        </w:rPr>
        <w:t>All r</w:t>
      </w:r>
      <w:r w:rsidR="00B17A60" w:rsidRPr="00F64726">
        <w:rPr>
          <w:rFonts w:ascii="Times New Roman" w:hAnsi="Times New Roman"/>
        </w:rPr>
        <w:t xml:space="preserve">esearch staff working on the project </w:t>
      </w:r>
      <w:proofErr w:type="gramStart"/>
      <w:r w:rsidR="00B17A60" w:rsidRPr="00F64726">
        <w:rPr>
          <w:rFonts w:ascii="Times New Roman" w:hAnsi="Times New Roman"/>
        </w:rPr>
        <w:t>have</w:t>
      </w:r>
      <w:proofErr w:type="gramEnd"/>
      <w:r w:rsidR="00B17A60" w:rsidRPr="00F64726">
        <w:rPr>
          <w:rFonts w:ascii="Times New Roman" w:hAnsi="Times New Roman"/>
        </w:rPr>
        <w:t xml:space="preserve"> been trained to protect private information and have signed a pledge stating that they will keep all information gathered private to the extent permissible by law. All papers that contain </w:t>
      </w:r>
      <w:r w:rsidR="00C022E3">
        <w:rPr>
          <w:rFonts w:ascii="Times New Roman" w:hAnsi="Times New Roman"/>
        </w:rPr>
        <w:t xml:space="preserve">study </w:t>
      </w:r>
      <w:r w:rsidR="00B17A60" w:rsidRPr="00F64726">
        <w:rPr>
          <w:rFonts w:ascii="Times New Roman" w:hAnsi="Times New Roman"/>
        </w:rPr>
        <w:t>participant names or other</w:t>
      </w:r>
      <w:r w:rsidR="00B17A60" w:rsidRPr="0064497E">
        <w:rPr>
          <w:rFonts w:ascii="Times New Roman" w:hAnsi="Times New Roman"/>
        </w:rPr>
        <w:t xml:space="preserve"> identifying information will be kept in locked areas and any computer documents containing identifying information will be protected with a password.  </w:t>
      </w:r>
      <w:r w:rsidR="00364A8A" w:rsidRPr="001B601E">
        <w:rPr>
          <w:rFonts w:ascii="Times New Roman" w:hAnsi="Times New Roman"/>
        </w:rPr>
        <w:t xml:space="preserve"> </w:t>
      </w:r>
      <w:r w:rsidR="00E26634" w:rsidRPr="001B601E">
        <w:rPr>
          <w:rFonts w:ascii="Times New Roman" w:hAnsi="Times New Roman"/>
        </w:rPr>
        <w:t xml:space="preserve"> </w:t>
      </w:r>
    </w:p>
    <w:p w:rsidR="00B17A60" w:rsidRPr="00B57494" w:rsidRDefault="00B17A60" w:rsidP="00542556">
      <w:pPr>
        <w:spacing w:line="240" w:lineRule="auto"/>
        <w:jc w:val="left"/>
        <w:rPr>
          <w:rFonts w:ascii="Times New Roman" w:hAnsi="Times New Roman"/>
        </w:rPr>
      </w:pPr>
    </w:p>
    <w:p w:rsidR="00B17A60" w:rsidRPr="00933DA0" w:rsidRDefault="00B17A60" w:rsidP="00542556">
      <w:pPr>
        <w:pStyle w:val="Heading3"/>
        <w:jc w:val="left"/>
        <w:rPr>
          <w:rFonts w:ascii="Arial" w:hAnsi="Arial" w:cs="Arial"/>
          <w:sz w:val="24"/>
          <w:szCs w:val="24"/>
        </w:rPr>
      </w:pPr>
      <w:r w:rsidRPr="00933DA0">
        <w:rPr>
          <w:rFonts w:ascii="Arial" w:hAnsi="Arial" w:cs="Arial"/>
          <w:sz w:val="24"/>
          <w:szCs w:val="24"/>
        </w:rPr>
        <w:t>A. 11</w:t>
      </w:r>
      <w:r w:rsidRPr="00933DA0">
        <w:rPr>
          <w:rFonts w:ascii="Arial" w:hAnsi="Arial" w:cs="Arial"/>
          <w:sz w:val="24"/>
          <w:szCs w:val="24"/>
        </w:rPr>
        <w:tab/>
        <w:t>Questions of a Sensitive Nature</w:t>
      </w:r>
    </w:p>
    <w:p w:rsidR="00B17A60" w:rsidRPr="005629D8" w:rsidRDefault="005629D8" w:rsidP="00C33231">
      <w:pPr>
        <w:pStyle w:val="BodyText"/>
        <w:rPr>
          <w:rFonts w:ascii="Times New Roman" w:hAnsi="Times New Roman"/>
          <w:sz w:val="24"/>
          <w:szCs w:val="24"/>
          <w:lang w:val="en-US"/>
        </w:rPr>
      </w:pPr>
      <w:r>
        <w:rPr>
          <w:rFonts w:ascii="Times New Roman" w:hAnsi="Times New Roman"/>
          <w:sz w:val="24"/>
          <w:szCs w:val="24"/>
          <w:lang w:val="en-US"/>
        </w:rPr>
        <w:t xml:space="preserve">The qualitative data collection proposed under TO2 will focus on staff and participant experiences with the alternative </w:t>
      </w:r>
      <w:r w:rsidR="007422FE">
        <w:rPr>
          <w:rFonts w:ascii="Times New Roman" w:hAnsi="Times New Roman"/>
          <w:sz w:val="24"/>
          <w:szCs w:val="24"/>
          <w:lang w:val="en-US"/>
        </w:rPr>
        <w:t xml:space="preserve">and current </w:t>
      </w:r>
      <w:r>
        <w:rPr>
          <w:rFonts w:ascii="Times New Roman" w:hAnsi="Times New Roman"/>
          <w:sz w:val="24"/>
          <w:szCs w:val="24"/>
          <w:lang w:val="en-US"/>
        </w:rPr>
        <w:t>rent polic</w:t>
      </w:r>
      <w:r w:rsidR="007422FE">
        <w:rPr>
          <w:rFonts w:ascii="Times New Roman" w:hAnsi="Times New Roman"/>
          <w:sz w:val="24"/>
          <w:szCs w:val="24"/>
          <w:lang w:val="en-US"/>
        </w:rPr>
        <w:t>ies</w:t>
      </w:r>
      <w:r>
        <w:rPr>
          <w:rFonts w:ascii="Times New Roman" w:hAnsi="Times New Roman"/>
          <w:sz w:val="24"/>
          <w:szCs w:val="24"/>
          <w:lang w:val="en-US"/>
        </w:rPr>
        <w:t xml:space="preserve">. </w:t>
      </w:r>
      <w:r w:rsidR="00B17A60" w:rsidRPr="00513505">
        <w:rPr>
          <w:rFonts w:ascii="Times New Roman" w:hAnsi="Times New Roman"/>
          <w:sz w:val="24"/>
          <w:szCs w:val="24"/>
        </w:rPr>
        <w:t xml:space="preserve">Respondents will be informed prior to </w:t>
      </w:r>
      <w:r>
        <w:rPr>
          <w:rFonts w:ascii="Times New Roman" w:hAnsi="Times New Roman"/>
          <w:sz w:val="24"/>
          <w:szCs w:val="24"/>
          <w:lang w:val="en-US"/>
        </w:rPr>
        <w:t xml:space="preserve">their interviews with MDRC staff </w:t>
      </w:r>
      <w:r w:rsidR="00B17A60" w:rsidRPr="00513505">
        <w:rPr>
          <w:rFonts w:ascii="Times New Roman" w:hAnsi="Times New Roman"/>
          <w:sz w:val="24"/>
          <w:szCs w:val="24"/>
        </w:rPr>
        <w:t>that the</w:t>
      </w:r>
      <w:r>
        <w:rPr>
          <w:rFonts w:ascii="Times New Roman" w:hAnsi="Times New Roman"/>
          <w:sz w:val="24"/>
          <w:szCs w:val="24"/>
          <w:lang w:val="en-US"/>
        </w:rPr>
        <w:t xml:space="preserve">y </w:t>
      </w:r>
      <w:r w:rsidR="00B17A60" w:rsidRPr="00513505">
        <w:rPr>
          <w:rFonts w:ascii="Times New Roman" w:hAnsi="Times New Roman"/>
          <w:sz w:val="24"/>
          <w:szCs w:val="24"/>
        </w:rPr>
        <w:t>may refuse to answer any question</w:t>
      </w:r>
      <w:r>
        <w:rPr>
          <w:rFonts w:ascii="Times New Roman" w:hAnsi="Times New Roman"/>
          <w:sz w:val="24"/>
          <w:szCs w:val="24"/>
          <w:lang w:val="en-US"/>
        </w:rPr>
        <w:t xml:space="preserve"> and </w:t>
      </w:r>
      <w:r w:rsidR="00B17A60" w:rsidRPr="00513505">
        <w:rPr>
          <w:rFonts w:ascii="Times New Roman" w:hAnsi="Times New Roman"/>
          <w:sz w:val="24"/>
          <w:szCs w:val="24"/>
        </w:rPr>
        <w:t xml:space="preserve">that </w:t>
      </w:r>
      <w:r>
        <w:rPr>
          <w:rFonts w:ascii="Times New Roman" w:hAnsi="Times New Roman"/>
          <w:sz w:val="24"/>
          <w:szCs w:val="24"/>
          <w:lang w:val="en-US"/>
        </w:rPr>
        <w:t xml:space="preserve">their responses will be used </w:t>
      </w:r>
      <w:r w:rsidR="00B17A60" w:rsidRPr="00513505">
        <w:rPr>
          <w:rFonts w:ascii="Times New Roman" w:hAnsi="Times New Roman"/>
          <w:sz w:val="24"/>
          <w:szCs w:val="24"/>
        </w:rPr>
        <w:t>in the aggregate</w:t>
      </w:r>
      <w:r>
        <w:rPr>
          <w:rFonts w:ascii="Times New Roman" w:hAnsi="Times New Roman"/>
          <w:sz w:val="24"/>
          <w:szCs w:val="24"/>
          <w:lang w:val="en-US"/>
        </w:rPr>
        <w:t xml:space="preserve"> (and that individual</w:t>
      </w:r>
      <w:r w:rsidR="003A2B35">
        <w:rPr>
          <w:rFonts w:ascii="Times New Roman" w:hAnsi="Times New Roman"/>
          <w:sz w:val="24"/>
          <w:szCs w:val="24"/>
          <w:lang w:val="en-US"/>
        </w:rPr>
        <w:t>s</w:t>
      </w:r>
      <w:r>
        <w:rPr>
          <w:rFonts w:ascii="Times New Roman" w:hAnsi="Times New Roman"/>
          <w:sz w:val="24"/>
          <w:szCs w:val="24"/>
          <w:lang w:val="en-US"/>
        </w:rPr>
        <w:t xml:space="preserve"> will not be identified by name). </w:t>
      </w:r>
    </w:p>
    <w:p w:rsidR="00B6170D" w:rsidRDefault="00B6170D" w:rsidP="00542556">
      <w:pPr>
        <w:spacing w:line="240" w:lineRule="auto"/>
        <w:ind w:firstLine="0"/>
        <w:jc w:val="left"/>
        <w:rPr>
          <w:rFonts w:ascii="Times New Roman" w:hAnsi="Times New Roman"/>
        </w:rPr>
      </w:pPr>
    </w:p>
    <w:p w:rsidR="005E5951" w:rsidRPr="00933DA0" w:rsidRDefault="005E5951" w:rsidP="005E5951">
      <w:pPr>
        <w:pStyle w:val="Heading3"/>
        <w:jc w:val="left"/>
        <w:rPr>
          <w:rFonts w:ascii="Arial" w:hAnsi="Arial" w:cs="Arial"/>
          <w:sz w:val="24"/>
          <w:szCs w:val="24"/>
        </w:rPr>
      </w:pPr>
      <w:r w:rsidRPr="00933DA0">
        <w:rPr>
          <w:rFonts w:ascii="Arial" w:hAnsi="Arial" w:cs="Arial"/>
          <w:sz w:val="24"/>
          <w:szCs w:val="24"/>
        </w:rPr>
        <w:t>A.12 Estimates of the Hour Burden of Data Collection to Respondents</w:t>
      </w:r>
    </w:p>
    <w:p w:rsidR="005E5951" w:rsidRPr="00F6177F" w:rsidRDefault="005E5951" w:rsidP="005E5951">
      <w:pPr>
        <w:spacing w:line="240" w:lineRule="auto"/>
        <w:ind w:firstLine="0"/>
        <w:jc w:val="left"/>
        <w:rPr>
          <w:rFonts w:ascii="Times New Roman" w:hAnsi="Times New Roman"/>
        </w:rPr>
      </w:pPr>
      <w:r w:rsidRPr="000F4A28">
        <w:rPr>
          <w:rFonts w:ascii="Times New Roman" w:hAnsi="Times New Roman"/>
        </w:rPr>
        <w:t xml:space="preserve">The hour burden estimates for data collection for Rent Reform operators and participants is outlined </w:t>
      </w:r>
      <w:r w:rsidRPr="00F6177F">
        <w:rPr>
          <w:rFonts w:ascii="Times New Roman" w:hAnsi="Times New Roman"/>
        </w:rPr>
        <w:t xml:space="preserve">below in Table </w:t>
      </w:r>
      <w:r>
        <w:rPr>
          <w:rFonts w:ascii="Times New Roman" w:hAnsi="Times New Roman"/>
        </w:rPr>
        <w:t>2</w:t>
      </w:r>
      <w:r w:rsidRPr="00F6177F">
        <w:rPr>
          <w:rFonts w:ascii="Times New Roman" w:hAnsi="Times New Roman"/>
        </w:rPr>
        <w:t xml:space="preserve">.  The estimates included below are based on </w:t>
      </w:r>
      <w:r w:rsidR="00D902CA" w:rsidRPr="00952533">
        <w:rPr>
          <w:rFonts w:ascii="Times New Roman" w:hAnsi="Times New Roman"/>
        </w:rPr>
        <w:t xml:space="preserve">MDRC’s extensive </w:t>
      </w:r>
      <w:r w:rsidRPr="00952533">
        <w:rPr>
          <w:rFonts w:ascii="Times New Roman" w:hAnsi="Times New Roman"/>
        </w:rPr>
        <w:t>experience</w:t>
      </w:r>
      <w:r w:rsidRPr="00F6177F">
        <w:rPr>
          <w:rFonts w:ascii="Times New Roman" w:hAnsi="Times New Roman"/>
        </w:rPr>
        <w:t xml:space="preserve"> with previous random assignment studies involving similar populations and data collection</w:t>
      </w:r>
      <w:r w:rsidR="007422FE">
        <w:rPr>
          <w:rFonts w:ascii="Times New Roman" w:hAnsi="Times New Roman"/>
        </w:rPr>
        <w:t>.</w:t>
      </w:r>
      <w:r w:rsidRPr="00F6177F">
        <w:rPr>
          <w:rFonts w:ascii="Times New Roman" w:hAnsi="Times New Roman"/>
        </w:rPr>
        <w:t xml:space="preserve"> </w:t>
      </w:r>
    </w:p>
    <w:p w:rsidR="005E5951" w:rsidRPr="000F4A28" w:rsidRDefault="005E5951" w:rsidP="005E5951">
      <w:pPr>
        <w:keepNext/>
        <w:spacing w:before="240" w:after="240" w:line="288" w:lineRule="auto"/>
        <w:outlineLvl w:val="2"/>
        <w:rPr>
          <w:rFonts w:ascii="Times New Roman" w:hAnsi="Times New Roman"/>
          <w:b/>
          <w:i/>
          <w:color w:val="000000"/>
        </w:rPr>
      </w:pPr>
      <w:r w:rsidRPr="000F4A28">
        <w:rPr>
          <w:rFonts w:ascii="Times New Roman" w:hAnsi="Times New Roman"/>
          <w:b/>
          <w:i/>
          <w:color w:val="000000"/>
        </w:rPr>
        <w:t xml:space="preserve">Cost to </w:t>
      </w:r>
      <w:r w:rsidR="00485F7E">
        <w:rPr>
          <w:rFonts w:ascii="Times New Roman" w:hAnsi="Times New Roman"/>
          <w:b/>
          <w:i/>
          <w:color w:val="000000"/>
        </w:rPr>
        <w:t xml:space="preserve">respondents </w:t>
      </w:r>
      <w:r>
        <w:rPr>
          <w:rFonts w:ascii="Times New Roman" w:hAnsi="Times New Roman"/>
          <w:b/>
          <w:i/>
          <w:color w:val="000000"/>
        </w:rPr>
        <w:t>for collection of information</w:t>
      </w:r>
      <w:r w:rsidRPr="000F4A28">
        <w:rPr>
          <w:rFonts w:ascii="Times New Roman" w:hAnsi="Times New Roman"/>
          <w:b/>
          <w:i/>
          <w:color w:val="000000"/>
        </w:rPr>
        <w:t xml:space="preserve"> </w:t>
      </w:r>
    </w:p>
    <w:p w:rsidR="005E5951" w:rsidRDefault="00A12FE8" w:rsidP="003A2B35">
      <w:pPr>
        <w:spacing w:after="240" w:line="240" w:lineRule="auto"/>
        <w:ind w:firstLine="0"/>
        <w:jc w:val="left"/>
        <w:rPr>
          <w:rFonts w:ascii="Times New Roman" w:hAnsi="Times New Roman"/>
          <w:color w:val="000000"/>
        </w:rPr>
      </w:pPr>
      <w:r w:rsidRPr="00A12FE8">
        <w:rPr>
          <w:rFonts w:ascii="Times New Roman" w:hAnsi="Times New Roman"/>
          <w:color w:val="000000"/>
        </w:rPr>
        <w:t>Households participating in the Rent Reform Demonstration will range widely in employment position and earnings. We have estimated the hourly wage at the expected prevailing minimum wage, which is $7.25 per hour in Kentucky and Texas. The hourly minimum wage in the District of Columbia is expected to be $10.50 by Q3 of 2015.</w:t>
      </w:r>
      <w:r w:rsidR="005629D8">
        <w:rPr>
          <w:rStyle w:val="FootnoteReference"/>
          <w:rFonts w:ascii="Times New Roman" w:hAnsi="Times New Roman"/>
          <w:color w:val="000000"/>
        </w:rPr>
        <w:footnoteReference w:id="2"/>
      </w:r>
      <w:r w:rsidRPr="00A12FE8">
        <w:rPr>
          <w:rFonts w:ascii="Times New Roman" w:hAnsi="Times New Roman"/>
          <w:color w:val="000000"/>
        </w:rPr>
        <w:t xml:space="preserve"> </w:t>
      </w:r>
      <w:r w:rsidR="005629D8">
        <w:rPr>
          <w:rFonts w:ascii="Times New Roman" w:hAnsi="Times New Roman"/>
          <w:color w:val="000000"/>
        </w:rPr>
        <w:t>A</w:t>
      </w:r>
      <w:r w:rsidRPr="00A12FE8">
        <w:rPr>
          <w:rFonts w:ascii="Times New Roman" w:hAnsi="Times New Roman"/>
          <w:color w:val="000000"/>
        </w:rPr>
        <w:t xml:space="preserve">ccordingly, we assume an hourly rate </w:t>
      </w:r>
      <w:r w:rsidRPr="00A12FE8">
        <w:rPr>
          <w:rFonts w:ascii="Times New Roman" w:hAnsi="Times New Roman"/>
          <w:color w:val="000000"/>
        </w:rPr>
        <w:lastRenderedPageBreak/>
        <w:t xml:space="preserve">across all sites of $8.13 that represents an average of these two rates, weighted by the pledged sample at each site (2,000 pledged participants in Washington, D.C. and 5,400 pledged in the remaining sites.) Moreover, we expect about 50 percent of the participants to be employed at the time of study entry. A recent report by the Center on Budget and Policy Priorities, some 55 percent of non-elderly, non-disabled households receiving voucher assistance reported earned income in 2010. The typical (median) annual earnings for these families were $15,600, only slightly more than the pay from full-time, year-round minimum-wage </w:t>
      </w:r>
      <w:proofErr w:type="gramStart"/>
      <w:r w:rsidRPr="00A12FE8">
        <w:rPr>
          <w:rFonts w:ascii="Times New Roman" w:hAnsi="Times New Roman"/>
          <w:color w:val="000000"/>
        </w:rPr>
        <w:t>work</w:t>
      </w:r>
      <w:proofErr w:type="gramEnd"/>
      <w:r w:rsidRPr="00A12FE8">
        <w:rPr>
          <w:rFonts w:ascii="Times New Roman" w:hAnsi="Times New Roman"/>
          <w:color w:val="000000"/>
        </w:rPr>
        <w:t>.</w:t>
      </w:r>
      <w:r w:rsidR="005629D8">
        <w:rPr>
          <w:rStyle w:val="FootnoteReference"/>
          <w:rFonts w:ascii="Times New Roman" w:hAnsi="Times New Roman"/>
          <w:color w:val="000000"/>
        </w:rPr>
        <w:footnoteReference w:id="3"/>
      </w:r>
      <w:r w:rsidRPr="00A12FE8">
        <w:rPr>
          <w:rFonts w:ascii="Times New Roman" w:hAnsi="Times New Roman"/>
          <w:color w:val="000000"/>
        </w:rPr>
        <w:t xml:space="preserve"> </w:t>
      </w:r>
      <w:r w:rsidR="005E5951" w:rsidRPr="000F4A28">
        <w:rPr>
          <w:rFonts w:ascii="Times New Roman" w:hAnsi="Times New Roman"/>
          <w:color w:val="000000"/>
        </w:rPr>
        <w:t xml:space="preserve">Based on this assumption, </w:t>
      </w:r>
      <w:r w:rsidR="005E5951">
        <w:rPr>
          <w:rFonts w:ascii="Times New Roman" w:hAnsi="Times New Roman"/>
          <w:color w:val="000000"/>
        </w:rPr>
        <w:t xml:space="preserve">and the frequency and duration of responses listed in Table 2, </w:t>
      </w:r>
      <w:r w:rsidR="005E5951" w:rsidRPr="000F4A28">
        <w:rPr>
          <w:rFonts w:ascii="Times New Roman" w:hAnsi="Times New Roman"/>
          <w:color w:val="000000"/>
        </w:rPr>
        <w:t xml:space="preserve">the estimated total respondent costs are: </w:t>
      </w:r>
      <w:r>
        <w:rPr>
          <w:rFonts w:ascii="Times New Roman" w:hAnsi="Times New Roman"/>
          <w:color w:val="000000"/>
        </w:rPr>
        <w:t>Study Participant Interviews and/or Focus Groups</w:t>
      </w:r>
      <w:r w:rsidR="005E5951">
        <w:rPr>
          <w:rFonts w:ascii="Times New Roman" w:hAnsi="Times New Roman"/>
          <w:color w:val="000000"/>
        </w:rPr>
        <w:t xml:space="preserve">: </w:t>
      </w:r>
      <w:r>
        <w:rPr>
          <w:rFonts w:ascii="Times New Roman" w:hAnsi="Times New Roman"/>
          <w:color w:val="000000"/>
        </w:rPr>
        <w:t>40</w:t>
      </w:r>
      <w:r w:rsidR="005E5951">
        <w:rPr>
          <w:rFonts w:ascii="Times New Roman" w:hAnsi="Times New Roman"/>
          <w:color w:val="000000"/>
        </w:rPr>
        <w:t xml:space="preserve"> employed sample members (50% of </w:t>
      </w:r>
      <w:r>
        <w:rPr>
          <w:rFonts w:ascii="Times New Roman" w:hAnsi="Times New Roman"/>
          <w:color w:val="000000"/>
        </w:rPr>
        <w:t>80</w:t>
      </w:r>
      <w:r w:rsidR="005E5951">
        <w:rPr>
          <w:rFonts w:ascii="Times New Roman" w:hAnsi="Times New Roman"/>
          <w:color w:val="000000"/>
        </w:rPr>
        <w:t>) * $</w:t>
      </w:r>
      <w:r>
        <w:rPr>
          <w:rFonts w:ascii="Times New Roman" w:hAnsi="Times New Roman"/>
          <w:color w:val="000000"/>
        </w:rPr>
        <w:t>8.13</w:t>
      </w:r>
      <w:r w:rsidR="005E5951">
        <w:rPr>
          <w:rFonts w:ascii="Times New Roman" w:hAnsi="Times New Roman"/>
          <w:color w:val="000000"/>
        </w:rPr>
        <w:t xml:space="preserve"> * </w:t>
      </w:r>
      <w:r>
        <w:rPr>
          <w:rFonts w:ascii="Times New Roman" w:hAnsi="Times New Roman"/>
          <w:color w:val="000000"/>
        </w:rPr>
        <w:t>1.5</w:t>
      </w:r>
      <w:r w:rsidR="005E5951">
        <w:rPr>
          <w:rFonts w:ascii="Times New Roman" w:hAnsi="Times New Roman"/>
          <w:color w:val="000000"/>
        </w:rPr>
        <w:t xml:space="preserve"> hours = $</w:t>
      </w:r>
      <w:r>
        <w:rPr>
          <w:rFonts w:ascii="Times New Roman" w:hAnsi="Times New Roman"/>
          <w:color w:val="000000"/>
        </w:rPr>
        <w:t>487.80</w:t>
      </w:r>
      <w:r w:rsidR="005E5951">
        <w:rPr>
          <w:rFonts w:ascii="Times New Roman" w:hAnsi="Times New Roman"/>
          <w:color w:val="000000"/>
        </w:rPr>
        <w:t>.</w:t>
      </w:r>
    </w:p>
    <w:p w:rsidR="00485F7E" w:rsidRDefault="00485F7E" w:rsidP="003A2B35">
      <w:pPr>
        <w:spacing w:after="240" w:line="240" w:lineRule="auto"/>
        <w:ind w:firstLine="0"/>
        <w:jc w:val="left"/>
        <w:rPr>
          <w:rFonts w:ascii="Times New Roman" w:hAnsi="Times New Roman"/>
          <w:color w:val="000000"/>
        </w:rPr>
      </w:pPr>
    </w:p>
    <w:p w:rsidR="00485F7E" w:rsidRDefault="00485F7E" w:rsidP="003A2B35">
      <w:pPr>
        <w:spacing w:after="240" w:line="240" w:lineRule="auto"/>
        <w:ind w:firstLine="0"/>
        <w:jc w:val="left"/>
        <w:rPr>
          <w:rFonts w:ascii="Times New Roman" w:hAnsi="Times New Roman"/>
          <w:color w:val="000000"/>
        </w:rPr>
        <w:sectPr w:rsidR="00485F7E" w:rsidSect="002D599E">
          <w:headerReference w:type="default" r:id="rId15"/>
          <w:footerReference w:type="default" r:id="rId16"/>
          <w:pgSz w:w="12240" w:h="15840"/>
          <w:pgMar w:top="1440" w:right="1440" w:bottom="1440" w:left="1440" w:header="720" w:footer="720" w:gutter="0"/>
          <w:pgNumType w:start="1"/>
          <w:cols w:space="720"/>
          <w:docGrid w:linePitch="360"/>
        </w:sectPr>
      </w:pPr>
    </w:p>
    <w:tbl>
      <w:tblPr>
        <w:tblpPr w:leftFromText="187" w:rightFromText="187" w:topFromText="202" w:bottomFromText="202" w:horzAnchor="margin" w:tblpXSpec="center" w:tblpYSpec="top"/>
        <w:tblOverlap w:val="never"/>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8"/>
        <w:gridCol w:w="1728"/>
        <w:gridCol w:w="1728"/>
        <w:gridCol w:w="1728"/>
        <w:gridCol w:w="1728"/>
        <w:gridCol w:w="1728"/>
        <w:gridCol w:w="1728"/>
        <w:gridCol w:w="1728"/>
      </w:tblGrid>
      <w:tr w:rsidR="005629D8" w:rsidRPr="005629D8" w:rsidTr="00485F7E">
        <w:trPr>
          <w:cantSplit/>
        </w:trPr>
        <w:tc>
          <w:tcPr>
            <w:tcW w:w="1728" w:type="dxa"/>
            <w:tcMar>
              <w:top w:w="43" w:type="dxa"/>
              <w:left w:w="115" w:type="dxa"/>
              <w:bottom w:w="43" w:type="dxa"/>
              <w:right w:w="115" w:type="dxa"/>
            </w:tcMar>
            <w:hideMark/>
          </w:tcPr>
          <w:p w:rsidR="005629D8" w:rsidRPr="005629D8" w:rsidRDefault="005629D8" w:rsidP="00485F7E">
            <w:pPr>
              <w:tabs>
                <w:tab w:val="clear" w:pos="432"/>
              </w:tabs>
              <w:overflowPunct w:val="0"/>
              <w:autoSpaceDE w:val="0"/>
              <w:autoSpaceDN w:val="0"/>
              <w:spacing w:line="240" w:lineRule="auto"/>
              <w:ind w:left="-90" w:right="-108"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lastRenderedPageBreak/>
              <w:t>Information Collection</w:t>
            </w:r>
          </w:p>
        </w:tc>
        <w:tc>
          <w:tcPr>
            <w:tcW w:w="1728" w:type="dxa"/>
            <w:tcMar>
              <w:top w:w="43" w:type="dxa"/>
              <w:left w:w="115" w:type="dxa"/>
              <w:bottom w:w="43" w:type="dxa"/>
              <w:right w:w="115" w:type="dxa"/>
            </w:tcMar>
            <w:hideMark/>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Number of Respondents</w:t>
            </w:r>
          </w:p>
        </w:tc>
        <w:tc>
          <w:tcPr>
            <w:tcW w:w="1728" w:type="dxa"/>
            <w:tcMar>
              <w:top w:w="43" w:type="dxa"/>
              <w:left w:w="115" w:type="dxa"/>
              <w:bottom w:w="43" w:type="dxa"/>
              <w:right w:w="115" w:type="dxa"/>
            </w:tcMar>
            <w:hideMark/>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Frequency of Response</w:t>
            </w:r>
          </w:p>
        </w:tc>
        <w:tc>
          <w:tcPr>
            <w:tcW w:w="1728" w:type="dxa"/>
            <w:tcMar>
              <w:top w:w="43" w:type="dxa"/>
              <w:left w:w="115" w:type="dxa"/>
              <w:bottom w:w="43" w:type="dxa"/>
              <w:right w:w="115" w:type="dxa"/>
            </w:tcMar>
            <w:hideMark/>
          </w:tcPr>
          <w:p w:rsidR="005629D8" w:rsidRPr="005629D8" w:rsidRDefault="005629D8" w:rsidP="00485F7E">
            <w:pPr>
              <w:tabs>
                <w:tab w:val="clear" w:pos="432"/>
              </w:tabs>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Responses</w:t>
            </w:r>
          </w:p>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Per Annum</w:t>
            </w:r>
          </w:p>
        </w:tc>
        <w:tc>
          <w:tcPr>
            <w:tcW w:w="1728" w:type="dxa"/>
            <w:tcMar>
              <w:top w:w="43" w:type="dxa"/>
              <w:left w:w="115" w:type="dxa"/>
              <w:bottom w:w="43" w:type="dxa"/>
              <w:right w:w="115" w:type="dxa"/>
            </w:tcMar>
            <w:hideMark/>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Burden Hour Per Response</w:t>
            </w:r>
          </w:p>
        </w:tc>
        <w:tc>
          <w:tcPr>
            <w:tcW w:w="1728" w:type="dxa"/>
            <w:tcMar>
              <w:top w:w="43" w:type="dxa"/>
              <w:left w:w="115" w:type="dxa"/>
              <w:bottom w:w="43" w:type="dxa"/>
              <w:right w:w="115" w:type="dxa"/>
            </w:tcMar>
            <w:hideMark/>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Annual Burden Hours</w:t>
            </w:r>
          </w:p>
        </w:tc>
        <w:tc>
          <w:tcPr>
            <w:tcW w:w="1728" w:type="dxa"/>
            <w:tcMar>
              <w:top w:w="43" w:type="dxa"/>
              <w:left w:w="115" w:type="dxa"/>
              <w:bottom w:w="43" w:type="dxa"/>
              <w:right w:w="115" w:type="dxa"/>
            </w:tcMar>
            <w:hideMark/>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Hourly Cost Per Response</w:t>
            </w:r>
          </w:p>
        </w:tc>
        <w:tc>
          <w:tcPr>
            <w:tcW w:w="1728" w:type="dxa"/>
            <w:tcMar>
              <w:top w:w="43" w:type="dxa"/>
              <w:left w:w="115" w:type="dxa"/>
              <w:bottom w:w="43" w:type="dxa"/>
              <w:right w:w="115" w:type="dxa"/>
            </w:tcMar>
          </w:tcPr>
          <w:p w:rsidR="005629D8" w:rsidRPr="005629D8" w:rsidRDefault="005629D8" w:rsidP="00485F7E">
            <w:pPr>
              <w:tabs>
                <w:tab w:val="clear" w:pos="432"/>
              </w:tabs>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Annual Cost</w:t>
            </w:r>
          </w:p>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p>
        </w:tc>
      </w:tr>
      <w:tr w:rsidR="005629D8" w:rsidRPr="005629D8" w:rsidTr="00485F7E">
        <w:trPr>
          <w:cantSplit/>
        </w:trPr>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Study Participant Interviews and/or Focus Groups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80 participants (20 participants * 4 sites)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Once</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 xml:space="preserve">One </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Arial Unicode MS" w:hAnsi="Times New Roman"/>
                <w:bCs/>
                <w:snapToGrid w:val="0"/>
                <w:sz w:val="20"/>
                <w:szCs w:val="20"/>
              </w:rPr>
              <w:t>90 minutes, on average (1.5 hours)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120 (80 * 1.5)</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$8.13</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$487.80</w:t>
            </w:r>
          </w:p>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r w:rsidRPr="005629D8">
              <w:rPr>
                <w:rFonts w:ascii="Times New Roman" w:eastAsia="Calibri" w:hAnsi="Times New Roman"/>
                <w:bCs/>
                <w:color w:val="000000"/>
                <w:sz w:val="20"/>
                <w:szCs w:val="20"/>
              </w:rPr>
              <w:t>(40 employed sample members * $8.13 * 1.5 hours)</w:t>
            </w:r>
          </w:p>
        </w:tc>
      </w:tr>
      <w:tr w:rsidR="005629D8" w:rsidRPr="005629D8" w:rsidTr="00485F7E">
        <w:trPr>
          <w:cantSplit/>
        </w:trPr>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PHA Staff Interviews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32 staff (8 staff * 4 sites)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Once</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One</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Arial Unicode MS" w:hAnsi="Times New Roman"/>
                <w:bCs/>
                <w:snapToGrid w:val="0"/>
                <w:sz w:val="20"/>
                <w:szCs w:val="20"/>
              </w:rPr>
              <w:t>90 minutes, on average (or 1.5 hours).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sidRPr="005629D8">
              <w:rPr>
                <w:rFonts w:ascii="Times New Roman" w:eastAsia="Arial Unicode MS" w:hAnsi="Times New Roman"/>
                <w:bCs/>
                <w:snapToGrid w:val="0"/>
                <w:sz w:val="20"/>
                <w:szCs w:val="20"/>
              </w:rPr>
              <w:t>48  hours</w:t>
            </w:r>
          </w:p>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Arial Unicode MS" w:hAnsi="Times New Roman"/>
                <w:bCs/>
                <w:snapToGrid w:val="0"/>
                <w:sz w:val="20"/>
                <w:szCs w:val="20"/>
              </w:rPr>
              <w:t>(32 * 1.50)</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$24.33</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r w:rsidRPr="005629D8">
              <w:rPr>
                <w:rFonts w:ascii="Times New Roman" w:eastAsia="Calibri" w:hAnsi="Times New Roman"/>
                <w:bCs/>
                <w:color w:val="000000"/>
                <w:sz w:val="20"/>
                <w:szCs w:val="20"/>
              </w:rPr>
              <w:t>$1,167.84 (32 staff * $24.33 * 1.5 hours)</w:t>
            </w:r>
          </w:p>
        </w:tc>
      </w:tr>
      <w:tr w:rsidR="005629D8" w:rsidRPr="005629D8" w:rsidTr="00485F7E">
        <w:trPr>
          <w:cantSplit/>
        </w:trPr>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Housing Authority Database Extraction Activities by PHA staff</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4 staff (1 staff * 4 sites)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8 responses in the covered period (monthly through January 2015, then annually through 2018)</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Four in 2015, two in 2016, one in 2017, one in 2018</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Arial Unicode MS" w:hAnsi="Times New Roman"/>
                <w:bCs/>
                <w:snapToGrid w:val="0"/>
                <w:sz w:val="20"/>
                <w:szCs w:val="20"/>
              </w:rPr>
              <w:t>60 minutes, on average  (or 1 hour)</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16 hours (4 staff * 1 hour * 4 responses in 2015)</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$33.58</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r w:rsidRPr="005629D8">
              <w:rPr>
                <w:rFonts w:ascii="Times New Roman" w:eastAsia="Calibri" w:hAnsi="Times New Roman"/>
                <w:bCs/>
                <w:color w:val="000000"/>
                <w:sz w:val="20"/>
                <w:szCs w:val="20"/>
              </w:rPr>
              <w:t>$537.28 (4 staff * $33.58 * 1 hour * 4 responses in 2015)</w:t>
            </w:r>
          </w:p>
        </w:tc>
      </w:tr>
      <w:tr w:rsidR="005629D8" w:rsidRPr="005629D8" w:rsidTr="00485F7E">
        <w:trPr>
          <w:cantSplit/>
        </w:trPr>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sidRPr="005629D8">
              <w:rPr>
                <w:rFonts w:ascii="Times New Roman" w:eastAsia="Arial Unicode MS" w:hAnsi="Times New Roman"/>
                <w:bCs/>
                <w:snapToGrid w:val="0"/>
                <w:sz w:val="20"/>
                <w:szCs w:val="20"/>
              </w:rPr>
              <w:t>Cost Study Data Collection Activities with PHA staff</w:t>
            </w:r>
          </w:p>
        </w:tc>
        <w:tc>
          <w:tcPr>
            <w:tcW w:w="1728" w:type="dxa"/>
            <w:tcMar>
              <w:top w:w="43" w:type="dxa"/>
              <w:left w:w="115" w:type="dxa"/>
              <w:bottom w:w="43" w:type="dxa"/>
              <w:right w:w="115" w:type="dxa"/>
            </w:tcMar>
          </w:tcPr>
          <w:p w:rsidR="005629D8" w:rsidRPr="005629D8" w:rsidDel="00BC21D8" w:rsidRDefault="005629D8" w:rsidP="00485F7E">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sidRPr="005629D8">
              <w:rPr>
                <w:rFonts w:ascii="Times New Roman" w:eastAsia="Arial Unicode MS" w:hAnsi="Times New Roman"/>
                <w:bCs/>
                <w:snapToGrid w:val="0"/>
                <w:sz w:val="20"/>
                <w:szCs w:val="20"/>
              </w:rPr>
              <w:t>8 staff (2 staff * 4 sites)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Three times over the covered period</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One</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sidRPr="005629D8">
              <w:rPr>
                <w:rFonts w:ascii="Times New Roman" w:eastAsia="Arial Unicode MS" w:hAnsi="Times New Roman"/>
                <w:bCs/>
                <w:snapToGrid w:val="0"/>
                <w:sz w:val="20"/>
                <w:szCs w:val="20"/>
              </w:rPr>
              <w:t>120 minutes, on average (or 2 hours)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16 hours</w:t>
            </w:r>
          </w:p>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(8 staff * 2 hours)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$33.58</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r w:rsidRPr="005629D8">
              <w:rPr>
                <w:rFonts w:ascii="Times New Roman" w:eastAsia="Calibri" w:hAnsi="Times New Roman"/>
                <w:bCs/>
                <w:color w:val="000000"/>
                <w:sz w:val="20"/>
                <w:szCs w:val="20"/>
              </w:rPr>
              <w:t xml:space="preserve">$537.28 (8 staff * $33.58 * 2 hours) </w:t>
            </w:r>
          </w:p>
        </w:tc>
      </w:tr>
      <w:tr w:rsidR="005629D8" w:rsidRPr="005629D8" w:rsidTr="00485F7E">
        <w:trPr>
          <w:cantSplit/>
          <w:trHeight w:val="1906"/>
        </w:trPr>
        <w:tc>
          <w:tcPr>
            <w:tcW w:w="1728" w:type="dxa"/>
            <w:tcMar>
              <w:top w:w="43" w:type="dxa"/>
              <w:left w:w="115" w:type="dxa"/>
              <w:bottom w:w="43" w:type="dxa"/>
              <w:right w:w="115" w:type="dxa"/>
            </w:tcMar>
          </w:tcPr>
          <w:p w:rsidR="005629D8" w:rsidRPr="005629D8" w:rsidRDefault="005629D8" w:rsidP="008F3F13">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 xml:space="preserve">Interviews to </w:t>
            </w:r>
            <w:r w:rsidR="008F3F13">
              <w:rPr>
                <w:rFonts w:ascii="Times New Roman" w:eastAsia="Arial Unicode MS" w:hAnsi="Times New Roman"/>
                <w:bCs/>
                <w:snapToGrid w:val="0"/>
                <w:sz w:val="20"/>
                <w:szCs w:val="20"/>
              </w:rPr>
              <w:t>U</w:t>
            </w:r>
            <w:r w:rsidR="008F3F13" w:rsidRPr="005629D8">
              <w:rPr>
                <w:rFonts w:ascii="Times New Roman" w:eastAsia="Arial Unicode MS" w:hAnsi="Times New Roman"/>
                <w:bCs/>
                <w:snapToGrid w:val="0"/>
                <w:sz w:val="20"/>
                <w:szCs w:val="20"/>
              </w:rPr>
              <w:t xml:space="preserve">nderstand </w:t>
            </w:r>
            <w:r w:rsidR="008F3F13">
              <w:rPr>
                <w:rFonts w:ascii="Times New Roman" w:eastAsia="Arial Unicode MS" w:hAnsi="Times New Roman"/>
                <w:bCs/>
                <w:snapToGrid w:val="0"/>
                <w:sz w:val="20"/>
                <w:szCs w:val="20"/>
              </w:rPr>
              <w:t>I</w:t>
            </w:r>
            <w:r w:rsidR="008F3F13" w:rsidRPr="005629D8">
              <w:rPr>
                <w:rFonts w:ascii="Times New Roman" w:eastAsia="Arial Unicode MS" w:hAnsi="Times New Roman"/>
                <w:bCs/>
                <w:snapToGrid w:val="0"/>
                <w:sz w:val="20"/>
                <w:szCs w:val="20"/>
              </w:rPr>
              <w:t xml:space="preserve">mplementation </w:t>
            </w:r>
            <w:r w:rsidRPr="005629D8">
              <w:rPr>
                <w:rFonts w:ascii="Times New Roman" w:eastAsia="Arial Unicode MS" w:hAnsi="Times New Roman"/>
                <w:bCs/>
                <w:snapToGrid w:val="0"/>
                <w:sz w:val="20"/>
                <w:szCs w:val="20"/>
              </w:rPr>
              <w:t xml:space="preserve">of </w:t>
            </w:r>
            <w:r w:rsidR="008F3F13">
              <w:rPr>
                <w:rFonts w:ascii="Times New Roman" w:eastAsia="Arial Unicode MS" w:hAnsi="Times New Roman"/>
                <w:bCs/>
                <w:snapToGrid w:val="0"/>
                <w:sz w:val="20"/>
                <w:szCs w:val="20"/>
              </w:rPr>
              <w:t>N</w:t>
            </w:r>
            <w:r w:rsidR="008F3F13" w:rsidRPr="005629D8">
              <w:rPr>
                <w:rFonts w:ascii="Times New Roman" w:eastAsia="Arial Unicode MS" w:hAnsi="Times New Roman"/>
                <w:bCs/>
                <w:snapToGrid w:val="0"/>
                <w:sz w:val="20"/>
                <w:szCs w:val="20"/>
              </w:rPr>
              <w:t>ew</w:t>
            </w:r>
            <w:r w:rsidR="008F3F13">
              <w:rPr>
                <w:rFonts w:ascii="Times New Roman" w:eastAsia="Arial Unicode MS" w:hAnsi="Times New Roman"/>
                <w:bCs/>
                <w:snapToGrid w:val="0"/>
                <w:sz w:val="20"/>
                <w:szCs w:val="20"/>
              </w:rPr>
              <w:t xml:space="preserve"> R</w:t>
            </w:r>
            <w:r w:rsidRPr="005629D8">
              <w:rPr>
                <w:rFonts w:ascii="Times New Roman" w:eastAsia="Arial Unicode MS" w:hAnsi="Times New Roman"/>
                <w:bCs/>
                <w:snapToGrid w:val="0"/>
                <w:sz w:val="20"/>
                <w:szCs w:val="20"/>
              </w:rPr>
              <w:t xml:space="preserve">ent </w:t>
            </w:r>
            <w:r w:rsidR="008F3F13">
              <w:rPr>
                <w:rFonts w:ascii="Times New Roman" w:eastAsia="Arial Unicode MS" w:hAnsi="Times New Roman"/>
                <w:bCs/>
                <w:snapToGrid w:val="0"/>
                <w:sz w:val="20"/>
                <w:szCs w:val="20"/>
              </w:rPr>
              <w:t>M</w:t>
            </w:r>
            <w:r w:rsidR="008F3F13" w:rsidRPr="005629D8">
              <w:rPr>
                <w:rFonts w:ascii="Times New Roman" w:eastAsia="Arial Unicode MS" w:hAnsi="Times New Roman"/>
                <w:bCs/>
                <w:snapToGrid w:val="0"/>
                <w:sz w:val="20"/>
                <w:szCs w:val="20"/>
              </w:rPr>
              <w:t>odel</w:t>
            </w:r>
            <w:r w:rsidRPr="005629D8">
              <w:rPr>
                <w:rFonts w:ascii="Times New Roman" w:eastAsia="Arial Unicode MS" w:hAnsi="Times New Roman"/>
                <w:bCs/>
                <w:snapToGrid w:val="0"/>
                <w:sz w:val="20"/>
                <w:szCs w:val="20"/>
              </w:rPr>
              <w:t xml:space="preserve">. Includes meetings with PHA staff for technical assistance purposes </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sidRPr="005629D8">
              <w:rPr>
                <w:rFonts w:ascii="Times New Roman" w:eastAsia="Arial Unicode MS" w:hAnsi="Times New Roman"/>
                <w:bCs/>
                <w:snapToGrid w:val="0"/>
                <w:sz w:val="20"/>
                <w:szCs w:val="20"/>
              </w:rPr>
              <w:t>32 staff (8 staff * 4 sites)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Four times</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 xml:space="preserve">Up to four times </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Arial Unicode MS" w:hAnsi="Times New Roman"/>
                <w:bCs/>
                <w:snapToGrid w:val="0"/>
                <w:sz w:val="20"/>
                <w:szCs w:val="20"/>
              </w:rPr>
              <w:t xml:space="preserve">30 – 60 minutes (or .5 to 1 hours) Incorporated into technical assistance, monitoring visits and follow-up; </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r w:rsidRPr="005629D8">
              <w:rPr>
                <w:rFonts w:ascii="Times New Roman" w:eastAsia="Calibri" w:hAnsi="Times New Roman"/>
                <w:bCs/>
                <w:color w:val="000000"/>
                <w:sz w:val="20"/>
                <w:szCs w:val="20"/>
              </w:rPr>
              <w:t>128 hours (4 one-hour meetings * 32 staff)</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r w:rsidRPr="005629D8">
              <w:rPr>
                <w:rFonts w:ascii="Times New Roman" w:eastAsia="Calibri" w:hAnsi="Times New Roman"/>
                <w:bCs/>
                <w:color w:val="000000"/>
                <w:sz w:val="20"/>
                <w:szCs w:val="20"/>
              </w:rPr>
              <w:t>$24.33</w:t>
            </w:r>
          </w:p>
        </w:tc>
        <w:tc>
          <w:tcPr>
            <w:tcW w:w="1728" w:type="dxa"/>
            <w:tcMar>
              <w:top w:w="43" w:type="dxa"/>
              <w:left w:w="115" w:type="dxa"/>
              <w:bottom w:w="43" w:type="dxa"/>
              <w:right w:w="115" w:type="dxa"/>
            </w:tcMar>
          </w:tcPr>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w:t>
            </w:r>
            <w:r w:rsidR="00156DB9">
              <w:rPr>
                <w:rFonts w:ascii="Times New Roman" w:eastAsia="Calibri" w:hAnsi="Times New Roman"/>
                <w:bCs/>
                <w:color w:val="000000"/>
                <w:sz w:val="20"/>
                <w:szCs w:val="20"/>
              </w:rPr>
              <w:t>3114.24</w:t>
            </w:r>
          </w:p>
          <w:p w:rsidR="005629D8" w:rsidRPr="005629D8" w:rsidRDefault="005629D8" w:rsidP="00485F7E">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r w:rsidRPr="005629D8">
              <w:rPr>
                <w:rFonts w:ascii="Times New Roman" w:eastAsia="Calibri" w:hAnsi="Times New Roman"/>
                <w:bCs/>
                <w:color w:val="000000"/>
                <w:sz w:val="20"/>
                <w:szCs w:val="20"/>
              </w:rPr>
              <w:t>(32 staff * $24.33 * 1 hour * 4 meetings)</w:t>
            </w:r>
          </w:p>
        </w:tc>
      </w:tr>
      <w:tr w:rsidR="005629D8" w:rsidRPr="005629D8" w:rsidTr="00485F7E">
        <w:trPr>
          <w:cantSplit/>
          <w:trHeight w:val="60"/>
        </w:trPr>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hAnsi="Times New Roman"/>
                <w:b/>
                <w:bCs/>
                <w:color w:val="000000"/>
                <w:sz w:val="20"/>
                <w:szCs w:val="20"/>
              </w:rPr>
            </w:pPr>
            <w:r w:rsidRPr="005629D8">
              <w:rPr>
                <w:rFonts w:ascii="Times New Roman" w:hAnsi="Times New Roman"/>
                <w:b/>
                <w:bCs/>
                <w:color w:val="000000"/>
                <w:sz w:val="20"/>
                <w:szCs w:val="20"/>
              </w:rPr>
              <w:t>TOTAL</w:t>
            </w:r>
          </w:p>
        </w:tc>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hAnsi="Times New Roman"/>
                <w:b/>
                <w:bCs/>
                <w:color w:val="000000"/>
                <w:sz w:val="20"/>
                <w:szCs w:val="20"/>
              </w:rPr>
            </w:pPr>
            <w:r w:rsidRPr="005629D8">
              <w:rPr>
                <w:rFonts w:ascii="Times New Roman" w:hAnsi="Times New Roman"/>
                <w:b/>
                <w:bCs/>
                <w:color w:val="000000"/>
                <w:sz w:val="20"/>
                <w:szCs w:val="20"/>
              </w:rPr>
              <w:t>156</w:t>
            </w:r>
          </w:p>
        </w:tc>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p>
        </w:tc>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p>
        </w:tc>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p>
        </w:tc>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r w:rsidRPr="005629D8">
              <w:rPr>
                <w:rFonts w:ascii="Times New Roman" w:eastAsia="Calibri" w:hAnsi="Times New Roman"/>
                <w:b/>
                <w:bCs/>
                <w:color w:val="000000"/>
                <w:sz w:val="20"/>
                <w:szCs w:val="20"/>
              </w:rPr>
              <w:t>328</w:t>
            </w:r>
          </w:p>
        </w:tc>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highlight w:val="yellow"/>
              </w:rPr>
            </w:pPr>
          </w:p>
        </w:tc>
        <w:tc>
          <w:tcPr>
            <w:tcW w:w="1728" w:type="dxa"/>
            <w:tcMar>
              <w:top w:w="43" w:type="dxa"/>
              <w:left w:w="115" w:type="dxa"/>
              <w:bottom w:w="43" w:type="dxa"/>
              <w:right w:w="115" w:type="dxa"/>
            </w:tcMar>
            <w:vAlign w:val="center"/>
          </w:tcPr>
          <w:p w:rsidR="005629D8" w:rsidRPr="005629D8" w:rsidRDefault="005629D8" w:rsidP="00485F7E">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highlight w:val="yellow"/>
              </w:rPr>
            </w:pPr>
            <w:r w:rsidRPr="005629D8">
              <w:rPr>
                <w:rFonts w:ascii="Times New Roman" w:eastAsia="Calibri" w:hAnsi="Times New Roman"/>
                <w:b/>
                <w:bCs/>
                <w:color w:val="000000"/>
                <w:sz w:val="20"/>
                <w:szCs w:val="20"/>
              </w:rPr>
              <w:t>$5,844.44</w:t>
            </w:r>
          </w:p>
        </w:tc>
      </w:tr>
    </w:tbl>
    <w:p w:rsidR="00485F7E" w:rsidRDefault="00485F7E" w:rsidP="00542556">
      <w:pPr>
        <w:spacing w:line="240" w:lineRule="auto"/>
        <w:ind w:firstLine="0"/>
        <w:jc w:val="left"/>
        <w:rPr>
          <w:rFonts w:ascii="Times New Roman" w:hAnsi="Times New Roman"/>
        </w:rPr>
        <w:sectPr w:rsidR="00485F7E" w:rsidSect="004466FD">
          <w:pgSz w:w="15840" w:h="12240" w:orient="landscape"/>
          <w:pgMar w:top="1440" w:right="1440" w:bottom="1440" w:left="1440" w:header="720" w:footer="720" w:gutter="0"/>
          <w:cols w:space="720"/>
          <w:docGrid w:linePitch="360"/>
        </w:sectPr>
      </w:pPr>
    </w:p>
    <w:p w:rsidR="00115E00" w:rsidRPr="000F4A28" w:rsidRDefault="00115E00" w:rsidP="00BF36F2">
      <w:pPr>
        <w:keepNext/>
        <w:spacing w:before="240" w:after="240" w:line="288" w:lineRule="auto"/>
        <w:jc w:val="left"/>
        <w:outlineLvl w:val="2"/>
        <w:rPr>
          <w:rFonts w:ascii="Times New Roman" w:hAnsi="Times New Roman"/>
          <w:b/>
          <w:i/>
          <w:color w:val="000000"/>
        </w:rPr>
      </w:pPr>
      <w:r w:rsidRPr="000F4A28">
        <w:rPr>
          <w:rFonts w:ascii="Times New Roman" w:hAnsi="Times New Roman"/>
          <w:b/>
          <w:i/>
          <w:color w:val="000000"/>
        </w:rPr>
        <w:lastRenderedPageBreak/>
        <w:t>Cost burden to PHA staff</w:t>
      </w:r>
    </w:p>
    <w:p w:rsidR="00115E00" w:rsidRPr="000F4A28" w:rsidRDefault="00115E00" w:rsidP="00400C5C">
      <w:pPr>
        <w:spacing w:line="240" w:lineRule="auto"/>
        <w:ind w:firstLine="0"/>
        <w:jc w:val="left"/>
        <w:rPr>
          <w:rFonts w:ascii="Times New Roman" w:hAnsi="Times New Roman"/>
        </w:rPr>
      </w:pPr>
      <w:r w:rsidRPr="000F4A28">
        <w:rPr>
          <w:rFonts w:ascii="Times New Roman" w:hAnsi="Times New Roman"/>
        </w:rPr>
        <w:t xml:space="preserve">As discussed in Supporting Statement B, participation in the evaluation will require </w:t>
      </w:r>
      <w:r w:rsidR="00A658DA">
        <w:rPr>
          <w:rFonts w:ascii="Times New Roman" w:hAnsi="Times New Roman"/>
        </w:rPr>
        <w:t>PHAs</w:t>
      </w:r>
      <w:r w:rsidRPr="000F4A28">
        <w:rPr>
          <w:rFonts w:ascii="Times New Roman" w:hAnsi="Times New Roman"/>
        </w:rPr>
        <w:t xml:space="preserve"> to undertake </w:t>
      </w:r>
      <w:r w:rsidR="001645D3">
        <w:rPr>
          <w:rFonts w:ascii="Times New Roman" w:hAnsi="Times New Roman"/>
        </w:rPr>
        <w:t xml:space="preserve">research </w:t>
      </w:r>
      <w:r w:rsidRPr="000F4A28">
        <w:rPr>
          <w:rFonts w:ascii="Times New Roman" w:hAnsi="Times New Roman"/>
        </w:rPr>
        <w:t>activities not normally required for their regular operations.  These activities will span the duration of the study, although some activities, especially those involvin</w:t>
      </w:r>
      <w:r w:rsidRPr="00047F56">
        <w:rPr>
          <w:rFonts w:ascii="Times New Roman" w:hAnsi="Times New Roman"/>
        </w:rPr>
        <w:t xml:space="preserve">g program staff, will be more intensive in the earlier years. Required tasks will fall across four areas: planning for random assignment launch, </w:t>
      </w:r>
      <w:r w:rsidR="0080324E" w:rsidRPr="00047F56">
        <w:rPr>
          <w:rFonts w:ascii="Times New Roman" w:hAnsi="Times New Roman"/>
        </w:rPr>
        <w:t>BIF data collection and</w:t>
      </w:r>
      <w:r w:rsidRPr="00047F56">
        <w:rPr>
          <w:rFonts w:ascii="Times New Roman" w:hAnsi="Times New Roman"/>
        </w:rPr>
        <w:t xml:space="preserve"> sample build-up, data extraction and transfer, and ongoing management and review.</w:t>
      </w:r>
      <w:r w:rsidRPr="000F4A28">
        <w:rPr>
          <w:rFonts w:ascii="Times New Roman" w:hAnsi="Times New Roman"/>
        </w:rPr>
        <w:t xml:space="preserve"> </w:t>
      </w:r>
    </w:p>
    <w:p w:rsidR="00115E00" w:rsidRPr="000F4A28" w:rsidRDefault="00115E00" w:rsidP="00BF36F2">
      <w:pPr>
        <w:spacing w:line="240" w:lineRule="auto"/>
        <w:ind w:firstLine="0"/>
        <w:jc w:val="left"/>
        <w:rPr>
          <w:rFonts w:ascii="Times New Roman" w:hAnsi="Times New Roman"/>
          <w:highlight w:val="yellow"/>
        </w:rPr>
      </w:pPr>
      <w:r w:rsidRPr="000F4A28">
        <w:rPr>
          <w:rFonts w:ascii="Times New Roman" w:hAnsi="Times New Roman"/>
        </w:rPr>
        <w:t xml:space="preserve">    </w:t>
      </w:r>
    </w:p>
    <w:p w:rsidR="00115E00" w:rsidRPr="000F4A28" w:rsidRDefault="00F608BB" w:rsidP="008F3F13">
      <w:pPr>
        <w:spacing w:after="240" w:line="240" w:lineRule="auto"/>
        <w:ind w:firstLine="0"/>
        <w:jc w:val="left"/>
        <w:rPr>
          <w:rFonts w:ascii="Times New Roman" w:hAnsi="Times New Roman"/>
          <w:color w:val="000000"/>
        </w:rPr>
      </w:pPr>
      <w:r w:rsidRPr="00F608BB">
        <w:rPr>
          <w:rFonts w:ascii="Times New Roman" w:hAnsi="Times New Roman"/>
          <w:color w:val="000000"/>
        </w:rPr>
        <w:t>For program staff participating in interviews, the estimate uses the median hourly wages of selected occupations (classified by Standard Occupational Classification (SOC) codes) sourced from the Occupational Employment Statistics from the U.S. Department of Labor’s Bureau of Labor Statistics. Potentially relevant occupations and their median hourly wages are:</w:t>
      </w:r>
    </w:p>
    <w:tbl>
      <w:tblPr>
        <w:tblW w:w="0" w:type="auto"/>
        <w:tblInd w:w="3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860"/>
        <w:gridCol w:w="1950"/>
        <w:gridCol w:w="2058"/>
      </w:tblGrid>
      <w:tr w:rsidR="00F608BB" w:rsidRPr="00F608BB" w:rsidTr="00C3625E">
        <w:tc>
          <w:tcPr>
            <w:tcW w:w="4860" w:type="dxa"/>
            <w:tcBorders>
              <w:top w:val="nil"/>
              <w:left w:val="nil"/>
              <w:bottom w:val="doub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highlight w:val="cyan"/>
              </w:rPr>
            </w:pPr>
            <w:r w:rsidRPr="00F608BB">
              <w:rPr>
                <w:rFonts w:ascii="Times New Roman" w:hAnsi="Times New Roman"/>
              </w:rPr>
              <w:t>Occupation</w:t>
            </w:r>
          </w:p>
        </w:tc>
        <w:tc>
          <w:tcPr>
            <w:tcW w:w="1950" w:type="dxa"/>
            <w:tcBorders>
              <w:top w:val="nil"/>
              <w:left w:val="nil"/>
              <w:bottom w:val="doub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highlight w:val="cyan"/>
              </w:rPr>
            </w:pPr>
            <w:r w:rsidRPr="00F608BB">
              <w:rPr>
                <w:rFonts w:ascii="Times New Roman" w:hAnsi="Times New Roman"/>
              </w:rPr>
              <w:t>SOC Code</w:t>
            </w:r>
          </w:p>
        </w:tc>
        <w:tc>
          <w:tcPr>
            <w:tcW w:w="2058" w:type="dxa"/>
            <w:tcBorders>
              <w:top w:val="nil"/>
              <w:left w:val="nil"/>
              <w:bottom w:val="doub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highlight w:val="cyan"/>
              </w:rPr>
            </w:pPr>
            <w:r w:rsidRPr="00F608BB">
              <w:rPr>
                <w:rFonts w:ascii="Times New Roman" w:hAnsi="Times New Roman"/>
              </w:rPr>
              <w:t>Median Hourly Wage Rate</w:t>
            </w:r>
          </w:p>
        </w:tc>
      </w:tr>
      <w:tr w:rsidR="00F608BB" w:rsidRPr="00F608BB" w:rsidTr="00C3625E">
        <w:tc>
          <w:tcPr>
            <w:tcW w:w="4860" w:type="dxa"/>
            <w:tcBorders>
              <w:left w:val="nil"/>
              <w:bottom w:val="sing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rPr>
            </w:pPr>
            <w:r w:rsidRPr="00F608BB">
              <w:rPr>
                <w:rFonts w:ascii="Times New Roman" w:hAnsi="Times New Roman"/>
              </w:rPr>
              <w:t>Community and Social Service Specialist</w:t>
            </w:r>
          </w:p>
        </w:tc>
        <w:tc>
          <w:tcPr>
            <w:tcW w:w="1950" w:type="dxa"/>
            <w:tcBorders>
              <w:left w:val="nil"/>
              <w:bottom w:val="sing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rPr>
            </w:pPr>
            <w:r w:rsidRPr="00F608BB">
              <w:rPr>
                <w:rFonts w:ascii="Times New Roman" w:hAnsi="Times New Roman"/>
              </w:rPr>
              <w:t>21-1099</w:t>
            </w:r>
          </w:p>
        </w:tc>
        <w:tc>
          <w:tcPr>
            <w:tcW w:w="2058" w:type="dxa"/>
            <w:tcBorders>
              <w:left w:val="nil"/>
              <w:bottom w:val="sing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rPr>
            </w:pPr>
            <w:r w:rsidRPr="00F608BB">
              <w:rPr>
                <w:rFonts w:ascii="Times New Roman" w:hAnsi="Times New Roman"/>
              </w:rPr>
              <w:t>$19.26</w:t>
            </w:r>
          </w:p>
        </w:tc>
      </w:tr>
      <w:tr w:rsidR="00F608BB" w:rsidRPr="00F608BB" w:rsidTr="00C3625E">
        <w:tc>
          <w:tcPr>
            <w:tcW w:w="4860" w:type="dxa"/>
            <w:tcBorders>
              <w:top w:val="single" w:sz="4" w:space="0" w:color="auto"/>
              <w:left w:val="nil"/>
              <w:bottom w:val="sing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rPr>
            </w:pPr>
            <w:r w:rsidRPr="00F608BB">
              <w:rPr>
                <w:rFonts w:ascii="Times New Roman" w:hAnsi="Times New Roman"/>
              </w:rPr>
              <w:t>Social/community Service Manager</w:t>
            </w:r>
          </w:p>
        </w:tc>
        <w:tc>
          <w:tcPr>
            <w:tcW w:w="1950" w:type="dxa"/>
            <w:tcBorders>
              <w:top w:val="single" w:sz="4" w:space="0" w:color="auto"/>
              <w:left w:val="nil"/>
              <w:bottom w:val="sing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rPr>
            </w:pPr>
            <w:r w:rsidRPr="00F608BB">
              <w:rPr>
                <w:rFonts w:ascii="Times New Roman" w:hAnsi="Times New Roman"/>
              </w:rPr>
              <w:t>11-9151</w:t>
            </w:r>
          </w:p>
        </w:tc>
        <w:tc>
          <w:tcPr>
            <w:tcW w:w="2058" w:type="dxa"/>
            <w:tcBorders>
              <w:top w:val="single" w:sz="4" w:space="0" w:color="auto"/>
              <w:left w:val="nil"/>
              <w:bottom w:val="single" w:sz="4" w:space="0" w:color="auto"/>
              <w:right w:val="nil"/>
            </w:tcBorders>
            <w:vAlign w:val="bottom"/>
            <w:hideMark/>
          </w:tcPr>
          <w:p w:rsidR="00F608BB" w:rsidRPr="00F608BB" w:rsidRDefault="00F608BB" w:rsidP="008F3F13">
            <w:pPr>
              <w:spacing w:line="240" w:lineRule="auto"/>
              <w:ind w:firstLine="0"/>
              <w:jc w:val="center"/>
              <w:rPr>
                <w:rFonts w:ascii="Times New Roman" w:hAnsi="Times New Roman"/>
              </w:rPr>
            </w:pPr>
            <w:r w:rsidRPr="00F608BB">
              <w:rPr>
                <w:rFonts w:ascii="Times New Roman" w:hAnsi="Times New Roman"/>
              </w:rPr>
              <w:t>$29.40</w:t>
            </w:r>
          </w:p>
        </w:tc>
      </w:tr>
    </w:tbl>
    <w:p w:rsidR="004466FD" w:rsidRDefault="004466FD" w:rsidP="005629D8">
      <w:pPr>
        <w:spacing w:line="240" w:lineRule="auto"/>
        <w:ind w:firstLine="0"/>
        <w:jc w:val="left"/>
        <w:rPr>
          <w:rFonts w:ascii="Times New Roman" w:hAnsi="Times New Roman"/>
          <w:color w:val="000000"/>
          <w:sz w:val="20"/>
          <w:szCs w:val="20"/>
        </w:rPr>
      </w:pPr>
    </w:p>
    <w:p w:rsidR="00F608BB" w:rsidRPr="004466FD" w:rsidRDefault="004466FD" w:rsidP="005629D8">
      <w:pPr>
        <w:spacing w:line="240" w:lineRule="auto"/>
        <w:ind w:firstLine="0"/>
        <w:jc w:val="left"/>
        <w:rPr>
          <w:rFonts w:ascii="Times New Roman" w:hAnsi="Times New Roman"/>
          <w:sz w:val="20"/>
          <w:szCs w:val="20"/>
        </w:rPr>
      </w:pPr>
      <w:r>
        <w:rPr>
          <w:rFonts w:ascii="Times New Roman" w:hAnsi="Times New Roman"/>
          <w:color w:val="000000"/>
          <w:sz w:val="20"/>
          <w:szCs w:val="20"/>
        </w:rPr>
        <w:t xml:space="preserve">     </w:t>
      </w:r>
      <w:r w:rsidR="00F608BB" w:rsidRPr="00F608BB">
        <w:rPr>
          <w:rFonts w:ascii="Times New Roman" w:hAnsi="Times New Roman"/>
          <w:color w:val="000000"/>
          <w:sz w:val="20"/>
          <w:szCs w:val="20"/>
        </w:rPr>
        <w:t xml:space="preserve">Source: Occupational Employment Statistics, accessed online March 20, 2015 at </w:t>
      </w:r>
      <w:r w:rsidRPr="004466FD">
        <w:rPr>
          <w:rFonts w:ascii="Times New Roman" w:hAnsi="Times New Roman"/>
          <w:sz w:val="20"/>
          <w:szCs w:val="20"/>
        </w:rPr>
        <w:t>http://www.bls.gov/oes/current/oes_stru.htm</w:t>
      </w:r>
    </w:p>
    <w:p w:rsidR="00F608BB" w:rsidRDefault="00F608BB" w:rsidP="00F608BB">
      <w:pPr>
        <w:spacing w:line="240" w:lineRule="auto"/>
        <w:ind w:firstLine="0"/>
        <w:jc w:val="left"/>
        <w:rPr>
          <w:rFonts w:ascii="Times New Roman" w:hAnsi="Times New Roman"/>
          <w:color w:val="000000"/>
        </w:rPr>
      </w:pPr>
    </w:p>
    <w:p w:rsidR="00115E00" w:rsidRPr="00F608BB" w:rsidRDefault="00F608BB" w:rsidP="00F608BB">
      <w:pPr>
        <w:spacing w:line="240" w:lineRule="auto"/>
        <w:ind w:firstLine="0"/>
        <w:jc w:val="left"/>
        <w:rPr>
          <w:rFonts w:ascii="Times New Roman" w:hAnsi="Times New Roman"/>
          <w:color w:val="000000"/>
        </w:rPr>
      </w:pPr>
      <w:r w:rsidRPr="00F608BB">
        <w:rPr>
          <w:rFonts w:ascii="Times New Roman" w:hAnsi="Times New Roman"/>
          <w:color w:val="000000"/>
        </w:rPr>
        <w:t>To estimate cost burden to program staff respondents, we use an average of the occupations listed, or $24.33/hr.</w:t>
      </w:r>
    </w:p>
    <w:p w:rsidR="00F608BB" w:rsidRPr="00F608BB" w:rsidRDefault="00F608BB" w:rsidP="00F608BB">
      <w:pPr>
        <w:spacing w:line="240" w:lineRule="auto"/>
        <w:ind w:firstLine="0"/>
        <w:jc w:val="left"/>
        <w:rPr>
          <w:rFonts w:ascii="Times New Roman" w:hAnsi="Times New Roman"/>
        </w:rPr>
      </w:pPr>
    </w:p>
    <w:p w:rsidR="005110F7" w:rsidRDefault="005110F7" w:rsidP="00BF36F2">
      <w:pPr>
        <w:spacing w:line="240" w:lineRule="auto"/>
        <w:ind w:firstLine="0"/>
        <w:jc w:val="left"/>
        <w:rPr>
          <w:rFonts w:ascii="Times New Roman" w:hAnsi="Times New Roman"/>
          <w:color w:val="000000"/>
        </w:rPr>
      </w:pPr>
      <w:r w:rsidRPr="005110F7">
        <w:rPr>
          <w:rFonts w:ascii="Times New Roman" w:hAnsi="Times New Roman"/>
          <w:color w:val="000000"/>
        </w:rPr>
        <w:t>For program staff supporting data extraction activities, the estimate uses the median hourly wages of selected relevant occupations in a manner similar to the above. A standard wage assumption of $33.58 was created by averaging median hourly wage rates for these occupations:</w:t>
      </w:r>
    </w:p>
    <w:p w:rsidR="005110F7" w:rsidRDefault="005110F7" w:rsidP="00BF36F2">
      <w:pPr>
        <w:spacing w:line="240" w:lineRule="auto"/>
        <w:ind w:firstLine="0"/>
        <w:jc w:val="left"/>
        <w:rPr>
          <w:rFonts w:ascii="Times New Roman" w:hAnsi="Times New Roman"/>
          <w:color w:val="000000"/>
        </w:rPr>
      </w:pPr>
    </w:p>
    <w:tbl>
      <w:tblPr>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860"/>
        <w:gridCol w:w="1980"/>
        <w:gridCol w:w="2070"/>
      </w:tblGrid>
      <w:tr w:rsidR="005110F7" w:rsidRPr="005110F7" w:rsidTr="00C3625E">
        <w:tc>
          <w:tcPr>
            <w:tcW w:w="4860" w:type="dxa"/>
            <w:tcBorders>
              <w:top w:val="nil"/>
              <w:left w:val="nil"/>
              <w:bottom w:val="double" w:sz="4" w:space="0" w:color="auto"/>
              <w:right w:val="nil"/>
            </w:tcBorders>
            <w:vAlign w:val="bottom"/>
            <w:hideMark/>
          </w:tcPr>
          <w:p w:rsidR="005110F7" w:rsidRPr="005110F7" w:rsidRDefault="005110F7" w:rsidP="00C3625E">
            <w:pPr>
              <w:spacing w:line="240" w:lineRule="auto"/>
              <w:ind w:firstLine="0"/>
              <w:jc w:val="center"/>
              <w:rPr>
                <w:rFonts w:ascii="Times New Roman" w:hAnsi="Times New Roman"/>
                <w:highlight w:val="cyan"/>
              </w:rPr>
            </w:pPr>
            <w:r w:rsidRPr="005110F7">
              <w:rPr>
                <w:rFonts w:ascii="Times New Roman" w:hAnsi="Times New Roman"/>
              </w:rPr>
              <w:t>Occupation</w:t>
            </w:r>
          </w:p>
        </w:tc>
        <w:tc>
          <w:tcPr>
            <w:tcW w:w="1980" w:type="dxa"/>
            <w:tcBorders>
              <w:top w:val="nil"/>
              <w:left w:val="nil"/>
              <w:bottom w:val="double" w:sz="4" w:space="0" w:color="auto"/>
              <w:right w:val="nil"/>
            </w:tcBorders>
            <w:vAlign w:val="bottom"/>
            <w:hideMark/>
          </w:tcPr>
          <w:p w:rsidR="005110F7" w:rsidRPr="005110F7" w:rsidRDefault="005110F7" w:rsidP="00C3625E">
            <w:pPr>
              <w:spacing w:line="240" w:lineRule="auto"/>
              <w:ind w:firstLine="0"/>
              <w:jc w:val="center"/>
              <w:rPr>
                <w:rFonts w:ascii="Times New Roman" w:hAnsi="Times New Roman"/>
                <w:highlight w:val="cyan"/>
              </w:rPr>
            </w:pPr>
            <w:r w:rsidRPr="005110F7">
              <w:rPr>
                <w:rFonts w:ascii="Times New Roman" w:hAnsi="Times New Roman"/>
              </w:rPr>
              <w:t>SOC Code</w:t>
            </w:r>
          </w:p>
        </w:tc>
        <w:tc>
          <w:tcPr>
            <w:tcW w:w="2070" w:type="dxa"/>
            <w:tcBorders>
              <w:top w:val="nil"/>
              <w:left w:val="nil"/>
              <w:bottom w:val="double" w:sz="4" w:space="0" w:color="auto"/>
              <w:right w:val="nil"/>
            </w:tcBorders>
            <w:vAlign w:val="bottom"/>
            <w:hideMark/>
          </w:tcPr>
          <w:p w:rsidR="005110F7" w:rsidRPr="005110F7" w:rsidRDefault="005110F7" w:rsidP="00C3625E">
            <w:pPr>
              <w:spacing w:line="240" w:lineRule="auto"/>
              <w:ind w:firstLine="0"/>
              <w:jc w:val="center"/>
              <w:rPr>
                <w:rFonts w:ascii="Times New Roman" w:hAnsi="Times New Roman"/>
                <w:highlight w:val="cyan"/>
              </w:rPr>
            </w:pPr>
            <w:r w:rsidRPr="005110F7">
              <w:rPr>
                <w:rFonts w:ascii="Times New Roman" w:hAnsi="Times New Roman"/>
              </w:rPr>
              <w:t>Median Hourly Wage Rate</w:t>
            </w:r>
          </w:p>
        </w:tc>
      </w:tr>
      <w:tr w:rsidR="005110F7" w:rsidRPr="005110F7" w:rsidTr="00C3625E">
        <w:tc>
          <w:tcPr>
            <w:tcW w:w="4860" w:type="dxa"/>
            <w:tcBorders>
              <w:left w:val="nil"/>
              <w:bottom w:val="single" w:sz="4" w:space="0" w:color="auto"/>
              <w:right w:val="nil"/>
            </w:tcBorders>
            <w:vAlign w:val="center"/>
            <w:hideMark/>
          </w:tcPr>
          <w:p w:rsidR="005110F7" w:rsidRPr="005110F7" w:rsidRDefault="005110F7" w:rsidP="00C3625E">
            <w:pPr>
              <w:spacing w:line="240" w:lineRule="auto"/>
              <w:ind w:firstLine="0"/>
              <w:rPr>
                <w:rFonts w:ascii="Times New Roman" w:hAnsi="Times New Roman"/>
              </w:rPr>
            </w:pPr>
            <w:r w:rsidRPr="005110F7">
              <w:rPr>
                <w:rFonts w:ascii="Times New Roman" w:hAnsi="Times New Roman"/>
              </w:rPr>
              <w:t>Database Administrator</w:t>
            </w:r>
          </w:p>
        </w:tc>
        <w:tc>
          <w:tcPr>
            <w:tcW w:w="1980" w:type="dxa"/>
            <w:tcBorders>
              <w:left w:val="nil"/>
              <w:bottom w:val="single" w:sz="4" w:space="0" w:color="auto"/>
              <w:right w:val="nil"/>
            </w:tcBorders>
            <w:hideMark/>
          </w:tcPr>
          <w:p w:rsidR="005110F7" w:rsidRPr="005110F7" w:rsidRDefault="005110F7" w:rsidP="00C3625E">
            <w:pPr>
              <w:spacing w:line="240" w:lineRule="auto"/>
              <w:ind w:firstLine="0"/>
              <w:jc w:val="center"/>
              <w:rPr>
                <w:rFonts w:ascii="Times New Roman" w:hAnsi="Times New Roman"/>
              </w:rPr>
            </w:pPr>
            <w:r w:rsidRPr="005110F7">
              <w:rPr>
                <w:rFonts w:ascii="Times New Roman" w:hAnsi="Times New Roman"/>
              </w:rPr>
              <w:t>15-1141</w:t>
            </w:r>
          </w:p>
        </w:tc>
        <w:tc>
          <w:tcPr>
            <w:tcW w:w="2070" w:type="dxa"/>
            <w:tcBorders>
              <w:left w:val="nil"/>
              <w:bottom w:val="single" w:sz="4" w:space="0" w:color="auto"/>
              <w:right w:val="nil"/>
            </w:tcBorders>
            <w:hideMark/>
          </w:tcPr>
          <w:p w:rsidR="005110F7" w:rsidRPr="005110F7" w:rsidRDefault="005110F7" w:rsidP="00C3625E">
            <w:pPr>
              <w:spacing w:line="240" w:lineRule="auto"/>
              <w:ind w:firstLine="0"/>
              <w:jc w:val="center"/>
              <w:rPr>
                <w:rFonts w:ascii="Times New Roman" w:hAnsi="Times New Roman"/>
              </w:rPr>
            </w:pPr>
            <w:r w:rsidRPr="005110F7">
              <w:rPr>
                <w:rFonts w:ascii="Times New Roman" w:hAnsi="Times New Roman"/>
              </w:rPr>
              <w:t>$37.75</w:t>
            </w:r>
          </w:p>
        </w:tc>
      </w:tr>
      <w:tr w:rsidR="005110F7" w:rsidRPr="005110F7" w:rsidTr="00C3625E">
        <w:tc>
          <w:tcPr>
            <w:tcW w:w="4860" w:type="dxa"/>
            <w:tcBorders>
              <w:top w:val="single" w:sz="4" w:space="0" w:color="auto"/>
              <w:left w:val="nil"/>
              <w:bottom w:val="single" w:sz="4" w:space="0" w:color="auto"/>
              <w:right w:val="nil"/>
            </w:tcBorders>
            <w:vAlign w:val="center"/>
            <w:hideMark/>
          </w:tcPr>
          <w:p w:rsidR="005110F7" w:rsidRPr="005110F7" w:rsidRDefault="005110F7" w:rsidP="00C3625E">
            <w:pPr>
              <w:spacing w:line="240" w:lineRule="auto"/>
              <w:ind w:firstLine="0"/>
              <w:rPr>
                <w:rFonts w:ascii="Times New Roman" w:hAnsi="Times New Roman"/>
              </w:rPr>
            </w:pPr>
            <w:r w:rsidRPr="005110F7">
              <w:rPr>
                <w:rFonts w:ascii="Times New Roman" w:hAnsi="Times New Roman"/>
              </w:rPr>
              <w:t>Social/community Service Manager</w:t>
            </w:r>
          </w:p>
        </w:tc>
        <w:tc>
          <w:tcPr>
            <w:tcW w:w="1980" w:type="dxa"/>
            <w:tcBorders>
              <w:top w:val="single" w:sz="4" w:space="0" w:color="auto"/>
              <w:left w:val="nil"/>
              <w:bottom w:val="single" w:sz="4" w:space="0" w:color="auto"/>
              <w:right w:val="nil"/>
            </w:tcBorders>
            <w:hideMark/>
          </w:tcPr>
          <w:p w:rsidR="005110F7" w:rsidRPr="005110F7" w:rsidRDefault="005110F7" w:rsidP="00C3625E">
            <w:pPr>
              <w:spacing w:line="240" w:lineRule="auto"/>
              <w:ind w:firstLine="0"/>
              <w:jc w:val="center"/>
              <w:rPr>
                <w:rFonts w:ascii="Times New Roman" w:hAnsi="Times New Roman"/>
              </w:rPr>
            </w:pPr>
            <w:r w:rsidRPr="005110F7">
              <w:rPr>
                <w:rFonts w:ascii="Times New Roman" w:hAnsi="Times New Roman"/>
              </w:rPr>
              <w:t>11-9151</w:t>
            </w:r>
          </w:p>
        </w:tc>
        <w:tc>
          <w:tcPr>
            <w:tcW w:w="2070" w:type="dxa"/>
            <w:tcBorders>
              <w:top w:val="single" w:sz="4" w:space="0" w:color="auto"/>
              <w:left w:val="nil"/>
              <w:bottom w:val="single" w:sz="4" w:space="0" w:color="auto"/>
              <w:right w:val="nil"/>
            </w:tcBorders>
            <w:hideMark/>
          </w:tcPr>
          <w:p w:rsidR="005110F7" w:rsidRPr="005110F7" w:rsidRDefault="005110F7" w:rsidP="00C3625E">
            <w:pPr>
              <w:spacing w:line="240" w:lineRule="auto"/>
              <w:ind w:firstLine="0"/>
              <w:jc w:val="center"/>
              <w:rPr>
                <w:rFonts w:ascii="Times New Roman" w:hAnsi="Times New Roman"/>
              </w:rPr>
            </w:pPr>
            <w:r w:rsidRPr="005110F7">
              <w:rPr>
                <w:rFonts w:ascii="Times New Roman" w:hAnsi="Times New Roman"/>
              </w:rPr>
              <w:t>$29.40</w:t>
            </w:r>
          </w:p>
        </w:tc>
      </w:tr>
    </w:tbl>
    <w:p w:rsidR="004466FD" w:rsidRDefault="004466FD" w:rsidP="00BF36F2">
      <w:pPr>
        <w:spacing w:line="240" w:lineRule="auto"/>
        <w:ind w:firstLine="0"/>
        <w:jc w:val="left"/>
        <w:rPr>
          <w:rFonts w:ascii="Times New Roman" w:hAnsi="Times New Roman"/>
          <w:color w:val="000000"/>
          <w:sz w:val="20"/>
          <w:szCs w:val="20"/>
        </w:rPr>
      </w:pPr>
    </w:p>
    <w:p w:rsidR="005110F7" w:rsidRPr="005110F7" w:rsidRDefault="004466FD" w:rsidP="00BF36F2">
      <w:pPr>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 xml:space="preserve">     </w:t>
      </w:r>
      <w:r w:rsidR="005110F7" w:rsidRPr="005110F7">
        <w:rPr>
          <w:rFonts w:ascii="Times New Roman" w:hAnsi="Times New Roman"/>
          <w:color w:val="000000"/>
          <w:sz w:val="20"/>
          <w:szCs w:val="20"/>
        </w:rPr>
        <w:t>Source: Occupational Employment Statistics, accessed online March 22, 2015 at http://www.bls.gov/oes/current/oes_stru.htm</w:t>
      </w:r>
    </w:p>
    <w:p w:rsidR="005110F7" w:rsidRDefault="005110F7" w:rsidP="00BF36F2">
      <w:pPr>
        <w:spacing w:line="240" w:lineRule="auto"/>
        <w:ind w:firstLine="0"/>
        <w:jc w:val="left"/>
        <w:rPr>
          <w:rFonts w:ascii="Times New Roman" w:hAnsi="Times New Roman"/>
          <w:color w:val="000000"/>
        </w:rPr>
      </w:pPr>
    </w:p>
    <w:p w:rsidR="0093577F" w:rsidRPr="00F608BB" w:rsidRDefault="0093577F" w:rsidP="00BF36F2">
      <w:pPr>
        <w:spacing w:line="240" w:lineRule="auto"/>
        <w:ind w:firstLine="0"/>
        <w:jc w:val="left"/>
        <w:rPr>
          <w:rFonts w:ascii="Times New Roman" w:hAnsi="Times New Roman"/>
          <w:color w:val="000000"/>
        </w:rPr>
      </w:pPr>
      <w:r w:rsidRPr="00F608BB">
        <w:rPr>
          <w:rFonts w:ascii="Times New Roman" w:hAnsi="Times New Roman"/>
          <w:color w:val="000000"/>
        </w:rPr>
        <w:t xml:space="preserve">Based on this assumption, and the frequency and duration of responses listed in Table </w:t>
      </w:r>
      <w:r w:rsidR="00B726CC" w:rsidRPr="00F608BB">
        <w:rPr>
          <w:rFonts w:ascii="Times New Roman" w:hAnsi="Times New Roman"/>
          <w:color w:val="000000"/>
        </w:rPr>
        <w:t>2</w:t>
      </w:r>
      <w:r w:rsidRPr="00F608BB">
        <w:rPr>
          <w:rFonts w:ascii="Times New Roman" w:hAnsi="Times New Roman"/>
          <w:color w:val="000000"/>
        </w:rPr>
        <w:t>, the estimated total PHA staff costs are:</w:t>
      </w:r>
    </w:p>
    <w:p w:rsidR="0093577F" w:rsidRDefault="0093577F" w:rsidP="00BF36F2">
      <w:pPr>
        <w:spacing w:line="240" w:lineRule="auto"/>
        <w:ind w:firstLine="0"/>
        <w:jc w:val="left"/>
        <w:rPr>
          <w:rFonts w:ascii="Times New Roman" w:hAnsi="Times New Roman"/>
          <w:color w:val="000000"/>
        </w:rPr>
      </w:pPr>
    </w:p>
    <w:p w:rsidR="0093577F" w:rsidRDefault="00F26A8F" w:rsidP="00BF36F2">
      <w:pPr>
        <w:numPr>
          <w:ilvl w:val="0"/>
          <w:numId w:val="28"/>
        </w:numPr>
        <w:spacing w:line="240" w:lineRule="auto"/>
        <w:jc w:val="left"/>
        <w:rPr>
          <w:rFonts w:ascii="Times New Roman" w:hAnsi="Times New Roman"/>
        </w:rPr>
      </w:pPr>
      <w:r>
        <w:rPr>
          <w:rFonts w:ascii="Times New Roman" w:hAnsi="Times New Roman"/>
        </w:rPr>
        <w:t>PHA staff interviews</w:t>
      </w:r>
      <w:r w:rsidR="0093577F">
        <w:rPr>
          <w:rFonts w:ascii="Times New Roman" w:hAnsi="Times New Roman"/>
        </w:rPr>
        <w:t xml:space="preserve">: </w:t>
      </w:r>
      <w:r>
        <w:rPr>
          <w:rFonts w:ascii="Times New Roman" w:hAnsi="Times New Roman"/>
        </w:rPr>
        <w:t xml:space="preserve">32 </w:t>
      </w:r>
      <w:r w:rsidR="0093577F">
        <w:rPr>
          <w:rFonts w:ascii="Times New Roman" w:hAnsi="Times New Roman"/>
        </w:rPr>
        <w:t>staff (</w:t>
      </w:r>
      <w:r>
        <w:rPr>
          <w:rFonts w:ascii="Times New Roman" w:hAnsi="Times New Roman"/>
        </w:rPr>
        <w:t xml:space="preserve">8 </w:t>
      </w:r>
      <w:r w:rsidR="0093577F">
        <w:rPr>
          <w:rFonts w:ascii="Times New Roman" w:hAnsi="Times New Roman"/>
        </w:rPr>
        <w:t>staff</w:t>
      </w:r>
      <w:r w:rsidR="0019154D">
        <w:rPr>
          <w:rStyle w:val="FootnoteReference"/>
          <w:rFonts w:eastAsia="Arial Unicode MS"/>
          <w:bCs/>
          <w:snapToGrid w:val="0"/>
          <w:sz w:val="18"/>
          <w:szCs w:val="18"/>
        </w:rPr>
        <w:footnoteReference w:id="4"/>
      </w:r>
      <w:r w:rsidR="0093577F">
        <w:rPr>
          <w:rFonts w:ascii="Times New Roman" w:hAnsi="Times New Roman"/>
        </w:rPr>
        <w:t xml:space="preserve"> * </w:t>
      </w:r>
      <w:r w:rsidR="003C4C6C">
        <w:rPr>
          <w:rFonts w:ascii="Times New Roman" w:hAnsi="Times New Roman"/>
        </w:rPr>
        <w:t xml:space="preserve">4 </w:t>
      </w:r>
      <w:r w:rsidR="0093577F">
        <w:rPr>
          <w:rFonts w:ascii="Times New Roman" w:hAnsi="Times New Roman"/>
        </w:rPr>
        <w:t>sites) *</w:t>
      </w:r>
      <w:r>
        <w:rPr>
          <w:rFonts w:ascii="Times New Roman" w:hAnsi="Times New Roman"/>
        </w:rPr>
        <w:t xml:space="preserve"> </w:t>
      </w:r>
      <w:r w:rsidR="0093577F">
        <w:rPr>
          <w:rFonts w:ascii="Times New Roman" w:hAnsi="Times New Roman"/>
        </w:rPr>
        <w:t>$24.</w:t>
      </w:r>
      <w:r>
        <w:rPr>
          <w:rFonts w:ascii="Times New Roman" w:hAnsi="Times New Roman"/>
        </w:rPr>
        <w:t xml:space="preserve">33 </w:t>
      </w:r>
      <w:r w:rsidR="0093577F">
        <w:rPr>
          <w:rFonts w:ascii="Times New Roman" w:hAnsi="Times New Roman"/>
        </w:rPr>
        <w:t>*1</w:t>
      </w:r>
      <w:r>
        <w:rPr>
          <w:rFonts w:ascii="Times New Roman" w:hAnsi="Times New Roman"/>
        </w:rPr>
        <w:t>.5</w:t>
      </w:r>
      <w:r w:rsidR="0093577F">
        <w:rPr>
          <w:rFonts w:ascii="Times New Roman" w:hAnsi="Times New Roman"/>
        </w:rPr>
        <w:t xml:space="preserve"> hour * </w:t>
      </w:r>
      <w:r>
        <w:rPr>
          <w:rFonts w:ascii="Times New Roman" w:hAnsi="Times New Roman"/>
        </w:rPr>
        <w:t xml:space="preserve">32 </w:t>
      </w:r>
      <w:r w:rsidR="0093577F">
        <w:rPr>
          <w:rFonts w:ascii="Times New Roman" w:hAnsi="Times New Roman"/>
        </w:rPr>
        <w:t>meetings = $</w:t>
      </w:r>
      <w:r>
        <w:rPr>
          <w:rFonts w:ascii="Times New Roman" w:hAnsi="Times New Roman"/>
        </w:rPr>
        <w:t>1,167.84.</w:t>
      </w:r>
    </w:p>
    <w:p w:rsidR="005110F7" w:rsidRDefault="005110F7" w:rsidP="005110F7">
      <w:pPr>
        <w:numPr>
          <w:ilvl w:val="0"/>
          <w:numId w:val="28"/>
        </w:numPr>
        <w:spacing w:line="240" w:lineRule="auto"/>
        <w:jc w:val="left"/>
        <w:rPr>
          <w:rFonts w:ascii="Times New Roman" w:hAnsi="Times New Roman"/>
        </w:rPr>
      </w:pPr>
      <w:r>
        <w:rPr>
          <w:rFonts w:ascii="Times New Roman" w:hAnsi="Times New Roman"/>
        </w:rPr>
        <w:t xml:space="preserve">PHA database extraction: 4 staff (1 staff * 4 sites) * </w:t>
      </w:r>
      <w:r w:rsidRPr="005110F7">
        <w:rPr>
          <w:rFonts w:ascii="Times New Roman" w:hAnsi="Times New Roman"/>
        </w:rPr>
        <w:t>$33.58 * 1 hour * 4</w:t>
      </w:r>
      <w:r>
        <w:rPr>
          <w:rFonts w:ascii="Times New Roman" w:hAnsi="Times New Roman"/>
        </w:rPr>
        <w:t xml:space="preserve"> responses in 2015 = </w:t>
      </w:r>
      <w:r w:rsidRPr="005110F7">
        <w:rPr>
          <w:rFonts w:ascii="Times New Roman" w:hAnsi="Times New Roman"/>
        </w:rPr>
        <w:t>$537.28</w:t>
      </w:r>
    </w:p>
    <w:p w:rsidR="005110F7" w:rsidRPr="005110F7" w:rsidRDefault="005110F7" w:rsidP="005110F7">
      <w:pPr>
        <w:numPr>
          <w:ilvl w:val="0"/>
          <w:numId w:val="28"/>
        </w:numPr>
        <w:spacing w:line="240" w:lineRule="auto"/>
        <w:jc w:val="left"/>
        <w:rPr>
          <w:rFonts w:ascii="Times New Roman" w:hAnsi="Times New Roman"/>
        </w:rPr>
      </w:pPr>
      <w:r>
        <w:rPr>
          <w:rFonts w:ascii="Times New Roman" w:hAnsi="Times New Roman"/>
        </w:rPr>
        <w:lastRenderedPageBreak/>
        <w:t xml:space="preserve">Cost study data collection: </w:t>
      </w:r>
      <w:r w:rsidRPr="005110F7">
        <w:rPr>
          <w:rFonts w:ascii="Times New Roman" w:hAnsi="Times New Roman"/>
        </w:rPr>
        <w:t>8 staff (2 staff * 4 sites)</w:t>
      </w:r>
      <w:r>
        <w:rPr>
          <w:rFonts w:ascii="Times New Roman" w:hAnsi="Times New Roman"/>
        </w:rPr>
        <w:t xml:space="preserve"> * </w:t>
      </w:r>
      <w:r w:rsidRPr="005110F7">
        <w:rPr>
          <w:rFonts w:ascii="Times New Roman" w:hAnsi="Times New Roman"/>
        </w:rPr>
        <w:t>$33.58 * 2 hours</w:t>
      </w:r>
      <w:r>
        <w:rPr>
          <w:rFonts w:ascii="Times New Roman" w:hAnsi="Times New Roman"/>
        </w:rPr>
        <w:t xml:space="preserve"> = </w:t>
      </w:r>
      <w:r w:rsidRPr="005110F7">
        <w:rPr>
          <w:rFonts w:ascii="Times New Roman" w:hAnsi="Times New Roman"/>
        </w:rPr>
        <w:t>$537.28</w:t>
      </w:r>
    </w:p>
    <w:p w:rsidR="005110F7" w:rsidRPr="005110F7" w:rsidRDefault="00C108E6" w:rsidP="005110F7">
      <w:pPr>
        <w:numPr>
          <w:ilvl w:val="0"/>
          <w:numId w:val="28"/>
        </w:numPr>
        <w:spacing w:line="240" w:lineRule="auto"/>
        <w:jc w:val="left"/>
        <w:rPr>
          <w:rFonts w:ascii="Times New Roman" w:hAnsi="Times New Roman"/>
        </w:rPr>
      </w:pPr>
      <w:r>
        <w:rPr>
          <w:rFonts w:ascii="Times New Roman" w:hAnsi="Times New Roman"/>
        </w:rPr>
        <w:t>Interviews to understand implementation of new rent model and to provide technical assistance: 32 staff (8 staff * 4 sites) * 24.33 * 1 hour * 4 meetings = $2,983.</w:t>
      </w:r>
    </w:p>
    <w:p w:rsidR="00C108E6" w:rsidRPr="00C108E6" w:rsidRDefault="00C108E6" w:rsidP="00C108E6">
      <w:pPr>
        <w:numPr>
          <w:ilvl w:val="0"/>
          <w:numId w:val="28"/>
        </w:numPr>
        <w:spacing w:after="240" w:line="288" w:lineRule="auto"/>
        <w:jc w:val="left"/>
        <w:rPr>
          <w:rFonts w:ascii="Times New Roman" w:hAnsi="Times New Roman"/>
          <w:color w:val="000000"/>
        </w:rPr>
      </w:pPr>
      <w:r>
        <w:rPr>
          <w:rFonts w:ascii="Times New Roman" w:hAnsi="Times New Roman"/>
          <w:color w:val="000000"/>
        </w:rPr>
        <w:t>Total: $</w:t>
      </w:r>
      <w:r w:rsidR="001666E0">
        <w:rPr>
          <w:rFonts w:ascii="Times New Roman" w:hAnsi="Times New Roman"/>
          <w:color w:val="000000"/>
        </w:rPr>
        <w:t>5,356.64</w:t>
      </w:r>
    </w:p>
    <w:p w:rsidR="00115E00" w:rsidRPr="000F4A28" w:rsidRDefault="00115E00" w:rsidP="00BF36F2">
      <w:pPr>
        <w:spacing w:line="240" w:lineRule="auto"/>
        <w:ind w:firstLine="0"/>
        <w:jc w:val="left"/>
        <w:rPr>
          <w:rFonts w:ascii="Times New Roman" w:hAnsi="Times New Roman"/>
        </w:rPr>
      </w:pPr>
      <w:r w:rsidRPr="00D6195C">
        <w:rPr>
          <w:rFonts w:ascii="Times New Roman" w:hAnsi="Times New Roman"/>
        </w:rPr>
        <w:t>Note</w:t>
      </w:r>
      <w:proofErr w:type="gramStart"/>
      <w:r w:rsidRPr="00D6195C">
        <w:rPr>
          <w:rFonts w:ascii="Times New Roman" w:hAnsi="Times New Roman"/>
        </w:rPr>
        <w:t>,</w:t>
      </w:r>
      <w:proofErr w:type="gramEnd"/>
      <w:r w:rsidRPr="00D6195C">
        <w:rPr>
          <w:rFonts w:ascii="Times New Roman" w:hAnsi="Times New Roman"/>
        </w:rPr>
        <w:t xml:space="preserve"> this estimate does not include fringe benefits or other overhead costs. This estimate also only pertains to staff directly involved in administering study protocols and participating in data collection activities, and does not include effort associated with other housing authority staff whose contribution will be needed to effectively implement the study at the site. Further</w:t>
      </w:r>
      <w:r w:rsidR="004466FD">
        <w:rPr>
          <w:rFonts w:ascii="Times New Roman" w:hAnsi="Times New Roman"/>
        </w:rPr>
        <w:t>,</w:t>
      </w:r>
      <w:r w:rsidRPr="00D6195C">
        <w:rPr>
          <w:rFonts w:ascii="Times New Roman" w:hAnsi="Times New Roman"/>
        </w:rPr>
        <w:t xml:space="preserve"> for staff included in this estimate, this calculation does not include the time that will be required to check-in regularly with MDRC and to provide other regular status updates throughout the duration of the study.</w:t>
      </w:r>
      <w:r w:rsidRPr="000F4A28">
        <w:rPr>
          <w:rFonts w:ascii="Times New Roman" w:hAnsi="Times New Roman"/>
        </w:rPr>
        <w:t xml:space="preserve"> </w:t>
      </w:r>
    </w:p>
    <w:p w:rsidR="00B1183B" w:rsidRDefault="00B1183B" w:rsidP="00400C5C">
      <w:pPr>
        <w:tabs>
          <w:tab w:val="clear" w:pos="432"/>
        </w:tabs>
        <w:spacing w:line="240" w:lineRule="auto"/>
        <w:ind w:firstLine="0"/>
        <w:jc w:val="left"/>
        <w:rPr>
          <w:rFonts w:ascii="Times New Roman" w:hAnsi="Times New Roman"/>
          <w:b/>
        </w:rPr>
      </w:pPr>
    </w:p>
    <w:p w:rsidR="0093577F" w:rsidRDefault="0093577F" w:rsidP="00BF36F2">
      <w:pPr>
        <w:tabs>
          <w:tab w:val="clear" w:pos="432"/>
        </w:tabs>
        <w:spacing w:line="240" w:lineRule="auto"/>
        <w:ind w:firstLine="0"/>
        <w:jc w:val="left"/>
        <w:rPr>
          <w:rFonts w:ascii="Times New Roman" w:hAnsi="Times New Roman"/>
          <w:b/>
        </w:rPr>
      </w:pPr>
      <w:r>
        <w:rPr>
          <w:rFonts w:ascii="Times New Roman" w:hAnsi="Times New Roman"/>
          <w:b/>
        </w:rPr>
        <w:t>Total estimated cost: $</w:t>
      </w:r>
      <w:r w:rsidR="005110F7">
        <w:rPr>
          <w:rFonts w:ascii="Times New Roman" w:hAnsi="Times New Roman"/>
          <w:b/>
        </w:rPr>
        <w:t>5,844.44</w:t>
      </w:r>
    </w:p>
    <w:p w:rsidR="0093577F" w:rsidRDefault="0093577F" w:rsidP="00BF36F2">
      <w:pPr>
        <w:tabs>
          <w:tab w:val="clear" w:pos="432"/>
        </w:tabs>
        <w:spacing w:line="240" w:lineRule="auto"/>
        <w:ind w:firstLine="0"/>
        <w:jc w:val="left"/>
        <w:rPr>
          <w:rFonts w:ascii="Times New Roman" w:hAnsi="Times New Roman"/>
          <w:b/>
        </w:rPr>
      </w:pPr>
    </w:p>
    <w:p w:rsidR="00B1183B" w:rsidRPr="00933DA0" w:rsidRDefault="00B1183B" w:rsidP="00BF36F2">
      <w:pPr>
        <w:tabs>
          <w:tab w:val="clear" w:pos="432"/>
        </w:tabs>
        <w:spacing w:after="200" w:line="276" w:lineRule="auto"/>
        <w:ind w:firstLine="0"/>
        <w:jc w:val="left"/>
        <w:rPr>
          <w:rFonts w:ascii="Arial" w:hAnsi="Arial" w:cs="Arial"/>
          <w:b/>
        </w:rPr>
      </w:pPr>
      <w:r w:rsidRPr="00933DA0">
        <w:rPr>
          <w:rFonts w:ascii="Arial" w:hAnsi="Arial" w:cs="Arial"/>
          <w:b/>
        </w:rPr>
        <w:t>A.13</w:t>
      </w:r>
      <w:r w:rsidR="004466FD">
        <w:rPr>
          <w:rFonts w:ascii="Arial" w:hAnsi="Arial" w:cs="Arial"/>
          <w:b/>
        </w:rPr>
        <w:t xml:space="preserve"> </w:t>
      </w:r>
      <w:r w:rsidRPr="00933DA0">
        <w:rPr>
          <w:rFonts w:ascii="Arial" w:hAnsi="Arial" w:cs="Arial"/>
          <w:b/>
        </w:rPr>
        <w:t xml:space="preserve">Other Cost Burden to Respondents and Record Keepers </w:t>
      </w:r>
    </w:p>
    <w:p w:rsidR="00B1183B" w:rsidRDefault="002E7597" w:rsidP="00BF36F2">
      <w:pPr>
        <w:spacing w:line="240" w:lineRule="auto"/>
        <w:ind w:firstLine="0"/>
        <w:jc w:val="left"/>
        <w:rPr>
          <w:rFonts w:ascii="Times New Roman" w:hAnsi="Times New Roman"/>
        </w:rPr>
      </w:pPr>
      <w:r>
        <w:rPr>
          <w:rFonts w:ascii="Times New Roman" w:hAnsi="Times New Roman"/>
        </w:rPr>
        <w:t>D</w:t>
      </w:r>
      <w:r w:rsidR="00B1183B" w:rsidRPr="00542556">
        <w:rPr>
          <w:rFonts w:ascii="Times New Roman" w:hAnsi="Times New Roman"/>
        </w:rPr>
        <w:t>ata collection require</w:t>
      </w:r>
      <w:r>
        <w:rPr>
          <w:rFonts w:ascii="Times New Roman" w:hAnsi="Times New Roman"/>
        </w:rPr>
        <w:t>s</w:t>
      </w:r>
      <w:r w:rsidR="00B1183B" w:rsidRPr="00542556">
        <w:rPr>
          <w:rFonts w:ascii="Times New Roman" w:hAnsi="Times New Roman"/>
        </w:rPr>
        <w:t xml:space="preserve"> </w:t>
      </w:r>
      <w:r w:rsidR="00B83C85">
        <w:rPr>
          <w:rFonts w:ascii="Times New Roman" w:hAnsi="Times New Roman"/>
        </w:rPr>
        <w:t>housing authorities</w:t>
      </w:r>
      <w:r w:rsidR="00B1183B" w:rsidRPr="00542556">
        <w:rPr>
          <w:rFonts w:ascii="Times New Roman" w:hAnsi="Times New Roman"/>
        </w:rPr>
        <w:t xml:space="preserve"> </w:t>
      </w:r>
      <w:r w:rsidR="00B1183B">
        <w:rPr>
          <w:rFonts w:ascii="Times New Roman" w:hAnsi="Times New Roman"/>
        </w:rPr>
        <w:t xml:space="preserve">to </w:t>
      </w:r>
      <w:r w:rsidR="00115E00">
        <w:rPr>
          <w:rFonts w:ascii="Times New Roman" w:hAnsi="Times New Roman"/>
        </w:rPr>
        <w:t xml:space="preserve">modify their </w:t>
      </w:r>
      <w:r w:rsidR="00B83C85">
        <w:rPr>
          <w:rFonts w:ascii="Times New Roman" w:hAnsi="Times New Roman"/>
        </w:rPr>
        <w:t>existing</w:t>
      </w:r>
      <w:r w:rsidR="00115E00">
        <w:rPr>
          <w:rFonts w:ascii="Times New Roman" w:hAnsi="Times New Roman"/>
        </w:rPr>
        <w:t xml:space="preserve"> data systems to capture the newly implemented rent rules</w:t>
      </w:r>
      <w:r>
        <w:rPr>
          <w:rFonts w:ascii="Times New Roman" w:hAnsi="Times New Roman"/>
        </w:rPr>
        <w:t>, and HUD has made resources available to support system modification</w:t>
      </w:r>
      <w:r w:rsidR="00115E00">
        <w:rPr>
          <w:rFonts w:ascii="Times New Roman" w:hAnsi="Times New Roman"/>
        </w:rPr>
        <w:t xml:space="preserve">. </w:t>
      </w:r>
      <w:r>
        <w:rPr>
          <w:rFonts w:ascii="Times New Roman" w:hAnsi="Times New Roman"/>
        </w:rPr>
        <w:t xml:space="preserve"> </w:t>
      </w:r>
    </w:p>
    <w:p w:rsidR="00E80C9D" w:rsidRDefault="00E80C9D" w:rsidP="00BF36F2">
      <w:pPr>
        <w:spacing w:line="240" w:lineRule="auto"/>
        <w:ind w:firstLine="0"/>
        <w:jc w:val="left"/>
        <w:rPr>
          <w:rFonts w:ascii="Times New Roman" w:hAnsi="Times New Roman"/>
        </w:rPr>
      </w:pPr>
    </w:p>
    <w:p w:rsidR="00B1183B" w:rsidRPr="002C1616" w:rsidRDefault="00B1183B" w:rsidP="00B1183B">
      <w:pPr>
        <w:pStyle w:val="Heading3"/>
        <w:jc w:val="left"/>
        <w:rPr>
          <w:rFonts w:ascii="Arial" w:hAnsi="Arial" w:cs="Arial"/>
          <w:sz w:val="24"/>
          <w:szCs w:val="24"/>
        </w:rPr>
      </w:pPr>
      <w:r w:rsidRPr="002C1616">
        <w:rPr>
          <w:rFonts w:ascii="Arial" w:hAnsi="Arial" w:cs="Arial"/>
          <w:sz w:val="24"/>
          <w:szCs w:val="24"/>
        </w:rPr>
        <w:t xml:space="preserve">A.14 Annualized Cost to the Government. </w:t>
      </w:r>
    </w:p>
    <w:p w:rsidR="00DE2D01" w:rsidRPr="00B83C85" w:rsidRDefault="00DE2D01" w:rsidP="00DE2D01">
      <w:pPr>
        <w:tabs>
          <w:tab w:val="clear" w:pos="432"/>
        </w:tabs>
        <w:autoSpaceDE w:val="0"/>
        <w:autoSpaceDN w:val="0"/>
        <w:adjustRightInd w:val="0"/>
        <w:spacing w:line="240" w:lineRule="auto"/>
        <w:ind w:firstLine="0"/>
        <w:jc w:val="left"/>
        <w:rPr>
          <w:rFonts w:ascii="Times New Roman" w:hAnsi="Times New Roman"/>
        </w:rPr>
      </w:pPr>
      <w:r w:rsidRPr="002C1616">
        <w:rPr>
          <w:rFonts w:ascii="Times New Roman" w:hAnsi="Times New Roman"/>
        </w:rPr>
        <w:t xml:space="preserve">The total cost to the federal government for </w:t>
      </w:r>
      <w:r w:rsidR="00E55DD0" w:rsidRPr="002C1616">
        <w:rPr>
          <w:rFonts w:ascii="Times New Roman" w:hAnsi="Times New Roman"/>
        </w:rPr>
        <w:t>TO</w:t>
      </w:r>
      <w:r w:rsidR="00E55DD0">
        <w:rPr>
          <w:rFonts w:ascii="Times New Roman" w:hAnsi="Times New Roman"/>
        </w:rPr>
        <w:t>2</w:t>
      </w:r>
      <w:r w:rsidR="00E55DD0" w:rsidRPr="002C1616">
        <w:rPr>
          <w:rFonts w:ascii="Times New Roman" w:hAnsi="Times New Roman"/>
        </w:rPr>
        <w:t xml:space="preserve"> </w:t>
      </w:r>
      <w:r w:rsidR="0098474D" w:rsidRPr="002C1616">
        <w:rPr>
          <w:rFonts w:ascii="Times New Roman" w:hAnsi="Times New Roman"/>
        </w:rPr>
        <w:t>of the study</w:t>
      </w:r>
      <w:r w:rsidR="00B83C85" w:rsidRPr="002C1616">
        <w:rPr>
          <w:rFonts w:ascii="Times New Roman" w:hAnsi="Times New Roman"/>
        </w:rPr>
        <w:t xml:space="preserve"> is </w:t>
      </w:r>
      <w:r w:rsidR="00CE57C3">
        <w:rPr>
          <w:rFonts w:ascii="Times New Roman" w:hAnsi="Times New Roman"/>
        </w:rPr>
        <w:t>$</w:t>
      </w:r>
      <w:r w:rsidR="00CE57C3" w:rsidRPr="00CE57C3">
        <w:rPr>
          <w:rFonts w:ascii="Times New Roman" w:hAnsi="Times New Roman"/>
        </w:rPr>
        <w:t>3,030,919</w:t>
      </w:r>
      <w:r w:rsidR="00B83C85" w:rsidRPr="00CE57C3">
        <w:rPr>
          <w:rFonts w:ascii="Times New Roman" w:hAnsi="Times New Roman"/>
        </w:rPr>
        <w:t xml:space="preserve"> –</w:t>
      </w:r>
      <w:r w:rsidR="00B83C85" w:rsidRPr="002C1616">
        <w:rPr>
          <w:rFonts w:ascii="Times New Roman" w:hAnsi="Times New Roman"/>
        </w:rPr>
        <w:t xml:space="preserve"> </w:t>
      </w:r>
      <w:r w:rsidR="00B83C85" w:rsidRPr="002C1616">
        <w:rPr>
          <w:rFonts w:ascii="Times New Roman" w:eastAsia="Calibri" w:hAnsi="Times New Roman"/>
        </w:rPr>
        <w:t>i</w:t>
      </w:r>
      <w:r w:rsidRPr="002C1616">
        <w:rPr>
          <w:rFonts w:ascii="Times New Roman" w:eastAsia="Calibri" w:hAnsi="Times New Roman"/>
        </w:rPr>
        <w:t xml:space="preserve">ncluded </w:t>
      </w:r>
      <w:r w:rsidR="00B83C85" w:rsidRPr="002C1616">
        <w:rPr>
          <w:rFonts w:ascii="Times New Roman" w:eastAsia="Calibri" w:hAnsi="Times New Roman"/>
        </w:rPr>
        <w:t xml:space="preserve">in this task order </w:t>
      </w:r>
      <w:r w:rsidRPr="002C1616">
        <w:rPr>
          <w:rFonts w:ascii="Times New Roman" w:eastAsia="Calibri" w:hAnsi="Times New Roman"/>
        </w:rPr>
        <w:t xml:space="preserve">are costs associated </w:t>
      </w:r>
      <w:r w:rsidRPr="00C222E7">
        <w:rPr>
          <w:rFonts w:ascii="Times New Roman" w:eastAsia="Calibri" w:hAnsi="Times New Roman"/>
        </w:rPr>
        <w:t xml:space="preserve">with </w:t>
      </w:r>
      <w:r w:rsidR="00513505" w:rsidRPr="00C222E7">
        <w:rPr>
          <w:rFonts w:ascii="Times New Roman" w:eastAsia="Calibri" w:hAnsi="Times New Roman"/>
        </w:rPr>
        <w:t xml:space="preserve">administrative </w:t>
      </w:r>
      <w:r w:rsidR="003F4030" w:rsidRPr="00C222E7">
        <w:rPr>
          <w:rFonts w:ascii="Times New Roman" w:eastAsia="Calibri" w:hAnsi="Times New Roman"/>
        </w:rPr>
        <w:t>data collection</w:t>
      </w:r>
      <w:r w:rsidR="004B3D7E" w:rsidRPr="00C222E7">
        <w:rPr>
          <w:rFonts w:ascii="Times New Roman" w:eastAsia="Calibri" w:hAnsi="Times New Roman"/>
        </w:rPr>
        <w:t>,</w:t>
      </w:r>
      <w:r w:rsidR="00CD12D4" w:rsidRPr="00C222E7">
        <w:rPr>
          <w:rFonts w:ascii="Times New Roman" w:eastAsia="Calibri" w:hAnsi="Times New Roman"/>
        </w:rPr>
        <w:t xml:space="preserve"> qualitative data collection</w:t>
      </w:r>
      <w:r w:rsidR="00513505" w:rsidRPr="00C222E7">
        <w:rPr>
          <w:rFonts w:ascii="Times New Roman" w:eastAsia="Calibri" w:hAnsi="Times New Roman"/>
        </w:rPr>
        <w:t>,</w:t>
      </w:r>
      <w:r w:rsidR="00C222E7" w:rsidRPr="00C222E7">
        <w:rPr>
          <w:rFonts w:ascii="Times New Roman" w:eastAsia="Calibri" w:hAnsi="Times New Roman"/>
        </w:rPr>
        <w:t xml:space="preserve"> PHA financial data collection,</w:t>
      </w:r>
      <w:r w:rsidR="00CD12D4" w:rsidRPr="00C222E7">
        <w:rPr>
          <w:rFonts w:ascii="Times New Roman" w:eastAsia="Calibri" w:hAnsi="Times New Roman"/>
        </w:rPr>
        <w:t xml:space="preserve"> continued technical assistance,</w:t>
      </w:r>
      <w:r w:rsidR="00513505" w:rsidRPr="00C222E7">
        <w:rPr>
          <w:rFonts w:ascii="Times New Roman" w:eastAsia="Calibri" w:hAnsi="Times New Roman"/>
        </w:rPr>
        <w:t xml:space="preserve"> data processing and analysis, and reporting</w:t>
      </w:r>
      <w:r w:rsidR="003F4030" w:rsidRPr="002C1616">
        <w:rPr>
          <w:rFonts w:ascii="Times New Roman" w:eastAsia="Calibri" w:hAnsi="Times New Roman"/>
        </w:rPr>
        <w:t>.</w:t>
      </w:r>
      <w:r w:rsidRPr="002C1616">
        <w:rPr>
          <w:rFonts w:ascii="Times New Roman" w:eastAsia="Calibri" w:hAnsi="Times New Roman"/>
        </w:rPr>
        <w:t xml:space="preserve"> </w:t>
      </w:r>
      <w:r w:rsidR="0075569D" w:rsidRPr="002C1616">
        <w:rPr>
          <w:rFonts w:ascii="Times New Roman" w:eastAsia="Calibri" w:hAnsi="Times New Roman"/>
        </w:rPr>
        <w:t xml:space="preserve">The data collection portion of this budget is </w:t>
      </w:r>
      <w:r w:rsidR="00CE57C3" w:rsidRPr="00CE57C3">
        <w:rPr>
          <w:rFonts w:ascii="Times New Roman" w:hAnsi="Times New Roman"/>
          <w:bCs/>
        </w:rPr>
        <w:t>$1,883,786</w:t>
      </w:r>
      <w:r w:rsidR="0075569D" w:rsidRPr="002C1616">
        <w:rPr>
          <w:rFonts w:ascii="Times New Roman" w:eastAsia="Calibri" w:hAnsi="Times New Roman"/>
        </w:rPr>
        <w:t>.</w:t>
      </w:r>
      <w:r w:rsidR="0075569D">
        <w:rPr>
          <w:rFonts w:ascii="Times New Roman" w:eastAsia="Calibri" w:hAnsi="Times New Roman"/>
        </w:rPr>
        <w:t xml:space="preserve"> </w:t>
      </w:r>
    </w:p>
    <w:p w:rsidR="00B1183B" w:rsidRDefault="00B1183B" w:rsidP="00B1183B">
      <w:pPr>
        <w:pStyle w:val="Heading3"/>
        <w:jc w:val="left"/>
        <w:rPr>
          <w:rFonts w:ascii="Times New Roman" w:hAnsi="Times New Roman"/>
          <w:sz w:val="28"/>
          <w:szCs w:val="28"/>
        </w:rPr>
      </w:pPr>
    </w:p>
    <w:p w:rsidR="00B1183B" w:rsidRPr="00C91562" w:rsidRDefault="00B1183B" w:rsidP="00B1183B">
      <w:pPr>
        <w:pStyle w:val="Heading3"/>
        <w:jc w:val="left"/>
        <w:rPr>
          <w:rFonts w:ascii="Arial" w:hAnsi="Arial" w:cs="Arial"/>
          <w:sz w:val="24"/>
          <w:szCs w:val="24"/>
        </w:rPr>
      </w:pPr>
      <w:r w:rsidRPr="00C91562">
        <w:rPr>
          <w:rFonts w:ascii="Arial" w:hAnsi="Arial" w:cs="Arial"/>
          <w:sz w:val="24"/>
          <w:szCs w:val="24"/>
        </w:rPr>
        <w:t>A.15</w:t>
      </w:r>
      <w:r w:rsidR="004466FD">
        <w:rPr>
          <w:rFonts w:ascii="Arial" w:hAnsi="Arial" w:cs="Arial"/>
          <w:sz w:val="24"/>
          <w:szCs w:val="24"/>
          <w:lang w:val="en-US"/>
        </w:rPr>
        <w:t xml:space="preserve"> </w:t>
      </w:r>
      <w:r w:rsidRPr="00C91562">
        <w:rPr>
          <w:rFonts w:ascii="Arial" w:hAnsi="Arial" w:cs="Arial"/>
          <w:sz w:val="24"/>
          <w:szCs w:val="24"/>
        </w:rPr>
        <w:t>Reasons for Any Program Changes or Adjustments</w:t>
      </w:r>
    </w:p>
    <w:p w:rsidR="00B1183B" w:rsidRPr="00542556" w:rsidRDefault="00B1183B" w:rsidP="00B1183B">
      <w:pPr>
        <w:autoSpaceDE w:val="0"/>
        <w:autoSpaceDN w:val="0"/>
        <w:adjustRightInd w:val="0"/>
        <w:spacing w:line="240" w:lineRule="auto"/>
        <w:ind w:firstLine="0"/>
        <w:jc w:val="left"/>
        <w:rPr>
          <w:rFonts w:ascii="Times New Roman" w:hAnsi="Times New Roman"/>
          <w:color w:val="000000"/>
        </w:rPr>
      </w:pPr>
      <w:r w:rsidRPr="00542556">
        <w:rPr>
          <w:rFonts w:ascii="Times New Roman" w:hAnsi="Times New Roman"/>
          <w:color w:val="000000"/>
        </w:rPr>
        <w:t xml:space="preserve">This submission is a </w:t>
      </w:r>
      <w:r w:rsidR="00F74829">
        <w:rPr>
          <w:rFonts w:ascii="Times New Roman" w:hAnsi="Times New Roman"/>
          <w:color w:val="000000"/>
        </w:rPr>
        <w:t>revision of an existing collection (OMB #2528-0306)</w:t>
      </w:r>
      <w:r w:rsidR="00F26A83">
        <w:rPr>
          <w:rFonts w:ascii="Times New Roman" w:hAnsi="Times New Roman"/>
          <w:color w:val="000000"/>
        </w:rPr>
        <w:t>.</w:t>
      </w:r>
      <w:r w:rsidRPr="00542556">
        <w:rPr>
          <w:rFonts w:ascii="Times New Roman" w:hAnsi="Times New Roman"/>
          <w:color w:val="000000"/>
        </w:rPr>
        <w:t xml:space="preserve"> </w:t>
      </w:r>
      <w:r w:rsidR="00F74829" w:rsidRPr="00952533">
        <w:rPr>
          <w:rFonts w:ascii="Times New Roman" w:hAnsi="Times New Roman"/>
          <w:color w:val="000000"/>
        </w:rPr>
        <w:t xml:space="preserve">The revision to the existing collection is necessary to obtain approval for data collection that is part of </w:t>
      </w:r>
      <w:r w:rsidR="007422FE" w:rsidRPr="00952533">
        <w:rPr>
          <w:rFonts w:ascii="Times New Roman" w:hAnsi="Times New Roman"/>
          <w:color w:val="000000"/>
        </w:rPr>
        <w:t>Task O</w:t>
      </w:r>
      <w:r w:rsidR="0006554A" w:rsidRPr="00952533">
        <w:rPr>
          <w:rFonts w:ascii="Times New Roman" w:hAnsi="Times New Roman"/>
          <w:color w:val="000000"/>
        </w:rPr>
        <w:t>r</w:t>
      </w:r>
      <w:r w:rsidR="007422FE" w:rsidRPr="00952533">
        <w:rPr>
          <w:rFonts w:ascii="Times New Roman" w:hAnsi="Times New Roman"/>
          <w:color w:val="000000"/>
        </w:rPr>
        <w:t xml:space="preserve">der 2 </w:t>
      </w:r>
      <w:r w:rsidR="00F74829" w:rsidRPr="00952533">
        <w:rPr>
          <w:rFonts w:ascii="Times New Roman" w:hAnsi="Times New Roman"/>
          <w:color w:val="000000"/>
        </w:rPr>
        <w:t xml:space="preserve">of the Rent Reform Demonstration: </w:t>
      </w:r>
      <w:r w:rsidR="008D1C30">
        <w:rPr>
          <w:rFonts w:ascii="Times New Roman" w:hAnsi="Times New Roman"/>
          <w:color w:val="000000"/>
        </w:rPr>
        <w:t xml:space="preserve">1) </w:t>
      </w:r>
      <w:r w:rsidR="006E56E9" w:rsidRPr="00952533">
        <w:rPr>
          <w:rFonts w:ascii="Times New Roman" w:hAnsi="Times New Roman"/>
          <w:color w:val="000000"/>
        </w:rPr>
        <w:t xml:space="preserve">interviews with PHA staff to understand the </w:t>
      </w:r>
      <w:r w:rsidR="00B528F3" w:rsidRPr="00952533">
        <w:rPr>
          <w:rFonts w:ascii="Times New Roman" w:hAnsi="Times New Roman"/>
          <w:color w:val="000000"/>
        </w:rPr>
        <w:t xml:space="preserve">early </w:t>
      </w:r>
      <w:r w:rsidR="00F74829" w:rsidRPr="00952533">
        <w:rPr>
          <w:rFonts w:ascii="Times New Roman" w:hAnsi="Times New Roman"/>
          <w:color w:val="000000"/>
        </w:rPr>
        <w:t>implementation,</w:t>
      </w:r>
      <w:r w:rsidR="006E56E9" w:rsidRPr="00952533">
        <w:rPr>
          <w:rFonts w:ascii="Times New Roman" w:hAnsi="Times New Roman"/>
          <w:color w:val="000000"/>
        </w:rPr>
        <w:t xml:space="preserve">, </w:t>
      </w:r>
      <w:r w:rsidR="008D1C30">
        <w:rPr>
          <w:rFonts w:ascii="Times New Roman" w:hAnsi="Times New Roman"/>
          <w:color w:val="000000"/>
        </w:rPr>
        <w:t xml:space="preserve">2) </w:t>
      </w:r>
      <w:r w:rsidR="006E56E9" w:rsidRPr="00952533">
        <w:rPr>
          <w:rFonts w:ascii="Times New Roman" w:hAnsi="Times New Roman"/>
          <w:color w:val="000000"/>
        </w:rPr>
        <w:t xml:space="preserve">two waves of study participant interviews to </w:t>
      </w:r>
      <w:r w:rsidR="0006554A" w:rsidRPr="00952533">
        <w:rPr>
          <w:rFonts w:ascii="Times New Roman" w:hAnsi="Times New Roman"/>
          <w:color w:val="000000"/>
        </w:rPr>
        <w:t xml:space="preserve">capture their </w:t>
      </w:r>
      <w:r w:rsidR="00B528F3" w:rsidRPr="00952533">
        <w:rPr>
          <w:rFonts w:ascii="Times New Roman" w:hAnsi="Times New Roman"/>
          <w:color w:val="000000"/>
        </w:rPr>
        <w:t xml:space="preserve">early </w:t>
      </w:r>
      <w:r w:rsidR="0006554A" w:rsidRPr="00952533">
        <w:rPr>
          <w:rFonts w:ascii="Times New Roman" w:hAnsi="Times New Roman"/>
          <w:color w:val="000000"/>
        </w:rPr>
        <w:t xml:space="preserve">experiences, </w:t>
      </w:r>
      <w:r w:rsidR="008D1C30">
        <w:rPr>
          <w:rFonts w:ascii="Times New Roman" w:hAnsi="Times New Roman"/>
          <w:color w:val="000000"/>
        </w:rPr>
        <w:t xml:space="preserve">3) </w:t>
      </w:r>
      <w:r w:rsidR="006E56E9" w:rsidRPr="00952533">
        <w:rPr>
          <w:rFonts w:ascii="Times New Roman" w:hAnsi="Times New Roman"/>
          <w:color w:val="000000"/>
        </w:rPr>
        <w:t>administrative records that will be collected to assess the impacts of the intervention being tested</w:t>
      </w:r>
      <w:r w:rsidR="008D1C30">
        <w:rPr>
          <w:rFonts w:ascii="Times New Roman" w:hAnsi="Times New Roman"/>
          <w:color w:val="000000"/>
        </w:rPr>
        <w:t>, and</w:t>
      </w:r>
      <w:r w:rsidR="008D1C30" w:rsidRPr="008D1C30">
        <w:rPr>
          <w:rFonts w:ascii="Times New Roman" w:hAnsi="Times New Roman"/>
          <w:color w:val="000000"/>
        </w:rPr>
        <w:t xml:space="preserve"> </w:t>
      </w:r>
      <w:r w:rsidR="008D1C30">
        <w:rPr>
          <w:rFonts w:ascii="Times New Roman" w:hAnsi="Times New Roman"/>
          <w:color w:val="000000"/>
        </w:rPr>
        <w:t xml:space="preserve">4) </w:t>
      </w:r>
      <w:r w:rsidR="008D1C30" w:rsidRPr="00952533">
        <w:rPr>
          <w:rFonts w:ascii="Times New Roman" w:hAnsi="Times New Roman"/>
          <w:color w:val="000000"/>
        </w:rPr>
        <w:t>cost study data collection activities</w:t>
      </w:r>
      <w:r w:rsidR="006E56E9" w:rsidRPr="00952533">
        <w:rPr>
          <w:rFonts w:ascii="Times New Roman" w:hAnsi="Times New Roman"/>
          <w:color w:val="000000"/>
        </w:rPr>
        <w:t>.</w:t>
      </w:r>
      <w:r w:rsidR="0006554A" w:rsidRPr="00952533">
        <w:rPr>
          <w:rFonts w:ascii="Times New Roman" w:hAnsi="Times New Roman"/>
          <w:color w:val="000000"/>
        </w:rPr>
        <w:t xml:space="preserve"> </w:t>
      </w:r>
      <w:r w:rsidR="00B528F3" w:rsidRPr="00952533">
        <w:rPr>
          <w:rFonts w:ascii="Times New Roman" w:hAnsi="Times New Roman"/>
          <w:color w:val="000000"/>
        </w:rPr>
        <w:t>A second revision will be requested for longer-term data collection activities (currently scheduled for 2018).</w:t>
      </w:r>
      <w:r w:rsidR="00B528F3">
        <w:rPr>
          <w:rFonts w:ascii="Times New Roman" w:hAnsi="Times New Roman"/>
          <w:color w:val="000000"/>
        </w:rPr>
        <w:t xml:space="preserve"> </w:t>
      </w:r>
    </w:p>
    <w:p w:rsidR="00B1183B" w:rsidRDefault="00B1183B" w:rsidP="00B94A8D">
      <w:pPr>
        <w:tabs>
          <w:tab w:val="clear" w:pos="432"/>
        </w:tabs>
        <w:spacing w:line="240" w:lineRule="auto"/>
        <w:ind w:firstLine="0"/>
        <w:jc w:val="center"/>
        <w:rPr>
          <w:rFonts w:ascii="Times New Roman" w:hAnsi="Times New Roman"/>
          <w:b/>
        </w:rPr>
      </w:pPr>
    </w:p>
    <w:p w:rsidR="00B17A60" w:rsidRPr="00B94A8D" w:rsidRDefault="00B17A60" w:rsidP="00B94A8D">
      <w:pPr>
        <w:autoSpaceDE w:val="0"/>
        <w:autoSpaceDN w:val="0"/>
        <w:adjustRightInd w:val="0"/>
        <w:spacing w:line="240" w:lineRule="auto"/>
        <w:ind w:firstLine="0"/>
        <w:jc w:val="left"/>
        <w:rPr>
          <w:rFonts w:ascii="Arial" w:hAnsi="Arial" w:cs="Arial"/>
          <w:b/>
        </w:rPr>
      </w:pPr>
      <w:r w:rsidRPr="00B94A8D">
        <w:rPr>
          <w:rFonts w:ascii="Arial" w:hAnsi="Arial" w:cs="Arial"/>
          <w:b/>
        </w:rPr>
        <w:t>A.16</w:t>
      </w:r>
      <w:r w:rsidR="004466FD">
        <w:rPr>
          <w:rFonts w:ascii="Arial" w:hAnsi="Arial" w:cs="Arial"/>
          <w:b/>
        </w:rPr>
        <w:t xml:space="preserve"> </w:t>
      </w:r>
      <w:r w:rsidRPr="00B94A8D">
        <w:rPr>
          <w:rFonts w:ascii="Arial" w:hAnsi="Arial" w:cs="Arial"/>
          <w:b/>
        </w:rPr>
        <w:t>Tabulation, Analysis, and Publication Plans and Schedule</w:t>
      </w:r>
    </w:p>
    <w:p w:rsidR="00B94A8D" w:rsidRDefault="00B94A8D" w:rsidP="00C33231">
      <w:pPr>
        <w:pStyle w:val="ParagraphLAST"/>
        <w:spacing w:after="0" w:line="240" w:lineRule="auto"/>
        <w:ind w:firstLine="0"/>
        <w:jc w:val="left"/>
        <w:rPr>
          <w:rFonts w:ascii="Times New Roman" w:hAnsi="Times New Roman"/>
        </w:rPr>
      </w:pPr>
    </w:p>
    <w:p w:rsidR="00B17A60" w:rsidRPr="00542556" w:rsidRDefault="00B17A60" w:rsidP="00C33231">
      <w:pPr>
        <w:pStyle w:val="ParagraphLAST"/>
        <w:spacing w:after="0" w:line="240" w:lineRule="auto"/>
        <w:ind w:firstLine="0"/>
        <w:jc w:val="left"/>
        <w:rPr>
          <w:rFonts w:ascii="Times New Roman" w:hAnsi="Times New Roman"/>
        </w:rPr>
      </w:pPr>
      <w:r w:rsidRPr="00542556">
        <w:rPr>
          <w:rFonts w:ascii="Times New Roman" w:hAnsi="Times New Roman"/>
        </w:rPr>
        <w:t xml:space="preserve">To determine the effectiveness of the targeted programs, </w:t>
      </w:r>
      <w:r w:rsidR="00321B44">
        <w:rPr>
          <w:rFonts w:ascii="Times New Roman" w:hAnsi="Times New Roman"/>
        </w:rPr>
        <w:t xml:space="preserve">the evaluation is designed to </w:t>
      </w:r>
      <w:r w:rsidRPr="00542556">
        <w:rPr>
          <w:rFonts w:ascii="Times New Roman" w:hAnsi="Times New Roman"/>
        </w:rPr>
        <w:t xml:space="preserve">collect </w:t>
      </w:r>
      <w:r w:rsidR="00DE476A">
        <w:rPr>
          <w:rFonts w:ascii="Times New Roman" w:hAnsi="Times New Roman"/>
        </w:rPr>
        <w:t>three</w:t>
      </w:r>
      <w:r w:rsidR="00DE476A" w:rsidRPr="00542556">
        <w:rPr>
          <w:rFonts w:ascii="Times New Roman" w:hAnsi="Times New Roman"/>
          <w:lang w:val="yo-NG"/>
        </w:rPr>
        <w:t xml:space="preserve"> </w:t>
      </w:r>
      <w:r w:rsidRPr="00542556">
        <w:rPr>
          <w:rFonts w:ascii="Times New Roman" w:hAnsi="Times New Roman"/>
          <w:lang w:val="yo-NG"/>
        </w:rPr>
        <w:t>categories of data</w:t>
      </w:r>
      <w:r w:rsidRPr="00542556">
        <w:rPr>
          <w:rFonts w:ascii="Times New Roman" w:hAnsi="Times New Roman"/>
        </w:rPr>
        <w:t xml:space="preserve">: </w:t>
      </w:r>
      <w:r w:rsidRPr="00542556">
        <w:rPr>
          <w:rFonts w:ascii="Times New Roman" w:hAnsi="Times New Roman"/>
          <w:lang w:val="yo-NG"/>
        </w:rPr>
        <w:t xml:space="preserve"> 1) </w:t>
      </w:r>
      <w:r w:rsidRPr="00542556">
        <w:rPr>
          <w:rFonts w:ascii="Times New Roman" w:hAnsi="Times New Roman"/>
        </w:rPr>
        <w:t>baseline data</w:t>
      </w:r>
      <w:r w:rsidR="0006554A">
        <w:rPr>
          <w:rFonts w:ascii="Times New Roman" w:hAnsi="Times New Roman"/>
        </w:rPr>
        <w:t>,</w:t>
      </w:r>
      <w:r w:rsidRPr="00542556">
        <w:rPr>
          <w:rFonts w:ascii="Times New Roman" w:hAnsi="Times New Roman"/>
          <w:lang w:val="yo-NG"/>
        </w:rPr>
        <w:t xml:space="preserve"> 2)</w:t>
      </w:r>
      <w:r w:rsidRPr="00542556">
        <w:rPr>
          <w:rFonts w:ascii="Times New Roman" w:hAnsi="Times New Roman"/>
        </w:rPr>
        <w:t xml:space="preserve"> </w:t>
      </w:r>
      <w:r w:rsidRPr="00542556">
        <w:rPr>
          <w:rFonts w:ascii="Times New Roman" w:hAnsi="Times New Roman"/>
          <w:lang w:val="yo-NG"/>
        </w:rPr>
        <w:t>implementation and process data</w:t>
      </w:r>
      <w:r w:rsidR="0006554A">
        <w:rPr>
          <w:rFonts w:ascii="Times New Roman" w:hAnsi="Times New Roman"/>
        </w:rPr>
        <w:t xml:space="preserve">, and </w:t>
      </w:r>
      <w:r w:rsidR="00DE476A">
        <w:rPr>
          <w:rFonts w:ascii="Times New Roman" w:hAnsi="Times New Roman"/>
        </w:rPr>
        <w:t>3</w:t>
      </w:r>
      <w:r w:rsidRPr="00542556">
        <w:rPr>
          <w:rFonts w:ascii="Times New Roman" w:hAnsi="Times New Roman"/>
          <w:lang w:val="yo-NG"/>
        </w:rPr>
        <w:t xml:space="preserve">) </w:t>
      </w:r>
      <w:r w:rsidRPr="00542556">
        <w:rPr>
          <w:rFonts w:ascii="Times New Roman" w:hAnsi="Times New Roman"/>
        </w:rPr>
        <w:t>administrative records</w:t>
      </w:r>
      <w:r w:rsidR="0006554A">
        <w:rPr>
          <w:rFonts w:ascii="Times New Roman" w:hAnsi="Times New Roman"/>
        </w:rPr>
        <w:t>.</w:t>
      </w:r>
      <w:r w:rsidRPr="00542556">
        <w:rPr>
          <w:rFonts w:ascii="Times New Roman" w:hAnsi="Times New Roman"/>
        </w:rPr>
        <w:t xml:space="preserve"> </w:t>
      </w:r>
    </w:p>
    <w:p w:rsidR="00BF070E" w:rsidRDefault="00BF070E" w:rsidP="00542556">
      <w:pPr>
        <w:tabs>
          <w:tab w:val="clear" w:pos="432"/>
        </w:tabs>
        <w:spacing w:line="240" w:lineRule="auto"/>
        <w:ind w:firstLine="0"/>
        <w:jc w:val="left"/>
        <w:rPr>
          <w:rFonts w:ascii="Times New Roman" w:hAnsi="Times New Roman"/>
        </w:rPr>
      </w:pPr>
    </w:p>
    <w:p w:rsidR="005629D8" w:rsidRDefault="005629D8" w:rsidP="00C33231">
      <w:pPr>
        <w:tabs>
          <w:tab w:val="clear" w:pos="432"/>
        </w:tabs>
        <w:spacing w:line="240" w:lineRule="auto"/>
        <w:ind w:firstLine="0"/>
        <w:jc w:val="left"/>
        <w:rPr>
          <w:rFonts w:ascii="Times New Roman" w:hAnsi="Times New Roman"/>
        </w:rPr>
      </w:pPr>
      <w:r>
        <w:rPr>
          <w:rFonts w:ascii="Times New Roman" w:hAnsi="Times New Roman"/>
        </w:rPr>
        <w:t>The following table show</w:t>
      </w:r>
      <w:r w:rsidR="00330548">
        <w:rPr>
          <w:rFonts w:ascii="Times New Roman" w:hAnsi="Times New Roman"/>
        </w:rPr>
        <w:t>s</w:t>
      </w:r>
      <w:r>
        <w:rPr>
          <w:rFonts w:ascii="Times New Roman" w:hAnsi="Times New Roman"/>
        </w:rPr>
        <w:t xml:space="preserve"> the report schedule for this project.  </w:t>
      </w:r>
    </w:p>
    <w:p w:rsidR="004466FD" w:rsidRDefault="004466FD">
      <w:pPr>
        <w:tabs>
          <w:tab w:val="clear" w:pos="432"/>
        </w:tabs>
        <w:spacing w:line="240" w:lineRule="auto"/>
        <w:ind w:firstLine="0"/>
        <w:jc w:val="left"/>
        <w:rPr>
          <w:rFonts w:ascii="Times New Roman" w:hAnsi="Times New Roman"/>
        </w:rPr>
      </w:pPr>
      <w:r>
        <w:rPr>
          <w:rFonts w:ascii="Times New Roman" w:hAnsi="Times New Roman"/>
        </w:rPr>
        <w:br w:type="page"/>
      </w:r>
    </w:p>
    <w:p w:rsidR="005E7018" w:rsidRDefault="005E7018" w:rsidP="00C33231">
      <w:pPr>
        <w:tabs>
          <w:tab w:val="clear" w:pos="432"/>
        </w:tabs>
        <w:spacing w:line="240" w:lineRule="auto"/>
        <w:ind w:firstLine="0"/>
        <w:jc w:val="left"/>
        <w:rPr>
          <w:rFonts w:ascii="Times New Roman" w:hAnsi="Times New Roman"/>
        </w:rPr>
      </w:pPr>
    </w:p>
    <w:tbl>
      <w:tblPr>
        <w:tblW w:w="8925" w:type="dxa"/>
        <w:tblInd w:w="19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0"/>
        <w:gridCol w:w="6750"/>
        <w:gridCol w:w="1815"/>
      </w:tblGrid>
      <w:tr w:rsidR="005E7018" w:rsidRPr="005E7018" w:rsidTr="00A967A1">
        <w:trPr>
          <w:trHeight w:val="377"/>
        </w:trPr>
        <w:tc>
          <w:tcPr>
            <w:tcW w:w="8925" w:type="dxa"/>
            <w:gridSpan w:val="3"/>
            <w:tcBorders>
              <w:top w:val="nil"/>
              <w:left w:val="nil"/>
              <w:bottom w:val="single" w:sz="4" w:space="0" w:color="auto"/>
              <w:right w:val="nil"/>
            </w:tcBorders>
            <w:shd w:val="clear" w:color="auto" w:fill="auto"/>
            <w:noWrap/>
            <w:vAlign w:val="center"/>
            <w:hideMark/>
          </w:tcPr>
          <w:p w:rsidR="005E7018" w:rsidRPr="005E7018" w:rsidRDefault="005E7018" w:rsidP="005E7018">
            <w:pPr>
              <w:tabs>
                <w:tab w:val="clear" w:pos="432"/>
              </w:tabs>
              <w:spacing w:line="240" w:lineRule="auto"/>
              <w:ind w:firstLine="0"/>
              <w:jc w:val="center"/>
              <w:rPr>
                <w:rFonts w:ascii="Times New Roman" w:hAnsi="Times New Roman"/>
                <w:b/>
                <w:color w:val="000000"/>
              </w:rPr>
            </w:pPr>
            <w:r w:rsidRPr="005E7018">
              <w:rPr>
                <w:rFonts w:ascii="Times New Roman" w:hAnsi="Times New Roman"/>
                <w:b/>
                <w:color w:val="000000"/>
              </w:rPr>
              <w:t>Report Schedule for the Rent Reform Demonstration</w:t>
            </w:r>
          </w:p>
        </w:tc>
      </w:tr>
      <w:tr w:rsidR="005E7018" w:rsidRPr="005E7018" w:rsidTr="00A967A1">
        <w:trPr>
          <w:trHeight w:val="288"/>
        </w:trPr>
        <w:tc>
          <w:tcPr>
            <w:tcW w:w="7110" w:type="dxa"/>
            <w:gridSpan w:val="2"/>
            <w:tcBorders>
              <w:top w:val="single" w:sz="4" w:space="0" w:color="auto"/>
              <w:left w:val="nil"/>
              <w:bottom w:val="single" w:sz="4" w:space="0" w:color="auto"/>
              <w:right w:val="nil"/>
            </w:tcBorders>
            <w:shd w:val="clear" w:color="auto" w:fill="D9D9D9"/>
            <w:noWrap/>
            <w:vAlign w:val="center"/>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DELIVERABLE</w:t>
            </w:r>
          </w:p>
        </w:tc>
        <w:tc>
          <w:tcPr>
            <w:tcW w:w="1815" w:type="dxa"/>
            <w:tcBorders>
              <w:top w:val="single" w:sz="4" w:space="0" w:color="auto"/>
              <w:left w:val="nil"/>
              <w:bottom w:val="single" w:sz="4" w:space="0" w:color="auto"/>
              <w:right w:val="nil"/>
            </w:tcBorders>
            <w:shd w:val="clear" w:color="auto" w:fill="D9D9D9"/>
            <w:noWrap/>
            <w:vAlign w:val="center"/>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SCHEDULE</w:t>
            </w:r>
          </w:p>
        </w:tc>
      </w:tr>
      <w:tr w:rsidR="005E7018" w:rsidRPr="005E7018" w:rsidTr="00A967A1">
        <w:trPr>
          <w:trHeight w:val="288"/>
        </w:trPr>
        <w:tc>
          <w:tcPr>
            <w:tcW w:w="7110" w:type="dxa"/>
            <w:gridSpan w:val="2"/>
            <w:tcBorders>
              <w:top w:val="single" w:sz="4" w:space="0" w:color="auto"/>
              <w:left w:val="nil"/>
              <w:bottom w:val="nil"/>
              <w:right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b/>
                <w:bCs/>
                <w:color w:val="000000"/>
                <w:sz w:val="22"/>
                <w:szCs w:val="22"/>
              </w:rPr>
            </w:pPr>
            <w:r w:rsidRPr="005E7018">
              <w:rPr>
                <w:rFonts w:ascii="Times New Roman" w:hAnsi="Times New Roman"/>
                <w:b/>
                <w:bCs/>
                <w:color w:val="000000"/>
                <w:sz w:val="22"/>
                <w:szCs w:val="22"/>
              </w:rPr>
              <w:t>Task Order 1</w:t>
            </w:r>
          </w:p>
        </w:tc>
        <w:tc>
          <w:tcPr>
            <w:tcW w:w="1815" w:type="dxa"/>
            <w:tcBorders>
              <w:top w:val="single" w:sz="4" w:space="0" w:color="auto"/>
              <w:left w:val="nil"/>
              <w:bottom w:val="nil"/>
              <w:right w:val="nil"/>
            </w:tcBorders>
            <w:shd w:val="clear" w:color="auto" w:fill="auto"/>
            <w:noWrap/>
            <w:vAlign w:val="bottom"/>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p>
        </w:tc>
      </w:tr>
      <w:tr w:rsidR="005E7018" w:rsidRPr="005E7018" w:rsidTr="00A967A1">
        <w:trPr>
          <w:trHeight w:val="98"/>
        </w:trPr>
        <w:tc>
          <w:tcPr>
            <w:tcW w:w="360" w:type="dxa"/>
            <w:tcBorders>
              <w:top w:val="nil"/>
              <w:left w:val="nil"/>
              <w:bottom w:val="nil"/>
            </w:tcBorders>
            <w:shd w:val="clear" w:color="auto" w:fill="auto"/>
            <w:noWrap/>
            <w:vAlign w:val="bottom"/>
            <w:hideMark/>
          </w:tcPr>
          <w:p w:rsidR="005E7018" w:rsidRPr="005E7018" w:rsidRDefault="005E7018" w:rsidP="005E7018">
            <w:pPr>
              <w:tabs>
                <w:tab w:val="clear" w:pos="432"/>
              </w:tabs>
              <w:spacing w:line="240" w:lineRule="auto"/>
              <w:ind w:firstLine="0"/>
              <w:jc w:val="left"/>
              <w:rPr>
                <w:rFonts w:ascii="Times New Roman" w:hAnsi="Times New Roman"/>
                <w:color w:val="000000"/>
                <w:sz w:val="22"/>
                <w:szCs w:val="22"/>
              </w:rPr>
            </w:pPr>
          </w:p>
        </w:tc>
        <w:tc>
          <w:tcPr>
            <w:tcW w:w="6750" w:type="dxa"/>
            <w:tcBorders>
              <w:top w:val="nil"/>
              <w:bottom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 xml:space="preserve">Report focusing on study design, enrollment, and sample characteristics </w:t>
            </w:r>
          </w:p>
        </w:tc>
        <w:tc>
          <w:tcPr>
            <w:tcW w:w="1815" w:type="dxa"/>
            <w:tcBorders>
              <w:top w:val="nil"/>
              <w:bottom w:val="nil"/>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7/11/2016</w:t>
            </w:r>
          </w:p>
        </w:tc>
      </w:tr>
      <w:tr w:rsidR="005E7018" w:rsidRPr="005E7018" w:rsidTr="00A967A1">
        <w:trPr>
          <w:trHeight w:val="288"/>
        </w:trPr>
        <w:tc>
          <w:tcPr>
            <w:tcW w:w="7110" w:type="dxa"/>
            <w:gridSpan w:val="2"/>
            <w:tcBorders>
              <w:top w:val="nil"/>
              <w:left w:val="nil"/>
              <w:bottom w:val="nil"/>
              <w:right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b/>
                <w:bCs/>
                <w:color w:val="000000"/>
                <w:sz w:val="22"/>
                <w:szCs w:val="22"/>
              </w:rPr>
            </w:pPr>
            <w:r w:rsidRPr="005E7018">
              <w:rPr>
                <w:rFonts w:ascii="Times New Roman" w:hAnsi="Times New Roman"/>
                <w:b/>
                <w:bCs/>
                <w:color w:val="000000"/>
                <w:sz w:val="22"/>
                <w:szCs w:val="22"/>
              </w:rPr>
              <w:t>Task Order 2</w:t>
            </w:r>
          </w:p>
        </w:tc>
        <w:tc>
          <w:tcPr>
            <w:tcW w:w="1815" w:type="dxa"/>
            <w:tcBorders>
              <w:top w:val="nil"/>
              <w:left w:val="nil"/>
              <w:bottom w:val="nil"/>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p>
        </w:tc>
      </w:tr>
      <w:tr w:rsidR="005E7018" w:rsidRPr="005E7018" w:rsidTr="00A967A1">
        <w:trPr>
          <w:trHeight w:val="288"/>
        </w:trPr>
        <w:tc>
          <w:tcPr>
            <w:tcW w:w="360" w:type="dxa"/>
            <w:tcBorders>
              <w:top w:val="nil"/>
              <w:left w:val="nil"/>
              <w:bottom w:val="nil"/>
            </w:tcBorders>
            <w:shd w:val="clear" w:color="auto" w:fill="auto"/>
            <w:noWrap/>
            <w:vAlign w:val="bottom"/>
            <w:hideMark/>
          </w:tcPr>
          <w:p w:rsidR="005E7018" w:rsidRPr="005E7018" w:rsidRDefault="005E7018" w:rsidP="005E7018">
            <w:pPr>
              <w:tabs>
                <w:tab w:val="clear" w:pos="432"/>
              </w:tabs>
              <w:spacing w:line="240" w:lineRule="auto"/>
              <w:ind w:firstLine="0"/>
              <w:jc w:val="left"/>
              <w:rPr>
                <w:rFonts w:ascii="Times New Roman" w:hAnsi="Times New Roman"/>
                <w:color w:val="000000"/>
                <w:sz w:val="22"/>
                <w:szCs w:val="22"/>
              </w:rPr>
            </w:pPr>
          </w:p>
        </w:tc>
        <w:tc>
          <w:tcPr>
            <w:tcW w:w="6750" w:type="dxa"/>
            <w:tcBorders>
              <w:top w:val="nil"/>
              <w:bottom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 xml:space="preserve">Report focusing on interim impacts </w:t>
            </w:r>
          </w:p>
        </w:tc>
        <w:tc>
          <w:tcPr>
            <w:tcW w:w="1815" w:type="dxa"/>
            <w:tcBorders>
              <w:top w:val="nil"/>
              <w:bottom w:val="nil"/>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1/17/2018</w:t>
            </w:r>
          </w:p>
        </w:tc>
      </w:tr>
      <w:tr w:rsidR="005E7018" w:rsidRPr="005E7018" w:rsidTr="00A967A1">
        <w:trPr>
          <w:trHeight w:val="287"/>
        </w:trPr>
        <w:tc>
          <w:tcPr>
            <w:tcW w:w="360" w:type="dxa"/>
            <w:tcBorders>
              <w:top w:val="nil"/>
              <w:left w:val="nil"/>
              <w:bottom w:val="nil"/>
            </w:tcBorders>
            <w:shd w:val="clear" w:color="auto" w:fill="auto"/>
            <w:noWrap/>
            <w:vAlign w:val="bottom"/>
            <w:hideMark/>
          </w:tcPr>
          <w:p w:rsidR="005E7018" w:rsidRPr="005E7018" w:rsidRDefault="005E7018" w:rsidP="005E7018">
            <w:pPr>
              <w:tabs>
                <w:tab w:val="clear" w:pos="432"/>
              </w:tabs>
              <w:spacing w:line="240" w:lineRule="auto"/>
              <w:ind w:firstLine="0"/>
              <w:jc w:val="left"/>
              <w:rPr>
                <w:rFonts w:ascii="Times New Roman" w:hAnsi="Times New Roman"/>
                <w:color w:val="000000"/>
                <w:sz w:val="22"/>
                <w:szCs w:val="22"/>
              </w:rPr>
            </w:pPr>
          </w:p>
        </w:tc>
        <w:tc>
          <w:tcPr>
            <w:tcW w:w="6750" w:type="dxa"/>
            <w:tcBorders>
              <w:top w:val="nil"/>
              <w:bottom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Synthesis paper covering overall findings from the demonstration</w:t>
            </w:r>
          </w:p>
        </w:tc>
        <w:tc>
          <w:tcPr>
            <w:tcW w:w="1815" w:type="dxa"/>
            <w:tcBorders>
              <w:top w:val="nil"/>
              <w:bottom w:val="nil"/>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7/30/2019</w:t>
            </w:r>
          </w:p>
        </w:tc>
      </w:tr>
      <w:tr w:rsidR="005E7018" w:rsidRPr="005E7018" w:rsidTr="00A967A1">
        <w:trPr>
          <w:trHeight w:val="288"/>
        </w:trPr>
        <w:tc>
          <w:tcPr>
            <w:tcW w:w="360" w:type="dxa"/>
            <w:tcBorders>
              <w:top w:val="nil"/>
              <w:left w:val="nil"/>
              <w:bottom w:val="nil"/>
            </w:tcBorders>
            <w:shd w:val="clear" w:color="auto" w:fill="auto"/>
            <w:noWrap/>
            <w:vAlign w:val="bottom"/>
            <w:hideMark/>
          </w:tcPr>
          <w:p w:rsidR="005E7018" w:rsidRPr="005E7018" w:rsidRDefault="005E7018" w:rsidP="005E7018">
            <w:pPr>
              <w:tabs>
                <w:tab w:val="clear" w:pos="432"/>
              </w:tabs>
              <w:spacing w:line="240" w:lineRule="auto"/>
              <w:ind w:firstLine="0"/>
              <w:jc w:val="left"/>
              <w:rPr>
                <w:rFonts w:ascii="Times New Roman" w:hAnsi="Times New Roman"/>
                <w:color w:val="000000"/>
                <w:sz w:val="22"/>
                <w:szCs w:val="22"/>
              </w:rPr>
            </w:pPr>
          </w:p>
        </w:tc>
        <w:tc>
          <w:tcPr>
            <w:tcW w:w="6750" w:type="dxa"/>
            <w:tcBorders>
              <w:top w:val="nil"/>
              <w:bottom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 xml:space="preserve">Brief working papers on: </w:t>
            </w:r>
          </w:p>
        </w:tc>
        <w:tc>
          <w:tcPr>
            <w:tcW w:w="1815" w:type="dxa"/>
            <w:tcBorders>
              <w:top w:val="nil"/>
              <w:bottom w:val="nil"/>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p>
        </w:tc>
      </w:tr>
      <w:tr w:rsidR="005E7018" w:rsidRPr="005E7018" w:rsidTr="00A967A1">
        <w:trPr>
          <w:trHeight w:val="288"/>
        </w:trPr>
        <w:tc>
          <w:tcPr>
            <w:tcW w:w="360" w:type="dxa"/>
            <w:tcBorders>
              <w:top w:val="nil"/>
              <w:left w:val="nil"/>
              <w:bottom w:val="nil"/>
            </w:tcBorders>
            <w:shd w:val="clear" w:color="auto" w:fill="auto"/>
            <w:noWrap/>
            <w:vAlign w:val="bottom"/>
            <w:hideMark/>
          </w:tcPr>
          <w:p w:rsidR="005E7018" w:rsidRPr="005E7018" w:rsidRDefault="005E7018" w:rsidP="005E7018">
            <w:pPr>
              <w:tabs>
                <w:tab w:val="clear" w:pos="432"/>
              </w:tabs>
              <w:spacing w:line="240" w:lineRule="auto"/>
              <w:ind w:firstLine="0"/>
              <w:jc w:val="left"/>
              <w:rPr>
                <w:rFonts w:ascii="Times New Roman" w:hAnsi="Times New Roman"/>
                <w:color w:val="000000"/>
                <w:sz w:val="22"/>
                <w:szCs w:val="22"/>
              </w:rPr>
            </w:pPr>
          </w:p>
        </w:tc>
        <w:tc>
          <w:tcPr>
            <w:tcW w:w="6750" w:type="dxa"/>
            <w:tcBorders>
              <w:top w:val="nil"/>
              <w:bottom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 xml:space="preserve">     a. Impacts on families</w:t>
            </w:r>
          </w:p>
        </w:tc>
        <w:tc>
          <w:tcPr>
            <w:tcW w:w="1815" w:type="dxa"/>
            <w:tcBorders>
              <w:top w:val="nil"/>
              <w:bottom w:val="nil"/>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7/30/2019</w:t>
            </w:r>
          </w:p>
        </w:tc>
      </w:tr>
      <w:tr w:rsidR="005E7018" w:rsidRPr="005E7018" w:rsidTr="00A967A1">
        <w:trPr>
          <w:trHeight w:val="288"/>
        </w:trPr>
        <w:tc>
          <w:tcPr>
            <w:tcW w:w="360" w:type="dxa"/>
            <w:tcBorders>
              <w:top w:val="nil"/>
              <w:left w:val="nil"/>
              <w:bottom w:val="nil"/>
            </w:tcBorders>
            <w:shd w:val="clear" w:color="auto" w:fill="auto"/>
            <w:noWrap/>
            <w:vAlign w:val="bottom"/>
            <w:hideMark/>
          </w:tcPr>
          <w:p w:rsidR="005E7018" w:rsidRPr="005E7018" w:rsidRDefault="005E7018" w:rsidP="005E7018">
            <w:pPr>
              <w:tabs>
                <w:tab w:val="clear" w:pos="432"/>
              </w:tabs>
              <w:spacing w:line="240" w:lineRule="auto"/>
              <w:ind w:firstLine="0"/>
              <w:jc w:val="left"/>
              <w:rPr>
                <w:rFonts w:ascii="Times New Roman" w:hAnsi="Times New Roman"/>
                <w:color w:val="000000"/>
                <w:sz w:val="22"/>
                <w:szCs w:val="22"/>
              </w:rPr>
            </w:pPr>
          </w:p>
        </w:tc>
        <w:tc>
          <w:tcPr>
            <w:tcW w:w="6750" w:type="dxa"/>
            <w:tcBorders>
              <w:top w:val="nil"/>
              <w:bottom w:val="nil"/>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 xml:space="preserve">     b. Impacts on PHAs</w:t>
            </w:r>
          </w:p>
        </w:tc>
        <w:tc>
          <w:tcPr>
            <w:tcW w:w="1815" w:type="dxa"/>
            <w:tcBorders>
              <w:top w:val="nil"/>
              <w:bottom w:val="nil"/>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7/30/2019</w:t>
            </w:r>
          </w:p>
        </w:tc>
      </w:tr>
      <w:tr w:rsidR="005E7018" w:rsidRPr="005E7018" w:rsidTr="00A967A1">
        <w:trPr>
          <w:trHeight w:val="269"/>
        </w:trPr>
        <w:tc>
          <w:tcPr>
            <w:tcW w:w="360" w:type="dxa"/>
            <w:tcBorders>
              <w:top w:val="nil"/>
              <w:left w:val="nil"/>
              <w:bottom w:val="single" w:sz="4" w:space="0" w:color="auto"/>
            </w:tcBorders>
            <w:shd w:val="clear" w:color="auto" w:fill="auto"/>
            <w:noWrap/>
            <w:vAlign w:val="bottom"/>
            <w:hideMark/>
          </w:tcPr>
          <w:p w:rsidR="005E7018" w:rsidRPr="005E7018" w:rsidRDefault="005E7018" w:rsidP="005E7018">
            <w:pPr>
              <w:tabs>
                <w:tab w:val="clear" w:pos="432"/>
              </w:tabs>
              <w:spacing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 </w:t>
            </w:r>
          </w:p>
        </w:tc>
        <w:tc>
          <w:tcPr>
            <w:tcW w:w="6750" w:type="dxa"/>
            <w:tcBorders>
              <w:top w:val="nil"/>
              <w:bottom w:val="single" w:sz="4" w:space="0" w:color="auto"/>
            </w:tcBorders>
            <w:shd w:val="clear" w:color="auto" w:fill="auto"/>
            <w:hideMark/>
          </w:tcPr>
          <w:p w:rsidR="005E7018" w:rsidRPr="005E7018" w:rsidRDefault="005E7018" w:rsidP="005E7018">
            <w:pPr>
              <w:tabs>
                <w:tab w:val="clear" w:pos="432"/>
              </w:tabs>
              <w:spacing w:after="60" w:line="240" w:lineRule="auto"/>
              <w:ind w:firstLine="0"/>
              <w:jc w:val="left"/>
              <w:rPr>
                <w:rFonts w:ascii="Times New Roman" w:hAnsi="Times New Roman"/>
                <w:color w:val="000000"/>
                <w:sz w:val="22"/>
                <w:szCs w:val="22"/>
              </w:rPr>
            </w:pPr>
            <w:r w:rsidRPr="005E7018">
              <w:rPr>
                <w:rFonts w:ascii="Times New Roman" w:hAnsi="Times New Roman"/>
                <w:color w:val="000000"/>
                <w:sz w:val="22"/>
                <w:szCs w:val="22"/>
              </w:rPr>
              <w:t xml:space="preserve">     c. Modeling of effects for the broader national voucher population.</w:t>
            </w:r>
          </w:p>
        </w:tc>
        <w:tc>
          <w:tcPr>
            <w:tcW w:w="1815" w:type="dxa"/>
            <w:tcBorders>
              <w:top w:val="nil"/>
              <w:bottom w:val="single" w:sz="4" w:space="0" w:color="auto"/>
              <w:right w:val="nil"/>
            </w:tcBorders>
            <w:shd w:val="clear" w:color="auto" w:fill="auto"/>
            <w:noWrap/>
            <w:hideMark/>
          </w:tcPr>
          <w:p w:rsidR="005E7018" w:rsidRPr="005E7018" w:rsidRDefault="005E7018" w:rsidP="005E7018">
            <w:pPr>
              <w:tabs>
                <w:tab w:val="clear" w:pos="432"/>
              </w:tabs>
              <w:spacing w:line="240" w:lineRule="auto"/>
              <w:ind w:firstLine="0"/>
              <w:jc w:val="center"/>
              <w:rPr>
                <w:rFonts w:ascii="Times New Roman" w:hAnsi="Times New Roman"/>
                <w:color w:val="000000"/>
                <w:sz w:val="22"/>
                <w:szCs w:val="22"/>
              </w:rPr>
            </w:pPr>
            <w:r w:rsidRPr="005E7018">
              <w:rPr>
                <w:rFonts w:ascii="Times New Roman" w:hAnsi="Times New Roman"/>
                <w:color w:val="000000"/>
                <w:sz w:val="22"/>
                <w:szCs w:val="22"/>
              </w:rPr>
              <w:t>7/30/2019</w:t>
            </w:r>
          </w:p>
        </w:tc>
      </w:tr>
    </w:tbl>
    <w:p w:rsidR="005E7018" w:rsidRPr="005E7018" w:rsidRDefault="005E7018" w:rsidP="005E7018">
      <w:pPr>
        <w:tabs>
          <w:tab w:val="clear" w:pos="432"/>
        </w:tabs>
        <w:spacing w:line="240" w:lineRule="auto"/>
        <w:ind w:firstLine="0"/>
        <w:jc w:val="left"/>
        <w:rPr>
          <w:rFonts w:ascii="Times New Roman" w:eastAsia="Calibri" w:hAnsi="Times New Roman"/>
        </w:rPr>
      </w:pPr>
    </w:p>
    <w:p w:rsidR="00670739" w:rsidRDefault="00670739" w:rsidP="00C33231">
      <w:pPr>
        <w:tabs>
          <w:tab w:val="clear" w:pos="432"/>
        </w:tabs>
        <w:spacing w:line="240" w:lineRule="auto"/>
        <w:ind w:firstLine="0"/>
        <w:jc w:val="left"/>
        <w:rPr>
          <w:rFonts w:ascii="Times New Roman" w:hAnsi="Times New Roman"/>
        </w:rPr>
      </w:pPr>
    </w:p>
    <w:p w:rsidR="00670739" w:rsidRPr="00B94A8D" w:rsidRDefault="00670739" w:rsidP="00A51F93">
      <w:pPr>
        <w:tabs>
          <w:tab w:val="clear" w:pos="432"/>
        </w:tabs>
        <w:spacing w:after="200" w:line="276" w:lineRule="auto"/>
        <w:ind w:firstLine="0"/>
        <w:jc w:val="left"/>
        <w:rPr>
          <w:rFonts w:ascii="Arial" w:hAnsi="Arial" w:cs="Arial"/>
          <w:b/>
        </w:rPr>
      </w:pPr>
      <w:r w:rsidRPr="00B94A8D">
        <w:rPr>
          <w:rFonts w:ascii="Arial" w:hAnsi="Arial" w:cs="Arial"/>
          <w:b/>
        </w:rPr>
        <w:t>A.17</w:t>
      </w:r>
      <w:r w:rsidR="004466FD">
        <w:rPr>
          <w:rFonts w:ascii="Arial" w:hAnsi="Arial" w:cs="Arial"/>
          <w:b/>
        </w:rPr>
        <w:t xml:space="preserve"> </w:t>
      </w:r>
      <w:r w:rsidRPr="00B94A8D">
        <w:rPr>
          <w:rFonts w:ascii="Arial" w:hAnsi="Arial" w:cs="Arial"/>
          <w:b/>
        </w:rPr>
        <w:t>Reasons for Not Displaying OMB Approval Expiration Date</w:t>
      </w:r>
    </w:p>
    <w:p w:rsidR="00BF070E" w:rsidRPr="00542556" w:rsidRDefault="00670739" w:rsidP="00C33231">
      <w:pPr>
        <w:tabs>
          <w:tab w:val="clear" w:pos="432"/>
        </w:tabs>
        <w:spacing w:line="240" w:lineRule="auto"/>
        <w:ind w:firstLine="0"/>
        <w:jc w:val="left"/>
        <w:rPr>
          <w:rFonts w:ascii="Times New Roman" w:hAnsi="Times New Roman"/>
        </w:rPr>
      </w:pPr>
      <w:r w:rsidRPr="00542556">
        <w:rPr>
          <w:rFonts w:ascii="Times New Roman" w:hAnsi="Times New Roman"/>
        </w:rPr>
        <w:t xml:space="preserve">The expiration date for OMB approval will be displayed on </w:t>
      </w:r>
      <w:r w:rsidR="00B83C85">
        <w:rPr>
          <w:rFonts w:ascii="Times New Roman" w:hAnsi="Times New Roman"/>
        </w:rPr>
        <w:t>any</w:t>
      </w:r>
      <w:r w:rsidR="00B83C85" w:rsidRPr="00542556">
        <w:rPr>
          <w:rFonts w:ascii="Times New Roman" w:hAnsi="Times New Roman"/>
        </w:rPr>
        <w:t xml:space="preserve"> </w:t>
      </w:r>
      <w:r w:rsidRPr="00542556">
        <w:rPr>
          <w:rFonts w:ascii="Times New Roman" w:hAnsi="Times New Roman"/>
        </w:rPr>
        <w:t>forms completed as part of the data collection.</w:t>
      </w:r>
      <w:r w:rsidR="00BF070E" w:rsidRPr="00BF070E">
        <w:rPr>
          <w:rFonts w:ascii="Times New Roman" w:hAnsi="Times New Roman"/>
        </w:rPr>
        <w:t xml:space="preserve"> </w:t>
      </w:r>
    </w:p>
    <w:p w:rsidR="00725157" w:rsidRDefault="00725157" w:rsidP="00725157">
      <w:pPr>
        <w:tabs>
          <w:tab w:val="clear" w:pos="432"/>
        </w:tabs>
        <w:spacing w:line="240" w:lineRule="auto"/>
        <w:jc w:val="left"/>
        <w:rPr>
          <w:rFonts w:ascii="Times New Roman" w:hAnsi="Times New Roman"/>
        </w:rPr>
      </w:pPr>
    </w:p>
    <w:p w:rsidR="00725157" w:rsidRDefault="00725157" w:rsidP="00725157">
      <w:pPr>
        <w:tabs>
          <w:tab w:val="clear" w:pos="432"/>
        </w:tabs>
        <w:spacing w:line="240" w:lineRule="auto"/>
        <w:jc w:val="left"/>
        <w:rPr>
          <w:rFonts w:ascii="Times New Roman" w:hAnsi="Times New Roman"/>
        </w:rPr>
      </w:pPr>
    </w:p>
    <w:p w:rsidR="00670739" w:rsidRPr="00B94A8D" w:rsidRDefault="00BF070E" w:rsidP="00A51F93">
      <w:pPr>
        <w:tabs>
          <w:tab w:val="clear" w:pos="432"/>
        </w:tabs>
        <w:spacing w:line="240" w:lineRule="auto"/>
        <w:ind w:firstLine="0"/>
        <w:jc w:val="left"/>
        <w:rPr>
          <w:rFonts w:ascii="Arial" w:hAnsi="Arial" w:cs="Arial"/>
          <w:b/>
        </w:rPr>
      </w:pPr>
      <w:r w:rsidRPr="00B94A8D">
        <w:rPr>
          <w:rFonts w:ascii="Arial" w:hAnsi="Arial" w:cs="Arial"/>
          <w:b/>
        </w:rPr>
        <w:t>A.18</w:t>
      </w:r>
      <w:r w:rsidR="004466FD">
        <w:rPr>
          <w:rFonts w:ascii="Arial" w:hAnsi="Arial" w:cs="Arial"/>
          <w:b/>
        </w:rPr>
        <w:t xml:space="preserve"> </w:t>
      </w:r>
      <w:r w:rsidR="00670739" w:rsidRPr="00B94A8D">
        <w:rPr>
          <w:rFonts w:ascii="Arial" w:hAnsi="Arial" w:cs="Arial"/>
          <w:b/>
        </w:rPr>
        <w:t>Exceptions to Certification Statement</w:t>
      </w:r>
    </w:p>
    <w:p w:rsidR="00725157" w:rsidRPr="00725157" w:rsidRDefault="00725157" w:rsidP="00725157">
      <w:pPr>
        <w:tabs>
          <w:tab w:val="clear" w:pos="432"/>
        </w:tabs>
        <w:spacing w:line="240" w:lineRule="auto"/>
        <w:ind w:hanging="360"/>
        <w:jc w:val="left"/>
        <w:rPr>
          <w:rFonts w:ascii="Times New Roman" w:hAnsi="Times New Roman"/>
          <w:b/>
        </w:rPr>
      </w:pPr>
    </w:p>
    <w:p w:rsidR="00670739" w:rsidRDefault="00670739" w:rsidP="00E878CF">
      <w:pPr>
        <w:pStyle w:val="NoSpacing"/>
        <w:rPr>
          <w:rFonts w:ascii="Times New Roman" w:hAnsi="Times New Roman" w:cs="Times New Roman"/>
          <w:sz w:val="24"/>
          <w:szCs w:val="24"/>
        </w:rPr>
      </w:pPr>
      <w:r w:rsidRPr="00725157">
        <w:rPr>
          <w:rFonts w:ascii="Times New Roman" w:hAnsi="Times New Roman" w:cs="Times New Roman"/>
          <w:sz w:val="24"/>
          <w:szCs w:val="24"/>
        </w:rPr>
        <w:t xml:space="preserve">No exceptions are necessary for this information collection. </w:t>
      </w:r>
    </w:p>
    <w:p w:rsidR="005B4F1A" w:rsidRPr="00D51E44" w:rsidRDefault="005B4F1A" w:rsidP="006C05E3">
      <w:pPr>
        <w:pStyle w:val="NoSpacing"/>
        <w:spacing w:after="200"/>
        <w:rPr>
          <w:rFonts w:ascii="Times New Roman" w:hAnsi="Times New Roman" w:cs="Times New Roman"/>
          <w:sz w:val="24"/>
          <w:szCs w:val="24"/>
        </w:rPr>
      </w:pPr>
    </w:p>
    <w:sectPr w:rsidR="005B4F1A" w:rsidRPr="00D51E44" w:rsidSect="004466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7E" w:rsidRDefault="00BD3E7E" w:rsidP="006A35E1">
      <w:pPr>
        <w:spacing w:line="240" w:lineRule="auto"/>
      </w:pPr>
      <w:r>
        <w:separator/>
      </w:r>
    </w:p>
  </w:endnote>
  <w:endnote w:type="continuationSeparator" w:id="0">
    <w:p w:rsidR="00BD3E7E" w:rsidRDefault="00BD3E7E" w:rsidP="006A3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F9" w:rsidRDefault="00EA7CF9">
    <w:pPr>
      <w:pStyle w:val="Footer"/>
      <w:jc w:val="right"/>
    </w:pPr>
    <w:r>
      <w:fldChar w:fldCharType="begin"/>
    </w:r>
    <w:r>
      <w:instrText xml:space="preserve"> PAGE   \* MERGEFORMAT </w:instrText>
    </w:r>
    <w:r>
      <w:fldChar w:fldCharType="separate"/>
    </w:r>
    <w:r w:rsidR="00C73D7E">
      <w:rPr>
        <w:noProof/>
      </w:rPr>
      <w:t>1</w:t>
    </w:r>
    <w:r>
      <w:fldChar w:fldCharType="end"/>
    </w:r>
  </w:p>
  <w:p w:rsidR="00EA7CF9" w:rsidRPr="002D599E" w:rsidRDefault="00EA7CF9" w:rsidP="002D5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7E" w:rsidRDefault="00BD3E7E" w:rsidP="006A35E1">
      <w:pPr>
        <w:spacing w:line="240" w:lineRule="auto"/>
      </w:pPr>
      <w:r>
        <w:separator/>
      </w:r>
    </w:p>
  </w:footnote>
  <w:footnote w:type="continuationSeparator" w:id="0">
    <w:p w:rsidR="00BD3E7E" w:rsidRDefault="00BD3E7E" w:rsidP="006A35E1">
      <w:pPr>
        <w:spacing w:line="240" w:lineRule="auto"/>
      </w:pPr>
      <w:r>
        <w:continuationSeparator/>
      </w:r>
    </w:p>
  </w:footnote>
  <w:footnote w:id="1">
    <w:p w:rsidR="00EA7CF9" w:rsidRPr="00400C5C" w:rsidRDefault="00EA7CF9" w:rsidP="00400C5C">
      <w:pPr>
        <w:spacing w:line="240" w:lineRule="auto"/>
        <w:ind w:firstLine="0"/>
        <w:rPr>
          <w:rFonts w:ascii="Times New Roman" w:hAnsi="Times New Roman"/>
          <w:sz w:val="20"/>
          <w:szCs w:val="20"/>
        </w:rPr>
      </w:pPr>
      <w:r w:rsidRPr="00400C5C">
        <w:rPr>
          <w:rStyle w:val="FootnoteReference"/>
          <w:rFonts w:ascii="Times New Roman" w:hAnsi="Times New Roman"/>
          <w:sz w:val="20"/>
          <w:szCs w:val="20"/>
        </w:rPr>
        <w:footnoteRef/>
      </w:r>
      <w:r w:rsidRPr="00400C5C">
        <w:rPr>
          <w:rFonts w:ascii="Times New Roman" w:hAnsi="Times New Roman"/>
          <w:sz w:val="20"/>
          <w:szCs w:val="20"/>
        </w:rPr>
        <w:t xml:space="preserve"> </w:t>
      </w:r>
      <w:r>
        <w:rPr>
          <w:rFonts w:ascii="Times New Roman" w:hAnsi="Times New Roman"/>
          <w:sz w:val="20"/>
          <w:szCs w:val="20"/>
        </w:rPr>
        <w:t>See eligibility section below for specific eligibility criteria.</w:t>
      </w:r>
    </w:p>
    <w:p w:rsidR="00EA7CF9" w:rsidRPr="0086435D" w:rsidRDefault="00EA7CF9" w:rsidP="0086435D">
      <w:pPr>
        <w:pStyle w:val="FootnoteText"/>
      </w:pPr>
    </w:p>
  </w:footnote>
  <w:footnote w:id="2">
    <w:p w:rsidR="00EA7CF9" w:rsidRPr="005629D8" w:rsidRDefault="00EA7CF9">
      <w:pPr>
        <w:pStyle w:val="FootnoteText"/>
        <w:rPr>
          <w:lang w:val="en-US"/>
        </w:rPr>
      </w:pPr>
      <w:r>
        <w:rPr>
          <w:rStyle w:val="FootnoteReference"/>
        </w:rPr>
        <w:footnoteRef/>
      </w:r>
      <w:r>
        <w:t xml:space="preserve"> </w:t>
      </w:r>
      <w:r w:rsidRPr="00A12FE8">
        <w:rPr>
          <w:color w:val="000000"/>
        </w:rPr>
        <w:t>(Source: District of Columbia Department of Employment Services, http://does.dc.gov/sites/default/files/dc/sites/does/page_content/attachments/DC%20Minimum%20Wage%20Increase%20-%20DC%20Register%20Public%20Notice.pdf)</w:t>
      </w:r>
    </w:p>
  </w:footnote>
  <w:footnote w:id="3">
    <w:p w:rsidR="00EA7CF9" w:rsidRPr="005629D8" w:rsidRDefault="00EA7CF9">
      <w:pPr>
        <w:pStyle w:val="FootnoteText"/>
        <w:rPr>
          <w:lang w:val="en-US"/>
        </w:rPr>
      </w:pPr>
      <w:r>
        <w:rPr>
          <w:rStyle w:val="FootnoteReference"/>
        </w:rPr>
        <w:footnoteRef/>
      </w:r>
      <w:r>
        <w:t xml:space="preserve"> </w:t>
      </w:r>
      <w:r w:rsidRPr="00807E65">
        <w:rPr>
          <w:color w:val="000000"/>
        </w:rPr>
        <w:t>(http://www.cbpp.org/cms/?fa=view&amp;id=3634). Based on this, we assumed 50% of tenants would be working at the federal minimum wage.</w:t>
      </w:r>
    </w:p>
  </w:footnote>
  <w:footnote w:id="4">
    <w:p w:rsidR="00EA7CF9" w:rsidRDefault="00EA7CF9" w:rsidP="00CB7235">
      <w:pPr>
        <w:pStyle w:val="FootnoteText"/>
        <w:jc w:val="both"/>
      </w:pPr>
      <w:r w:rsidRPr="000A2061">
        <w:rPr>
          <w:rStyle w:val="FootnoteReference"/>
        </w:rPr>
        <w:footnoteRef/>
      </w:r>
      <w:r>
        <w:rPr>
          <w:color w:val="000000"/>
          <w:sz w:val="16"/>
          <w:szCs w:val="16"/>
        </w:rPr>
        <w:t xml:space="preserve">Number of PHA staff </w:t>
      </w:r>
      <w:r w:rsidRPr="00613F6C">
        <w:rPr>
          <w:color w:val="000000"/>
          <w:sz w:val="16"/>
          <w:szCs w:val="16"/>
        </w:rPr>
        <w:t xml:space="preserve">interviews </w:t>
      </w:r>
      <w:r>
        <w:rPr>
          <w:color w:val="000000"/>
          <w:sz w:val="16"/>
          <w:szCs w:val="16"/>
        </w:rPr>
        <w:t xml:space="preserve">could increase if the housing agency deploys more staff to work on activities related to Rent Reform implementation.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F9" w:rsidRPr="002610B1" w:rsidRDefault="00EA7CF9" w:rsidP="002D599E">
    <w:pPr>
      <w:widowControl w:val="0"/>
      <w:suppressAutoHyphens/>
      <w:spacing w:line="240" w:lineRule="auto"/>
      <w:ind w:firstLine="0"/>
      <w:jc w:val="left"/>
      <w:rPr>
        <w:rFonts w:ascii="Arial" w:hAnsi="Arial" w:cs="Arial"/>
        <w:b/>
        <w:sz w:val="18"/>
        <w:szCs w:val="18"/>
      </w:rPr>
    </w:pPr>
    <w:r w:rsidRPr="002610B1">
      <w:rPr>
        <w:rFonts w:ascii="Arial" w:hAnsi="Arial" w:cs="Arial"/>
        <w:b/>
        <w:sz w:val="18"/>
        <w:szCs w:val="18"/>
      </w:rPr>
      <w:t>RENT REFO</w:t>
    </w:r>
    <w:r>
      <w:rPr>
        <w:rFonts w:ascii="Arial" w:hAnsi="Arial" w:cs="Arial"/>
        <w:b/>
        <w:sz w:val="18"/>
        <w:szCs w:val="18"/>
      </w:rPr>
      <w:t>R</w:t>
    </w:r>
    <w:r w:rsidRPr="002610B1">
      <w:rPr>
        <w:rFonts w:ascii="Arial" w:hAnsi="Arial" w:cs="Arial"/>
        <w:b/>
        <w:sz w:val="18"/>
        <w:szCs w:val="18"/>
      </w:rPr>
      <w:t xml:space="preserve">M DEMONSTRATION </w:t>
    </w:r>
  </w:p>
  <w:p w:rsidR="00EA7CF9" w:rsidRPr="002610B1" w:rsidRDefault="00EA7CF9" w:rsidP="002D599E">
    <w:pPr>
      <w:widowControl w:val="0"/>
      <w:suppressAutoHyphens/>
      <w:spacing w:line="240" w:lineRule="auto"/>
      <w:ind w:firstLine="0"/>
      <w:jc w:val="left"/>
      <w:rPr>
        <w:rFonts w:ascii="Arial" w:hAnsi="Arial" w:cs="Arial"/>
        <w:b/>
        <w:bCs/>
        <w:sz w:val="18"/>
        <w:szCs w:val="18"/>
      </w:rPr>
    </w:pPr>
    <w:r w:rsidRPr="002610B1">
      <w:rPr>
        <w:rFonts w:ascii="Arial" w:hAnsi="Arial" w:cs="Arial"/>
        <w:b/>
        <w:sz w:val="18"/>
        <w:szCs w:val="18"/>
      </w:rPr>
      <w:t xml:space="preserve">SUPPORTING STATEMENT – PART </w:t>
    </w:r>
    <w:r>
      <w:rPr>
        <w:rFonts w:ascii="Arial" w:hAnsi="Arial" w:cs="Arial"/>
        <w:b/>
        <w:sz w:val="18"/>
        <w:szCs w:val="18"/>
      </w:rPr>
      <w:t xml:space="preserve">A </w:t>
    </w:r>
    <w:r w:rsidRPr="002610B1">
      <w:rPr>
        <w:rFonts w:ascii="Arial" w:hAnsi="Arial" w:cs="Arial"/>
        <w:b/>
        <w:bCs/>
        <w:sz w:val="18"/>
        <w:szCs w:val="18"/>
      </w:rPr>
      <w:tab/>
    </w:r>
    <w:r w:rsidRPr="002610B1">
      <w:rPr>
        <w:rFonts w:ascii="Arial" w:hAnsi="Arial" w:cs="Arial"/>
        <w:b/>
        <w:bCs/>
        <w:sz w:val="18"/>
        <w:szCs w:val="18"/>
      </w:rPr>
      <w:tab/>
    </w:r>
    <w:r w:rsidRPr="002610B1">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rsidR="00EA7CF9" w:rsidRPr="008F3F13" w:rsidRDefault="00EA7CF9" w:rsidP="008F3F13">
    <w:pPr>
      <w:widowControl w:val="0"/>
      <w:suppressAutoHyphens/>
      <w:spacing w:line="240"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B6201C"/>
    <w:lvl w:ilvl="0">
      <w:numFmt w:val="decimal"/>
      <w:lvlText w:val="*"/>
      <w:lvlJc w:val="left"/>
    </w:lvl>
  </w:abstractNum>
  <w:abstractNum w:abstractNumId="1">
    <w:nsid w:val="00CB13B5"/>
    <w:multiLevelType w:val="hybridMultilevel"/>
    <w:tmpl w:val="F5F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56C67"/>
    <w:multiLevelType w:val="hybridMultilevel"/>
    <w:tmpl w:val="F21E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9509C5"/>
    <w:multiLevelType w:val="hybridMultilevel"/>
    <w:tmpl w:val="E5126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B73B44"/>
    <w:multiLevelType w:val="hybridMultilevel"/>
    <w:tmpl w:val="392E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CA18DF"/>
    <w:multiLevelType w:val="hybridMultilevel"/>
    <w:tmpl w:val="BB40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127E6"/>
    <w:multiLevelType w:val="hybridMultilevel"/>
    <w:tmpl w:val="D4A4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0333A"/>
    <w:multiLevelType w:val="hybridMultilevel"/>
    <w:tmpl w:val="EF12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ED0CE0"/>
    <w:multiLevelType w:val="hybridMultilevel"/>
    <w:tmpl w:val="4A08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8001F"/>
    <w:multiLevelType w:val="hybridMultilevel"/>
    <w:tmpl w:val="11EA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E4C1C"/>
    <w:multiLevelType w:val="hybridMultilevel"/>
    <w:tmpl w:val="2EC6B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F2397A"/>
    <w:multiLevelType w:val="hybridMultilevel"/>
    <w:tmpl w:val="3FC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E3BC5"/>
    <w:multiLevelType w:val="hybridMultilevel"/>
    <w:tmpl w:val="9B824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706032"/>
    <w:multiLevelType w:val="hybridMultilevel"/>
    <w:tmpl w:val="48A2BFC0"/>
    <w:lvl w:ilvl="0" w:tplc="9E70B9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2B006B38"/>
    <w:multiLevelType w:val="hybridMultilevel"/>
    <w:tmpl w:val="457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A3127"/>
    <w:multiLevelType w:val="hybridMultilevel"/>
    <w:tmpl w:val="A984C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B7583E"/>
    <w:multiLevelType w:val="hybridMultilevel"/>
    <w:tmpl w:val="E63C317E"/>
    <w:lvl w:ilvl="0" w:tplc="0409000F">
      <w:start w:val="1"/>
      <w:numFmt w:val="decimal"/>
      <w:lvlText w:val="%1."/>
      <w:lvlJc w:val="left"/>
      <w:pPr>
        <w:ind w:left="720" w:hanging="360"/>
      </w:pPr>
      <w:rPr>
        <w:rFonts w:hint="default"/>
      </w:rPr>
    </w:lvl>
    <w:lvl w:ilvl="1" w:tplc="023404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67CA5"/>
    <w:multiLevelType w:val="hybridMultilevel"/>
    <w:tmpl w:val="AB489EF2"/>
    <w:lvl w:ilvl="0" w:tplc="647C50D0">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35582F6C"/>
    <w:multiLevelType w:val="hybridMultilevel"/>
    <w:tmpl w:val="01D6E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7E72B85"/>
    <w:multiLevelType w:val="hybridMultilevel"/>
    <w:tmpl w:val="4C441EFC"/>
    <w:lvl w:ilvl="0" w:tplc="FFC23FFE">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6B80601"/>
    <w:multiLevelType w:val="hybridMultilevel"/>
    <w:tmpl w:val="95103042"/>
    <w:lvl w:ilvl="0" w:tplc="04090001">
      <w:start w:val="1"/>
      <w:numFmt w:val="bullet"/>
      <w:lvlText w:val=""/>
      <w:lvlJc w:val="left"/>
      <w:pPr>
        <w:ind w:left="540" w:hanging="360"/>
      </w:pPr>
      <w:rPr>
        <w:rFonts w:ascii="Symbol" w:hAnsi="Symbol" w:hint="default"/>
      </w:rPr>
    </w:lvl>
    <w:lvl w:ilvl="1" w:tplc="AD7C1508">
      <w:start w:val="1"/>
      <w:numFmt w:val="lowerLetter"/>
      <w:lvlText w:val="(%2)"/>
      <w:lvlJc w:val="left"/>
      <w:pPr>
        <w:ind w:left="153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4F3858"/>
    <w:multiLevelType w:val="hybridMultilevel"/>
    <w:tmpl w:val="A9AA8900"/>
    <w:lvl w:ilvl="0" w:tplc="E988CD08">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615A01B0"/>
    <w:multiLevelType w:val="hybridMultilevel"/>
    <w:tmpl w:val="780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9BD4C8E"/>
    <w:multiLevelType w:val="hybridMultilevel"/>
    <w:tmpl w:val="4D309F8A"/>
    <w:lvl w:ilvl="0" w:tplc="0AF46DFC">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6A6B6816"/>
    <w:multiLevelType w:val="hybridMultilevel"/>
    <w:tmpl w:val="C324E96E"/>
    <w:lvl w:ilvl="0" w:tplc="20CC8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7C3150"/>
    <w:multiLevelType w:val="hybridMultilevel"/>
    <w:tmpl w:val="334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037BFE"/>
    <w:multiLevelType w:val="hybridMultilevel"/>
    <w:tmpl w:val="3B74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4"/>
  </w:num>
  <w:num w:numId="4">
    <w:abstractNumId w:val="4"/>
  </w:num>
  <w:num w:numId="5">
    <w:abstractNumId w:val="23"/>
  </w:num>
  <w:num w:numId="6">
    <w:abstractNumId w:val="18"/>
  </w:num>
  <w:num w:numId="7">
    <w:abstractNumId w:val="10"/>
  </w:num>
  <w:num w:numId="8">
    <w:abstractNumId w:val="7"/>
  </w:num>
  <w:num w:numId="9">
    <w:abstractNumId w:val="9"/>
  </w:num>
  <w:num w:numId="10">
    <w:abstractNumId w:val="19"/>
  </w:num>
  <w:num w:numId="1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2">
    <w:abstractNumId w:val="2"/>
  </w:num>
  <w:num w:numId="13">
    <w:abstractNumId w:val="25"/>
  </w:num>
  <w:num w:numId="14">
    <w:abstractNumId w:val="15"/>
  </w:num>
  <w:num w:numId="15">
    <w:abstractNumId w:val="28"/>
  </w:num>
  <w:num w:numId="16">
    <w:abstractNumId w:val="30"/>
  </w:num>
  <w:num w:numId="17">
    <w:abstractNumId w:val="16"/>
  </w:num>
  <w:num w:numId="18">
    <w:abstractNumId w:val="20"/>
  </w:num>
  <w:num w:numId="19">
    <w:abstractNumId w:val="12"/>
  </w:num>
  <w:num w:numId="20">
    <w:abstractNumId w:val="11"/>
  </w:num>
  <w:num w:numId="21">
    <w:abstractNumId w:val="13"/>
  </w:num>
  <w:num w:numId="22">
    <w:abstractNumId w:val="6"/>
  </w:num>
  <w:num w:numId="23">
    <w:abstractNumId w:val="24"/>
  </w:num>
  <w:num w:numId="24">
    <w:abstractNumId w:val="5"/>
  </w:num>
  <w:num w:numId="25">
    <w:abstractNumId w:val="1"/>
  </w:num>
  <w:num w:numId="26">
    <w:abstractNumId w:val="17"/>
  </w:num>
  <w:num w:numId="27">
    <w:abstractNumId w:val="3"/>
  </w:num>
  <w:num w:numId="28">
    <w:abstractNumId w:val="8"/>
  </w:num>
  <w:num w:numId="29">
    <w:abstractNumId w:val="22"/>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A5D25"/>
    <w:rsid w:val="0000419D"/>
    <w:rsid w:val="000042A8"/>
    <w:rsid w:val="00010FEB"/>
    <w:rsid w:val="00012763"/>
    <w:rsid w:val="000132E5"/>
    <w:rsid w:val="0001795B"/>
    <w:rsid w:val="0002241F"/>
    <w:rsid w:val="0003416A"/>
    <w:rsid w:val="000425F4"/>
    <w:rsid w:val="000434EA"/>
    <w:rsid w:val="00043B2F"/>
    <w:rsid w:val="00047F56"/>
    <w:rsid w:val="000554A3"/>
    <w:rsid w:val="00060EF6"/>
    <w:rsid w:val="00060F23"/>
    <w:rsid w:val="0006554A"/>
    <w:rsid w:val="00066A80"/>
    <w:rsid w:val="000700CC"/>
    <w:rsid w:val="00074402"/>
    <w:rsid w:val="00074D7A"/>
    <w:rsid w:val="00075139"/>
    <w:rsid w:val="000769F4"/>
    <w:rsid w:val="00082ABB"/>
    <w:rsid w:val="000850A0"/>
    <w:rsid w:val="00085E24"/>
    <w:rsid w:val="00086398"/>
    <w:rsid w:val="00091FB1"/>
    <w:rsid w:val="00093EA4"/>
    <w:rsid w:val="000965B8"/>
    <w:rsid w:val="000A1AC0"/>
    <w:rsid w:val="000C1F00"/>
    <w:rsid w:val="000C3B09"/>
    <w:rsid w:val="000C3BDA"/>
    <w:rsid w:val="000C49A6"/>
    <w:rsid w:val="000D0370"/>
    <w:rsid w:val="000D7480"/>
    <w:rsid w:val="000E1899"/>
    <w:rsid w:val="000E4ABC"/>
    <w:rsid w:val="000E7094"/>
    <w:rsid w:val="000F15AD"/>
    <w:rsid w:val="000F4135"/>
    <w:rsid w:val="000F4A28"/>
    <w:rsid w:val="000F6CAD"/>
    <w:rsid w:val="001033EB"/>
    <w:rsid w:val="001046FD"/>
    <w:rsid w:val="00105F25"/>
    <w:rsid w:val="00106274"/>
    <w:rsid w:val="0011025B"/>
    <w:rsid w:val="00115E00"/>
    <w:rsid w:val="001233A3"/>
    <w:rsid w:val="001251AB"/>
    <w:rsid w:val="00132E19"/>
    <w:rsid w:val="00134547"/>
    <w:rsid w:val="00134AE3"/>
    <w:rsid w:val="001369CD"/>
    <w:rsid w:val="00137068"/>
    <w:rsid w:val="00147702"/>
    <w:rsid w:val="001516A8"/>
    <w:rsid w:val="0015209D"/>
    <w:rsid w:val="00153F9D"/>
    <w:rsid w:val="00154964"/>
    <w:rsid w:val="00155456"/>
    <w:rsid w:val="00156DB9"/>
    <w:rsid w:val="001645D3"/>
    <w:rsid w:val="001666E0"/>
    <w:rsid w:val="00174ADF"/>
    <w:rsid w:val="00182466"/>
    <w:rsid w:val="001835D3"/>
    <w:rsid w:val="00186E32"/>
    <w:rsid w:val="00187D0A"/>
    <w:rsid w:val="0019154D"/>
    <w:rsid w:val="00191E74"/>
    <w:rsid w:val="00193E88"/>
    <w:rsid w:val="001951E0"/>
    <w:rsid w:val="001A46F1"/>
    <w:rsid w:val="001B50CB"/>
    <w:rsid w:val="001B601E"/>
    <w:rsid w:val="001B7047"/>
    <w:rsid w:val="001B7ECE"/>
    <w:rsid w:val="001C0A96"/>
    <w:rsid w:val="001C1769"/>
    <w:rsid w:val="001C5F2A"/>
    <w:rsid w:val="001D0A79"/>
    <w:rsid w:val="001D47CF"/>
    <w:rsid w:val="001D50ED"/>
    <w:rsid w:val="001D7721"/>
    <w:rsid w:val="001E12BA"/>
    <w:rsid w:val="001E27C3"/>
    <w:rsid w:val="001E4175"/>
    <w:rsid w:val="001E7C22"/>
    <w:rsid w:val="001F7EC6"/>
    <w:rsid w:val="00200458"/>
    <w:rsid w:val="00215584"/>
    <w:rsid w:val="00220B0A"/>
    <w:rsid w:val="002303EE"/>
    <w:rsid w:val="002317C5"/>
    <w:rsid w:val="00231C17"/>
    <w:rsid w:val="00233987"/>
    <w:rsid w:val="00233A20"/>
    <w:rsid w:val="00255B1D"/>
    <w:rsid w:val="002610B1"/>
    <w:rsid w:val="00262313"/>
    <w:rsid w:val="00264FA9"/>
    <w:rsid w:val="00267A31"/>
    <w:rsid w:val="00270E6C"/>
    <w:rsid w:val="002752E8"/>
    <w:rsid w:val="0028520E"/>
    <w:rsid w:val="0028638C"/>
    <w:rsid w:val="00287A55"/>
    <w:rsid w:val="00291D38"/>
    <w:rsid w:val="00293672"/>
    <w:rsid w:val="002B5B44"/>
    <w:rsid w:val="002B7D26"/>
    <w:rsid w:val="002C09F3"/>
    <w:rsid w:val="002C0FA4"/>
    <w:rsid w:val="002C1616"/>
    <w:rsid w:val="002C4611"/>
    <w:rsid w:val="002D599E"/>
    <w:rsid w:val="002D6E42"/>
    <w:rsid w:val="002E4431"/>
    <w:rsid w:val="002E4CFE"/>
    <w:rsid w:val="002E5DDC"/>
    <w:rsid w:val="002E6C53"/>
    <w:rsid w:val="002E7597"/>
    <w:rsid w:val="002F6C94"/>
    <w:rsid w:val="00302868"/>
    <w:rsid w:val="00305A73"/>
    <w:rsid w:val="00306B3D"/>
    <w:rsid w:val="003111AE"/>
    <w:rsid w:val="00312330"/>
    <w:rsid w:val="00314B01"/>
    <w:rsid w:val="003175C3"/>
    <w:rsid w:val="00321B44"/>
    <w:rsid w:val="00324BFE"/>
    <w:rsid w:val="00326443"/>
    <w:rsid w:val="00330548"/>
    <w:rsid w:val="00334FB7"/>
    <w:rsid w:val="003454D1"/>
    <w:rsid w:val="00352E75"/>
    <w:rsid w:val="00362C12"/>
    <w:rsid w:val="003635B7"/>
    <w:rsid w:val="00364A8A"/>
    <w:rsid w:val="003705F2"/>
    <w:rsid w:val="00371486"/>
    <w:rsid w:val="003722E0"/>
    <w:rsid w:val="003753B5"/>
    <w:rsid w:val="00375C2A"/>
    <w:rsid w:val="003773C5"/>
    <w:rsid w:val="0038074F"/>
    <w:rsid w:val="0038265B"/>
    <w:rsid w:val="0039217D"/>
    <w:rsid w:val="00394619"/>
    <w:rsid w:val="0039638A"/>
    <w:rsid w:val="003A0BEF"/>
    <w:rsid w:val="003A0E01"/>
    <w:rsid w:val="003A2B35"/>
    <w:rsid w:val="003A4E43"/>
    <w:rsid w:val="003A583F"/>
    <w:rsid w:val="003B037C"/>
    <w:rsid w:val="003B3DDF"/>
    <w:rsid w:val="003B4308"/>
    <w:rsid w:val="003B48D2"/>
    <w:rsid w:val="003C07B8"/>
    <w:rsid w:val="003C4C6C"/>
    <w:rsid w:val="003C7857"/>
    <w:rsid w:val="003D37FF"/>
    <w:rsid w:val="003D40B8"/>
    <w:rsid w:val="003D5D07"/>
    <w:rsid w:val="003E36A4"/>
    <w:rsid w:val="003E4BE1"/>
    <w:rsid w:val="003E5CF0"/>
    <w:rsid w:val="003E5FE7"/>
    <w:rsid w:val="003E76EE"/>
    <w:rsid w:val="003F1D61"/>
    <w:rsid w:val="003F4030"/>
    <w:rsid w:val="003F4E23"/>
    <w:rsid w:val="003F5000"/>
    <w:rsid w:val="003F5B3A"/>
    <w:rsid w:val="003F678F"/>
    <w:rsid w:val="004001DE"/>
    <w:rsid w:val="00400C5C"/>
    <w:rsid w:val="0040252F"/>
    <w:rsid w:val="00402BF5"/>
    <w:rsid w:val="00403256"/>
    <w:rsid w:val="00407DC2"/>
    <w:rsid w:val="0041538D"/>
    <w:rsid w:val="004209C9"/>
    <w:rsid w:val="0042315F"/>
    <w:rsid w:val="00423287"/>
    <w:rsid w:val="00425BB9"/>
    <w:rsid w:val="004264BC"/>
    <w:rsid w:val="004274FA"/>
    <w:rsid w:val="00427D72"/>
    <w:rsid w:val="00437B91"/>
    <w:rsid w:val="004466FD"/>
    <w:rsid w:val="00447C89"/>
    <w:rsid w:val="00451194"/>
    <w:rsid w:val="00466573"/>
    <w:rsid w:val="00474174"/>
    <w:rsid w:val="00477804"/>
    <w:rsid w:val="004823E9"/>
    <w:rsid w:val="00483E4F"/>
    <w:rsid w:val="00485F7E"/>
    <w:rsid w:val="00491B76"/>
    <w:rsid w:val="00494553"/>
    <w:rsid w:val="00494765"/>
    <w:rsid w:val="004A6E9A"/>
    <w:rsid w:val="004A7300"/>
    <w:rsid w:val="004A7E1F"/>
    <w:rsid w:val="004B3D7E"/>
    <w:rsid w:val="004B740F"/>
    <w:rsid w:val="004B75AB"/>
    <w:rsid w:val="004C489A"/>
    <w:rsid w:val="004C68FC"/>
    <w:rsid w:val="004C7621"/>
    <w:rsid w:val="004D1587"/>
    <w:rsid w:val="004D172C"/>
    <w:rsid w:val="004D3FEB"/>
    <w:rsid w:val="004E5E4F"/>
    <w:rsid w:val="004E6440"/>
    <w:rsid w:val="004E6D18"/>
    <w:rsid w:val="004E793C"/>
    <w:rsid w:val="004F08F3"/>
    <w:rsid w:val="005045F8"/>
    <w:rsid w:val="00505814"/>
    <w:rsid w:val="005110F7"/>
    <w:rsid w:val="0051182F"/>
    <w:rsid w:val="00513505"/>
    <w:rsid w:val="005221C4"/>
    <w:rsid w:val="00524668"/>
    <w:rsid w:val="005317DD"/>
    <w:rsid w:val="00534042"/>
    <w:rsid w:val="0053602D"/>
    <w:rsid w:val="005366C5"/>
    <w:rsid w:val="00537259"/>
    <w:rsid w:val="00541C85"/>
    <w:rsid w:val="00542556"/>
    <w:rsid w:val="00543E1F"/>
    <w:rsid w:val="00545757"/>
    <w:rsid w:val="00545952"/>
    <w:rsid w:val="00550109"/>
    <w:rsid w:val="00557344"/>
    <w:rsid w:val="005629D8"/>
    <w:rsid w:val="005636E0"/>
    <w:rsid w:val="00567399"/>
    <w:rsid w:val="00567A6D"/>
    <w:rsid w:val="005763C0"/>
    <w:rsid w:val="00580338"/>
    <w:rsid w:val="00581422"/>
    <w:rsid w:val="00581E85"/>
    <w:rsid w:val="00591542"/>
    <w:rsid w:val="00595FCB"/>
    <w:rsid w:val="005A0DB8"/>
    <w:rsid w:val="005A1BA6"/>
    <w:rsid w:val="005A21B5"/>
    <w:rsid w:val="005A3450"/>
    <w:rsid w:val="005B264E"/>
    <w:rsid w:val="005B3E9F"/>
    <w:rsid w:val="005B4F1A"/>
    <w:rsid w:val="005B6A73"/>
    <w:rsid w:val="005C64BC"/>
    <w:rsid w:val="005D6692"/>
    <w:rsid w:val="005E5951"/>
    <w:rsid w:val="005E7018"/>
    <w:rsid w:val="005E7EE5"/>
    <w:rsid w:val="005F011C"/>
    <w:rsid w:val="005F169A"/>
    <w:rsid w:val="005F1B55"/>
    <w:rsid w:val="005F42F3"/>
    <w:rsid w:val="005F663E"/>
    <w:rsid w:val="005F7E31"/>
    <w:rsid w:val="00600E06"/>
    <w:rsid w:val="00602152"/>
    <w:rsid w:val="0060345C"/>
    <w:rsid w:val="006056C9"/>
    <w:rsid w:val="006104B6"/>
    <w:rsid w:val="0061119B"/>
    <w:rsid w:val="006143A5"/>
    <w:rsid w:val="00617C58"/>
    <w:rsid w:val="00635BF5"/>
    <w:rsid w:val="00635E2C"/>
    <w:rsid w:val="0063795F"/>
    <w:rsid w:val="0064281F"/>
    <w:rsid w:val="0064497E"/>
    <w:rsid w:val="00646738"/>
    <w:rsid w:val="0064763D"/>
    <w:rsid w:val="00653555"/>
    <w:rsid w:val="00662789"/>
    <w:rsid w:val="00667169"/>
    <w:rsid w:val="00670739"/>
    <w:rsid w:val="00673F28"/>
    <w:rsid w:val="0068233D"/>
    <w:rsid w:val="00683B7A"/>
    <w:rsid w:val="006937DC"/>
    <w:rsid w:val="006A055D"/>
    <w:rsid w:val="006A35E1"/>
    <w:rsid w:val="006A56F3"/>
    <w:rsid w:val="006A5FA6"/>
    <w:rsid w:val="006B27EB"/>
    <w:rsid w:val="006B27F5"/>
    <w:rsid w:val="006B506B"/>
    <w:rsid w:val="006B6D73"/>
    <w:rsid w:val="006B7352"/>
    <w:rsid w:val="006C05E3"/>
    <w:rsid w:val="006C0F21"/>
    <w:rsid w:val="006C15EB"/>
    <w:rsid w:val="006C2445"/>
    <w:rsid w:val="006C24C9"/>
    <w:rsid w:val="006C5A60"/>
    <w:rsid w:val="006D264A"/>
    <w:rsid w:val="006D2F04"/>
    <w:rsid w:val="006D7B47"/>
    <w:rsid w:val="006E419F"/>
    <w:rsid w:val="006E5229"/>
    <w:rsid w:val="006E545D"/>
    <w:rsid w:val="006E56E9"/>
    <w:rsid w:val="006E5BB3"/>
    <w:rsid w:val="006F470B"/>
    <w:rsid w:val="006F6CDD"/>
    <w:rsid w:val="00700185"/>
    <w:rsid w:val="0070315A"/>
    <w:rsid w:val="00703F1F"/>
    <w:rsid w:val="007061E5"/>
    <w:rsid w:val="007205FA"/>
    <w:rsid w:val="00725157"/>
    <w:rsid w:val="00740E33"/>
    <w:rsid w:val="007422FE"/>
    <w:rsid w:val="0074233B"/>
    <w:rsid w:val="007431C7"/>
    <w:rsid w:val="00743E02"/>
    <w:rsid w:val="00744756"/>
    <w:rsid w:val="0075569D"/>
    <w:rsid w:val="007579E8"/>
    <w:rsid w:val="007644AE"/>
    <w:rsid w:val="00767A29"/>
    <w:rsid w:val="00774638"/>
    <w:rsid w:val="00782442"/>
    <w:rsid w:val="00784C9D"/>
    <w:rsid w:val="00785459"/>
    <w:rsid w:val="007A627F"/>
    <w:rsid w:val="007A7C15"/>
    <w:rsid w:val="007D323F"/>
    <w:rsid w:val="007D58BF"/>
    <w:rsid w:val="007E2962"/>
    <w:rsid w:val="007E6169"/>
    <w:rsid w:val="007E674D"/>
    <w:rsid w:val="007F1240"/>
    <w:rsid w:val="007F1D4D"/>
    <w:rsid w:val="007F71C1"/>
    <w:rsid w:val="007F7E9B"/>
    <w:rsid w:val="0080324E"/>
    <w:rsid w:val="00804588"/>
    <w:rsid w:val="008049AF"/>
    <w:rsid w:val="00805FDC"/>
    <w:rsid w:val="00806946"/>
    <w:rsid w:val="00807E65"/>
    <w:rsid w:val="00813A73"/>
    <w:rsid w:val="0081479F"/>
    <w:rsid w:val="008148E5"/>
    <w:rsid w:val="00821AE1"/>
    <w:rsid w:val="00830A88"/>
    <w:rsid w:val="00830DB3"/>
    <w:rsid w:val="0083108D"/>
    <w:rsid w:val="0083284B"/>
    <w:rsid w:val="00834371"/>
    <w:rsid w:val="00835AD0"/>
    <w:rsid w:val="00841C87"/>
    <w:rsid w:val="008524B6"/>
    <w:rsid w:val="00852AA1"/>
    <w:rsid w:val="00854506"/>
    <w:rsid w:val="00854A20"/>
    <w:rsid w:val="008553FF"/>
    <w:rsid w:val="0086435D"/>
    <w:rsid w:val="0086473B"/>
    <w:rsid w:val="008713CA"/>
    <w:rsid w:val="00872562"/>
    <w:rsid w:val="00873F31"/>
    <w:rsid w:val="00875C75"/>
    <w:rsid w:val="0089485A"/>
    <w:rsid w:val="008A0ACE"/>
    <w:rsid w:val="008A3694"/>
    <w:rsid w:val="008B424C"/>
    <w:rsid w:val="008C2007"/>
    <w:rsid w:val="008D1C30"/>
    <w:rsid w:val="008D2465"/>
    <w:rsid w:val="008D378C"/>
    <w:rsid w:val="008D74DD"/>
    <w:rsid w:val="008E04A9"/>
    <w:rsid w:val="008E08C4"/>
    <w:rsid w:val="008F0C03"/>
    <w:rsid w:val="008F2555"/>
    <w:rsid w:val="008F3F13"/>
    <w:rsid w:val="0090138B"/>
    <w:rsid w:val="009064DC"/>
    <w:rsid w:val="00907506"/>
    <w:rsid w:val="00911792"/>
    <w:rsid w:val="00911F99"/>
    <w:rsid w:val="00913A2F"/>
    <w:rsid w:val="009147A2"/>
    <w:rsid w:val="0091798D"/>
    <w:rsid w:val="00923CCB"/>
    <w:rsid w:val="009243A0"/>
    <w:rsid w:val="009261E8"/>
    <w:rsid w:val="00933DA0"/>
    <w:rsid w:val="00934418"/>
    <w:rsid w:val="0093577F"/>
    <w:rsid w:val="0094164C"/>
    <w:rsid w:val="009479FA"/>
    <w:rsid w:val="0095241F"/>
    <w:rsid w:val="00952533"/>
    <w:rsid w:val="00957309"/>
    <w:rsid w:val="009578C3"/>
    <w:rsid w:val="00960265"/>
    <w:rsid w:val="00977B61"/>
    <w:rsid w:val="00981187"/>
    <w:rsid w:val="00981631"/>
    <w:rsid w:val="0098474D"/>
    <w:rsid w:val="00990B8B"/>
    <w:rsid w:val="00993028"/>
    <w:rsid w:val="00993649"/>
    <w:rsid w:val="00993CD9"/>
    <w:rsid w:val="00997B0A"/>
    <w:rsid w:val="009A7FE2"/>
    <w:rsid w:val="009B6041"/>
    <w:rsid w:val="009B68D9"/>
    <w:rsid w:val="009C5A63"/>
    <w:rsid w:val="009D0836"/>
    <w:rsid w:val="009D5B74"/>
    <w:rsid w:val="009D67FD"/>
    <w:rsid w:val="009D7EA7"/>
    <w:rsid w:val="009E127D"/>
    <w:rsid w:val="009E22CB"/>
    <w:rsid w:val="009E3659"/>
    <w:rsid w:val="009E36EA"/>
    <w:rsid w:val="009E476C"/>
    <w:rsid w:val="009F1E23"/>
    <w:rsid w:val="009F6781"/>
    <w:rsid w:val="00A016BD"/>
    <w:rsid w:val="00A02164"/>
    <w:rsid w:val="00A0427A"/>
    <w:rsid w:val="00A07B0B"/>
    <w:rsid w:val="00A12C68"/>
    <w:rsid w:val="00A12FE8"/>
    <w:rsid w:val="00A17D82"/>
    <w:rsid w:val="00A215C0"/>
    <w:rsid w:val="00A251A0"/>
    <w:rsid w:val="00A33878"/>
    <w:rsid w:val="00A36CA4"/>
    <w:rsid w:val="00A40B73"/>
    <w:rsid w:val="00A42C1E"/>
    <w:rsid w:val="00A4724A"/>
    <w:rsid w:val="00A51F93"/>
    <w:rsid w:val="00A52E1D"/>
    <w:rsid w:val="00A644A6"/>
    <w:rsid w:val="00A6483E"/>
    <w:rsid w:val="00A658DA"/>
    <w:rsid w:val="00A65E74"/>
    <w:rsid w:val="00A669FB"/>
    <w:rsid w:val="00A6701F"/>
    <w:rsid w:val="00A73931"/>
    <w:rsid w:val="00A755F0"/>
    <w:rsid w:val="00A77604"/>
    <w:rsid w:val="00A77CC7"/>
    <w:rsid w:val="00A8178D"/>
    <w:rsid w:val="00A82AAC"/>
    <w:rsid w:val="00A84F09"/>
    <w:rsid w:val="00A85A50"/>
    <w:rsid w:val="00A86E8F"/>
    <w:rsid w:val="00A90552"/>
    <w:rsid w:val="00A91702"/>
    <w:rsid w:val="00A967A1"/>
    <w:rsid w:val="00A96F40"/>
    <w:rsid w:val="00AA727A"/>
    <w:rsid w:val="00AA7644"/>
    <w:rsid w:val="00AB2139"/>
    <w:rsid w:val="00AB33B7"/>
    <w:rsid w:val="00AB47A6"/>
    <w:rsid w:val="00AB6E0C"/>
    <w:rsid w:val="00AC1E50"/>
    <w:rsid w:val="00AC31B3"/>
    <w:rsid w:val="00AD0D61"/>
    <w:rsid w:val="00AD0D6E"/>
    <w:rsid w:val="00AD1687"/>
    <w:rsid w:val="00AD7C7B"/>
    <w:rsid w:val="00AE0039"/>
    <w:rsid w:val="00AE0582"/>
    <w:rsid w:val="00AE2573"/>
    <w:rsid w:val="00AE32D2"/>
    <w:rsid w:val="00AE378A"/>
    <w:rsid w:val="00AE4B42"/>
    <w:rsid w:val="00AE5BDA"/>
    <w:rsid w:val="00AF4BF6"/>
    <w:rsid w:val="00B1183B"/>
    <w:rsid w:val="00B1338E"/>
    <w:rsid w:val="00B1381C"/>
    <w:rsid w:val="00B17A60"/>
    <w:rsid w:val="00B17BCF"/>
    <w:rsid w:val="00B20423"/>
    <w:rsid w:val="00B20E92"/>
    <w:rsid w:val="00B27C07"/>
    <w:rsid w:val="00B319FB"/>
    <w:rsid w:val="00B406F1"/>
    <w:rsid w:val="00B434E5"/>
    <w:rsid w:val="00B45B68"/>
    <w:rsid w:val="00B46C7C"/>
    <w:rsid w:val="00B50C3E"/>
    <w:rsid w:val="00B528F3"/>
    <w:rsid w:val="00B538FD"/>
    <w:rsid w:val="00B54408"/>
    <w:rsid w:val="00B54CF2"/>
    <w:rsid w:val="00B57494"/>
    <w:rsid w:val="00B60A8E"/>
    <w:rsid w:val="00B6170D"/>
    <w:rsid w:val="00B622E3"/>
    <w:rsid w:val="00B628CD"/>
    <w:rsid w:val="00B67701"/>
    <w:rsid w:val="00B726CC"/>
    <w:rsid w:val="00B73FEE"/>
    <w:rsid w:val="00B776D6"/>
    <w:rsid w:val="00B77781"/>
    <w:rsid w:val="00B8268F"/>
    <w:rsid w:val="00B827E4"/>
    <w:rsid w:val="00B82FDD"/>
    <w:rsid w:val="00B83C85"/>
    <w:rsid w:val="00B870EE"/>
    <w:rsid w:val="00B9041E"/>
    <w:rsid w:val="00B906A8"/>
    <w:rsid w:val="00B90C6E"/>
    <w:rsid w:val="00B94A8D"/>
    <w:rsid w:val="00B95862"/>
    <w:rsid w:val="00B96117"/>
    <w:rsid w:val="00BB12E4"/>
    <w:rsid w:val="00BB24C3"/>
    <w:rsid w:val="00BB3EAE"/>
    <w:rsid w:val="00BB745F"/>
    <w:rsid w:val="00BC3395"/>
    <w:rsid w:val="00BC4332"/>
    <w:rsid w:val="00BC6A15"/>
    <w:rsid w:val="00BC6DD7"/>
    <w:rsid w:val="00BD275F"/>
    <w:rsid w:val="00BD3E7E"/>
    <w:rsid w:val="00BE1C4C"/>
    <w:rsid w:val="00BE4F32"/>
    <w:rsid w:val="00BE70AF"/>
    <w:rsid w:val="00BF070E"/>
    <w:rsid w:val="00BF197C"/>
    <w:rsid w:val="00BF36F2"/>
    <w:rsid w:val="00BF7F93"/>
    <w:rsid w:val="00C022E3"/>
    <w:rsid w:val="00C02EAC"/>
    <w:rsid w:val="00C05806"/>
    <w:rsid w:val="00C063C6"/>
    <w:rsid w:val="00C10561"/>
    <w:rsid w:val="00C108E6"/>
    <w:rsid w:val="00C16563"/>
    <w:rsid w:val="00C20762"/>
    <w:rsid w:val="00C217A9"/>
    <w:rsid w:val="00C222E7"/>
    <w:rsid w:val="00C2255D"/>
    <w:rsid w:val="00C25CC8"/>
    <w:rsid w:val="00C25ED0"/>
    <w:rsid w:val="00C33231"/>
    <w:rsid w:val="00C34233"/>
    <w:rsid w:val="00C3625E"/>
    <w:rsid w:val="00C44004"/>
    <w:rsid w:val="00C46A4A"/>
    <w:rsid w:val="00C46C02"/>
    <w:rsid w:val="00C47C6C"/>
    <w:rsid w:val="00C51EE6"/>
    <w:rsid w:val="00C54C71"/>
    <w:rsid w:val="00C60D1D"/>
    <w:rsid w:val="00C67C1F"/>
    <w:rsid w:val="00C73D7E"/>
    <w:rsid w:val="00C806CA"/>
    <w:rsid w:val="00C80E2B"/>
    <w:rsid w:val="00C827DF"/>
    <w:rsid w:val="00C91385"/>
    <w:rsid w:val="00C91562"/>
    <w:rsid w:val="00C91FA0"/>
    <w:rsid w:val="00C942FB"/>
    <w:rsid w:val="00C94305"/>
    <w:rsid w:val="00C94ED9"/>
    <w:rsid w:val="00C96F58"/>
    <w:rsid w:val="00CA5D25"/>
    <w:rsid w:val="00CB7235"/>
    <w:rsid w:val="00CC18DF"/>
    <w:rsid w:val="00CD0DD6"/>
    <w:rsid w:val="00CD12D4"/>
    <w:rsid w:val="00CD1DEA"/>
    <w:rsid w:val="00CE23D2"/>
    <w:rsid w:val="00CE57C3"/>
    <w:rsid w:val="00CE5EAE"/>
    <w:rsid w:val="00CE7238"/>
    <w:rsid w:val="00CF3DEB"/>
    <w:rsid w:val="00D030E2"/>
    <w:rsid w:val="00D04493"/>
    <w:rsid w:val="00D139CA"/>
    <w:rsid w:val="00D152A5"/>
    <w:rsid w:val="00D24646"/>
    <w:rsid w:val="00D26C00"/>
    <w:rsid w:val="00D32EC1"/>
    <w:rsid w:val="00D35B99"/>
    <w:rsid w:val="00D51E44"/>
    <w:rsid w:val="00D5200C"/>
    <w:rsid w:val="00D53044"/>
    <w:rsid w:val="00D54C22"/>
    <w:rsid w:val="00D553A2"/>
    <w:rsid w:val="00D5576F"/>
    <w:rsid w:val="00D6195C"/>
    <w:rsid w:val="00D6400D"/>
    <w:rsid w:val="00D642AC"/>
    <w:rsid w:val="00D71336"/>
    <w:rsid w:val="00D72A92"/>
    <w:rsid w:val="00D73F59"/>
    <w:rsid w:val="00D77B14"/>
    <w:rsid w:val="00D84C8E"/>
    <w:rsid w:val="00D85DBB"/>
    <w:rsid w:val="00D87976"/>
    <w:rsid w:val="00D87E7A"/>
    <w:rsid w:val="00D87EF4"/>
    <w:rsid w:val="00D902CA"/>
    <w:rsid w:val="00D90DBD"/>
    <w:rsid w:val="00D9357C"/>
    <w:rsid w:val="00D93990"/>
    <w:rsid w:val="00D96386"/>
    <w:rsid w:val="00DA2CF6"/>
    <w:rsid w:val="00DB4F07"/>
    <w:rsid w:val="00DB5E86"/>
    <w:rsid w:val="00DC08C0"/>
    <w:rsid w:val="00DC0B57"/>
    <w:rsid w:val="00DC12B8"/>
    <w:rsid w:val="00DC69FA"/>
    <w:rsid w:val="00DC7C95"/>
    <w:rsid w:val="00DD4408"/>
    <w:rsid w:val="00DD53FC"/>
    <w:rsid w:val="00DE2D01"/>
    <w:rsid w:val="00DE476A"/>
    <w:rsid w:val="00DE49B4"/>
    <w:rsid w:val="00DE5F46"/>
    <w:rsid w:val="00DE629C"/>
    <w:rsid w:val="00DF1275"/>
    <w:rsid w:val="00DF48CE"/>
    <w:rsid w:val="00DF5265"/>
    <w:rsid w:val="00DF7593"/>
    <w:rsid w:val="00DF7D52"/>
    <w:rsid w:val="00E07A41"/>
    <w:rsid w:val="00E11D8F"/>
    <w:rsid w:val="00E14245"/>
    <w:rsid w:val="00E14476"/>
    <w:rsid w:val="00E232A1"/>
    <w:rsid w:val="00E26634"/>
    <w:rsid w:val="00E279BD"/>
    <w:rsid w:val="00E336FC"/>
    <w:rsid w:val="00E33F89"/>
    <w:rsid w:val="00E35AB0"/>
    <w:rsid w:val="00E41A65"/>
    <w:rsid w:val="00E44226"/>
    <w:rsid w:val="00E5057C"/>
    <w:rsid w:val="00E55DD0"/>
    <w:rsid w:val="00E578DB"/>
    <w:rsid w:val="00E60438"/>
    <w:rsid w:val="00E62C5F"/>
    <w:rsid w:val="00E70996"/>
    <w:rsid w:val="00E72E11"/>
    <w:rsid w:val="00E74499"/>
    <w:rsid w:val="00E74DCF"/>
    <w:rsid w:val="00E769E7"/>
    <w:rsid w:val="00E76B35"/>
    <w:rsid w:val="00E76CE8"/>
    <w:rsid w:val="00E80C9D"/>
    <w:rsid w:val="00E80F50"/>
    <w:rsid w:val="00E8544D"/>
    <w:rsid w:val="00E878CF"/>
    <w:rsid w:val="00E87FD8"/>
    <w:rsid w:val="00E91A64"/>
    <w:rsid w:val="00EA4DDA"/>
    <w:rsid w:val="00EA7CF9"/>
    <w:rsid w:val="00EB146E"/>
    <w:rsid w:val="00EC435E"/>
    <w:rsid w:val="00EC5277"/>
    <w:rsid w:val="00EC6F2E"/>
    <w:rsid w:val="00ED140C"/>
    <w:rsid w:val="00ED602F"/>
    <w:rsid w:val="00ED73D1"/>
    <w:rsid w:val="00ED79EC"/>
    <w:rsid w:val="00EE4FE3"/>
    <w:rsid w:val="00EE7AB1"/>
    <w:rsid w:val="00EF27D9"/>
    <w:rsid w:val="00EF5E58"/>
    <w:rsid w:val="00EF6330"/>
    <w:rsid w:val="00EF6E84"/>
    <w:rsid w:val="00F05865"/>
    <w:rsid w:val="00F06DD0"/>
    <w:rsid w:val="00F1496D"/>
    <w:rsid w:val="00F26A83"/>
    <w:rsid w:val="00F26A8F"/>
    <w:rsid w:val="00F3730E"/>
    <w:rsid w:val="00F44AB4"/>
    <w:rsid w:val="00F45726"/>
    <w:rsid w:val="00F52431"/>
    <w:rsid w:val="00F55BD1"/>
    <w:rsid w:val="00F5703E"/>
    <w:rsid w:val="00F608BB"/>
    <w:rsid w:val="00F6177F"/>
    <w:rsid w:val="00F620A0"/>
    <w:rsid w:val="00F645D6"/>
    <w:rsid w:val="00F64726"/>
    <w:rsid w:val="00F65C9B"/>
    <w:rsid w:val="00F66D8F"/>
    <w:rsid w:val="00F703C2"/>
    <w:rsid w:val="00F70801"/>
    <w:rsid w:val="00F74829"/>
    <w:rsid w:val="00F76667"/>
    <w:rsid w:val="00F811FD"/>
    <w:rsid w:val="00F81C92"/>
    <w:rsid w:val="00F82AEC"/>
    <w:rsid w:val="00F851B8"/>
    <w:rsid w:val="00F8684A"/>
    <w:rsid w:val="00F877CE"/>
    <w:rsid w:val="00F91243"/>
    <w:rsid w:val="00F921E1"/>
    <w:rsid w:val="00F92B20"/>
    <w:rsid w:val="00F9545E"/>
    <w:rsid w:val="00F95C1C"/>
    <w:rsid w:val="00F97855"/>
    <w:rsid w:val="00FB49F3"/>
    <w:rsid w:val="00FC053C"/>
    <w:rsid w:val="00FC4BE5"/>
    <w:rsid w:val="00FD15C8"/>
    <w:rsid w:val="00FD2CEA"/>
    <w:rsid w:val="00FD7211"/>
    <w:rsid w:val="00FD748E"/>
    <w:rsid w:val="00FE4111"/>
    <w:rsid w:val="00FE7367"/>
    <w:rsid w:val="00FF2D14"/>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66"/>
    <w:pPr>
      <w:tabs>
        <w:tab w:val="left" w:pos="432"/>
      </w:tabs>
      <w:spacing w:line="480" w:lineRule="auto"/>
      <w:ind w:firstLine="432"/>
      <w:jc w:val="both"/>
    </w:pPr>
    <w:rPr>
      <w:rFonts w:ascii="Garamond" w:eastAsia="Times New Roman" w:hAnsi="Garamond"/>
      <w:sz w:val="24"/>
      <w:szCs w:val="24"/>
    </w:rPr>
  </w:style>
  <w:style w:type="paragraph" w:styleId="Heading1">
    <w:name w:val="heading 1"/>
    <w:basedOn w:val="Normal"/>
    <w:next w:val="Normal"/>
    <w:link w:val="Heading1Char"/>
    <w:uiPriority w:val="9"/>
    <w:qFormat/>
    <w:rsid w:val="00D51E44"/>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7579E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6A35E1"/>
    <w:pPr>
      <w:tabs>
        <w:tab w:val="clear" w:pos="432"/>
      </w:tabs>
      <w:spacing w:line="240" w:lineRule="auto"/>
      <w:ind w:firstLine="0"/>
      <w:jc w:val="left"/>
    </w:pPr>
    <w:rPr>
      <w:rFonts w:ascii="Times New Roman" w:eastAsia="Calibri" w:hAnsi="Times New Roman"/>
      <w:sz w:val="20"/>
      <w:szCs w:val="20"/>
      <w:lang w:val="x-none" w:eastAsia="x-none"/>
    </w:rPr>
  </w:style>
  <w:style w:type="character" w:customStyle="1" w:styleId="FootnoteTextChar">
    <w:name w:val="Footnote Text Char"/>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rPr>
      <w:rFonts w:cs="Calibri"/>
      <w:sz w:val="22"/>
      <w:szCs w:val="22"/>
    </w:rPr>
  </w:style>
  <w:style w:type="paragraph" w:customStyle="1" w:styleId="Default">
    <w:name w:val="Default"/>
    <w:rsid w:val="00DC7C95"/>
    <w:pPr>
      <w:autoSpaceDE w:val="0"/>
      <w:autoSpaceDN w:val="0"/>
      <w:adjustRightInd w:val="0"/>
    </w:pPr>
    <w:rPr>
      <w:rFonts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uiPriority w:val="99"/>
    <w:rsid w:val="000E7094"/>
    <w:pPr>
      <w:spacing w:line="240" w:lineRule="auto"/>
    </w:pPr>
    <w:rPr>
      <w:sz w:val="20"/>
      <w:szCs w:val="20"/>
      <w:lang w:val="x-none" w:eastAsia="x-none"/>
    </w:rPr>
  </w:style>
  <w:style w:type="character" w:customStyle="1" w:styleId="CommentTextChar">
    <w:name w:val="Comment Text Char"/>
    <w:link w:val="CommentText"/>
    <w:uiPriority w:val="99"/>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rsid w:val="000E7094"/>
    <w:rPr>
      <w:rFonts w:ascii="Arial" w:eastAsia="Times New Roman" w:hAnsi="Arial" w:cs="Times New Roman"/>
      <w:sz w:val="28"/>
      <w:szCs w:val="28"/>
    </w:rPr>
  </w:style>
  <w:style w:type="character" w:customStyle="1" w:styleId="Heading4Char">
    <w:name w:val="Heading 4 Char"/>
    <w:link w:val="Heading4"/>
    <w:uiPriority w:val="9"/>
    <w:semiHidden/>
    <w:rsid w:val="007579E8"/>
    <w:rPr>
      <w:rFonts w:ascii="Cambria" w:eastAsia="Times New Roman" w:hAnsi="Cambria" w:cs="Times New Roman"/>
      <w:b/>
      <w:bCs/>
      <w:i/>
      <w:iCs/>
      <w:color w:val="4F81BD"/>
      <w:sz w:val="24"/>
      <w:szCs w:val="24"/>
    </w:rPr>
  </w:style>
  <w:style w:type="paragraph" w:customStyle="1" w:styleId="BulletRed">
    <w:name w:val="Bullet_Red"/>
    <w:basedOn w:val="Normal"/>
    <w:uiPriority w:val="99"/>
    <w:rsid w:val="00B17A60"/>
    <w:pPr>
      <w:numPr>
        <w:numId w:val="1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rPr>
      <w:lang w:val="x-none" w:eastAsia="x-none"/>
    </w:rPr>
  </w:style>
  <w:style w:type="character" w:customStyle="1" w:styleId="HeaderChar">
    <w:name w:val="Header Char"/>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rPr>
      <w:lang w:val="x-none" w:eastAsia="x-none"/>
    </w:rPr>
  </w:style>
  <w:style w:type="character" w:customStyle="1" w:styleId="FooterChar">
    <w:name w:val="Footer Char"/>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lang w:val="x-none" w:eastAsia="x-none"/>
    </w:rPr>
  </w:style>
  <w:style w:type="character" w:customStyle="1" w:styleId="BodyText3Char">
    <w:name w:val="Body Text 3 Char"/>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Calibri" w:hAnsi="Calibri"/>
      <w:sz w:val="20"/>
      <w:szCs w:val="20"/>
      <w:lang w:val="x-none" w:eastAsia="x-none"/>
    </w:rPr>
  </w:style>
  <w:style w:type="character" w:customStyle="1" w:styleId="PlainTextChar">
    <w:name w:val="Plain Text Char"/>
    <w:link w:val="PlainText"/>
    <w:uiPriority w:val="99"/>
    <w:semiHidden/>
    <w:rsid w:val="0095241F"/>
    <w:rPr>
      <w:rFonts w:ascii="Calibri" w:hAnsi="Calibri" w:cs="Calibri"/>
    </w:rPr>
  </w:style>
  <w:style w:type="character" w:customStyle="1" w:styleId="Heading1Char">
    <w:name w:val="Heading 1 Char"/>
    <w:link w:val="Heading1"/>
    <w:uiPriority w:val="9"/>
    <w:rsid w:val="00D51E44"/>
    <w:rPr>
      <w:rFonts w:ascii="Cambria" w:eastAsia="Times New Roman" w:hAnsi="Cambria" w:cs="Times New Roman"/>
      <w:b/>
      <w:bCs/>
      <w:kern w:val="32"/>
      <w:sz w:val="32"/>
      <w:szCs w:val="32"/>
    </w:rPr>
  </w:style>
  <w:style w:type="paragraph" w:styleId="List">
    <w:name w:val="List"/>
    <w:basedOn w:val="Normal"/>
    <w:semiHidden/>
    <w:unhideWhenUsed/>
    <w:rsid w:val="00D51E44"/>
    <w:pPr>
      <w:tabs>
        <w:tab w:val="clear" w:pos="432"/>
      </w:tabs>
      <w:spacing w:line="240" w:lineRule="auto"/>
      <w:ind w:left="360" w:hanging="360"/>
      <w:jc w:val="left"/>
    </w:pPr>
    <w:rPr>
      <w:rFonts w:ascii="Times New Roman" w:hAnsi="Times New Roman"/>
    </w:rPr>
  </w:style>
  <w:style w:type="paragraph" w:styleId="Revision">
    <w:name w:val="Revision"/>
    <w:hidden/>
    <w:uiPriority w:val="99"/>
    <w:semiHidden/>
    <w:rsid w:val="009D7EA7"/>
    <w:rPr>
      <w:rFonts w:ascii="Garamond" w:eastAsia="Times New Roman" w:hAnsi="Garamond"/>
      <w:sz w:val="24"/>
      <w:szCs w:val="24"/>
    </w:rPr>
  </w:style>
  <w:style w:type="character" w:styleId="FollowedHyperlink">
    <w:name w:val="FollowedHyperlink"/>
    <w:uiPriority w:val="99"/>
    <w:semiHidden/>
    <w:unhideWhenUsed/>
    <w:rsid w:val="003454D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66"/>
    <w:pPr>
      <w:tabs>
        <w:tab w:val="left" w:pos="432"/>
      </w:tabs>
      <w:spacing w:line="480" w:lineRule="auto"/>
      <w:ind w:firstLine="432"/>
      <w:jc w:val="both"/>
    </w:pPr>
    <w:rPr>
      <w:rFonts w:ascii="Garamond" w:eastAsia="Times New Roman" w:hAnsi="Garamond"/>
      <w:sz w:val="24"/>
      <w:szCs w:val="24"/>
    </w:rPr>
  </w:style>
  <w:style w:type="paragraph" w:styleId="Heading1">
    <w:name w:val="heading 1"/>
    <w:basedOn w:val="Normal"/>
    <w:next w:val="Normal"/>
    <w:link w:val="Heading1Char"/>
    <w:uiPriority w:val="9"/>
    <w:qFormat/>
    <w:rsid w:val="00D51E44"/>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7579E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6A35E1"/>
    <w:pPr>
      <w:tabs>
        <w:tab w:val="clear" w:pos="432"/>
      </w:tabs>
      <w:spacing w:line="240" w:lineRule="auto"/>
      <w:ind w:firstLine="0"/>
      <w:jc w:val="left"/>
    </w:pPr>
    <w:rPr>
      <w:rFonts w:ascii="Times New Roman" w:eastAsia="Calibri" w:hAnsi="Times New Roman"/>
      <w:sz w:val="20"/>
      <w:szCs w:val="20"/>
      <w:lang w:val="x-none" w:eastAsia="x-none"/>
    </w:rPr>
  </w:style>
  <w:style w:type="character" w:customStyle="1" w:styleId="FootnoteTextChar">
    <w:name w:val="Footnote Text Char"/>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rPr>
      <w:rFonts w:cs="Calibri"/>
      <w:sz w:val="22"/>
      <w:szCs w:val="22"/>
    </w:rPr>
  </w:style>
  <w:style w:type="paragraph" w:customStyle="1" w:styleId="Default">
    <w:name w:val="Default"/>
    <w:rsid w:val="00DC7C95"/>
    <w:pPr>
      <w:autoSpaceDE w:val="0"/>
      <w:autoSpaceDN w:val="0"/>
      <w:adjustRightInd w:val="0"/>
    </w:pPr>
    <w:rPr>
      <w:rFonts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uiPriority w:val="99"/>
    <w:rsid w:val="000E7094"/>
    <w:pPr>
      <w:spacing w:line="240" w:lineRule="auto"/>
    </w:pPr>
    <w:rPr>
      <w:sz w:val="20"/>
      <w:szCs w:val="20"/>
      <w:lang w:val="x-none" w:eastAsia="x-none"/>
    </w:rPr>
  </w:style>
  <w:style w:type="character" w:customStyle="1" w:styleId="CommentTextChar">
    <w:name w:val="Comment Text Char"/>
    <w:link w:val="CommentText"/>
    <w:uiPriority w:val="99"/>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rsid w:val="000E7094"/>
    <w:rPr>
      <w:rFonts w:ascii="Arial" w:eastAsia="Times New Roman" w:hAnsi="Arial" w:cs="Times New Roman"/>
      <w:sz w:val="28"/>
      <w:szCs w:val="28"/>
    </w:rPr>
  </w:style>
  <w:style w:type="character" w:customStyle="1" w:styleId="Heading4Char">
    <w:name w:val="Heading 4 Char"/>
    <w:link w:val="Heading4"/>
    <w:uiPriority w:val="9"/>
    <w:semiHidden/>
    <w:rsid w:val="007579E8"/>
    <w:rPr>
      <w:rFonts w:ascii="Cambria" w:eastAsia="Times New Roman" w:hAnsi="Cambria" w:cs="Times New Roman"/>
      <w:b/>
      <w:bCs/>
      <w:i/>
      <w:iCs/>
      <w:color w:val="4F81BD"/>
      <w:sz w:val="24"/>
      <w:szCs w:val="24"/>
    </w:rPr>
  </w:style>
  <w:style w:type="paragraph" w:customStyle="1" w:styleId="BulletRed">
    <w:name w:val="Bullet_Red"/>
    <w:basedOn w:val="Normal"/>
    <w:uiPriority w:val="99"/>
    <w:rsid w:val="00B17A60"/>
    <w:pPr>
      <w:numPr>
        <w:numId w:val="1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rPr>
      <w:lang w:val="x-none" w:eastAsia="x-none"/>
    </w:rPr>
  </w:style>
  <w:style w:type="character" w:customStyle="1" w:styleId="HeaderChar">
    <w:name w:val="Header Char"/>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rPr>
      <w:lang w:val="x-none" w:eastAsia="x-none"/>
    </w:rPr>
  </w:style>
  <w:style w:type="character" w:customStyle="1" w:styleId="FooterChar">
    <w:name w:val="Footer Char"/>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lang w:val="x-none" w:eastAsia="x-none"/>
    </w:rPr>
  </w:style>
  <w:style w:type="character" w:customStyle="1" w:styleId="BodyText3Char">
    <w:name w:val="Body Text 3 Char"/>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Calibri" w:hAnsi="Calibri"/>
      <w:sz w:val="20"/>
      <w:szCs w:val="20"/>
      <w:lang w:val="x-none" w:eastAsia="x-none"/>
    </w:rPr>
  </w:style>
  <w:style w:type="character" w:customStyle="1" w:styleId="PlainTextChar">
    <w:name w:val="Plain Text Char"/>
    <w:link w:val="PlainText"/>
    <w:uiPriority w:val="99"/>
    <w:semiHidden/>
    <w:rsid w:val="0095241F"/>
    <w:rPr>
      <w:rFonts w:ascii="Calibri" w:hAnsi="Calibri" w:cs="Calibri"/>
    </w:rPr>
  </w:style>
  <w:style w:type="character" w:customStyle="1" w:styleId="Heading1Char">
    <w:name w:val="Heading 1 Char"/>
    <w:link w:val="Heading1"/>
    <w:uiPriority w:val="9"/>
    <w:rsid w:val="00D51E44"/>
    <w:rPr>
      <w:rFonts w:ascii="Cambria" w:eastAsia="Times New Roman" w:hAnsi="Cambria" w:cs="Times New Roman"/>
      <w:b/>
      <w:bCs/>
      <w:kern w:val="32"/>
      <w:sz w:val="32"/>
      <w:szCs w:val="32"/>
    </w:rPr>
  </w:style>
  <w:style w:type="paragraph" w:styleId="List">
    <w:name w:val="List"/>
    <w:basedOn w:val="Normal"/>
    <w:semiHidden/>
    <w:unhideWhenUsed/>
    <w:rsid w:val="00D51E44"/>
    <w:pPr>
      <w:tabs>
        <w:tab w:val="clear" w:pos="432"/>
      </w:tabs>
      <w:spacing w:line="240" w:lineRule="auto"/>
      <w:ind w:left="360" w:hanging="360"/>
      <w:jc w:val="left"/>
    </w:pPr>
    <w:rPr>
      <w:rFonts w:ascii="Times New Roman" w:hAnsi="Times New Roman"/>
    </w:rPr>
  </w:style>
  <w:style w:type="paragraph" w:styleId="Revision">
    <w:name w:val="Revision"/>
    <w:hidden/>
    <w:uiPriority w:val="99"/>
    <w:semiHidden/>
    <w:rsid w:val="009D7EA7"/>
    <w:rPr>
      <w:rFonts w:ascii="Garamond" w:eastAsia="Times New Roman" w:hAnsi="Garamond"/>
      <w:sz w:val="24"/>
      <w:szCs w:val="24"/>
    </w:rPr>
  </w:style>
  <w:style w:type="character" w:styleId="FollowedHyperlink">
    <w:name w:val="FollowedHyperlink"/>
    <w:uiPriority w:val="99"/>
    <w:semiHidden/>
    <w:unhideWhenUsed/>
    <w:rsid w:val="003454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62374">
      <w:bodyDiv w:val="1"/>
      <w:marLeft w:val="0"/>
      <w:marRight w:val="0"/>
      <w:marTop w:val="0"/>
      <w:marBottom w:val="0"/>
      <w:divBdr>
        <w:top w:val="none" w:sz="0" w:space="0" w:color="auto"/>
        <w:left w:val="none" w:sz="0" w:space="0" w:color="auto"/>
        <w:bottom w:val="none" w:sz="0" w:space="0" w:color="auto"/>
        <w:right w:val="none" w:sz="0" w:space="0" w:color="auto"/>
      </w:divBdr>
    </w:div>
    <w:div w:id="778062447">
      <w:bodyDiv w:val="1"/>
      <w:marLeft w:val="0"/>
      <w:marRight w:val="0"/>
      <w:marTop w:val="0"/>
      <w:marBottom w:val="0"/>
      <w:divBdr>
        <w:top w:val="none" w:sz="0" w:space="0" w:color="auto"/>
        <w:left w:val="none" w:sz="0" w:space="0" w:color="auto"/>
        <w:bottom w:val="none" w:sz="0" w:space="0" w:color="auto"/>
        <w:right w:val="none" w:sz="0" w:space="0" w:color="auto"/>
      </w:divBdr>
    </w:div>
    <w:div w:id="1002046959">
      <w:bodyDiv w:val="1"/>
      <w:marLeft w:val="0"/>
      <w:marRight w:val="0"/>
      <w:marTop w:val="0"/>
      <w:marBottom w:val="0"/>
      <w:divBdr>
        <w:top w:val="none" w:sz="0" w:space="0" w:color="auto"/>
        <w:left w:val="none" w:sz="0" w:space="0" w:color="auto"/>
        <w:bottom w:val="none" w:sz="0" w:space="0" w:color="auto"/>
        <w:right w:val="none" w:sz="0" w:space="0" w:color="auto"/>
      </w:divBdr>
    </w:div>
    <w:div w:id="1133132736">
      <w:bodyDiv w:val="1"/>
      <w:marLeft w:val="0"/>
      <w:marRight w:val="0"/>
      <w:marTop w:val="0"/>
      <w:marBottom w:val="0"/>
      <w:divBdr>
        <w:top w:val="none" w:sz="0" w:space="0" w:color="auto"/>
        <w:left w:val="none" w:sz="0" w:space="0" w:color="auto"/>
        <w:bottom w:val="none" w:sz="0" w:space="0" w:color="auto"/>
        <w:right w:val="none" w:sz="0" w:space="0" w:color="auto"/>
      </w:divBdr>
    </w:div>
    <w:div w:id="1299606968">
      <w:bodyDiv w:val="1"/>
      <w:marLeft w:val="0"/>
      <w:marRight w:val="0"/>
      <w:marTop w:val="0"/>
      <w:marBottom w:val="0"/>
      <w:divBdr>
        <w:top w:val="none" w:sz="0" w:space="0" w:color="auto"/>
        <w:left w:val="none" w:sz="0" w:space="0" w:color="auto"/>
        <w:bottom w:val="none" w:sz="0" w:space="0" w:color="auto"/>
        <w:right w:val="none" w:sz="0" w:space="0" w:color="auto"/>
      </w:divBdr>
    </w:div>
    <w:div w:id="1379237699">
      <w:bodyDiv w:val="1"/>
      <w:marLeft w:val="0"/>
      <w:marRight w:val="0"/>
      <w:marTop w:val="0"/>
      <w:marBottom w:val="0"/>
      <w:divBdr>
        <w:top w:val="none" w:sz="0" w:space="0" w:color="auto"/>
        <w:left w:val="none" w:sz="0" w:space="0" w:color="auto"/>
        <w:bottom w:val="none" w:sz="0" w:space="0" w:color="auto"/>
        <w:right w:val="none" w:sz="0" w:space="0" w:color="auto"/>
      </w:divBdr>
    </w:div>
    <w:div w:id="1469401232">
      <w:bodyDiv w:val="1"/>
      <w:marLeft w:val="0"/>
      <w:marRight w:val="0"/>
      <w:marTop w:val="0"/>
      <w:marBottom w:val="0"/>
      <w:divBdr>
        <w:top w:val="none" w:sz="0" w:space="0" w:color="auto"/>
        <w:left w:val="none" w:sz="0" w:space="0" w:color="auto"/>
        <w:bottom w:val="none" w:sz="0" w:space="0" w:color="auto"/>
        <w:right w:val="none" w:sz="0" w:space="0" w:color="auto"/>
      </w:divBdr>
    </w:div>
    <w:div w:id="1642614040">
      <w:bodyDiv w:val="1"/>
      <w:marLeft w:val="0"/>
      <w:marRight w:val="0"/>
      <w:marTop w:val="0"/>
      <w:marBottom w:val="0"/>
      <w:divBdr>
        <w:top w:val="none" w:sz="0" w:space="0" w:color="auto"/>
        <w:left w:val="none" w:sz="0" w:space="0" w:color="auto"/>
        <w:bottom w:val="none" w:sz="0" w:space="0" w:color="auto"/>
        <w:right w:val="none" w:sz="0" w:space="0" w:color="auto"/>
      </w:divBdr>
    </w:div>
    <w:div w:id="1823888159">
      <w:bodyDiv w:val="1"/>
      <w:marLeft w:val="0"/>
      <w:marRight w:val="0"/>
      <w:marTop w:val="0"/>
      <w:marBottom w:val="0"/>
      <w:divBdr>
        <w:top w:val="none" w:sz="0" w:space="0" w:color="auto"/>
        <w:left w:val="none" w:sz="0" w:space="0" w:color="auto"/>
        <w:bottom w:val="none" w:sz="0" w:space="0" w:color="auto"/>
        <w:right w:val="none" w:sz="0" w:space="0" w:color="auto"/>
      </w:divBdr>
    </w:div>
    <w:div w:id="184732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hud.gov/offices/cfo/reports/2011/cjs/Research_and_Technology_201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articles/2015/04/14/2015-08538/60-day-notice-of-proposed-information-collection-rent-reform-demonstration-task-ord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5FFD191111A814C9C4C0DA6291C759C" ma:contentTypeVersion="35" ma:contentTypeDescription="MDRC Project Documents - includes metadata - Document Type, Site, Team" ma:contentTypeScope="" ma:versionID="d2bc5bb5e6a03e08ccc8d05ed0fc4206">
  <xsd:schema xmlns:xsd="http://www.w3.org/2001/XMLSchema" xmlns:p="http://schemas.microsoft.com/office/2006/metadata/properties" xmlns:ns2="2f9a5c0b-2c7e-4d5f-be45-5778110944b3" xmlns:ns3="f23c63e7-3264-4fa0-bbac-fd47573de8ba" targetNamespace="http://schemas.microsoft.com/office/2006/metadata/properties" ma:root="true" ma:fieldsID="27010d569ed4d1ec540dbba8c3401f2d" ns2:_="" ns3:_="">
    <xsd:import namespace="2f9a5c0b-2c7e-4d5f-be45-5778110944b3"/>
    <xsd:import namespace="f23c63e7-3264-4fa0-bbac-fd47573de8ba"/>
    <xsd:element name="properties">
      <xsd:complexType>
        <xsd:sequence>
          <xsd:element name="documentManagement">
            <xsd:complexType>
              <xsd:all>
                <xsd:element ref="ns2:DocumentType0"/>
                <xsd:element ref="ns2:DetailedDocumentType" minOccurs="0"/>
                <xsd:element ref="ns3:Team" minOccurs="0"/>
                <xsd:element ref="ns2:Sub_x0020_Team" minOccurs="0"/>
                <xsd:element ref="ns2:Data_x0020_Type" minOccurs="0"/>
                <xsd:element ref="ns2:Review_x0020_Level"/>
                <xsd:element ref="ns2:Presentation_x0020_Documents" minOccurs="0"/>
                <xsd:element ref="ns2:Site0" minOccurs="0"/>
                <xsd:element ref="ns2:Product" minOccurs="0"/>
              </xsd:all>
            </xsd:complexType>
          </xsd:element>
        </xsd:sequence>
      </xsd:complexType>
    </xsd:element>
  </xsd:schema>
  <xsd:schema xmlns:xsd="http://www.w3.org/2001/XMLSchema" xmlns:dms="http://schemas.microsoft.com/office/2006/documentManagement/types" targetNamespace="2f9a5c0b-2c7e-4d5f-be45-5778110944b3" elementFormDefault="qualified">
    <xsd:import namespace="http://schemas.microsoft.com/office/2006/documentManagement/types"/>
    <xsd:element name="DocumentType0" ma:index="2" ma:displayName="Document Type" ma:format="Dropdown" ma:internalName="DocumentType0">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DetailedDocumentType" ma:index="3" nillable="true" ma:displayName="Detailed Doc Type" ma:internalName="DetailedDocumentType" ma:requiredMultiChoice="true">
      <xsd:complexType>
        <xsd:complexContent>
          <xsd:extension base="dms:MultiChoice">
            <xsd:sequence>
              <xsd:element name="Value" maxOccurs="unbounded" minOccurs="0" nillable="true">
                <xsd:simpleType>
                  <xsd:restriction base="dms:Choice">
                    <xsd:enumeration value="Aggregate Data"/>
                    <xsd:enumeration value="Analysis Planning"/>
                    <xsd:enumeration value="Codebooks"/>
                    <xsd:enumeration value="Consent Forms"/>
                    <xsd:enumeration value="Conference Presentation"/>
                    <xsd:enumeration value="Data Documentation"/>
                    <xsd:enumeration value="Data Management Memos"/>
                    <xsd:enumeration value="Data Requests"/>
                    <xsd:enumeration value="Data Sharing Agreement"/>
                    <xsd:enumeration value="Figures"/>
                    <xsd:enumeration value="Interviews"/>
                    <xsd:enumeration value="IRB Documents"/>
                    <xsd:enumeration value="Literature Review / Prior Studies"/>
                    <xsd:enumeration value="Manual / Guidance Material"/>
                    <xsd:enumeration value="Meeting Materials"/>
                    <xsd:enumeration value="Meeting Notes Internal"/>
                    <xsd:enumeration value="Meeting Notes External"/>
                    <xsd:enumeration value="Monthly Reports"/>
                    <xsd:enumeration value="N/A"/>
                    <xsd:enumeration value="OMB"/>
                    <xsd:enumeration value="Oral Briefings"/>
                    <xsd:enumeration value="Other Presentations"/>
                    <xsd:enumeration value="Other Project Updates"/>
                    <xsd:enumeration value="Policy Briefs"/>
                    <xsd:enumeration value="Project Description"/>
                    <xsd:enumeration value="Proposal"/>
                    <xsd:enumeration value="Protocols"/>
                    <xsd:enumeration value="QC Memos"/>
                    <xsd:enumeration value="Recruitment &amp; Outreach"/>
                    <xsd:enumeration value="Report"/>
                    <xsd:enumeration value="Schedule"/>
                    <xsd:enumeration value="Site communication"/>
                    <xsd:enumeration value="Site MOU"/>
                    <xsd:enumeration value="Site Summary"/>
                    <xsd:enumeration value="Site Visit Notes"/>
                    <xsd:enumeration value="Survey Instruments"/>
                    <xsd:enumeration value="Tables"/>
                  </xsd:restriction>
                </xsd:simpleType>
              </xsd:element>
            </xsd:sequence>
          </xsd:extension>
        </xsd:complexContent>
      </xsd:complexType>
    </xsd:element>
    <xsd:element name="Sub_x0020_Team" ma:index="11" nillable="true" ma:displayName="Sub Team" ma:internalName="Sub_x0020_Team">
      <xsd:complexType>
        <xsd:complexContent>
          <xsd:extension base="dms:MultiChoice">
            <xsd:sequence>
              <xsd:element name="Value" maxOccurs="unbounded" minOccurs="0" nillable="true">
                <xsd:simpleType>
                  <xsd:restriction base="dms:Choice">
                    <xsd:enumeration value="Administrative Needs"/>
                    <xsd:enumeration value="Budget"/>
                    <xsd:enumeration value="Data Security"/>
                    <xsd:enumeration value="Early Assessment/ Pilot"/>
                    <xsd:enumeration value="Feasibility"/>
                    <xsd:enumeration value="Measurement"/>
                    <xsd:enumeration value="MIS"/>
                    <xsd:enumeration value="PUF"/>
                    <xsd:enumeration value="RA Start- Up/ Measurement"/>
                    <xsd:enumeration value="Recruitment/Site Selection"/>
                    <xsd:enumeration value="Survey"/>
                    <xsd:enumeration value="Technical Assistance"/>
                  </xsd:restriction>
                </xsd:simpleType>
              </xsd:element>
            </xsd:sequence>
          </xsd:extension>
        </xsd:complexContent>
      </xsd:complexType>
    </xsd:element>
    <xsd:element name="Data_x0020_Type" ma:index="12" nillable="true" ma:displayName="Data Type" ma:internalName="Data_x0020_Type">
      <xsd:complexType>
        <xsd:complexContent>
          <xsd:extension base="dms:MultiChoice">
            <xsd:sequence>
              <xsd:element name="Value" maxOccurs="unbounded" minOccurs="0" nillable="true">
                <xsd:simpleType>
                  <xsd:restriction base="dms:Choice">
                    <xsd:enumeration value="Baseline"/>
                    <xsd:enumeration value="Cost"/>
                    <xsd:enumeration value="Food Stamps"/>
                    <xsd:enumeration value="Housing"/>
                    <xsd:enumeration value="MIS"/>
                    <xsd:enumeration value="Net Income"/>
                    <xsd:enumeration value="Sample"/>
                    <xsd:enumeration value="Survey"/>
                    <xsd:enumeration value="TANF"/>
                    <xsd:enumeration value="UI/New Hires"/>
                    <xsd:enumeration value="N/A"/>
                  </xsd:restriction>
                </xsd:simpleType>
              </xsd:element>
            </xsd:sequence>
          </xsd:extension>
        </xsd:complexContent>
      </xsd:complexType>
    </xsd:element>
    <xsd:element name="Review_x0020_Level" ma:index="13" ma:displayName="Review Level" ma:default="Final" ma:format="RadioButtons" ma:internalName="Review_x0020_Level">
      <xsd:simpleType>
        <xsd:restriction base="dms:Choice">
          <xsd:enumeration value="Draft"/>
          <xsd:enumeration value="Not Reviewed"/>
          <xsd:enumeration value="Basic Review"/>
          <xsd:enumeration value="In-Depth Review"/>
          <xsd:enumeration value="Final"/>
        </xsd:restriction>
      </xsd:simpleType>
    </xsd:element>
    <xsd:element name="Presentation_x0020_Documents" ma:index="14" nillable="true" ma:displayName="Presentation Documents" ma:default="0" ma:internalName="Presentation_x0020_Documents">
      <xsd:simpleType>
        <xsd:restriction base="dms:Boolean"/>
      </xsd:simpleType>
    </xsd:element>
    <xsd:element name="Site0" ma:index="15" nillable="true" ma:displayName="Site" ma:list="{767dedb6-1dfe-4cb4-b6b9-af059c86930a}" ma:internalName="Site0" ma:showField="Title">
      <xsd:complexType>
        <xsd:complexContent>
          <xsd:extension base="dms:MultiChoiceLookup">
            <xsd:sequence>
              <xsd:element name="Value" type="dms:Lookup" maxOccurs="unbounded" minOccurs="0" nillable="true"/>
            </xsd:sequence>
          </xsd:extension>
        </xsd:complexContent>
      </xsd:complexType>
    </xsd:element>
    <xsd:element name="Product" ma:index="16" nillable="true" ma:displayName="Product" ma:description="Name of product, paper, or submission document with which the file is associated (e.g., a table that was used in Research Design Paper)" ma:internalName="Product">
      <xsd:complexType>
        <xsd:complexContent>
          <xsd:extension base="dms:MultiChoice">
            <xsd:sequence>
              <xsd:element name="Value" maxOccurs="unbounded" minOccurs="0" nillable="true">
                <xsd:simpleType>
                  <xsd:restriction base="dms:Choice">
                    <xsd:enumeration value="AAPAM Paper"/>
                    <xsd:enumeration value="OMB Clearance Packet"/>
                    <xsd:enumeration value="Operations Manual"/>
                    <xsd:enumeration value="Research Design Paper"/>
                    <xsd:enumeration value="Research Procedures Manual"/>
                  </xsd:restriction>
                </xsd:simpleType>
              </xsd:element>
            </xsd:sequence>
          </xsd:extension>
        </xsd:complexContent>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Level xmlns="2f9a5c0b-2c7e-4d5f-be45-5778110944b3">Final</Review_x0020_Level>
    <DetailedDocumentType xmlns="2f9a5c0b-2c7e-4d5f-be45-5778110944b3">
      <Value>OMB</Value>
    </DetailedDocumentType>
    <DocumentType0 xmlns="2f9a5c0b-2c7e-4d5f-be45-5778110944b3">Data Collection &amp; Acquisition</DocumentType0>
    <Sub_x0020_Team xmlns="2f9a5c0b-2c7e-4d5f-be45-5778110944b3"/>
    <Site0 xmlns="2f9a5c0b-2c7e-4d5f-be45-5778110944b3">
      <Value>12</Value>
    </Site0>
    <Team xmlns="f23c63e7-3264-4fa0-bbac-fd47573de8ba">
      <Value>Data</Value>
      <Value>Operations</Value>
    </Team>
    <Presentation_x0020_Documents xmlns="2f9a5c0b-2c7e-4d5f-be45-5778110944b3">false</Presentation_x0020_Documents>
    <Data_x0020_Type xmlns="2f9a5c0b-2c7e-4d5f-be45-5778110944b3"/>
    <Product xmlns="2f9a5c0b-2c7e-4d5f-be45-5778110944b3"/>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790FB-4160-4024-AE1D-24F14B744C90}">
  <ds:schemaRefs>
    <ds:schemaRef ds:uri="http://schemas.microsoft.com/sharepoint/v3/contenttype/forms"/>
  </ds:schemaRefs>
</ds:datastoreItem>
</file>

<file path=customXml/itemProps2.xml><?xml version="1.0" encoding="utf-8"?>
<ds:datastoreItem xmlns:ds="http://schemas.openxmlformats.org/officeDocument/2006/customXml" ds:itemID="{B16B7ACC-AB04-44AF-A492-06E127B8C60F}">
  <ds:schemaRefs>
    <ds:schemaRef ds:uri="http://schemas.microsoft.com/office/2006/metadata/longProperties"/>
  </ds:schemaRefs>
</ds:datastoreItem>
</file>

<file path=customXml/itemProps3.xml><?xml version="1.0" encoding="utf-8"?>
<ds:datastoreItem xmlns:ds="http://schemas.openxmlformats.org/officeDocument/2006/customXml" ds:itemID="{428A7632-80A1-4568-9A7B-AA612BA2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5c0b-2c7e-4d5f-be45-5778110944b3"/>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C5B160-8233-4D33-979F-E512AB56656D}">
  <ds:schemaRefs>
    <ds:schemaRef ds:uri="http://schemas.microsoft.com/office/2006/metadata/properties"/>
    <ds:schemaRef ds:uri="http://schemas.microsoft.com/office/infopath/2007/PartnerControls"/>
    <ds:schemaRef ds:uri="2f9a5c0b-2c7e-4d5f-be45-5778110944b3"/>
    <ds:schemaRef ds:uri="f23c63e7-3264-4fa0-bbac-fd47573de8ba"/>
  </ds:schemaRefs>
</ds:datastoreItem>
</file>

<file path=customXml/itemProps5.xml><?xml version="1.0" encoding="utf-8"?>
<ds:datastoreItem xmlns:ds="http://schemas.openxmlformats.org/officeDocument/2006/customXml" ds:itemID="{8CF943AE-6030-4089-A11F-27508F3B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8918</Words>
  <Characters>50838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OMB Package Part A</vt:lpstr>
    </vt:vector>
  </TitlesOfParts>
  <Company>MDRC</Company>
  <LinksUpToDate>false</LinksUpToDate>
  <CharactersWithSpaces>59637</CharactersWithSpaces>
  <SharedDoc>false</SharedDoc>
  <HLinks>
    <vt:vector size="18" baseType="variant">
      <vt:variant>
        <vt:i4>7340045</vt:i4>
      </vt:variant>
      <vt:variant>
        <vt:i4>6</vt:i4>
      </vt:variant>
      <vt:variant>
        <vt:i4>0</vt:i4>
      </vt:variant>
      <vt:variant>
        <vt:i4>5</vt:i4>
      </vt:variant>
      <vt:variant>
        <vt:lpwstr>http://www.bls.gov/oes/current/oes_stru.htm</vt:lpwstr>
      </vt:variant>
      <vt:variant>
        <vt:lpwstr/>
      </vt:variant>
      <vt:variant>
        <vt:i4>7340045</vt:i4>
      </vt:variant>
      <vt:variant>
        <vt:i4>3</vt:i4>
      </vt:variant>
      <vt:variant>
        <vt:i4>0</vt:i4>
      </vt:variant>
      <vt:variant>
        <vt:i4>5</vt:i4>
      </vt:variant>
      <vt:variant>
        <vt:lpwstr>http://www.bls.gov/oes/current/oes_stru.htm</vt:lpwstr>
      </vt:variant>
      <vt:variant>
        <vt:lpwstr/>
      </vt:variant>
      <vt:variant>
        <vt:i4>7077902</vt:i4>
      </vt:variant>
      <vt:variant>
        <vt:i4>0</vt:i4>
      </vt:variant>
      <vt:variant>
        <vt:i4>0</vt:i4>
      </vt:variant>
      <vt:variant>
        <vt:i4>5</vt:i4>
      </vt:variant>
      <vt:variant>
        <vt:lpwstr>http://hud.gov/offices/cfo/reports/2011/cjs/Research_and_Technology_2011.pdf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Part A</dc:title>
  <dc:creator>nunez</dc:creator>
  <cp:lastModifiedBy>Marina L Myhre</cp:lastModifiedBy>
  <cp:revision>2</cp:revision>
  <cp:lastPrinted>2013-06-20T15:42:00Z</cp:lastPrinted>
  <dcterms:created xsi:type="dcterms:W3CDTF">2015-06-22T16:49:00Z</dcterms:created>
  <dcterms:modified xsi:type="dcterms:W3CDTF">2015-06-22T16:49:00Z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MDRC Project Documents</vt:lpwstr>
  </property>
  <property fmtid="{D5CDD505-2E9C-101B-9397-08002B2CF9AE}" pid="4" name="Subject">
    <vt:lpwstr/>
  </property>
  <property fmtid="{D5CDD505-2E9C-101B-9397-08002B2CF9AE}" pid="5" name="Keywords">
    <vt:lpwstr/>
  </property>
  <property fmtid="{D5CDD505-2E9C-101B-9397-08002B2CF9AE}" pid="6" name="_Author">
    <vt:lpwstr>nunez</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_AdHocReviewCycleID">
    <vt:i4>1092194858</vt:i4>
  </property>
  <property fmtid="{D5CDD505-2E9C-101B-9397-08002B2CF9AE}" pid="13" name="_EmailSubject">
    <vt:lpwstr>Rent Reform Demonstration TO2 OMB Draft (Revised)</vt:lpwstr>
  </property>
  <property fmtid="{D5CDD505-2E9C-101B-9397-08002B2CF9AE}" pid="14" name="_AuthorEmail">
    <vt:lpwstr>Marina.L.Myhre@hud.gov</vt:lpwstr>
  </property>
  <property fmtid="{D5CDD505-2E9C-101B-9397-08002B2CF9AE}" pid="15" name="_AuthorEmailDisplayName">
    <vt:lpwstr>Myhre, Marina L</vt:lpwstr>
  </property>
</Properties>
</file>