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E8AE0" w14:textId="24036F42" w:rsidR="008E466B" w:rsidRPr="00BA4472" w:rsidRDefault="008E466B" w:rsidP="008E466B">
      <w:pPr>
        <w:pStyle w:val="CoverTextRed16pt"/>
        <w:tabs>
          <w:tab w:val="left" w:pos="90"/>
        </w:tabs>
        <w:ind w:left="0"/>
        <w:jc w:val="center"/>
        <w:rPr>
          <w:noProof/>
          <w:color w:val="auto"/>
          <w:sz w:val="28"/>
          <w:szCs w:val="28"/>
        </w:rPr>
      </w:pPr>
      <w:bookmarkStart w:id="0" w:name="_GoBack"/>
      <w:bookmarkEnd w:id="0"/>
      <w:r w:rsidRPr="00BA4472">
        <w:rPr>
          <w:noProof/>
          <w:color w:val="auto"/>
          <w:sz w:val="28"/>
          <w:szCs w:val="28"/>
        </w:rPr>
        <w:t>Supporting Statement for Paperwork Reduction Act Submission</w:t>
      </w:r>
    </w:p>
    <w:p w14:paraId="17627ED5" w14:textId="77777777" w:rsidR="008E466B" w:rsidRPr="00BA4472" w:rsidRDefault="008E466B" w:rsidP="008E466B">
      <w:pPr>
        <w:pStyle w:val="CoverTextRed16pt"/>
        <w:ind w:left="0"/>
        <w:jc w:val="center"/>
        <w:rPr>
          <w:noProof/>
          <w:color w:val="auto"/>
          <w:sz w:val="28"/>
          <w:szCs w:val="28"/>
        </w:rPr>
      </w:pPr>
      <w:r w:rsidRPr="00BA4472">
        <w:rPr>
          <w:noProof/>
          <w:color w:val="auto"/>
          <w:sz w:val="28"/>
          <w:szCs w:val="28"/>
        </w:rPr>
        <w:t>Pre-Purchase Homeownership Education and Counseling Demonstration and Impact Evaluation</w:t>
      </w:r>
    </w:p>
    <w:p w14:paraId="5E3CDEF1" w14:textId="77777777" w:rsidR="00BA4472" w:rsidRPr="00BA4472" w:rsidRDefault="008E466B" w:rsidP="00BA4472">
      <w:pPr>
        <w:pStyle w:val="CoverTextRed16pt"/>
        <w:ind w:left="0"/>
        <w:jc w:val="center"/>
        <w:rPr>
          <w:noProof/>
          <w:color w:val="auto"/>
          <w:sz w:val="28"/>
          <w:szCs w:val="28"/>
        </w:rPr>
      </w:pPr>
      <w:r w:rsidRPr="00BA4472">
        <w:rPr>
          <w:noProof/>
          <w:color w:val="auto"/>
          <w:sz w:val="28"/>
          <w:szCs w:val="28"/>
        </w:rPr>
        <w:t>OMB #2528-0293</w:t>
      </w:r>
      <w:bookmarkStart w:id="1" w:name="_Toc511642169"/>
    </w:p>
    <w:p w14:paraId="52F1B7F6" w14:textId="77777777" w:rsidR="00BA4472" w:rsidRPr="00BA4472" w:rsidRDefault="00BA4472" w:rsidP="00BA4472">
      <w:pPr>
        <w:pStyle w:val="CoverTextRed16pt"/>
        <w:ind w:left="0"/>
        <w:jc w:val="center"/>
        <w:rPr>
          <w:noProof/>
          <w:color w:val="auto"/>
          <w:sz w:val="28"/>
          <w:szCs w:val="28"/>
        </w:rPr>
      </w:pPr>
    </w:p>
    <w:p w14:paraId="54370FCF" w14:textId="6041AF5F" w:rsidR="00622306" w:rsidRPr="00552D27" w:rsidRDefault="008E466B" w:rsidP="00BA4472">
      <w:pPr>
        <w:pStyle w:val="CoverTextRed16pt"/>
        <w:ind w:left="0"/>
        <w:jc w:val="left"/>
        <w:rPr>
          <w:color w:val="auto"/>
          <w:sz w:val="22"/>
          <w:szCs w:val="22"/>
        </w:rPr>
      </w:pPr>
      <w:r w:rsidRPr="00552D27">
        <w:rPr>
          <w:color w:val="auto"/>
          <w:sz w:val="22"/>
          <w:szCs w:val="22"/>
        </w:rPr>
        <w:t>Part B.</w:t>
      </w:r>
      <w:r w:rsidR="00317DC4" w:rsidRPr="00552D27">
        <w:rPr>
          <w:color w:val="auto"/>
          <w:sz w:val="22"/>
          <w:szCs w:val="22"/>
        </w:rPr>
        <w:t xml:space="preserve"> </w:t>
      </w:r>
      <w:r w:rsidR="00622306" w:rsidRPr="00552D27">
        <w:rPr>
          <w:color w:val="auto"/>
          <w:sz w:val="22"/>
          <w:szCs w:val="22"/>
        </w:rPr>
        <w:t>Statistical Methods</w:t>
      </w:r>
      <w:bookmarkEnd w:id="1"/>
    </w:p>
    <w:p w14:paraId="5F664E71" w14:textId="745C6643" w:rsidR="003A4ACF" w:rsidRPr="00961721" w:rsidRDefault="003A4ACF" w:rsidP="00AB5AB2">
      <w:pPr>
        <w:pStyle w:val="Heading2"/>
        <w:numPr>
          <w:ilvl w:val="0"/>
          <w:numId w:val="33"/>
        </w:numPr>
        <w:rPr>
          <w:b w:val="0"/>
          <w:color w:val="000000"/>
        </w:rPr>
      </w:pPr>
      <w:r w:rsidRPr="00961721">
        <w:rPr>
          <w:b w:val="0"/>
          <w:color w:val="000000"/>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2DC2182" w14:textId="1C367EBC" w:rsidR="00622306" w:rsidRPr="005A436E" w:rsidRDefault="00622306" w:rsidP="006129E9">
      <w:pPr>
        <w:pStyle w:val="BodyText"/>
      </w:pPr>
      <w:r w:rsidRPr="005A436E">
        <w:rPr>
          <w:szCs w:val="22"/>
        </w:rPr>
        <w:t xml:space="preserve">The </w:t>
      </w:r>
      <w:r w:rsidR="00246FD6" w:rsidRPr="005A436E">
        <w:rPr>
          <w:szCs w:val="22"/>
        </w:rPr>
        <w:t xml:space="preserve">HUD </w:t>
      </w:r>
      <w:r w:rsidR="005A0B73" w:rsidRPr="00217D65">
        <w:rPr>
          <w:szCs w:val="22"/>
        </w:rPr>
        <w:t xml:space="preserve">Pre-Purchase Homeownership Counseling Demonstration and Impact Evaluation </w:t>
      </w:r>
      <w:r w:rsidR="00246FD6" w:rsidRPr="005A436E">
        <w:t xml:space="preserve">enrolled 5,854 low-, moderate-, or middle-income (LMMI), first-time homebuyers from </w:t>
      </w:r>
      <w:r w:rsidR="00837DCA">
        <w:t xml:space="preserve">three </w:t>
      </w:r>
      <w:r w:rsidR="00246FD6" w:rsidRPr="005A436E">
        <w:t>national lenders across 28 jurisdictions nationally.</w:t>
      </w:r>
      <w:r w:rsidR="00BC30D4">
        <w:rPr>
          <w:rStyle w:val="FootnoteReference"/>
        </w:rPr>
        <w:footnoteReference w:id="1"/>
      </w:r>
      <w:r w:rsidR="00246FD6" w:rsidRPr="005A436E">
        <w:t xml:space="preserve"> </w:t>
      </w:r>
      <w:r w:rsidRPr="005A436E">
        <w:rPr>
          <w:szCs w:val="22"/>
        </w:rPr>
        <w:t xml:space="preserve">Each of the data collections covered by this submission relate to the universe of study participants, which is defined </w:t>
      </w:r>
      <w:r w:rsidR="00B9785B" w:rsidRPr="005A436E">
        <w:rPr>
          <w:szCs w:val="22"/>
        </w:rPr>
        <w:t>as the set of all individuals who enrolled in the study</w:t>
      </w:r>
      <w:r w:rsidR="00246FD6" w:rsidRPr="005A436E">
        <w:rPr>
          <w:szCs w:val="22"/>
        </w:rPr>
        <w:t xml:space="preserve"> (excluding those who withdrew from the study)</w:t>
      </w:r>
      <w:r w:rsidR="00B9785B" w:rsidRPr="005A436E">
        <w:rPr>
          <w:szCs w:val="22"/>
        </w:rPr>
        <w:t>.</w:t>
      </w:r>
    </w:p>
    <w:p w14:paraId="5A253FB4" w14:textId="71CFA243" w:rsidR="00837DCA" w:rsidRDefault="00622306" w:rsidP="006129E9">
      <w:pPr>
        <w:pStyle w:val="BodyText"/>
      </w:pPr>
      <w:r w:rsidRPr="005A436E">
        <w:t>The study seek</w:t>
      </w:r>
      <w:r w:rsidR="00837DCA">
        <w:t>s</w:t>
      </w:r>
      <w:r w:rsidRPr="005A436E">
        <w:t xml:space="preserve"> to collect </w:t>
      </w:r>
      <w:r w:rsidR="00FA3085">
        <w:t xml:space="preserve">data through </w:t>
      </w:r>
      <w:r w:rsidRPr="005A436E">
        <w:t xml:space="preserve">the </w:t>
      </w:r>
      <w:r w:rsidR="003D2543" w:rsidRPr="005A436E">
        <w:t xml:space="preserve">Long-Term Follow-Up </w:t>
      </w:r>
      <w:r w:rsidRPr="005A436E">
        <w:t>Survey and tracking letter from all study participants who enroll</w:t>
      </w:r>
      <w:r w:rsidR="00837DCA">
        <w:t>ed</w:t>
      </w:r>
      <w:r w:rsidRPr="005A436E">
        <w:t xml:space="preserve"> in the study. The study team also </w:t>
      </w:r>
      <w:r w:rsidR="00837DCA">
        <w:t xml:space="preserve">seeks to continue to </w:t>
      </w:r>
      <w:r w:rsidRPr="005A436E">
        <w:t>collect</w:t>
      </w:r>
      <w:r w:rsidR="00837DCA">
        <w:t xml:space="preserve"> the following administrative data:</w:t>
      </w:r>
    </w:p>
    <w:p w14:paraId="758D1584" w14:textId="3561497D" w:rsidR="00837DCA" w:rsidRDefault="00837DCA" w:rsidP="00837DCA">
      <w:pPr>
        <w:pStyle w:val="BodyText"/>
        <w:numPr>
          <w:ilvl w:val="0"/>
          <w:numId w:val="35"/>
        </w:numPr>
      </w:pPr>
      <w:r>
        <w:t>T</w:t>
      </w:r>
      <w:r w:rsidR="00622306" w:rsidRPr="005A436E">
        <w:t>he lenders’ origination and servicing data f</w:t>
      </w:r>
      <w:r w:rsidR="00556E54" w:rsidRPr="005A436E">
        <w:t>or</w:t>
      </w:r>
      <w:r w:rsidR="00622306" w:rsidRPr="005A436E">
        <w:t xml:space="preserve"> any study participant who originates a home purchase loan with one of the study’s participating lenders</w:t>
      </w:r>
      <w:r w:rsidR="00556E54" w:rsidRPr="005A436E">
        <w:t xml:space="preserve">; </w:t>
      </w:r>
    </w:p>
    <w:p w14:paraId="704CFD8D" w14:textId="77777777" w:rsidR="00837DCA" w:rsidRDefault="00837DCA" w:rsidP="00837DCA">
      <w:pPr>
        <w:pStyle w:val="BodyText"/>
        <w:numPr>
          <w:ilvl w:val="0"/>
          <w:numId w:val="35"/>
        </w:numPr>
      </w:pPr>
      <w:r w:rsidRPr="005A436E">
        <w:t>Origination</w:t>
      </w:r>
      <w:r w:rsidR="00556E54" w:rsidRPr="005A436E">
        <w:t xml:space="preserve"> and servicing data from the Federal Housing Administration (FHA) for any study participant who received an FHA loan; and</w:t>
      </w:r>
      <w:r>
        <w:t>,</w:t>
      </w:r>
    </w:p>
    <w:p w14:paraId="3DD2795E" w14:textId="77777777" w:rsidR="00837DCA" w:rsidRDefault="00837DCA" w:rsidP="00837DCA">
      <w:pPr>
        <w:pStyle w:val="BodyText"/>
        <w:numPr>
          <w:ilvl w:val="0"/>
          <w:numId w:val="35"/>
        </w:numPr>
      </w:pPr>
      <w:r>
        <w:t>C</w:t>
      </w:r>
      <w:r w:rsidR="00556E54" w:rsidRPr="005A436E">
        <w:t xml:space="preserve">redit bureau data from one of the three major credit bureaus. </w:t>
      </w:r>
    </w:p>
    <w:p w14:paraId="01FE7DFA" w14:textId="02079270" w:rsidR="00622306" w:rsidRPr="005A436E" w:rsidRDefault="00837DCA" w:rsidP="00837DCA">
      <w:pPr>
        <w:pStyle w:val="BodyText"/>
      </w:pPr>
      <w:r>
        <w:t>Additionally, t</w:t>
      </w:r>
      <w:r w:rsidR="00622306" w:rsidRPr="005A436E">
        <w:t xml:space="preserve">he study </w:t>
      </w:r>
      <w:r>
        <w:t>team seeks to continue to</w:t>
      </w:r>
      <w:r w:rsidR="00622306" w:rsidRPr="005A436E">
        <w:t xml:space="preserve"> collect consent from each co-borrower listed on a home purchase mortgage loan of a study participant. The universe of respondents for the co-borrower consent collection therefore includes all co-borrowers of all enrolled study participants.</w:t>
      </w:r>
      <w:r w:rsidR="00FA3085">
        <w:t xml:space="preserve"> </w:t>
      </w:r>
    </w:p>
    <w:p w14:paraId="0B131045" w14:textId="611EF0F7" w:rsidR="00F821C7" w:rsidRDefault="003A4ACF" w:rsidP="00F821C7">
      <w:r w:rsidRPr="005A436E">
        <w:t>The study administered a Short-Term Follow-Up Survey to study participants 12 months after study enrollment. The response rate for the Short-</w:t>
      </w:r>
      <w:r w:rsidRPr="00837DCA">
        <w:t xml:space="preserve">Term Follow-Up Survey (administered by telephone and in-person field data collection) was </w:t>
      </w:r>
      <w:r w:rsidR="00CD7CBF" w:rsidRPr="00837DCA">
        <w:t>78</w:t>
      </w:r>
      <w:r w:rsidR="00FA3085" w:rsidRPr="00837DCA">
        <w:t>.4</w:t>
      </w:r>
      <w:r w:rsidR="00CD7CBF" w:rsidRPr="00837DCA">
        <w:t xml:space="preserve"> percent</w:t>
      </w:r>
      <w:r w:rsidRPr="00837DCA">
        <w:t xml:space="preserve">. The expected response rate of the Long-Term Follow-Up Survey is </w:t>
      </w:r>
      <w:r w:rsidR="00727044" w:rsidRPr="00837DCA">
        <w:t xml:space="preserve">approximately </w:t>
      </w:r>
      <w:r w:rsidR="00FA3085" w:rsidRPr="00837DCA">
        <w:t xml:space="preserve">70 </w:t>
      </w:r>
      <w:r w:rsidR="00CD7CBF" w:rsidRPr="00837DCA">
        <w:t>percent</w:t>
      </w:r>
      <w:r w:rsidRPr="00837DCA">
        <w:t xml:space="preserve">. </w:t>
      </w:r>
      <w:r w:rsidR="005B337A" w:rsidRPr="00837DCA">
        <w:t xml:space="preserve"> </w:t>
      </w:r>
      <w:r w:rsidR="00F821C7" w:rsidRPr="00837DCA">
        <w:t>Th</w:t>
      </w:r>
      <w:r w:rsidR="005E2625" w:rsidRPr="00837DCA">
        <w:t>e</w:t>
      </w:r>
      <w:r w:rsidR="00F821C7" w:rsidRPr="00837DCA">
        <w:t xml:space="preserve"> stu</w:t>
      </w:r>
      <w:r w:rsidR="005E2625" w:rsidRPr="00837DCA">
        <w:t>dy design include</w:t>
      </w:r>
      <w:r w:rsidR="006F681F">
        <w:t>s</w:t>
      </w:r>
      <w:r w:rsidR="005E2625" w:rsidRPr="00837DCA">
        <w:t xml:space="preserve"> </w:t>
      </w:r>
      <w:r w:rsidR="00C9534C" w:rsidRPr="00837DCA">
        <w:t xml:space="preserve">a schedule of </w:t>
      </w:r>
      <w:r w:rsidR="005E2625" w:rsidRPr="00837DCA">
        <w:t>strategic contacts with the study participant</w:t>
      </w:r>
      <w:r w:rsidR="005E2625">
        <w:t xml:space="preserve"> during the enrollment period and then throughout the study follow-</w:t>
      </w:r>
      <w:r w:rsidR="005E2625">
        <w:lastRenderedPageBreak/>
        <w:t xml:space="preserve">up period to keep them involved and engaged in the study. </w:t>
      </w:r>
      <w:r w:rsidR="00837DCA">
        <w:t xml:space="preserve">The study team </w:t>
      </w:r>
      <w:r w:rsidR="00837DCA">
        <w:rPr>
          <w:szCs w:val="22"/>
        </w:rPr>
        <w:t xml:space="preserve">has also conducted intensive tracking with study participants since study enrollment. </w:t>
      </w:r>
      <w:r w:rsidR="00837DCA">
        <w:rPr>
          <w:szCs w:val="24"/>
        </w:rPr>
        <w:t xml:space="preserve"> </w:t>
      </w:r>
      <w:r w:rsidR="00837DCA">
        <w:rPr>
          <w:szCs w:val="22"/>
        </w:rPr>
        <w:t>Additional information about our tracking strategy is provided in our response to B.3.</w:t>
      </w:r>
      <w:r w:rsidR="00F821C7">
        <w:rPr>
          <w:szCs w:val="24"/>
        </w:rPr>
        <w:t>With</w:t>
      </w:r>
      <w:r w:rsidR="005E2625">
        <w:rPr>
          <w:szCs w:val="24"/>
        </w:rPr>
        <w:t xml:space="preserve"> this design,</w:t>
      </w:r>
      <w:r w:rsidR="00F821C7">
        <w:rPr>
          <w:szCs w:val="24"/>
        </w:rPr>
        <w:t xml:space="preserve"> ongoing tracking</w:t>
      </w:r>
      <w:r w:rsidR="005E2625">
        <w:rPr>
          <w:szCs w:val="24"/>
        </w:rPr>
        <w:t>,</w:t>
      </w:r>
      <w:r w:rsidR="00F821C7">
        <w:rPr>
          <w:szCs w:val="24"/>
        </w:rPr>
        <w:t xml:space="preserve"> and incentives</w:t>
      </w:r>
      <w:r w:rsidR="005E2625">
        <w:rPr>
          <w:szCs w:val="24"/>
        </w:rPr>
        <w:t xml:space="preserve"> to thank </w:t>
      </w:r>
      <w:r w:rsidR="00180535">
        <w:rPr>
          <w:szCs w:val="24"/>
        </w:rPr>
        <w:t>them</w:t>
      </w:r>
      <w:r w:rsidR="005E2625">
        <w:rPr>
          <w:szCs w:val="24"/>
        </w:rPr>
        <w:t xml:space="preserve"> for their participation</w:t>
      </w:r>
      <w:r w:rsidR="00F821C7">
        <w:rPr>
          <w:szCs w:val="24"/>
        </w:rPr>
        <w:t xml:space="preserve">, </w:t>
      </w:r>
      <w:r w:rsidR="00837DCA">
        <w:rPr>
          <w:szCs w:val="24"/>
        </w:rPr>
        <w:t>the study team</w:t>
      </w:r>
      <w:r w:rsidR="00F821C7" w:rsidRPr="00576C6E">
        <w:rPr>
          <w:szCs w:val="24"/>
        </w:rPr>
        <w:t xml:space="preserve"> </w:t>
      </w:r>
      <w:r w:rsidR="005E2625">
        <w:rPr>
          <w:szCs w:val="24"/>
        </w:rPr>
        <w:t>believe</w:t>
      </w:r>
      <w:r w:rsidR="00837DCA">
        <w:rPr>
          <w:szCs w:val="24"/>
        </w:rPr>
        <w:t>s</w:t>
      </w:r>
      <w:r w:rsidR="005E2625">
        <w:rPr>
          <w:szCs w:val="24"/>
        </w:rPr>
        <w:t xml:space="preserve"> we </w:t>
      </w:r>
      <w:r w:rsidR="00F821C7">
        <w:rPr>
          <w:szCs w:val="24"/>
        </w:rPr>
        <w:t xml:space="preserve">are well-positioned </w:t>
      </w:r>
      <w:r w:rsidR="00F821C7" w:rsidRPr="00576C6E">
        <w:rPr>
          <w:szCs w:val="24"/>
        </w:rPr>
        <w:t xml:space="preserve">to achieve the target </w:t>
      </w:r>
      <w:r w:rsidR="00837DCA">
        <w:rPr>
          <w:szCs w:val="24"/>
        </w:rPr>
        <w:t xml:space="preserve">of a 70 percent </w:t>
      </w:r>
      <w:r w:rsidR="00F821C7" w:rsidRPr="00576C6E">
        <w:rPr>
          <w:szCs w:val="24"/>
        </w:rPr>
        <w:t>response rate</w:t>
      </w:r>
      <w:r w:rsidR="00F821C7">
        <w:rPr>
          <w:szCs w:val="24"/>
        </w:rPr>
        <w:t xml:space="preserve"> for the Long-Term Follow-up Survey</w:t>
      </w:r>
      <w:r w:rsidR="00F821C7" w:rsidRPr="00576C6E">
        <w:rPr>
          <w:szCs w:val="24"/>
        </w:rPr>
        <w:t>. </w:t>
      </w:r>
      <w:r w:rsidR="00F821C7">
        <w:t xml:space="preserve"> </w:t>
      </w:r>
    </w:p>
    <w:p w14:paraId="6D8CAD7D" w14:textId="77777777" w:rsidR="00B213DC" w:rsidRPr="00BA4472" w:rsidRDefault="00B213DC" w:rsidP="006129E9">
      <w:pPr>
        <w:pStyle w:val="Heading3"/>
        <w:rPr>
          <w:color w:val="auto"/>
        </w:rPr>
      </w:pPr>
      <w:bookmarkStart w:id="2" w:name="_Toc402459911"/>
      <w:bookmarkStart w:id="3" w:name="_Toc511642172"/>
      <w:r w:rsidRPr="00BA4472">
        <w:rPr>
          <w:color w:val="auto"/>
        </w:rPr>
        <w:t>Sampling Plan</w:t>
      </w:r>
      <w:bookmarkEnd w:id="2"/>
      <w:bookmarkEnd w:id="3"/>
    </w:p>
    <w:p w14:paraId="48E88F5E" w14:textId="77777777" w:rsidR="00B213DC" w:rsidRPr="009752BD" w:rsidRDefault="00B213DC" w:rsidP="006129E9">
      <w:pPr>
        <w:rPr>
          <w:b/>
          <w:i/>
        </w:rPr>
      </w:pPr>
      <w:r w:rsidRPr="009752BD">
        <w:rPr>
          <w:b/>
          <w:i/>
        </w:rPr>
        <w:t>Jurisdictions</w:t>
      </w:r>
    </w:p>
    <w:p w14:paraId="1CD0E5D6" w14:textId="77777777" w:rsidR="00B213DC" w:rsidRDefault="00B213DC" w:rsidP="006129E9">
      <w:r w:rsidRPr="009752BD">
        <w:t xml:space="preserve">Participant enrollment </w:t>
      </w:r>
      <w:r>
        <w:t>was implemented</w:t>
      </w:r>
      <w:r w:rsidRPr="009752BD">
        <w:t xml:space="preserve"> in 28 jurisdictions. </w:t>
      </w:r>
      <w:r>
        <w:t>T</w:t>
      </w:r>
      <w:r w:rsidRPr="009752BD">
        <w:t>he primary criterio</w:t>
      </w:r>
      <w:r>
        <w:t>n for selecting jurisdictions was</w:t>
      </w:r>
      <w:r w:rsidRPr="009752BD">
        <w:t xml:space="preserve"> the expected volume of eligible study participants. However, the process of selecting </w:t>
      </w:r>
      <w:r>
        <w:t>the sample of jurisdictions</w:t>
      </w:r>
      <w:r w:rsidRPr="009752BD">
        <w:t xml:space="preserve"> also consider</w:t>
      </w:r>
      <w:r>
        <w:t>ed</w:t>
      </w:r>
      <w:r w:rsidRPr="009752BD">
        <w:t xml:space="preserve"> the ability of local in-person housing counseling agencies to provide services to enrolled participants throughout the jurisdiction. </w:t>
      </w:r>
      <w:r>
        <w:t xml:space="preserve">Exhibit B.1 lists the study’s 28 jurisdictions. </w:t>
      </w:r>
    </w:p>
    <w:p w14:paraId="150E10AC" w14:textId="77777777" w:rsidR="00B213DC" w:rsidRPr="009752BD" w:rsidRDefault="00B213DC" w:rsidP="006129E9">
      <w:pPr>
        <w:keepNext/>
        <w:keepLines/>
        <w:widowControl w:val="0"/>
        <w:tabs>
          <w:tab w:val="left" w:pos="1440"/>
        </w:tabs>
        <w:spacing w:after="120"/>
        <w:rPr>
          <w:rFonts w:ascii="Arial" w:hAnsi="Arial"/>
          <w:b/>
          <w:bCs/>
        </w:rPr>
      </w:pPr>
      <w:r>
        <w:rPr>
          <w:rFonts w:ascii="Arial" w:hAnsi="Arial"/>
          <w:b/>
          <w:bCs/>
        </w:rPr>
        <w:t xml:space="preserve">Exhibit B.1: The Study’s 28 Jurisdictions </w:t>
      </w:r>
    </w:p>
    <w:tbl>
      <w:tblPr>
        <w:tblW w:w="7986"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7986"/>
      </w:tblGrid>
      <w:tr w:rsidR="00B213DC" w:rsidRPr="009752BD" w14:paraId="07723A40" w14:textId="77777777" w:rsidTr="006129E9">
        <w:tc>
          <w:tcPr>
            <w:tcW w:w="7986" w:type="dxa"/>
            <w:tcBorders>
              <w:left w:val="nil"/>
            </w:tcBorders>
            <w:shd w:val="clear" w:color="auto" w:fill="C3C6A8"/>
          </w:tcPr>
          <w:p w14:paraId="57A2465D" w14:textId="77777777" w:rsidR="00B213DC" w:rsidRPr="009752BD" w:rsidRDefault="00B213DC" w:rsidP="006A075B">
            <w:pPr>
              <w:spacing w:before="20" w:after="20" w:line="240" w:lineRule="auto"/>
              <w:rPr>
                <w:rFonts w:ascii="Arial" w:hAnsi="Arial" w:cs="Arial"/>
                <w:b/>
                <w:color w:val="000000" w:themeColor="text1"/>
                <w:sz w:val="20"/>
              </w:rPr>
            </w:pPr>
            <w:r>
              <w:rPr>
                <w:rFonts w:ascii="Arial" w:hAnsi="Arial" w:cs="Arial"/>
                <w:b/>
                <w:color w:val="000000" w:themeColor="text1"/>
                <w:sz w:val="20"/>
              </w:rPr>
              <w:t>List of 28 Study Sites</w:t>
            </w:r>
          </w:p>
        </w:tc>
      </w:tr>
      <w:tr w:rsidR="00B213DC" w:rsidRPr="009752BD" w14:paraId="3593D3AC" w14:textId="77777777" w:rsidTr="006129E9">
        <w:trPr>
          <w:trHeight w:hRule="exact" w:val="302"/>
        </w:trPr>
        <w:tc>
          <w:tcPr>
            <w:tcW w:w="7986" w:type="dxa"/>
            <w:vAlign w:val="bottom"/>
          </w:tcPr>
          <w:p w14:paraId="44316245" w14:textId="77777777" w:rsidR="00B213DC" w:rsidRPr="009752BD" w:rsidRDefault="00B213DC" w:rsidP="006A075B">
            <w:pPr>
              <w:spacing w:after="0"/>
              <w:rPr>
                <w:rFonts w:ascii="Arial" w:hAnsi="Arial"/>
                <w:sz w:val="18"/>
              </w:rPr>
            </w:pPr>
            <w:r w:rsidRPr="009752BD">
              <w:rPr>
                <w:rFonts w:ascii="Tahoma" w:hAnsi="Tahoma" w:cs="Tahoma"/>
                <w:color w:val="000000"/>
                <w:sz w:val="20"/>
              </w:rPr>
              <w:t>Atlanta-Sandy Springs-Marietta, GA</w:t>
            </w:r>
          </w:p>
        </w:tc>
      </w:tr>
      <w:tr w:rsidR="00B213DC" w:rsidRPr="009752BD" w14:paraId="54F28A3D" w14:textId="77777777" w:rsidTr="006129E9">
        <w:trPr>
          <w:trHeight w:hRule="exact" w:val="302"/>
        </w:trPr>
        <w:tc>
          <w:tcPr>
            <w:tcW w:w="7986" w:type="dxa"/>
            <w:vAlign w:val="bottom"/>
          </w:tcPr>
          <w:p w14:paraId="032C48D3"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Boston-Cambridge-Quincy, MA-NH</w:t>
            </w:r>
          </w:p>
        </w:tc>
      </w:tr>
      <w:tr w:rsidR="00B213DC" w:rsidRPr="009752BD" w14:paraId="6D22D347" w14:textId="77777777" w:rsidTr="006129E9">
        <w:trPr>
          <w:trHeight w:hRule="exact" w:val="302"/>
        </w:trPr>
        <w:tc>
          <w:tcPr>
            <w:tcW w:w="7986" w:type="dxa"/>
            <w:vAlign w:val="bottom"/>
          </w:tcPr>
          <w:p w14:paraId="77AE19DB" w14:textId="77777777" w:rsidR="00B213DC" w:rsidRPr="009752BD" w:rsidRDefault="00B213DC" w:rsidP="006A075B">
            <w:pPr>
              <w:spacing w:after="0"/>
              <w:rPr>
                <w:rFonts w:ascii="Arial" w:hAnsi="Arial"/>
                <w:sz w:val="18"/>
                <w:lang w:val="es-MX"/>
              </w:rPr>
            </w:pPr>
            <w:r w:rsidRPr="009752BD">
              <w:rPr>
                <w:rFonts w:ascii="Tahoma" w:hAnsi="Tahoma" w:cs="Tahoma"/>
                <w:color w:val="000000"/>
                <w:sz w:val="20"/>
              </w:rPr>
              <w:t>Chicago-Joliet-Naperville, IL-IN-WI</w:t>
            </w:r>
          </w:p>
        </w:tc>
      </w:tr>
      <w:tr w:rsidR="00B213DC" w:rsidRPr="009752BD" w14:paraId="4596075A" w14:textId="77777777" w:rsidTr="006129E9">
        <w:trPr>
          <w:trHeight w:hRule="exact" w:val="302"/>
        </w:trPr>
        <w:tc>
          <w:tcPr>
            <w:tcW w:w="7986" w:type="dxa"/>
            <w:vAlign w:val="bottom"/>
          </w:tcPr>
          <w:p w14:paraId="6C103A35" w14:textId="77777777" w:rsidR="00B213DC" w:rsidRPr="009752BD" w:rsidRDefault="00B213DC" w:rsidP="006A075B">
            <w:pPr>
              <w:spacing w:after="0"/>
              <w:rPr>
                <w:rFonts w:ascii="Arial" w:hAnsi="Arial"/>
                <w:sz w:val="18"/>
              </w:rPr>
            </w:pPr>
            <w:r w:rsidRPr="009752BD">
              <w:rPr>
                <w:rFonts w:ascii="Tahoma" w:hAnsi="Tahoma" w:cs="Tahoma"/>
                <w:color w:val="000000"/>
                <w:sz w:val="20"/>
              </w:rPr>
              <w:t>Dallas-Fort Worth-Arlington, TX</w:t>
            </w:r>
          </w:p>
        </w:tc>
      </w:tr>
      <w:tr w:rsidR="00B213DC" w:rsidRPr="009752BD" w14:paraId="7CC606EB" w14:textId="77777777" w:rsidTr="006129E9">
        <w:trPr>
          <w:trHeight w:hRule="exact" w:val="302"/>
        </w:trPr>
        <w:tc>
          <w:tcPr>
            <w:tcW w:w="7986" w:type="dxa"/>
            <w:vAlign w:val="bottom"/>
          </w:tcPr>
          <w:p w14:paraId="27A4EA87" w14:textId="77777777" w:rsidR="00B213DC" w:rsidRPr="009752BD" w:rsidRDefault="00B213DC" w:rsidP="006A075B">
            <w:pPr>
              <w:spacing w:after="0"/>
              <w:rPr>
                <w:rFonts w:ascii="Arial" w:hAnsi="Arial"/>
                <w:sz w:val="18"/>
              </w:rPr>
            </w:pPr>
            <w:r w:rsidRPr="009752BD">
              <w:rPr>
                <w:rFonts w:ascii="Tahoma" w:hAnsi="Tahoma" w:cs="Tahoma"/>
                <w:color w:val="000000"/>
                <w:sz w:val="20"/>
              </w:rPr>
              <w:t>Detroit-Warren-Livonia, MI</w:t>
            </w:r>
          </w:p>
        </w:tc>
      </w:tr>
      <w:tr w:rsidR="00B213DC" w:rsidRPr="009752BD" w14:paraId="484943AF" w14:textId="77777777" w:rsidTr="006129E9">
        <w:trPr>
          <w:trHeight w:hRule="exact" w:val="302"/>
        </w:trPr>
        <w:tc>
          <w:tcPr>
            <w:tcW w:w="7986" w:type="dxa"/>
            <w:vAlign w:val="bottom"/>
          </w:tcPr>
          <w:p w14:paraId="54046952" w14:textId="77777777" w:rsidR="00B213DC" w:rsidRPr="009752BD" w:rsidRDefault="00B213DC" w:rsidP="006A075B">
            <w:pPr>
              <w:spacing w:after="0"/>
              <w:rPr>
                <w:rFonts w:ascii="Arial" w:hAnsi="Arial"/>
                <w:sz w:val="18"/>
                <w:lang w:val="es-MX"/>
              </w:rPr>
            </w:pPr>
            <w:r w:rsidRPr="009752BD">
              <w:rPr>
                <w:rFonts w:ascii="Tahoma" w:hAnsi="Tahoma" w:cs="Tahoma"/>
                <w:color w:val="000000"/>
                <w:sz w:val="20"/>
              </w:rPr>
              <w:t>Houston-Sugar Land-Baytown, TX</w:t>
            </w:r>
          </w:p>
        </w:tc>
      </w:tr>
      <w:tr w:rsidR="00B213DC" w:rsidRPr="009752BD" w14:paraId="18F52381" w14:textId="77777777" w:rsidTr="006129E9">
        <w:trPr>
          <w:trHeight w:hRule="exact" w:val="302"/>
        </w:trPr>
        <w:tc>
          <w:tcPr>
            <w:tcW w:w="7986" w:type="dxa"/>
            <w:vAlign w:val="bottom"/>
          </w:tcPr>
          <w:p w14:paraId="3DB662B2"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Las Vegas-Paradise, NV</w:t>
            </w:r>
          </w:p>
        </w:tc>
      </w:tr>
      <w:tr w:rsidR="00B213DC" w:rsidRPr="009752BD" w14:paraId="6789DAC9" w14:textId="77777777" w:rsidTr="006129E9">
        <w:trPr>
          <w:trHeight w:hRule="exact" w:val="302"/>
        </w:trPr>
        <w:tc>
          <w:tcPr>
            <w:tcW w:w="7986" w:type="dxa"/>
            <w:vAlign w:val="bottom"/>
          </w:tcPr>
          <w:p w14:paraId="0F5FC15E" w14:textId="77777777" w:rsidR="00B213DC" w:rsidRPr="009752BD" w:rsidRDefault="00B213DC" w:rsidP="006A075B">
            <w:pPr>
              <w:spacing w:after="0"/>
              <w:rPr>
                <w:rFonts w:ascii="Arial" w:hAnsi="Arial"/>
                <w:sz w:val="18"/>
              </w:rPr>
            </w:pPr>
            <w:r w:rsidRPr="009752BD">
              <w:rPr>
                <w:rFonts w:ascii="Tahoma" w:hAnsi="Tahoma" w:cs="Tahoma"/>
                <w:color w:val="000000"/>
                <w:sz w:val="20"/>
              </w:rPr>
              <w:t>Los Angeles-Long Beach-Santa Ana, CA</w:t>
            </w:r>
          </w:p>
        </w:tc>
      </w:tr>
      <w:tr w:rsidR="00B213DC" w:rsidRPr="009752BD" w14:paraId="124965C7" w14:textId="77777777" w:rsidTr="006129E9">
        <w:trPr>
          <w:trHeight w:hRule="exact" w:val="302"/>
        </w:trPr>
        <w:tc>
          <w:tcPr>
            <w:tcW w:w="7986" w:type="dxa"/>
            <w:vAlign w:val="bottom"/>
          </w:tcPr>
          <w:p w14:paraId="2E9B2E3B" w14:textId="77777777" w:rsidR="00B213DC" w:rsidRPr="009752BD" w:rsidRDefault="00B213DC" w:rsidP="006A075B">
            <w:pPr>
              <w:spacing w:after="0"/>
              <w:rPr>
                <w:rFonts w:ascii="Arial" w:hAnsi="Arial"/>
                <w:sz w:val="18"/>
                <w:lang w:val="es-MX"/>
              </w:rPr>
            </w:pPr>
            <w:r w:rsidRPr="009752BD">
              <w:rPr>
                <w:rFonts w:ascii="Tahoma" w:hAnsi="Tahoma" w:cs="Tahoma"/>
                <w:color w:val="000000"/>
                <w:sz w:val="20"/>
              </w:rPr>
              <w:t>Miami-Fort Lauderdale-Pompano Beach, FL</w:t>
            </w:r>
          </w:p>
        </w:tc>
      </w:tr>
      <w:tr w:rsidR="00B213DC" w:rsidRPr="009752BD" w14:paraId="306F0B06" w14:textId="77777777" w:rsidTr="006129E9">
        <w:trPr>
          <w:trHeight w:hRule="exact" w:val="302"/>
        </w:trPr>
        <w:tc>
          <w:tcPr>
            <w:tcW w:w="7986" w:type="dxa"/>
            <w:vAlign w:val="bottom"/>
          </w:tcPr>
          <w:p w14:paraId="24D23CB1" w14:textId="77777777" w:rsidR="00B213DC" w:rsidRPr="009752BD" w:rsidRDefault="00B213DC" w:rsidP="006A075B">
            <w:pPr>
              <w:spacing w:after="0"/>
              <w:rPr>
                <w:rFonts w:ascii="Arial" w:hAnsi="Arial"/>
                <w:sz w:val="18"/>
              </w:rPr>
            </w:pPr>
            <w:r w:rsidRPr="009752BD">
              <w:rPr>
                <w:rFonts w:ascii="Tahoma" w:hAnsi="Tahoma" w:cs="Tahoma"/>
                <w:color w:val="000000"/>
                <w:sz w:val="20"/>
              </w:rPr>
              <w:t>Minneapolis-St. Paul-Bloomington, MN-WI</w:t>
            </w:r>
          </w:p>
        </w:tc>
      </w:tr>
      <w:tr w:rsidR="00B213DC" w:rsidRPr="009752BD" w14:paraId="2DFDF578" w14:textId="77777777" w:rsidTr="006129E9">
        <w:trPr>
          <w:trHeight w:hRule="exact" w:val="302"/>
        </w:trPr>
        <w:tc>
          <w:tcPr>
            <w:tcW w:w="7986" w:type="dxa"/>
            <w:vAlign w:val="bottom"/>
          </w:tcPr>
          <w:p w14:paraId="2F06ABEA" w14:textId="77777777" w:rsidR="00B213DC" w:rsidRPr="009752BD" w:rsidRDefault="00B213DC" w:rsidP="006A075B">
            <w:pPr>
              <w:spacing w:after="0"/>
              <w:rPr>
                <w:rFonts w:ascii="Arial" w:hAnsi="Arial"/>
                <w:sz w:val="18"/>
              </w:rPr>
            </w:pPr>
            <w:r w:rsidRPr="009752BD">
              <w:rPr>
                <w:rFonts w:ascii="Tahoma" w:hAnsi="Tahoma" w:cs="Tahoma"/>
                <w:color w:val="000000"/>
                <w:sz w:val="20"/>
              </w:rPr>
              <w:t>New York-Northern New Jersey-Long Island, NY-NJ-PA</w:t>
            </w:r>
          </w:p>
        </w:tc>
      </w:tr>
      <w:tr w:rsidR="00B213DC" w:rsidRPr="009752BD" w14:paraId="6AA5FAFD" w14:textId="77777777" w:rsidTr="006129E9">
        <w:trPr>
          <w:trHeight w:hRule="exact" w:val="302"/>
        </w:trPr>
        <w:tc>
          <w:tcPr>
            <w:tcW w:w="7986" w:type="dxa"/>
            <w:vAlign w:val="bottom"/>
          </w:tcPr>
          <w:p w14:paraId="02BEBEAF" w14:textId="77777777" w:rsidR="00B213DC" w:rsidRPr="009752BD" w:rsidRDefault="00B213DC" w:rsidP="006A075B">
            <w:pPr>
              <w:spacing w:after="0"/>
              <w:rPr>
                <w:rFonts w:ascii="Arial" w:hAnsi="Arial"/>
                <w:sz w:val="18"/>
              </w:rPr>
            </w:pPr>
            <w:r w:rsidRPr="009752BD">
              <w:rPr>
                <w:rFonts w:ascii="Tahoma" w:hAnsi="Tahoma" w:cs="Tahoma"/>
                <w:color w:val="000000"/>
                <w:sz w:val="20"/>
              </w:rPr>
              <w:t>Orlando-Kissimmee-Sanford, FL</w:t>
            </w:r>
          </w:p>
        </w:tc>
      </w:tr>
      <w:tr w:rsidR="00B213DC" w:rsidRPr="009752BD" w14:paraId="576BEA7E" w14:textId="77777777" w:rsidTr="006129E9">
        <w:trPr>
          <w:trHeight w:hRule="exact" w:val="302"/>
        </w:trPr>
        <w:tc>
          <w:tcPr>
            <w:tcW w:w="7986" w:type="dxa"/>
            <w:vAlign w:val="bottom"/>
          </w:tcPr>
          <w:p w14:paraId="7C9ABDAF"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Philadelphia-Camden-Wilmington, PA-NJ-DE-MD</w:t>
            </w:r>
          </w:p>
        </w:tc>
      </w:tr>
      <w:tr w:rsidR="00B213DC" w:rsidRPr="009752BD" w14:paraId="13C9E09A" w14:textId="77777777" w:rsidTr="006129E9">
        <w:trPr>
          <w:trHeight w:hRule="exact" w:val="302"/>
        </w:trPr>
        <w:tc>
          <w:tcPr>
            <w:tcW w:w="7986" w:type="dxa"/>
            <w:vAlign w:val="bottom"/>
          </w:tcPr>
          <w:p w14:paraId="620FD0CB" w14:textId="77777777" w:rsidR="00B213DC" w:rsidRPr="009752BD" w:rsidRDefault="00B213DC" w:rsidP="006A075B">
            <w:pPr>
              <w:spacing w:after="0"/>
              <w:rPr>
                <w:rFonts w:ascii="Arial" w:hAnsi="Arial"/>
                <w:sz w:val="18"/>
              </w:rPr>
            </w:pPr>
            <w:r w:rsidRPr="009752BD">
              <w:rPr>
                <w:rFonts w:ascii="Tahoma" w:hAnsi="Tahoma" w:cs="Tahoma"/>
                <w:color w:val="000000"/>
                <w:sz w:val="20"/>
              </w:rPr>
              <w:t>Phoenix-Mesa-Glendale, AZ</w:t>
            </w:r>
          </w:p>
        </w:tc>
      </w:tr>
      <w:tr w:rsidR="00B213DC" w:rsidRPr="009752BD" w14:paraId="7D55CB92" w14:textId="77777777" w:rsidTr="006129E9">
        <w:trPr>
          <w:trHeight w:hRule="exact" w:val="302"/>
        </w:trPr>
        <w:tc>
          <w:tcPr>
            <w:tcW w:w="7986" w:type="dxa"/>
            <w:vAlign w:val="bottom"/>
          </w:tcPr>
          <w:p w14:paraId="42BA3A27"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Portland-Vancouver-Hillsboro, OR-WA</w:t>
            </w:r>
          </w:p>
        </w:tc>
      </w:tr>
      <w:tr w:rsidR="00B213DC" w:rsidRPr="009752BD" w14:paraId="5926B37A" w14:textId="77777777" w:rsidTr="006129E9">
        <w:trPr>
          <w:trHeight w:hRule="exact" w:val="302"/>
        </w:trPr>
        <w:tc>
          <w:tcPr>
            <w:tcW w:w="7986" w:type="dxa"/>
            <w:vAlign w:val="bottom"/>
          </w:tcPr>
          <w:p w14:paraId="5F6FA556"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Raleigh-Cary, NC</w:t>
            </w:r>
          </w:p>
        </w:tc>
      </w:tr>
      <w:tr w:rsidR="00B213DC" w:rsidRPr="009752BD" w14:paraId="3231847E" w14:textId="77777777" w:rsidTr="006129E9">
        <w:trPr>
          <w:trHeight w:hRule="exact" w:val="302"/>
        </w:trPr>
        <w:tc>
          <w:tcPr>
            <w:tcW w:w="7986" w:type="dxa"/>
            <w:vAlign w:val="bottom"/>
          </w:tcPr>
          <w:p w14:paraId="3CC023FD" w14:textId="77777777" w:rsidR="00B213DC" w:rsidRPr="009752BD" w:rsidRDefault="00B213DC" w:rsidP="006A075B">
            <w:pPr>
              <w:spacing w:after="0"/>
              <w:rPr>
                <w:rFonts w:ascii="Arial" w:hAnsi="Arial"/>
                <w:sz w:val="18"/>
              </w:rPr>
            </w:pPr>
            <w:r w:rsidRPr="009752BD">
              <w:rPr>
                <w:rFonts w:ascii="Tahoma" w:hAnsi="Tahoma" w:cs="Tahoma"/>
                <w:color w:val="000000"/>
                <w:sz w:val="20"/>
              </w:rPr>
              <w:t>Riverside-San Bernardino-Ontario, CA</w:t>
            </w:r>
          </w:p>
        </w:tc>
      </w:tr>
      <w:tr w:rsidR="00B213DC" w:rsidRPr="009752BD" w14:paraId="1B4F736A" w14:textId="77777777" w:rsidTr="006129E9">
        <w:trPr>
          <w:trHeight w:hRule="exact" w:val="302"/>
        </w:trPr>
        <w:tc>
          <w:tcPr>
            <w:tcW w:w="7986" w:type="dxa"/>
            <w:vAlign w:val="bottom"/>
          </w:tcPr>
          <w:p w14:paraId="30B4989C" w14:textId="77777777" w:rsidR="00B213DC" w:rsidRPr="009752BD" w:rsidRDefault="00B213DC" w:rsidP="006A075B">
            <w:pPr>
              <w:spacing w:after="0"/>
              <w:rPr>
                <w:rFonts w:ascii="Arial" w:hAnsi="Arial"/>
                <w:sz w:val="18"/>
              </w:rPr>
            </w:pPr>
            <w:r w:rsidRPr="009752BD">
              <w:rPr>
                <w:rFonts w:ascii="Tahoma" w:hAnsi="Tahoma" w:cs="Tahoma"/>
                <w:color w:val="000000"/>
                <w:sz w:val="20"/>
              </w:rPr>
              <w:t>Sacramento-Arden-Arcade-Roseville, CA</w:t>
            </w:r>
          </w:p>
        </w:tc>
      </w:tr>
      <w:tr w:rsidR="00B213DC" w:rsidRPr="009752BD" w14:paraId="18CA236C" w14:textId="77777777" w:rsidTr="006129E9">
        <w:trPr>
          <w:trHeight w:hRule="exact" w:val="302"/>
        </w:trPr>
        <w:tc>
          <w:tcPr>
            <w:tcW w:w="7986" w:type="dxa"/>
            <w:vAlign w:val="bottom"/>
          </w:tcPr>
          <w:p w14:paraId="520B5BB6"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San Antonio-New Braunfels, TX</w:t>
            </w:r>
          </w:p>
        </w:tc>
      </w:tr>
      <w:tr w:rsidR="00B213DC" w:rsidRPr="009752BD" w14:paraId="0CAD9914" w14:textId="77777777" w:rsidTr="006129E9">
        <w:trPr>
          <w:trHeight w:hRule="exact" w:val="302"/>
        </w:trPr>
        <w:tc>
          <w:tcPr>
            <w:tcW w:w="7986" w:type="dxa"/>
            <w:vAlign w:val="bottom"/>
          </w:tcPr>
          <w:p w14:paraId="1DBD9298" w14:textId="77777777" w:rsidR="00B213DC" w:rsidRPr="009752BD" w:rsidRDefault="00B213DC" w:rsidP="006A075B">
            <w:pPr>
              <w:spacing w:after="0"/>
              <w:rPr>
                <w:rFonts w:ascii="Arial" w:hAnsi="Arial"/>
                <w:sz w:val="18"/>
              </w:rPr>
            </w:pPr>
            <w:r w:rsidRPr="009752BD">
              <w:rPr>
                <w:rFonts w:ascii="Tahoma" w:hAnsi="Tahoma" w:cs="Tahoma"/>
                <w:color w:val="000000"/>
                <w:sz w:val="20"/>
              </w:rPr>
              <w:t>San Diego-Carlsbad-San Marcos, CA</w:t>
            </w:r>
          </w:p>
        </w:tc>
      </w:tr>
      <w:tr w:rsidR="00B213DC" w:rsidRPr="009752BD" w14:paraId="0AA7A8E5" w14:textId="77777777" w:rsidTr="006129E9">
        <w:trPr>
          <w:trHeight w:hRule="exact" w:val="302"/>
        </w:trPr>
        <w:tc>
          <w:tcPr>
            <w:tcW w:w="7986" w:type="dxa"/>
            <w:vAlign w:val="bottom"/>
          </w:tcPr>
          <w:p w14:paraId="7AD64F28" w14:textId="77777777" w:rsidR="00B213DC" w:rsidRPr="009752BD" w:rsidRDefault="00B213DC" w:rsidP="006A075B">
            <w:pPr>
              <w:spacing w:after="0"/>
              <w:rPr>
                <w:rFonts w:ascii="Arial" w:hAnsi="Arial"/>
                <w:sz w:val="18"/>
              </w:rPr>
            </w:pPr>
            <w:r w:rsidRPr="009752BD">
              <w:rPr>
                <w:rFonts w:ascii="Tahoma" w:hAnsi="Tahoma" w:cs="Tahoma"/>
                <w:color w:val="000000"/>
                <w:sz w:val="20"/>
              </w:rPr>
              <w:t>San Francisco-Oakland-Fremont, CA</w:t>
            </w:r>
          </w:p>
        </w:tc>
      </w:tr>
      <w:tr w:rsidR="00B213DC" w:rsidRPr="009752BD" w14:paraId="7488F641" w14:textId="77777777" w:rsidTr="006129E9">
        <w:trPr>
          <w:trHeight w:hRule="exact" w:val="302"/>
        </w:trPr>
        <w:tc>
          <w:tcPr>
            <w:tcW w:w="7986" w:type="dxa"/>
            <w:vAlign w:val="bottom"/>
          </w:tcPr>
          <w:p w14:paraId="5D071A4D" w14:textId="77777777" w:rsidR="00B213DC" w:rsidRPr="009752BD" w:rsidRDefault="00B213DC" w:rsidP="006A075B">
            <w:pPr>
              <w:spacing w:after="0"/>
              <w:rPr>
                <w:rFonts w:ascii="Arial" w:hAnsi="Arial"/>
                <w:sz w:val="18"/>
              </w:rPr>
            </w:pPr>
            <w:r w:rsidRPr="009752BD">
              <w:rPr>
                <w:rFonts w:ascii="Tahoma" w:hAnsi="Tahoma" w:cs="Tahoma"/>
                <w:color w:val="000000"/>
                <w:sz w:val="20"/>
              </w:rPr>
              <w:t>San Jose-Sunnyvale-Santa Clara, CA</w:t>
            </w:r>
          </w:p>
        </w:tc>
      </w:tr>
      <w:tr w:rsidR="00B213DC" w:rsidRPr="009752BD" w14:paraId="766817EA" w14:textId="77777777" w:rsidTr="006129E9">
        <w:trPr>
          <w:trHeight w:hRule="exact" w:val="302"/>
        </w:trPr>
        <w:tc>
          <w:tcPr>
            <w:tcW w:w="7986" w:type="dxa"/>
            <w:vAlign w:val="bottom"/>
          </w:tcPr>
          <w:p w14:paraId="455C063C" w14:textId="77777777" w:rsidR="00B213DC" w:rsidRPr="009752BD" w:rsidRDefault="00B213DC" w:rsidP="006A075B">
            <w:pPr>
              <w:spacing w:after="0"/>
              <w:rPr>
                <w:rFonts w:ascii="Arial" w:hAnsi="Arial"/>
                <w:sz w:val="18"/>
              </w:rPr>
            </w:pPr>
            <w:r w:rsidRPr="009752BD">
              <w:rPr>
                <w:rFonts w:ascii="Tahoma" w:hAnsi="Tahoma" w:cs="Tahoma"/>
                <w:color w:val="000000"/>
                <w:sz w:val="20"/>
              </w:rPr>
              <w:t>Seattle-Tacoma-Bellevue, WA</w:t>
            </w:r>
          </w:p>
        </w:tc>
      </w:tr>
      <w:tr w:rsidR="00B213DC" w:rsidRPr="009752BD" w14:paraId="18643E54" w14:textId="77777777" w:rsidTr="006129E9">
        <w:trPr>
          <w:trHeight w:hRule="exact" w:val="302"/>
        </w:trPr>
        <w:tc>
          <w:tcPr>
            <w:tcW w:w="7986" w:type="dxa"/>
            <w:vAlign w:val="bottom"/>
          </w:tcPr>
          <w:p w14:paraId="126A7056"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St. Louis, MO-IL</w:t>
            </w:r>
          </w:p>
        </w:tc>
      </w:tr>
      <w:tr w:rsidR="00B213DC" w:rsidRPr="009752BD" w14:paraId="213F9797" w14:textId="77777777" w:rsidTr="006129E9">
        <w:trPr>
          <w:trHeight w:hRule="exact" w:val="302"/>
        </w:trPr>
        <w:tc>
          <w:tcPr>
            <w:tcW w:w="7986" w:type="dxa"/>
            <w:vAlign w:val="bottom"/>
          </w:tcPr>
          <w:p w14:paraId="58B7E100"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t>Stockton, CA</w:t>
            </w:r>
          </w:p>
        </w:tc>
      </w:tr>
      <w:tr w:rsidR="00B213DC" w:rsidRPr="009752BD" w14:paraId="6F47D996" w14:textId="77777777" w:rsidTr="006129E9">
        <w:trPr>
          <w:trHeight w:hRule="exact" w:val="302"/>
        </w:trPr>
        <w:tc>
          <w:tcPr>
            <w:tcW w:w="7986" w:type="dxa"/>
            <w:vAlign w:val="bottom"/>
          </w:tcPr>
          <w:p w14:paraId="1FA7467D" w14:textId="77777777" w:rsidR="00B213DC" w:rsidRPr="009752BD" w:rsidRDefault="00B213DC" w:rsidP="006A075B">
            <w:pPr>
              <w:spacing w:after="0"/>
              <w:rPr>
                <w:rFonts w:ascii="Arial" w:hAnsi="Arial"/>
                <w:sz w:val="18"/>
              </w:rPr>
            </w:pPr>
            <w:r w:rsidRPr="009752BD">
              <w:rPr>
                <w:rFonts w:ascii="Tahoma" w:hAnsi="Tahoma" w:cs="Tahoma"/>
                <w:color w:val="000000"/>
                <w:sz w:val="20"/>
              </w:rPr>
              <w:t>Tampa-St. Petersburg-Clearwater, FL</w:t>
            </w:r>
          </w:p>
        </w:tc>
      </w:tr>
      <w:tr w:rsidR="00B213DC" w:rsidRPr="009752BD" w14:paraId="0B975F12" w14:textId="77777777" w:rsidTr="006129E9">
        <w:trPr>
          <w:trHeight w:hRule="exact" w:val="302"/>
        </w:trPr>
        <w:tc>
          <w:tcPr>
            <w:tcW w:w="7986" w:type="dxa"/>
            <w:vAlign w:val="bottom"/>
          </w:tcPr>
          <w:p w14:paraId="327347D4" w14:textId="77777777" w:rsidR="00B213DC" w:rsidRPr="009752BD" w:rsidRDefault="00B213DC" w:rsidP="006A075B">
            <w:pPr>
              <w:spacing w:after="0"/>
              <w:rPr>
                <w:rFonts w:ascii="Arial" w:hAnsi="Arial"/>
                <w:sz w:val="18"/>
              </w:rPr>
            </w:pPr>
            <w:r w:rsidRPr="009752BD">
              <w:rPr>
                <w:rFonts w:ascii="Tahoma" w:hAnsi="Tahoma" w:cs="Tahoma"/>
                <w:color w:val="000000"/>
                <w:sz w:val="20"/>
              </w:rPr>
              <w:t>Virginia Beach-Norfolk-Newport News, VA-NC</w:t>
            </w:r>
          </w:p>
        </w:tc>
      </w:tr>
      <w:tr w:rsidR="00B213DC" w:rsidRPr="009752BD" w14:paraId="72A6C891" w14:textId="77777777" w:rsidTr="006129E9">
        <w:trPr>
          <w:trHeight w:hRule="exact" w:val="302"/>
        </w:trPr>
        <w:tc>
          <w:tcPr>
            <w:tcW w:w="7986" w:type="dxa"/>
            <w:tcBorders>
              <w:top w:val="single" w:sz="8" w:space="0" w:color="666969"/>
              <w:left w:val="single" w:sz="8" w:space="0" w:color="666969"/>
              <w:bottom w:val="single" w:sz="8" w:space="0" w:color="666969"/>
              <w:right w:val="single" w:sz="8" w:space="0" w:color="666969"/>
            </w:tcBorders>
            <w:shd w:val="clear" w:color="auto" w:fill="auto"/>
            <w:vAlign w:val="bottom"/>
          </w:tcPr>
          <w:p w14:paraId="4926DADA" w14:textId="77777777" w:rsidR="00B213DC" w:rsidRPr="009752BD" w:rsidRDefault="00B213DC" w:rsidP="006A075B">
            <w:pPr>
              <w:spacing w:after="0"/>
              <w:rPr>
                <w:rFonts w:ascii="Tahoma" w:hAnsi="Tahoma" w:cs="Tahoma"/>
                <w:color w:val="000000"/>
                <w:sz w:val="20"/>
              </w:rPr>
            </w:pPr>
            <w:r w:rsidRPr="009752BD">
              <w:rPr>
                <w:rFonts w:ascii="Tahoma" w:hAnsi="Tahoma" w:cs="Tahoma"/>
                <w:color w:val="000000"/>
                <w:sz w:val="20"/>
              </w:rPr>
              <w:lastRenderedPageBreak/>
              <w:t>Washington-Arlington-Alexandria, DC-VA-MD-WV</w:t>
            </w:r>
          </w:p>
        </w:tc>
      </w:tr>
    </w:tbl>
    <w:p w14:paraId="227C84C4" w14:textId="2D59C4FD" w:rsidR="006F681F" w:rsidRPr="00BA4472" w:rsidRDefault="00B213DC" w:rsidP="00BA4472">
      <w:pPr>
        <w:spacing w:before="120"/>
        <w:rPr>
          <w:rFonts w:ascii="Arial" w:hAnsi="Arial" w:cs="Arial"/>
          <w:sz w:val="18"/>
        </w:rPr>
      </w:pPr>
      <w:r w:rsidRPr="009752BD">
        <w:rPr>
          <w:rFonts w:ascii="Arial" w:hAnsi="Arial" w:cs="Arial"/>
          <w:sz w:val="18"/>
        </w:rPr>
        <w:t xml:space="preserve">Note: The 28 jurisdictions </w:t>
      </w:r>
      <w:r>
        <w:rPr>
          <w:rFonts w:ascii="Arial" w:hAnsi="Arial" w:cs="Arial"/>
          <w:sz w:val="18"/>
        </w:rPr>
        <w:t xml:space="preserve">listed above </w:t>
      </w:r>
      <w:r w:rsidRPr="009752BD">
        <w:rPr>
          <w:rFonts w:ascii="Arial" w:hAnsi="Arial" w:cs="Arial"/>
          <w:sz w:val="18"/>
        </w:rPr>
        <w:t xml:space="preserve">are ordered alphabetically.  </w:t>
      </w:r>
    </w:p>
    <w:p w14:paraId="78EFB25A" w14:textId="3900E38C" w:rsidR="00B213DC" w:rsidRPr="009752BD" w:rsidRDefault="00B213DC" w:rsidP="006129E9">
      <w:pPr>
        <w:rPr>
          <w:b/>
          <w:i/>
        </w:rPr>
      </w:pPr>
      <w:r w:rsidRPr="009752BD">
        <w:rPr>
          <w:b/>
          <w:i/>
        </w:rPr>
        <w:t>Lenders</w:t>
      </w:r>
    </w:p>
    <w:p w14:paraId="1E9A263A" w14:textId="77777777" w:rsidR="00B213DC" w:rsidRPr="009752BD" w:rsidRDefault="00B213DC" w:rsidP="006129E9">
      <w:pPr>
        <w:tabs>
          <w:tab w:val="num" w:pos="-90"/>
        </w:tabs>
      </w:pPr>
      <w:r w:rsidRPr="009752BD">
        <w:t>The study team has partnered with three national lenders</w:t>
      </w:r>
      <w:r>
        <w:t xml:space="preserve"> </w:t>
      </w:r>
      <w:r w:rsidRPr="009752BD">
        <w:t xml:space="preserve">for the implementation of this study. The participating lenders were chosen purposively, based on their volume of loan originations and willingness to partner for this study. </w:t>
      </w:r>
    </w:p>
    <w:p w14:paraId="1AB9388B" w14:textId="77777777" w:rsidR="00B213DC" w:rsidRPr="009752BD" w:rsidRDefault="00B213DC" w:rsidP="006129E9">
      <w:pPr>
        <w:numPr>
          <w:ilvl w:val="3"/>
          <w:numId w:val="4"/>
        </w:numPr>
        <w:tabs>
          <w:tab w:val="num" w:pos="-90"/>
        </w:tabs>
        <w:rPr>
          <w:b/>
          <w:i/>
        </w:rPr>
      </w:pPr>
      <w:r w:rsidRPr="009752BD">
        <w:rPr>
          <w:b/>
          <w:i/>
        </w:rPr>
        <w:t>Study Participants</w:t>
      </w:r>
    </w:p>
    <w:p w14:paraId="4EBAEC2F" w14:textId="2E0668D4" w:rsidR="00B213DC" w:rsidRDefault="00B213DC" w:rsidP="006129E9">
      <w:r w:rsidRPr="009752BD">
        <w:t xml:space="preserve">The universe of potential study participants </w:t>
      </w:r>
      <w:r w:rsidR="00BA7C8C">
        <w:t>wa</w:t>
      </w:r>
      <w:r w:rsidRPr="009752BD">
        <w:t xml:space="preserve">s </w:t>
      </w:r>
      <w:r>
        <w:t>defined in the previous submission (</w:t>
      </w:r>
      <w:r w:rsidRPr="00D20567">
        <w:t>Control #2528</w:t>
      </w:r>
      <w:r>
        <w:t>-0293) and</w:t>
      </w:r>
      <w:r w:rsidRPr="009752BD">
        <w:t xml:space="preserve"> include</w:t>
      </w:r>
      <w:r w:rsidR="00BA7C8C">
        <w:t>s</w:t>
      </w:r>
      <w:r w:rsidRPr="009752BD">
        <w:t xml:space="preserve"> all eligible customers who communicate</w:t>
      </w:r>
      <w:r w:rsidR="00BA7C8C">
        <w:t>d</w:t>
      </w:r>
      <w:r w:rsidRPr="009752BD">
        <w:t xml:space="preserve"> with a study participating lender during the enrollment period</w:t>
      </w:r>
      <w:r>
        <w:t xml:space="preserve">, excluding </w:t>
      </w:r>
      <w:r w:rsidR="00BA7C8C">
        <w:t>customers who could not</w:t>
      </w:r>
      <w:r w:rsidRPr="009752BD">
        <w:t xml:space="preserve"> be contacted, refuse</w:t>
      </w:r>
      <w:r w:rsidR="00BA7C8C">
        <w:t>d</w:t>
      </w:r>
      <w:r w:rsidRPr="009752BD">
        <w:t xml:space="preserve"> the initial offer of study participation, d</w:t>
      </w:r>
      <w:r w:rsidR="00BA7C8C">
        <w:t>id</w:t>
      </w:r>
      <w:r w:rsidRPr="009752BD">
        <w:t xml:space="preserve"> not meet the study’s eligibility requirements, or d</w:t>
      </w:r>
      <w:r w:rsidR="00BA7C8C">
        <w:t>id</w:t>
      </w:r>
      <w:r w:rsidRPr="009752BD">
        <w:t xml:space="preserve"> not provide consent. The sample of </w:t>
      </w:r>
      <w:r>
        <w:t xml:space="preserve">enrolled </w:t>
      </w:r>
      <w:r w:rsidRPr="009752BD">
        <w:t xml:space="preserve">study participants </w:t>
      </w:r>
      <w:r>
        <w:t xml:space="preserve">includes all individuals who enrolled in the study, </w:t>
      </w:r>
      <w:r w:rsidRPr="009752BD">
        <w:t xml:space="preserve">excluding those </w:t>
      </w:r>
      <w:r>
        <w:t xml:space="preserve">individuals who withdrew from the study.  </w:t>
      </w:r>
    </w:p>
    <w:p w14:paraId="7403B00C" w14:textId="77777777" w:rsidR="00B213DC" w:rsidRDefault="00B213DC" w:rsidP="006129E9">
      <w:r>
        <w:t xml:space="preserve">No statistical methods are involved in identifying study participants for completion of the Long-Term Follow-Up survey. The study will administer the Long-Term Follow-Up survey to the universe of enrolled study participants. </w:t>
      </w:r>
    </w:p>
    <w:p w14:paraId="4C85A88E" w14:textId="77777777" w:rsidR="00B213DC" w:rsidRDefault="00B213DC" w:rsidP="006129E9">
      <w:pPr>
        <w:pStyle w:val="Heading4"/>
      </w:pPr>
      <w:bookmarkStart w:id="4" w:name="_Toc216772859"/>
      <w:r>
        <w:t>Co-Borrowers</w:t>
      </w:r>
    </w:p>
    <w:p w14:paraId="4892CD87" w14:textId="57042B19" w:rsidR="00B213DC" w:rsidRDefault="00B213DC" w:rsidP="006129E9">
      <w:r>
        <w:t xml:space="preserve">No statistical methods are involved in identifying the co-borrowers for consent collection. The study will seek to collect consent from each co-borrower in the study participant universe. </w:t>
      </w:r>
      <w:r w:rsidRPr="001E55EE">
        <w:t xml:space="preserve">Among </w:t>
      </w:r>
      <w:r>
        <w:t xml:space="preserve">the 59.3 percent of study participants who purchased a home according to responses to the Short-Term Follow-Up Survey, </w:t>
      </w:r>
      <w:r w:rsidRPr="001E55EE">
        <w:t>about one-fourth (25.6 percent) planned to have a co-borrower at baseline, and a similar share of purchasers actually ended up purchasing a home with a co-borrower at follow</w:t>
      </w:r>
      <w:r>
        <w:t>-</w:t>
      </w:r>
      <w:r w:rsidRPr="001E55EE">
        <w:t>up (22.5 percent).</w:t>
      </w:r>
      <w:bookmarkEnd w:id="4"/>
      <w:r w:rsidR="00BA7C8C">
        <w:t xml:space="preserve"> During the administration of the Short-Term Survey the study team collected consents from 257 co-borrowers.</w:t>
      </w:r>
    </w:p>
    <w:p w14:paraId="25F9CD06" w14:textId="08F8D3F4" w:rsidR="003A4ACF" w:rsidRPr="00961721" w:rsidRDefault="003A4ACF" w:rsidP="00961721">
      <w:pPr>
        <w:pStyle w:val="Heading2"/>
        <w:numPr>
          <w:ilvl w:val="0"/>
          <w:numId w:val="33"/>
        </w:numPr>
        <w:rPr>
          <w:b w:val="0"/>
          <w:color w:val="000000"/>
        </w:rPr>
      </w:pPr>
      <w:bookmarkStart w:id="5" w:name="_Toc245609870"/>
      <w:bookmarkStart w:id="6" w:name="_Toc248818774"/>
      <w:bookmarkStart w:id="7" w:name="_Toc280179455"/>
      <w:bookmarkStart w:id="8" w:name="_Toc309811842"/>
      <w:r w:rsidRPr="00961721">
        <w:rPr>
          <w:b w:val="0"/>
          <w:color w:val="000000"/>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14:paraId="7E81D671" w14:textId="77777777" w:rsidR="00622306" w:rsidRPr="00BA4472" w:rsidRDefault="00622306" w:rsidP="00B213DC">
      <w:pPr>
        <w:pStyle w:val="Heading3"/>
        <w:rPr>
          <w:color w:val="auto"/>
        </w:rPr>
      </w:pPr>
      <w:bookmarkStart w:id="9" w:name="_Toc309811843"/>
      <w:bookmarkStart w:id="10" w:name="_Toc402459912"/>
      <w:bookmarkStart w:id="11" w:name="_Toc511642173"/>
      <w:bookmarkEnd w:id="5"/>
      <w:bookmarkEnd w:id="6"/>
      <w:bookmarkEnd w:id="7"/>
      <w:bookmarkEnd w:id="8"/>
      <w:r w:rsidRPr="00BA4472">
        <w:rPr>
          <w:color w:val="auto"/>
        </w:rPr>
        <w:t>Analysis Plan</w:t>
      </w:r>
      <w:bookmarkEnd w:id="9"/>
      <w:bookmarkEnd w:id="10"/>
      <w:bookmarkEnd w:id="11"/>
    </w:p>
    <w:p w14:paraId="560C9C2B" w14:textId="77777777" w:rsidR="00622306" w:rsidRDefault="00622306" w:rsidP="00B213DC">
      <w:pPr>
        <w:pStyle w:val="Heading4"/>
      </w:pPr>
      <w:r w:rsidRPr="009B2BE8">
        <w:rPr>
          <w:b w:val="0"/>
          <w:i w:val="0"/>
        </w:rPr>
        <w:t xml:space="preserve">The previous submission explains the implementation analyses, analysis and documentation of random assignment, and the baseline analyses in detail. This submission discusses the impact analyses which will be conducted </w:t>
      </w:r>
      <w:r w:rsidR="00A17192">
        <w:rPr>
          <w:b w:val="0"/>
          <w:i w:val="0"/>
        </w:rPr>
        <w:t xml:space="preserve">using administrative data and </w:t>
      </w:r>
      <w:r w:rsidRPr="009B2BE8">
        <w:rPr>
          <w:b w:val="0"/>
          <w:i w:val="0"/>
        </w:rPr>
        <w:t xml:space="preserve">the </w:t>
      </w:r>
      <w:r w:rsidR="00FD685A">
        <w:rPr>
          <w:b w:val="0"/>
          <w:i w:val="0"/>
        </w:rPr>
        <w:t>Long-Term Follow-Up Survey</w:t>
      </w:r>
      <w:r w:rsidR="00A17192">
        <w:rPr>
          <w:b w:val="0"/>
          <w:i w:val="0"/>
        </w:rPr>
        <w:t xml:space="preserve"> data. </w:t>
      </w:r>
    </w:p>
    <w:p w14:paraId="3CD005D9" w14:textId="77777777" w:rsidR="00622306" w:rsidRPr="009B2BE8" w:rsidRDefault="00622306" w:rsidP="00B213DC">
      <w:pPr>
        <w:pStyle w:val="Heading4"/>
      </w:pPr>
      <w:r w:rsidRPr="009B2BE8">
        <w:t>Impact Analyses</w:t>
      </w:r>
    </w:p>
    <w:p w14:paraId="30C9CDA6" w14:textId="62CDB19E" w:rsidR="005B0623" w:rsidRPr="00743ECD" w:rsidRDefault="005B0623" w:rsidP="00B213DC">
      <w:pPr>
        <w:rPr>
          <w:szCs w:val="24"/>
        </w:rPr>
      </w:pPr>
      <w:bookmarkStart w:id="12" w:name="_Toc190490672"/>
      <w:bookmarkStart w:id="13" w:name="_Toc248818775"/>
      <w:bookmarkStart w:id="14" w:name="_Toc280179456"/>
      <w:r w:rsidRPr="005B0623">
        <w:t xml:space="preserve">The overarching question guiding this evaluation is, </w:t>
      </w:r>
      <w:r w:rsidRPr="00B213DC">
        <w:rPr>
          <w:i/>
        </w:rPr>
        <w:t>What are the impacts of homebuyer education and counseling on low-, moderate-, and middle-income prospective first-time homebuyers?</w:t>
      </w:r>
      <w:r>
        <w:rPr>
          <w:i/>
        </w:rPr>
        <w:t xml:space="preserve">  </w:t>
      </w:r>
      <w:r w:rsidRPr="00743ECD">
        <w:rPr>
          <w:szCs w:val="24"/>
        </w:rPr>
        <w:t xml:space="preserve">We consider the intervention’s impact on study participants in </w:t>
      </w:r>
      <w:r w:rsidR="00B213DC">
        <w:rPr>
          <w:szCs w:val="24"/>
        </w:rPr>
        <w:t>three broad domains of outcomes</w:t>
      </w:r>
      <w:r w:rsidRPr="00743ECD">
        <w:rPr>
          <w:szCs w:val="24"/>
        </w:rPr>
        <w:t>:</w:t>
      </w:r>
    </w:p>
    <w:p w14:paraId="48E32103" w14:textId="52EC21F4" w:rsidR="005B0623" w:rsidRPr="00743ECD" w:rsidRDefault="005B0623" w:rsidP="006F2193">
      <w:pPr>
        <w:pStyle w:val="Bullets"/>
        <w:ind w:firstLine="0"/>
      </w:pPr>
      <w:r w:rsidRPr="00743ECD">
        <w:rPr>
          <w:b/>
          <w:i/>
        </w:rPr>
        <w:t>Preparedness and search</w:t>
      </w:r>
      <w:r w:rsidRPr="00743ECD">
        <w:t xml:space="preserve">—These outcomes are related to the decision of whether to purchase a home or not, </w:t>
      </w:r>
      <w:r>
        <w:t xml:space="preserve">the </w:t>
      </w:r>
      <w:r w:rsidRPr="00743ECD">
        <w:t xml:space="preserve">search for affordable homes, and selection of appropriate </w:t>
      </w:r>
      <w:r>
        <w:t>mortgage</w:t>
      </w:r>
      <w:r w:rsidRPr="00743ECD">
        <w:t>s.</w:t>
      </w:r>
    </w:p>
    <w:p w14:paraId="4C764369" w14:textId="77777777" w:rsidR="005B0623" w:rsidRPr="00743ECD" w:rsidRDefault="005B0623" w:rsidP="006F2193">
      <w:pPr>
        <w:pStyle w:val="Bullets"/>
        <w:ind w:firstLine="0"/>
        <w:rPr>
          <w:szCs w:val="24"/>
        </w:rPr>
      </w:pPr>
      <w:r w:rsidRPr="00743ECD">
        <w:rPr>
          <w:b/>
          <w:i/>
          <w:szCs w:val="24"/>
        </w:rPr>
        <w:t>Financial capability</w:t>
      </w:r>
      <w:r w:rsidRPr="00743ECD">
        <w:rPr>
          <w:szCs w:val="24"/>
        </w:rPr>
        <w:t>—These outcomes are related to participants’ general financial knowledge, behavior and traditional financial markers such as debts and savings, access to affordable credit, and credit profile.</w:t>
      </w:r>
    </w:p>
    <w:p w14:paraId="137D22B6" w14:textId="6CFF72FE" w:rsidR="00622306" w:rsidRPr="00B213DC" w:rsidRDefault="005B0623" w:rsidP="006F2193">
      <w:pPr>
        <w:pStyle w:val="BulletsLast"/>
        <w:ind w:firstLine="0"/>
        <w:rPr>
          <w:szCs w:val="24"/>
        </w:rPr>
      </w:pPr>
      <w:r w:rsidRPr="00743ECD">
        <w:rPr>
          <w:b/>
          <w:i/>
          <w:szCs w:val="24"/>
        </w:rPr>
        <w:t xml:space="preserve">Sustainable </w:t>
      </w:r>
      <w:r>
        <w:rPr>
          <w:b/>
          <w:i/>
          <w:szCs w:val="24"/>
        </w:rPr>
        <w:t>h</w:t>
      </w:r>
      <w:r w:rsidRPr="00743ECD">
        <w:rPr>
          <w:b/>
          <w:i/>
          <w:szCs w:val="24"/>
        </w:rPr>
        <w:t>omeownership</w:t>
      </w:r>
      <w:r w:rsidRPr="00743ECD">
        <w:rPr>
          <w:szCs w:val="24"/>
        </w:rPr>
        <w:t>—These outcomes are related to homebuyers’ mortgage payment behaviors, including those behaviors that can play a role in avoiding foreclosure and accruing and protecting home equity.</w:t>
      </w:r>
    </w:p>
    <w:p w14:paraId="42A96188" w14:textId="46F0576B" w:rsidR="00622306" w:rsidRPr="009B2BE8" w:rsidRDefault="00622306" w:rsidP="00B213DC">
      <w:r w:rsidRPr="009B2BE8">
        <w:t>The experimental evaluation design balances the pre-existing characteristics of the study participants assigned to each of the treatment groups and to the control group. Therefore, the impact of being offered a treatment can be estimated by simply comparing mean</w:t>
      </w:r>
      <w:r w:rsidR="00A17192">
        <w:t xml:space="preserve"> outcomes of those offered </w:t>
      </w:r>
      <w:r w:rsidRPr="009B2BE8">
        <w:t xml:space="preserve">treatment, relative to those in the control group. For example, if we find that study participants who </w:t>
      </w:r>
      <w:r w:rsidR="00817518">
        <w:t xml:space="preserve">were offered homebuyer education and counseling </w:t>
      </w:r>
      <w:r w:rsidRPr="009B2BE8">
        <w:t xml:space="preserve">have higher homeownership rates than control group members, we can interpret the difference in homeownership rates as the causal impact of </w:t>
      </w:r>
      <w:r w:rsidR="002274C7">
        <w:t>being offered</w:t>
      </w:r>
      <w:r w:rsidRPr="009B2BE8">
        <w:t xml:space="preserve"> </w:t>
      </w:r>
      <w:r w:rsidR="00817518">
        <w:t>homebuyer education and counseling services</w:t>
      </w:r>
      <w:r w:rsidRPr="009B2BE8">
        <w:t xml:space="preserve">. We will estimate this difference in means with multivariate regression, as controlling for </w:t>
      </w:r>
      <w:r w:rsidR="002274C7">
        <w:t xml:space="preserve">baseline characteristics of </w:t>
      </w:r>
      <w:r w:rsidRPr="009B2BE8">
        <w:t>study participant</w:t>
      </w:r>
      <w:r w:rsidR="002274C7">
        <w:t>s</w:t>
      </w:r>
      <w:r w:rsidRPr="009B2BE8">
        <w:t xml:space="preserve"> will increase precision. </w:t>
      </w:r>
      <w:r w:rsidR="005B0623" w:rsidRPr="009B2BE8">
        <w:t xml:space="preserve">These analyses will rely on the data </w:t>
      </w:r>
      <w:r w:rsidR="005B0623">
        <w:t xml:space="preserve">from the baseline data described by the study’s prior </w:t>
      </w:r>
      <w:r w:rsidR="005B0623" w:rsidRPr="009B2BE8">
        <w:t xml:space="preserve">submission for baseline measures </w:t>
      </w:r>
      <w:r w:rsidR="005B0623">
        <w:t xml:space="preserve">of </w:t>
      </w:r>
      <w:r w:rsidR="005B0623" w:rsidRPr="009B2BE8">
        <w:t>covariates</w:t>
      </w:r>
      <w:r w:rsidR="005B0623">
        <w:t>.</w:t>
      </w:r>
      <w:r w:rsidR="005B0623" w:rsidRPr="009B2BE8">
        <w:t xml:space="preserve"> The primary impact analyses for the </w:t>
      </w:r>
      <w:r w:rsidR="00BA7C8C">
        <w:t xml:space="preserve">final </w:t>
      </w:r>
      <w:r w:rsidR="005B0623" w:rsidRPr="009B2BE8">
        <w:t>evaluation will be conducted using outcomes collected</w:t>
      </w:r>
      <w:r w:rsidR="005B0623">
        <w:t xml:space="preserve"> from administrative data and the Long-Term Follow-Up Survey</w:t>
      </w:r>
      <w:r w:rsidR="005B0623" w:rsidRPr="009B2BE8">
        <w:t xml:space="preserve">. </w:t>
      </w:r>
    </w:p>
    <w:p w14:paraId="770F67D5" w14:textId="77777777" w:rsidR="00622306" w:rsidRDefault="00622306" w:rsidP="00B213DC">
      <w:r w:rsidRPr="009B2BE8">
        <w:t xml:space="preserve">The randomization of participants to treatment and control groups produces an estimate that reflects </w:t>
      </w:r>
      <w:r w:rsidRPr="00A17192">
        <w:rPr>
          <w:i/>
        </w:rPr>
        <w:t xml:space="preserve">the </w:t>
      </w:r>
      <w:r w:rsidR="00A17192" w:rsidRPr="00A17192">
        <w:rPr>
          <w:i/>
        </w:rPr>
        <w:t xml:space="preserve">overall </w:t>
      </w:r>
      <w:r w:rsidRPr="00A17192">
        <w:rPr>
          <w:i/>
        </w:rPr>
        <w:t xml:space="preserve">impact of being offered </w:t>
      </w:r>
      <w:r w:rsidR="002274C7" w:rsidRPr="00A17192">
        <w:rPr>
          <w:i/>
        </w:rPr>
        <w:t>homebuyer education and counseling</w:t>
      </w:r>
      <w:r w:rsidRPr="009B2BE8">
        <w:t xml:space="preserve">— referred to as the Intent to Treat (ITT) estimate. Commonly, adjustment of the ITT allows estimation of the impact of </w:t>
      </w:r>
      <w:r w:rsidR="002274C7">
        <w:t xml:space="preserve">homebuyer education and counseling </w:t>
      </w:r>
      <w:r w:rsidRPr="009B2BE8">
        <w:t xml:space="preserve">on those who actually complete the prescribed </w:t>
      </w:r>
      <w:r w:rsidR="002274C7">
        <w:t>homebuyer education and counseling services</w:t>
      </w:r>
      <w:r w:rsidRPr="009B2BE8">
        <w:t xml:space="preserve">—referred to as the Treatment on the Treated (TOT) estimate. The two will differ because of incomplete take-up (i.e., some people who are offered a treatment will choose not to take it up). We will compute TOT estimates by two-stage least squares regression. </w:t>
      </w:r>
      <w:r>
        <w:t xml:space="preserve">  </w:t>
      </w:r>
    </w:p>
    <w:p w14:paraId="250F56E2" w14:textId="77777777" w:rsidR="00BD7FF9" w:rsidRPr="00D3746B" w:rsidRDefault="00BD7FF9" w:rsidP="00B213DC">
      <w:pPr>
        <w:pStyle w:val="BodyText"/>
        <w:rPr>
          <w:szCs w:val="24"/>
        </w:rPr>
      </w:pPr>
      <w:r w:rsidRPr="00D3746B">
        <w:rPr>
          <w:szCs w:val="24"/>
        </w:rPr>
        <w:t xml:space="preserve">As permitted by randomization into multiple treatment groups, </w:t>
      </w:r>
      <w:r>
        <w:rPr>
          <w:szCs w:val="24"/>
        </w:rPr>
        <w:t xml:space="preserve">we will also estimate the impact of the intervention </w:t>
      </w:r>
      <w:r w:rsidRPr="00D3746B">
        <w:rPr>
          <w:i/>
          <w:szCs w:val="24"/>
        </w:rPr>
        <w:t>by</w:t>
      </w:r>
      <w:r w:rsidRPr="00D3746B">
        <w:rPr>
          <w:szCs w:val="24"/>
        </w:rPr>
        <w:t xml:space="preserve"> </w:t>
      </w:r>
      <w:r w:rsidRPr="00D3746B">
        <w:rPr>
          <w:i/>
          <w:szCs w:val="24"/>
        </w:rPr>
        <w:t>service delivery mode</w:t>
      </w:r>
      <w:r>
        <w:rPr>
          <w:i/>
          <w:szCs w:val="24"/>
        </w:rPr>
        <w:t xml:space="preserve">, </w:t>
      </w:r>
      <w:r w:rsidRPr="00A17192">
        <w:rPr>
          <w:szCs w:val="24"/>
        </w:rPr>
        <w:t>as follows:</w:t>
      </w:r>
      <w:r w:rsidRPr="00D3746B" w:rsidDel="001114CE">
        <w:rPr>
          <w:szCs w:val="24"/>
        </w:rPr>
        <w:t xml:space="preserve"> </w:t>
      </w:r>
    </w:p>
    <w:p w14:paraId="5884E35B" w14:textId="77777777" w:rsidR="00BD7FF9" w:rsidRPr="00F94BB9" w:rsidRDefault="00A17192" w:rsidP="006F2193">
      <w:pPr>
        <w:pStyle w:val="Bullets"/>
        <w:ind w:left="720"/>
        <w:rPr>
          <w:szCs w:val="24"/>
        </w:rPr>
      </w:pPr>
      <w:r>
        <w:rPr>
          <w:szCs w:val="24"/>
        </w:rPr>
        <w:t xml:space="preserve">The </w:t>
      </w:r>
      <w:r w:rsidRPr="00A17192">
        <w:rPr>
          <w:i/>
          <w:szCs w:val="24"/>
        </w:rPr>
        <w:t>impact</w:t>
      </w:r>
      <w:r w:rsidR="00BD7FF9" w:rsidRPr="00A17192">
        <w:rPr>
          <w:i/>
          <w:szCs w:val="24"/>
        </w:rPr>
        <w:t xml:space="preserve"> of</w:t>
      </w:r>
      <w:r w:rsidRPr="00A17192">
        <w:rPr>
          <w:i/>
          <w:szCs w:val="24"/>
        </w:rPr>
        <w:t xml:space="preserve"> offering</w:t>
      </w:r>
      <w:r w:rsidR="00BD7FF9" w:rsidRPr="00A17192">
        <w:rPr>
          <w:i/>
          <w:szCs w:val="24"/>
        </w:rPr>
        <w:t xml:space="preserve"> in-person homebuyer education and counseling services</w:t>
      </w:r>
      <w:r w:rsidR="00BD7FF9">
        <w:rPr>
          <w:szCs w:val="24"/>
        </w:rPr>
        <w:t>, computed as the difference in mean outcomes between treatment group members offered in-person services and their control group counterparts</w:t>
      </w:r>
      <w:r w:rsidR="00BD7FF9" w:rsidRPr="00F94BB9">
        <w:rPr>
          <w:szCs w:val="24"/>
        </w:rPr>
        <w:t>.</w:t>
      </w:r>
      <w:r w:rsidR="00BD7FF9">
        <w:rPr>
          <w:szCs w:val="24"/>
        </w:rPr>
        <w:t xml:space="preserve"> </w:t>
      </w:r>
    </w:p>
    <w:p w14:paraId="7D13104B" w14:textId="77777777" w:rsidR="00BD7FF9" w:rsidRPr="00E9528A" w:rsidRDefault="00BD7FF9" w:rsidP="006F2193">
      <w:pPr>
        <w:pStyle w:val="Bullets"/>
        <w:ind w:left="720"/>
        <w:rPr>
          <w:szCs w:val="24"/>
        </w:rPr>
      </w:pPr>
      <w:r w:rsidRPr="00E9528A">
        <w:rPr>
          <w:szCs w:val="24"/>
        </w:rPr>
        <w:t xml:space="preserve">The </w:t>
      </w:r>
      <w:r w:rsidR="00A17192" w:rsidRPr="00A17192">
        <w:rPr>
          <w:i/>
          <w:szCs w:val="24"/>
        </w:rPr>
        <w:t>impact</w:t>
      </w:r>
      <w:r w:rsidRPr="00A17192">
        <w:rPr>
          <w:i/>
          <w:szCs w:val="24"/>
        </w:rPr>
        <w:t xml:space="preserve"> of </w:t>
      </w:r>
      <w:r w:rsidR="00A17192" w:rsidRPr="00A17192">
        <w:rPr>
          <w:i/>
          <w:szCs w:val="24"/>
        </w:rPr>
        <w:t xml:space="preserve">offering </w:t>
      </w:r>
      <w:r w:rsidRPr="00A17192">
        <w:rPr>
          <w:i/>
          <w:szCs w:val="24"/>
        </w:rPr>
        <w:t>remote homebuyer education and counseling services</w:t>
      </w:r>
      <w:r>
        <w:rPr>
          <w:szCs w:val="24"/>
        </w:rPr>
        <w:t>, computed as the difference in mean outcomes between treatment group members offered remote services and their control group counterparts</w:t>
      </w:r>
      <w:r w:rsidRPr="00F94BB9">
        <w:rPr>
          <w:szCs w:val="24"/>
        </w:rPr>
        <w:t>.</w:t>
      </w:r>
    </w:p>
    <w:p w14:paraId="5F64FF36" w14:textId="77777777" w:rsidR="00BD7FF9" w:rsidRPr="009B2BE8" w:rsidRDefault="00BD7FF9" w:rsidP="006F2193">
      <w:pPr>
        <w:pStyle w:val="BulletsLast"/>
        <w:ind w:left="720"/>
      </w:pPr>
      <w:r w:rsidRPr="00BD7FF9">
        <w:rPr>
          <w:szCs w:val="24"/>
        </w:rPr>
        <w:t xml:space="preserve">The differential effect of in-person services </w:t>
      </w:r>
      <w:r w:rsidRPr="00BD7FF9">
        <w:rPr>
          <w:i/>
          <w:szCs w:val="24"/>
        </w:rPr>
        <w:t xml:space="preserve">compared to </w:t>
      </w:r>
      <w:r w:rsidRPr="00BD7FF9">
        <w:rPr>
          <w:szCs w:val="24"/>
        </w:rPr>
        <w:t>remote</w:t>
      </w:r>
      <w:r w:rsidRPr="00BD7FF9">
        <w:rPr>
          <w:i/>
          <w:szCs w:val="24"/>
        </w:rPr>
        <w:t xml:space="preserve"> </w:t>
      </w:r>
      <w:r w:rsidRPr="00BD7FF9">
        <w:rPr>
          <w:szCs w:val="24"/>
        </w:rPr>
        <w:t xml:space="preserve">services. </w:t>
      </w:r>
    </w:p>
    <w:p w14:paraId="409F9F19" w14:textId="7CB28126" w:rsidR="00A17192" w:rsidRDefault="00A17192" w:rsidP="00B213DC">
      <w:r w:rsidRPr="00A17192">
        <w:t xml:space="preserve">The impact analyses will </w:t>
      </w:r>
      <w:r>
        <w:t xml:space="preserve">also estimate </w:t>
      </w:r>
      <w:r w:rsidRPr="00A17192">
        <w:t>the intervention’s impacts for subgroups defined by baseline demographic and socioeconomic characteristics of the individual study participants, as well as housing characteristics of the area in which they lived.</w:t>
      </w:r>
      <w:r>
        <w:t xml:space="preserve"> </w:t>
      </w:r>
      <w:r w:rsidR="005B0623">
        <w:t xml:space="preserve"> </w:t>
      </w:r>
      <w:r w:rsidR="005B0623" w:rsidRPr="009B2BE8">
        <w:t xml:space="preserve">For example, subgroups may be defined with respect to borrower personal characteristics (from the baseline survey); financial characteristics (from the </w:t>
      </w:r>
      <w:r w:rsidR="005B0623">
        <w:t>baseline credit bureau data</w:t>
      </w:r>
      <w:r w:rsidR="005B0623" w:rsidRPr="009B2BE8">
        <w:t xml:space="preserve"> and baseline survey); </w:t>
      </w:r>
      <w:r w:rsidR="005B0623">
        <w:t xml:space="preserve">and </w:t>
      </w:r>
      <w:r w:rsidR="005B0623" w:rsidRPr="009B2BE8">
        <w:t>neighborhood characteristics (which requires knowledge of the borrower’s address from the baseline survey</w:t>
      </w:r>
      <w:r w:rsidR="005B0623">
        <w:t xml:space="preserve">). </w:t>
      </w:r>
      <w:r w:rsidRPr="00A17192">
        <w:t>This subgroup analysis is motivated by interest in providing information to policymakers and practitioners about targeting and providing services. Similar to the method used to produce the overall impact, we analyze the subgroup impacts by pooling all of the sample assigned to any treatment group and comparing their mean outcomes to those of the control group.</w:t>
      </w:r>
      <w:r w:rsidR="005B0623" w:rsidRPr="005B0623">
        <w:t xml:space="preserve"> </w:t>
      </w:r>
    </w:p>
    <w:p w14:paraId="46A74BD0" w14:textId="77777777" w:rsidR="00622306" w:rsidRDefault="00622306" w:rsidP="00B213DC">
      <w:r w:rsidRPr="009B2BE8">
        <w:t xml:space="preserve">As an extension to the analyses described above, we will </w:t>
      </w:r>
      <w:r w:rsidR="00235A83" w:rsidRPr="00235A83">
        <w:t>identify an experimental subgroup comprising treatment group members who are “most likely” to participate in services and their control group counterparts who would have been “most likely” to participate in services had they been offered services. Doing so enables us to compute an experimental estimate of the impact on the subgroup of study participants most likely to participate in services.</w:t>
      </w:r>
      <w:r w:rsidR="00235A83">
        <w:t xml:space="preserve"> </w:t>
      </w:r>
    </w:p>
    <w:p w14:paraId="1B143A37" w14:textId="77777777" w:rsidR="00622306" w:rsidRPr="00BA4472" w:rsidRDefault="00622306" w:rsidP="00B213DC">
      <w:pPr>
        <w:keepNext/>
        <w:spacing w:before="60" w:after="120"/>
        <w:outlineLvl w:val="2"/>
        <w:rPr>
          <w:rFonts w:ascii="Arial" w:hAnsi="Arial"/>
          <w:b/>
          <w:sz w:val="20"/>
        </w:rPr>
      </w:pPr>
      <w:bookmarkStart w:id="15" w:name="_Toc309811844"/>
      <w:bookmarkStart w:id="16" w:name="_Toc332372587"/>
      <w:bookmarkStart w:id="17" w:name="_Toc402459913"/>
      <w:bookmarkStart w:id="18" w:name="_Toc511642174"/>
      <w:r w:rsidRPr="00BA4472">
        <w:rPr>
          <w:rFonts w:ascii="Arial" w:hAnsi="Arial"/>
          <w:b/>
          <w:sz w:val="20"/>
        </w:rPr>
        <w:t>Justification of Level of Accuracy</w:t>
      </w:r>
      <w:bookmarkEnd w:id="12"/>
      <w:bookmarkEnd w:id="13"/>
      <w:bookmarkEnd w:id="14"/>
      <w:bookmarkEnd w:id="15"/>
      <w:bookmarkEnd w:id="16"/>
      <w:bookmarkEnd w:id="17"/>
      <w:bookmarkEnd w:id="18"/>
    </w:p>
    <w:p w14:paraId="720A06AD" w14:textId="77777777" w:rsidR="005543EC" w:rsidRDefault="00622306" w:rsidP="00B213DC">
      <w:r w:rsidRPr="009B2BE8">
        <w:t>This section presents minimum detectable effects for the impact analyses discussed in the previous section. Minimum detectable effects (MDEs) are the smallest true effects of an intervention that researchers can expect to detect as statistically significant when analyzing samples of a given size.</w:t>
      </w:r>
      <w:r w:rsidR="00E5659A">
        <w:t xml:space="preserve"> </w:t>
      </w:r>
      <w:r w:rsidR="00120390">
        <w:t>Exhibit B.2</w:t>
      </w:r>
      <w:r w:rsidR="004C58C3">
        <w:t xml:space="preserve"> reports </w:t>
      </w:r>
      <w:r w:rsidR="004C58C3" w:rsidRPr="009B2BE8">
        <w:t>MDE values</w:t>
      </w:r>
      <w:r w:rsidR="004C58C3">
        <w:t xml:space="preserve"> for four different estimates of interest:</w:t>
      </w:r>
      <w:r w:rsidR="005543EC">
        <w:t xml:space="preserve"> (1) </w:t>
      </w:r>
      <w:r w:rsidR="004C58C3" w:rsidRPr="00370030">
        <w:rPr>
          <w:i/>
        </w:rPr>
        <w:t>the overall impact of offering homebuyer education and counseling services</w:t>
      </w:r>
      <w:r w:rsidR="004C58C3">
        <w:t xml:space="preserve">; </w:t>
      </w:r>
      <w:r w:rsidR="005543EC">
        <w:t xml:space="preserve">(2) </w:t>
      </w:r>
      <w:r w:rsidR="004C58C3" w:rsidRPr="00370030">
        <w:rPr>
          <w:i/>
        </w:rPr>
        <w:t>the impact of offering in-person services</w:t>
      </w:r>
      <w:r w:rsidR="004C58C3">
        <w:t xml:space="preserve">; </w:t>
      </w:r>
      <w:r w:rsidR="005543EC">
        <w:t xml:space="preserve">(3) </w:t>
      </w:r>
      <w:r w:rsidR="004C58C3" w:rsidRPr="00370030">
        <w:rPr>
          <w:i/>
        </w:rPr>
        <w:t>the impact of offering remote services</w:t>
      </w:r>
      <w:r w:rsidR="004C58C3">
        <w:t xml:space="preserve">; and </w:t>
      </w:r>
      <w:r w:rsidR="005543EC">
        <w:t xml:space="preserve">(4) </w:t>
      </w:r>
      <w:r w:rsidR="004C58C3" w:rsidRPr="00370030">
        <w:rPr>
          <w:i/>
        </w:rPr>
        <w:t>subgroup impacts</w:t>
      </w:r>
      <w:r w:rsidR="004C58C3">
        <w:t xml:space="preserve">.  </w:t>
      </w:r>
      <w:r w:rsidR="005543EC">
        <w:t>For each estimate of interest, we report the sample size and MDEs for outcomes constructed</w:t>
      </w:r>
      <w:r w:rsidR="005543EC" w:rsidRPr="00D50FF6">
        <w:t xml:space="preserve"> using </w:t>
      </w:r>
      <w:r w:rsidR="005543EC">
        <w:t xml:space="preserve">both </w:t>
      </w:r>
      <w:r w:rsidR="005543EC" w:rsidRPr="00D50FF6">
        <w:t xml:space="preserve">administrative </w:t>
      </w:r>
      <w:r w:rsidR="005543EC">
        <w:t xml:space="preserve">data and Long-Term Follow-Up Survey </w:t>
      </w:r>
      <w:r w:rsidR="005543EC" w:rsidRPr="00D50FF6">
        <w:t>data (for which we anticipate approximately full coverage)</w:t>
      </w:r>
      <w:r w:rsidR="005543EC">
        <w:t xml:space="preserve"> and outcomes constructed</w:t>
      </w:r>
      <w:r w:rsidR="005543EC" w:rsidRPr="00D50FF6">
        <w:t xml:space="preserve"> using </w:t>
      </w:r>
      <w:r w:rsidR="005543EC">
        <w:t xml:space="preserve">only Long-Term Follow-Up Survey </w:t>
      </w:r>
      <w:r w:rsidR="005543EC" w:rsidRPr="00D50FF6">
        <w:t xml:space="preserve">data (for which </w:t>
      </w:r>
      <w:r w:rsidR="00120390">
        <w:t xml:space="preserve">we expect </w:t>
      </w:r>
      <w:r w:rsidR="005543EC">
        <w:t>30 percent missing outcome data</w:t>
      </w:r>
      <w:r w:rsidR="005543EC" w:rsidRPr="00D50FF6">
        <w:t>).</w:t>
      </w:r>
      <w:r w:rsidR="005543EC">
        <w:t xml:space="preserve">  </w:t>
      </w:r>
    </w:p>
    <w:p w14:paraId="05AF0B9E" w14:textId="77777777" w:rsidR="00E5659A" w:rsidRPr="009B2BE8" w:rsidRDefault="00370030" w:rsidP="00B213DC">
      <w:r w:rsidRPr="009B2BE8">
        <w:t>The MDE</w:t>
      </w:r>
      <w:r>
        <w:t>s</w:t>
      </w:r>
      <w:r w:rsidRPr="009B2BE8">
        <w:t xml:space="preserve"> are shown for dichotomous out</w:t>
      </w:r>
      <w:r>
        <w:t>comes—variables like foreclosure or home purchase</w:t>
      </w:r>
      <w:r w:rsidRPr="009B2BE8">
        <w:t xml:space="preserve"> </w:t>
      </w:r>
      <w:r w:rsidR="00120390">
        <w:t xml:space="preserve">— </w:t>
      </w:r>
      <w:r w:rsidRPr="009B2BE8">
        <w:t xml:space="preserve">that take on a value of 0 or 1. </w:t>
      </w:r>
      <w:r>
        <w:t>We presen</w:t>
      </w:r>
      <w:r w:rsidR="00120390">
        <w:t xml:space="preserve">t MDEs for outcomes with </w:t>
      </w:r>
      <w:r>
        <w:t xml:space="preserve">a control group mean of 1 percent (which is equal to the MDE for outcomes with a control group mean of 99 percent); </w:t>
      </w:r>
      <w:r w:rsidR="004C58C3">
        <w:t xml:space="preserve">outcomes with a control group mean of </w:t>
      </w:r>
      <w:r>
        <w:t xml:space="preserve">10 percent (or 90 percent); and </w:t>
      </w:r>
      <w:r w:rsidR="004C58C3">
        <w:t xml:space="preserve">outcomes with a control group mean of </w:t>
      </w:r>
      <w:r>
        <w:t xml:space="preserve">50 percent.  </w:t>
      </w:r>
      <w:r w:rsidR="00E5659A">
        <w:t xml:space="preserve">The MDEs </w:t>
      </w:r>
      <w:r w:rsidR="00E5659A" w:rsidRPr="009B2BE8">
        <w:t xml:space="preserve">are calculated using standard assumptions regarding power, significance level, </w:t>
      </w:r>
      <w:r w:rsidR="00E5659A">
        <w:t xml:space="preserve">and </w:t>
      </w:r>
      <w:r w:rsidR="00E5659A" w:rsidRPr="009B2BE8">
        <w:t>R-squared values. These assumptions are:</w:t>
      </w:r>
      <w:r w:rsidR="00120390">
        <w:t xml:space="preserve"> </w:t>
      </w:r>
      <w:r w:rsidR="00E5659A" w:rsidRPr="009B2BE8">
        <w:t>80 percent power;</w:t>
      </w:r>
      <w:r w:rsidR="00120390">
        <w:t xml:space="preserve"> a</w:t>
      </w:r>
      <w:r w:rsidR="00E5659A" w:rsidRPr="009B2BE8">
        <w:t xml:space="preserve"> two-tailed test at the </w:t>
      </w:r>
      <w:r w:rsidR="00E5659A">
        <w:t>0</w:t>
      </w:r>
      <w:r w:rsidR="00120390">
        <w:t>.10 significance level; and a</w:t>
      </w:r>
      <w:r w:rsidR="00E5659A">
        <w:t>n R-squared value of 0.15</w:t>
      </w:r>
      <w:r w:rsidR="00E5659A" w:rsidRPr="009B2BE8">
        <w:t>.</w:t>
      </w:r>
    </w:p>
    <w:p w14:paraId="275D6E1D" w14:textId="77777777" w:rsidR="00370030" w:rsidRDefault="00370030" w:rsidP="00B213DC">
      <w:r w:rsidRPr="009004FF">
        <w:t xml:space="preserve">Panel A </w:t>
      </w:r>
      <w:r w:rsidR="009004FF">
        <w:t>of Exh</w:t>
      </w:r>
      <w:r w:rsidR="00120390">
        <w:t>ibit B.2</w:t>
      </w:r>
      <w:r w:rsidR="009004FF">
        <w:t xml:space="preserve"> </w:t>
      </w:r>
      <w:r w:rsidRPr="009004FF">
        <w:t xml:space="preserve">presents </w:t>
      </w:r>
      <w:r w:rsidR="005543EC" w:rsidRPr="009004FF">
        <w:t xml:space="preserve">the sample size and </w:t>
      </w:r>
      <w:r w:rsidRPr="009004FF">
        <w:t xml:space="preserve">MDE values for </w:t>
      </w:r>
      <w:r w:rsidR="005543EC" w:rsidRPr="009004FF">
        <w:rPr>
          <w:i/>
        </w:rPr>
        <w:t>the overall impact of offering homebuyer education and counseling services</w:t>
      </w:r>
      <w:r w:rsidR="005543EC" w:rsidRPr="009004FF">
        <w:t xml:space="preserve">, which is computed by comparing outcomes for the </w:t>
      </w:r>
      <w:r w:rsidRPr="009004FF">
        <w:t xml:space="preserve">pooled sample of </w:t>
      </w:r>
      <w:r w:rsidR="005543EC" w:rsidRPr="009004FF">
        <w:t xml:space="preserve">all treatment group members to the </w:t>
      </w:r>
      <w:r w:rsidRPr="009004FF">
        <w:t xml:space="preserve">control group. For a dichotomous outcome variable with a mean control group value of </w:t>
      </w:r>
      <w:r w:rsidR="00281799" w:rsidRPr="009004FF">
        <w:t>50</w:t>
      </w:r>
      <w:r w:rsidR="00F15507">
        <w:t>.0</w:t>
      </w:r>
      <w:r w:rsidR="00281799" w:rsidRPr="009004FF">
        <w:t xml:space="preserve"> percent</w:t>
      </w:r>
      <w:r w:rsidRPr="009004FF">
        <w:t xml:space="preserve">, the MDE estimate </w:t>
      </w:r>
      <w:r w:rsidR="009004FF">
        <w:t>for outcomes constructed using both</w:t>
      </w:r>
      <w:r w:rsidR="00281799" w:rsidRPr="009004FF">
        <w:t xml:space="preserve"> administrative data and survey data is 3.1 p</w:t>
      </w:r>
      <w:r w:rsidRPr="009004FF">
        <w:t>ercentage points. This value implies that the average value for the treatment group would</w:t>
      </w:r>
      <w:r w:rsidR="00281799" w:rsidRPr="009004FF">
        <w:t xml:space="preserve"> have to increase to 53</w:t>
      </w:r>
      <w:r w:rsidRPr="009004FF">
        <w:t>.</w:t>
      </w:r>
      <w:r w:rsidR="00281799" w:rsidRPr="009004FF">
        <w:t>1</w:t>
      </w:r>
      <w:r w:rsidRPr="009004FF">
        <w:t xml:space="preserve"> percent for the impact of counseling to be significant. </w:t>
      </w:r>
      <w:r w:rsidR="009004FF" w:rsidRPr="009004FF">
        <w:t>For outcomes constructed using only survey data, t</w:t>
      </w:r>
      <w:r w:rsidRPr="009004FF">
        <w:t xml:space="preserve">he required average </w:t>
      </w:r>
      <w:r w:rsidR="009004FF" w:rsidRPr="009004FF">
        <w:t xml:space="preserve">treatment group </w:t>
      </w:r>
      <w:r w:rsidRPr="009004FF">
        <w:t xml:space="preserve">value is </w:t>
      </w:r>
      <w:r w:rsidR="009004FF" w:rsidRPr="009004FF">
        <w:t xml:space="preserve">53.7 percent.  </w:t>
      </w:r>
    </w:p>
    <w:p w14:paraId="46560D7A" w14:textId="77777777" w:rsidR="009004FF" w:rsidRDefault="009004FF" w:rsidP="00B213DC">
      <w:r>
        <w:t>Panel B</w:t>
      </w:r>
      <w:r w:rsidRPr="009004FF">
        <w:t xml:space="preserve"> </w:t>
      </w:r>
      <w:r w:rsidR="00120390">
        <w:t>of Exhibit B.2</w:t>
      </w:r>
      <w:r>
        <w:t xml:space="preserve"> </w:t>
      </w:r>
      <w:r w:rsidRPr="009004FF">
        <w:t xml:space="preserve">presents the sample size and MDE values for </w:t>
      </w:r>
      <w:r w:rsidRPr="009004FF">
        <w:rPr>
          <w:i/>
        </w:rPr>
        <w:t>the impact of offering in-person services</w:t>
      </w:r>
      <w:r>
        <w:t xml:space="preserve">. </w:t>
      </w:r>
      <w:r w:rsidRPr="009004FF">
        <w:t>For a dichotomous outcome variable with a mean control group value of 50</w:t>
      </w:r>
      <w:r w:rsidR="00F15507">
        <w:t>.0</w:t>
      </w:r>
      <w:r w:rsidRPr="009004FF">
        <w:t xml:space="preserve"> percent, the MDE estimate </w:t>
      </w:r>
      <w:r>
        <w:t>for outcomes constructed using both</w:t>
      </w:r>
      <w:r w:rsidRPr="009004FF">
        <w:t xml:space="preserve"> administ</w:t>
      </w:r>
      <w:r>
        <w:t>rative data and survey data is 7.4</w:t>
      </w:r>
      <w:r w:rsidRPr="009004FF">
        <w:t xml:space="preserve"> percentage points. This value implies that the average value for the treatment group would</w:t>
      </w:r>
      <w:r>
        <w:t xml:space="preserve"> have to increase to 57</w:t>
      </w:r>
      <w:r w:rsidRPr="009004FF">
        <w:t>.</w:t>
      </w:r>
      <w:r>
        <w:t>4</w:t>
      </w:r>
      <w:r w:rsidRPr="009004FF">
        <w:t xml:space="preserve"> percent for the impact of counseling to be significant. For outcomes constructed using only survey data, the required average treatment group value is </w:t>
      </w:r>
      <w:r>
        <w:t>58.9</w:t>
      </w:r>
      <w:r w:rsidRPr="009004FF">
        <w:t xml:space="preserve"> percent.  </w:t>
      </w:r>
    </w:p>
    <w:p w14:paraId="6E4FCAF9" w14:textId="77777777" w:rsidR="009004FF" w:rsidRPr="009004FF" w:rsidRDefault="009004FF" w:rsidP="00B213DC">
      <w:r>
        <w:t>Panel C</w:t>
      </w:r>
      <w:r w:rsidRPr="009004FF">
        <w:t xml:space="preserve"> </w:t>
      </w:r>
      <w:r w:rsidR="00120390">
        <w:t>of Exhibit B.2</w:t>
      </w:r>
      <w:r>
        <w:t xml:space="preserve"> </w:t>
      </w:r>
      <w:r w:rsidRPr="009004FF">
        <w:t xml:space="preserve">presents the sample size and MDE values for </w:t>
      </w:r>
      <w:r w:rsidRPr="009004FF">
        <w:rPr>
          <w:i/>
        </w:rPr>
        <w:t>the impact of offering remote services</w:t>
      </w:r>
      <w:r>
        <w:t xml:space="preserve">. </w:t>
      </w:r>
      <w:r w:rsidRPr="009004FF">
        <w:t>For a dichotomous outcome variable with a mean control group value of 50</w:t>
      </w:r>
      <w:r w:rsidR="00F15507">
        <w:t>.0</w:t>
      </w:r>
      <w:r w:rsidRPr="009004FF">
        <w:t xml:space="preserve"> percent, the MDE estimate </w:t>
      </w:r>
      <w:r>
        <w:t>for outcomes constructed using both</w:t>
      </w:r>
      <w:r w:rsidRPr="009004FF">
        <w:t xml:space="preserve"> administ</w:t>
      </w:r>
      <w:r>
        <w:t>rative data and survey data is 3.3</w:t>
      </w:r>
      <w:r w:rsidRPr="009004FF">
        <w:t xml:space="preserve"> percentage points. This value implies that the average value for the treatment group would</w:t>
      </w:r>
      <w:r>
        <w:t xml:space="preserve"> have to increase to 53</w:t>
      </w:r>
      <w:r w:rsidRPr="009004FF">
        <w:t>.</w:t>
      </w:r>
      <w:r>
        <w:t>3</w:t>
      </w:r>
      <w:r w:rsidRPr="009004FF">
        <w:t xml:space="preserve"> percent for the impact of counseling to be significant. For outcomes constructed using only survey data, the required average treatment group value is </w:t>
      </w:r>
      <w:r>
        <w:t>53.9</w:t>
      </w:r>
      <w:r w:rsidRPr="009004FF">
        <w:t xml:space="preserve"> percent.  </w:t>
      </w:r>
    </w:p>
    <w:p w14:paraId="062AA181" w14:textId="77777777" w:rsidR="00370030" w:rsidRDefault="009004FF" w:rsidP="00B213DC">
      <w:r>
        <w:t>Panel D</w:t>
      </w:r>
      <w:r w:rsidRPr="009004FF">
        <w:t xml:space="preserve"> </w:t>
      </w:r>
      <w:r w:rsidR="00120390">
        <w:t>of Exhibit B.2</w:t>
      </w:r>
      <w:r>
        <w:t xml:space="preserve"> </w:t>
      </w:r>
      <w:r w:rsidRPr="009004FF">
        <w:t xml:space="preserve">presents the sample size and MDE values for </w:t>
      </w:r>
      <w:r w:rsidRPr="009004FF">
        <w:rPr>
          <w:i/>
        </w:rPr>
        <w:t>subgroup impacts</w:t>
      </w:r>
      <w:r>
        <w:rPr>
          <w:i/>
        </w:rPr>
        <w:t xml:space="preserve">, </w:t>
      </w:r>
      <w:r>
        <w:t>where we assume that each subgroup of interest comprises 50</w:t>
      </w:r>
      <w:r w:rsidR="00F15507">
        <w:t>.0</w:t>
      </w:r>
      <w:r>
        <w:t xml:space="preserve"> percent of the full sample</w:t>
      </w:r>
      <w:r w:rsidRPr="009004FF">
        <w:rPr>
          <w:i/>
        </w:rPr>
        <w:t>.</w:t>
      </w:r>
      <w:r>
        <w:t xml:space="preserve"> </w:t>
      </w:r>
      <w:r w:rsidRPr="009004FF">
        <w:t>For a dichotomous outcome variable with a mean control group value of 50</w:t>
      </w:r>
      <w:r w:rsidR="00F15507">
        <w:t>.0</w:t>
      </w:r>
      <w:r w:rsidRPr="009004FF">
        <w:t xml:space="preserve"> percent, the MDE estimate </w:t>
      </w:r>
      <w:r>
        <w:t>for outcomes constructed using both</w:t>
      </w:r>
      <w:r w:rsidRPr="009004FF">
        <w:t xml:space="preserve"> administ</w:t>
      </w:r>
      <w:r>
        <w:t>rative data and survey data is 4.7</w:t>
      </w:r>
      <w:r w:rsidRPr="009004FF">
        <w:t xml:space="preserve"> percentage points. This value implies that the average value for the treatment group would</w:t>
      </w:r>
      <w:r>
        <w:t xml:space="preserve"> have to increase to 54</w:t>
      </w:r>
      <w:r w:rsidRPr="009004FF">
        <w:t>.</w:t>
      </w:r>
      <w:r>
        <w:t>7</w:t>
      </w:r>
      <w:r w:rsidRPr="009004FF">
        <w:t xml:space="preserve"> percent for the impact of counseling to be significant. For outcomes constructed using only survey data, the required average treatment group value is </w:t>
      </w:r>
      <w:r>
        <w:t>55.6</w:t>
      </w:r>
      <w:r w:rsidRPr="009004FF">
        <w:t xml:space="preserve"> percent.  </w:t>
      </w:r>
    </w:p>
    <w:p w14:paraId="3F39AD0F" w14:textId="1BC88578" w:rsidR="00727044" w:rsidRDefault="00370030" w:rsidP="00B213DC">
      <w:r>
        <w:t>The analysis will also estimate impacts on subgroups defined by characteristics observed after random assignment and exogenous subgroups with small sample sizes. Such analyses will be exploratory in nature, and the study is not designed to confidently detect impacts for these subgroups.</w:t>
      </w:r>
    </w:p>
    <w:p w14:paraId="22B0ECE5" w14:textId="77777777" w:rsidR="004C58C3" w:rsidRPr="00801189" w:rsidRDefault="004C58C3" w:rsidP="00B213DC">
      <w:pPr>
        <w:pStyle w:val="Caption"/>
        <w:spacing w:after="0"/>
        <w:ind w:left="0" w:firstLine="0"/>
        <w:contextualSpacing/>
      </w:pPr>
      <w:r>
        <w:t>Exhibit B.</w:t>
      </w:r>
      <w:r w:rsidR="00120390">
        <w:t>2</w:t>
      </w:r>
      <w:r>
        <w:t>: Sample Sizes and Minimum Detectable Effects For Planned Impact Analyses</w:t>
      </w:r>
    </w:p>
    <w:tbl>
      <w:tblPr>
        <w:tblStyle w:val="Abt"/>
        <w:tblW w:w="9450" w:type="dxa"/>
        <w:tblLayout w:type="fixed"/>
        <w:tblCellMar>
          <w:left w:w="43" w:type="dxa"/>
          <w:right w:w="43" w:type="dxa"/>
        </w:tblCellMar>
        <w:tblLook w:val="04A0" w:firstRow="1" w:lastRow="0" w:firstColumn="1" w:lastColumn="0" w:noHBand="0" w:noVBand="1"/>
      </w:tblPr>
      <w:tblGrid>
        <w:gridCol w:w="3509"/>
        <w:gridCol w:w="106"/>
        <w:gridCol w:w="884"/>
        <w:gridCol w:w="394"/>
        <w:gridCol w:w="596"/>
        <w:gridCol w:w="990"/>
        <w:gridCol w:w="232"/>
        <w:gridCol w:w="758"/>
        <w:gridCol w:w="990"/>
        <w:gridCol w:w="991"/>
      </w:tblGrid>
      <w:tr w:rsidR="004C58C3" w:rsidRPr="003E37EE" w14:paraId="36711888" w14:textId="77777777" w:rsidTr="00B213DC">
        <w:trPr>
          <w:cnfStyle w:val="100000000000" w:firstRow="1" w:lastRow="0" w:firstColumn="0" w:lastColumn="0" w:oddVBand="0" w:evenVBand="0" w:oddHBand="0" w:evenHBand="0" w:firstRowFirstColumn="0" w:firstRowLastColumn="0" w:lastRowFirstColumn="0" w:lastRowLastColumn="0"/>
        </w:trPr>
        <w:tc>
          <w:tcPr>
            <w:tcW w:w="3509" w:type="dxa"/>
            <w:tcBorders>
              <w:top w:val="single" w:sz="18" w:space="0" w:color="000000"/>
              <w:left w:val="nil"/>
              <w:bottom w:val="nil"/>
              <w:right w:val="nil"/>
            </w:tcBorders>
            <w:vAlign w:val="bottom"/>
          </w:tcPr>
          <w:p w14:paraId="787CDBDD" w14:textId="77777777" w:rsidR="004C58C3" w:rsidRPr="003E37EE" w:rsidRDefault="004C58C3" w:rsidP="00D005F0">
            <w:pPr>
              <w:contextualSpacing/>
              <w:rPr>
                <w:sz w:val="18"/>
                <w:szCs w:val="18"/>
              </w:rPr>
            </w:pPr>
          </w:p>
        </w:tc>
        <w:tc>
          <w:tcPr>
            <w:tcW w:w="106" w:type="dxa"/>
            <w:tcBorders>
              <w:top w:val="single" w:sz="18" w:space="0" w:color="000000"/>
              <w:left w:val="nil"/>
              <w:bottom w:val="nil"/>
              <w:right w:val="nil"/>
            </w:tcBorders>
            <w:vAlign w:val="bottom"/>
          </w:tcPr>
          <w:p w14:paraId="690BA2D8" w14:textId="77777777" w:rsidR="004C58C3" w:rsidRPr="003E37EE" w:rsidRDefault="004C58C3" w:rsidP="00D005F0">
            <w:pPr>
              <w:contextualSpacing/>
              <w:jc w:val="center"/>
              <w:rPr>
                <w:sz w:val="18"/>
                <w:szCs w:val="18"/>
              </w:rPr>
            </w:pPr>
          </w:p>
        </w:tc>
        <w:tc>
          <w:tcPr>
            <w:tcW w:w="1278" w:type="dxa"/>
            <w:gridSpan w:val="2"/>
            <w:tcBorders>
              <w:top w:val="single" w:sz="18" w:space="0" w:color="000000"/>
              <w:left w:val="nil"/>
              <w:bottom w:val="nil"/>
              <w:right w:val="nil"/>
            </w:tcBorders>
            <w:vAlign w:val="bottom"/>
          </w:tcPr>
          <w:p w14:paraId="7E733885" w14:textId="77777777" w:rsidR="004C58C3" w:rsidRPr="003E37EE" w:rsidRDefault="004C58C3" w:rsidP="00D005F0">
            <w:pPr>
              <w:contextualSpacing/>
              <w:jc w:val="center"/>
              <w:rPr>
                <w:sz w:val="18"/>
                <w:szCs w:val="18"/>
              </w:rPr>
            </w:pPr>
          </w:p>
        </w:tc>
        <w:tc>
          <w:tcPr>
            <w:tcW w:w="1818" w:type="dxa"/>
            <w:gridSpan w:val="3"/>
            <w:tcBorders>
              <w:top w:val="single" w:sz="18" w:space="0" w:color="000000"/>
              <w:left w:val="nil"/>
              <w:bottom w:val="nil"/>
              <w:right w:val="nil"/>
            </w:tcBorders>
          </w:tcPr>
          <w:p w14:paraId="254C306B" w14:textId="77777777" w:rsidR="004C58C3" w:rsidRDefault="004C58C3" w:rsidP="00D005F0">
            <w:pPr>
              <w:contextualSpacing/>
              <w:jc w:val="center"/>
              <w:rPr>
                <w:sz w:val="18"/>
                <w:szCs w:val="18"/>
              </w:rPr>
            </w:pPr>
          </w:p>
        </w:tc>
        <w:tc>
          <w:tcPr>
            <w:tcW w:w="2739" w:type="dxa"/>
            <w:gridSpan w:val="3"/>
            <w:tcBorders>
              <w:top w:val="single" w:sz="18" w:space="0" w:color="000000"/>
              <w:left w:val="nil"/>
              <w:bottom w:val="single" w:sz="12" w:space="0" w:color="auto"/>
              <w:right w:val="nil"/>
            </w:tcBorders>
            <w:vAlign w:val="bottom"/>
          </w:tcPr>
          <w:p w14:paraId="76EA3423" w14:textId="77777777" w:rsidR="004C58C3" w:rsidRDefault="004C58C3" w:rsidP="00D005F0">
            <w:pPr>
              <w:contextualSpacing/>
              <w:jc w:val="center"/>
              <w:rPr>
                <w:sz w:val="18"/>
                <w:szCs w:val="18"/>
              </w:rPr>
            </w:pPr>
            <w:r>
              <w:rPr>
                <w:sz w:val="18"/>
                <w:szCs w:val="18"/>
              </w:rPr>
              <w:t xml:space="preserve">MDE for Outcomes with </w:t>
            </w:r>
          </w:p>
          <w:p w14:paraId="11DF168F" w14:textId="77777777" w:rsidR="004C58C3" w:rsidRPr="003E37EE" w:rsidRDefault="004C58C3" w:rsidP="00D005F0">
            <w:pPr>
              <w:contextualSpacing/>
              <w:jc w:val="center"/>
              <w:rPr>
                <w:sz w:val="18"/>
                <w:szCs w:val="18"/>
              </w:rPr>
            </w:pPr>
            <w:r>
              <w:rPr>
                <w:sz w:val="18"/>
                <w:szCs w:val="18"/>
              </w:rPr>
              <w:t>Control Group Mean of…</w:t>
            </w:r>
          </w:p>
        </w:tc>
      </w:tr>
      <w:tr w:rsidR="004C58C3" w:rsidRPr="003E37EE" w14:paraId="7B3795EB" w14:textId="77777777" w:rsidTr="00B213DC">
        <w:trPr>
          <w:cnfStyle w:val="000000100000" w:firstRow="0" w:lastRow="0" w:firstColumn="0" w:lastColumn="0" w:oddVBand="0" w:evenVBand="0" w:oddHBand="1" w:evenHBand="0" w:firstRowFirstColumn="0" w:firstRowLastColumn="0" w:lastRowFirstColumn="0" w:lastRowLastColumn="0"/>
        </w:trPr>
        <w:tc>
          <w:tcPr>
            <w:tcW w:w="3509" w:type="dxa"/>
            <w:tcBorders>
              <w:top w:val="nil"/>
              <w:left w:val="nil"/>
              <w:bottom w:val="single" w:sz="18" w:space="0" w:color="auto"/>
              <w:right w:val="nil"/>
            </w:tcBorders>
            <w:shd w:val="clear" w:color="auto" w:fill="C3C6A8" w:themeFill="accent4"/>
            <w:vAlign w:val="bottom"/>
          </w:tcPr>
          <w:p w14:paraId="2BC6F62B" w14:textId="77777777" w:rsidR="004C58C3" w:rsidRPr="003E37EE" w:rsidRDefault="004C58C3" w:rsidP="00D005F0">
            <w:pPr>
              <w:contextualSpacing/>
              <w:jc w:val="center"/>
              <w:rPr>
                <w:sz w:val="18"/>
                <w:szCs w:val="18"/>
              </w:rPr>
            </w:pPr>
            <w:r>
              <w:rPr>
                <w:sz w:val="18"/>
                <w:szCs w:val="18"/>
              </w:rPr>
              <w:t>Outcome</w:t>
            </w:r>
          </w:p>
        </w:tc>
        <w:tc>
          <w:tcPr>
            <w:tcW w:w="990" w:type="dxa"/>
            <w:gridSpan w:val="2"/>
            <w:tcBorders>
              <w:top w:val="nil"/>
              <w:left w:val="nil"/>
              <w:bottom w:val="single" w:sz="18" w:space="0" w:color="auto"/>
              <w:right w:val="nil"/>
            </w:tcBorders>
            <w:shd w:val="clear" w:color="auto" w:fill="C3C6A8" w:themeFill="accent4"/>
            <w:vAlign w:val="bottom"/>
          </w:tcPr>
          <w:p w14:paraId="0ADEA485" w14:textId="77777777" w:rsidR="004C58C3" w:rsidRPr="003E37EE" w:rsidRDefault="004C58C3" w:rsidP="00D005F0">
            <w:pPr>
              <w:contextualSpacing/>
              <w:jc w:val="center"/>
              <w:rPr>
                <w:sz w:val="18"/>
                <w:szCs w:val="18"/>
              </w:rPr>
            </w:pPr>
            <w:r w:rsidRPr="003E37EE">
              <w:rPr>
                <w:sz w:val="18"/>
                <w:szCs w:val="18"/>
              </w:rPr>
              <w:t>Control Group Sample Size</w:t>
            </w:r>
          </w:p>
        </w:tc>
        <w:tc>
          <w:tcPr>
            <w:tcW w:w="990" w:type="dxa"/>
            <w:gridSpan w:val="2"/>
            <w:tcBorders>
              <w:top w:val="nil"/>
              <w:left w:val="nil"/>
              <w:bottom w:val="single" w:sz="18" w:space="0" w:color="auto"/>
              <w:right w:val="nil"/>
            </w:tcBorders>
            <w:shd w:val="clear" w:color="auto" w:fill="C3C6A8" w:themeFill="accent4"/>
            <w:vAlign w:val="bottom"/>
          </w:tcPr>
          <w:p w14:paraId="1A5A2E14" w14:textId="77777777" w:rsidR="004C58C3" w:rsidRPr="003E37EE" w:rsidRDefault="004C58C3" w:rsidP="00D005F0">
            <w:pPr>
              <w:contextualSpacing/>
              <w:jc w:val="center"/>
              <w:rPr>
                <w:sz w:val="18"/>
                <w:szCs w:val="18"/>
              </w:rPr>
            </w:pPr>
            <w:r w:rsidRPr="003E37EE">
              <w:rPr>
                <w:sz w:val="18"/>
                <w:szCs w:val="18"/>
              </w:rPr>
              <w:t>Treatment Group Sample Size</w:t>
            </w:r>
          </w:p>
        </w:tc>
        <w:tc>
          <w:tcPr>
            <w:tcW w:w="990" w:type="dxa"/>
            <w:tcBorders>
              <w:top w:val="nil"/>
              <w:left w:val="nil"/>
              <w:bottom w:val="single" w:sz="18" w:space="0" w:color="auto"/>
              <w:right w:val="nil"/>
            </w:tcBorders>
            <w:shd w:val="clear" w:color="auto" w:fill="C3C6A8" w:themeFill="accent4"/>
            <w:vAlign w:val="bottom"/>
          </w:tcPr>
          <w:p w14:paraId="10A66BBE" w14:textId="77777777" w:rsidR="004C58C3" w:rsidRDefault="004C58C3" w:rsidP="00D005F0">
            <w:pPr>
              <w:contextualSpacing/>
              <w:jc w:val="center"/>
              <w:rPr>
                <w:sz w:val="18"/>
                <w:szCs w:val="18"/>
              </w:rPr>
            </w:pPr>
            <w:r>
              <w:rPr>
                <w:sz w:val="18"/>
                <w:szCs w:val="18"/>
              </w:rPr>
              <w:t xml:space="preserve">Total </w:t>
            </w:r>
          </w:p>
          <w:p w14:paraId="5B800D85" w14:textId="77777777" w:rsidR="004C58C3" w:rsidRPr="003E37EE" w:rsidRDefault="004C58C3" w:rsidP="00D005F0">
            <w:pPr>
              <w:contextualSpacing/>
              <w:jc w:val="center"/>
              <w:rPr>
                <w:sz w:val="18"/>
                <w:szCs w:val="18"/>
              </w:rPr>
            </w:pPr>
            <w:r>
              <w:rPr>
                <w:sz w:val="18"/>
                <w:szCs w:val="18"/>
              </w:rPr>
              <w:t>Sample Size</w:t>
            </w:r>
          </w:p>
        </w:tc>
        <w:tc>
          <w:tcPr>
            <w:tcW w:w="990" w:type="dxa"/>
            <w:gridSpan w:val="2"/>
            <w:tcBorders>
              <w:top w:val="single" w:sz="12" w:space="0" w:color="auto"/>
              <w:left w:val="nil"/>
              <w:bottom w:val="single" w:sz="18" w:space="0" w:color="auto"/>
              <w:right w:val="nil"/>
            </w:tcBorders>
            <w:shd w:val="clear" w:color="auto" w:fill="C3C6A8" w:themeFill="accent4"/>
            <w:vAlign w:val="bottom"/>
          </w:tcPr>
          <w:p w14:paraId="5A939BAE" w14:textId="77777777" w:rsidR="004C58C3" w:rsidRDefault="004C58C3" w:rsidP="00D005F0">
            <w:pPr>
              <w:contextualSpacing/>
              <w:jc w:val="center"/>
              <w:rPr>
                <w:sz w:val="18"/>
                <w:szCs w:val="18"/>
              </w:rPr>
            </w:pPr>
            <w:r>
              <w:rPr>
                <w:sz w:val="18"/>
                <w:szCs w:val="18"/>
              </w:rPr>
              <w:t>1 or 99</w:t>
            </w:r>
          </w:p>
          <w:p w14:paraId="6BC83F6B" w14:textId="77777777" w:rsidR="004C58C3" w:rsidRPr="00BB6F75" w:rsidRDefault="004C58C3" w:rsidP="00D005F0">
            <w:pPr>
              <w:contextualSpacing/>
              <w:jc w:val="center"/>
              <w:rPr>
                <w:sz w:val="18"/>
                <w:szCs w:val="18"/>
              </w:rPr>
            </w:pPr>
            <w:r>
              <w:rPr>
                <w:sz w:val="18"/>
                <w:szCs w:val="18"/>
              </w:rPr>
              <w:t>Percent</w:t>
            </w:r>
          </w:p>
        </w:tc>
        <w:tc>
          <w:tcPr>
            <w:tcW w:w="990" w:type="dxa"/>
            <w:tcBorders>
              <w:top w:val="single" w:sz="12" w:space="0" w:color="auto"/>
              <w:left w:val="nil"/>
              <w:bottom w:val="single" w:sz="18" w:space="0" w:color="auto"/>
              <w:right w:val="nil"/>
            </w:tcBorders>
            <w:shd w:val="clear" w:color="auto" w:fill="C3C6A8" w:themeFill="accent4"/>
            <w:vAlign w:val="bottom"/>
          </w:tcPr>
          <w:p w14:paraId="7C35EA92" w14:textId="77777777" w:rsidR="004C58C3" w:rsidRDefault="004C58C3" w:rsidP="00D005F0">
            <w:pPr>
              <w:contextualSpacing/>
              <w:jc w:val="center"/>
              <w:rPr>
                <w:sz w:val="18"/>
                <w:szCs w:val="18"/>
              </w:rPr>
            </w:pPr>
            <w:r>
              <w:rPr>
                <w:sz w:val="18"/>
                <w:szCs w:val="18"/>
              </w:rPr>
              <w:t>10 or 90</w:t>
            </w:r>
          </w:p>
          <w:p w14:paraId="3B74E93C" w14:textId="77777777" w:rsidR="004C58C3" w:rsidRPr="003E37EE" w:rsidRDefault="004C58C3" w:rsidP="00D005F0">
            <w:pPr>
              <w:contextualSpacing/>
              <w:jc w:val="center"/>
              <w:rPr>
                <w:sz w:val="18"/>
                <w:szCs w:val="18"/>
              </w:rPr>
            </w:pPr>
            <w:r>
              <w:rPr>
                <w:sz w:val="18"/>
                <w:szCs w:val="18"/>
              </w:rPr>
              <w:t>Percent</w:t>
            </w:r>
          </w:p>
        </w:tc>
        <w:tc>
          <w:tcPr>
            <w:tcW w:w="991" w:type="dxa"/>
            <w:tcBorders>
              <w:top w:val="single" w:sz="12" w:space="0" w:color="auto"/>
              <w:left w:val="nil"/>
              <w:bottom w:val="single" w:sz="18" w:space="0" w:color="auto"/>
              <w:right w:val="nil"/>
            </w:tcBorders>
            <w:shd w:val="clear" w:color="auto" w:fill="C3C6A8" w:themeFill="accent4"/>
            <w:vAlign w:val="bottom"/>
          </w:tcPr>
          <w:p w14:paraId="0F2488ED" w14:textId="77777777" w:rsidR="004C58C3" w:rsidRDefault="004C58C3" w:rsidP="00D005F0">
            <w:pPr>
              <w:contextualSpacing/>
              <w:jc w:val="center"/>
              <w:rPr>
                <w:sz w:val="18"/>
                <w:szCs w:val="18"/>
              </w:rPr>
            </w:pPr>
            <w:r>
              <w:rPr>
                <w:sz w:val="18"/>
                <w:szCs w:val="18"/>
              </w:rPr>
              <w:t>50</w:t>
            </w:r>
          </w:p>
          <w:p w14:paraId="07A5B5AE" w14:textId="77777777" w:rsidR="004C58C3" w:rsidRPr="003E37EE" w:rsidRDefault="004C58C3" w:rsidP="00D005F0">
            <w:pPr>
              <w:contextualSpacing/>
              <w:jc w:val="center"/>
              <w:rPr>
                <w:sz w:val="18"/>
                <w:szCs w:val="18"/>
              </w:rPr>
            </w:pPr>
            <w:r>
              <w:rPr>
                <w:sz w:val="18"/>
                <w:szCs w:val="18"/>
              </w:rPr>
              <w:t>Percent</w:t>
            </w:r>
          </w:p>
        </w:tc>
      </w:tr>
      <w:tr w:rsidR="004C58C3" w:rsidRPr="00EB5C9A" w14:paraId="182D9D4A" w14:textId="77777777" w:rsidTr="00B213DC">
        <w:trPr>
          <w:cnfStyle w:val="000000010000" w:firstRow="0" w:lastRow="0" w:firstColumn="0" w:lastColumn="0" w:oddVBand="0" w:evenVBand="0" w:oddHBand="0" w:evenHBand="1" w:firstRowFirstColumn="0" w:firstRowLastColumn="0" w:lastRowFirstColumn="0" w:lastRowLastColumn="0"/>
        </w:trPr>
        <w:tc>
          <w:tcPr>
            <w:tcW w:w="9450" w:type="dxa"/>
            <w:gridSpan w:val="10"/>
            <w:tcBorders>
              <w:left w:val="nil"/>
              <w:right w:val="nil"/>
            </w:tcBorders>
            <w:shd w:val="clear" w:color="auto" w:fill="D0D3D4" w:themeFill="background2"/>
          </w:tcPr>
          <w:p w14:paraId="1E7F640A" w14:textId="77777777" w:rsidR="004C58C3" w:rsidRPr="00EB5C9A" w:rsidRDefault="004C58C3" w:rsidP="004C58C3">
            <w:pPr>
              <w:tabs>
                <w:tab w:val="decimal" w:pos="797"/>
              </w:tabs>
              <w:contextualSpacing/>
              <w:rPr>
                <w:b/>
                <w:bCs/>
                <w:sz w:val="18"/>
                <w:szCs w:val="18"/>
              </w:rPr>
            </w:pPr>
            <w:r w:rsidRPr="00EB5C9A">
              <w:rPr>
                <w:b/>
                <w:bCs/>
                <w:sz w:val="18"/>
                <w:szCs w:val="18"/>
              </w:rPr>
              <w:t xml:space="preserve">Panel </w:t>
            </w:r>
            <w:r>
              <w:rPr>
                <w:b/>
                <w:bCs/>
                <w:sz w:val="18"/>
                <w:szCs w:val="18"/>
              </w:rPr>
              <w:t>A</w:t>
            </w:r>
            <w:r w:rsidRPr="00EB5C9A">
              <w:rPr>
                <w:b/>
                <w:bCs/>
                <w:sz w:val="18"/>
                <w:szCs w:val="18"/>
              </w:rPr>
              <w:t xml:space="preserve">: </w:t>
            </w:r>
            <w:r>
              <w:rPr>
                <w:b/>
                <w:bCs/>
                <w:sz w:val="18"/>
                <w:szCs w:val="18"/>
              </w:rPr>
              <w:t xml:space="preserve">Overall Impact of Homebuyer Education and Counseling </w:t>
            </w:r>
          </w:p>
        </w:tc>
      </w:tr>
      <w:tr w:rsidR="004C58C3" w14:paraId="14D21132" w14:textId="77777777" w:rsidTr="00B213DC">
        <w:trPr>
          <w:cnfStyle w:val="000000100000" w:firstRow="0" w:lastRow="0" w:firstColumn="0" w:lastColumn="0" w:oddVBand="0" w:evenVBand="0" w:oddHBand="1" w:evenHBand="0" w:firstRowFirstColumn="0" w:firstRowLastColumn="0" w:lastRowFirstColumn="0" w:lastRowLastColumn="0"/>
        </w:trPr>
        <w:tc>
          <w:tcPr>
            <w:tcW w:w="3509" w:type="dxa"/>
            <w:tcBorders>
              <w:left w:val="nil"/>
              <w:right w:val="nil"/>
            </w:tcBorders>
            <w:shd w:val="clear" w:color="auto" w:fill="auto"/>
          </w:tcPr>
          <w:p w14:paraId="28F7E891" w14:textId="77777777" w:rsidR="004C58C3" w:rsidRPr="003E37EE" w:rsidRDefault="004C58C3" w:rsidP="00D005F0">
            <w:pPr>
              <w:ind w:left="27"/>
              <w:contextualSpacing/>
              <w:rPr>
                <w:bCs/>
                <w:sz w:val="18"/>
                <w:szCs w:val="18"/>
              </w:rPr>
            </w:pPr>
            <w:r w:rsidRPr="004C58C3">
              <w:rPr>
                <w:bCs/>
                <w:sz w:val="18"/>
                <w:szCs w:val="18"/>
              </w:rPr>
              <w:t>Outcomes Based on Administrative Data and Survey Data</w:t>
            </w:r>
          </w:p>
        </w:tc>
        <w:tc>
          <w:tcPr>
            <w:tcW w:w="990" w:type="dxa"/>
            <w:gridSpan w:val="2"/>
            <w:tcBorders>
              <w:left w:val="nil"/>
              <w:right w:val="nil"/>
            </w:tcBorders>
            <w:shd w:val="clear" w:color="auto" w:fill="auto"/>
          </w:tcPr>
          <w:p w14:paraId="49A1BD7F" w14:textId="77777777" w:rsidR="004C58C3" w:rsidRPr="003E37EE" w:rsidRDefault="004C58C3" w:rsidP="00D005F0">
            <w:pPr>
              <w:tabs>
                <w:tab w:val="decimal" w:pos="797"/>
              </w:tabs>
              <w:contextualSpacing/>
              <w:rPr>
                <w:bCs/>
                <w:sz w:val="18"/>
                <w:szCs w:val="18"/>
              </w:rPr>
            </w:pPr>
            <w:r w:rsidRPr="003E37EE">
              <w:rPr>
                <w:bCs/>
                <w:sz w:val="18"/>
                <w:szCs w:val="18"/>
              </w:rPr>
              <w:t>2,448</w:t>
            </w:r>
          </w:p>
        </w:tc>
        <w:tc>
          <w:tcPr>
            <w:tcW w:w="990" w:type="dxa"/>
            <w:gridSpan w:val="2"/>
            <w:tcBorders>
              <w:left w:val="nil"/>
              <w:right w:val="nil"/>
            </w:tcBorders>
            <w:shd w:val="clear" w:color="auto" w:fill="auto"/>
          </w:tcPr>
          <w:p w14:paraId="5CEF7B2A" w14:textId="77777777" w:rsidR="004C58C3" w:rsidRPr="003E37EE" w:rsidRDefault="004C58C3" w:rsidP="00D005F0">
            <w:pPr>
              <w:tabs>
                <w:tab w:val="decimal" w:pos="797"/>
              </w:tabs>
              <w:contextualSpacing/>
              <w:rPr>
                <w:bCs/>
                <w:sz w:val="18"/>
                <w:szCs w:val="18"/>
              </w:rPr>
            </w:pPr>
            <w:r w:rsidRPr="003E37EE">
              <w:rPr>
                <w:bCs/>
                <w:sz w:val="18"/>
                <w:szCs w:val="18"/>
              </w:rPr>
              <w:t>3,322</w:t>
            </w:r>
          </w:p>
        </w:tc>
        <w:tc>
          <w:tcPr>
            <w:tcW w:w="990" w:type="dxa"/>
            <w:tcBorders>
              <w:left w:val="nil"/>
              <w:right w:val="nil"/>
            </w:tcBorders>
            <w:shd w:val="clear" w:color="auto" w:fill="auto"/>
          </w:tcPr>
          <w:p w14:paraId="6A54E5C7" w14:textId="77777777" w:rsidR="004C58C3" w:rsidRPr="003E37EE" w:rsidRDefault="004C58C3" w:rsidP="00D005F0">
            <w:pPr>
              <w:tabs>
                <w:tab w:val="decimal" w:pos="797"/>
              </w:tabs>
              <w:contextualSpacing/>
              <w:rPr>
                <w:bCs/>
                <w:sz w:val="18"/>
                <w:szCs w:val="18"/>
              </w:rPr>
            </w:pPr>
            <w:r w:rsidRPr="003E37EE">
              <w:rPr>
                <w:bCs/>
                <w:sz w:val="18"/>
                <w:szCs w:val="18"/>
              </w:rPr>
              <w:t>5,770</w:t>
            </w:r>
          </w:p>
        </w:tc>
        <w:tc>
          <w:tcPr>
            <w:tcW w:w="990" w:type="dxa"/>
            <w:gridSpan w:val="2"/>
            <w:tcBorders>
              <w:left w:val="nil"/>
              <w:right w:val="nil"/>
            </w:tcBorders>
            <w:shd w:val="clear" w:color="auto" w:fill="auto"/>
          </w:tcPr>
          <w:p w14:paraId="55FFF63B" w14:textId="77777777" w:rsidR="004C58C3" w:rsidRDefault="004C58C3" w:rsidP="00D005F0">
            <w:pPr>
              <w:tabs>
                <w:tab w:val="decimal" w:pos="797"/>
              </w:tabs>
              <w:contextualSpacing/>
              <w:rPr>
                <w:sz w:val="18"/>
                <w:szCs w:val="18"/>
              </w:rPr>
            </w:pPr>
            <w:r>
              <w:rPr>
                <w:bCs/>
                <w:sz w:val="18"/>
                <w:szCs w:val="18"/>
              </w:rPr>
              <w:t>0.6</w:t>
            </w:r>
          </w:p>
        </w:tc>
        <w:tc>
          <w:tcPr>
            <w:tcW w:w="990" w:type="dxa"/>
            <w:tcBorders>
              <w:left w:val="nil"/>
              <w:right w:val="nil"/>
            </w:tcBorders>
            <w:shd w:val="clear" w:color="auto" w:fill="auto"/>
          </w:tcPr>
          <w:p w14:paraId="579627B3" w14:textId="77777777" w:rsidR="004C58C3" w:rsidRDefault="004C58C3" w:rsidP="00D005F0">
            <w:pPr>
              <w:tabs>
                <w:tab w:val="decimal" w:pos="797"/>
              </w:tabs>
              <w:contextualSpacing/>
              <w:rPr>
                <w:bCs/>
                <w:sz w:val="18"/>
                <w:szCs w:val="18"/>
              </w:rPr>
            </w:pPr>
            <w:r>
              <w:rPr>
                <w:bCs/>
                <w:sz w:val="18"/>
                <w:szCs w:val="18"/>
              </w:rPr>
              <w:t>1.8</w:t>
            </w:r>
          </w:p>
        </w:tc>
        <w:tc>
          <w:tcPr>
            <w:tcW w:w="991" w:type="dxa"/>
            <w:tcBorders>
              <w:left w:val="nil"/>
              <w:right w:val="nil"/>
            </w:tcBorders>
            <w:shd w:val="clear" w:color="auto" w:fill="auto"/>
          </w:tcPr>
          <w:p w14:paraId="367DD7F1" w14:textId="77777777" w:rsidR="004C58C3" w:rsidRDefault="004C58C3" w:rsidP="00D005F0">
            <w:pPr>
              <w:tabs>
                <w:tab w:val="decimal" w:pos="797"/>
              </w:tabs>
              <w:contextualSpacing/>
              <w:rPr>
                <w:bCs/>
                <w:sz w:val="18"/>
                <w:szCs w:val="18"/>
              </w:rPr>
            </w:pPr>
            <w:r>
              <w:rPr>
                <w:bCs/>
                <w:sz w:val="18"/>
                <w:szCs w:val="18"/>
              </w:rPr>
              <w:t>3.1</w:t>
            </w:r>
          </w:p>
        </w:tc>
      </w:tr>
      <w:tr w:rsidR="004C58C3" w14:paraId="59E0E120" w14:textId="77777777" w:rsidTr="00B213DC">
        <w:trPr>
          <w:cnfStyle w:val="000000010000" w:firstRow="0" w:lastRow="0" w:firstColumn="0" w:lastColumn="0" w:oddVBand="0" w:evenVBand="0" w:oddHBand="0" w:evenHBand="1" w:firstRowFirstColumn="0" w:firstRowLastColumn="0" w:lastRowFirstColumn="0" w:lastRowLastColumn="0"/>
        </w:trPr>
        <w:tc>
          <w:tcPr>
            <w:tcW w:w="3509" w:type="dxa"/>
            <w:tcBorders>
              <w:left w:val="nil"/>
              <w:right w:val="nil"/>
            </w:tcBorders>
            <w:shd w:val="clear" w:color="auto" w:fill="auto"/>
          </w:tcPr>
          <w:p w14:paraId="59EA5A11" w14:textId="77777777" w:rsidR="004C58C3" w:rsidRPr="003E37EE" w:rsidRDefault="004C58C3" w:rsidP="004C58C3">
            <w:pPr>
              <w:ind w:left="27"/>
              <w:contextualSpacing/>
              <w:rPr>
                <w:bCs/>
                <w:sz w:val="18"/>
                <w:szCs w:val="18"/>
              </w:rPr>
            </w:pPr>
            <w:r w:rsidRPr="004C58C3">
              <w:rPr>
                <w:bCs/>
                <w:sz w:val="18"/>
                <w:szCs w:val="18"/>
              </w:rPr>
              <w:t>Outcomes Based on Survey Data</w:t>
            </w:r>
          </w:p>
        </w:tc>
        <w:tc>
          <w:tcPr>
            <w:tcW w:w="990" w:type="dxa"/>
            <w:gridSpan w:val="2"/>
            <w:tcBorders>
              <w:left w:val="nil"/>
              <w:right w:val="nil"/>
            </w:tcBorders>
            <w:shd w:val="clear" w:color="auto" w:fill="auto"/>
          </w:tcPr>
          <w:p w14:paraId="0E8E3324" w14:textId="77777777" w:rsidR="004C58C3" w:rsidRPr="003E37EE" w:rsidRDefault="004C58C3" w:rsidP="004C58C3">
            <w:pPr>
              <w:tabs>
                <w:tab w:val="decimal" w:pos="797"/>
              </w:tabs>
              <w:contextualSpacing/>
              <w:rPr>
                <w:bCs/>
                <w:sz w:val="18"/>
                <w:szCs w:val="18"/>
              </w:rPr>
            </w:pPr>
            <w:r w:rsidRPr="00234DC0">
              <w:rPr>
                <w:color w:val="000000"/>
                <w:sz w:val="18"/>
                <w:szCs w:val="18"/>
              </w:rPr>
              <w:t>1</w:t>
            </w:r>
            <w:r>
              <w:rPr>
                <w:color w:val="000000"/>
                <w:sz w:val="18"/>
                <w:szCs w:val="18"/>
              </w:rPr>
              <w:t>,</w:t>
            </w:r>
            <w:r w:rsidRPr="00234DC0">
              <w:rPr>
                <w:color w:val="000000"/>
                <w:sz w:val="18"/>
                <w:szCs w:val="18"/>
              </w:rPr>
              <w:t>714</w:t>
            </w:r>
          </w:p>
        </w:tc>
        <w:tc>
          <w:tcPr>
            <w:tcW w:w="990" w:type="dxa"/>
            <w:gridSpan w:val="2"/>
            <w:tcBorders>
              <w:left w:val="nil"/>
              <w:right w:val="nil"/>
            </w:tcBorders>
            <w:shd w:val="clear" w:color="auto" w:fill="auto"/>
          </w:tcPr>
          <w:p w14:paraId="004CB450" w14:textId="77777777" w:rsidR="004C58C3" w:rsidRPr="003E37EE" w:rsidRDefault="004C58C3" w:rsidP="004C58C3">
            <w:pPr>
              <w:tabs>
                <w:tab w:val="decimal" w:pos="797"/>
              </w:tabs>
              <w:contextualSpacing/>
              <w:rPr>
                <w:bCs/>
                <w:sz w:val="18"/>
                <w:szCs w:val="18"/>
              </w:rPr>
            </w:pPr>
            <w:r w:rsidRPr="00234DC0">
              <w:rPr>
                <w:color w:val="000000"/>
                <w:sz w:val="18"/>
                <w:szCs w:val="18"/>
              </w:rPr>
              <w:t>2</w:t>
            </w:r>
            <w:r>
              <w:rPr>
                <w:color w:val="000000"/>
                <w:sz w:val="18"/>
                <w:szCs w:val="18"/>
              </w:rPr>
              <w:t>,</w:t>
            </w:r>
            <w:r w:rsidRPr="00234DC0">
              <w:rPr>
                <w:color w:val="000000"/>
                <w:sz w:val="18"/>
                <w:szCs w:val="18"/>
              </w:rPr>
              <w:t>325</w:t>
            </w:r>
          </w:p>
        </w:tc>
        <w:tc>
          <w:tcPr>
            <w:tcW w:w="990" w:type="dxa"/>
            <w:tcBorders>
              <w:left w:val="nil"/>
              <w:right w:val="nil"/>
            </w:tcBorders>
            <w:shd w:val="clear" w:color="auto" w:fill="auto"/>
          </w:tcPr>
          <w:p w14:paraId="19AE1870" w14:textId="77777777" w:rsidR="004C58C3" w:rsidRPr="003E37EE" w:rsidRDefault="004C58C3" w:rsidP="004C58C3">
            <w:pPr>
              <w:tabs>
                <w:tab w:val="decimal" w:pos="797"/>
              </w:tabs>
              <w:contextualSpacing/>
              <w:rPr>
                <w:bCs/>
                <w:sz w:val="18"/>
                <w:szCs w:val="18"/>
              </w:rPr>
            </w:pPr>
            <w:r w:rsidRPr="00234DC0">
              <w:rPr>
                <w:color w:val="000000"/>
                <w:sz w:val="18"/>
                <w:szCs w:val="18"/>
              </w:rPr>
              <w:t>4</w:t>
            </w:r>
            <w:r>
              <w:rPr>
                <w:color w:val="000000"/>
                <w:sz w:val="18"/>
                <w:szCs w:val="18"/>
              </w:rPr>
              <w:t>,</w:t>
            </w:r>
            <w:r w:rsidRPr="00234DC0">
              <w:rPr>
                <w:color w:val="000000"/>
                <w:sz w:val="18"/>
                <w:szCs w:val="18"/>
              </w:rPr>
              <w:t>039</w:t>
            </w:r>
          </w:p>
        </w:tc>
        <w:tc>
          <w:tcPr>
            <w:tcW w:w="990" w:type="dxa"/>
            <w:gridSpan w:val="2"/>
            <w:tcBorders>
              <w:left w:val="nil"/>
              <w:right w:val="nil"/>
            </w:tcBorders>
            <w:shd w:val="clear" w:color="auto" w:fill="auto"/>
          </w:tcPr>
          <w:p w14:paraId="46EC3D15" w14:textId="77777777" w:rsidR="004C58C3" w:rsidRDefault="004C58C3" w:rsidP="004C58C3">
            <w:pPr>
              <w:tabs>
                <w:tab w:val="decimal" w:pos="797"/>
              </w:tabs>
              <w:contextualSpacing/>
              <w:rPr>
                <w:sz w:val="18"/>
                <w:szCs w:val="18"/>
              </w:rPr>
            </w:pPr>
            <w:r>
              <w:rPr>
                <w:bCs/>
                <w:sz w:val="18"/>
                <w:szCs w:val="18"/>
              </w:rPr>
              <w:t>0.7</w:t>
            </w:r>
          </w:p>
        </w:tc>
        <w:tc>
          <w:tcPr>
            <w:tcW w:w="990" w:type="dxa"/>
            <w:tcBorders>
              <w:left w:val="nil"/>
              <w:right w:val="nil"/>
            </w:tcBorders>
            <w:shd w:val="clear" w:color="auto" w:fill="auto"/>
          </w:tcPr>
          <w:p w14:paraId="6FF01FE8" w14:textId="77777777" w:rsidR="004C58C3" w:rsidRDefault="004C58C3" w:rsidP="004C58C3">
            <w:pPr>
              <w:tabs>
                <w:tab w:val="decimal" w:pos="797"/>
              </w:tabs>
              <w:contextualSpacing/>
              <w:rPr>
                <w:bCs/>
                <w:sz w:val="18"/>
                <w:szCs w:val="18"/>
              </w:rPr>
            </w:pPr>
            <w:r>
              <w:rPr>
                <w:bCs/>
                <w:sz w:val="18"/>
                <w:szCs w:val="18"/>
              </w:rPr>
              <w:t>2.2</w:t>
            </w:r>
          </w:p>
        </w:tc>
        <w:tc>
          <w:tcPr>
            <w:tcW w:w="991" w:type="dxa"/>
            <w:tcBorders>
              <w:left w:val="nil"/>
              <w:right w:val="nil"/>
            </w:tcBorders>
            <w:shd w:val="clear" w:color="auto" w:fill="auto"/>
          </w:tcPr>
          <w:p w14:paraId="6A04EC0F" w14:textId="77777777" w:rsidR="004C58C3" w:rsidRDefault="004C58C3" w:rsidP="004C58C3">
            <w:pPr>
              <w:tabs>
                <w:tab w:val="decimal" w:pos="797"/>
              </w:tabs>
              <w:contextualSpacing/>
              <w:rPr>
                <w:bCs/>
                <w:sz w:val="18"/>
                <w:szCs w:val="18"/>
              </w:rPr>
            </w:pPr>
            <w:r>
              <w:rPr>
                <w:bCs/>
                <w:sz w:val="18"/>
                <w:szCs w:val="18"/>
              </w:rPr>
              <w:t>3.7</w:t>
            </w:r>
          </w:p>
        </w:tc>
      </w:tr>
      <w:tr w:rsidR="004C58C3" w:rsidRPr="003E37EE" w14:paraId="4C38226A" w14:textId="77777777" w:rsidTr="00B213DC">
        <w:trPr>
          <w:cnfStyle w:val="000000100000" w:firstRow="0" w:lastRow="0" w:firstColumn="0" w:lastColumn="0" w:oddVBand="0" w:evenVBand="0" w:oddHBand="1" w:evenHBand="0" w:firstRowFirstColumn="0" w:firstRowLastColumn="0" w:lastRowFirstColumn="0" w:lastRowLastColumn="0"/>
        </w:trPr>
        <w:tc>
          <w:tcPr>
            <w:tcW w:w="9450" w:type="dxa"/>
            <w:gridSpan w:val="10"/>
            <w:tcBorders>
              <w:top w:val="single" w:sz="4" w:space="0" w:color="auto"/>
              <w:left w:val="nil"/>
              <w:right w:val="nil"/>
            </w:tcBorders>
            <w:shd w:val="clear" w:color="auto" w:fill="D0D3D4" w:themeFill="background2"/>
          </w:tcPr>
          <w:p w14:paraId="23297520" w14:textId="77777777" w:rsidR="004C58C3" w:rsidRDefault="004C58C3" w:rsidP="004C58C3">
            <w:pPr>
              <w:tabs>
                <w:tab w:val="decimal" w:pos="797"/>
              </w:tabs>
              <w:contextualSpacing/>
              <w:rPr>
                <w:b/>
                <w:bCs/>
                <w:sz w:val="18"/>
                <w:szCs w:val="18"/>
                <w:shd w:val="clear" w:color="auto" w:fill="D0D3D4" w:themeFill="background2"/>
              </w:rPr>
            </w:pPr>
            <w:r w:rsidRPr="00EB5C9A">
              <w:rPr>
                <w:b/>
                <w:bCs/>
                <w:sz w:val="18"/>
                <w:szCs w:val="18"/>
              </w:rPr>
              <w:t xml:space="preserve">Panel </w:t>
            </w:r>
            <w:r>
              <w:rPr>
                <w:b/>
                <w:bCs/>
                <w:sz w:val="18"/>
                <w:szCs w:val="18"/>
                <w:shd w:val="clear" w:color="auto" w:fill="D0D3D4" w:themeFill="background2"/>
              </w:rPr>
              <w:t>B</w:t>
            </w:r>
            <w:r w:rsidRPr="00EB5C9A">
              <w:rPr>
                <w:b/>
                <w:bCs/>
                <w:sz w:val="18"/>
                <w:szCs w:val="18"/>
                <w:shd w:val="clear" w:color="auto" w:fill="D0D3D4" w:themeFill="background2"/>
              </w:rPr>
              <w:t xml:space="preserve">: </w:t>
            </w:r>
            <w:r>
              <w:rPr>
                <w:b/>
                <w:bCs/>
                <w:sz w:val="18"/>
                <w:szCs w:val="18"/>
                <w:shd w:val="clear" w:color="auto" w:fill="D0D3D4" w:themeFill="background2"/>
              </w:rPr>
              <w:t>Impact of Offering In-Person Services</w:t>
            </w:r>
          </w:p>
          <w:p w14:paraId="087F00B4" w14:textId="77777777" w:rsidR="004C58C3" w:rsidRDefault="004C58C3" w:rsidP="004C58C3">
            <w:pPr>
              <w:tabs>
                <w:tab w:val="decimal" w:pos="797"/>
              </w:tabs>
              <w:contextualSpacing/>
            </w:pPr>
            <w:r w:rsidRPr="004C58C3">
              <w:rPr>
                <w:b/>
                <w:bCs/>
                <w:sz w:val="18"/>
                <w:szCs w:val="18"/>
              </w:rPr>
              <w:t>Outcomes Based on Administrative Data and Survey Data</w:t>
            </w:r>
            <w:r>
              <w:t xml:space="preserve"> </w:t>
            </w:r>
          </w:p>
          <w:p w14:paraId="0B4AB616" w14:textId="77777777" w:rsidR="004C58C3" w:rsidRPr="00EB5C9A" w:rsidRDefault="004C58C3" w:rsidP="004C58C3">
            <w:pPr>
              <w:tabs>
                <w:tab w:val="decimal" w:pos="797"/>
              </w:tabs>
              <w:contextualSpacing/>
              <w:rPr>
                <w:b/>
                <w:bCs/>
                <w:sz w:val="18"/>
                <w:szCs w:val="18"/>
              </w:rPr>
            </w:pPr>
            <w:r w:rsidRPr="004C58C3">
              <w:rPr>
                <w:b/>
                <w:bCs/>
                <w:sz w:val="18"/>
                <w:szCs w:val="18"/>
              </w:rPr>
              <w:t>Outcomes Based on Survey Data</w:t>
            </w:r>
          </w:p>
        </w:tc>
      </w:tr>
      <w:tr w:rsidR="004C58C3" w:rsidRPr="003E37EE" w14:paraId="482A1BC1" w14:textId="77777777" w:rsidTr="00B213DC">
        <w:trPr>
          <w:cnfStyle w:val="000000010000" w:firstRow="0" w:lastRow="0" w:firstColumn="0" w:lastColumn="0" w:oddVBand="0" w:evenVBand="0" w:oddHBand="0" w:evenHBand="1" w:firstRowFirstColumn="0" w:firstRowLastColumn="0" w:lastRowFirstColumn="0" w:lastRowLastColumn="0"/>
        </w:trPr>
        <w:tc>
          <w:tcPr>
            <w:tcW w:w="3509" w:type="dxa"/>
            <w:tcBorders>
              <w:left w:val="nil"/>
              <w:right w:val="nil"/>
            </w:tcBorders>
            <w:shd w:val="clear" w:color="auto" w:fill="auto"/>
          </w:tcPr>
          <w:p w14:paraId="208D0DBB" w14:textId="77777777" w:rsidR="004C58C3" w:rsidRPr="003E37EE" w:rsidRDefault="004C58C3" w:rsidP="004C58C3">
            <w:pPr>
              <w:ind w:left="27"/>
              <w:contextualSpacing/>
              <w:rPr>
                <w:bCs/>
                <w:sz w:val="18"/>
                <w:szCs w:val="18"/>
              </w:rPr>
            </w:pPr>
            <w:r w:rsidRPr="004C58C3">
              <w:rPr>
                <w:bCs/>
                <w:sz w:val="18"/>
                <w:szCs w:val="18"/>
              </w:rPr>
              <w:t>Outcomes Based on Administrative Data and Survey Data</w:t>
            </w:r>
          </w:p>
        </w:tc>
        <w:tc>
          <w:tcPr>
            <w:tcW w:w="990" w:type="dxa"/>
            <w:gridSpan w:val="2"/>
            <w:tcBorders>
              <w:left w:val="nil"/>
              <w:right w:val="nil"/>
            </w:tcBorders>
            <w:shd w:val="clear" w:color="auto" w:fill="auto"/>
          </w:tcPr>
          <w:p w14:paraId="5E5494E0" w14:textId="77777777" w:rsidR="004C58C3" w:rsidRPr="00234DC0" w:rsidRDefault="004C58C3" w:rsidP="004C58C3">
            <w:pPr>
              <w:tabs>
                <w:tab w:val="decimal" w:pos="797"/>
              </w:tabs>
              <w:contextualSpacing/>
              <w:rPr>
                <w:bCs/>
                <w:sz w:val="18"/>
                <w:szCs w:val="18"/>
              </w:rPr>
            </w:pPr>
            <w:r w:rsidRPr="003E37EE">
              <w:rPr>
                <w:bCs/>
                <w:sz w:val="18"/>
                <w:szCs w:val="18"/>
              </w:rPr>
              <w:t>1,184</w:t>
            </w:r>
          </w:p>
        </w:tc>
        <w:tc>
          <w:tcPr>
            <w:tcW w:w="990" w:type="dxa"/>
            <w:gridSpan w:val="2"/>
            <w:tcBorders>
              <w:left w:val="nil"/>
              <w:right w:val="nil"/>
            </w:tcBorders>
            <w:shd w:val="clear" w:color="auto" w:fill="auto"/>
          </w:tcPr>
          <w:p w14:paraId="6DE03C53" w14:textId="77777777" w:rsidR="004C58C3" w:rsidRPr="00234DC0" w:rsidRDefault="004C58C3" w:rsidP="004C58C3">
            <w:pPr>
              <w:tabs>
                <w:tab w:val="decimal" w:pos="797"/>
              </w:tabs>
              <w:contextualSpacing/>
              <w:rPr>
                <w:bCs/>
                <w:sz w:val="18"/>
                <w:szCs w:val="18"/>
              </w:rPr>
            </w:pPr>
            <w:r w:rsidRPr="003E37EE">
              <w:rPr>
                <w:bCs/>
                <w:sz w:val="18"/>
                <w:szCs w:val="18"/>
              </w:rPr>
              <w:t>806</w:t>
            </w:r>
          </w:p>
        </w:tc>
        <w:tc>
          <w:tcPr>
            <w:tcW w:w="990" w:type="dxa"/>
            <w:tcBorders>
              <w:left w:val="nil"/>
              <w:right w:val="nil"/>
            </w:tcBorders>
            <w:shd w:val="clear" w:color="auto" w:fill="auto"/>
          </w:tcPr>
          <w:p w14:paraId="4E772C05" w14:textId="77777777" w:rsidR="004C58C3" w:rsidRPr="00234DC0" w:rsidRDefault="004C58C3" w:rsidP="004C58C3">
            <w:pPr>
              <w:tabs>
                <w:tab w:val="decimal" w:pos="797"/>
              </w:tabs>
              <w:contextualSpacing/>
              <w:rPr>
                <w:bCs/>
                <w:sz w:val="18"/>
                <w:szCs w:val="18"/>
              </w:rPr>
            </w:pPr>
            <w:r w:rsidRPr="003E37EE">
              <w:rPr>
                <w:bCs/>
                <w:sz w:val="18"/>
                <w:szCs w:val="18"/>
              </w:rPr>
              <w:t>1,990</w:t>
            </w:r>
          </w:p>
        </w:tc>
        <w:tc>
          <w:tcPr>
            <w:tcW w:w="990" w:type="dxa"/>
            <w:gridSpan w:val="2"/>
            <w:tcBorders>
              <w:left w:val="nil"/>
              <w:right w:val="nil"/>
            </w:tcBorders>
            <w:shd w:val="clear" w:color="auto" w:fill="auto"/>
          </w:tcPr>
          <w:p w14:paraId="4CE09CFF" w14:textId="77777777" w:rsidR="004C58C3" w:rsidRPr="003E37EE" w:rsidRDefault="004C58C3" w:rsidP="004C58C3">
            <w:pPr>
              <w:tabs>
                <w:tab w:val="decimal" w:pos="797"/>
              </w:tabs>
              <w:contextualSpacing/>
              <w:rPr>
                <w:bCs/>
                <w:sz w:val="18"/>
                <w:szCs w:val="18"/>
              </w:rPr>
            </w:pPr>
            <w:r>
              <w:rPr>
                <w:bCs/>
                <w:sz w:val="18"/>
                <w:szCs w:val="18"/>
              </w:rPr>
              <w:t>1.5</w:t>
            </w:r>
          </w:p>
        </w:tc>
        <w:tc>
          <w:tcPr>
            <w:tcW w:w="990" w:type="dxa"/>
            <w:tcBorders>
              <w:left w:val="nil"/>
              <w:right w:val="nil"/>
            </w:tcBorders>
            <w:shd w:val="clear" w:color="auto" w:fill="auto"/>
          </w:tcPr>
          <w:p w14:paraId="5FF3D307" w14:textId="77777777" w:rsidR="004C58C3" w:rsidRPr="003E37EE" w:rsidRDefault="004C58C3" w:rsidP="004C58C3">
            <w:pPr>
              <w:tabs>
                <w:tab w:val="decimal" w:pos="797"/>
              </w:tabs>
              <w:contextualSpacing/>
              <w:rPr>
                <w:bCs/>
                <w:sz w:val="18"/>
                <w:szCs w:val="18"/>
              </w:rPr>
            </w:pPr>
            <w:r>
              <w:rPr>
                <w:bCs/>
                <w:sz w:val="18"/>
                <w:szCs w:val="18"/>
              </w:rPr>
              <w:t>4.5</w:t>
            </w:r>
          </w:p>
        </w:tc>
        <w:tc>
          <w:tcPr>
            <w:tcW w:w="991" w:type="dxa"/>
            <w:tcBorders>
              <w:left w:val="nil"/>
              <w:right w:val="nil"/>
            </w:tcBorders>
            <w:shd w:val="clear" w:color="auto" w:fill="auto"/>
          </w:tcPr>
          <w:p w14:paraId="27F39F11" w14:textId="77777777" w:rsidR="004C58C3" w:rsidRPr="003E37EE" w:rsidRDefault="004C58C3" w:rsidP="004C58C3">
            <w:pPr>
              <w:tabs>
                <w:tab w:val="decimal" w:pos="797"/>
              </w:tabs>
              <w:contextualSpacing/>
              <w:rPr>
                <w:bCs/>
                <w:sz w:val="18"/>
                <w:szCs w:val="18"/>
              </w:rPr>
            </w:pPr>
            <w:r>
              <w:rPr>
                <w:bCs/>
                <w:sz w:val="18"/>
                <w:szCs w:val="18"/>
              </w:rPr>
              <w:t>7.4</w:t>
            </w:r>
          </w:p>
        </w:tc>
      </w:tr>
      <w:tr w:rsidR="004C58C3" w:rsidRPr="003E37EE" w14:paraId="379C577D" w14:textId="77777777" w:rsidTr="00B213DC">
        <w:trPr>
          <w:cnfStyle w:val="000000100000" w:firstRow="0" w:lastRow="0" w:firstColumn="0" w:lastColumn="0" w:oddVBand="0" w:evenVBand="0" w:oddHBand="1" w:evenHBand="0" w:firstRowFirstColumn="0" w:firstRowLastColumn="0" w:lastRowFirstColumn="0" w:lastRowLastColumn="0"/>
        </w:trPr>
        <w:tc>
          <w:tcPr>
            <w:tcW w:w="3509" w:type="dxa"/>
            <w:tcBorders>
              <w:left w:val="nil"/>
              <w:right w:val="nil"/>
            </w:tcBorders>
            <w:shd w:val="clear" w:color="auto" w:fill="auto"/>
          </w:tcPr>
          <w:p w14:paraId="12778705" w14:textId="77777777" w:rsidR="004C58C3" w:rsidRPr="003E37EE" w:rsidRDefault="004C58C3" w:rsidP="004C58C3">
            <w:pPr>
              <w:ind w:left="27"/>
              <w:contextualSpacing/>
              <w:rPr>
                <w:bCs/>
                <w:sz w:val="18"/>
                <w:szCs w:val="18"/>
              </w:rPr>
            </w:pPr>
            <w:r w:rsidRPr="004C58C3">
              <w:rPr>
                <w:bCs/>
                <w:sz w:val="18"/>
                <w:szCs w:val="18"/>
              </w:rPr>
              <w:t>Outcomes Based on Survey Data</w:t>
            </w:r>
          </w:p>
        </w:tc>
        <w:tc>
          <w:tcPr>
            <w:tcW w:w="990" w:type="dxa"/>
            <w:gridSpan w:val="2"/>
            <w:tcBorders>
              <w:left w:val="nil"/>
              <w:right w:val="nil"/>
            </w:tcBorders>
            <w:shd w:val="clear" w:color="auto" w:fill="auto"/>
          </w:tcPr>
          <w:p w14:paraId="0E837E5F" w14:textId="77777777" w:rsidR="004C58C3" w:rsidRPr="00234DC0" w:rsidRDefault="004C58C3" w:rsidP="004C58C3">
            <w:pPr>
              <w:tabs>
                <w:tab w:val="decimal" w:pos="797"/>
              </w:tabs>
              <w:contextualSpacing/>
              <w:rPr>
                <w:bCs/>
                <w:sz w:val="18"/>
                <w:szCs w:val="18"/>
              </w:rPr>
            </w:pPr>
            <w:r w:rsidRPr="00234DC0">
              <w:rPr>
                <w:color w:val="000000"/>
                <w:sz w:val="18"/>
                <w:szCs w:val="18"/>
              </w:rPr>
              <w:t>829</w:t>
            </w:r>
          </w:p>
        </w:tc>
        <w:tc>
          <w:tcPr>
            <w:tcW w:w="990" w:type="dxa"/>
            <w:gridSpan w:val="2"/>
            <w:tcBorders>
              <w:left w:val="nil"/>
              <w:right w:val="nil"/>
            </w:tcBorders>
            <w:shd w:val="clear" w:color="auto" w:fill="auto"/>
          </w:tcPr>
          <w:p w14:paraId="6593B4C9" w14:textId="77777777" w:rsidR="004C58C3" w:rsidRPr="00234DC0" w:rsidRDefault="004C58C3" w:rsidP="004C58C3">
            <w:pPr>
              <w:tabs>
                <w:tab w:val="decimal" w:pos="797"/>
              </w:tabs>
              <w:contextualSpacing/>
              <w:rPr>
                <w:bCs/>
                <w:sz w:val="18"/>
                <w:szCs w:val="18"/>
              </w:rPr>
            </w:pPr>
            <w:r w:rsidRPr="00234DC0">
              <w:rPr>
                <w:color w:val="000000"/>
                <w:sz w:val="18"/>
                <w:szCs w:val="18"/>
              </w:rPr>
              <w:t>564</w:t>
            </w:r>
          </w:p>
        </w:tc>
        <w:tc>
          <w:tcPr>
            <w:tcW w:w="990" w:type="dxa"/>
            <w:tcBorders>
              <w:left w:val="nil"/>
              <w:right w:val="nil"/>
            </w:tcBorders>
            <w:shd w:val="clear" w:color="auto" w:fill="auto"/>
          </w:tcPr>
          <w:p w14:paraId="6E8B7EA6" w14:textId="77777777" w:rsidR="004C58C3" w:rsidRPr="00234DC0" w:rsidRDefault="004C58C3" w:rsidP="004C58C3">
            <w:pPr>
              <w:tabs>
                <w:tab w:val="decimal" w:pos="797"/>
              </w:tabs>
              <w:contextualSpacing/>
              <w:rPr>
                <w:bCs/>
                <w:sz w:val="18"/>
                <w:szCs w:val="18"/>
              </w:rPr>
            </w:pPr>
            <w:r w:rsidRPr="00234DC0">
              <w:rPr>
                <w:color w:val="000000"/>
                <w:sz w:val="18"/>
                <w:szCs w:val="18"/>
              </w:rPr>
              <w:t>1</w:t>
            </w:r>
            <w:r>
              <w:rPr>
                <w:color w:val="000000"/>
                <w:sz w:val="18"/>
                <w:szCs w:val="18"/>
              </w:rPr>
              <w:t>,</w:t>
            </w:r>
            <w:r w:rsidRPr="00234DC0">
              <w:rPr>
                <w:color w:val="000000"/>
                <w:sz w:val="18"/>
                <w:szCs w:val="18"/>
              </w:rPr>
              <w:t>393</w:t>
            </w:r>
          </w:p>
        </w:tc>
        <w:tc>
          <w:tcPr>
            <w:tcW w:w="990" w:type="dxa"/>
            <w:gridSpan w:val="2"/>
            <w:tcBorders>
              <w:left w:val="nil"/>
              <w:right w:val="nil"/>
            </w:tcBorders>
            <w:shd w:val="clear" w:color="auto" w:fill="auto"/>
          </w:tcPr>
          <w:p w14:paraId="78869B44" w14:textId="77777777" w:rsidR="004C58C3" w:rsidRPr="003E37EE" w:rsidRDefault="004C58C3" w:rsidP="004C58C3">
            <w:pPr>
              <w:tabs>
                <w:tab w:val="decimal" w:pos="797"/>
              </w:tabs>
              <w:contextualSpacing/>
              <w:rPr>
                <w:sz w:val="18"/>
                <w:szCs w:val="18"/>
              </w:rPr>
            </w:pPr>
            <w:r>
              <w:rPr>
                <w:bCs/>
                <w:sz w:val="18"/>
                <w:szCs w:val="18"/>
              </w:rPr>
              <w:t>1.8</w:t>
            </w:r>
          </w:p>
        </w:tc>
        <w:tc>
          <w:tcPr>
            <w:tcW w:w="990" w:type="dxa"/>
            <w:tcBorders>
              <w:left w:val="nil"/>
              <w:right w:val="nil"/>
            </w:tcBorders>
            <w:shd w:val="clear" w:color="auto" w:fill="auto"/>
          </w:tcPr>
          <w:p w14:paraId="5EFF6E5F" w14:textId="77777777" w:rsidR="004C58C3" w:rsidRPr="003E37EE" w:rsidRDefault="004C58C3" w:rsidP="004C58C3">
            <w:pPr>
              <w:tabs>
                <w:tab w:val="decimal" w:pos="797"/>
              </w:tabs>
              <w:contextualSpacing/>
              <w:rPr>
                <w:bCs/>
                <w:sz w:val="18"/>
                <w:szCs w:val="18"/>
              </w:rPr>
            </w:pPr>
            <w:r>
              <w:rPr>
                <w:bCs/>
                <w:sz w:val="18"/>
                <w:szCs w:val="18"/>
              </w:rPr>
              <w:t>5.3</w:t>
            </w:r>
          </w:p>
        </w:tc>
        <w:tc>
          <w:tcPr>
            <w:tcW w:w="991" w:type="dxa"/>
            <w:tcBorders>
              <w:left w:val="nil"/>
              <w:right w:val="nil"/>
            </w:tcBorders>
            <w:shd w:val="clear" w:color="auto" w:fill="auto"/>
          </w:tcPr>
          <w:p w14:paraId="083A174B" w14:textId="77777777" w:rsidR="004C58C3" w:rsidRPr="003E37EE" w:rsidRDefault="004C58C3" w:rsidP="004C58C3">
            <w:pPr>
              <w:tabs>
                <w:tab w:val="decimal" w:pos="797"/>
              </w:tabs>
              <w:contextualSpacing/>
              <w:rPr>
                <w:bCs/>
                <w:sz w:val="18"/>
                <w:szCs w:val="18"/>
              </w:rPr>
            </w:pPr>
            <w:r>
              <w:rPr>
                <w:bCs/>
                <w:sz w:val="18"/>
                <w:szCs w:val="18"/>
              </w:rPr>
              <w:t>8.9</w:t>
            </w:r>
          </w:p>
        </w:tc>
      </w:tr>
      <w:tr w:rsidR="004C58C3" w:rsidRPr="00EB5C9A" w14:paraId="20A986F7" w14:textId="77777777" w:rsidTr="00B213DC">
        <w:trPr>
          <w:cnfStyle w:val="000000010000" w:firstRow="0" w:lastRow="0" w:firstColumn="0" w:lastColumn="0" w:oddVBand="0" w:evenVBand="0" w:oddHBand="0" w:evenHBand="1" w:firstRowFirstColumn="0" w:firstRowLastColumn="0" w:lastRowFirstColumn="0" w:lastRowLastColumn="0"/>
        </w:trPr>
        <w:tc>
          <w:tcPr>
            <w:tcW w:w="9450" w:type="dxa"/>
            <w:gridSpan w:val="10"/>
            <w:tcBorders>
              <w:top w:val="single" w:sz="4" w:space="0" w:color="auto"/>
              <w:left w:val="nil"/>
              <w:right w:val="nil"/>
            </w:tcBorders>
            <w:shd w:val="clear" w:color="auto" w:fill="D0D3D4" w:themeFill="background2"/>
          </w:tcPr>
          <w:p w14:paraId="03D51594" w14:textId="77777777" w:rsidR="004C58C3" w:rsidRPr="00EB5C9A" w:rsidRDefault="004C58C3" w:rsidP="004C58C3">
            <w:pPr>
              <w:tabs>
                <w:tab w:val="decimal" w:pos="797"/>
              </w:tabs>
              <w:contextualSpacing/>
              <w:rPr>
                <w:b/>
                <w:bCs/>
                <w:sz w:val="18"/>
                <w:szCs w:val="18"/>
              </w:rPr>
            </w:pPr>
            <w:r>
              <w:rPr>
                <w:b/>
                <w:bCs/>
                <w:sz w:val="18"/>
                <w:szCs w:val="18"/>
              </w:rPr>
              <w:t>Panel C: Impact of Offering Remote</w:t>
            </w:r>
            <w:r w:rsidRPr="004C58C3">
              <w:rPr>
                <w:b/>
                <w:bCs/>
                <w:sz w:val="18"/>
                <w:szCs w:val="18"/>
              </w:rPr>
              <w:t xml:space="preserve"> Services</w:t>
            </w:r>
          </w:p>
        </w:tc>
      </w:tr>
      <w:tr w:rsidR="004C58C3" w:rsidRPr="003E37EE" w14:paraId="4D8D2B29" w14:textId="77777777" w:rsidTr="00B213DC">
        <w:trPr>
          <w:cnfStyle w:val="000000100000" w:firstRow="0" w:lastRow="0" w:firstColumn="0" w:lastColumn="0" w:oddVBand="0" w:evenVBand="0" w:oddHBand="1" w:evenHBand="0" w:firstRowFirstColumn="0" w:firstRowLastColumn="0" w:lastRowFirstColumn="0" w:lastRowLastColumn="0"/>
        </w:trPr>
        <w:tc>
          <w:tcPr>
            <w:tcW w:w="3509" w:type="dxa"/>
            <w:tcBorders>
              <w:left w:val="nil"/>
              <w:right w:val="nil"/>
            </w:tcBorders>
            <w:shd w:val="clear" w:color="auto" w:fill="auto"/>
          </w:tcPr>
          <w:p w14:paraId="22AB6E0D" w14:textId="77777777" w:rsidR="004C58C3" w:rsidRPr="003E37EE" w:rsidRDefault="004C58C3" w:rsidP="004C58C3">
            <w:pPr>
              <w:ind w:left="27"/>
              <w:contextualSpacing/>
              <w:rPr>
                <w:bCs/>
                <w:sz w:val="18"/>
                <w:szCs w:val="18"/>
              </w:rPr>
            </w:pPr>
            <w:r w:rsidRPr="004C58C3">
              <w:rPr>
                <w:bCs/>
                <w:sz w:val="18"/>
                <w:szCs w:val="18"/>
              </w:rPr>
              <w:t>Outcomes Based on Administrative Data and Survey Data</w:t>
            </w:r>
          </w:p>
        </w:tc>
        <w:tc>
          <w:tcPr>
            <w:tcW w:w="990" w:type="dxa"/>
            <w:gridSpan w:val="2"/>
            <w:tcBorders>
              <w:left w:val="nil"/>
              <w:right w:val="nil"/>
            </w:tcBorders>
            <w:shd w:val="clear" w:color="auto" w:fill="auto"/>
          </w:tcPr>
          <w:p w14:paraId="25A9A4AB" w14:textId="77777777" w:rsidR="004C58C3" w:rsidRPr="00234DC0" w:rsidRDefault="004C58C3" w:rsidP="004C58C3">
            <w:pPr>
              <w:tabs>
                <w:tab w:val="decimal" w:pos="797"/>
              </w:tabs>
              <w:contextualSpacing/>
              <w:rPr>
                <w:bCs/>
                <w:sz w:val="18"/>
                <w:szCs w:val="18"/>
              </w:rPr>
            </w:pPr>
            <w:r w:rsidRPr="003E37EE">
              <w:rPr>
                <w:bCs/>
                <w:sz w:val="18"/>
                <w:szCs w:val="18"/>
              </w:rPr>
              <w:t>2,448</w:t>
            </w:r>
          </w:p>
        </w:tc>
        <w:tc>
          <w:tcPr>
            <w:tcW w:w="990" w:type="dxa"/>
            <w:gridSpan w:val="2"/>
            <w:tcBorders>
              <w:left w:val="nil"/>
              <w:right w:val="nil"/>
            </w:tcBorders>
            <w:shd w:val="clear" w:color="auto" w:fill="auto"/>
          </w:tcPr>
          <w:p w14:paraId="781EF395" w14:textId="77777777" w:rsidR="004C58C3" w:rsidRPr="00234DC0" w:rsidRDefault="004C58C3" w:rsidP="004C58C3">
            <w:pPr>
              <w:tabs>
                <w:tab w:val="decimal" w:pos="797"/>
              </w:tabs>
              <w:contextualSpacing/>
              <w:rPr>
                <w:bCs/>
                <w:sz w:val="18"/>
                <w:szCs w:val="18"/>
              </w:rPr>
            </w:pPr>
            <w:r w:rsidRPr="003E37EE">
              <w:rPr>
                <w:bCs/>
                <w:sz w:val="18"/>
                <w:szCs w:val="18"/>
              </w:rPr>
              <w:t>2,516</w:t>
            </w:r>
          </w:p>
        </w:tc>
        <w:tc>
          <w:tcPr>
            <w:tcW w:w="990" w:type="dxa"/>
            <w:tcBorders>
              <w:left w:val="nil"/>
              <w:right w:val="nil"/>
            </w:tcBorders>
            <w:shd w:val="clear" w:color="auto" w:fill="auto"/>
          </w:tcPr>
          <w:p w14:paraId="56739590" w14:textId="77777777" w:rsidR="004C58C3" w:rsidRPr="00234DC0" w:rsidRDefault="004C58C3" w:rsidP="004C58C3">
            <w:pPr>
              <w:tabs>
                <w:tab w:val="decimal" w:pos="797"/>
              </w:tabs>
              <w:contextualSpacing/>
              <w:rPr>
                <w:bCs/>
                <w:sz w:val="18"/>
                <w:szCs w:val="18"/>
              </w:rPr>
            </w:pPr>
            <w:r w:rsidRPr="003E37EE">
              <w:rPr>
                <w:bCs/>
                <w:sz w:val="18"/>
                <w:szCs w:val="18"/>
              </w:rPr>
              <w:t>4,964</w:t>
            </w:r>
          </w:p>
        </w:tc>
        <w:tc>
          <w:tcPr>
            <w:tcW w:w="990" w:type="dxa"/>
            <w:gridSpan w:val="2"/>
            <w:tcBorders>
              <w:left w:val="nil"/>
              <w:right w:val="nil"/>
            </w:tcBorders>
            <w:shd w:val="clear" w:color="auto" w:fill="auto"/>
          </w:tcPr>
          <w:p w14:paraId="2B3D87A9" w14:textId="77777777" w:rsidR="004C58C3" w:rsidRPr="003E37EE" w:rsidRDefault="004C58C3" w:rsidP="004C58C3">
            <w:pPr>
              <w:tabs>
                <w:tab w:val="decimal" w:pos="797"/>
              </w:tabs>
              <w:contextualSpacing/>
              <w:rPr>
                <w:bCs/>
                <w:sz w:val="18"/>
                <w:szCs w:val="18"/>
              </w:rPr>
            </w:pPr>
            <w:r>
              <w:rPr>
                <w:sz w:val="18"/>
                <w:szCs w:val="18"/>
              </w:rPr>
              <w:t>0.7</w:t>
            </w:r>
          </w:p>
        </w:tc>
        <w:tc>
          <w:tcPr>
            <w:tcW w:w="990" w:type="dxa"/>
            <w:tcBorders>
              <w:left w:val="nil"/>
              <w:right w:val="nil"/>
            </w:tcBorders>
            <w:shd w:val="clear" w:color="auto" w:fill="auto"/>
          </w:tcPr>
          <w:p w14:paraId="728A29C5" w14:textId="77777777" w:rsidR="004C58C3" w:rsidRPr="003E37EE" w:rsidRDefault="004C58C3" w:rsidP="004C58C3">
            <w:pPr>
              <w:tabs>
                <w:tab w:val="decimal" w:pos="797"/>
              </w:tabs>
              <w:contextualSpacing/>
              <w:rPr>
                <w:bCs/>
                <w:sz w:val="18"/>
                <w:szCs w:val="18"/>
              </w:rPr>
            </w:pPr>
            <w:r>
              <w:rPr>
                <w:bCs/>
                <w:sz w:val="18"/>
                <w:szCs w:val="18"/>
              </w:rPr>
              <w:t>2.0</w:t>
            </w:r>
          </w:p>
        </w:tc>
        <w:tc>
          <w:tcPr>
            <w:tcW w:w="991" w:type="dxa"/>
            <w:tcBorders>
              <w:left w:val="nil"/>
              <w:right w:val="nil"/>
            </w:tcBorders>
            <w:shd w:val="clear" w:color="auto" w:fill="auto"/>
          </w:tcPr>
          <w:p w14:paraId="3971606E" w14:textId="77777777" w:rsidR="004C58C3" w:rsidRPr="003E37EE" w:rsidRDefault="004C58C3" w:rsidP="004C58C3">
            <w:pPr>
              <w:tabs>
                <w:tab w:val="decimal" w:pos="797"/>
              </w:tabs>
              <w:contextualSpacing/>
              <w:rPr>
                <w:bCs/>
                <w:sz w:val="18"/>
                <w:szCs w:val="18"/>
              </w:rPr>
            </w:pPr>
            <w:r>
              <w:rPr>
                <w:bCs/>
                <w:sz w:val="18"/>
                <w:szCs w:val="18"/>
              </w:rPr>
              <w:t>3.3</w:t>
            </w:r>
          </w:p>
        </w:tc>
      </w:tr>
      <w:tr w:rsidR="004C58C3" w:rsidRPr="003E37EE" w14:paraId="46CA9D94" w14:textId="77777777" w:rsidTr="00B213DC">
        <w:trPr>
          <w:cnfStyle w:val="000000010000" w:firstRow="0" w:lastRow="0" w:firstColumn="0" w:lastColumn="0" w:oddVBand="0" w:evenVBand="0" w:oddHBand="0" w:evenHBand="1" w:firstRowFirstColumn="0" w:firstRowLastColumn="0" w:lastRowFirstColumn="0" w:lastRowLastColumn="0"/>
        </w:trPr>
        <w:tc>
          <w:tcPr>
            <w:tcW w:w="3509" w:type="dxa"/>
            <w:tcBorders>
              <w:left w:val="nil"/>
              <w:right w:val="nil"/>
            </w:tcBorders>
            <w:shd w:val="clear" w:color="auto" w:fill="auto"/>
          </w:tcPr>
          <w:p w14:paraId="3BBD9D82" w14:textId="77777777" w:rsidR="004C58C3" w:rsidRPr="003E37EE" w:rsidRDefault="004C58C3" w:rsidP="004C58C3">
            <w:pPr>
              <w:ind w:left="27"/>
              <w:contextualSpacing/>
              <w:rPr>
                <w:bCs/>
                <w:sz w:val="18"/>
                <w:szCs w:val="18"/>
              </w:rPr>
            </w:pPr>
            <w:r w:rsidRPr="004C58C3">
              <w:rPr>
                <w:bCs/>
                <w:sz w:val="18"/>
                <w:szCs w:val="18"/>
              </w:rPr>
              <w:t>Outcomes Based on Survey Data</w:t>
            </w:r>
          </w:p>
        </w:tc>
        <w:tc>
          <w:tcPr>
            <w:tcW w:w="990" w:type="dxa"/>
            <w:gridSpan w:val="2"/>
            <w:tcBorders>
              <w:left w:val="nil"/>
              <w:right w:val="nil"/>
            </w:tcBorders>
            <w:shd w:val="clear" w:color="auto" w:fill="auto"/>
          </w:tcPr>
          <w:p w14:paraId="7450675B" w14:textId="77777777" w:rsidR="004C58C3" w:rsidRPr="00234DC0" w:rsidRDefault="004C58C3" w:rsidP="004C58C3">
            <w:pPr>
              <w:tabs>
                <w:tab w:val="decimal" w:pos="797"/>
              </w:tabs>
              <w:contextualSpacing/>
              <w:rPr>
                <w:bCs/>
                <w:sz w:val="18"/>
                <w:szCs w:val="18"/>
              </w:rPr>
            </w:pPr>
            <w:r w:rsidRPr="00234DC0">
              <w:rPr>
                <w:color w:val="000000"/>
                <w:sz w:val="18"/>
                <w:szCs w:val="18"/>
              </w:rPr>
              <w:t>1</w:t>
            </w:r>
            <w:r>
              <w:rPr>
                <w:color w:val="000000"/>
                <w:sz w:val="18"/>
                <w:szCs w:val="18"/>
              </w:rPr>
              <w:t>,</w:t>
            </w:r>
            <w:r w:rsidRPr="00234DC0">
              <w:rPr>
                <w:color w:val="000000"/>
                <w:sz w:val="18"/>
                <w:szCs w:val="18"/>
              </w:rPr>
              <w:t>714</w:t>
            </w:r>
          </w:p>
        </w:tc>
        <w:tc>
          <w:tcPr>
            <w:tcW w:w="990" w:type="dxa"/>
            <w:gridSpan w:val="2"/>
            <w:tcBorders>
              <w:left w:val="nil"/>
              <w:right w:val="nil"/>
            </w:tcBorders>
            <w:shd w:val="clear" w:color="auto" w:fill="auto"/>
          </w:tcPr>
          <w:p w14:paraId="4B99F3D0" w14:textId="77777777" w:rsidR="004C58C3" w:rsidRPr="00234DC0" w:rsidRDefault="004C58C3" w:rsidP="004C58C3">
            <w:pPr>
              <w:tabs>
                <w:tab w:val="decimal" w:pos="797"/>
              </w:tabs>
              <w:contextualSpacing/>
              <w:rPr>
                <w:bCs/>
                <w:sz w:val="18"/>
                <w:szCs w:val="18"/>
              </w:rPr>
            </w:pPr>
            <w:r w:rsidRPr="00234DC0">
              <w:rPr>
                <w:color w:val="000000"/>
                <w:sz w:val="18"/>
                <w:szCs w:val="18"/>
              </w:rPr>
              <w:t>1</w:t>
            </w:r>
            <w:r>
              <w:rPr>
                <w:color w:val="000000"/>
                <w:sz w:val="18"/>
                <w:szCs w:val="18"/>
              </w:rPr>
              <w:t>,</w:t>
            </w:r>
            <w:r w:rsidRPr="00234DC0">
              <w:rPr>
                <w:color w:val="000000"/>
                <w:sz w:val="18"/>
                <w:szCs w:val="18"/>
              </w:rPr>
              <w:t>761</w:t>
            </w:r>
          </w:p>
        </w:tc>
        <w:tc>
          <w:tcPr>
            <w:tcW w:w="990" w:type="dxa"/>
            <w:tcBorders>
              <w:left w:val="nil"/>
              <w:right w:val="nil"/>
            </w:tcBorders>
            <w:shd w:val="clear" w:color="auto" w:fill="auto"/>
          </w:tcPr>
          <w:p w14:paraId="6C2B3FD0" w14:textId="77777777" w:rsidR="004C58C3" w:rsidRPr="00234DC0" w:rsidRDefault="004C58C3" w:rsidP="004C58C3">
            <w:pPr>
              <w:tabs>
                <w:tab w:val="decimal" w:pos="797"/>
              </w:tabs>
              <w:contextualSpacing/>
              <w:rPr>
                <w:bCs/>
                <w:sz w:val="18"/>
                <w:szCs w:val="18"/>
              </w:rPr>
            </w:pPr>
            <w:r w:rsidRPr="00234DC0">
              <w:rPr>
                <w:color w:val="000000"/>
                <w:sz w:val="18"/>
                <w:szCs w:val="18"/>
              </w:rPr>
              <w:t>3</w:t>
            </w:r>
            <w:r>
              <w:rPr>
                <w:color w:val="000000"/>
                <w:sz w:val="18"/>
                <w:szCs w:val="18"/>
              </w:rPr>
              <w:t>,</w:t>
            </w:r>
            <w:r w:rsidRPr="00234DC0">
              <w:rPr>
                <w:color w:val="000000"/>
                <w:sz w:val="18"/>
                <w:szCs w:val="18"/>
              </w:rPr>
              <w:t>475</w:t>
            </w:r>
          </w:p>
        </w:tc>
        <w:tc>
          <w:tcPr>
            <w:tcW w:w="990" w:type="dxa"/>
            <w:gridSpan w:val="2"/>
            <w:tcBorders>
              <w:left w:val="nil"/>
              <w:right w:val="nil"/>
            </w:tcBorders>
            <w:shd w:val="clear" w:color="auto" w:fill="auto"/>
          </w:tcPr>
          <w:p w14:paraId="523BF2D1" w14:textId="77777777" w:rsidR="004C58C3" w:rsidRPr="003E37EE" w:rsidRDefault="004C58C3" w:rsidP="004C58C3">
            <w:pPr>
              <w:tabs>
                <w:tab w:val="decimal" w:pos="797"/>
              </w:tabs>
              <w:contextualSpacing/>
              <w:rPr>
                <w:sz w:val="18"/>
                <w:szCs w:val="18"/>
              </w:rPr>
            </w:pPr>
            <w:r>
              <w:rPr>
                <w:sz w:val="18"/>
                <w:szCs w:val="18"/>
              </w:rPr>
              <w:t xml:space="preserve">         0.8</w:t>
            </w:r>
          </w:p>
        </w:tc>
        <w:tc>
          <w:tcPr>
            <w:tcW w:w="990" w:type="dxa"/>
            <w:tcBorders>
              <w:left w:val="nil"/>
              <w:right w:val="nil"/>
            </w:tcBorders>
            <w:shd w:val="clear" w:color="auto" w:fill="auto"/>
          </w:tcPr>
          <w:p w14:paraId="60DF1743" w14:textId="77777777" w:rsidR="004C58C3" w:rsidRPr="003E37EE" w:rsidRDefault="004C58C3" w:rsidP="004C58C3">
            <w:pPr>
              <w:tabs>
                <w:tab w:val="decimal" w:pos="797"/>
              </w:tabs>
              <w:contextualSpacing/>
              <w:rPr>
                <w:bCs/>
                <w:sz w:val="18"/>
                <w:szCs w:val="18"/>
              </w:rPr>
            </w:pPr>
            <w:r>
              <w:rPr>
                <w:bCs/>
                <w:sz w:val="18"/>
                <w:szCs w:val="18"/>
              </w:rPr>
              <w:t>2.4</w:t>
            </w:r>
          </w:p>
        </w:tc>
        <w:tc>
          <w:tcPr>
            <w:tcW w:w="991" w:type="dxa"/>
            <w:tcBorders>
              <w:left w:val="nil"/>
              <w:right w:val="nil"/>
            </w:tcBorders>
            <w:shd w:val="clear" w:color="auto" w:fill="auto"/>
          </w:tcPr>
          <w:p w14:paraId="698C4F49" w14:textId="77777777" w:rsidR="004C58C3" w:rsidRPr="003E37EE" w:rsidRDefault="004C58C3" w:rsidP="004C58C3">
            <w:pPr>
              <w:tabs>
                <w:tab w:val="decimal" w:pos="797"/>
              </w:tabs>
              <w:contextualSpacing/>
              <w:rPr>
                <w:bCs/>
                <w:sz w:val="18"/>
                <w:szCs w:val="18"/>
              </w:rPr>
            </w:pPr>
            <w:r>
              <w:rPr>
                <w:bCs/>
                <w:sz w:val="18"/>
                <w:szCs w:val="18"/>
              </w:rPr>
              <w:t>3.9</w:t>
            </w:r>
          </w:p>
        </w:tc>
      </w:tr>
      <w:tr w:rsidR="004C58C3" w:rsidRPr="00EB5C9A" w14:paraId="7747C317" w14:textId="77777777" w:rsidTr="00B213DC">
        <w:trPr>
          <w:cnfStyle w:val="000000100000" w:firstRow="0" w:lastRow="0" w:firstColumn="0" w:lastColumn="0" w:oddVBand="0" w:evenVBand="0" w:oddHBand="1" w:evenHBand="0" w:firstRowFirstColumn="0" w:firstRowLastColumn="0" w:lastRowFirstColumn="0" w:lastRowLastColumn="0"/>
        </w:trPr>
        <w:tc>
          <w:tcPr>
            <w:tcW w:w="9450" w:type="dxa"/>
            <w:gridSpan w:val="10"/>
            <w:tcBorders>
              <w:top w:val="single" w:sz="4" w:space="0" w:color="auto"/>
              <w:left w:val="nil"/>
              <w:right w:val="nil"/>
            </w:tcBorders>
            <w:shd w:val="clear" w:color="auto" w:fill="D0D3D4" w:themeFill="background2"/>
          </w:tcPr>
          <w:p w14:paraId="660C0C7B" w14:textId="77777777" w:rsidR="004C58C3" w:rsidRPr="005543EC" w:rsidRDefault="004C58C3" w:rsidP="004C58C3">
            <w:pPr>
              <w:tabs>
                <w:tab w:val="decimal" w:pos="797"/>
              </w:tabs>
              <w:contextualSpacing/>
              <w:rPr>
                <w:b/>
                <w:bCs/>
                <w:sz w:val="18"/>
                <w:szCs w:val="18"/>
                <w:vertAlign w:val="superscript"/>
              </w:rPr>
            </w:pPr>
            <w:r>
              <w:rPr>
                <w:b/>
                <w:bCs/>
                <w:sz w:val="18"/>
                <w:szCs w:val="18"/>
              </w:rPr>
              <w:t>Panel D</w:t>
            </w:r>
            <w:r w:rsidRPr="004C58C3">
              <w:rPr>
                <w:b/>
                <w:bCs/>
                <w:sz w:val="18"/>
                <w:szCs w:val="18"/>
              </w:rPr>
              <w:t xml:space="preserve">: </w:t>
            </w:r>
            <w:r>
              <w:rPr>
                <w:b/>
                <w:bCs/>
                <w:sz w:val="18"/>
                <w:szCs w:val="18"/>
              </w:rPr>
              <w:t>Subgroup Impacts</w:t>
            </w:r>
            <w:r w:rsidR="005543EC">
              <w:rPr>
                <w:b/>
                <w:bCs/>
                <w:sz w:val="18"/>
                <w:szCs w:val="18"/>
              </w:rPr>
              <w:t xml:space="preserve"> </w:t>
            </w:r>
            <w:r w:rsidR="005543EC">
              <w:rPr>
                <w:b/>
                <w:bCs/>
                <w:sz w:val="18"/>
                <w:szCs w:val="18"/>
                <w:vertAlign w:val="superscript"/>
              </w:rPr>
              <w:t>c</w:t>
            </w:r>
          </w:p>
        </w:tc>
      </w:tr>
      <w:tr w:rsidR="004C58C3" w:rsidRPr="003E37EE" w14:paraId="28F9B943" w14:textId="77777777" w:rsidTr="00B213DC">
        <w:trPr>
          <w:cnfStyle w:val="000000010000" w:firstRow="0" w:lastRow="0" w:firstColumn="0" w:lastColumn="0" w:oddVBand="0" w:evenVBand="0" w:oddHBand="0" w:evenHBand="1" w:firstRowFirstColumn="0" w:firstRowLastColumn="0" w:lastRowFirstColumn="0" w:lastRowLastColumn="0"/>
        </w:trPr>
        <w:tc>
          <w:tcPr>
            <w:tcW w:w="3509" w:type="dxa"/>
            <w:tcBorders>
              <w:left w:val="nil"/>
              <w:right w:val="nil"/>
            </w:tcBorders>
            <w:shd w:val="clear" w:color="auto" w:fill="auto"/>
          </w:tcPr>
          <w:p w14:paraId="17144597" w14:textId="77777777" w:rsidR="004C58C3" w:rsidRPr="003E37EE" w:rsidRDefault="004C58C3" w:rsidP="004C58C3">
            <w:pPr>
              <w:ind w:left="27"/>
              <w:contextualSpacing/>
              <w:rPr>
                <w:bCs/>
                <w:sz w:val="18"/>
                <w:szCs w:val="18"/>
              </w:rPr>
            </w:pPr>
            <w:r w:rsidRPr="004C58C3">
              <w:rPr>
                <w:bCs/>
                <w:sz w:val="18"/>
                <w:szCs w:val="18"/>
              </w:rPr>
              <w:t>Outcomes Based on Administrative Data and Survey Data</w:t>
            </w:r>
          </w:p>
        </w:tc>
        <w:tc>
          <w:tcPr>
            <w:tcW w:w="990" w:type="dxa"/>
            <w:gridSpan w:val="2"/>
            <w:tcBorders>
              <w:left w:val="nil"/>
              <w:right w:val="nil"/>
            </w:tcBorders>
            <w:shd w:val="clear" w:color="auto" w:fill="auto"/>
          </w:tcPr>
          <w:p w14:paraId="7FBE6B9F" w14:textId="77777777" w:rsidR="004C58C3" w:rsidRPr="00234DC0" w:rsidRDefault="004C58C3" w:rsidP="004C58C3">
            <w:pPr>
              <w:tabs>
                <w:tab w:val="decimal" w:pos="797"/>
              </w:tabs>
              <w:contextualSpacing/>
              <w:rPr>
                <w:bCs/>
                <w:sz w:val="18"/>
                <w:szCs w:val="18"/>
              </w:rPr>
            </w:pPr>
            <w:r>
              <w:rPr>
                <w:bCs/>
                <w:sz w:val="18"/>
                <w:szCs w:val="18"/>
              </w:rPr>
              <w:t>1,224</w:t>
            </w:r>
          </w:p>
        </w:tc>
        <w:tc>
          <w:tcPr>
            <w:tcW w:w="990" w:type="dxa"/>
            <w:gridSpan w:val="2"/>
            <w:tcBorders>
              <w:left w:val="nil"/>
              <w:right w:val="nil"/>
            </w:tcBorders>
            <w:shd w:val="clear" w:color="auto" w:fill="auto"/>
          </w:tcPr>
          <w:p w14:paraId="4733B4B0" w14:textId="77777777" w:rsidR="004C58C3" w:rsidRPr="00234DC0" w:rsidRDefault="004C58C3" w:rsidP="004C58C3">
            <w:pPr>
              <w:tabs>
                <w:tab w:val="decimal" w:pos="797"/>
              </w:tabs>
              <w:contextualSpacing/>
              <w:rPr>
                <w:bCs/>
                <w:sz w:val="18"/>
                <w:szCs w:val="18"/>
              </w:rPr>
            </w:pPr>
            <w:r>
              <w:rPr>
                <w:bCs/>
                <w:sz w:val="18"/>
                <w:szCs w:val="18"/>
              </w:rPr>
              <w:t>1,661</w:t>
            </w:r>
          </w:p>
        </w:tc>
        <w:tc>
          <w:tcPr>
            <w:tcW w:w="990" w:type="dxa"/>
            <w:tcBorders>
              <w:left w:val="nil"/>
              <w:right w:val="nil"/>
            </w:tcBorders>
            <w:shd w:val="clear" w:color="auto" w:fill="auto"/>
          </w:tcPr>
          <w:p w14:paraId="25A79C94" w14:textId="77777777" w:rsidR="004C58C3" w:rsidRPr="00234DC0" w:rsidRDefault="004C58C3" w:rsidP="004C58C3">
            <w:pPr>
              <w:tabs>
                <w:tab w:val="decimal" w:pos="797"/>
              </w:tabs>
              <w:contextualSpacing/>
              <w:rPr>
                <w:bCs/>
                <w:sz w:val="18"/>
                <w:szCs w:val="18"/>
              </w:rPr>
            </w:pPr>
            <w:r>
              <w:rPr>
                <w:bCs/>
                <w:sz w:val="18"/>
                <w:szCs w:val="18"/>
              </w:rPr>
              <w:t>2,885</w:t>
            </w:r>
          </w:p>
        </w:tc>
        <w:tc>
          <w:tcPr>
            <w:tcW w:w="990" w:type="dxa"/>
            <w:gridSpan w:val="2"/>
            <w:tcBorders>
              <w:left w:val="nil"/>
              <w:right w:val="nil"/>
            </w:tcBorders>
            <w:shd w:val="clear" w:color="auto" w:fill="auto"/>
          </w:tcPr>
          <w:p w14:paraId="2A2EAF09" w14:textId="77777777" w:rsidR="004C58C3" w:rsidRPr="003E37EE" w:rsidRDefault="004C58C3" w:rsidP="004C58C3">
            <w:pPr>
              <w:tabs>
                <w:tab w:val="decimal" w:pos="797"/>
              </w:tabs>
              <w:contextualSpacing/>
              <w:rPr>
                <w:bCs/>
                <w:sz w:val="18"/>
                <w:szCs w:val="18"/>
              </w:rPr>
            </w:pPr>
            <w:r>
              <w:rPr>
                <w:bCs/>
                <w:sz w:val="18"/>
                <w:szCs w:val="18"/>
              </w:rPr>
              <w:t>0.9</w:t>
            </w:r>
          </w:p>
        </w:tc>
        <w:tc>
          <w:tcPr>
            <w:tcW w:w="990" w:type="dxa"/>
            <w:tcBorders>
              <w:left w:val="nil"/>
              <w:right w:val="nil"/>
            </w:tcBorders>
            <w:shd w:val="clear" w:color="auto" w:fill="auto"/>
          </w:tcPr>
          <w:p w14:paraId="5BFDBADE" w14:textId="77777777" w:rsidR="004C58C3" w:rsidRPr="003E37EE" w:rsidRDefault="004C58C3" w:rsidP="004C58C3">
            <w:pPr>
              <w:tabs>
                <w:tab w:val="decimal" w:pos="797"/>
              </w:tabs>
              <w:contextualSpacing/>
              <w:rPr>
                <w:bCs/>
                <w:sz w:val="18"/>
                <w:szCs w:val="18"/>
              </w:rPr>
            </w:pPr>
            <w:r>
              <w:rPr>
                <w:bCs/>
                <w:sz w:val="18"/>
                <w:szCs w:val="18"/>
              </w:rPr>
              <w:t>2.8</w:t>
            </w:r>
          </w:p>
        </w:tc>
        <w:tc>
          <w:tcPr>
            <w:tcW w:w="991" w:type="dxa"/>
            <w:tcBorders>
              <w:left w:val="nil"/>
              <w:right w:val="nil"/>
            </w:tcBorders>
            <w:shd w:val="clear" w:color="auto" w:fill="auto"/>
          </w:tcPr>
          <w:p w14:paraId="2FF6C53E" w14:textId="77777777" w:rsidR="004C58C3" w:rsidRPr="003E37EE" w:rsidRDefault="004C58C3" w:rsidP="004C58C3">
            <w:pPr>
              <w:tabs>
                <w:tab w:val="decimal" w:pos="797"/>
              </w:tabs>
              <w:contextualSpacing/>
              <w:rPr>
                <w:bCs/>
                <w:sz w:val="18"/>
                <w:szCs w:val="18"/>
              </w:rPr>
            </w:pPr>
            <w:r>
              <w:rPr>
                <w:bCs/>
                <w:sz w:val="18"/>
                <w:szCs w:val="18"/>
              </w:rPr>
              <w:t>4.7</w:t>
            </w:r>
          </w:p>
        </w:tc>
      </w:tr>
      <w:tr w:rsidR="004C58C3" w14:paraId="03DCCD2F" w14:textId="77777777" w:rsidTr="00B213DC">
        <w:trPr>
          <w:cnfStyle w:val="000000100000" w:firstRow="0" w:lastRow="0" w:firstColumn="0" w:lastColumn="0" w:oddVBand="0" w:evenVBand="0" w:oddHBand="1" w:evenHBand="0" w:firstRowFirstColumn="0" w:firstRowLastColumn="0" w:lastRowFirstColumn="0" w:lastRowLastColumn="0"/>
        </w:trPr>
        <w:tc>
          <w:tcPr>
            <w:tcW w:w="3509" w:type="dxa"/>
            <w:tcBorders>
              <w:left w:val="nil"/>
              <w:bottom w:val="single" w:sz="18" w:space="0" w:color="000000" w:themeColor="text1"/>
              <w:right w:val="nil"/>
            </w:tcBorders>
            <w:shd w:val="clear" w:color="auto" w:fill="auto"/>
          </w:tcPr>
          <w:p w14:paraId="0F44FBBC" w14:textId="77777777" w:rsidR="004C58C3" w:rsidRPr="003E37EE" w:rsidRDefault="004C58C3" w:rsidP="004C58C3">
            <w:pPr>
              <w:ind w:left="27"/>
              <w:contextualSpacing/>
              <w:rPr>
                <w:bCs/>
                <w:sz w:val="18"/>
                <w:szCs w:val="18"/>
              </w:rPr>
            </w:pPr>
            <w:r w:rsidRPr="004C58C3">
              <w:rPr>
                <w:bCs/>
                <w:sz w:val="18"/>
                <w:szCs w:val="18"/>
              </w:rPr>
              <w:t>Outcomes Based on Survey Data</w:t>
            </w:r>
          </w:p>
        </w:tc>
        <w:tc>
          <w:tcPr>
            <w:tcW w:w="990" w:type="dxa"/>
            <w:gridSpan w:val="2"/>
            <w:tcBorders>
              <w:left w:val="nil"/>
              <w:bottom w:val="single" w:sz="18" w:space="0" w:color="000000" w:themeColor="text1"/>
              <w:right w:val="nil"/>
            </w:tcBorders>
            <w:shd w:val="clear" w:color="auto" w:fill="auto"/>
          </w:tcPr>
          <w:p w14:paraId="647A1E35" w14:textId="77777777" w:rsidR="004C58C3" w:rsidRPr="00234DC0" w:rsidRDefault="004C58C3" w:rsidP="004C58C3">
            <w:pPr>
              <w:tabs>
                <w:tab w:val="decimal" w:pos="797"/>
              </w:tabs>
              <w:contextualSpacing/>
              <w:rPr>
                <w:bCs/>
                <w:sz w:val="18"/>
                <w:szCs w:val="18"/>
              </w:rPr>
            </w:pPr>
            <w:r w:rsidRPr="00234DC0">
              <w:rPr>
                <w:color w:val="000000"/>
                <w:sz w:val="18"/>
                <w:szCs w:val="18"/>
              </w:rPr>
              <w:t>857</w:t>
            </w:r>
          </w:p>
        </w:tc>
        <w:tc>
          <w:tcPr>
            <w:tcW w:w="990" w:type="dxa"/>
            <w:gridSpan w:val="2"/>
            <w:tcBorders>
              <w:left w:val="nil"/>
              <w:bottom w:val="single" w:sz="18" w:space="0" w:color="000000" w:themeColor="text1"/>
              <w:right w:val="nil"/>
            </w:tcBorders>
            <w:shd w:val="clear" w:color="auto" w:fill="auto"/>
          </w:tcPr>
          <w:p w14:paraId="3BE5B8F6" w14:textId="77777777" w:rsidR="004C58C3" w:rsidRPr="00234DC0" w:rsidRDefault="004C58C3" w:rsidP="004C58C3">
            <w:pPr>
              <w:tabs>
                <w:tab w:val="decimal" w:pos="797"/>
              </w:tabs>
              <w:contextualSpacing/>
              <w:rPr>
                <w:bCs/>
                <w:sz w:val="18"/>
                <w:szCs w:val="18"/>
              </w:rPr>
            </w:pPr>
            <w:r w:rsidRPr="00234DC0">
              <w:rPr>
                <w:color w:val="000000"/>
                <w:sz w:val="18"/>
                <w:szCs w:val="18"/>
              </w:rPr>
              <w:t>1</w:t>
            </w:r>
            <w:r>
              <w:rPr>
                <w:color w:val="000000"/>
                <w:sz w:val="18"/>
                <w:szCs w:val="18"/>
              </w:rPr>
              <w:t>,</w:t>
            </w:r>
            <w:r w:rsidRPr="00234DC0">
              <w:rPr>
                <w:color w:val="000000"/>
                <w:sz w:val="18"/>
                <w:szCs w:val="18"/>
              </w:rPr>
              <w:t>163</w:t>
            </w:r>
          </w:p>
        </w:tc>
        <w:tc>
          <w:tcPr>
            <w:tcW w:w="990" w:type="dxa"/>
            <w:tcBorders>
              <w:left w:val="nil"/>
              <w:bottom w:val="single" w:sz="18" w:space="0" w:color="000000" w:themeColor="text1"/>
              <w:right w:val="nil"/>
            </w:tcBorders>
            <w:shd w:val="clear" w:color="auto" w:fill="auto"/>
          </w:tcPr>
          <w:p w14:paraId="76F589CF" w14:textId="77777777" w:rsidR="004C58C3" w:rsidRPr="00234DC0" w:rsidRDefault="004C58C3" w:rsidP="004C58C3">
            <w:pPr>
              <w:tabs>
                <w:tab w:val="decimal" w:pos="797"/>
              </w:tabs>
              <w:contextualSpacing/>
              <w:rPr>
                <w:bCs/>
                <w:sz w:val="18"/>
                <w:szCs w:val="18"/>
              </w:rPr>
            </w:pPr>
            <w:r w:rsidRPr="00234DC0">
              <w:rPr>
                <w:color w:val="000000"/>
                <w:sz w:val="18"/>
                <w:szCs w:val="18"/>
              </w:rPr>
              <w:t>2</w:t>
            </w:r>
            <w:r>
              <w:rPr>
                <w:color w:val="000000"/>
                <w:sz w:val="18"/>
                <w:szCs w:val="18"/>
              </w:rPr>
              <w:t>,</w:t>
            </w:r>
            <w:r w:rsidRPr="00234DC0">
              <w:rPr>
                <w:color w:val="000000"/>
                <w:sz w:val="18"/>
                <w:szCs w:val="18"/>
              </w:rPr>
              <w:t>020</w:t>
            </w:r>
          </w:p>
        </w:tc>
        <w:tc>
          <w:tcPr>
            <w:tcW w:w="990" w:type="dxa"/>
            <w:gridSpan w:val="2"/>
            <w:tcBorders>
              <w:left w:val="nil"/>
              <w:bottom w:val="single" w:sz="18" w:space="0" w:color="000000" w:themeColor="text1"/>
              <w:right w:val="nil"/>
            </w:tcBorders>
            <w:shd w:val="clear" w:color="auto" w:fill="auto"/>
          </w:tcPr>
          <w:p w14:paraId="44B4BF3D" w14:textId="77777777" w:rsidR="004C58C3" w:rsidRPr="003E37EE" w:rsidRDefault="004C58C3" w:rsidP="004C58C3">
            <w:pPr>
              <w:tabs>
                <w:tab w:val="decimal" w:pos="797"/>
              </w:tabs>
              <w:contextualSpacing/>
              <w:rPr>
                <w:bCs/>
                <w:sz w:val="18"/>
                <w:szCs w:val="18"/>
              </w:rPr>
            </w:pPr>
            <w:r>
              <w:rPr>
                <w:bCs/>
                <w:sz w:val="18"/>
                <w:szCs w:val="18"/>
              </w:rPr>
              <w:t>1.1</w:t>
            </w:r>
          </w:p>
        </w:tc>
        <w:tc>
          <w:tcPr>
            <w:tcW w:w="990" w:type="dxa"/>
            <w:tcBorders>
              <w:left w:val="nil"/>
              <w:bottom w:val="single" w:sz="18" w:space="0" w:color="000000" w:themeColor="text1"/>
              <w:right w:val="nil"/>
            </w:tcBorders>
            <w:shd w:val="clear" w:color="auto" w:fill="auto"/>
          </w:tcPr>
          <w:p w14:paraId="65195682" w14:textId="77777777" w:rsidR="004C58C3" w:rsidRDefault="004C58C3" w:rsidP="004C58C3">
            <w:pPr>
              <w:tabs>
                <w:tab w:val="decimal" w:pos="797"/>
              </w:tabs>
              <w:contextualSpacing/>
              <w:rPr>
                <w:bCs/>
                <w:sz w:val="18"/>
                <w:szCs w:val="18"/>
              </w:rPr>
            </w:pPr>
            <w:r>
              <w:rPr>
                <w:bCs/>
                <w:sz w:val="18"/>
                <w:szCs w:val="18"/>
              </w:rPr>
              <w:t>3.4</w:t>
            </w:r>
          </w:p>
        </w:tc>
        <w:tc>
          <w:tcPr>
            <w:tcW w:w="991" w:type="dxa"/>
            <w:tcBorders>
              <w:left w:val="nil"/>
              <w:bottom w:val="single" w:sz="18" w:space="0" w:color="000000" w:themeColor="text1"/>
              <w:right w:val="nil"/>
            </w:tcBorders>
            <w:shd w:val="clear" w:color="auto" w:fill="auto"/>
          </w:tcPr>
          <w:p w14:paraId="1818A0C8" w14:textId="77777777" w:rsidR="004C58C3" w:rsidRDefault="004C58C3" w:rsidP="004C58C3">
            <w:pPr>
              <w:tabs>
                <w:tab w:val="decimal" w:pos="797"/>
              </w:tabs>
              <w:contextualSpacing/>
              <w:rPr>
                <w:bCs/>
                <w:sz w:val="18"/>
                <w:szCs w:val="18"/>
              </w:rPr>
            </w:pPr>
            <w:r>
              <w:rPr>
                <w:bCs/>
                <w:sz w:val="18"/>
                <w:szCs w:val="18"/>
              </w:rPr>
              <w:t>5.6</w:t>
            </w:r>
          </w:p>
        </w:tc>
      </w:tr>
    </w:tbl>
    <w:p w14:paraId="48B84436" w14:textId="77777777" w:rsidR="004C58C3" w:rsidRPr="00412DF8" w:rsidRDefault="005543EC" w:rsidP="00B213DC">
      <w:pPr>
        <w:pStyle w:val="BodyText"/>
        <w:contextualSpacing/>
        <w:rPr>
          <w:rFonts w:ascii="Arial Narrow" w:hAnsi="Arial Narrow"/>
          <w:sz w:val="18"/>
          <w:szCs w:val="18"/>
        </w:rPr>
      </w:pPr>
      <w:r>
        <w:rPr>
          <w:rFonts w:ascii="Arial Narrow" w:hAnsi="Arial Narrow"/>
          <w:bCs/>
          <w:sz w:val="18"/>
          <w:szCs w:val="18"/>
          <w:vertAlign w:val="superscript"/>
        </w:rPr>
        <w:t>c</w:t>
      </w:r>
      <w:r w:rsidR="004C58C3" w:rsidRPr="00412DF8">
        <w:rPr>
          <w:rFonts w:ascii="Arial Narrow" w:hAnsi="Arial Narrow"/>
          <w:bCs/>
          <w:sz w:val="18"/>
          <w:szCs w:val="18"/>
        </w:rPr>
        <w:t xml:space="preserve"> </w:t>
      </w:r>
      <w:r w:rsidR="004C58C3" w:rsidRPr="00412DF8">
        <w:rPr>
          <w:rFonts w:ascii="Arial Narrow" w:hAnsi="Arial Narrow"/>
          <w:sz w:val="18"/>
          <w:szCs w:val="18"/>
        </w:rPr>
        <w:t>Assumes subgroup comprises 50</w:t>
      </w:r>
      <w:r w:rsidR="00F15507">
        <w:rPr>
          <w:rFonts w:ascii="Arial Narrow" w:hAnsi="Arial Narrow"/>
          <w:sz w:val="18"/>
          <w:szCs w:val="18"/>
        </w:rPr>
        <w:t>.0</w:t>
      </w:r>
      <w:r w:rsidR="004C58C3" w:rsidRPr="00412DF8">
        <w:rPr>
          <w:rFonts w:ascii="Arial Narrow" w:hAnsi="Arial Narrow"/>
          <w:sz w:val="18"/>
          <w:szCs w:val="18"/>
        </w:rPr>
        <w:t xml:space="preserve"> percent of the full sample.</w:t>
      </w:r>
    </w:p>
    <w:p w14:paraId="601DB809" w14:textId="77777777" w:rsidR="00412DF8" w:rsidRDefault="004C58C3" w:rsidP="00B213DC">
      <w:pPr>
        <w:pStyle w:val="BodyText"/>
        <w:contextualSpacing/>
        <w:rPr>
          <w:rFonts w:ascii="Arial Narrow" w:hAnsi="Arial Narrow"/>
          <w:sz w:val="18"/>
          <w:szCs w:val="18"/>
        </w:rPr>
      </w:pPr>
      <w:r w:rsidRPr="00412DF8">
        <w:rPr>
          <w:rFonts w:ascii="Arial Narrow" w:hAnsi="Arial Narrow"/>
          <w:i/>
          <w:sz w:val="18"/>
          <w:szCs w:val="18"/>
        </w:rPr>
        <w:t>Notes</w:t>
      </w:r>
      <w:r w:rsidRPr="00412DF8">
        <w:rPr>
          <w:rFonts w:ascii="Arial Narrow" w:hAnsi="Arial Narrow"/>
          <w:sz w:val="18"/>
          <w:szCs w:val="18"/>
        </w:rPr>
        <w:t xml:space="preserve">: Sample sizes exclude withdrawals. Analysis assumes α = 0.10, two-tailed t-test, </w:t>
      </w:r>
      <w:r>
        <w:rPr>
          <w:rFonts w:ascii="Arial Narrow" w:hAnsi="Arial Narrow"/>
          <w:sz w:val="18"/>
          <w:szCs w:val="18"/>
        </w:rPr>
        <w:t xml:space="preserve">and R-squared of 0.15. </w:t>
      </w:r>
      <w:r w:rsidR="005543EC">
        <w:rPr>
          <w:rFonts w:ascii="Arial Narrow" w:hAnsi="Arial Narrow"/>
          <w:sz w:val="18"/>
          <w:szCs w:val="18"/>
        </w:rPr>
        <w:t>F</w:t>
      </w:r>
      <w:r w:rsidR="005543EC" w:rsidRPr="005543EC">
        <w:rPr>
          <w:rFonts w:ascii="Arial Narrow" w:hAnsi="Arial Narrow"/>
          <w:sz w:val="18"/>
          <w:szCs w:val="18"/>
        </w:rPr>
        <w:t>or outcomes constructed using both administrative data and Long-Term Follow-Up Survey data we assume 0 percent of the sample is missing outcome data</w:t>
      </w:r>
      <w:r w:rsidR="005543EC">
        <w:rPr>
          <w:rFonts w:ascii="Arial Narrow" w:hAnsi="Arial Narrow"/>
          <w:sz w:val="18"/>
          <w:szCs w:val="18"/>
        </w:rPr>
        <w:t xml:space="preserve">. </w:t>
      </w:r>
      <w:r w:rsidRPr="00EB5C9A">
        <w:rPr>
          <w:rFonts w:ascii="Arial Narrow" w:hAnsi="Arial Narrow"/>
          <w:sz w:val="18"/>
          <w:szCs w:val="18"/>
        </w:rPr>
        <w:t>Short Term Impact Report</w:t>
      </w:r>
      <w:r>
        <w:rPr>
          <w:rFonts w:ascii="Arial Narrow" w:hAnsi="Arial Narrow"/>
          <w:sz w:val="18"/>
          <w:szCs w:val="18"/>
        </w:rPr>
        <w:t xml:space="preserve"> analyses indicated </w:t>
      </w:r>
      <w:r w:rsidRPr="00EB5C9A">
        <w:rPr>
          <w:rFonts w:ascii="Arial Narrow" w:hAnsi="Arial Narrow"/>
          <w:sz w:val="18"/>
          <w:szCs w:val="18"/>
        </w:rPr>
        <w:t>that outcomes constructed using short-term follow-up survey data, credit bureau data, lenders’ loan origination and servicing data, and Federal Housing Administration data cover 99+ percent of the sample.</w:t>
      </w:r>
      <w:r>
        <w:rPr>
          <w:rFonts w:ascii="Arial Narrow" w:hAnsi="Arial Narrow"/>
          <w:sz w:val="18"/>
          <w:szCs w:val="18"/>
        </w:rPr>
        <w:t xml:space="preserve"> We assume a 70 percent response rate to the Long-Term Follow-Up Survey and</w:t>
      </w:r>
      <w:r w:rsidR="005543EC">
        <w:rPr>
          <w:rFonts w:ascii="Arial Narrow" w:hAnsi="Arial Narrow"/>
          <w:sz w:val="18"/>
          <w:szCs w:val="18"/>
        </w:rPr>
        <w:t xml:space="preserve"> therefore assume</w:t>
      </w:r>
      <w:r>
        <w:rPr>
          <w:rFonts w:ascii="Arial Narrow" w:hAnsi="Arial Narrow"/>
          <w:sz w:val="18"/>
          <w:szCs w:val="18"/>
        </w:rPr>
        <w:t xml:space="preserve"> outcomes constructed using only Long-Term Follow-Up Survey Data will be missing </w:t>
      </w:r>
      <w:r w:rsidR="00727044">
        <w:rPr>
          <w:rFonts w:ascii="Arial Narrow" w:hAnsi="Arial Narrow"/>
          <w:sz w:val="18"/>
          <w:szCs w:val="18"/>
        </w:rPr>
        <w:t xml:space="preserve">for 30 percent of the sample. </w:t>
      </w:r>
    </w:p>
    <w:p w14:paraId="2375DA28" w14:textId="77777777" w:rsidR="00E61E09" w:rsidRDefault="00E61E09" w:rsidP="00B213DC">
      <w:pPr>
        <w:pStyle w:val="BodyText"/>
        <w:contextualSpacing/>
        <w:rPr>
          <w:rFonts w:ascii="Arial Narrow" w:hAnsi="Arial Narrow"/>
          <w:sz w:val="18"/>
          <w:szCs w:val="18"/>
        </w:rPr>
      </w:pPr>
    </w:p>
    <w:p w14:paraId="0E656ABC" w14:textId="77777777" w:rsidR="00180535" w:rsidRDefault="00180535" w:rsidP="00B213DC">
      <w:pPr>
        <w:pStyle w:val="BodyText"/>
        <w:contextualSpacing/>
        <w:rPr>
          <w:rFonts w:ascii="Arial Narrow" w:hAnsi="Arial Narrow"/>
          <w:sz w:val="18"/>
          <w:szCs w:val="18"/>
        </w:rPr>
      </w:pPr>
    </w:p>
    <w:p w14:paraId="6F2A2B1A" w14:textId="77777777" w:rsidR="00622306" w:rsidRPr="00BA4472" w:rsidRDefault="00622306" w:rsidP="00B213DC">
      <w:pPr>
        <w:pStyle w:val="Heading3"/>
        <w:rPr>
          <w:color w:val="auto"/>
        </w:rPr>
      </w:pPr>
      <w:bookmarkStart w:id="19" w:name="_Toc216772861"/>
      <w:bookmarkStart w:id="20" w:name="_Toc309811845"/>
      <w:bookmarkStart w:id="21" w:name="_Toc402459914"/>
      <w:bookmarkStart w:id="22" w:name="_Toc511642175"/>
      <w:r w:rsidRPr="00BA4472">
        <w:rPr>
          <w:color w:val="auto"/>
        </w:rPr>
        <w:t>Unusual Problems Requiring Specialized Sampling Procedures</w:t>
      </w:r>
      <w:bookmarkEnd w:id="19"/>
      <w:bookmarkEnd w:id="20"/>
      <w:bookmarkEnd w:id="21"/>
      <w:bookmarkEnd w:id="22"/>
    </w:p>
    <w:p w14:paraId="3FC46B9F" w14:textId="77777777" w:rsidR="00622306" w:rsidRPr="00C806E7" w:rsidRDefault="00622306" w:rsidP="00B213DC">
      <w:r w:rsidRPr="00C806E7">
        <w:t xml:space="preserve">There are no </w:t>
      </w:r>
      <w:r w:rsidRPr="00434F63">
        <w:t>unusual</w:t>
      </w:r>
      <w:r w:rsidRPr="00C806E7">
        <w:t xml:space="preserve"> problems associated with this sample.</w:t>
      </w:r>
    </w:p>
    <w:p w14:paraId="6D61913E" w14:textId="77777777" w:rsidR="00622306" w:rsidRPr="00BA4472" w:rsidRDefault="00622306" w:rsidP="00B213DC">
      <w:pPr>
        <w:pStyle w:val="Heading3"/>
        <w:rPr>
          <w:color w:val="auto"/>
        </w:rPr>
      </w:pPr>
      <w:bookmarkStart w:id="23" w:name="_Toc216772862"/>
      <w:bookmarkStart w:id="24" w:name="_Toc309811846"/>
      <w:bookmarkStart w:id="25" w:name="_Toc402459915"/>
      <w:bookmarkStart w:id="26" w:name="_Toc511642176"/>
      <w:r w:rsidRPr="00BA4472">
        <w:rPr>
          <w:color w:val="auto"/>
        </w:rPr>
        <w:t>Any Use of Periodic (less frequent than annual) Data Collection Cycles to Reduce Burden</w:t>
      </w:r>
      <w:bookmarkEnd w:id="23"/>
      <w:bookmarkEnd w:id="24"/>
      <w:bookmarkEnd w:id="25"/>
      <w:bookmarkEnd w:id="26"/>
    </w:p>
    <w:p w14:paraId="530DF999" w14:textId="77777777" w:rsidR="00622306" w:rsidRDefault="00622306" w:rsidP="00B213DC">
      <w:r w:rsidRPr="00C806E7">
        <w:t xml:space="preserve">Not applicable to this </w:t>
      </w:r>
      <w:r w:rsidRPr="00EB7E84">
        <w:t>study</w:t>
      </w:r>
      <w:r>
        <w:t xml:space="preserve">. </w:t>
      </w:r>
    </w:p>
    <w:p w14:paraId="5A2D4902" w14:textId="77777777" w:rsidR="005A436E" w:rsidRPr="00961721" w:rsidRDefault="005A436E" w:rsidP="00961721">
      <w:pPr>
        <w:pStyle w:val="Heading2"/>
        <w:numPr>
          <w:ilvl w:val="0"/>
          <w:numId w:val="33"/>
        </w:numPr>
        <w:ind w:left="450" w:hanging="450"/>
        <w:rPr>
          <w:b w:val="0"/>
          <w:color w:val="000000"/>
        </w:rPr>
      </w:pPr>
      <w:r w:rsidRPr="00961721">
        <w:rPr>
          <w:b w:val="0"/>
          <w:color w:val="00000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59F5D30" w14:textId="77777777" w:rsidR="00FD7906" w:rsidRDefault="00622306" w:rsidP="00B213DC">
      <w:pPr>
        <w:rPr>
          <w:szCs w:val="22"/>
        </w:rPr>
      </w:pPr>
      <w:r w:rsidRPr="0066502C">
        <w:rPr>
          <w:szCs w:val="22"/>
        </w:rPr>
        <w:t xml:space="preserve">The study team </w:t>
      </w:r>
      <w:r w:rsidR="001635D2">
        <w:rPr>
          <w:szCs w:val="22"/>
        </w:rPr>
        <w:t xml:space="preserve">has </w:t>
      </w:r>
      <w:r w:rsidRPr="0066502C">
        <w:rPr>
          <w:szCs w:val="22"/>
        </w:rPr>
        <w:t>undertake</w:t>
      </w:r>
      <w:r w:rsidR="001635D2">
        <w:rPr>
          <w:szCs w:val="22"/>
        </w:rPr>
        <w:t>n</w:t>
      </w:r>
      <w:r w:rsidRPr="0066502C">
        <w:rPr>
          <w:szCs w:val="22"/>
        </w:rPr>
        <w:t xml:space="preserve"> extensive efforts to maximize the response rate</w:t>
      </w:r>
      <w:r>
        <w:rPr>
          <w:szCs w:val="22"/>
        </w:rPr>
        <w:t>s</w:t>
      </w:r>
      <w:r w:rsidRPr="0066502C">
        <w:rPr>
          <w:szCs w:val="22"/>
        </w:rPr>
        <w:t xml:space="preserve"> for the </w:t>
      </w:r>
      <w:r>
        <w:rPr>
          <w:szCs w:val="22"/>
        </w:rPr>
        <w:t>collected data</w:t>
      </w:r>
      <w:r w:rsidR="006F681F">
        <w:rPr>
          <w:szCs w:val="22"/>
        </w:rPr>
        <w:t>.  These efforts are described below</w:t>
      </w:r>
      <w:r w:rsidR="005F685E">
        <w:rPr>
          <w:szCs w:val="22"/>
        </w:rPr>
        <w:t>.</w:t>
      </w:r>
      <w:r>
        <w:rPr>
          <w:szCs w:val="22"/>
        </w:rPr>
        <w:t xml:space="preserve"> </w:t>
      </w:r>
    </w:p>
    <w:p w14:paraId="1656B72F" w14:textId="5DC6D746" w:rsidR="00622306" w:rsidRDefault="00622306" w:rsidP="00B213DC">
      <w:pPr>
        <w:rPr>
          <w:szCs w:val="22"/>
        </w:rPr>
      </w:pPr>
      <w:r>
        <w:rPr>
          <w:szCs w:val="22"/>
        </w:rPr>
        <w:t xml:space="preserve">The loan origination and </w:t>
      </w:r>
      <w:r w:rsidR="00B93E25">
        <w:rPr>
          <w:szCs w:val="22"/>
        </w:rPr>
        <w:t>servicing</w:t>
      </w:r>
      <w:r>
        <w:rPr>
          <w:szCs w:val="22"/>
        </w:rPr>
        <w:t xml:space="preserve"> data</w:t>
      </w:r>
      <w:r w:rsidR="00B93E25">
        <w:rPr>
          <w:szCs w:val="22"/>
        </w:rPr>
        <w:t xml:space="preserve"> from</w:t>
      </w:r>
      <w:r w:rsidR="00246FD6">
        <w:rPr>
          <w:szCs w:val="22"/>
        </w:rPr>
        <w:t xml:space="preserve"> the FHA and</w:t>
      </w:r>
      <w:r w:rsidR="00B93E25">
        <w:rPr>
          <w:szCs w:val="22"/>
        </w:rPr>
        <w:t xml:space="preserve"> participating lender</w:t>
      </w:r>
      <w:r w:rsidR="00246FD6">
        <w:rPr>
          <w:szCs w:val="22"/>
        </w:rPr>
        <w:t>s</w:t>
      </w:r>
      <w:r>
        <w:rPr>
          <w:szCs w:val="22"/>
        </w:rPr>
        <w:t xml:space="preserve"> </w:t>
      </w:r>
      <w:r w:rsidR="00B93E25">
        <w:rPr>
          <w:szCs w:val="22"/>
        </w:rPr>
        <w:t xml:space="preserve">and </w:t>
      </w:r>
      <w:r w:rsidR="00B93E25" w:rsidRPr="00B93E25">
        <w:rPr>
          <w:szCs w:val="22"/>
        </w:rPr>
        <w:t xml:space="preserve">credit bureau data from one of the three major credit bureaus </w:t>
      </w:r>
      <w:r w:rsidR="00B93E25">
        <w:rPr>
          <w:szCs w:val="22"/>
        </w:rPr>
        <w:t>will</w:t>
      </w:r>
      <w:r w:rsidR="00D10288">
        <w:rPr>
          <w:szCs w:val="22"/>
        </w:rPr>
        <w:t xml:space="preserve"> </w:t>
      </w:r>
      <w:r>
        <w:rPr>
          <w:szCs w:val="22"/>
        </w:rPr>
        <w:t>continue</w:t>
      </w:r>
      <w:r w:rsidR="00246FD6">
        <w:rPr>
          <w:szCs w:val="22"/>
        </w:rPr>
        <w:t xml:space="preserve"> to be collected with</w:t>
      </w:r>
      <w:r>
        <w:rPr>
          <w:szCs w:val="22"/>
        </w:rPr>
        <w:t xml:space="preserve"> the processes begun during the initial phase of the study</w:t>
      </w:r>
      <w:r w:rsidR="00246FD6">
        <w:rPr>
          <w:szCs w:val="22"/>
        </w:rPr>
        <w:t>.</w:t>
      </w:r>
      <w:r>
        <w:rPr>
          <w:szCs w:val="22"/>
        </w:rPr>
        <w:t xml:space="preserve"> </w:t>
      </w:r>
    </w:p>
    <w:p w14:paraId="494FEF67" w14:textId="77777777" w:rsidR="00FD7906" w:rsidRDefault="00622306" w:rsidP="00FD7906">
      <w:pPr>
        <w:pStyle w:val="BodyText"/>
        <w:rPr>
          <w:szCs w:val="22"/>
        </w:rPr>
      </w:pPr>
      <w:r>
        <w:rPr>
          <w:szCs w:val="22"/>
        </w:rPr>
        <w:t xml:space="preserve">The </w:t>
      </w:r>
      <w:r w:rsidRPr="0066502C">
        <w:rPr>
          <w:szCs w:val="22"/>
        </w:rPr>
        <w:t xml:space="preserve">collection of </w:t>
      </w:r>
      <w:r>
        <w:rPr>
          <w:szCs w:val="22"/>
        </w:rPr>
        <w:t xml:space="preserve">the </w:t>
      </w:r>
      <w:r w:rsidR="00B93E25">
        <w:rPr>
          <w:szCs w:val="22"/>
        </w:rPr>
        <w:t xml:space="preserve">Long-Term Follow-Up </w:t>
      </w:r>
      <w:r>
        <w:rPr>
          <w:szCs w:val="22"/>
        </w:rPr>
        <w:t xml:space="preserve">Survey and </w:t>
      </w:r>
      <w:r w:rsidRPr="0066502C">
        <w:rPr>
          <w:szCs w:val="22"/>
        </w:rPr>
        <w:t>co</w:t>
      </w:r>
      <w:r>
        <w:rPr>
          <w:szCs w:val="22"/>
        </w:rPr>
        <w:t>-</w:t>
      </w:r>
      <w:r w:rsidRPr="0066502C">
        <w:rPr>
          <w:szCs w:val="22"/>
        </w:rPr>
        <w:t>borrower consent</w:t>
      </w:r>
      <w:r>
        <w:rPr>
          <w:szCs w:val="22"/>
        </w:rPr>
        <w:t xml:space="preserve"> each include layered data collection strategies in order to maximize the response rate. </w:t>
      </w:r>
      <w:r w:rsidR="00FD7906">
        <w:rPr>
          <w:szCs w:val="22"/>
        </w:rPr>
        <w:t>The Long-Term Follow-U</w:t>
      </w:r>
      <w:r w:rsidR="00FD7906" w:rsidRPr="0066502C">
        <w:rPr>
          <w:szCs w:val="22"/>
        </w:rPr>
        <w:t>p survey will ask the study participant to confirm whether they purchased a home with one or more co</w:t>
      </w:r>
      <w:r w:rsidR="00FD7906">
        <w:rPr>
          <w:szCs w:val="22"/>
        </w:rPr>
        <w:t>-</w:t>
      </w:r>
      <w:r w:rsidR="00FD7906" w:rsidRPr="0066502C">
        <w:rPr>
          <w:szCs w:val="22"/>
        </w:rPr>
        <w:t>borrowers. If any co</w:t>
      </w:r>
      <w:r w:rsidR="00FD7906">
        <w:rPr>
          <w:szCs w:val="22"/>
        </w:rPr>
        <w:t>-</w:t>
      </w:r>
      <w:r w:rsidR="00FD7906" w:rsidRPr="0066502C">
        <w:rPr>
          <w:szCs w:val="22"/>
        </w:rPr>
        <w:t xml:space="preserve">borrower has not </w:t>
      </w:r>
      <w:r w:rsidR="00FD7906">
        <w:rPr>
          <w:szCs w:val="22"/>
        </w:rPr>
        <w:t>yet provided consent to the study team during previous data collection efforts,</w:t>
      </w:r>
      <w:r w:rsidR="00FD7906" w:rsidRPr="0066502C">
        <w:rPr>
          <w:szCs w:val="22"/>
        </w:rPr>
        <w:t xml:space="preserve"> the interviewer will ask the study participant whether the co</w:t>
      </w:r>
      <w:r w:rsidR="00FD7906">
        <w:rPr>
          <w:szCs w:val="22"/>
        </w:rPr>
        <w:t>-</w:t>
      </w:r>
      <w:r w:rsidR="00FD7906" w:rsidRPr="0066502C">
        <w:rPr>
          <w:szCs w:val="22"/>
        </w:rPr>
        <w:t>borrower is available, and attempt to collect co</w:t>
      </w:r>
      <w:r w:rsidR="00FD7906">
        <w:rPr>
          <w:szCs w:val="22"/>
        </w:rPr>
        <w:t>-</w:t>
      </w:r>
      <w:r w:rsidR="00FD7906" w:rsidRPr="0066502C">
        <w:rPr>
          <w:szCs w:val="22"/>
        </w:rPr>
        <w:t>borrower consent verbally or arrange a time to callback to collect the consent.</w:t>
      </w:r>
      <w:r w:rsidR="00FD7906">
        <w:rPr>
          <w:szCs w:val="22"/>
        </w:rPr>
        <w:t xml:space="preserve"> </w:t>
      </w:r>
    </w:p>
    <w:p w14:paraId="0F81AEB4" w14:textId="1AA01883" w:rsidR="00FD7906" w:rsidRDefault="00FD7906" w:rsidP="006F681F">
      <w:r w:rsidRPr="00837DCA">
        <w:t xml:space="preserve">The expected response rate of the Long-Term Follow-Up Survey is approximately 70 percent.  </w:t>
      </w:r>
      <w:r w:rsidR="00622306">
        <w:rPr>
          <w:szCs w:val="22"/>
        </w:rPr>
        <w:t xml:space="preserve">The </w:t>
      </w:r>
      <w:r w:rsidR="00B93E25">
        <w:rPr>
          <w:szCs w:val="22"/>
        </w:rPr>
        <w:t>Long-Term Follow-Up</w:t>
      </w:r>
      <w:r w:rsidR="00622306">
        <w:rPr>
          <w:szCs w:val="22"/>
        </w:rPr>
        <w:t xml:space="preserve"> Survey will use a telephone plus field approach to collect the surv</w:t>
      </w:r>
      <w:r w:rsidR="00B213DC">
        <w:rPr>
          <w:szCs w:val="22"/>
        </w:rPr>
        <w:t>ey responses. The CATI</w:t>
      </w:r>
      <w:r w:rsidR="00622306">
        <w:rPr>
          <w:szCs w:val="22"/>
        </w:rPr>
        <w:t xml:space="preserve"> center will conduct interviews with all study participants that can be reached by telephone. For those study participants who are not reached by telephone, the data collection team will conduct in-person interviews using a field data collection approach</w:t>
      </w:r>
      <w:r w:rsidR="00622306" w:rsidRPr="0066502C">
        <w:rPr>
          <w:szCs w:val="22"/>
        </w:rPr>
        <w:t xml:space="preserve">. </w:t>
      </w:r>
      <w:r w:rsidR="006F681F" w:rsidRPr="005A436E">
        <w:t xml:space="preserve">The study </w:t>
      </w:r>
      <w:r>
        <w:t xml:space="preserve">team </w:t>
      </w:r>
      <w:r w:rsidR="006F681F" w:rsidRPr="005A436E">
        <w:t>administered a Short-Term Follow-Up Survey to study participants 12 months after study enrollment. The response rate for the Short-</w:t>
      </w:r>
      <w:r w:rsidR="006F681F" w:rsidRPr="00837DCA">
        <w:t>Term Follow-Up Survey (</w:t>
      </w:r>
      <w:r>
        <w:t>using the same approach –</w:t>
      </w:r>
      <w:r w:rsidR="006F681F" w:rsidRPr="00837DCA">
        <w:t xml:space="preserve"> telephone and in-person field data collection) was 78.4 percent. </w:t>
      </w:r>
    </w:p>
    <w:p w14:paraId="37A4168C" w14:textId="3012B89F" w:rsidR="00BA7C8C" w:rsidRDefault="00FD7906" w:rsidP="00FD7906">
      <w:pPr>
        <w:rPr>
          <w:szCs w:val="22"/>
        </w:rPr>
      </w:pPr>
      <w:r w:rsidRPr="00217D65">
        <w:rPr>
          <w:szCs w:val="22"/>
        </w:rPr>
        <w:t xml:space="preserve">During the baseline </w:t>
      </w:r>
      <w:r>
        <w:rPr>
          <w:szCs w:val="22"/>
        </w:rPr>
        <w:t xml:space="preserve">and interim </w:t>
      </w:r>
      <w:r w:rsidRPr="00217D65">
        <w:rPr>
          <w:szCs w:val="22"/>
        </w:rPr>
        <w:t xml:space="preserve">data collection period, the Abt team developed a robust tracking system that utilizes both passive and active measures and involves reaching out to study participants regularly. </w:t>
      </w:r>
      <w:r>
        <w:t>This</w:t>
      </w:r>
      <w:r w:rsidR="006F681F" w:rsidRPr="00837DCA">
        <w:t xml:space="preserve"> design include</w:t>
      </w:r>
      <w:r w:rsidR="006F681F">
        <w:t>s</w:t>
      </w:r>
      <w:r w:rsidR="006F681F" w:rsidRPr="00837DCA">
        <w:t xml:space="preserve"> a schedule of strategic contacts with the study participant</w:t>
      </w:r>
      <w:r w:rsidR="006F681F">
        <w:t xml:space="preserve"> during the enrollment period and then throughout the study follow-up period to keep them involved and engaged in the study.</w:t>
      </w:r>
      <w:r w:rsidR="006F681F">
        <w:rPr>
          <w:szCs w:val="22"/>
        </w:rPr>
        <w:t xml:space="preserve"> </w:t>
      </w:r>
      <w:r w:rsidR="006F681F">
        <w:rPr>
          <w:szCs w:val="24"/>
        </w:rPr>
        <w:t xml:space="preserve"> </w:t>
      </w:r>
      <w:r w:rsidR="00BA7C8C" w:rsidRPr="00217D65">
        <w:rPr>
          <w:szCs w:val="22"/>
        </w:rPr>
        <w:t xml:space="preserve">The tracking plan builds upon the study’s existing data system and supplements it with data obtained through passive searches every </w:t>
      </w:r>
      <w:r w:rsidR="00BA7C8C">
        <w:rPr>
          <w:szCs w:val="22"/>
        </w:rPr>
        <w:t>six</w:t>
      </w:r>
      <w:r w:rsidR="00BA7C8C" w:rsidRPr="00217D65">
        <w:rPr>
          <w:szCs w:val="22"/>
        </w:rPr>
        <w:t xml:space="preserve"> months of proprietary databases—including the National Change of Address</w:t>
      </w:r>
      <w:r w:rsidR="00BA7C8C">
        <w:rPr>
          <w:szCs w:val="22"/>
        </w:rPr>
        <w:t xml:space="preserve"> database</w:t>
      </w:r>
      <w:r w:rsidR="00BA7C8C" w:rsidRPr="00217D65">
        <w:rPr>
          <w:szCs w:val="22"/>
        </w:rPr>
        <w:t xml:space="preserve">. These sources are supplemented by mailed </w:t>
      </w:r>
      <w:r w:rsidR="00BA7C8C">
        <w:rPr>
          <w:szCs w:val="22"/>
        </w:rPr>
        <w:t xml:space="preserve">biannual </w:t>
      </w:r>
      <w:r w:rsidR="00BA7C8C" w:rsidRPr="00217D65">
        <w:rPr>
          <w:szCs w:val="22"/>
        </w:rPr>
        <w:t>requests for the study participants to review and return a form that includes contact information for the participant</w:t>
      </w:r>
      <w:r w:rsidR="00BA7C8C">
        <w:rPr>
          <w:szCs w:val="22"/>
        </w:rPr>
        <w:t>,</w:t>
      </w:r>
      <w:r w:rsidR="00BA7C8C" w:rsidRPr="00217D65">
        <w:rPr>
          <w:szCs w:val="22"/>
        </w:rPr>
        <w:t xml:space="preserve"> as well as up to </w:t>
      </w:r>
      <w:r w:rsidR="00BA7C8C">
        <w:rPr>
          <w:szCs w:val="22"/>
        </w:rPr>
        <w:t>three</w:t>
      </w:r>
      <w:r w:rsidR="00BA7C8C" w:rsidRPr="00217D65">
        <w:rPr>
          <w:szCs w:val="22"/>
        </w:rPr>
        <w:t xml:space="preserve"> people who always know how to reach the participant. This robust tracking plan helps the study team keep the participant contact information accurate. These efforts began during the study enrollment period and will continue until </w:t>
      </w:r>
      <w:r w:rsidR="00BA7C8C">
        <w:rPr>
          <w:szCs w:val="22"/>
        </w:rPr>
        <w:t>the</w:t>
      </w:r>
      <w:r w:rsidR="00BA7C8C" w:rsidRPr="00217D65">
        <w:rPr>
          <w:szCs w:val="22"/>
        </w:rPr>
        <w:t xml:space="preserve"> study p</w:t>
      </w:r>
      <w:r w:rsidR="00BA7C8C">
        <w:rPr>
          <w:szCs w:val="22"/>
        </w:rPr>
        <w:t>articipant completes the Long-Term Follow-Up Survey</w:t>
      </w:r>
      <w:r w:rsidR="00BA7C8C" w:rsidRPr="00217D65">
        <w:rPr>
          <w:szCs w:val="22"/>
        </w:rPr>
        <w:t xml:space="preserve">. </w:t>
      </w:r>
    </w:p>
    <w:p w14:paraId="2A16792D" w14:textId="41A44B7C" w:rsidR="005F685E" w:rsidRDefault="005F685E" w:rsidP="005F685E">
      <w:pPr>
        <w:tabs>
          <w:tab w:val="left" w:pos="0"/>
          <w:tab w:val="left" w:pos="720"/>
          <w:tab w:val="left" w:pos="1094"/>
          <w:tab w:val="left" w:pos="1440"/>
          <w:tab w:val="left" w:pos="1800"/>
          <w:tab w:val="left" w:pos="8985"/>
        </w:tabs>
        <w:rPr>
          <w:szCs w:val="22"/>
        </w:rPr>
      </w:pPr>
      <w:r>
        <w:rPr>
          <w:szCs w:val="22"/>
        </w:rPr>
        <w:t xml:space="preserve">The </w:t>
      </w:r>
      <w:r w:rsidRPr="00627B03">
        <w:rPr>
          <w:szCs w:val="22"/>
        </w:rPr>
        <w:t xml:space="preserve">tracking </w:t>
      </w:r>
      <w:r>
        <w:rPr>
          <w:szCs w:val="22"/>
        </w:rPr>
        <w:t>strategy</w:t>
      </w:r>
      <w:r w:rsidRPr="00627B03">
        <w:rPr>
          <w:szCs w:val="22"/>
        </w:rPr>
        <w:t xml:space="preserve"> </w:t>
      </w:r>
      <w:r w:rsidRPr="00627B03">
        <w:t xml:space="preserve">is essential to achieving the highest possible response rate for the </w:t>
      </w:r>
      <w:r w:rsidR="003A3359">
        <w:t>L</w:t>
      </w:r>
      <w:r>
        <w:t>ong-</w:t>
      </w:r>
      <w:r w:rsidR="003A3359">
        <w:t>T</w:t>
      </w:r>
      <w:r>
        <w:t>erm</w:t>
      </w:r>
      <w:r w:rsidRPr="00627B03">
        <w:rPr>
          <w:szCs w:val="22"/>
        </w:rPr>
        <w:t xml:space="preserve"> </w:t>
      </w:r>
      <w:r w:rsidR="003A3359">
        <w:rPr>
          <w:szCs w:val="22"/>
        </w:rPr>
        <w:t>F</w:t>
      </w:r>
      <w:r w:rsidRPr="00627B03">
        <w:rPr>
          <w:szCs w:val="22"/>
        </w:rPr>
        <w:t xml:space="preserve">ollow-up </w:t>
      </w:r>
      <w:r w:rsidR="003A3359">
        <w:rPr>
          <w:szCs w:val="22"/>
        </w:rPr>
        <w:t>S</w:t>
      </w:r>
      <w:r w:rsidRPr="00627B03">
        <w:rPr>
          <w:szCs w:val="22"/>
        </w:rPr>
        <w:t>urvey</w:t>
      </w:r>
      <w:r>
        <w:rPr>
          <w:szCs w:val="22"/>
        </w:rPr>
        <w:t xml:space="preserve">. The </w:t>
      </w:r>
      <w:r w:rsidRPr="00627B03">
        <w:rPr>
          <w:szCs w:val="22"/>
        </w:rPr>
        <w:t xml:space="preserve">high response rates </w:t>
      </w:r>
      <w:r>
        <w:rPr>
          <w:szCs w:val="22"/>
        </w:rPr>
        <w:t>achieved for the Short-Term Follow-up survey reflects the success of th</w:t>
      </w:r>
      <w:r w:rsidR="00547C4C">
        <w:rPr>
          <w:szCs w:val="22"/>
        </w:rPr>
        <w:t>ese</w:t>
      </w:r>
      <w:r>
        <w:rPr>
          <w:szCs w:val="22"/>
        </w:rPr>
        <w:t xml:space="preserve"> approach</w:t>
      </w:r>
      <w:r w:rsidR="00547C4C">
        <w:rPr>
          <w:szCs w:val="22"/>
        </w:rPr>
        <w:t>es</w:t>
      </w:r>
      <w:r>
        <w:rPr>
          <w:szCs w:val="22"/>
        </w:rPr>
        <w:t>.</w:t>
      </w:r>
      <w:r w:rsidR="003A3359" w:rsidRPr="003A3359">
        <w:t xml:space="preserve"> </w:t>
      </w:r>
      <w:r w:rsidR="003A3359">
        <w:t>In addition, as noted in Part A.9, we will use incentives to thank participants for responding to the Long-Term Follow-up Survey. Study participants will receive $35 for completing the survey.</w:t>
      </w:r>
      <w:r>
        <w:rPr>
          <w:szCs w:val="22"/>
        </w:rPr>
        <w:t xml:space="preserve"> </w:t>
      </w:r>
      <w:r w:rsidR="00FD7906">
        <w:rPr>
          <w:szCs w:val="24"/>
        </w:rPr>
        <w:t xml:space="preserve">With this design, ongoing tracking, and incentives to thank </w:t>
      </w:r>
      <w:r w:rsidR="003A3359">
        <w:rPr>
          <w:szCs w:val="24"/>
        </w:rPr>
        <w:t>study participants</w:t>
      </w:r>
      <w:r w:rsidR="00FD7906">
        <w:rPr>
          <w:szCs w:val="24"/>
        </w:rPr>
        <w:t xml:space="preserve"> for their participation, the study team</w:t>
      </w:r>
      <w:r w:rsidR="00FD7906" w:rsidRPr="00576C6E">
        <w:rPr>
          <w:szCs w:val="24"/>
        </w:rPr>
        <w:t xml:space="preserve"> </w:t>
      </w:r>
      <w:r w:rsidR="00FD7906">
        <w:rPr>
          <w:szCs w:val="24"/>
        </w:rPr>
        <w:t xml:space="preserve">believes we are well-positioned </w:t>
      </w:r>
      <w:r w:rsidR="00FD7906" w:rsidRPr="00576C6E">
        <w:rPr>
          <w:szCs w:val="24"/>
        </w:rPr>
        <w:t xml:space="preserve">to achieve the target </w:t>
      </w:r>
      <w:r w:rsidR="00FD7906">
        <w:rPr>
          <w:szCs w:val="24"/>
        </w:rPr>
        <w:t xml:space="preserve">of a 70 percent </w:t>
      </w:r>
      <w:r w:rsidR="00FD7906" w:rsidRPr="00576C6E">
        <w:rPr>
          <w:szCs w:val="24"/>
        </w:rPr>
        <w:t>response rate</w:t>
      </w:r>
      <w:r w:rsidR="00FD7906">
        <w:rPr>
          <w:szCs w:val="24"/>
        </w:rPr>
        <w:t xml:space="preserve"> for the Long-Term Follow-up Survey</w:t>
      </w:r>
      <w:r w:rsidR="00FD7906" w:rsidRPr="00576C6E">
        <w:rPr>
          <w:szCs w:val="24"/>
        </w:rPr>
        <w:t>. </w:t>
      </w:r>
    </w:p>
    <w:p w14:paraId="2F9F6CDD" w14:textId="77777777" w:rsidR="005A436E" w:rsidRPr="00961721" w:rsidRDefault="005A436E" w:rsidP="00961721">
      <w:pPr>
        <w:pStyle w:val="Heading2"/>
        <w:numPr>
          <w:ilvl w:val="0"/>
          <w:numId w:val="33"/>
        </w:numPr>
        <w:ind w:left="450" w:hanging="450"/>
        <w:rPr>
          <w:b w:val="0"/>
          <w:color w:val="000000"/>
        </w:rPr>
      </w:pPr>
      <w:r w:rsidRPr="00961721">
        <w:rPr>
          <w:b w:val="0"/>
          <w:color w:val="00000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12201D59" w14:textId="12E6DE61" w:rsidR="00622306" w:rsidRDefault="00622306" w:rsidP="006129E9">
      <w:r>
        <w:t>The study team relies on review of each instrument by Abt Associates and other study team staff, HUD personnel, and the study’s advisory panel to ensure that the instruments are clear, flow well and are as concise as possible</w:t>
      </w:r>
      <w:r w:rsidR="001635D2">
        <w:t>,</w:t>
      </w:r>
      <w:r>
        <w:t xml:space="preserve"> and collect the data necessary for analysis. </w:t>
      </w:r>
      <w:r w:rsidR="00C9534C">
        <w:t>Additionally, b</w:t>
      </w:r>
      <w:r>
        <w:t xml:space="preserve">efore the </w:t>
      </w:r>
      <w:r w:rsidR="00B93E25">
        <w:t>Long-Term Follow-Up</w:t>
      </w:r>
      <w:r>
        <w:t xml:space="preserve"> Survey is implemented in the field, the study team will conduct up to nine pre-tests of the data collection </w:t>
      </w:r>
      <w:r w:rsidRPr="00C9534C">
        <w:t>instrument</w:t>
      </w:r>
      <w:r w:rsidR="006129E9" w:rsidRPr="00C9534C">
        <w:t xml:space="preserve"> with </w:t>
      </w:r>
      <w:r w:rsidR="00C9534C" w:rsidRPr="00C9534C">
        <w:t>a small sample of study participants</w:t>
      </w:r>
      <w:r w:rsidR="00474F7E" w:rsidRPr="00C9534C">
        <w:t>.  These pre-tests will provide information on the average length of the survey, and identify any final</w:t>
      </w:r>
      <w:r w:rsidR="00474F7E">
        <w:t xml:space="preserve"> modifications to improve the clarity and flow of the instrument</w:t>
      </w:r>
      <w:r>
        <w:t xml:space="preserve">. </w:t>
      </w:r>
      <w:r w:rsidR="00C9534C">
        <w:t xml:space="preserve"> The study team will provide to OMB, the results from these pre-tests and any final modifications to the data collection instrument prior to their review.</w:t>
      </w:r>
    </w:p>
    <w:p w14:paraId="7512A89C" w14:textId="77777777" w:rsidR="005A436E" w:rsidRPr="00961721" w:rsidRDefault="005A436E" w:rsidP="00961721">
      <w:pPr>
        <w:pStyle w:val="Heading2"/>
        <w:numPr>
          <w:ilvl w:val="0"/>
          <w:numId w:val="33"/>
        </w:numPr>
        <w:ind w:left="450" w:hanging="450"/>
        <w:rPr>
          <w:b w:val="0"/>
          <w:color w:val="000000"/>
        </w:rPr>
      </w:pPr>
      <w:r w:rsidRPr="00961721">
        <w:rPr>
          <w:b w:val="0"/>
          <w:color w:val="000000"/>
        </w:rPr>
        <w:t>Provide the name and telephone number of individuals consulted on statistical aspects of the design and the name of the agency unit, contractor(s), grantee(s), or other person(s) who will actually collect and/or analyze the information for the agency.</w:t>
      </w:r>
    </w:p>
    <w:p w14:paraId="67DB5B3C" w14:textId="4BCA8A4F" w:rsidR="00622306" w:rsidRPr="00902D47" w:rsidRDefault="00622306" w:rsidP="006129E9">
      <w:pPr>
        <w:pStyle w:val="BodyText"/>
        <w:spacing w:line="276" w:lineRule="auto"/>
      </w:pPr>
      <w:r w:rsidRPr="00902D47">
        <w:t xml:space="preserve">HUD’s Office of Policy Development and Research will work with the contractor, Abt Associates, to conduct the proposed data collection. Marina L. Myhre, Ph.D., a Social Science Analyst in HUD’s Office of Policy Development and Research, Program Evaluation Division, serves as </w:t>
      </w:r>
      <w:r w:rsidR="001635D2">
        <w:t xml:space="preserve">Contracting Officer’s </w:t>
      </w:r>
      <w:r w:rsidRPr="00902D47">
        <w:t>Technical Representative (</w:t>
      </w:r>
      <w:r w:rsidR="001635D2">
        <w:t>CO</w:t>
      </w:r>
      <w:r w:rsidR="001635D2" w:rsidRPr="00902D47">
        <w:t>TR</w:t>
      </w:r>
      <w:r w:rsidRPr="00902D47">
        <w:t>). Her supervisor is Ms. Carol Star. Dr. Myhre and Ms. Star can be contacted at (202) 402-5705 and (202) 402-6139, respectively. The study’s Principal Investigators are Dr. Laura Peck</w:t>
      </w:r>
      <w:r>
        <w:t xml:space="preserve"> and </w:t>
      </w:r>
      <w:r w:rsidR="00D10288">
        <w:t>Debbie Gruenstein Bocian</w:t>
      </w:r>
      <w:r w:rsidRPr="00902D47">
        <w:t xml:space="preserve"> from Abt Associates. Dr. Peck can be reached at (301) 347-5537.</w:t>
      </w:r>
      <w:r w:rsidR="00D10288">
        <w:t xml:space="preserve"> Debbie Gruen</w:t>
      </w:r>
      <w:r w:rsidR="005A436E">
        <w:t xml:space="preserve">stein Bocian can be reached at </w:t>
      </w:r>
      <w:r w:rsidR="00D10288">
        <w:t>(</w:t>
      </w:r>
      <w:r w:rsidR="00D10288" w:rsidRPr="00D10288">
        <w:t>301) 968-4424</w:t>
      </w:r>
      <w:r w:rsidR="00D10288">
        <w:t>.</w:t>
      </w:r>
      <w:r w:rsidRPr="00902D47">
        <w:t xml:space="preserve"> </w:t>
      </w:r>
      <w:r w:rsidR="00D10288">
        <w:t>Donna DeMarco</w:t>
      </w:r>
      <w:r>
        <w:t xml:space="preserve"> serves as t</w:t>
      </w:r>
      <w:r w:rsidRPr="00FF0F3E">
        <w:t>he study’s Project Director</w:t>
      </w:r>
      <w:r w:rsidR="005A436E">
        <w:t xml:space="preserve"> and can</w:t>
      </w:r>
      <w:r>
        <w:t xml:space="preserve"> be </w:t>
      </w:r>
      <w:r w:rsidR="006F2193">
        <w:t>contacted at</w:t>
      </w:r>
      <w:r>
        <w:t xml:space="preserve"> </w:t>
      </w:r>
      <w:r w:rsidR="00D10288" w:rsidRPr="00D10288">
        <w:t>(617) 349-2322</w:t>
      </w:r>
      <w:r w:rsidRPr="00FF0F3E">
        <w:t>.</w:t>
      </w:r>
      <w:r w:rsidR="00474F7E">
        <w:t xml:space="preserve"> Dr. Shawn Moulton is the study’s Director of Analysis and can be reached at (617) 520-2459.</w:t>
      </w:r>
    </w:p>
    <w:p w14:paraId="654802A8" w14:textId="77777777" w:rsidR="00622306" w:rsidRPr="007D418D" w:rsidRDefault="00622306" w:rsidP="00622306"/>
    <w:p w14:paraId="169ADC86" w14:textId="77777777" w:rsidR="001F2CBD" w:rsidRPr="000922C8" w:rsidRDefault="001F2CBD" w:rsidP="000922C8"/>
    <w:sectPr w:rsidR="001F2CBD" w:rsidRPr="000922C8" w:rsidSect="005A436E">
      <w:footerReference w:type="default" r:id="rId9"/>
      <w:pgSz w:w="12240" w:h="15840" w:code="1"/>
      <w:pgMar w:top="1440" w:right="1440" w:bottom="1440" w:left="1800" w:header="1080" w:footer="720" w:gutter="0"/>
      <w:pgNumType w:start="7"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D0E24" w14:textId="77777777" w:rsidR="00AF3711" w:rsidRDefault="00AF3711" w:rsidP="00D979EA">
      <w:r>
        <w:separator/>
      </w:r>
    </w:p>
  </w:endnote>
  <w:endnote w:type="continuationSeparator" w:id="0">
    <w:p w14:paraId="78D94FB7" w14:textId="77777777" w:rsidR="00AF3711" w:rsidRDefault="00AF371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54221"/>
      <w:docPartObj>
        <w:docPartGallery w:val="Page Numbers (Bottom of Page)"/>
        <w:docPartUnique/>
      </w:docPartObj>
    </w:sdtPr>
    <w:sdtEndPr>
      <w:rPr>
        <w:noProof/>
      </w:rPr>
    </w:sdtEndPr>
    <w:sdtContent>
      <w:p w14:paraId="02B53D6A" w14:textId="77777777" w:rsidR="005A436E" w:rsidRDefault="005A436E">
        <w:pPr>
          <w:pStyle w:val="Footer"/>
          <w:jc w:val="right"/>
        </w:pPr>
        <w:r>
          <w:fldChar w:fldCharType="begin"/>
        </w:r>
        <w:r>
          <w:instrText xml:space="preserve"> PAGE   \* MERGEFORMAT </w:instrText>
        </w:r>
        <w:r>
          <w:fldChar w:fldCharType="separate"/>
        </w:r>
        <w:r w:rsidR="005860AF">
          <w:rPr>
            <w:noProof/>
          </w:rPr>
          <w:t>7</w:t>
        </w:r>
        <w:r>
          <w:rPr>
            <w:noProof/>
          </w:rPr>
          <w:fldChar w:fldCharType="end"/>
        </w:r>
      </w:p>
    </w:sdtContent>
  </w:sdt>
  <w:p w14:paraId="7E01C99F" w14:textId="77777777" w:rsidR="004B67C2" w:rsidRPr="0066134E" w:rsidRDefault="004B67C2" w:rsidP="00D9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DA6F8" w14:textId="77777777" w:rsidR="00AF3711" w:rsidRDefault="00AF3711" w:rsidP="00D979EA">
      <w:r>
        <w:separator/>
      </w:r>
    </w:p>
  </w:footnote>
  <w:footnote w:type="continuationSeparator" w:id="0">
    <w:p w14:paraId="5F27D054" w14:textId="77777777" w:rsidR="00AF3711" w:rsidRDefault="00AF3711" w:rsidP="00D979EA">
      <w:r>
        <w:continuationSeparator/>
      </w:r>
    </w:p>
  </w:footnote>
  <w:footnote w:id="1">
    <w:p w14:paraId="13CF8F05" w14:textId="726AFB38" w:rsidR="00BC30D4" w:rsidRDefault="00BC30D4">
      <w:pPr>
        <w:pStyle w:val="FootnoteText"/>
      </w:pPr>
      <w:r>
        <w:rPr>
          <w:rStyle w:val="FootnoteReference"/>
        </w:rPr>
        <w:footnoteRef/>
      </w:r>
      <w:r>
        <w:t xml:space="preserve"> </w:t>
      </w:r>
      <w:r w:rsidRPr="00BC30D4">
        <w:t>In the fall of 2013, the study piloted recruitment and random assignment in three sites. Full study enrollment across all 28 sites began in January 2014 and was completed in February 2016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5A4"/>
    <w:multiLevelType w:val="multilevel"/>
    <w:tmpl w:val="E160D52A"/>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
    <w:nsid w:val="023E2C14"/>
    <w:multiLevelType w:val="hybridMultilevel"/>
    <w:tmpl w:val="8EC247A2"/>
    <w:lvl w:ilvl="0" w:tplc="EC18136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70766"/>
    <w:multiLevelType w:val="hybridMultilevel"/>
    <w:tmpl w:val="2E62C9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16020E0B"/>
    <w:multiLevelType w:val="hybridMultilevel"/>
    <w:tmpl w:val="BF84C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7CB0CD3"/>
    <w:multiLevelType w:val="hybridMultilevel"/>
    <w:tmpl w:val="AA925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826650"/>
    <w:multiLevelType w:val="hybridMultilevel"/>
    <w:tmpl w:val="D0DE7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0034A"/>
    <w:multiLevelType w:val="hybridMultilevel"/>
    <w:tmpl w:val="D3727666"/>
    <w:lvl w:ilvl="0" w:tplc="7284C34E">
      <w:start w:val="1"/>
      <w:numFmt w:val="bullet"/>
      <w:lvlText w:val=""/>
      <w:lvlJc w:val="left"/>
      <w:pPr>
        <w:ind w:left="720" w:hanging="360"/>
      </w:pPr>
      <w:rPr>
        <w:rFonts w:ascii="Symbol" w:hAnsi="Symbol" w:hint="default"/>
        <w:color w:val="DA291C" w:themeColor="accen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F43D1"/>
    <w:multiLevelType w:val="hybridMultilevel"/>
    <w:tmpl w:val="6C8C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A2F70"/>
    <w:multiLevelType w:val="hybridMultilevel"/>
    <w:tmpl w:val="53CE7DB8"/>
    <w:lvl w:ilvl="0" w:tplc="5D52AA36">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A1860"/>
    <w:multiLevelType w:val="hybridMultilevel"/>
    <w:tmpl w:val="0DE0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57B2903"/>
    <w:multiLevelType w:val="hybridMultilevel"/>
    <w:tmpl w:val="61A4446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5587C"/>
    <w:multiLevelType w:val="hybridMultilevel"/>
    <w:tmpl w:val="2DD4754E"/>
    <w:lvl w:ilvl="0" w:tplc="466CEB0A">
      <w:start w:val="1"/>
      <w:numFmt w:val="bullet"/>
      <w:lvlText w:val=""/>
      <w:lvlJc w:val="left"/>
      <w:pPr>
        <w:ind w:left="720" w:hanging="360"/>
      </w:pPr>
      <w:rPr>
        <w:rFonts w:ascii="Symbol" w:hAnsi="Symbol" w:hint="default"/>
        <w:color w:val="DA291C"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7B0CA2"/>
    <w:multiLevelType w:val="hybridMultilevel"/>
    <w:tmpl w:val="7A76932E"/>
    <w:lvl w:ilvl="0" w:tplc="466CEB0A">
      <w:start w:val="1"/>
      <w:numFmt w:val="bullet"/>
      <w:lvlText w:val=""/>
      <w:lvlJc w:val="left"/>
      <w:pPr>
        <w:ind w:left="72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D33C4"/>
    <w:multiLevelType w:val="multilevel"/>
    <w:tmpl w:val="C5EEE728"/>
    <w:lvl w:ilvl="0">
      <w:start w:val="2"/>
      <w:numFmt w:val="upperLetter"/>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4069480E"/>
    <w:multiLevelType w:val="hybridMultilevel"/>
    <w:tmpl w:val="E9FC0CAA"/>
    <w:lvl w:ilvl="0" w:tplc="38381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D221F4"/>
    <w:multiLevelType w:val="hybridMultilevel"/>
    <w:tmpl w:val="BD5C0530"/>
    <w:lvl w:ilvl="0" w:tplc="4206325C">
      <w:start w:val="1"/>
      <w:numFmt w:val="decimal"/>
      <w:lvlText w:val="%1."/>
      <w:lvlJc w:val="left"/>
      <w:pPr>
        <w:ind w:left="720" w:hanging="360"/>
      </w:pPr>
      <w:rPr>
        <w:rFonts w:hint="default"/>
        <w:b/>
      </w:rPr>
    </w:lvl>
    <w:lvl w:ilvl="1" w:tplc="4E849D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31C22"/>
    <w:multiLevelType w:val="hybridMultilevel"/>
    <w:tmpl w:val="34563678"/>
    <w:lvl w:ilvl="0" w:tplc="E64C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594D14"/>
    <w:multiLevelType w:val="hybridMultilevel"/>
    <w:tmpl w:val="7506FB7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68597EE7"/>
    <w:multiLevelType w:val="hybridMultilevel"/>
    <w:tmpl w:val="6F860502"/>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104CB4"/>
    <w:multiLevelType w:val="hybridMultilevel"/>
    <w:tmpl w:val="A74EEE54"/>
    <w:lvl w:ilvl="0" w:tplc="24C04E58">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697DA1"/>
    <w:multiLevelType w:val="hybridMultilevel"/>
    <w:tmpl w:val="0DE0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9318D6"/>
    <w:multiLevelType w:val="hybridMultilevel"/>
    <w:tmpl w:val="F484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E532825"/>
    <w:multiLevelType w:val="hybridMultilevel"/>
    <w:tmpl w:val="8AB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nsid w:val="734A2AE4"/>
    <w:multiLevelType w:val="hybridMultilevel"/>
    <w:tmpl w:val="58262190"/>
    <w:lvl w:ilvl="0" w:tplc="466CEB0A">
      <w:start w:val="1"/>
      <w:numFmt w:val="bullet"/>
      <w:lvlText w:val=""/>
      <w:lvlJc w:val="left"/>
      <w:pPr>
        <w:ind w:left="360" w:hanging="360"/>
      </w:pPr>
      <w:rPr>
        <w:rFonts w:ascii="Symbol" w:hAnsi="Symbol" w:hint="default"/>
        <w:color w:val="DA291C"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667270"/>
    <w:multiLevelType w:val="hybridMultilevel"/>
    <w:tmpl w:val="72780768"/>
    <w:lvl w:ilvl="0" w:tplc="044E823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0C01FD"/>
    <w:multiLevelType w:val="hybridMultilevel"/>
    <w:tmpl w:val="E664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21664"/>
    <w:multiLevelType w:val="hybridMultilevel"/>
    <w:tmpl w:val="D0DE7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874952"/>
    <w:multiLevelType w:val="hybridMultilevel"/>
    <w:tmpl w:val="24D8B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5D6BEB"/>
    <w:multiLevelType w:val="hybridMultilevel"/>
    <w:tmpl w:val="C0007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AD63DA6"/>
    <w:multiLevelType w:val="singleLevel"/>
    <w:tmpl w:val="CFCC4660"/>
    <w:lvl w:ilvl="0">
      <w:start w:val="1"/>
      <w:numFmt w:val="bullet"/>
      <w:pStyle w:val="Bullets"/>
      <w:lvlText w:val=""/>
      <w:lvlJc w:val="left"/>
      <w:pPr>
        <w:ind w:left="360" w:hanging="360"/>
      </w:pPr>
      <w:rPr>
        <w:rFonts w:ascii="Symbol" w:hAnsi="Symbol" w:hint="default"/>
        <w:color w:val="auto"/>
        <w:sz w:val="22"/>
      </w:rPr>
    </w:lvl>
  </w:abstractNum>
  <w:num w:numId="1">
    <w:abstractNumId w:val="11"/>
  </w:num>
  <w:num w:numId="2">
    <w:abstractNumId w:val="26"/>
  </w:num>
  <w:num w:numId="3">
    <w:abstractNumId w:val="33"/>
  </w:num>
  <w:num w:numId="4">
    <w:abstractNumId w:val="16"/>
  </w:num>
  <w:num w:numId="5">
    <w:abstractNumId w:val="24"/>
  </w:num>
  <w:num w:numId="6">
    <w:abstractNumId w:val="14"/>
  </w:num>
  <w:num w:numId="7">
    <w:abstractNumId w:val="17"/>
  </w:num>
  <w:num w:numId="8">
    <w:abstractNumId w:val="15"/>
  </w:num>
  <w:num w:numId="9">
    <w:abstractNumId w:val="6"/>
  </w:num>
  <w:num w:numId="10">
    <w:abstractNumId w:val="7"/>
  </w:num>
  <w:num w:numId="11">
    <w:abstractNumId w:val="23"/>
  </w:num>
  <w:num w:numId="12">
    <w:abstractNumId w:val="12"/>
  </w:num>
  <w:num w:numId="13">
    <w:abstractNumId w:val="30"/>
  </w:num>
  <w:num w:numId="14">
    <w:abstractNumId w:val="5"/>
  </w:num>
  <w:num w:numId="15">
    <w:abstractNumId w:val="8"/>
  </w:num>
  <w:num w:numId="16">
    <w:abstractNumId w:val="9"/>
  </w:num>
  <w:num w:numId="17">
    <w:abstractNumId w:val="1"/>
  </w:num>
  <w:num w:numId="18">
    <w:abstractNumId w:val="22"/>
  </w:num>
  <w:num w:numId="19">
    <w:abstractNumId w:val="28"/>
  </w:num>
  <w:num w:numId="20">
    <w:abstractNumId w:val="27"/>
  </w:num>
  <w:num w:numId="21">
    <w:abstractNumId w:val="18"/>
  </w:num>
  <w:num w:numId="22">
    <w:abstractNumId w:val="19"/>
  </w:num>
  <w:num w:numId="23">
    <w:abstractNumId w:val="25"/>
  </w:num>
  <w:num w:numId="24">
    <w:abstractNumId w:val="29"/>
  </w:num>
  <w:num w:numId="25">
    <w:abstractNumId w:val="20"/>
  </w:num>
  <w:num w:numId="26">
    <w:abstractNumId w:val="3"/>
  </w:num>
  <w:num w:numId="27">
    <w:abstractNumId w:val="32"/>
  </w:num>
  <w:num w:numId="28">
    <w:abstractNumId w:val="31"/>
  </w:num>
  <w:num w:numId="29">
    <w:abstractNumId w:val="0"/>
  </w:num>
  <w:num w:numId="30">
    <w:abstractNumId w:val="13"/>
  </w:num>
  <w:num w:numId="31">
    <w:abstractNumId w:val="21"/>
  </w:num>
  <w:num w:numId="32">
    <w:abstractNumId w:val="10"/>
  </w:num>
  <w:num w:numId="33">
    <w:abstractNumId w:val="4"/>
  </w:num>
  <w:num w:numId="34">
    <w:abstractNumId w:val="16"/>
  </w:num>
  <w:num w:numId="3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14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4CE1"/>
    <w:rsid w:val="00006B3A"/>
    <w:rsid w:val="000136F3"/>
    <w:rsid w:val="00016E17"/>
    <w:rsid w:val="0002216E"/>
    <w:rsid w:val="00024507"/>
    <w:rsid w:val="00032380"/>
    <w:rsid w:val="00034B6B"/>
    <w:rsid w:val="00040E00"/>
    <w:rsid w:val="00042C5F"/>
    <w:rsid w:val="00043766"/>
    <w:rsid w:val="00046728"/>
    <w:rsid w:val="000525E0"/>
    <w:rsid w:val="00053EEF"/>
    <w:rsid w:val="000543DC"/>
    <w:rsid w:val="00055022"/>
    <w:rsid w:val="000561D1"/>
    <w:rsid w:val="0005750B"/>
    <w:rsid w:val="0006045E"/>
    <w:rsid w:val="000607E3"/>
    <w:rsid w:val="00064627"/>
    <w:rsid w:val="0006587B"/>
    <w:rsid w:val="00070322"/>
    <w:rsid w:val="00073A13"/>
    <w:rsid w:val="00074E14"/>
    <w:rsid w:val="00082D01"/>
    <w:rsid w:val="00084EB9"/>
    <w:rsid w:val="00086F2D"/>
    <w:rsid w:val="00087856"/>
    <w:rsid w:val="000902AA"/>
    <w:rsid w:val="000922C8"/>
    <w:rsid w:val="00095C1B"/>
    <w:rsid w:val="00095D40"/>
    <w:rsid w:val="000961EF"/>
    <w:rsid w:val="000A00A2"/>
    <w:rsid w:val="000A1C6D"/>
    <w:rsid w:val="000A5091"/>
    <w:rsid w:val="000A5ACD"/>
    <w:rsid w:val="000A6630"/>
    <w:rsid w:val="000A767F"/>
    <w:rsid w:val="000A7D69"/>
    <w:rsid w:val="000B33D1"/>
    <w:rsid w:val="000B4EA4"/>
    <w:rsid w:val="000C0624"/>
    <w:rsid w:val="000C0A39"/>
    <w:rsid w:val="000C3040"/>
    <w:rsid w:val="000C6227"/>
    <w:rsid w:val="000C680E"/>
    <w:rsid w:val="000D3480"/>
    <w:rsid w:val="000D53F1"/>
    <w:rsid w:val="000D5777"/>
    <w:rsid w:val="000E5311"/>
    <w:rsid w:val="000E6B75"/>
    <w:rsid w:val="000F19BE"/>
    <w:rsid w:val="000F53F4"/>
    <w:rsid w:val="00101676"/>
    <w:rsid w:val="001034D7"/>
    <w:rsid w:val="00104F2A"/>
    <w:rsid w:val="00107A04"/>
    <w:rsid w:val="00107B0C"/>
    <w:rsid w:val="00107D1C"/>
    <w:rsid w:val="0011170B"/>
    <w:rsid w:val="001164C3"/>
    <w:rsid w:val="001178CA"/>
    <w:rsid w:val="00120390"/>
    <w:rsid w:val="001209A9"/>
    <w:rsid w:val="00122A2E"/>
    <w:rsid w:val="00122BAF"/>
    <w:rsid w:val="00127DCB"/>
    <w:rsid w:val="001307A5"/>
    <w:rsid w:val="001336BA"/>
    <w:rsid w:val="00133FCA"/>
    <w:rsid w:val="00133FE4"/>
    <w:rsid w:val="001436FD"/>
    <w:rsid w:val="00147C83"/>
    <w:rsid w:val="001503FB"/>
    <w:rsid w:val="00152153"/>
    <w:rsid w:val="00155A22"/>
    <w:rsid w:val="00155ADC"/>
    <w:rsid w:val="00157E04"/>
    <w:rsid w:val="00160456"/>
    <w:rsid w:val="00160657"/>
    <w:rsid w:val="00160B87"/>
    <w:rsid w:val="00162290"/>
    <w:rsid w:val="001635D2"/>
    <w:rsid w:val="00164C09"/>
    <w:rsid w:val="00167764"/>
    <w:rsid w:val="001677DC"/>
    <w:rsid w:val="001706A7"/>
    <w:rsid w:val="00172119"/>
    <w:rsid w:val="00180535"/>
    <w:rsid w:val="0018701F"/>
    <w:rsid w:val="00190E7E"/>
    <w:rsid w:val="001A04CE"/>
    <w:rsid w:val="001A0E0A"/>
    <w:rsid w:val="001A23B5"/>
    <w:rsid w:val="001A403F"/>
    <w:rsid w:val="001A4633"/>
    <w:rsid w:val="001B23D7"/>
    <w:rsid w:val="001B4509"/>
    <w:rsid w:val="001B6DC8"/>
    <w:rsid w:val="001B7A6C"/>
    <w:rsid w:val="001C016B"/>
    <w:rsid w:val="001C0891"/>
    <w:rsid w:val="001C10AF"/>
    <w:rsid w:val="001C5F02"/>
    <w:rsid w:val="001C76B9"/>
    <w:rsid w:val="001D07E5"/>
    <w:rsid w:val="001D4FDD"/>
    <w:rsid w:val="001D54D3"/>
    <w:rsid w:val="001E2CF1"/>
    <w:rsid w:val="001E55EE"/>
    <w:rsid w:val="001F026A"/>
    <w:rsid w:val="001F2CBD"/>
    <w:rsid w:val="00200E58"/>
    <w:rsid w:val="00205360"/>
    <w:rsid w:val="002064D3"/>
    <w:rsid w:val="002106BF"/>
    <w:rsid w:val="00213BF6"/>
    <w:rsid w:val="002176B8"/>
    <w:rsid w:val="002216AD"/>
    <w:rsid w:val="00221D99"/>
    <w:rsid w:val="00221ED8"/>
    <w:rsid w:val="00222244"/>
    <w:rsid w:val="00223A9F"/>
    <w:rsid w:val="0022674D"/>
    <w:rsid w:val="00226A82"/>
    <w:rsid w:val="002274C7"/>
    <w:rsid w:val="00227977"/>
    <w:rsid w:val="00233FBC"/>
    <w:rsid w:val="00233FF2"/>
    <w:rsid w:val="0023449A"/>
    <w:rsid w:val="00234DC0"/>
    <w:rsid w:val="00235060"/>
    <w:rsid w:val="00235A83"/>
    <w:rsid w:val="00235F88"/>
    <w:rsid w:val="00237BC9"/>
    <w:rsid w:val="002423D9"/>
    <w:rsid w:val="00242BF7"/>
    <w:rsid w:val="0024673F"/>
    <w:rsid w:val="00246FD6"/>
    <w:rsid w:val="00255975"/>
    <w:rsid w:val="002633C0"/>
    <w:rsid w:val="00263F0B"/>
    <w:rsid w:val="002702F7"/>
    <w:rsid w:val="00273EAA"/>
    <w:rsid w:val="002748DA"/>
    <w:rsid w:val="00274DE2"/>
    <w:rsid w:val="0027501E"/>
    <w:rsid w:val="00276702"/>
    <w:rsid w:val="00281799"/>
    <w:rsid w:val="0028328D"/>
    <w:rsid w:val="002838F5"/>
    <w:rsid w:val="00285BB6"/>
    <w:rsid w:val="00285F1F"/>
    <w:rsid w:val="00286257"/>
    <w:rsid w:val="00286A14"/>
    <w:rsid w:val="00292F4D"/>
    <w:rsid w:val="0029491C"/>
    <w:rsid w:val="002953A6"/>
    <w:rsid w:val="0029757B"/>
    <w:rsid w:val="00297F12"/>
    <w:rsid w:val="002A4078"/>
    <w:rsid w:val="002A5CE0"/>
    <w:rsid w:val="002A5FC8"/>
    <w:rsid w:val="002B2F3C"/>
    <w:rsid w:val="002B6552"/>
    <w:rsid w:val="002C32AB"/>
    <w:rsid w:val="002C41F9"/>
    <w:rsid w:val="002C4495"/>
    <w:rsid w:val="002C5AC8"/>
    <w:rsid w:val="002C76AB"/>
    <w:rsid w:val="002D4536"/>
    <w:rsid w:val="002D6658"/>
    <w:rsid w:val="002D79F5"/>
    <w:rsid w:val="002E0B80"/>
    <w:rsid w:val="002E5289"/>
    <w:rsid w:val="002F30ED"/>
    <w:rsid w:val="002F4833"/>
    <w:rsid w:val="002F48C8"/>
    <w:rsid w:val="002F4F06"/>
    <w:rsid w:val="002F55CE"/>
    <w:rsid w:val="002F76F5"/>
    <w:rsid w:val="00305D00"/>
    <w:rsid w:val="00314A8A"/>
    <w:rsid w:val="00317DC4"/>
    <w:rsid w:val="003215E3"/>
    <w:rsid w:val="0032386B"/>
    <w:rsid w:val="00324EC2"/>
    <w:rsid w:val="003279F2"/>
    <w:rsid w:val="00330FDC"/>
    <w:rsid w:val="00332778"/>
    <w:rsid w:val="00332DB7"/>
    <w:rsid w:val="0034182B"/>
    <w:rsid w:val="00342BA9"/>
    <w:rsid w:val="00342CD9"/>
    <w:rsid w:val="00344478"/>
    <w:rsid w:val="003455BC"/>
    <w:rsid w:val="00352B14"/>
    <w:rsid w:val="00354503"/>
    <w:rsid w:val="003623F0"/>
    <w:rsid w:val="00367079"/>
    <w:rsid w:val="00370030"/>
    <w:rsid w:val="00370164"/>
    <w:rsid w:val="003711CD"/>
    <w:rsid w:val="00380DB1"/>
    <w:rsid w:val="00383BFC"/>
    <w:rsid w:val="00384611"/>
    <w:rsid w:val="00384CA0"/>
    <w:rsid w:val="00385EC5"/>
    <w:rsid w:val="003864F9"/>
    <w:rsid w:val="003870BA"/>
    <w:rsid w:val="003914D1"/>
    <w:rsid w:val="00395A89"/>
    <w:rsid w:val="0039751A"/>
    <w:rsid w:val="003A2FA8"/>
    <w:rsid w:val="003A3359"/>
    <w:rsid w:val="003A3403"/>
    <w:rsid w:val="003A42E2"/>
    <w:rsid w:val="003A4ACF"/>
    <w:rsid w:val="003B2232"/>
    <w:rsid w:val="003B4770"/>
    <w:rsid w:val="003B4C78"/>
    <w:rsid w:val="003B7973"/>
    <w:rsid w:val="003C20BF"/>
    <w:rsid w:val="003C5A22"/>
    <w:rsid w:val="003C6698"/>
    <w:rsid w:val="003D2543"/>
    <w:rsid w:val="003D3079"/>
    <w:rsid w:val="003D5616"/>
    <w:rsid w:val="003E1E95"/>
    <w:rsid w:val="003E666B"/>
    <w:rsid w:val="003F3E19"/>
    <w:rsid w:val="003F3FF1"/>
    <w:rsid w:val="003F5962"/>
    <w:rsid w:val="003F6C42"/>
    <w:rsid w:val="00402848"/>
    <w:rsid w:val="00404DEA"/>
    <w:rsid w:val="004061F1"/>
    <w:rsid w:val="00412DF8"/>
    <w:rsid w:val="0041477C"/>
    <w:rsid w:val="00414BEC"/>
    <w:rsid w:val="00415B57"/>
    <w:rsid w:val="00415BD8"/>
    <w:rsid w:val="00422ABD"/>
    <w:rsid w:val="00423092"/>
    <w:rsid w:val="00425109"/>
    <w:rsid w:val="004253E8"/>
    <w:rsid w:val="00427EA9"/>
    <w:rsid w:val="0043066F"/>
    <w:rsid w:val="0043105D"/>
    <w:rsid w:val="004319BC"/>
    <w:rsid w:val="00432585"/>
    <w:rsid w:val="00434F63"/>
    <w:rsid w:val="004350B0"/>
    <w:rsid w:val="00436CE5"/>
    <w:rsid w:val="00444903"/>
    <w:rsid w:val="00444A09"/>
    <w:rsid w:val="00451233"/>
    <w:rsid w:val="00453C36"/>
    <w:rsid w:val="00461A24"/>
    <w:rsid w:val="00466586"/>
    <w:rsid w:val="00470AB4"/>
    <w:rsid w:val="00472E16"/>
    <w:rsid w:val="004734DF"/>
    <w:rsid w:val="0047431B"/>
    <w:rsid w:val="00474F7E"/>
    <w:rsid w:val="00477DDE"/>
    <w:rsid w:val="00482C4E"/>
    <w:rsid w:val="00486943"/>
    <w:rsid w:val="00491DD4"/>
    <w:rsid w:val="00495B91"/>
    <w:rsid w:val="004A5408"/>
    <w:rsid w:val="004B004D"/>
    <w:rsid w:val="004B0638"/>
    <w:rsid w:val="004B18CD"/>
    <w:rsid w:val="004B67C2"/>
    <w:rsid w:val="004C18DF"/>
    <w:rsid w:val="004C29E5"/>
    <w:rsid w:val="004C2B46"/>
    <w:rsid w:val="004C45BF"/>
    <w:rsid w:val="004C58C3"/>
    <w:rsid w:val="004C7514"/>
    <w:rsid w:val="004D1317"/>
    <w:rsid w:val="004D4C6D"/>
    <w:rsid w:val="004D69A3"/>
    <w:rsid w:val="004D7CDF"/>
    <w:rsid w:val="004E01A4"/>
    <w:rsid w:val="004E2C44"/>
    <w:rsid w:val="004E64E4"/>
    <w:rsid w:val="004F0F5A"/>
    <w:rsid w:val="004F179E"/>
    <w:rsid w:val="004F4356"/>
    <w:rsid w:val="004F639A"/>
    <w:rsid w:val="004F6742"/>
    <w:rsid w:val="004F709B"/>
    <w:rsid w:val="00503049"/>
    <w:rsid w:val="005037C0"/>
    <w:rsid w:val="005223EC"/>
    <w:rsid w:val="005230C1"/>
    <w:rsid w:val="00527FBD"/>
    <w:rsid w:val="00531F8D"/>
    <w:rsid w:val="00534B03"/>
    <w:rsid w:val="00534C33"/>
    <w:rsid w:val="00536DB4"/>
    <w:rsid w:val="005375A1"/>
    <w:rsid w:val="0054025D"/>
    <w:rsid w:val="00540B53"/>
    <w:rsid w:val="005418B8"/>
    <w:rsid w:val="00546D74"/>
    <w:rsid w:val="00547C4C"/>
    <w:rsid w:val="0055123E"/>
    <w:rsid w:val="00551EBA"/>
    <w:rsid w:val="00552D27"/>
    <w:rsid w:val="00552E7A"/>
    <w:rsid w:val="005543EC"/>
    <w:rsid w:val="00556E54"/>
    <w:rsid w:val="005676E6"/>
    <w:rsid w:val="005712BC"/>
    <w:rsid w:val="00574572"/>
    <w:rsid w:val="00576628"/>
    <w:rsid w:val="00581557"/>
    <w:rsid w:val="0058443B"/>
    <w:rsid w:val="00585CA4"/>
    <w:rsid w:val="005860AF"/>
    <w:rsid w:val="00591F24"/>
    <w:rsid w:val="00597948"/>
    <w:rsid w:val="005A0B73"/>
    <w:rsid w:val="005A1A51"/>
    <w:rsid w:val="005A436E"/>
    <w:rsid w:val="005A5DE8"/>
    <w:rsid w:val="005B0623"/>
    <w:rsid w:val="005B1AC5"/>
    <w:rsid w:val="005B2966"/>
    <w:rsid w:val="005B337A"/>
    <w:rsid w:val="005B6A25"/>
    <w:rsid w:val="005C4647"/>
    <w:rsid w:val="005C72B0"/>
    <w:rsid w:val="005D4E4D"/>
    <w:rsid w:val="005D611D"/>
    <w:rsid w:val="005E0CF2"/>
    <w:rsid w:val="005E2625"/>
    <w:rsid w:val="005E2AEA"/>
    <w:rsid w:val="005E6B70"/>
    <w:rsid w:val="005F2A61"/>
    <w:rsid w:val="005F2CBF"/>
    <w:rsid w:val="005F2FB3"/>
    <w:rsid w:val="005F685E"/>
    <w:rsid w:val="00601ED8"/>
    <w:rsid w:val="006078E6"/>
    <w:rsid w:val="006122D8"/>
    <w:rsid w:val="0061247A"/>
    <w:rsid w:val="006129E9"/>
    <w:rsid w:val="006149CF"/>
    <w:rsid w:val="00615938"/>
    <w:rsid w:val="00622306"/>
    <w:rsid w:val="00623E98"/>
    <w:rsid w:val="0062576B"/>
    <w:rsid w:val="00625890"/>
    <w:rsid w:val="0062595E"/>
    <w:rsid w:val="00627F2B"/>
    <w:rsid w:val="0063014E"/>
    <w:rsid w:val="00632437"/>
    <w:rsid w:val="00636533"/>
    <w:rsid w:val="00636B24"/>
    <w:rsid w:val="00637CC3"/>
    <w:rsid w:val="0064023A"/>
    <w:rsid w:val="006433B5"/>
    <w:rsid w:val="00644C94"/>
    <w:rsid w:val="00650B96"/>
    <w:rsid w:val="0065112D"/>
    <w:rsid w:val="00653EB3"/>
    <w:rsid w:val="0065527B"/>
    <w:rsid w:val="00660CF2"/>
    <w:rsid w:val="0066134E"/>
    <w:rsid w:val="0066502C"/>
    <w:rsid w:val="006674D4"/>
    <w:rsid w:val="006727E9"/>
    <w:rsid w:val="00674F63"/>
    <w:rsid w:val="006751FA"/>
    <w:rsid w:val="006814BB"/>
    <w:rsid w:val="006831D9"/>
    <w:rsid w:val="006840EB"/>
    <w:rsid w:val="006846ED"/>
    <w:rsid w:val="00691F0C"/>
    <w:rsid w:val="006928B2"/>
    <w:rsid w:val="0069342C"/>
    <w:rsid w:val="006964D1"/>
    <w:rsid w:val="00697096"/>
    <w:rsid w:val="006A15EC"/>
    <w:rsid w:val="006A541C"/>
    <w:rsid w:val="006A5B3B"/>
    <w:rsid w:val="006B0269"/>
    <w:rsid w:val="006B1DA6"/>
    <w:rsid w:val="006B6848"/>
    <w:rsid w:val="006B725D"/>
    <w:rsid w:val="006C0E22"/>
    <w:rsid w:val="006C0F17"/>
    <w:rsid w:val="006C7A4C"/>
    <w:rsid w:val="006D0853"/>
    <w:rsid w:val="006D1EA9"/>
    <w:rsid w:val="006D406B"/>
    <w:rsid w:val="006D4A23"/>
    <w:rsid w:val="006E0445"/>
    <w:rsid w:val="006E0984"/>
    <w:rsid w:val="006E28B3"/>
    <w:rsid w:val="006E2B32"/>
    <w:rsid w:val="006E4281"/>
    <w:rsid w:val="006E51E2"/>
    <w:rsid w:val="006E67D8"/>
    <w:rsid w:val="006E7240"/>
    <w:rsid w:val="006F05C2"/>
    <w:rsid w:val="006F2193"/>
    <w:rsid w:val="006F2B34"/>
    <w:rsid w:val="006F4950"/>
    <w:rsid w:val="006F5FAF"/>
    <w:rsid w:val="006F681F"/>
    <w:rsid w:val="006F7541"/>
    <w:rsid w:val="007031BD"/>
    <w:rsid w:val="00705356"/>
    <w:rsid w:val="0070570B"/>
    <w:rsid w:val="007057ED"/>
    <w:rsid w:val="0070672F"/>
    <w:rsid w:val="007105A6"/>
    <w:rsid w:val="00715417"/>
    <w:rsid w:val="00715A14"/>
    <w:rsid w:val="007163B3"/>
    <w:rsid w:val="00720927"/>
    <w:rsid w:val="007214A1"/>
    <w:rsid w:val="00722BC0"/>
    <w:rsid w:val="0072361D"/>
    <w:rsid w:val="007266DE"/>
    <w:rsid w:val="00726DD4"/>
    <w:rsid w:val="00727044"/>
    <w:rsid w:val="00730F56"/>
    <w:rsid w:val="0074357B"/>
    <w:rsid w:val="0074357D"/>
    <w:rsid w:val="00744E2C"/>
    <w:rsid w:val="00747E93"/>
    <w:rsid w:val="00752119"/>
    <w:rsid w:val="00754408"/>
    <w:rsid w:val="00754FF7"/>
    <w:rsid w:val="007631C7"/>
    <w:rsid w:val="00763CCC"/>
    <w:rsid w:val="00775F6E"/>
    <w:rsid w:val="00776C72"/>
    <w:rsid w:val="00781D01"/>
    <w:rsid w:val="0078258F"/>
    <w:rsid w:val="007846BC"/>
    <w:rsid w:val="00794B6E"/>
    <w:rsid w:val="00795DBB"/>
    <w:rsid w:val="007969A4"/>
    <w:rsid w:val="007A0114"/>
    <w:rsid w:val="007A259C"/>
    <w:rsid w:val="007A2C12"/>
    <w:rsid w:val="007A310B"/>
    <w:rsid w:val="007A3587"/>
    <w:rsid w:val="007A651C"/>
    <w:rsid w:val="007A678D"/>
    <w:rsid w:val="007B1321"/>
    <w:rsid w:val="007B1904"/>
    <w:rsid w:val="007B31E5"/>
    <w:rsid w:val="007B3B22"/>
    <w:rsid w:val="007B4C93"/>
    <w:rsid w:val="007C1643"/>
    <w:rsid w:val="007C3CB2"/>
    <w:rsid w:val="007C4BA1"/>
    <w:rsid w:val="007C7D96"/>
    <w:rsid w:val="007D418D"/>
    <w:rsid w:val="007D6370"/>
    <w:rsid w:val="007E092F"/>
    <w:rsid w:val="007E54DE"/>
    <w:rsid w:val="007E5EC0"/>
    <w:rsid w:val="007E6ADB"/>
    <w:rsid w:val="007F0E23"/>
    <w:rsid w:val="007F2870"/>
    <w:rsid w:val="007F2C74"/>
    <w:rsid w:val="007F532F"/>
    <w:rsid w:val="007F6F80"/>
    <w:rsid w:val="0080098A"/>
    <w:rsid w:val="0080122A"/>
    <w:rsid w:val="00801761"/>
    <w:rsid w:val="00802A0B"/>
    <w:rsid w:val="008100D1"/>
    <w:rsid w:val="008111EB"/>
    <w:rsid w:val="008130C9"/>
    <w:rsid w:val="00813D02"/>
    <w:rsid w:val="00814833"/>
    <w:rsid w:val="00817518"/>
    <w:rsid w:val="00820112"/>
    <w:rsid w:val="0082033D"/>
    <w:rsid w:val="008222AD"/>
    <w:rsid w:val="0083104D"/>
    <w:rsid w:val="008325C3"/>
    <w:rsid w:val="008349AE"/>
    <w:rsid w:val="008370A0"/>
    <w:rsid w:val="00837DCA"/>
    <w:rsid w:val="00840D86"/>
    <w:rsid w:val="00841DF0"/>
    <w:rsid w:val="00844840"/>
    <w:rsid w:val="00846D77"/>
    <w:rsid w:val="008505B7"/>
    <w:rsid w:val="00852480"/>
    <w:rsid w:val="00852713"/>
    <w:rsid w:val="00856632"/>
    <w:rsid w:val="00863BEC"/>
    <w:rsid w:val="00867308"/>
    <w:rsid w:val="0087059E"/>
    <w:rsid w:val="00872548"/>
    <w:rsid w:val="0087359A"/>
    <w:rsid w:val="00875DD5"/>
    <w:rsid w:val="008843B7"/>
    <w:rsid w:val="0088672E"/>
    <w:rsid w:val="00890B2D"/>
    <w:rsid w:val="00892F12"/>
    <w:rsid w:val="00893E19"/>
    <w:rsid w:val="00893FA5"/>
    <w:rsid w:val="00894BC2"/>
    <w:rsid w:val="008A1749"/>
    <w:rsid w:val="008A3C08"/>
    <w:rsid w:val="008A485F"/>
    <w:rsid w:val="008A5A49"/>
    <w:rsid w:val="008A5E72"/>
    <w:rsid w:val="008B0543"/>
    <w:rsid w:val="008B1F83"/>
    <w:rsid w:val="008B3C50"/>
    <w:rsid w:val="008C0888"/>
    <w:rsid w:val="008C3505"/>
    <w:rsid w:val="008C55D1"/>
    <w:rsid w:val="008C6232"/>
    <w:rsid w:val="008D30EA"/>
    <w:rsid w:val="008D3D55"/>
    <w:rsid w:val="008D55C8"/>
    <w:rsid w:val="008D5F19"/>
    <w:rsid w:val="008E0307"/>
    <w:rsid w:val="008E20DE"/>
    <w:rsid w:val="008E466B"/>
    <w:rsid w:val="008E696D"/>
    <w:rsid w:val="008F1770"/>
    <w:rsid w:val="008F2786"/>
    <w:rsid w:val="008F654E"/>
    <w:rsid w:val="009004FF"/>
    <w:rsid w:val="009013C5"/>
    <w:rsid w:val="009038D4"/>
    <w:rsid w:val="00903E4B"/>
    <w:rsid w:val="00904932"/>
    <w:rsid w:val="009061A4"/>
    <w:rsid w:val="00907B9A"/>
    <w:rsid w:val="00912E02"/>
    <w:rsid w:val="0091475F"/>
    <w:rsid w:val="00917F55"/>
    <w:rsid w:val="0092206C"/>
    <w:rsid w:val="00923C58"/>
    <w:rsid w:val="00926817"/>
    <w:rsid w:val="00931493"/>
    <w:rsid w:val="00934E6B"/>
    <w:rsid w:val="00942024"/>
    <w:rsid w:val="00944550"/>
    <w:rsid w:val="009550AD"/>
    <w:rsid w:val="009565D4"/>
    <w:rsid w:val="00957415"/>
    <w:rsid w:val="00961721"/>
    <w:rsid w:val="00966B7B"/>
    <w:rsid w:val="00967D7C"/>
    <w:rsid w:val="009752BD"/>
    <w:rsid w:val="00976925"/>
    <w:rsid w:val="00977D73"/>
    <w:rsid w:val="009828FA"/>
    <w:rsid w:val="00982F9B"/>
    <w:rsid w:val="009853B4"/>
    <w:rsid w:val="009913BE"/>
    <w:rsid w:val="0099262A"/>
    <w:rsid w:val="009930BF"/>
    <w:rsid w:val="00993FA1"/>
    <w:rsid w:val="00996FEA"/>
    <w:rsid w:val="009979F5"/>
    <w:rsid w:val="009A05F3"/>
    <w:rsid w:val="009A5720"/>
    <w:rsid w:val="009B2BE8"/>
    <w:rsid w:val="009B4EF8"/>
    <w:rsid w:val="009B56DA"/>
    <w:rsid w:val="009B6B86"/>
    <w:rsid w:val="009C0E1B"/>
    <w:rsid w:val="009C67F5"/>
    <w:rsid w:val="009C6B8C"/>
    <w:rsid w:val="009C79EB"/>
    <w:rsid w:val="009D13BB"/>
    <w:rsid w:val="009D3FBB"/>
    <w:rsid w:val="009D461E"/>
    <w:rsid w:val="009D50EB"/>
    <w:rsid w:val="009D6CDD"/>
    <w:rsid w:val="009D75F8"/>
    <w:rsid w:val="009E08B4"/>
    <w:rsid w:val="009E1EB8"/>
    <w:rsid w:val="009E32F5"/>
    <w:rsid w:val="009E5BAC"/>
    <w:rsid w:val="009E6279"/>
    <w:rsid w:val="009E7829"/>
    <w:rsid w:val="009F027C"/>
    <w:rsid w:val="009F2649"/>
    <w:rsid w:val="009F2F5B"/>
    <w:rsid w:val="009F4405"/>
    <w:rsid w:val="009F704C"/>
    <w:rsid w:val="00A00351"/>
    <w:rsid w:val="00A015F5"/>
    <w:rsid w:val="00A0215D"/>
    <w:rsid w:val="00A05DF9"/>
    <w:rsid w:val="00A06666"/>
    <w:rsid w:val="00A105E0"/>
    <w:rsid w:val="00A11427"/>
    <w:rsid w:val="00A16DCE"/>
    <w:rsid w:val="00A17192"/>
    <w:rsid w:val="00A20CE8"/>
    <w:rsid w:val="00A22F13"/>
    <w:rsid w:val="00A3018B"/>
    <w:rsid w:val="00A3128D"/>
    <w:rsid w:val="00A324EA"/>
    <w:rsid w:val="00A33A46"/>
    <w:rsid w:val="00A34D1B"/>
    <w:rsid w:val="00A405A5"/>
    <w:rsid w:val="00A45B43"/>
    <w:rsid w:val="00A4794A"/>
    <w:rsid w:val="00A50955"/>
    <w:rsid w:val="00A533DE"/>
    <w:rsid w:val="00A53E2B"/>
    <w:rsid w:val="00A5761D"/>
    <w:rsid w:val="00A72ED0"/>
    <w:rsid w:val="00A758ED"/>
    <w:rsid w:val="00A80F75"/>
    <w:rsid w:val="00A817CE"/>
    <w:rsid w:val="00A8599E"/>
    <w:rsid w:val="00A900DC"/>
    <w:rsid w:val="00A91301"/>
    <w:rsid w:val="00A928FA"/>
    <w:rsid w:val="00A92DF4"/>
    <w:rsid w:val="00A96F9F"/>
    <w:rsid w:val="00A97A34"/>
    <w:rsid w:val="00AA080B"/>
    <w:rsid w:val="00AA79CD"/>
    <w:rsid w:val="00AA7B0B"/>
    <w:rsid w:val="00AB2BB9"/>
    <w:rsid w:val="00AB32CF"/>
    <w:rsid w:val="00AB43D2"/>
    <w:rsid w:val="00AB5AB2"/>
    <w:rsid w:val="00AB5C3B"/>
    <w:rsid w:val="00AC59EB"/>
    <w:rsid w:val="00AC6E6C"/>
    <w:rsid w:val="00AC6F0C"/>
    <w:rsid w:val="00AD2235"/>
    <w:rsid w:val="00AD71EC"/>
    <w:rsid w:val="00AE06A7"/>
    <w:rsid w:val="00AF190A"/>
    <w:rsid w:val="00AF3711"/>
    <w:rsid w:val="00B00B5C"/>
    <w:rsid w:val="00B01330"/>
    <w:rsid w:val="00B01E83"/>
    <w:rsid w:val="00B02599"/>
    <w:rsid w:val="00B13E85"/>
    <w:rsid w:val="00B13F5A"/>
    <w:rsid w:val="00B14060"/>
    <w:rsid w:val="00B16B3C"/>
    <w:rsid w:val="00B213DC"/>
    <w:rsid w:val="00B21F89"/>
    <w:rsid w:val="00B25EE3"/>
    <w:rsid w:val="00B2638B"/>
    <w:rsid w:val="00B269D4"/>
    <w:rsid w:val="00B3202C"/>
    <w:rsid w:val="00B3357C"/>
    <w:rsid w:val="00B37A3D"/>
    <w:rsid w:val="00B44156"/>
    <w:rsid w:val="00B4481A"/>
    <w:rsid w:val="00B44A4C"/>
    <w:rsid w:val="00B468CB"/>
    <w:rsid w:val="00B54F0A"/>
    <w:rsid w:val="00B56571"/>
    <w:rsid w:val="00B60693"/>
    <w:rsid w:val="00B60F2A"/>
    <w:rsid w:val="00B61363"/>
    <w:rsid w:val="00B618AC"/>
    <w:rsid w:val="00B61C4A"/>
    <w:rsid w:val="00B61EC9"/>
    <w:rsid w:val="00B628AC"/>
    <w:rsid w:val="00B65A8D"/>
    <w:rsid w:val="00B67353"/>
    <w:rsid w:val="00B679AD"/>
    <w:rsid w:val="00B74983"/>
    <w:rsid w:val="00B7744A"/>
    <w:rsid w:val="00B77649"/>
    <w:rsid w:val="00B80D40"/>
    <w:rsid w:val="00B81E0C"/>
    <w:rsid w:val="00B82D4D"/>
    <w:rsid w:val="00B87E1E"/>
    <w:rsid w:val="00B87EE6"/>
    <w:rsid w:val="00B91201"/>
    <w:rsid w:val="00B9260A"/>
    <w:rsid w:val="00B93E25"/>
    <w:rsid w:val="00B96ABD"/>
    <w:rsid w:val="00B9785B"/>
    <w:rsid w:val="00BA4472"/>
    <w:rsid w:val="00BA7C8C"/>
    <w:rsid w:val="00BB2A31"/>
    <w:rsid w:val="00BB2C2F"/>
    <w:rsid w:val="00BB6F75"/>
    <w:rsid w:val="00BC0C14"/>
    <w:rsid w:val="00BC30D4"/>
    <w:rsid w:val="00BC4EBB"/>
    <w:rsid w:val="00BC520C"/>
    <w:rsid w:val="00BC56AD"/>
    <w:rsid w:val="00BD5671"/>
    <w:rsid w:val="00BD7F06"/>
    <w:rsid w:val="00BD7FF9"/>
    <w:rsid w:val="00BE33AB"/>
    <w:rsid w:val="00BE5E67"/>
    <w:rsid w:val="00BE5E9D"/>
    <w:rsid w:val="00BF18DC"/>
    <w:rsid w:val="00BF23E0"/>
    <w:rsid w:val="00BF525A"/>
    <w:rsid w:val="00BF78FE"/>
    <w:rsid w:val="00C016E7"/>
    <w:rsid w:val="00C04B4F"/>
    <w:rsid w:val="00C1235E"/>
    <w:rsid w:val="00C13DE2"/>
    <w:rsid w:val="00C14121"/>
    <w:rsid w:val="00C14408"/>
    <w:rsid w:val="00C14776"/>
    <w:rsid w:val="00C17F58"/>
    <w:rsid w:val="00C224A1"/>
    <w:rsid w:val="00C24381"/>
    <w:rsid w:val="00C24426"/>
    <w:rsid w:val="00C307E7"/>
    <w:rsid w:val="00C3226C"/>
    <w:rsid w:val="00C33711"/>
    <w:rsid w:val="00C34A92"/>
    <w:rsid w:val="00C35829"/>
    <w:rsid w:val="00C370A7"/>
    <w:rsid w:val="00C405AB"/>
    <w:rsid w:val="00C42813"/>
    <w:rsid w:val="00C43F0C"/>
    <w:rsid w:val="00C44E40"/>
    <w:rsid w:val="00C45C5E"/>
    <w:rsid w:val="00C460B3"/>
    <w:rsid w:val="00C52F9F"/>
    <w:rsid w:val="00C54499"/>
    <w:rsid w:val="00C54DF9"/>
    <w:rsid w:val="00C56521"/>
    <w:rsid w:val="00C57E90"/>
    <w:rsid w:val="00C62F1C"/>
    <w:rsid w:val="00C63187"/>
    <w:rsid w:val="00C6380F"/>
    <w:rsid w:val="00C6443D"/>
    <w:rsid w:val="00C744A3"/>
    <w:rsid w:val="00C745C6"/>
    <w:rsid w:val="00C76C72"/>
    <w:rsid w:val="00C806E7"/>
    <w:rsid w:val="00C8159E"/>
    <w:rsid w:val="00C81DB5"/>
    <w:rsid w:val="00C827F7"/>
    <w:rsid w:val="00C8411A"/>
    <w:rsid w:val="00C900FF"/>
    <w:rsid w:val="00C94318"/>
    <w:rsid w:val="00C9534C"/>
    <w:rsid w:val="00C95CA0"/>
    <w:rsid w:val="00CA05B2"/>
    <w:rsid w:val="00CA0A1B"/>
    <w:rsid w:val="00CA1A29"/>
    <w:rsid w:val="00CA7307"/>
    <w:rsid w:val="00CB3FC8"/>
    <w:rsid w:val="00CB442A"/>
    <w:rsid w:val="00CB6D12"/>
    <w:rsid w:val="00CB7563"/>
    <w:rsid w:val="00CC2C80"/>
    <w:rsid w:val="00CC47FC"/>
    <w:rsid w:val="00CC5345"/>
    <w:rsid w:val="00CC545E"/>
    <w:rsid w:val="00CC62A6"/>
    <w:rsid w:val="00CC655D"/>
    <w:rsid w:val="00CC6747"/>
    <w:rsid w:val="00CC778F"/>
    <w:rsid w:val="00CD1BD7"/>
    <w:rsid w:val="00CD4B2E"/>
    <w:rsid w:val="00CD4DE4"/>
    <w:rsid w:val="00CD6527"/>
    <w:rsid w:val="00CD6B3F"/>
    <w:rsid w:val="00CD7CBF"/>
    <w:rsid w:val="00CE01AD"/>
    <w:rsid w:val="00CF004C"/>
    <w:rsid w:val="00CF07C4"/>
    <w:rsid w:val="00CF1994"/>
    <w:rsid w:val="00CF3E63"/>
    <w:rsid w:val="00CF41FE"/>
    <w:rsid w:val="00CF561E"/>
    <w:rsid w:val="00CF5DF7"/>
    <w:rsid w:val="00CF761B"/>
    <w:rsid w:val="00D001D7"/>
    <w:rsid w:val="00D017B8"/>
    <w:rsid w:val="00D0277A"/>
    <w:rsid w:val="00D07679"/>
    <w:rsid w:val="00D10288"/>
    <w:rsid w:val="00D12B9E"/>
    <w:rsid w:val="00D143BA"/>
    <w:rsid w:val="00D17438"/>
    <w:rsid w:val="00D20567"/>
    <w:rsid w:val="00D20DD2"/>
    <w:rsid w:val="00D24243"/>
    <w:rsid w:val="00D27047"/>
    <w:rsid w:val="00D2772F"/>
    <w:rsid w:val="00D316F4"/>
    <w:rsid w:val="00D34EEE"/>
    <w:rsid w:val="00D34FF4"/>
    <w:rsid w:val="00D37BAF"/>
    <w:rsid w:val="00D427D5"/>
    <w:rsid w:val="00D471F0"/>
    <w:rsid w:val="00D47863"/>
    <w:rsid w:val="00D51B1E"/>
    <w:rsid w:val="00D544B3"/>
    <w:rsid w:val="00D6349D"/>
    <w:rsid w:val="00D6528D"/>
    <w:rsid w:val="00D75614"/>
    <w:rsid w:val="00D80331"/>
    <w:rsid w:val="00D81BFB"/>
    <w:rsid w:val="00D874AE"/>
    <w:rsid w:val="00D9040C"/>
    <w:rsid w:val="00D96598"/>
    <w:rsid w:val="00D979EA"/>
    <w:rsid w:val="00DA02B9"/>
    <w:rsid w:val="00DA37F0"/>
    <w:rsid w:val="00DA3F3A"/>
    <w:rsid w:val="00DA42EA"/>
    <w:rsid w:val="00DA70D8"/>
    <w:rsid w:val="00DA7C8E"/>
    <w:rsid w:val="00DA7FEA"/>
    <w:rsid w:val="00DB269B"/>
    <w:rsid w:val="00DC02B5"/>
    <w:rsid w:val="00DC18EB"/>
    <w:rsid w:val="00DC48E2"/>
    <w:rsid w:val="00DD26E2"/>
    <w:rsid w:val="00DD27D1"/>
    <w:rsid w:val="00DE2020"/>
    <w:rsid w:val="00DE221A"/>
    <w:rsid w:val="00DE2334"/>
    <w:rsid w:val="00DE34B1"/>
    <w:rsid w:val="00DE5C1E"/>
    <w:rsid w:val="00DF3444"/>
    <w:rsid w:val="00DF6621"/>
    <w:rsid w:val="00DF68F0"/>
    <w:rsid w:val="00DF6CDE"/>
    <w:rsid w:val="00E0113D"/>
    <w:rsid w:val="00E039CB"/>
    <w:rsid w:val="00E04D93"/>
    <w:rsid w:val="00E06521"/>
    <w:rsid w:val="00E07760"/>
    <w:rsid w:val="00E1084F"/>
    <w:rsid w:val="00E1208B"/>
    <w:rsid w:val="00E1423B"/>
    <w:rsid w:val="00E169B3"/>
    <w:rsid w:val="00E27E52"/>
    <w:rsid w:val="00E317E1"/>
    <w:rsid w:val="00E33231"/>
    <w:rsid w:val="00E400A3"/>
    <w:rsid w:val="00E40FF4"/>
    <w:rsid w:val="00E41D4D"/>
    <w:rsid w:val="00E42257"/>
    <w:rsid w:val="00E5125B"/>
    <w:rsid w:val="00E556D2"/>
    <w:rsid w:val="00E5659A"/>
    <w:rsid w:val="00E57D94"/>
    <w:rsid w:val="00E6186E"/>
    <w:rsid w:val="00E61E09"/>
    <w:rsid w:val="00E645B7"/>
    <w:rsid w:val="00E67B33"/>
    <w:rsid w:val="00E72F03"/>
    <w:rsid w:val="00E7429A"/>
    <w:rsid w:val="00E75D89"/>
    <w:rsid w:val="00E83130"/>
    <w:rsid w:val="00E84434"/>
    <w:rsid w:val="00E84954"/>
    <w:rsid w:val="00E9644E"/>
    <w:rsid w:val="00EA0512"/>
    <w:rsid w:val="00EA1341"/>
    <w:rsid w:val="00EA6302"/>
    <w:rsid w:val="00EA746D"/>
    <w:rsid w:val="00EB30F5"/>
    <w:rsid w:val="00EB470C"/>
    <w:rsid w:val="00EB5C8B"/>
    <w:rsid w:val="00EB5C9A"/>
    <w:rsid w:val="00EB7E84"/>
    <w:rsid w:val="00EC3704"/>
    <w:rsid w:val="00EC3CC1"/>
    <w:rsid w:val="00EC47CA"/>
    <w:rsid w:val="00EC5930"/>
    <w:rsid w:val="00ED263C"/>
    <w:rsid w:val="00ED2A92"/>
    <w:rsid w:val="00ED4E35"/>
    <w:rsid w:val="00ED4EA9"/>
    <w:rsid w:val="00ED503D"/>
    <w:rsid w:val="00EE0307"/>
    <w:rsid w:val="00EE11FD"/>
    <w:rsid w:val="00EE1D07"/>
    <w:rsid w:val="00EE1D32"/>
    <w:rsid w:val="00EF142D"/>
    <w:rsid w:val="00F113B8"/>
    <w:rsid w:val="00F1197C"/>
    <w:rsid w:val="00F12832"/>
    <w:rsid w:val="00F13235"/>
    <w:rsid w:val="00F139F3"/>
    <w:rsid w:val="00F13BF9"/>
    <w:rsid w:val="00F1494E"/>
    <w:rsid w:val="00F15507"/>
    <w:rsid w:val="00F22537"/>
    <w:rsid w:val="00F23798"/>
    <w:rsid w:val="00F260AC"/>
    <w:rsid w:val="00F26DFB"/>
    <w:rsid w:val="00F27043"/>
    <w:rsid w:val="00F32C54"/>
    <w:rsid w:val="00F32E6E"/>
    <w:rsid w:val="00F40FDD"/>
    <w:rsid w:val="00F4263A"/>
    <w:rsid w:val="00F47E96"/>
    <w:rsid w:val="00F50A3A"/>
    <w:rsid w:val="00F51EB4"/>
    <w:rsid w:val="00F53A68"/>
    <w:rsid w:val="00F60A1A"/>
    <w:rsid w:val="00F62A1E"/>
    <w:rsid w:val="00F64DB9"/>
    <w:rsid w:val="00F65513"/>
    <w:rsid w:val="00F679AD"/>
    <w:rsid w:val="00F76801"/>
    <w:rsid w:val="00F77FF9"/>
    <w:rsid w:val="00F808CB"/>
    <w:rsid w:val="00F821C7"/>
    <w:rsid w:val="00F85399"/>
    <w:rsid w:val="00F93183"/>
    <w:rsid w:val="00F949C5"/>
    <w:rsid w:val="00F958DB"/>
    <w:rsid w:val="00F971F2"/>
    <w:rsid w:val="00FA035F"/>
    <w:rsid w:val="00FA3085"/>
    <w:rsid w:val="00FA5D26"/>
    <w:rsid w:val="00FA686C"/>
    <w:rsid w:val="00FA6932"/>
    <w:rsid w:val="00FA7B14"/>
    <w:rsid w:val="00FA7E5C"/>
    <w:rsid w:val="00FB38F7"/>
    <w:rsid w:val="00FB3972"/>
    <w:rsid w:val="00FB5814"/>
    <w:rsid w:val="00FB70DE"/>
    <w:rsid w:val="00FC1BB2"/>
    <w:rsid w:val="00FC2BD1"/>
    <w:rsid w:val="00FC2F02"/>
    <w:rsid w:val="00FC44CD"/>
    <w:rsid w:val="00FC450E"/>
    <w:rsid w:val="00FC45AF"/>
    <w:rsid w:val="00FD0346"/>
    <w:rsid w:val="00FD17C2"/>
    <w:rsid w:val="00FD634F"/>
    <w:rsid w:val="00FD685A"/>
    <w:rsid w:val="00FD7906"/>
    <w:rsid w:val="00FE0A7C"/>
    <w:rsid w:val="00FE2611"/>
    <w:rsid w:val="00FE5E64"/>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1e1ff,#069,#bad1e8,#afd787,#cde6b4,#d1e8ba,#0000ac"/>
    </o:shapedefaults>
    <o:shapelayout v:ext="edit">
      <o:idmap v:ext="edit" data="1"/>
    </o:shapelayout>
  </w:shapeDefaults>
  <w:decimalSymbol w:val="."/>
  <w:listSeparator w:val=","/>
  <w14:docId w14:val="2D1D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2A5FC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spacing w:before="60" w:after="120"/>
      <w:outlineLvl w:val="2"/>
    </w:pPr>
    <w:rPr>
      <w:rFonts w:ascii="Arial" w:hAnsi="Arial"/>
      <w:b/>
      <w:color w:val="DA291C"/>
      <w:sz w:val="20"/>
    </w:rPr>
  </w:style>
  <w:style w:type="paragraph" w:styleId="Heading4">
    <w:name w:val="heading 4"/>
    <w:basedOn w:val="Normal"/>
    <w:next w:val="BodyText"/>
    <w:qFormat/>
    <w:rsid w:val="00B60F2A"/>
    <w:pPr>
      <w:keepNext/>
      <w:spacing w:before="60" w:after="60"/>
      <w:outlineLvl w:val="3"/>
    </w:pPr>
    <w:rPr>
      <w:b/>
      <w:i/>
    </w:rPr>
  </w:style>
  <w:style w:type="paragraph" w:styleId="Heading5">
    <w:name w:val="heading 5"/>
    <w:basedOn w:val="Normal"/>
    <w:next w:val="BodyText"/>
    <w:qFormat/>
    <w:rsid w:val="001034D7"/>
    <w:pPr>
      <w:keepNext/>
      <w:keepLines/>
      <w:spacing w:before="60" w:after="120"/>
      <w:outlineLvl w:val="4"/>
    </w:pPr>
    <w:rPr>
      <w:b/>
      <w:i/>
      <w:color w:val="DA291C"/>
    </w:rPr>
  </w:style>
  <w:style w:type="paragraph" w:styleId="Heading6">
    <w:name w:val="heading 6"/>
    <w:basedOn w:val="Normal"/>
    <w:next w:val="Normal"/>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rPr>
      <w:sz w:val="24"/>
      <w:szCs w:val="24"/>
    </w:rPr>
  </w:style>
  <w:style w:type="paragraph" w:styleId="Heading8">
    <w:name w:val="heading 8"/>
    <w:basedOn w:val="Normal"/>
    <w:next w:val="Normal"/>
    <w:qFormat/>
    <w:rsid w:val="003A3403"/>
    <w:pPr>
      <w:spacing w:before="240" w:after="60"/>
      <w:outlineLvl w:val="7"/>
    </w:pPr>
    <w:rPr>
      <w:i/>
      <w:iCs/>
      <w:sz w:val="24"/>
      <w:szCs w:val="24"/>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uiPriority w:val="99"/>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C806E7"/>
  </w:style>
  <w:style w:type="table" w:customStyle="1" w:styleId="TableGrid1">
    <w:name w:val="Table Grid1"/>
    <w:basedOn w:val="TableNormal"/>
    <w:next w:val="TableGrid"/>
    <w:uiPriority w:val="59"/>
    <w:rsid w:val="00C8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paragraph" w:customStyle="1" w:styleId="Bodytextnospaceafter">
    <w:name w:val="Body text no space after"/>
    <w:basedOn w:val="BodyText"/>
    <w:qFormat/>
    <w:rsid w:val="00ED4E35"/>
    <w:pPr>
      <w:spacing w:after="0"/>
    </w:pPr>
  </w:style>
  <w:style w:type="table" w:customStyle="1" w:styleId="Abt">
    <w:name w:val="Abt"/>
    <w:basedOn w:val="TableNormal"/>
    <w:uiPriority w:val="99"/>
    <w:rsid w:val="00817518"/>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SourceLast">
    <w:name w:val="Exhibit Source Last"/>
    <w:basedOn w:val="ExhibitSource"/>
    <w:qFormat/>
    <w:rsid w:val="00817518"/>
    <w:pPr>
      <w:spacing w:before="0"/>
    </w:pPr>
    <w:rPr>
      <w:sz w:val="16"/>
    </w:rPr>
  </w:style>
  <w:style w:type="character" w:customStyle="1" w:styleId="Heading2Char">
    <w:name w:val="Heading 2 Char"/>
    <w:link w:val="Heading2"/>
    <w:rsid w:val="00961721"/>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2A5FC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spacing w:before="60" w:after="120"/>
      <w:outlineLvl w:val="2"/>
    </w:pPr>
    <w:rPr>
      <w:rFonts w:ascii="Arial" w:hAnsi="Arial"/>
      <w:b/>
      <w:color w:val="DA291C"/>
      <w:sz w:val="20"/>
    </w:rPr>
  </w:style>
  <w:style w:type="paragraph" w:styleId="Heading4">
    <w:name w:val="heading 4"/>
    <w:basedOn w:val="Normal"/>
    <w:next w:val="BodyText"/>
    <w:qFormat/>
    <w:rsid w:val="00B60F2A"/>
    <w:pPr>
      <w:keepNext/>
      <w:spacing w:before="60" w:after="60"/>
      <w:outlineLvl w:val="3"/>
    </w:pPr>
    <w:rPr>
      <w:b/>
      <w:i/>
    </w:rPr>
  </w:style>
  <w:style w:type="paragraph" w:styleId="Heading5">
    <w:name w:val="heading 5"/>
    <w:basedOn w:val="Normal"/>
    <w:next w:val="BodyText"/>
    <w:qFormat/>
    <w:rsid w:val="001034D7"/>
    <w:pPr>
      <w:keepNext/>
      <w:keepLines/>
      <w:spacing w:before="60" w:after="120"/>
      <w:outlineLvl w:val="4"/>
    </w:pPr>
    <w:rPr>
      <w:b/>
      <w:i/>
      <w:color w:val="DA291C"/>
    </w:rPr>
  </w:style>
  <w:style w:type="paragraph" w:styleId="Heading6">
    <w:name w:val="heading 6"/>
    <w:basedOn w:val="Normal"/>
    <w:next w:val="Normal"/>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rPr>
      <w:sz w:val="24"/>
      <w:szCs w:val="24"/>
    </w:rPr>
  </w:style>
  <w:style w:type="paragraph" w:styleId="Heading8">
    <w:name w:val="heading 8"/>
    <w:basedOn w:val="Normal"/>
    <w:next w:val="Normal"/>
    <w:qFormat/>
    <w:rsid w:val="003A3403"/>
    <w:pPr>
      <w:spacing w:before="240" w:after="60"/>
      <w:outlineLvl w:val="7"/>
    </w:pPr>
    <w:rPr>
      <w:i/>
      <w:iCs/>
      <w:sz w:val="24"/>
      <w:szCs w:val="24"/>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uiPriority w:val="99"/>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C806E7"/>
  </w:style>
  <w:style w:type="table" w:customStyle="1" w:styleId="TableGrid1">
    <w:name w:val="Table Grid1"/>
    <w:basedOn w:val="TableNormal"/>
    <w:next w:val="TableGrid"/>
    <w:uiPriority w:val="59"/>
    <w:rsid w:val="00C8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paragraph" w:customStyle="1" w:styleId="Bodytextnospaceafter">
    <w:name w:val="Body text no space after"/>
    <w:basedOn w:val="BodyText"/>
    <w:qFormat/>
    <w:rsid w:val="00ED4E35"/>
    <w:pPr>
      <w:spacing w:after="0"/>
    </w:pPr>
  </w:style>
  <w:style w:type="table" w:customStyle="1" w:styleId="Abt">
    <w:name w:val="Abt"/>
    <w:basedOn w:val="TableNormal"/>
    <w:uiPriority w:val="99"/>
    <w:rsid w:val="00817518"/>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SourceLast">
    <w:name w:val="Exhibit Source Last"/>
    <w:basedOn w:val="ExhibitSource"/>
    <w:qFormat/>
    <w:rsid w:val="00817518"/>
    <w:pPr>
      <w:spacing w:before="0"/>
    </w:pPr>
    <w:rPr>
      <w:sz w:val="16"/>
    </w:rPr>
  </w:style>
  <w:style w:type="character" w:customStyle="1" w:styleId="Heading2Char">
    <w:name w:val="Heading 2 Char"/>
    <w:link w:val="Heading2"/>
    <w:rsid w:val="00961721"/>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7863-93B0-4A2F-B2F0-B52435A3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3</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24322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SYSTEM</cp:lastModifiedBy>
  <cp:revision>2</cp:revision>
  <cp:lastPrinted>2018-06-18T15:14:00Z</cp:lastPrinted>
  <dcterms:created xsi:type="dcterms:W3CDTF">2018-07-16T15:54:00Z</dcterms:created>
  <dcterms:modified xsi:type="dcterms:W3CDTF">2018-07-16T15:54:00Z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