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063F7" w14:textId="77777777" w:rsidR="00006E4B" w:rsidRDefault="00006E4B" w:rsidP="00006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bookmarkStart w:id="0" w:name="_GoBack"/>
      <w:bookmarkEnd w:id="0"/>
      <w:r>
        <w:rPr>
          <w:rFonts w:ascii="Helvetica" w:hAnsi="Helvetica"/>
          <w:b/>
          <w:sz w:val="28"/>
        </w:rPr>
        <w:t>Supporting Statement for Paperwork Reduction Act Submissions</w:t>
      </w:r>
    </w:p>
    <w:p w14:paraId="253063F8" w14:textId="77777777" w:rsidR="00006E4B" w:rsidRDefault="00006E4B" w:rsidP="00006E4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14:paraId="253063F9" w14:textId="77777777" w:rsidR="00006E4B" w:rsidRDefault="00006E4B" w:rsidP="00006E4B">
      <w:pPr>
        <w:pStyle w:val="Heading1"/>
      </w:pPr>
      <w:r>
        <w:t>Personal Financial and Credit Statement</w:t>
      </w:r>
    </w:p>
    <w:p w14:paraId="253063FA" w14:textId="77777777" w:rsidR="00006E4B" w:rsidRDefault="00006E4B" w:rsidP="00006E4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b/>
          <w:sz w:val="24"/>
        </w:rPr>
        <w:t>OMB Control Number 2502-0001</w:t>
      </w:r>
    </w:p>
    <w:p w14:paraId="253063FB" w14:textId="77777777" w:rsidR="00006E4B" w:rsidRDefault="00006E4B" w:rsidP="00006E4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b/>
          <w:sz w:val="24"/>
        </w:rPr>
        <w:t>(HUD-92417)</w:t>
      </w:r>
    </w:p>
    <w:p w14:paraId="253063FC" w14:textId="77777777" w:rsidR="00006E4B" w:rsidRDefault="00006E4B" w:rsidP="00006E4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rPr>
      </w:pPr>
    </w:p>
    <w:p w14:paraId="253063FD" w14:textId="77777777" w:rsidR="00006E4B" w:rsidRDefault="00006E4B" w:rsidP="00006E4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r>
        <w:rPr>
          <w:b/>
          <w:sz w:val="24"/>
        </w:rPr>
        <w:t xml:space="preserve">A. </w:t>
      </w:r>
      <w:r>
        <w:rPr>
          <w:b/>
          <w:sz w:val="24"/>
        </w:rPr>
        <w:tab/>
        <w:t>Justi</w:t>
      </w:r>
      <w:r>
        <w:rPr>
          <w:b/>
          <w:color w:val="000000"/>
          <w:sz w:val="24"/>
        </w:rPr>
        <w:t>fication</w:t>
      </w:r>
    </w:p>
    <w:p w14:paraId="253063FE" w14:textId="77777777" w:rsidR="00006E4B" w:rsidRDefault="00006E4B" w:rsidP="00006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p>
    <w:p w14:paraId="253063FF" w14:textId="77777777" w:rsidR="00006E4B" w:rsidRDefault="00006E4B" w:rsidP="00006E4B">
      <w:pPr>
        <w:pStyle w:val="BodyTextIndent2"/>
      </w:pPr>
      <w:r>
        <w:t>1.</w:t>
      </w:r>
      <w:r>
        <w:tab/>
        <w:t>Under Section 207 (b)(1) and (2) of the National Housing Act (Public Law 479, 48 Stat. 1246, 12 U.S.C. 1713 et seq.) the applicable portion of which are attached for references, the Secretary is authorized to insure mortgages on property held by (1) Federal or State instrumentalities, municipal corporate instrumentalities of one or more States, or limited dividend or redevelopment or housing corporations restricted by Federal or State laws or regulations of State banking or insurance departments as to rents, charges, capital structure, rate of return, or methods of operations; or (2) any mortgagor approved by the Secretary.  The Secretary may at his discretion, require any such mortgagor to be regulated or restricted as to rents, sales, charges, capital structure, rate of return, and methods of operation so as to provide reasonable rentals to tenants and a reasonable return on investment.</w:t>
      </w:r>
    </w:p>
    <w:p w14:paraId="25306400" w14:textId="77777777" w:rsidR="00006E4B" w:rsidRDefault="00006E4B" w:rsidP="00006E4B">
      <w:pPr>
        <w:rPr>
          <w:sz w:val="24"/>
        </w:rPr>
      </w:pPr>
    </w:p>
    <w:p w14:paraId="25306401" w14:textId="11B9B745" w:rsidR="00006E4B" w:rsidRDefault="00484D2A" w:rsidP="00006E4B">
      <w:pPr>
        <w:pStyle w:val="BodyTextIndent"/>
        <w:overflowPunct w:val="0"/>
        <w:autoSpaceDE w:val="0"/>
        <w:autoSpaceDN w:val="0"/>
        <w:adjustRightInd w:val="0"/>
        <w:textAlignment w:val="baseline"/>
        <w:rPr>
          <w:szCs w:val="20"/>
        </w:rPr>
      </w:pPr>
      <w:r w:rsidRPr="00A818B8">
        <w:rPr>
          <w:szCs w:val="20"/>
        </w:rPr>
        <w:t>The Department</w:t>
      </w:r>
      <w:r w:rsidR="006169A7" w:rsidRPr="00A818B8">
        <w:rPr>
          <w:szCs w:val="20"/>
        </w:rPr>
        <w:t xml:space="preserve">, in </w:t>
      </w:r>
      <w:r w:rsidR="00DA1FC8" w:rsidRPr="00A818B8">
        <w:rPr>
          <w:szCs w:val="20"/>
        </w:rPr>
        <w:t xml:space="preserve">accordance with </w:t>
      </w:r>
      <w:r w:rsidR="00006E4B" w:rsidRPr="00A818B8">
        <w:rPr>
          <w:szCs w:val="20"/>
        </w:rPr>
        <w:t xml:space="preserve">regulations cited in 24 CFR </w:t>
      </w:r>
      <w:r w:rsidR="000D55D3" w:rsidRPr="00A818B8">
        <w:rPr>
          <w:szCs w:val="20"/>
        </w:rPr>
        <w:t>207.</w:t>
      </w:r>
      <w:r w:rsidR="009A71EE" w:rsidRPr="00A818B8">
        <w:rPr>
          <w:szCs w:val="20"/>
        </w:rPr>
        <w:t xml:space="preserve">1 </w:t>
      </w:r>
      <w:r w:rsidR="000D55D3" w:rsidRPr="00A818B8">
        <w:rPr>
          <w:szCs w:val="20"/>
        </w:rPr>
        <w:t>(</w:t>
      </w:r>
      <w:r w:rsidR="003B18A3" w:rsidRPr="00A818B8">
        <w:rPr>
          <w:szCs w:val="20"/>
        </w:rPr>
        <w:t xml:space="preserve">eligibility </w:t>
      </w:r>
      <w:r w:rsidR="00223321" w:rsidRPr="00A818B8">
        <w:rPr>
          <w:szCs w:val="20"/>
        </w:rPr>
        <w:t>requirements</w:t>
      </w:r>
      <w:r w:rsidR="00F1189C" w:rsidRPr="00A818B8">
        <w:rPr>
          <w:szCs w:val="20"/>
        </w:rPr>
        <w:t xml:space="preserve">) set forth </w:t>
      </w:r>
      <w:r w:rsidR="00010A88" w:rsidRPr="00A818B8">
        <w:rPr>
          <w:szCs w:val="20"/>
        </w:rPr>
        <w:t xml:space="preserve">in 24 </w:t>
      </w:r>
      <w:r w:rsidR="002622E8" w:rsidRPr="00A818B8">
        <w:rPr>
          <w:szCs w:val="20"/>
        </w:rPr>
        <w:t>CFR part</w:t>
      </w:r>
      <w:r w:rsidR="009545E5" w:rsidRPr="00A818B8">
        <w:rPr>
          <w:szCs w:val="20"/>
        </w:rPr>
        <w:t xml:space="preserve"> 200, subpart A, apply to multifamily project</w:t>
      </w:r>
      <w:r w:rsidR="00CF266F" w:rsidRPr="00A818B8">
        <w:rPr>
          <w:szCs w:val="20"/>
        </w:rPr>
        <w:t xml:space="preserve"> mortgages insured under section of the National Hou</w:t>
      </w:r>
      <w:r w:rsidR="00CA6372" w:rsidRPr="00A818B8">
        <w:rPr>
          <w:szCs w:val="20"/>
        </w:rPr>
        <w:t>sing Act (12 U</w:t>
      </w:r>
      <w:r w:rsidR="0057107D" w:rsidRPr="00A818B8">
        <w:rPr>
          <w:szCs w:val="20"/>
        </w:rPr>
        <w:t>.</w:t>
      </w:r>
      <w:r w:rsidR="00CA6372" w:rsidRPr="00A818B8">
        <w:rPr>
          <w:szCs w:val="20"/>
        </w:rPr>
        <w:t xml:space="preserve">S.C. </w:t>
      </w:r>
      <w:r w:rsidR="00CC7A5B" w:rsidRPr="00A818B8">
        <w:rPr>
          <w:szCs w:val="20"/>
        </w:rPr>
        <w:t>1713</w:t>
      </w:r>
      <w:r w:rsidR="00C1221C" w:rsidRPr="00A818B8">
        <w:rPr>
          <w:szCs w:val="20"/>
        </w:rPr>
        <w:t>)</w:t>
      </w:r>
      <w:r w:rsidR="006E75BC" w:rsidRPr="00A818B8">
        <w:rPr>
          <w:szCs w:val="20"/>
        </w:rPr>
        <w:t>, as amended</w:t>
      </w:r>
      <w:r w:rsidR="00E82C54" w:rsidRPr="00A818B8">
        <w:rPr>
          <w:szCs w:val="20"/>
        </w:rPr>
        <w:t>.  T</w:t>
      </w:r>
      <w:r w:rsidR="004B025B" w:rsidRPr="00A818B8">
        <w:rPr>
          <w:szCs w:val="20"/>
        </w:rPr>
        <w:t xml:space="preserve">he </w:t>
      </w:r>
      <w:r w:rsidR="000C40FD" w:rsidRPr="00A818B8">
        <w:rPr>
          <w:szCs w:val="20"/>
        </w:rPr>
        <w:t xml:space="preserve">Department </w:t>
      </w:r>
      <w:r w:rsidR="008510BD" w:rsidRPr="00A818B8">
        <w:rPr>
          <w:szCs w:val="20"/>
        </w:rPr>
        <w:t xml:space="preserve">is </w:t>
      </w:r>
      <w:r w:rsidR="00C1221C" w:rsidRPr="00A818B8">
        <w:rPr>
          <w:szCs w:val="20"/>
        </w:rPr>
        <w:t xml:space="preserve">legally </w:t>
      </w:r>
      <w:r w:rsidR="00006E4B" w:rsidRPr="00A818B8">
        <w:rPr>
          <w:szCs w:val="20"/>
        </w:rPr>
        <w:t>required to collect information to evaluate the character, ability, and capital of the sponsor, mortgagor, and general contractor for mortgage insurance</w:t>
      </w:r>
      <w:r w:rsidR="00006E4B" w:rsidRPr="008510BD">
        <w:rPr>
          <w:color w:val="FF0000"/>
          <w:szCs w:val="20"/>
        </w:rPr>
        <w:t>.</w:t>
      </w:r>
      <w:r w:rsidR="00006E4B">
        <w:rPr>
          <w:szCs w:val="20"/>
        </w:rPr>
        <w:t xml:space="preserve">  The financial analysis of the project’s principal participants is an integral part of the underwriting process.  The development of a multifamily rental property is subject to certain inherent risks that the Department must assess.  A project may be subject to costly construction delays, incompetent management, and a probability that income will not cover project expenditures if a comprehensive credit analysis is not conducted.  Therefore, the Department is legally obligated to review the mortgagor’s financial capacity in order to minimize the risk to the insurance fund.</w:t>
      </w:r>
    </w:p>
    <w:p w14:paraId="25306402" w14:textId="77777777" w:rsidR="00006E4B" w:rsidRDefault="00006E4B" w:rsidP="00006E4B">
      <w:pPr>
        <w:rPr>
          <w:sz w:val="24"/>
        </w:rPr>
      </w:pPr>
    </w:p>
    <w:p w14:paraId="25306403" w14:textId="77777777" w:rsidR="00006E4B" w:rsidRDefault="00006E4B" w:rsidP="00006E4B">
      <w:pPr>
        <w:pStyle w:val="BodyTextIndent2"/>
        <w:rPr>
          <w:b/>
          <w:bCs/>
          <w:i/>
          <w:iCs/>
        </w:rPr>
      </w:pPr>
      <w:r>
        <w:t>2.</w:t>
      </w:r>
      <w:r>
        <w:tab/>
        <w:t xml:space="preserve">Form HUD-92417, Personal and Financial Credit Statement, is a part of the credit investigation during the Site Appraisal and Market Analysis (SAMA)-Feasibility stage for non-profit sponsors/mortgagors and housing consultants and during the commitment stage in for all other sponsors/mortgagors, principals of the mortgagor entity, and general contractors.  FHA-approved lenders and HUD personnel use the information to analyze the financial capacity, reputation, experience, and the ability of the project sponsor to develop a successful project, and to determine if the sponsor has sufficient financial resources to complete and maintain the property.  </w:t>
      </w:r>
    </w:p>
    <w:p w14:paraId="25306404" w14:textId="77777777" w:rsidR="00006E4B" w:rsidRDefault="00006E4B" w:rsidP="00006E4B">
      <w:pPr>
        <w:rPr>
          <w:b/>
          <w:bCs/>
          <w:i/>
          <w:iCs/>
          <w:sz w:val="24"/>
        </w:rPr>
      </w:pPr>
    </w:p>
    <w:p w14:paraId="25306405" w14:textId="77777777" w:rsidR="00006E4B" w:rsidRDefault="00006E4B" w:rsidP="00006E4B">
      <w:pPr>
        <w:pStyle w:val="BodyTextIndent2"/>
        <w:tabs>
          <w:tab w:val="left" w:pos="360"/>
        </w:tabs>
      </w:pPr>
      <w:r>
        <w:tab/>
        <w:t xml:space="preserve">Form HUD-92417 is used only for </w:t>
      </w:r>
      <w:r w:rsidR="008C731B">
        <w:t>individuals and</w:t>
      </w:r>
      <w:r>
        <w:t xml:space="preserve"> is completed in conjunction with the basic application form, HUD-92013 (OMB Control Number 2502-0029) as a required exhibit.  The information obtained is the minimum required to </w:t>
      </w:r>
      <w:r w:rsidR="008C731B">
        <w:t>decide</w:t>
      </w:r>
      <w:r>
        <w:t xml:space="preserve"> of the financial and credit status of the respondent.  The respondents are individuals of business entities, non-profit entities, corporations, and general contractors.  The Privacy Act Notice Statement, therefore, is applicable.  </w:t>
      </w:r>
    </w:p>
    <w:p w14:paraId="25306406" w14:textId="77777777" w:rsidR="00006E4B" w:rsidRDefault="00006E4B" w:rsidP="00006E4B">
      <w:pPr>
        <w:pStyle w:val="BodyTextIndent2"/>
        <w:tabs>
          <w:tab w:val="left" w:pos="360"/>
        </w:tabs>
      </w:pPr>
    </w:p>
    <w:p w14:paraId="25306407" w14:textId="77777777" w:rsidR="00006E4B" w:rsidRDefault="00006E4B" w:rsidP="00006E4B">
      <w:pPr>
        <w:pStyle w:val="BodyTextIndent2"/>
        <w:tabs>
          <w:tab w:val="left" w:pos="360"/>
        </w:tabs>
        <w:ind w:firstLine="0"/>
      </w:pPr>
      <w:r>
        <w:t xml:space="preserve">Corporate or partnership mortgagors do not use the form and are not a part of this information collection.  Corporate or partnership mortgagors submit balance sheets, income and expense statements, and other financial reports to demonstrate credit worthiness (OMB control number 2502-0029).  </w:t>
      </w:r>
    </w:p>
    <w:p w14:paraId="25306408" w14:textId="77777777" w:rsidR="006D37AC" w:rsidRDefault="006D37AC" w:rsidP="00006E4B">
      <w:pPr>
        <w:pStyle w:val="BodyTextIndent2"/>
        <w:tabs>
          <w:tab w:val="left" w:pos="360"/>
        </w:tabs>
        <w:ind w:firstLine="0"/>
      </w:pPr>
    </w:p>
    <w:p w14:paraId="25306409" w14:textId="77777777" w:rsidR="006D37AC" w:rsidRDefault="006D37AC" w:rsidP="00006E4B">
      <w:pPr>
        <w:pStyle w:val="BodyTextIndent2"/>
        <w:tabs>
          <w:tab w:val="left" w:pos="360"/>
        </w:tabs>
        <w:ind w:firstLine="0"/>
      </w:pPr>
    </w:p>
    <w:p w14:paraId="2530640A" w14:textId="77777777" w:rsidR="006D37AC" w:rsidRDefault="006D37AC" w:rsidP="00006E4B">
      <w:pPr>
        <w:pStyle w:val="BodyTextIndent2"/>
        <w:tabs>
          <w:tab w:val="left" w:pos="360"/>
        </w:tabs>
        <w:ind w:firstLine="0"/>
      </w:pPr>
    </w:p>
    <w:p w14:paraId="2530640B" w14:textId="77777777" w:rsidR="006D37AC" w:rsidRDefault="006D37AC" w:rsidP="00006E4B">
      <w:pPr>
        <w:pStyle w:val="BodyTextIndent2"/>
        <w:tabs>
          <w:tab w:val="left" w:pos="360"/>
        </w:tabs>
        <w:ind w:firstLine="0"/>
      </w:pPr>
    </w:p>
    <w:p w14:paraId="2530640C" w14:textId="77777777" w:rsidR="006D37AC" w:rsidRDefault="006D37AC" w:rsidP="00006E4B">
      <w:pPr>
        <w:pStyle w:val="BodyTextIndent2"/>
        <w:tabs>
          <w:tab w:val="left" w:pos="360"/>
        </w:tabs>
        <w:ind w:firstLine="0"/>
      </w:pPr>
    </w:p>
    <w:p w14:paraId="2530640D" w14:textId="77777777" w:rsidR="006D37AC" w:rsidRDefault="006D37AC" w:rsidP="00006E4B">
      <w:pPr>
        <w:pStyle w:val="BodyTextIndent2"/>
        <w:tabs>
          <w:tab w:val="left" w:pos="360"/>
        </w:tabs>
        <w:ind w:firstLine="0"/>
      </w:pPr>
    </w:p>
    <w:p w14:paraId="2530640E" w14:textId="77777777" w:rsidR="006D37AC" w:rsidRDefault="006D37AC" w:rsidP="00006E4B">
      <w:pPr>
        <w:pStyle w:val="BodyTextIndent2"/>
        <w:tabs>
          <w:tab w:val="left" w:pos="360"/>
        </w:tabs>
        <w:ind w:firstLine="0"/>
      </w:pPr>
    </w:p>
    <w:p w14:paraId="2530640F" w14:textId="77777777" w:rsidR="006D37AC" w:rsidRDefault="006D37AC" w:rsidP="00006E4B">
      <w:pPr>
        <w:pStyle w:val="BodyTextIndent2"/>
        <w:tabs>
          <w:tab w:val="left" w:pos="360"/>
        </w:tabs>
        <w:ind w:firstLine="0"/>
      </w:pPr>
    </w:p>
    <w:p w14:paraId="25306410" w14:textId="77777777" w:rsidR="006D37AC" w:rsidRDefault="006D37AC" w:rsidP="006D37AC">
      <w:pPr>
        <w:pStyle w:val="BodyTextIndent2"/>
        <w:tabs>
          <w:tab w:val="left" w:pos="360"/>
        </w:tabs>
        <w:ind w:firstLine="0"/>
      </w:pPr>
      <w:r>
        <w:t>3.  R</w:t>
      </w:r>
      <w:r w:rsidRPr="000361A0">
        <w:rPr>
          <w:color w:val="000000" w:themeColor="text1"/>
          <w:szCs w:val="24"/>
        </w:rPr>
        <w:t xml:space="preserve">eengineering efforts to replace the Development Application Processing (DAP) system with a </w:t>
      </w:r>
      <w:r>
        <w:rPr>
          <w:color w:val="000000" w:themeColor="text1"/>
          <w:szCs w:val="24"/>
        </w:rPr>
        <w:t xml:space="preserve">    </w:t>
      </w:r>
      <w:r w:rsidRPr="000361A0">
        <w:rPr>
          <w:color w:val="000000" w:themeColor="text1"/>
          <w:szCs w:val="24"/>
        </w:rPr>
        <w:t xml:space="preserve">modernized and simplified solution to improve the application review process are underway.  The initial prototype for handling the tracking pipeline data and reporting for Multifamily (MFH) and Healthcare (OHP) needs to be developed using the most feasible, flexible, and scalable technologies to build an interactive and intuitive online solution.  The new system, to be called Application Underwriting Support System (AUSS) will generate staff-generated review documents, pre-populated standardized documents and offers communication capability between HUD staff reviews and Lender coordination. It will also interface with the integrated Real Estate Management System (iREMS), a lender portal, and document management system for an enterprise solution that will streamline FHA’s business processes.  Strategic planning, technologies evaluation, risk assessment, and security consideration are agilely reviewed at each life cycle stage to ensure realignment opportunities captured and implemented in timely manner. </w:t>
      </w:r>
    </w:p>
    <w:p w14:paraId="25306411" w14:textId="77777777" w:rsidR="006D37AC" w:rsidRDefault="006D37AC" w:rsidP="009F05EE">
      <w:pPr>
        <w:pStyle w:val="BodyText"/>
        <w:ind w:left="360" w:hanging="360"/>
      </w:pPr>
    </w:p>
    <w:p w14:paraId="25306412" w14:textId="77777777" w:rsidR="00006E4B" w:rsidRDefault="00006E4B" w:rsidP="00006E4B">
      <w:pPr>
        <w:rPr>
          <w:bCs/>
          <w:iCs/>
          <w:sz w:val="24"/>
          <w:szCs w:val="24"/>
        </w:rPr>
      </w:pPr>
      <w:r>
        <w:rPr>
          <w:bCs/>
          <w:iCs/>
          <w:sz w:val="24"/>
          <w:szCs w:val="24"/>
        </w:rPr>
        <w:t xml:space="preserve">4.    </w:t>
      </w:r>
      <w:r w:rsidRPr="009C7496">
        <w:rPr>
          <w:bCs/>
          <w:iCs/>
          <w:sz w:val="24"/>
          <w:szCs w:val="24"/>
        </w:rPr>
        <w:t>A review of multifamily housing forms confirms that no other form provides this particular information.</w:t>
      </w:r>
    </w:p>
    <w:p w14:paraId="25306413" w14:textId="77777777" w:rsidR="00006E4B" w:rsidRDefault="00006E4B" w:rsidP="00006E4B">
      <w:pPr>
        <w:rPr>
          <w:bCs/>
          <w:iCs/>
          <w:sz w:val="24"/>
          <w:szCs w:val="24"/>
        </w:rPr>
      </w:pPr>
      <w:r w:rsidRPr="009C7496">
        <w:rPr>
          <w:bCs/>
          <w:iCs/>
          <w:sz w:val="24"/>
          <w:szCs w:val="24"/>
        </w:rPr>
        <w:t xml:space="preserve">     </w:t>
      </w:r>
      <w:r>
        <w:rPr>
          <w:bCs/>
          <w:iCs/>
          <w:sz w:val="24"/>
          <w:szCs w:val="24"/>
        </w:rPr>
        <w:t xml:space="preserve">  </w:t>
      </w:r>
      <w:r w:rsidRPr="009C7496">
        <w:rPr>
          <w:bCs/>
          <w:iCs/>
          <w:sz w:val="24"/>
          <w:szCs w:val="24"/>
        </w:rPr>
        <w:t>Mortgagor/sponsors are required to submit information regarding their financial capacity and credit</w:t>
      </w:r>
    </w:p>
    <w:p w14:paraId="25306414" w14:textId="77777777" w:rsidR="00006E4B" w:rsidRDefault="00006E4B" w:rsidP="00006E4B">
      <w:pPr>
        <w:rPr>
          <w:bCs/>
          <w:iCs/>
          <w:sz w:val="24"/>
          <w:szCs w:val="24"/>
        </w:rPr>
      </w:pPr>
      <w:r>
        <w:rPr>
          <w:bCs/>
          <w:iCs/>
          <w:sz w:val="24"/>
          <w:szCs w:val="24"/>
        </w:rPr>
        <w:t xml:space="preserve">       </w:t>
      </w:r>
      <w:r w:rsidRPr="009C7496">
        <w:rPr>
          <w:bCs/>
          <w:iCs/>
          <w:sz w:val="24"/>
          <w:szCs w:val="24"/>
        </w:rPr>
        <w:t>worthiness during the initial application stage.  There are no known methods to reduce the collection</w:t>
      </w:r>
    </w:p>
    <w:p w14:paraId="25306415" w14:textId="77777777" w:rsidR="00006E4B" w:rsidRPr="009C7496" w:rsidRDefault="00006E4B" w:rsidP="00006E4B">
      <w:pPr>
        <w:rPr>
          <w:bCs/>
          <w:iCs/>
          <w:sz w:val="24"/>
          <w:szCs w:val="24"/>
        </w:rPr>
      </w:pPr>
      <w:r>
        <w:rPr>
          <w:bCs/>
          <w:iCs/>
          <w:sz w:val="24"/>
          <w:szCs w:val="24"/>
        </w:rPr>
        <w:t xml:space="preserve">       </w:t>
      </w:r>
      <w:r w:rsidRPr="009C7496">
        <w:rPr>
          <w:bCs/>
          <w:iCs/>
          <w:sz w:val="24"/>
          <w:szCs w:val="24"/>
        </w:rPr>
        <w:t xml:space="preserve"> burden; this form is only submitted once unless there is a change in the mortgagor’s financial status.</w:t>
      </w:r>
    </w:p>
    <w:p w14:paraId="25306416" w14:textId="77777777" w:rsidR="00006E4B" w:rsidRDefault="00006E4B" w:rsidP="00006E4B">
      <w:pPr>
        <w:pStyle w:val="BodyText"/>
        <w:rPr>
          <w:b w:val="0"/>
          <w:bCs w:val="0"/>
          <w:i w:val="0"/>
          <w:iCs w:val="0"/>
        </w:rPr>
      </w:pPr>
    </w:p>
    <w:p w14:paraId="25306417" w14:textId="77777777" w:rsidR="00006E4B" w:rsidRDefault="00006E4B" w:rsidP="00006E4B">
      <w:pPr>
        <w:pStyle w:val="BodyText"/>
        <w:ind w:left="360" w:hanging="360"/>
        <w:rPr>
          <w:b w:val="0"/>
          <w:bCs w:val="0"/>
          <w:i w:val="0"/>
          <w:iCs w:val="0"/>
        </w:rPr>
      </w:pPr>
      <w:r>
        <w:rPr>
          <w:b w:val="0"/>
          <w:bCs w:val="0"/>
          <w:i w:val="0"/>
          <w:iCs w:val="0"/>
        </w:rPr>
        <w:t>5.</w:t>
      </w:r>
      <w:r>
        <w:rPr>
          <w:b w:val="0"/>
          <w:bCs w:val="0"/>
          <w:i w:val="0"/>
          <w:iCs w:val="0"/>
        </w:rPr>
        <w:tab/>
        <w:t xml:space="preserve">By requiring the submission of this form only once, during the application phases, unless there are changes in the financial status, the Department minimizes the burden on small businesses or other small entities.  </w:t>
      </w:r>
    </w:p>
    <w:p w14:paraId="25306418" w14:textId="77777777" w:rsidR="00006E4B" w:rsidRDefault="00006E4B" w:rsidP="00006E4B">
      <w:pPr>
        <w:rPr>
          <w:sz w:val="24"/>
        </w:rPr>
      </w:pPr>
    </w:p>
    <w:p w14:paraId="25306419" w14:textId="77777777" w:rsidR="00006E4B" w:rsidRDefault="00006E4B" w:rsidP="00006E4B">
      <w:pPr>
        <w:pStyle w:val="BodyTextIndent2"/>
      </w:pPr>
      <w:r>
        <w:t>6.</w:t>
      </w:r>
      <w:r>
        <w:tab/>
        <w:t>This information is only submitted once when an application for mortgage insurance is made.  The consequence of less frequent collection would inhibit the Department from making sound conclusions and the ability to obtain adequate information regarding the character, ability, and capital of the sponsor, mortgagor, and the general contractor.  As a result, if the collections were conducted less frequently the Department would be exposed to increased risk in fraud, waste, and mismanagement.</w:t>
      </w:r>
    </w:p>
    <w:p w14:paraId="2530641A" w14:textId="77777777" w:rsidR="008E342F" w:rsidRDefault="008E342F" w:rsidP="00006E4B">
      <w:pPr>
        <w:pStyle w:val="BodyTextIndent2"/>
      </w:pPr>
    </w:p>
    <w:p w14:paraId="2530641B" w14:textId="77777777" w:rsidR="008E342F" w:rsidRPr="00A95CAD" w:rsidRDefault="008E342F" w:rsidP="008E342F">
      <w:pPr>
        <w:pStyle w:val="ListParagraph"/>
        <w:ind w:left="0"/>
        <w:rPr>
          <w:b/>
          <w:bCs/>
          <w:sz w:val="24"/>
        </w:rPr>
      </w:pPr>
      <w:r>
        <w:t xml:space="preserve"> 7.  </w:t>
      </w:r>
      <w:r>
        <w:rPr>
          <w:b/>
          <w:sz w:val="24"/>
        </w:rPr>
        <w:t xml:space="preserve"> </w:t>
      </w:r>
      <w:r w:rsidRPr="00A95CAD">
        <w:rPr>
          <w:b/>
          <w:sz w:val="24"/>
        </w:rPr>
        <w:t xml:space="preserve">Explain any special circumstances that would cause an information collection to be collected in a </w:t>
      </w:r>
      <w:r>
        <w:rPr>
          <w:b/>
          <w:sz w:val="24"/>
        </w:rPr>
        <w:t xml:space="preserve">   </w:t>
      </w:r>
      <w:r w:rsidRPr="00A95CAD">
        <w:rPr>
          <w:b/>
          <w:sz w:val="24"/>
        </w:rPr>
        <w:t>manner:</w:t>
      </w:r>
      <w:r w:rsidRPr="00A95CAD">
        <w:rPr>
          <w:b/>
          <w:bCs/>
          <w:sz w:val="24"/>
        </w:rPr>
        <w:t xml:space="preserve"> </w:t>
      </w:r>
    </w:p>
    <w:p w14:paraId="2530641C" w14:textId="77777777" w:rsidR="008E342F" w:rsidRPr="00A95CAD" w:rsidRDefault="008E342F" w:rsidP="008E342F">
      <w:pPr>
        <w:pStyle w:val="ListParagraph"/>
        <w:rPr>
          <w:b/>
          <w:bCs/>
          <w:sz w:val="24"/>
        </w:rPr>
      </w:pPr>
    </w:p>
    <w:p w14:paraId="2530641D" w14:textId="77777777" w:rsidR="008E342F" w:rsidRPr="00A95CAD" w:rsidRDefault="008E342F" w:rsidP="008E342F">
      <w:pPr>
        <w:pStyle w:val="ListParagraph"/>
        <w:numPr>
          <w:ilvl w:val="0"/>
          <w:numId w:val="1"/>
        </w:numPr>
        <w:rPr>
          <w:bCs/>
          <w:sz w:val="24"/>
        </w:rPr>
      </w:pPr>
      <w:r w:rsidRPr="00A95CAD">
        <w:rPr>
          <w:bCs/>
          <w:sz w:val="24"/>
        </w:rPr>
        <w:t xml:space="preserve">requiring respondents to report information to the agency more than quarterly; </w:t>
      </w:r>
    </w:p>
    <w:p w14:paraId="2530641E" w14:textId="77777777" w:rsidR="008E342F" w:rsidRPr="00A95CAD" w:rsidRDefault="008E342F" w:rsidP="008E342F">
      <w:pPr>
        <w:pStyle w:val="ListParagraph"/>
        <w:rPr>
          <w:b/>
          <w:bCs/>
          <w:sz w:val="24"/>
        </w:rPr>
      </w:pPr>
      <w:r w:rsidRPr="00A95CAD">
        <w:rPr>
          <w:b/>
          <w:bCs/>
          <w:sz w:val="24"/>
        </w:rPr>
        <w:t>Not Applicable</w:t>
      </w:r>
    </w:p>
    <w:p w14:paraId="2530641F" w14:textId="77777777" w:rsidR="008E342F" w:rsidRPr="00A95CAD" w:rsidRDefault="008E342F" w:rsidP="008E342F">
      <w:pPr>
        <w:pStyle w:val="ListParagraph"/>
        <w:numPr>
          <w:ilvl w:val="0"/>
          <w:numId w:val="1"/>
        </w:numPr>
        <w:rPr>
          <w:bCs/>
          <w:sz w:val="24"/>
        </w:rPr>
      </w:pPr>
      <w:r w:rsidRPr="00A95CAD">
        <w:rPr>
          <w:bCs/>
          <w:sz w:val="24"/>
        </w:rPr>
        <w:t xml:space="preserve">requiring respondents to prepare a written response to a collection of information in fewer than 30 days after receipt of it; </w:t>
      </w:r>
    </w:p>
    <w:p w14:paraId="25306420" w14:textId="77777777" w:rsidR="008E342F" w:rsidRPr="00A95CAD" w:rsidRDefault="008E342F" w:rsidP="008E342F">
      <w:pPr>
        <w:pStyle w:val="ListParagraph"/>
        <w:rPr>
          <w:b/>
          <w:bCs/>
          <w:sz w:val="24"/>
        </w:rPr>
      </w:pPr>
      <w:r w:rsidRPr="00A95CAD">
        <w:rPr>
          <w:b/>
          <w:bCs/>
          <w:sz w:val="24"/>
        </w:rPr>
        <w:t>Not Applicable</w:t>
      </w:r>
    </w:p>
    <w:p w14:paraId="25306421" w14:textId="77777777" w:rsidR="008E342F" w:rsidRPr="00A95CAD" w:rsidRDefault="008E342F" w:rsidP="008E342F">
      <w:pPr>
        <w:pStyle w:val="ListParagraph"/>
        <w:numPr>
          <w:ilvl w:val="0"/>
          <w:numId w:val="1"/>
        </w:numPr>
        <w:rPr>
          <w:bCs/>
          <w:sz w:val="24"/>
        </w:rPr>
      </w:pPr>
      <w:r w:rsidRPr="00A95CAD">
        <w:rPr>
          <w:bCs/>
          <w:sz w:val="24"/>
        </w:rPr>
        <w:t xml:space="preserve">requiring respondents to submit more than an original and two copies of any document; </w:t>
      </w:r>
    </w:p>
    <w:p w14:paraId="25306422" w14:textId="77777777" w:rsidR="008E342F" w:rsidRPr="00A95CAD" w:rsidRDefault="008E342F" w:rsidP="008E342F">
      <w:pPr>
        <w:pStyle w:val="ListParagraph"/>
        <w:rPr>
          <w:b/>
          <w:bCs/>
          <w:sz w:val="24"/>
        </w:rPr>
      </w:pPr>
      <w:r w:rsidRPr="00A95CAD">
        <w:rPr>
          <w:b/>
          <w:bCs/>
          <w:sz w:val="24"/>
        </w:rPr>
        <w:t>Not Applicable</w:t>
      </w:r>
    </w:p>
    <w:p w14:paraId="25306423" w14:textId="77777777" w:rsidR="008E342F" w:rsidRPr="00A95CAD" w:rsidRDefault="008E342F" w:rsidP="008E342F">
      <w:pPr>
        <w:pStyle w:val="ListParagraph"/>
        <w:numPr>
          <w:ilvl w:val="0"/>
          <w:numId w:val="1"/>
        </w:numPr>
        <w:rPr>
          <w:bCs/>
          <w:sz w:val="24"/>
        </w:rPr>
      </w:pPr>
      <w:r w:rsidRPr="00A95CAD">
        <w:rPr>
          <w:bCs/>
          <w:sz w:val="24"/>
        </w:rPr>
        <w:t xml:space="preserve">requiring respondents to retain records other than health, medical, government contract, grant-in-aid, or tax records for more than three years; </w:t>
      </w:r>
    </w:p>
    <w:p w14:paraId="25306424" w14:textId="77777777" w:rsidR="008E342F" w:rsidRPr="00A95CAD" w:rsidRDefault="008E342F" w:rsidP="008E342F">
      <w:pPr>
        <w:pStyle w:val="ListParagraph"/>
        <w:rPr>
          <w:b/>
          <w:bCs/>
          <w:sz w:val="24"/>
        </w:rPr>
      </w:pPr>
      <w:r w:rsidRPr="00A95CAD">
        <w:rPr>
          <w:b/>
          <w:bCs/>
          <w:sz w:val="24"/>
        </w:rPr>
        <w:t>Not Applicable</w:t>
      </w:r>
    </w:p>
    <w:p w14:paraId="25306425" w14:textId="77777777" w:rsidR="008E342F" w:rsidRPr="00A95CAD" w:rsidRDefault="008E342F" w:rsidP="008E342F">
      <w:pPr>
        <w:pStyle w:val="ListParagraph"/>
        <w:numPr>
          <w:ilvl w:val="0"/>
          <w:numId w:val="1"/>
        </w:numPr>
        <w:rPr>
          <w:bCs/>
          <w:sz w:val="24"/>
        </w:rPr>
      </w:pPr>
      <w:r w:rsidRPr="00A95CAD">
        <w:rPr>
          <w:bCs/>
          <w:sz w:val="24"/>
        </w:rPr>
        <w:t xml:space="preserve">in connection with a statistical survey, that is not designed to produce valid and reliable results than can be generalized to the universe of study; </w:t>
      </w:r>
    </w:p>
    <w:p w14:paraId="25306426" w14:textId="77777777" w:rsidR="008E342F" w:rsidRDefault="008E342F" w:rsidP="008E342F">
      <w:pPr>
        <w:pStyle w:val="ListParagraph"/>
        <w:rPr>
          <w:b/>
          <w:bCs/>
          <w:sz w:val="24"/>
        </w:rPr>
      </w:pPr>
    </w:p>
    <w:p w14:paraId="25306427" w14:textId="77777777" w:rsidR="008E342F" w:rsidRDefault="008E342F" w:rsidP="008E342F">
      <w:pPr>
        <w:pStyle w:val="ListParagraph"/>
        <w:rPr>
          <w:b/>
          <w:bCs/>
          <w:sz w:val="24"/>
        </w:rPr>
      </w:pPr>
      <w:r w:rsidRPr="00A95CAD">
        <w:rPr>
          <w:b/>
          <w:bCs/>
          <w:sz w:val="24"/>
        </w:rPr>
        <w:t>Not Applicable</w:t>
      </w:r>
      <w:r>
        <w:rPr>
          <w:b/>
          <w:bCs/>
          <w:sz w:val="24"/>
        </w:rPr>
        <w:t xml:space="preserve"> </w:t>
      </w:r>
    </w:p>
    <w:p w14:paraId="25306428" w14:textId="77777777" w:rsidR="008E342F" w:rsidRPr="00A95CAD" w:rsidRDefault="008E342F" w:rsidP="008E342F">
      <w:pPr>
        <w:pStyle w:val="ListParagraph"/>
        <w:numPr>
          <w:ilvl w:val="0"/>
          <w:numId w:val="2"/>
        </w:numPr>
        <w:rPr>
          <w:b/>
          <w:bCs/>
          <w:sz w:val="24"/>
        </w:rPr>
      </w:pPr>
      <w:r w:rsidRPr="00A95CAD">
        <w:rPr>
          <w:bCs/>
          <w:sz w:val="24"/>
        </w:rPr>
        <w:t>requiring the use of a statistical data classification that has not been reviewed and approved by OMB;</w:t>
      </w:r>
    </w:p>
    <w:p w14:paraId="25306429" w14:textId="77777777" w:rsidR="008E342F" w:rsidRPr="00A95CAD" w:rsidRDefault="008E342F" w:rsidP="008E342F">
      <w:pPr>
        <w:pStyle w:val="ListParagraph"/>
        <w:rPr>
          <w:b/>
          <w:bCs/>
          <w:sz w:val="24"/>
        </w:rPr>
      </w:pPr>
      <w:r w:rsidRPr="00A95CAD">
        <w:rPr>
          <w:b/>
          <w:bCs/>
          <w:sz w:val="24"/>
        </w:rPr>
        <w:t>Not Applicable</w:t>
      </w:r>
    </w:p>
    <w:p w14:paraId="2530642A" w14:textId="77777777" w:rsidR="008E342F" w:rsidRPr="00A95CAD" w:rsidRDefault="008E342F" w:rsidP="008E342F">
      <w:pPr>
        <w:pStyle w:val="ListParagraph"/>
        <w:numPr>
          <w:ilvl w:val="0"/>
          <w:numId w:val="2"/>
        </w:numPr>
        <w:rPr>
          <w:bCs/>
          <w:sz w:val="24"/>
        </w:rPr>
      </w:pPr>
      <w:r w:rsidRPr="00A95CAD">
        <w:rPr>
          <w:bCs/>
          <w:sz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14:paraId="2530642B" w14:textId="77777777" w:rsidR="008E342F" w:rsidRPr="00A95CAD" w:rsidRDefault="008E342F" w:rsidP="008E342F">
      <w:pPr>
        <w:pStyle w:val="ListParagraph"/>
        <w:rPr>
          <w:b/>
          <w:bCs/>
          <w:sz w:val="24"/>
        </w:rPr>
      </w:pPr>
      <w:r w:rsidRPr="00A95CAD">
        <w:rPr>
          <w:b/>
          <w:bCs/>
          <w:sz w:val="24"/>
        </w:rPr>
        <w:t>Not Applicable</w:t>
      </w:r>
    </w:p>
    <w:p w14:paraId="2530642C" w14:textId="77777777" w:rsidR="008E342F" w:rsidRPr="00A95CAD" w:rsidRDefault="008E342F" w:rsidP="008E342F">
      <w:pPr>
        <w:pStyle w:val="ListParagraph"/>
        <w:numPr>
          <w:ilvl w:val="0"/>
          <w:numId w:val="1"/>
        </w:numPr>
        <w:rPr>
          <w:bCs/>
          <w:sz w:val="24"/>
        </w:rPr>
      </w:pPr>
      <w:r w:rsidRPr="00A95CAD">
        <w:rPr>
          <w:bCs/>
          <w:sz w:val="24"/>
        </w:rPr>
        <w:lastRenderedPageBreak/>
        <w:t>requiring respondents to submit proprietary trade secret, or other confidential information unless the agency can demonstrate that it has instituted procedures to protect the information's confidentiality to the extent permitted by law.</w:t>
      </w:r>
    </w:p>
    <w:p w14:paraId="2530642D" w14:textId="11259D77" w:rsidR="008E342F" w:rsidRPr="00A95CAD" w:rsidRDefault="004A2185" w:rsidP="008E342F">
      <w:pPr>
        <w:pStyle w:val="ListParagraph"/>
        <w:rPr>
          <w:b/>
          <w:bCs/>
          <w:sz w:val="24"/>
        </w:rPr>
      </w:pPr>
      <w:r>
        <w:rPr>
          <w:bCs/>
          <w:sz w:val="24"/>
        </w:rPr>
        <w:t xml:space="preserve">The form HUD-2530 is a separate loan application exhibit that is reviewed by Asset Management to verify the list of projects </w:t>
      </w:r>
      <w:r w:rsidR="006B51D3">
        <w:rPr>
          <w:bCs/>
          <w:sz w:val="24"/>
        </w:rPr>
        <w:t xml:space="preserve">a Principal may have.  It is an exhibit that accompanies each MF loan application. It determines if standards are established to ensure that all controlling participants in HUD projects will honor their will honor their legal, financial and contractual obligations and are acceptable risks from the underwriting standpoint of an insurer, lender or </w:t>
      </w:r>
      <w:r w:rsidR="00A818B8">
        <w:rPr>
          <w:bCs/>
          <w:sz w:val="24"/>
        </w:rPr>
        <w:t>governmental</w:t>
      </w:r>
      <w:r w:rsidR="006B51D3">
        <w:rPr>
          <w:bCs/>
          <w:sz w:val="24"/>
        </w:rPr>
        <w:t xml:space="preserve"> agency</w:t>
      </w:r>
      <w:r w:rsidR="00A818B8">
        <w:rPr>
          <w:bCs/>
          <w:sz w:val="24"/>
        </w:rPr>
        <w:t xml:space="preserve">. </w:t>
      </w:r>
    </w:p>
    <w:p w14:paraId="2530642E" w14:textId="77777777" w:rsidR="00006E4B" w:rsidRDefault="00006E4B" w:rsidP="00006E4B">
      <w:pPr>
        <w:pStyle w:val="BodyTextIndent2"/>
      </w:pPr>
    </w:p>
    <w:p w14:paraId="2530642F" w14:textId="77777777" w:rsidR="00006E4B" w:rsidRDefault="00006E4B" w:rsidP="00006E4B">
      <w:pPr>
        <w:rPr>
          <w:sz w:val="24"/>
        </w:rPr>
      </w:pPr>
    </w:p>
    <w:p w14:paraId="25306430" w14:textId="50E14611" w:rsidR="0098052E" w:rsidRDefault="00006E4B" w:rsidP="00006E4B">
      <w:pPr>
        <w:pStyle w:val="BodyText"/>
        <w:tabs>
          <w:tab w:val="left" w:pos="360"/>
        </w:tabs>
        <w:ind w:left="360" w:hanging="360"/>
        <w:rPr>
          <w:b w:val="0"/>
          <w:bCs w:val="0"/>
          <w:i w:val="0"/>
          <w:iCs w:val="0"/>
        </w:rPr>
      </w:pPr>
      <w:r>
        <w:rPr>
          <w:b w:val="0"/>
          <w:bCs w:val="0"/>
          <w:i w:val="0"/>
          <w:iCs w:val="0"/>
        </w:rPr>
        <w:t>8.</w:t>
      </w:r>
      <w:r>
        <w:rPr>
          <w:b w:val="0"/>
          <w:bCs w:val="0"/>
          <w:i w:val="0"/>
          <w:iCs w:val="0"/>
        </w:rPr>
        <w:tab/>
      </w:r>
      <w:r w:rsidR="00E713C3" w:rsidRPr="00E713C3">
        <w:rPr>
          <w:b w:val="0"/>
          <w:bCs w:val="0"/>
          <w:i w:val="0"/>
          <w:iCs w:val="0"/>
        </w:rPr>
        <w:t xml:space="preserve">In accordance with 5CFR 1320.8(d), this information collection soliciting public comments was announced in the Federal Register on </w:t>
      </w:r>
      <w:r w:rsidR="00E713C3" w:rsidRPr="00E713C3">
        <w:rPr>
          <w:bCs w:val="0"/>
          <w:i w:val="0"/>
          <w:iCs w:val="0"/>
        </w:rPr>
        <w:t>September 27, 2018</w:t>
      </w:r>
      <w:r w:rsidR="00E713C3" w:rsidRPr="00E713C3">
        <w:rPr>
          <w:b w:val="0"/>
          <w:bCs w:val="0"/>
          <w:i w:val="0"/>
          <w:iCs w:val="0"/>
        </w:rPr>
        <w:t xml:space="preserve">, Volume </w:t>
      </w:r>
      <w:r w:rsidR="00E713C3" w:rsidRPr="00E713C3">
        <w:rPr>
          <w:bCs w:val="0"/>
          <w:i w:val="0"/>
          <w:iCs w:val="0"/>
        </w:rPr>
        <w:t>83</w:t>
      </w:r>
      <w:r w:rsidR="00E713C3" w:rsidRPr="00E713C3">
        <w:rPr>
          <w:b w:val="0"/>
          <w:bCs w:val="0"/>
          <w:i w:val="0"/>
          <w:iCs w:val="0"/>
        </w:rPr>
        <w:t xml:space="preserve">, No. </w:t>
      </w:r>
      <w:r w:rsidR="00E713C3" w:rsidRPr="00E713C3">
        <w:rPr>
          <w:bCs w:val="0"/>
          <w:i w:val="0"/>
          <w:iCs w:val="0"/>
        </w:rPr>
        <w:t>188</w:t>
      </w:r>
      <w:r w:rsidR="00E713C3" w:rsidRPr="00E713C3">
        <w:rPr>
          <w:b w:val="0"/>
          <w:bCs w:val="0"/>
          <w:i w:val="0"/>
          <w:iCs w:val="0"/>
        </w:rPr>
        <w:t xml:space="preserve">, Pages </w:t>
      </w:r>
      <w:r w:rsidR="00E713C3" w:rsidRPr="00E713C3">
        <w:rPr>
          <w:bCs w:val="0"/>
          <w:i w:val="0"/>
          <w:iCs w:val="0"/>
        </w:rPr>
        <w:t>48861</w:t>
      </w:r>
      <w:r w:rsidR="00E713C3" w:rsidRPr="00E713C3">
        <w:rPr>
          <w:b w:val="0"/>
          <w:bCs w:val="0"/>
          <w:i w:val="0"/>
          <w:iCs w:val="0"/>
        </w:rPr>
        <w:t>.  (0) Comment received.</w:t>
      </w:r>
      <w:r>
        <w:rPr>
          <w:b w:val="0"/>
          <w:bCs w:val="0"/>
          <w:i w:val="0"/>
          <w:iCs w:val="0"/>
        </w:rPr>
        <w:t xml:space="preserve"> </w:t>
      </w:r>
    </w:p>
    <w:p w14:paraId="25306431" w14:textId="77777777" w:rsidR="00006E4B" w:rsidRDefault="0098052E" w:rsidP="00006E4B">
      <w:pPr>
        <w:pStyle w:val="BodyText"/>
        <w:tabs>
          <w:tab w:val="left" w:pos="360"/>
        </w:tabs>
        <w:ind w:left="360" w:hanging="360"/>
        <w:rPr>
          <w:b w:val="0"/>
          <w:bCs w:val="0"/>
          <w:i w:val="0"/>
          <w:iCs w:val="0"/>
          <w:highlight w:val="yellow"/>
        </w:rPr>
      </w:pPr>
      <w:r>
        <w:rPr>
          <w:b w:val="0"/>
          <w:bCs w:val="0"/>
          <w:i w:val="0"/>
          <w:iCs w:val="0"/>
        </w:rPr>
        <w:tab/>
      </w:r>
      <w:r w:rsidR="00BB2CFD">
        <w:rPr>
          <w:b w:val="0"/>
          <w:bCs w:val="0"/>
          <w:i w:val="0"/>
          <w:iCs w:val="0"/>
        </w:rPr>
        <w:br/>
      </w:r>
      <w:r w:rsidR="00006E4B">
        <w:rPr>
          <w:b w:val="0"/>
          <w:bCs w:val="0"/>
          <w:i w:val="0"/>
          <w:iCs w:val="0"/>
        </w:rPr>
        <w:t xml:space="preserve">Consultation was provided by mortgage credit staff in local Multifamily Hubs/Program Centers to assess if the proposed information collection is necessary, accuracy of the agency’s estimation of public burden, improvements or enhancements to the current collection, and offer suggestions to minimize public burden, i.e., electronic submissions.   </w:t>
      </w:r>
      <w:r w:rsidR="00F106AE">
        <w:rPr>
          <w:b w:val="0"/>
          <w:bCs w:val="0"/>
          <w:i w:val="0"/>
          <w:iCs w:val="0"/>
        </w:rPr>
        <w:t xml:space="preserve">The following HUD individuals were contacted: </w:t>
      </w:r>
      <w:r w:rsidR="00006E4B" w:rsidRPr="00BF7692">
        <w:rPr>
          <w:b w:val="0"/>
          <w:bCs w:val="0"/>
          <w:i w:val="0"/>
          <w:iCs w:val="0"/>
          <w:highlight w:val="yellow"/>
        </w:rPr>
        <w:t xml:space="preserve"> </w:t>
      </w:r>
    </w:p>
    <w:p w14:paraId="25306432" w14:textId="77777777" w:rsidR="00F106AE" w:rsidRPr="00BF7692" w:rsidRDefault="00F106AE" w:rsidP="00006E4B">
      <w:pPr>
        <w:pStyle w:val="BodyText"/>
        <w:tabs>
          <w:tab w:val="left" w:pos="360"/>
        </w:tabs>
        <w:ind w:left="360" w:hanging="360"/>
        <w:rPr>
          <w:b w:val="0"/>
          <w:bCs w:val="0"/>
          <w:i w:val="0"/>
          <w:iCs w:val="0"/>
          <w:highlight w:val="yellow"/>
        </w:rPr>
      </w:pPr>
    </w:p>
    <w:p w14:paraId="25306433" w14:textId="77777777" w:rsidR="00006E4B" w:rsidRPr="00BF7692" w:rsidRDefault="00006E4B" w:rsidP="00006E4B">
      <w:pPr>
        <w:pStyle w:val="BodyText"/>
        <w:ind w:left="360"/>
        <w:rPr>
          <w:b w:val="0"/>
          <w:bCs w:val="0"/>
          <w:i w:val="0"/>
          <w:iCs w:val="0"/>
          <w:highlight w:val="yellow"/>
        </w:rPr>
      </w:pPr>
    </w:p>
    <w:p w14:paraId="25306434" w14:textId="77777777" w:rsidR="00006E4B" w:rsidRPr="00C73666" w:rsidRDefault="00C73666" w:rsidP="00F106AE">
      <w:pPr>
        <w:pStyle w:val="BodyText"/>
        <w:ind w:left="1440" w:firstLine="720"/>
        <w:rPr>
          <w:b w:val="0"/>
          <w:bCs w:val="0"/>
          <w:i w:val="0"/>
          <w:iCs w:val="0"/>
        </w:rPr>
      </w:pPr>
      <w:r>
        <w:rPr>
          <w:b w:val="0"/>
          <w:bCs w:val="0"/>
          <w:i w:val="0"/>
          <w:iCs w:val="0"/>
        </w:rPr>
        <w:t xml:space="preserve">Elaine Chavez, Senior </w:t>
      </w:r>
      <w:r w:rsidR="00692BF7" w:rsidRPr="00C73666">
        <w:rPr>
          <w:b w:val="0"/>
          <w:bCs w:val="0"/>
          <w:i w:val="0"/>
          <w:iCs w:val="0"/>
        </w:rPr>
        <w:t>Underwriter Team, Multifamily Production</w:t>
      </w:r>
    </w:p>
    <w:p w14:paraId="25306435" w14:textId="77777777" w:rsidR="00D34A30" w:rsidRPr="00C73666" w:rsidRDefault="00006E4B" w:rsidP="00006E4B">
      <w:pPr>
        <w:pStyle w:val="BodyText"/>
        <w:ind w:left="2160"/>
        <w:rPr>
          <w:b w:val="0"/>
          <w:bCs w:val="0"/>
          <w:i w:val="0"/>
          <w:iCs w:val="0"/>
        </w:rPr>
      </w:pPr>
      <w:r w:rsidRPr="00C73666">
        <w:rPr>
          <w:b w:val="0"/>
          <w:bCs w:val="0"/>
          <w:i w:val="0"/>
          <w:iCs w:val="0"/>
        </w:rPr>
        <w:t xml:space="preserve">U.S. Department of </w:t>
      </w:r>
      <w:r w:rsidR="00D34A30" w:rsidRPr="00C73666">
        <w:rPr>
          <w:b w:val="0"/>
          <w:bCs w:val="0"/>
          <w:i w:val="0"/>
          <w:iCs w:val="0"/>
        </w:rPr>
        <w:t>Housing and Urban Development</w:t>
      </w:r>
    </w:p>
    <w:p w14:paraId="25306436" w14:textId="77777777" w:rsidR="00D34A30" w:rsidRPr="00C73666" w:rsidRDefault="005300B5" w:rsidP="005300B5">
      <w:pPr>
        <w:pStyle w:val="BodyText"/>
        <w:rPr>
          <w:b w:val="0"/>
          <w:bCs w:val="0"/>
          <w:i w:val="0"/>
          <w:iCs w:val="0"/>
        </w:rPr>
      </w:pPr>
      <w:r w:rsidRPr="00C73666">
        <w:rPr>
          <w:b w:val="0"/>
          <w:bCs w:val="0"/>
          <w:i w:val="0"/>
          <w:iCs w:val="0"/>
        </w:rPr>
        <w:tab/>
      </w:r>
      <w:r w:rsidRPr="00C73666">
        <w:rPr>
          <w:b w:val="0"/>
          <w:bCs w:val="0"/>
          <w:i w:val="0"/>
          <w:iCs w:val="0"/>
        </w:rPr>
        <w:tab/>
      </w:r>
      <w:r w:rsidRPr="00C73666">
        <w:rPr>
          <w:b w:val="0"/>
          <w:bCs w:val="0"/>
          <w:i w:val="0"/>
          <w:iCs w:val="0"/>
        </w:rPr>
        <w:tab/>
      </w:r>
      <w:r w:rsidR="00C73666">
        <w:rPr>
          <w:b w:val="0"/>
          <w:bCs w:val="0"/>
          <w:i w:val="0"/>
          <w:iCs w:val="0"/>
        </w:rPr>
        <w:t>Denver</w:t>
      </w:r>
      <w:r w:rsidR="008E342F">
        <w:rPr>
          <w:b w:val="0"/>
          <w:bCs w:val="0"/>
          <w:i w:val="0"/>
          <w:iCs w:val="0"/>
        </w:rPr>
        <w:t>,</w:t>
      </w:r>
      <w:r w:rsidR="00C73666">
        <w:rPr>
          <w:b w:val="0"/>
          <w:bCs w:val="0"/>
          <w:i w:val="0"/>
          <w:iCs w:val="0"/>
        </w:rPr>
        <w:t xml:space="preserve"> Colorado </w:t>
      </w:r>
      <w:r w:rsidRPr="00C73666">
        <w:rPr>
          <w:b w:val="0"/>
          <w:bCs w:val="0"/>
          <w:i w:val="0"/>
          <w:iCs w:val="0"/>
        </w:rPr>
        <w:t xml:space="preserve"> </w:t>
      </w:r>
    </w:p>
    <w:p w14:paraId="25306437" w14:textId="77777777" w:rsidR="00C73666" w:rsidRDefault="00C73666" w:rsidP="00C73666">
      <w:pPr>
        <w:pStyle w:val="BodyText"/>
        <w:ind w:left="1440" w:firstLine="720"/>
        <w:rPr>
          <w:b w:val="0"/>
          <w:bCs w:val="0"/>
          <w:i w:val="0"/>
          <w:iCs w:val="0"/>
        </w:rPr>
      </w:pPr>
      <w:r>
        <w:rPr>
          <w:b w:val="0"/>
          <w:bCs w:val="0"/>
          <w:i w:val="0"/>
          <w:iCs w:val="0"/>
        </w:rPr>
        <w:t>303-672-5427</w:t>
      </w:r>
    </w:p>
    <w:p w14:paraId="25306438" w14:textId="77777777" w:rsidR="00383225" w:rsidRDefault="00C73666" w:rsidP="00411C2A">
      <w:pPr>
        <w:pStyle w:val="BodyText"/>
        <w:ind w:left="1440" w:firstLine="720"/>
        <w:rPr>
          <w:b w:val="0"/>
          <w:bCs w:val="0"/>
          <w:i w:val="0"/>
          <w:iCs w:val="0"/>
        </w:rPr>
      </w:pPr>
      <w:r>
        <w:rPr>
          <w:b w:val="0"/>
          <w:bCs w:val="0"/>
          <w:i w:val="0"/>
          <w:iCs w:val="0"/>
        </w:rPr>
        <w:t>West</w:t>
      </w:r>
    </w:p>
    <w:p w14:paraId="25306439" w14:textId="77777777" w:rsidR="00411C2A" w:rsidRPr="00C73666" w:rsidRDefault="00411C2A" w:rsidP="00411C2A">
      <w:pPr>
        <w:pStyle w:val="BodyText"/>
        <w:ind w:left="1440" w:firstLine="720"/>
        <w:rPr>
          <w:b w:val="0"/>
          <w:bCs w:val="0"/>
          <w:i w:val="0"/>
          <w:iCs w:val="0"/>
        </w:rPr>
      </w:pPr>
    </w:p>
    <w:p w14:paraId="2530643A" w14:textId="77777777" w:rsidR="00006E4B" w:rsidRPr="00C73666" w:rsidRDefault="006D37AC" w:rsidP="00006E4B">
      <w:pPr>
        <w:pStyle w:val="BodyText"/>
        <w:ind w:left="2160"/>
        <w:rPr>
          <w:b w:val="0"/>
          <w:bCs w:val="0"/>
          <w:i w:val="0"/>
          <w:iCs w:val="0"/>
        </w:rPr>
      </w:pPr>
      <w:r w:rsidRPr="00C73666">
        <w:rPr>
          <w:b w:val="0"/>
          <w:bCs w:val="0"/>
          <w:i w:val="0"/>
          <w:iCs w:val="0"/>
        </w:rPr>
        <w:t xml:space="preserve">Cheryl Teague, Underwriter Team, </w:t>
      </w:r>
      <w:r w:rsidR="00692BF7" w:rsidRPr="00C73666">
        <w:rPr>
          <w:b w:val="0"/>
          <w:bCs w:val="0"/>
          <w:i w:val="0"/>
          <w:iCs w:val="0"/>
        </w:rPr>
        <w:t xml:space="preserve">Multifamily Production </w:t>
      </w:r>
    </w:p>
    <w:p w14:paraId="2530643B" w14:textId="77777777" w:rsidR="00692BF7" w:rsidRPr="00C73666" w:rsidRDefault="00006E4B" w:rsidP="00006E4B">
      <w:pPr>
        <w:pStyle w:val="BodyText"/>
        <w:ind w:left="2160"/>
        <w:rPr>
          <w:b w:val="0"/>
          <w:bCs w:val="0"/>
          <w:i w:val="0"/>
          <w:iCs w:val="0"/>
        </w:rPr>
      </w:pPr>
      <w:r w:rsidRPr="00C73666">
        <w:rPr>
          <w:b w:val="0"/>
          <w:bCs w:val="0"/>
          <w:i w:val="0"/>
          <w:iCs w:val="0"/>
        </w:rPr>
        <w:t>U.S. Department of H</w:t>
      </w:r>
      <w:r w:rsidR="00692BF7" w:rsidRPr="00C73666">
        <w:rPr>
          <w:b w:val="0"/>
          <w:bCs w:val="0"/>
          <w:i w:val="0"/>
          <w:iCs w:val="0"/>
        </w:rPr>
        <w:t xml:space="preserve">ousing and Urban Development </w:t>
      </w:r>
    </w:p>
    <w:p w14:paraId="2530643C" w14:textId="77777777" w:rsidR="00006E4B" w:rsidRPr="00C73666" w:rsidRDefault="00692BF7" w:rsidP="00006E4B">
      <w:pPr>
        <w:pStyle w:val="BodyText"/>
        <w:ind w:left="2160"/>
        <w:rPr>
          <w:b w:val="0"/>
          <w:bCs w:val="0"/>
          <w:i w:val="0"/>
          <w:iCs w:val="0"/>
        </w:rPr>
      </w:pPr>
      <w:r w:rsidRPr="00C73666">
        <w:rPr>
          <w:b w:val="0"/>
          <w:bCs w:val="0"/>
          <w:i w:val="0"/>
          <w:iCs w:val="0"/>
        </w:rPr>
        <w:t xml:space="preserve">New York, New York </w:t>
      </w:r>
    </w:p>
    <w:p w14:paraId="2530643D" w14:textId="77777777" w:rsidR="00692BF7" w:rsidRPr="00C73666" w:rsidRDefault="00692BF7" w:rsidP="00006E4B">
      <w:pPr>
        <w:pStyle w:val="BodyText"/>
        <w:ind w:left="2160"/>
        <w:rPr>
          <w:b w:val="0"/>
          <w:bCs w:val="0"/>
          <w:i w:val="0"/>
          <w:iCs w:val="0"/>
        </w:rPr>
      </w:pPr>
      <w:r w:rsidRPr="00C73666">
        <w:rPr>
          <w:b w:val="0"/>
          <w:bCs w:val="0"/>
          <w:i w:val="0"/>
          <w:iCs w:val="0"/>
        </w:rPr>
        <w:t>303-861-3809</w:t>
      </w:r>
    </w:p>
    <w:p w14:paraId="2530643E" w14:textId="77777777" w:rsidR="008E342F" w:rsidRPr="00C73666" w:rsidRDefault="00692BF7" w:rsidP="00006E4B">
      <w:pPr>
        <w:pStyle w:val="BodyText"/>
        <w:ind w:left="2160"/>
        <w:rPr>
          <w:b w:val="0"/>
          <w:bCs w:val="0"/>
          <w:i w:val="0"/>
          <w:iCs w:val="0"/>
        </w:rPr>
      </w:pPr>
      <w:r w:rsidRPr="00C73666">
        <w:rPr>
          <w:b w:val="0"/>
          <w:bCs w:val="0"/>
          <w:i w:val="0"/>
          <w:iCs w:val="0"/>
        </w:rPr>
        <w:t xml:space="preserve">North East </w:t>
      </w:r>
    </w:p>
    <w:p w14:paraId="2530643F" w14:textId="77777777" w:rsidR="00692BF7" w:rsidRPr="00C73666" w:rsidRDefault="00692BF7" w:rsidP="00006E4B">
      <w:pPr>
        <w:pStyle w:val="BodyText"/>
        <w:ind w:left="2160"/>
        <w:rPr>
          <w:b w:val="0"/>
          <w:bCs w:val="0"/>
          <w:i w:val="0"/>
          <w:iCs w:val="0"/>
        </w:rPr>
      </w:pPr>
    </w:p>
    <w:p w14:paraId="25306440" w14:textId="559524C5" w:rsidR="005224F2" w:rsidRPr="00C73666" w:rsidRDefault="008E342F" w:rsidP="00006E4B">
      <w:pPr>
        <w:pStyle w:val="BodyText"/>
        <w:ind w:left="2160"/>
        <w:rPr>
          <w:b w:val="0"/>
          <w:bCs w:val="0"/>
          <w:i w:val="0"/>
          <w:iCs w:val="0"/>
        </w:rPr>
      </w:pPr>
      <w:r>
        <w:rPr>
          <w:b w:val="0"/>
          <w:bCs w:val="0"/>
          <w:i w:val="0"/>
          <w:iCs w:val="0"/>
        </w:rPr>
        <w:t>L</w:t>
      </w:r>
      <w:r w:rsidR="00D27A5E">
        <w:rPr>
          <w:b w:val="0"/>
          <w:bCs w:val="0"/>
          <w:i w:val="0"/>
          <w:iCs w:val="0"/>
        </w:rPr>
        <w:t>a</w:t>
      </w:r>
      <w:r>
        <w:rPr>
          <w:b w:val="0"/>
          <w:bCs w:val="0"/>
          <w:i w:val="0"/>
          <w:iCs w:val="0"/>
        </w:rPr>
        <w:t xml:space="preserve">ntrina Stewart, </w:t>
      </w:r>
      <w:r w:rsidR="00692BF7" w:rsidRPr="00C73666">
        <w:rPr>
          <w:b w:val="0"/>
          <w:bCs w:val="0"/>
          <w:i w:val="0"/>
          <w:iCs w:val="0"/>
        </w:rPr>
        <w:t>Underwriter Team, Multifamily Production</w:t>
      </w:r>
    </w:p>
    <w:p w14:paraId="25306441" w14:textId="77777777" w:rsidR="00006E4B" w:rsidRPr="00C73666" w:rsidRDefault="005224F2" w:rsidP="00006E4B">
      <w:pPr>
        <w:pStyle w:val="BodyText"/>
        <w:ind w:left="2160"/>
        <w:rPr>
          <w:b w:val="0"/>
          <w:bCs w:val="0"/>
          <w:i w:val="0"/>
          <w:iCs w:val="0"/>
        </w:rPr>
      </w:pPr>
      <w:r w:rsidRPr="00C73666">
        <w:rPr>
          <w:b w:val="0"/>
          <w:bCs w:val="0"/>
          <w:i w:val="0"/>
          <w:iCs w:val="0"/>
        </w:rPr>
        <w:t xml:space="preserve">U.S. Department of Housing and Urban Development </w:t>
      </w:r>
      <w:r w:rsidR="00692BF7" w:rsidRPr="00C73666">
        <w:rPr>
          <w:b w:val="0"/>
          <w:bCs w:val="0"/>
          <w:i w:val="0"/>
          <w:iCs w:val="0"/>
        </w:rPr>
        <w:t xml:space="preserve"> </w:t>
      </w:r>
    </w:p>
    <w:p w14:paraId="25306442" w14:textId="77777777" w:rsidR="00692BF7" w:rsidRPr="00C73666" w:rsidRDefault="00411C2A" w:rsidP="00006E4B">
      <w:pPr>
        <w:pStyle w:val="BodyText"/>
        <w:ind w:left="2160"/>
        <w:rPr>
          <w:b w:val="0"/>
          <w:bCs w:val="0"/>
          <w:i w:val="0"/>
          <w:iCs w:val="0"/>
        </w:rPr>
      </w:pPr>
      <w:r>
        <w:rPr>
          <w:b w:val="0"/>
          <w:bCs w:val="0"/>
          <w:i w:val="0"/>
          <w:iCs w:val="0"/>
        </w:rPr>
        <w:t xml:space="preserve">Kansas City, Kansas </w:t>
      </w:r>
      <w:r w:rsidR="00692BF7" w:rsidRPr="00C73666">
        <w:rPr>
          <w:b w:val="0"/>
          <w:bCs w:val="0"/>
          <w:i w:val="0"/>
          <w:iCs w:val="0"/>
        </w:rPr>
        <w:t xml:space="preserve"> </w:t>
      </w:r>
    </w:p>
    <w:p w14:paraId="25306443" w14:textId="77777777" w:rsidR="00006E4B" w:rsidRDefault="00692BF7" w:rsidP="00006E4B">
      <w:pPr>
        <w:pStyle w:val="BodyText"/>
        <w:ind w:left="2160"/>
        <w:rPr>
          <w:b w:val="0"/>
          <w:bCs w:val="0"/>
          <w:i w:val="0"/>
          <w:iCs w:val="0"/>
        </w:rPr>
      </w:pPr>
      <w:r w:rsidRPr="00C73666">
        <w:rPr>
          <w:b w:val="0"/>
          <w:bCs w:val="0"/>
          <w:i w:val="0"/>
          <w:iCs w:val="0"/>
        </w:rPr>
        <w:t xml:space="preserve"> </w:t>
      </w:r>
      <w:r w:rsidR="00411C2A">
        <w:rPr>
          <w:b w:val="0"/>
          <w:bCs w:val="0"/>
          <w:i w:val="0"/>
          <w:iCs w:val="0"/>
        </w:rPr>
        <w:t>913-551-5520</w:t>
      </w:r>
    </w:p>
    <w:p w14:paraId="25306444" w14:textId="77777777" w:rsidR="005224F2" w:rsidRDefault="005224F2" w:rsidP="00006E4B">
      <w:pPr>
        <w:pStyle w:val="BodyText"/>
        <w:ind w:left="2160"/>
        <w:rPr>
          <w:b w:val="0"/>
          <w:bCs w:val="0"/>
          <w:i w:val="0"/>
          <w:iCs w:val="0"/>
        </w:rPr>
      </w:pPr>
    </w:p>
    <w:p w14:paraId="25306445" w14:textId="77777777" w:rsidR="00006E4B" w:rsidRDefault="00006E4B" w:rsidP="00006E4B">
      <w:pPr>
        <w:pStyle w:val="BodyTextIndent2"/>
      </w:pPr>
      <w:r>
        <w:t>9.</w:t>
      </w:r>
      <w:r>
        <w:tab/>
        <w:t>There are no payments or gifts of any kind provided to respondents.</w:t>
      </w:r>
    </w:p>
    <w:p w14:paraId="25306446" w14:textId="77777777" w:rsidR="00006E4B" w:rsidRDefault="00006E4B" w:rsidP="00006E4B">
      <w:pPr>
        <w:rPr>
          <w:sz w:val="24"/>
        </w:rPr>
      </w:pPr>
    </w:p>
    <w:p w14:paraId="25306447" w14:textId="77777777" w:rsidR="00006E4B" w:rsidRDefault="00006E4B" w:rsidP="00006E4B">
      <w:pPr>
        <w:pStyle w:val="BodyTextIndent2"/>
      </w:pPr>
      <w:r>
        <w:t>10.</w:t>
      </w:r>
      <w:r>
        <w:tab/>
        <w:t>Each respondent who completes the form will read the Privacy Act Statement.  The Department’s policy requires the collection of information, and failure to do so will result in disapproval of participation in the HUD program and/or delayed action on the proposal.</w:t>
      </w:r>
    </w:p>
    <w:p w14:paraId="25306448" w14:textId="77777777" w:rsidR="00006E4B" w:rsidRDefault="00006E4B" w:rsidP="00006E4B">
      <w:pPr>
        <w:rPr>
          <w:sz w:val="24"/>
        </w:rPr>
      </w:pPr>
    </w:p>
    <w:p w14:paraId="25306449" w14:textId="77777777" w:rsidR="00006E4B" w:rsidRDefault="00006E4B" w:rsidP="00006E4B">
      <w:pPr>
        <w:pStyle w:val="BodyTextIndent"/>
        <w:overflowPunct w:val="0"/>
        <w:autoSpaceDE w:val="0"/>
        <w:autoSpaceDN w:val="0"/>
        <w:adjustRightInd w:val="0"/>
        <w:textAlignment w:val="baseline"/>
        <w:rPr>
          <w:szCs w:val="20"/>
        </w:rPr>
      </w:pPr>
      <w:r>
        <w:rPr>
          <w:szCs w:val="20"/>
        </w:rPr>
        <w:t>We assure confidentiality to respondents in accordance with the Freedom of Information Act (FOIA).  If this information collection was not collected, it could have an impact on the ability of the Department’s mission to provide safe and sanitary housing units.</w:t>
      </w:r>
    </w:p>
    <w:p w14:paraId="2530644A" w14:textId="77777777" w:rsidR="00006E4B" w:rsidRDefault="00006E4B" w:rsidP="00006E4B">
      <w:pPr>
        <w:rPr>
          <w:sz w:val="24"/>
        </w:rPr>
      </w:pPr>
    </w:p>
    <w:p w14:paraId="2530644B" w14:textId="77777777" w:rsidR="00006E4B" w:rsidRDefault="00006E4B" w:rsidP="00006E4B">
      <w:pPr>
        <w:pStyle w:val="BodyTextIndent2"/>
      </w:pPr>
      <w:r>
        <w:t>11.</w:t>
      </w:r>
      <w:r>
        <w:tab/>
        <w:t>This form does not request information that is considered sensitive in nature.</w:t>
      </w:r>
    </w:p>
    <w:p w14:paraId="2530644C" w14:textId="77777777" w:rsidR="00006E4B" w:rsidRDefault="00006E4B" w:rsidP="00006E4B">
      <w:pPr>
        <w:rPr>
          <w:sz w:val="24"/>
        </w:rPr>
      </w:pPr>
    </w:p>
    <w:p w14:paraId="2530644D" w14:textId="77777777" w:rsidR="00006E4B" w:rsidRDefault="00006E4B" w:rsidP="00006E4B">
      <w:pPr>
        <w:rPr>
          <w:sz w:val="24"/>
        </w:rPr>
      </w:pPr>
      <w:r>
        <w:rPr>
          <w:sz w:val="24"/>
        </w:rPr>
        <w:t>12. Estimates of public burden and costs to respondents:</w:t>
      </w:r>
    </w:p>
    <w:p w14:paraId="2530644E" w14:textId="77777777" w:rsidR="00006E4B" w:rsidRDefault="00006E4B" w:rsidP="00006E4B">
      <w:pPr>
        <w:rPr>
          <w:sz w:val="24"/>
        </w:rPr>
      </w:pPr>
    </w:p>
    <w:tbl>
      <w:tblPr>
        <w:tblW w:w="1054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315"/>
        <w:gridCol w:w="1295"/>
        <w:gridCol w:w="1375"/>
        <w:gridCol w:w="1260"/>
        <w:gridCol w:w="1449"/>
        <w:gridCol w:w="1341"/>
        <w:gridCol w:w="1227"/>
        <w:gridCol w:w="1286"/>
      </w:tblGrid>
      <w:tr w:rsidR="00006E4B" w14:paraId="25306457" w14:textId="77777777" w:rsidTr="00F107B5">
        <w:tc>
          <w:tcPr>
            <w:tcW w:w="1315" w:type="dxa"/>
            <w:vAlign w:val="center"/>
          </w:tcPr>
          <w:p w14:paraId="2530644F" w14:textId="77777777" w:rsidR="00006E4B" w:rsidRDefault="00006E4B" w:rsidP="00F107B5">
            <w:pPr>
              <w:jc w:val="center"/>
              <w:rPr>
                <w:rFonts w:ascii="Arial" w:hAnsi="Arial" w:cs="Arial"/>
              </w:rPr>
            </w:pPr>
            <w:r>
              <w:rPr>
                <w:rFonts w:ascii="Arial" w:hAnsi="Arial" w:cs="Arial"/>
              </w:rPr>
              <w:t>Information Collection</w:t>
            </w:r>
          </w:p>
        </w:tc>
        <w:tc>
          <w:tcPr>
            <w:tcW w:w="1295" w:type="dxa"/>
            <w:vAlign w:val="center"/>
          </w:tcPr>
          <w:p w14:paraId="25306450" w14:textId="77777777" w:rsidR="00006E4B" w:rsidRDefault="00006E4B" w:rsidP="00F107B5">
            <w:pPr>
              <w:jc w:val="center"/>
              <w:rPr>
                <w:rFonts w:ascii="Arial" w:hAnsi="Arial" w:cs="Arial"/>
              </w:rPr>
            </w:pPr>
            <w:r>
              <w:rPr>
                <w:rFonts w:ascii="Arial" w:hAnsi="Arial" w:cs="Arial"/>
              </w:rPr>
              <w:t>Number of Respondents</w:t>
            </w:r>
          </w:p>
        </w:tc>
        <w:tc>
          <w:tcPr>
            <w:tcW w:w="1375" w:type="dxa"/>
            <w:vAlign w:val="center"/>
          </w:tcPr>
          <w:p w14:paraId="25306451" w14:textId="77777777" w:rsidR="00006E4B" w:rsidRDefault="00006E4B" w:rsidP="00F107B5">
            <w:pPr>
              <w:jc w:val="center"/>
              <w:rPr>
                <w:rFonts w:ascii="Arial" w:hAnsi="Arial" w:cs="Arial"/>
              </w:rPr>
            </w:pPr>
            <w:r>
              <w:rPr>
                <w:rFonts w:ascii="Arial" w:hAnsi="Arial" w:cs="Arial"/>
              </w:rPr>
              <w:t>Frequency of Response</w:t>
            </w:r>
          </w:p>
        </w:tc>
        <w:tc>
          <w:tcPr>
            <w:tcW w:w="1260" w:type="dxa"/>
            <w:vAlign w:val="center"/>
          </w:tcPr>
          <w:p w14:paraId="25306452" w14:textId="77777777" w:rsidR="00006E4B" w:rsidRDefault="00006E4B" w:rsidP="00F107B5">
            <w:pPr>
              <w:jc w:val="center"/>
              <w:rPr>
                <w:rFonts w:ascii="Arial" w:hAnsi="Arial" w:cs="Arial"/>
              </w:rPr>
            </w:pPr>
            <w:r>
              <w:rPr>
                <w:rFonts w:ascii="Arial" w:hAnsi="Arial" w:cs="Arial"/>
              </w:rPr>
              <w:t>Responses Per Annum</w:t>
            </w:r>
          </w:p>
        </w:tc>
        <w:tc>
          <w:tcPr>
            <w:tcW w:w="1449" w:type="dxa"/>
            <w:vAlign w:val="center"/>
          </w:tcPr>
          <w:p w14:paraId="25306453" w14:textId="77777777" w:rsidR="00006E4B" w:rsidRDefault="00006E4B" w:rsidP="00F107B5">
            <w:pPr>
              <w:jc w:val="center"/>
              <w:rPr>
                <w:rFonts w:ascii="Arial" w:hAnsi="Arial" w:cs="Arial"/>
              </w:rPr>
            </w:pPr>
            <w:r>
              <w:rPr>
                <w:rFonts w:ascii="Arial" w:hAnsi="Arial" w:cs="Arial"/>
              </w:rPr>
              <w:t>Burden Hour Per Response</w:t>
            </w:r>
          </w:p>
        </w:tc>
        <w:tc>
          <w:tcPr>
            <w:tcW w:w="1341" w:type="dxa"/>
            <w:vAlign w:val="center"/>
          </w:tcPr>
          <w:p w14:paraId="25306454" w14:textId="77777777" w:rsidR="00006E4B" w:rsidRDefault="00006E4B" w:rsidP="00F107B5">
            <w:pPr>
              <w:jc w:val="center"/>
              <w:rPr>
                <w:rFonts w:ascii="Arial" w:hAnsi="Arial" w:cs="Arial"/>
              </w:rPr>
            </w:pPr>
            <w:r>
              <w:rPr>
                <w:rFonts w:ascii="Arial" w:hAnsi="Arial" w:cs="Arial"/>
              </w:rPr>
              <w:t>Annual Burden Hours</w:t>
            </w:r>
          </w:p>
        </w:tc>
        <w:tc>
          <w:tcPr>
            <w:tcW w:w="1227" w:type="dxa"/>
            <w:vAlign w:val="center"/>
          </w:tcPr>
          <w:p w14:paraId="25306455" w14:textId="77777777" w:rsidR="00006E4B" w:rsidRDefault="00006E4B" w:rsidP="00F107B5">
            <w:pPr>
              <w:jc w:val="center"/>
              <w:rPr>
                <w:rFonts w:ascii="Arial" w:hAnsi="Arial" w:cs="Arial"/>
              </w:rPr>
            </w:pPr>
            <w:r>
              <w:rPr>
                <w:rFonts w:ascii="Arial" w:hAnsi="Arial" w:cs="Arial"/>
              </w:rPr>
              <w:t>Hourly Cost</w:t>
            </w:r>
          </w:p>
        </w:tc>
        <w:tc>
          <w:tcPr>
            <w:tcW w:w="1286" w:type="dxa"/>
            <w:vAlign w:val="center"/>
          </w:tcPr>
          <w:p w14:paraId="25306456" w14:textId="77777777" w:rsidR="00006E4B" w:rsidRDefault="00006E4B" w:rsidP="00F107B5">
            <w:pPr>
              <w:jc w:val="center"/>
              <w:rPr>
                <w:rFonts w:ascii="Arial" w:hAnsi="Arial" w:cs="Arial"/>
              </w:rPr>
            </w:pPr>
            <w:r>
              <w:rPr>
                <w:rFonts w:ascii="Arial" w:hAnsi="Arial" w:cs="Arial"/>
              </w:rPr>
              <w:t>Annual Cost</w:t>
            </w:r>
          </w:p>
        </w:tc>
      </w:tr>
      <w:tr w:rsidR="00006E4B" w14:paraId="25306460" w14:textId="77777777" w:rsidTr="00F107B5">
        <w:tc>
          <w:tcPr>
            <w:tcW w:w="1315" w:type="dxa"/>
          </w:tcPr>
          <w:p w14:paraId="25306458" w14:textId="77777777" w:rsidR="00006E4B" w:rsidRDefault="00006E4B" w:rsidP="00F107B5">
            <w:pPr>
              <w:rPr>
                <w:rFonts w:ascii="Arial" w:hAnsi="Arial" w:cs="Arial"/>
              </w:rPr>
            </w:pPr>
            <w:r>
              <w:rPr>
                <w:rFonts w:ascii="Arial" w:hAnsi="Arial" w:cs="Arial"/>
              </w:rPr>
              <w:t>HUD-92417</w:t>
            </w:r>
          </w:p>
        </w:tc>
        <w:tc>
          <w:tcPr>
            <w:tcW w:w="1295" w:type="dxa"/>
          </w:tcPr>
          <w:p w14:paraId="25306459" w14:textId="77777777" w:rsidR="00006E4B" w:rsidRDefault="004C2D6F" w:rsidP="001449AA">
            <w:pPr>
              <w:jc w:val="center"/>
              <w:rPr>
                <w:rFonts w:ascii="Arial" w:hAnsi="Arial" w:cs="Arial"/>
              </w:rPr>
            </w:pPr>
            <w:r>
              <w:rPr>
                <w:rFonts w:ascii="Arial" w:hAnsi="Arial" w:cs="Arial"/>
              </w:rPr>
              <w:t>1,</w:t>
            </w:r>
            <w:r w:rsidR="005224F2">
              <w:rPr>
                <w:rFonts w:ascii="Arial" w:hAnsi="Arial" w:cs="Arial"/>
              </w:rPr>
              <w:t>230</w:t>
            </w:r>
          </w:p>
        </w:tc>
        <w:tc>
          <w:tcPr>
            <w:tcW w:w="1375" w:type="dxa"/>
          </w:tcPr>
          <w:p w14:paraId="2530645A" w14:textId="77777777" w:rsidR="00006E4B" w:rsidRDefault="00006E4B" w:rsidP="00F107B5">
            <w:pPr>
              <w:jc w:val="center"/>
              <w:rPr>
                <w:rFonts w:ascii="Arial" w:hAnsi="Arial" w:cs="Arial"/>
              </w:rPr>
            </w:pPr>
            <w:r>
              <w:rPr>
                <w:rFonts w:ascii="Arial" w:hAnsi="Arial" w:cs="Arial"/>
              </w:rPr>
              <w:t>1</w:t>
            </w:r>
          </w:p>
        </w:tc>
        <w:tc>
          <w:tcPr>
            <w:tcW w:w="1260" w:type="dxa"/>
          </w:tcPr>
          <w:p w14:paraId="2530645B" w14:textId="77777777" w:rsidR="00006E4B" w:rsidRDefault="001449AA" w:rsidP="004C2D6F">
            <w:pPr>
              <w:jc w:val="center"/>
              <w:rPr>
                <w:rFonts w:ascii="Arial" w:hAnsi="Arial" w:cs="Arial"/>
              </w:rPr>
            </w:pPr>
            <w:r>
              <w:rPr>
                <w:rFonts w:ascii="Arial" w:hAnsi="Arial" w:cs="Arial"/>
              </w:rPr>
              <w:t>1,</w:t>
            </w:r>
            <w:r w:rsidR="005224F2">
              <w:rPr>
                <w:rFonts w:ascii="Arial" w:hAnsi="Arial" w:cs="Arial"/>
              </w:rPr>
              <w:t>230</w:t>
            </w:r>
          </w:p>
        </w:tc>
        <w:tc>
          <w:tcPr>
            <w:tcW w:w="1449" w:type="dxa"/>
          </w:tcPr>
          <w:p w14:paraId="2530645C" w14:textId="77777777" w:rsidR="00006E4B" w:rsidRDefault="00006E4B" w:rsidP="00F107B5">
            <w:pPr>
              <w:jc w:val="center"/>
              <w:rPr>
                <w:rFonts w:ascii="Arial" w:hAnsi="Arial" w:cs="Arial"/>
              </w:rPr>
            </w:pPr>
            <w:r>
              <w:rPr>
                <w:rFonts w:ascii="Arial" w:hAnsi="Arial" w:cs="Arial"/>
              </w:rPr>
              <w:t>8</w:t>
            </w:r>
          </w:p>
        </w:tc>
        <w:tc>
          <w:tcPr>
            <w:tcW w:w="1341" w:type="dxa"/>
          </w:tcPr>
          <w:p w14:paraId="2530645D" w14:textId="77777777" w:rsidR="00006E4B" w:rsidRDefault="005224F2" w:rsidP="005224F2">
            <w:pPr>
              <w:rPr>
                <w:rFonts w:ascii="Arial" w:hAnsi="Arial" w:cs="Arial"/>
              </w:rPr>
            </w:pPr>
            <w:r>
              <w:rPr>
                <w:rFonts w:ascii="Arial" w:hAnsi="Arial" w:cs="Arial"/>
              </w:rPr>
              <w:t xml:space="preserve">     9,840</w:t>
            </w:r>
          </w:p>
        </w:tc>
        <w:tc>
          <w:tcPr>
            <w:tcW w:w="1227" w:type="dxa"/>
          </w:tcPr>
          <w:p w14:paraId="2530645E" w14:textId="77777777" w:rsidR="00006E4B" w:rsidRDefault="00006E4B" w:rsidP="00F107B5">
            <w:pPr>
              <w:jc w:val="right"/>
              <w:rPr>
                <w:rFonts w:ascii="Arial" w:hAnsi="Arial" w:cs="Arial"/>
              </w:rPr>
            </w:pPr>
            <w:r>
              <w:rPr>
                <w:rFonts w:ascii="Arial" w:hAnsi="Arial" w:cs="Arial"/>
              </w:rPr>
              <w:t>$</w:t>
            </w:r>
            <w:r w:rsidR="006C676E">
              <w:rPr>
                <w:rFonts w:ascii="Arial" w:hAnsi="Arial" w:cs="Arial"/>
              </w:rPr>
              <w:t>29.34</w:t>
            </w:r>
          </w:p>
        </w:tc>
        <w:tc>
          <w:tcPr>
            <w:tcW w:w="1286" w:type="dxa"/>
          </w:tcPr>
          <w:p w14:paraId="2530645F" w14:textId="77777777" w:rsidR="00006E4B" w:rsidRDefault="001449AA" w:rsidP="001449AA">
            <w:pPr>
              <w:jc w:val="right"/>
              <w:rPr>
                <w:rFonts w:ascii="Arial" w:hAnsi="Arial" w:cs="Arial"/>
              </w:rPr>
            </w:pPr>
            <w:r>
              <w:rPr>
                <w:rFonts w:ascii="Arial" w:hAnsi="Arial" w:cs="Arial"/>
              </w:rPr>
              <w:t>$</w:t>
            </w:r>
            <w:r w:rsidR="006C676E">
              <w:rPr>
                <w:rFonts w:ascii="Arial" w:hAnsi="Arial" w:cs="Arial"/>
              </w:rPr>
              <w:t>288,705.60</w:t>
            </w:r>
          </w:p>
        </w:tc>
      </w:tr>
    </w:tbl>
    <w:p w14:paraId="25306461" w14:textId="77777777" w:rsidR="00006E4B" w:rsidRDefault="00006E4B" w:rsidP="00006E4B">
      <w:pPr>
        <w:pStyle w:val="BodyText2"/>
        <w:ind w:firstLine="360"/>
        <w:rPr>
          <w:sz w:val="20"/>
        </w:rPr>
      </w:pPr>
      <w:r>
        <w:rPr>
          <w:sz w:val="20"/>
        </w:rPr>
        <w:t xml:space="preserve">The estimated median hourly rate for </w:t>
      </w:r>
      <w:r w:rsidR="006C676E">
        <w:rPr>
          <w:sz w:val="20"/>
        </w:rPr>
        <w:t>financial analyst annual salary of $61,027.20. (Source: Bureau of Labor Statistics)</w:t>
      </w:r>
      <w:r>
        <w:rPr>
          <w:sz w:val="20"/>
        </w:rPr>
        <w:tab/>
        <w:t xml:space="preserve">     </w:t>
      </w:r>
    </w:p>
    <w:p w14:paraId="25306462" w14:textId="77777777" w:rsidR="00006E4B" w:rsidRDefault="00006E4B" w:rsidP="00006E4B">
      <w:pPr>
        <w:rPr>
          <w:sz w:val="24"/>
        </w:rPr>
      </w:pPr>
    </w:p>
    <w:p w14:paraId="25306463" w14:textId="77777777" w:rsidR="00006E4B" w:rsidRDefault="00006E4B" w:rsidP="00006E4B">
      <w:pPr>
        <w:pStyle w:val="BodyText"/>
        <w:ind w:left="360" w:hanging="360"/>
        <w:rPr>
          <w:b w:val="0"/>
          <w:bCs w:val="0"/>
          <w:i w:val="0"/>
          <w:iCs w:val="0"/>
        </w:rPr>
      </w:pPr>
      <w:r>
        <w:rPr>
          <w:b w:val="0"/>
          <w:bCs w:val="0"/>
          <w:i w:val="0"/>
          <w:iCs w:val="0"/>
        </w:rPr>
        <w:t>13.</w:t>
      </w:r>
      <w:r>
        <w:rPr>
          <w:b w:val="0"/>
          <w:bCs w:val="0"/>
          <w:i w:val="0"/>
          <w:iCs w:val="0"/>
        </w:rPr>
        <w:tab/>
        <w:t>There are no additional costs to respondents.</w:t>
      </w:r>
    </w:p>
    <w:p w14:paraId="25306464" w14:textId="77777777" w:rsidR="00006E4B" w:rsidRDefault="00006E4B" w:rsidP="00006E4B">
      <w:pPr>
        <w:rPr>
          <w:sz w:val="24"/>
        </w:rPr>
      </w:pPr>
    </w:p>
    <w:p w14:paraId="25306465" w14:textId="77777777" w:rsidR="00006E4B" w:rsidRDefault="00006E4B" w:rsidP="00006E4B">
      <w:pPr>
        <w:rPr>
          <w:sz w:val="24"/>
        </w:rPr>
      </w:pPr>
      <w:r>
        <w:rPr>
          <w:sz w:val="24"/>
        </w:rPr>
        <w:t>14. Estimate annualized costs to the Federal government:</w:t>
      </w:r>
    </w:p>
    <w:p w14:paraId="25306466" w14:textId="77777777" w:rsidR="00006E4B" w:rsidRDefault="00006E4B" w:rsidP="00006E4B">
      <w:pPr>
        <w:rPr>
          <w:sz w:val="24"/>
        </w:rPr>
      </w:pPr>
    </w:p>
    <w:tbl>
      <w:tblPr>
        <w:tblW w:w="1054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315"/>
        <w:gridCol w:w="1295"/>
        <w:gridCol w:w="1375"/>
        <w:gridCol w:w="1260"/>
        <w:gridCol w:w="1449"/>
        <w:gridCol w:w="1341"/>
        <w:gridCol w:w="1227"/>
        <w:gridCol w:w="1286"/>
      </w:tblGrid>
      <w:tr w:rsidR="00006E4B" w14:paraId="2530646F" w14:textId="77777777" w:rsidTr="00F107B5">
        <w:tc>
          <w:tcPr>
            <w:tcW w:w="1315" w:type="dxa"/>
            <w:vAlign w:val="center"/>
          </w:tcPr>
          <w:p w14:paraId="25306467" w14:textId="77777777" w:rsidR="00006E4B" w:rsidRDefault="00006E4B" w:rsidP="00F107B5">
            <w:pPr>
              <w:jc w:val="center"/>
              <w:rPr>
                <w:rFonts w:ascii="Arial" w:hAnsi="Arial" w:cs="Arial"/>
              </w:rPr>
            </w:pPr>
            <w:r>
              <w:rPr>
                <w:rFonts w:ascii="Arial" w:hAnsi="Arial" w:cs="Arial"/>
              </w:rPr>
              <w:t>Information Collection</w:t>
            </w:r>
          </w:p>
        </w:tc>
        <w:tc>
          <w:tcPr>
            <w:tcW w:w="1295" w:type="dxa"/>
            <w:vAlign w:val="center"/>
          </w:tcPr>
          <w:p w14:paraId="25306468" w14:textId="77777777" w:rsidR="00006E4B" w:rsidRDefault="00006E4B" w:rsidP="00F107B5">
            <w:pPr>
              <w:jc w:val="center"/>
              <w:rPr>
                <w:rFonts w:ascii="Arial" w:hAnsi="Arial" w:cs="Arial"/>
              </w:rPr>
            </w:pPr>
            <w:r>
              <w:rPr>
                <w:rFonts w:ascii="Arial" w:hAnsi="Arial" w:cs="Arial"/>
              </w:rPr>
              <w:t>Number of Respondents</w:t>
            </w:r>
          </w:p>
        </w:tc>
        <w:tc>
          <w:tcPr>
            <w:tcW w:w="1375" w:type="dxa"/>
            <w:vAlign w:val="center"/>
          </w:tcPr>
          <w:p w14:paraId="25306469" w14:textId="77777777" w:rsidR="00006E4B" w:rsidRDefault="00006E4B" w:rsidP="00F107B5">
            <w:pPr>
              <w:jc w:val="center"/>
              <w:rPr>
                <w:rFonts w:ascii="Arial" w:hAnsi="Arial" w:cs="Arial"/>
              </w:rPr>
            </w:pPr>
            <w:r>
              <w:rPr>
                <w:rFonts w:ascii="Arial" w:hAnsi="Arial" w:cs="Arial"/>
              </w:rPr>
              <w:t>Frequency of Response</w:t>
            </w:r>
          </w:p>
        </w:tc>
        <w:tc>
          <w:tcPr>
            <w:tcW w:w="1260" w:type="dxa"/>
            <w:vAlign w:val="center"/>
          </w:tcPr>
          <w:p w14:paraId="2530646A" w14:textId="77777777" w:rsidR="00006E4B" w:rsidRDefault="00006E4B" w:rsidP="00F107B5">
            <w:pPr>
              <w:jc w:val="center"/>
              <w:rPr>
                <w:rFonts w:ascii="Arial" w:hAnsi="Arial" w:cs="Arial"/>
              </w:rPr>
            </w:pPr>
            <w:r>
              <w:rPr>
                <w:rFonts w:ascii="Arial" w:hAnsi="Arial" w:cs="Arial"/>
              </w:rPr>
              <w:t>Responses Per Annum</w:t>
            </w:r>
          </w:p>
        </w:tc>
        <w:tc>
          <w:tcPr>
            <w:tcW w:w="1449" w:type="dxa"/>
            <w:vAlign w:val="center"/>
          </w:tcPr>
          <w:p w14:paraId="2530646B" w14:textId="77777777" w:rsidR="00006E4B" w:rsidRDefault="00006E4B" w:rsidP="00F107B5">
            <w:pPr>
              <w:jc w:val="center"/>
              <w:rPr>
                <w:rFonts w:ascii="Arial" w:hAnsi="Arial" w:cs="Arial"/>
              </w:rPr>
            </w:pPr>
            <w:r>
              <w:rPr>
                <w:rFonts w:ascii="Arial" w:hAnsi="Arial" w:cs="Arial"/>
              </w:rPr>
              <w:t>Burden Hour Per Response</w:t>
            </w:r>
          </w:p>
        </w:tc>
        <w:tc>
          <w:tcPr>
            <w:tcW w:w="1341" w:type="dxa"/>
            <w:vAlign w:val="center"/>
          </w:tcPr>
          <w:p w14:paraId="2530646C" w14:textId="77777777" w:rsidR="00006E4B" w:rsidRDefault="00006E4B" w:rsidP="00F107B5">
            <w:pPr>
              <w:jc w:val="center"/>
              <w:rPr>
                <w:rFonts w:ascii="Arial" w:hAnsi="Arial" w:cs="Arial"/>
              </w:rPr>
            </w:pPr>
            <w:r>
              <w:rPr>
                <w:rFonts w:ascii="Arial" w:hAnsi="Arial" w:cs="Arial"/>
              </w:rPr>
              <w:t>Annual Burden Hours</w:t>
            </w:r>
          </w:p>
        </w:tc>
        <w:tc>
          <w:tcPr>
            <w:tcW w:w="1227" w:type="dxa"/>
            <w:vAlign w:val="center"/>
          </w:tcPr>
          <w:p w14:paraId="2530646D" w14:textId="77777777" w:rsidR="00006E4B" w:rsidRDefault="00006E4B" w:rsidP="00F107B5">
            <w:pPr>
              <w:jc w:val="center"/>
              <w:rPr>
                <w:rFonts w:ascii="Arial" w:hAnsi="Arial" w:cs="Arial"/>
              </w:rPr>
            </w:pPr>
            <w:r>
              <w:rPr>
                <w:rFonts w:ascii="Arial" w:hAnsi="Arial" w:cs="Arial"/>
              </w:rPr>
              <w:t>Hourly Cost</w:t>
            </w:r>
          </w:p>
        </w:tc>
        <w:tc>
          <w:tcPr>
            <w:tcW w:w="1286" w:type="dxa"/>
            <w:vAlign w:val="center"/>
          </w:tcPr>
          <w:p w14:paraId="2530646E" w14:textId="77777777" w:rsidR="00006E4B" w:rsidRDefault="00006E4B" w:rsidP="00F107B5">
            <w:pPr>
              <w:jc w:val="center"/>
              <w:rPr>
                <w:rFonts w:ascii="Arial" w:hAnsi="Arial" w:cs="Arial"/>
              </w:rPr>
            </w:pPr>
            <w:r>
              <w:rPr>
                <w:rFonts w:ascii="Arial" w:hAnsi="Arial" w:cs="Arial"/>
              </w:rPr>
              <w:t>Annual Cost</w:t>
            </w:r>
          </w:p>
        </w:tc>
      </w:tr>
      <w:tr w:rsidR="00006E4B" w14:paraId="25306478" w14:textId="77777777" w:rsidTr="00F107B5">
        <w:tc>
          <w:tcPr>
            <w:tcW w:w="1315" w:type="dxa"/>
          </w:tcPr>
          <w:p w14:paraId="25306470" w14:textId="77777777" w:rsidR="00006E4B" w:rsidRDefault="00006E4B" w:rsidP="00F107B5">
            <w:pPr>
              <w:rPr>
                <w:rFonts w:ascii="Arial" w:hAnsi="Arial" w:cs="Arial"/>
              </w:rPr>
            </w:pPr>
            <w:r>
              <w:rPr>
                <w:rFonts w:ascii="Arial" w:hAnsi="Arial" w:cs="Arial"/>
              </w:rPr>
              <w:t>HUD-92417</w:t>
            </w:r>
          </w:p>
        </w:tc>
        <w:tc>
          <w:tcPr>
            <w:tcW w:w="1295" w:type="dxa"/>
          </w:tcPr>
          <w:p w14:paraId="25306471" w14:textId="77777777" w:rsidR="00006E4B" w:rsidRDefault="001449AA" w:rsidP="001449AA">
            <w:pPr>
              <w:jc w:val="center"/>
              <w:rPr>
                <w:rFonts w:ascii="Arial" w:hAnsi="Arial" w:cs="Arial"/>
              </w:rPr>
            </w:pPr>
            <w:r>
              <w:rPr>
                <w:rFonts w:ascii="Arial" w:hAnsi="Arial" w:cs="Arial"/>
              </w:rPr>
              <w:t>1,</w:t>
            </w:r>
            <w:r w:rsidR="005224F2">
              <w:rPr>
                <w:rFonts w:ascii="Arial" w:hAnsi="Arial" w:cs="Arial"/>
              </w:rPr>
              <w:t>230</w:t>
            </w:r>
          </w:p>
        </w:tc>
        <w:tc>
          <w:tcPr>
            <w:tcW w:w="1375" w:type="dxa"/>
          </w:tcPr>
          <w:p w14:paraId="25306472" w14:textId="77777777" w:rsidR="00006E4B" w:rsidRDefault="00006E4B" w:rsidP="00F107B5">
            <w:pPr>
              <w:jc w:val="center"/>
              <w:rPr>
                <w:rFonts w:ascii="Arial" w:hAnsi="Arial" w:cs="Arial"/>
              </w:rPr>
            </w:pPr>
            <w:r>
              <w:rPr>
                <w:rFonts w:ascii="Arial" w:hAnsi="Arial" w:cs="Arial"/>
              </w:rPr>
              <w:t>1</w:t>
            </w:r>
          </w:p>
        </w:tc>
        <w:tc>
          <w:tcPr>
            <w:tcW w:w="1260" w:type="dxa"/>
          </w:tcPr>
          <w:p w14:paraId="25306473" w14:textId="77777777" w:rsidR="00006E4B" w:rsidRDefault="001449AA" w:rsidP="001449AA">
            <w:pPr>
              <w:jc w:val="center"/>
              <w:rPr>
                <w:rFonts w:ascii="Arial" w:hAnsi="Arial" w:cs="Arial"/>
              </w:rPr>
            </w:pPr>
            <w:r>
              <w:rPr>
                <w:rFonts w:ascii="Arial" w:hAnsi="Arial" w:cs="Arial"/>
              </w:rPr>
              <w:t>1,</w:t>
            </w:r>
            <w:r w:rsidR="005224F2">
              <w:rPr>
                <w:rFonts w:ascii="Arial" w:hAnsi="Arial" w:cs="Arial"/>
              </w:rPr>
              <w:t>230</w:t>
            </w:r>
          </w:p>
        </w:tc>
        <w:tc>
          <w:tcPr>
            <w:tcW w:w="1449" w:type="dxa"/>
          </w:tcPr>
          <w:p w14:paraId="25306474" w14:textId="77777777" w:rsidR="00006E4B" w:rsidRDefault="00006E4B" w:rsidP="00F107B5">
            <w:pPr>
              <w:jc w:val="center"/>
              <w:rPr>
                <w:rFonts w:ascii="Arial" w:hAnsi="Arial" w:cs="Arial"/>
              </w:rPr>
            </w:pPr>
            <w:r>
              <w:rPr>
                <w:rFonts w:ascii="Arial" w:hAnsi="Arial" w:cs="Arial"/>
              </w:rPr>
              <w:t>.</w:t>
            </w:r>
            <w:r w:rsidR="008C731B">
              <w:rPr>
                <w:rFonts w:ascii="Arial" w:hAnsi="Arial" w:cs="Arial"/>
              </w:rPr>
              <w:t>5</w:t>
            </w:r>
          </w:p>
        </w:tc>
        <w:tc>
          <w:tcPr>
            <w:tcW w:w="1341" w:type="dxa"/>
          </w:tcPr>
          <w:p w14:paraId="25306475" w14:textId="77777777" w:rsidR="00006E4B" w:rsidRDefault="00F106AE" w:rsidP="001449AA">
            <w:pPr>
              <w:jc w:val="center"/>
              <w:rPr>
                <w:rFonts w:ascii="Arial" w:hAnsi="Arial" w:cs="Arial"/>
              </w:rPr>
            </w:pPr>
            <w:r>
              <w:rPr>
                <w:rFonts w:ascii="Arial" w:hAnsi="Arial" w:cs="Arial"/>
              </w:rPr>
              <w:t>615</w:t>
            </w:r>
          </w:p>
        </w:tc>
        <w:tc>
          <w:tcPr>
            <w:tcW w:w="1227" w:type="dxa"/>
          </w:tcPr>
          <w:p w14:paraId="25306476" w14:textId="77777777" w:rsidR="00006E4B" w:rsidRDefault="00006E4B" w:rsidP="00F107B5">
            <w:pPr>
              <w:jc w:val="right"/>
              <w:rPr>
                <w:rFonts w:ascii="Arial" w:hAnsi="Arial" w:cs="Arial"/>
              </w:rPr>
            </w:pPr>
            <w:r>
              <w:rPr>
                <w:rFonts w:ascii="Arial" w:hAnsi="Arial" w:cs="Arial"/>
              </w:rPr>
              <w:t>$39.</w:t>
            </w:r>
            <w:r w:rsidR="005A3C74">
              <w:rPr>
                <w:rFonts w:ascii="Arial" w:hAnsi="Arial" w:cs="Arial"/>
              </w:rPr>
              <w:t>85</w:t>
            </w:r>
          </w:p>
        </w:tc>
        <w:tc>
          <w:tcPr>
            <w:tcW w:w="1286" w:type="dxa"/>
          </w:tcPr>
          <w:p w14:paraId="25306477" w14:textId="77777777" w:rsidR="00006E4B" w:rsidRDefault="00006E4B" w:rsidP="00E4484C">
            <w:pPr>
              <w:jc w:val="right"/>
              <w:rPr>
                <w:rFonts w:ascii="Arial" w:hAnsi="Arial" w:cs="Arial"/>
              </w:rPr>
            </w:pPr>
            <w:r>
              <w:rPr>
                <w:rFonts w:ascii="Arial" w:hAnsi="Arial" w:cs="Arial"/>
              </w:rPr>
              <w:t>$</w:t>
            </w:r>
            <w:r w:rsidR="00F106AE">
              <w:rPr>
                <w:rFonts w:ascii="Arial" w:hAnsi="Arial" w:cs="Arial"/>
              </w:rPr>
              <w:t>24,507.75</w:t>
            </w:r>
          </w:p>
        </w:tc>
      </w:tr>
    </w:tbl>
    <w:p w14:paraId="25306479" w14:textId="77777777" w:rsidR="00006E4B" w:rsidRDefault="00006E4B" w:rsidP="00006E4B">
      <w:pPr>
        <w:ind w:firstLine="450"/>
      </w:pPr>
      <w:r>
        <w:t xml:space="preserve">The hourly rate is based on the average Federal salary of </w:t>
      </w:r>
      <w:r w:rsidR="005A3C74">
        <w:t>annual salary of $83,159 (</w:t>
      </w:r>
      <w:r>
        <w:t>GS level 12, step 5</w:t>
      </w:r>
      <w:r w:rsidR="005A3C74">
        <w:t>)</w:t>
      </w:r>
      <w:r>
        <w:t>.</w:t>
      </w:r>
    </w:p>
    <w:p w14:paraId="2530647A" w14:textId="77777777" w:rsidR="00006E4B" w:rsidRDefault="00006E4B" w:rsidP="00006E4B">
      <w:pPr>
        <w:rPr>
          <w:sz w:val="24"/>
        </w:rPr>
      </w:pPr>
      <w:r>
        <w:rPr>
          <w:sz w:val="24"/>
        </w:rPr>
        <w:t xml:space="preserve"> </w:t>
      </w:r>
    </w:p>
    <w:p w14:paraId="1FB9F2B5" w14:textId="6027DA02" w:rsidR="00317379" w:rsidRDefault="00006E4B" w:rsidP="004A2185">
      <w:pPr>
        <w:pStyle w:val="BodyTextIndent2"/>
      </w:pPr>
      <w:r>
        <w:t>15.</w:t>
      </w:r>
      <w:r>
        <w:tab/>
        <w:t>This is a</w:t>
      </w:r>
      <w:r w:rsidR="002B68ED">
        <w:t xml:space="preserve"> revision</w:t>
      </w:r>
      <w:r>
        <w:t xml:space="preserve"> of a currently approved collection.  The number of respondents </w:t>
      </w:r>
      <w:r w:rsidR="00BF7692">
        <w:t>has</w:t>
      </w:r>
      <w:r w:rsidR="005A3C74">
        <w:t xml:space="preserve"> </w:t>
      </w:r>
      <w:r>
        <w:t xml:space="preserve">decreased from the previous information collection because HUD’s previous submission included corporations or partnerships in the number of respondents.  Form HUD-92417 is only for individual mortgagors and principals.  Corporate or partnership mortgagors do not use form HUD-92417; they are required to submit financial statements to demonstrate credit worthiness (OMB Control No. 2502-0029).  </w:t>
      </w:r>
      <w:r w:rsidR="004A2185">
        <w:t>T</w:t>
      </w:r>
      <w:r w:rsidR="00317379">
        <w:t>he form HUD-2530 is a separate loan application exhibit accompanies multifamily loan applications.  It is</w:t>
      </w:r>
      <w:r w:rsidR="004A2185">
        <w:t xml:space="preserve"> reviewed by Asset Management to verify the list of projects a principal may have.  The Previous Participation Certification is the document, which contains eight statements that catches all changes that may have occurred with the Borrower(s).  This certification is signed by the borrower with all the legal authority.   </w:t>
      </w:r>
    </w:p>
    <w:p w14:paraId="2530647C" w14:textId="3BA0C266" w:rsidR="00006E4B" w:rsidRDefault="00317379" w:rsidP="00006E4B">
      <w:pPr>
        <w:rPr>
          <w:sz w:val="24"/>
        </w:rPr>
      </w:pPr>
      <w:r>
        <w:rPr>
          <w:sz w:val="24"/>
        </w:rPr>
        <w:tab/>
        <w:t xml:space="preserve">               </w:t>
      </w:r>
      <w:r>
        <w:rPr>
          <w:sz w:val="24"/>
        </w:rPr>
        <w:tab/>
        <w:t xml:space="preserve"> </w:t>
      </w:r>
      <w:r>
        <w:rPr>
          <w:sz w:val="24"/>
        </w:rPr>
        <w:tab/>
        <w:t xml:space="preserve">   </w:t>
      </w:r>
      <w:r>
        <w:rPr>
          <w:sz w:val="24"/>
        </w:rPr>
        <w:tab/>
        <w:t xml:space="preserve"> </w:t>
      </w:r>
      <w:r>
        <w:rPr>
          <w:sz w:val="24"/>
        </w:rPr>
        <w:tab/>
      </w:r>
    </w:p>
    <w:p w14:paraId="2530647D" w14:textId="77777777" w:rsidR="00006E4B" w:rsidRDefault="00006E4B" w:rsidP="00006E4B">
      <w:pPr>
        <w:pStyle w:val="BodyTextIndent2"/>
      </w:pPr>
      <w:r>
        <w:t>16.</w:t>
      </w:r>
      <w:r>
        <w:tab/>
        <w:t>Collection of this information will not be published.  Each form will be maintained with the HUD Program Office in individual case files.</w:t>
      </w:r>
    </w:p>
    <w:p w14:paraId="2530647E" w14:textId="77777777" w:rsidR="00006E4B" w:rsidRDefault="00006E4B" w:rsidP="00006E4B">
      <w:pPr>
        <w:rPr>
          <w:sz w:val="24"/>
        </w:rPr>
      </w:pPr>
    </w:p>
    <w:p w14:paraId="2530647F" w14:textId="77777777" w:rsidR="00006E4B" w:rsidRDefault="00006E4B" w:rsidP="00006E4B">
      <w:pPr>
        <w:pStyle w:val="BodyTextIndent2"/>
      </w:pPr>
      <w:r>
        <w:t>17.</w:t>
      </w:r>
      <w:r>
        <w:tab/>
        <w:t>HUD is not seeking approval to avoid displaying the OMB expiration date.</w:t>
      </w:r>
    </w:p>
    <w:p w14:paraId="25306480" w14:textId="77777777" w:rsidR="00006E4B" w:rsidRDefault="00006E4B" w:rsidP="00006E4B">
      <w:pPr>
        <w:rPr>
          <w:sz w:val="24"/>
        </w:rPr>
      </w:pPr>
    </w:p>
    <w:p w14:paraId="25306481" w14:textId="77777777" w:rsidR="00006E4B" w:rsidRDefault="00006E4B" w:rsidP="00006E4B">
      <w:pPr>
        <w:pStyle w:val="BodyTextIndent2"/>
      </w:pPr>
      <w:r>
        <w:t>18.</w:t>
      </w:r>
      <w:r>
        <w:tab/>
        <w:t>There are no exceptions to the “Certification for Paperwork Reduction Act Submission,” item 19 of the OMB 83-I.</w:t>
      </w:r>
    </w:p>
    <w:p w14:paraId="25306482" w14:textId="77777777" w:rsidR="00006E4B" w:rsidRDefault="00006E4B" w:rsidP="00006E4B">
      <w:pPr>
        <w:rPr>
          <w:sz w:val="24"/>
        </w:rPr>
      </w:pPr>
    </w:p>
    <w:p w14:paraId="25306483" w14:textId="77777777" w:rsidR="00006E4B" w:rsidRDefault="00006E4B" w:rsidP="00006E4B">
      <w:pPr>
        <w:rPr>
          <w:sz w:val="24"/>
        </w:rPr>
      </w:pPr>
    </w:p>
    <w:p w14:paraId="25306484" w14:textId="77777777" w:rsidR="00006E4B" w:rsidRDefault="00006E4B" w:rsidP="00006E4B">
      <w:pPr>
        <w:ind w:left="360" w:hanging="360"/>
        <w:rPr>
          <w:b/>
          <w:bCs/>
          <w:sz w:val="24"/>
        </w:rPr>
      </w:pPr>
      <w:r>
        <w:rPr>
          <w:b/>
          <w:bCs/>
          <w:sz w:val="24"/>
        </w:rPr>
        <w:t>B.</w:t>
      </w:r>
      <w:r>
        <w:rPr>
          <w:b/>
          <w:bCs/>
          <w:sz w:val="24"/>
        </w:rPr>
        <w:tab/>
        <w:t>Collections of Information Employing Statistical Methods.</w:t>
      </w:r>
    </w:p>
    <w:p w14:paraId="25306485" w14:textId="77777777" w:rsidR="00006E4B" w:rsidRDefault="00006E4B" w:rsidP="00006E4B">
      <w:pPr>
        <w:ind w:left="360"/>
        <w:rPr>
          <w:b/>
          <w:bCs/>
          <w:sz w:val="24"/>
        </w:rPr>
      </w:pPr>
    </w:p>
    <w:p w14:paraId="25306486" w14:textId="77777777" w:rsidR="00006E4B" w:rsidRDefault="00006E4B" w:rsidP="00006E4B">
      <w:pPr>
        <w:pStyle w:val="BodyTextIndent"/>
      </w:pPr>
      <w:r>
        <w:t>This collection does not employ statistical methods.</w:t>
      </w:r>
    </w:p>
    <w:p w14:paraId="25306487" w14:textId="77777777" w:rsidR="00006E4B" w:rsidRDefault="00006E4B" w:rsidP="00006E4B">
      <w:pPr>
        <w:pStyle w:val="BodyTextIndent"/>
        <w:ind w:left="0"/>
      </w:pPr>
    </w:p>
    <w:p w14:paraId="25306488" w14:textId="77777777" w:rsidR="00006E4B" w:rsidRDefault="00006E4B" w:rsidP="00006E4B">
      <w:pPr>
        <w:pStyle w:val="BodyTextIndent"/>
        <w:ind w:left="0"/>
      </w:pPr>
    </w:p>
    <w:p w14:paraId="25306489" w14:textId="77777777" w:rsidR="00006E4B" w:rsidRDefault="00006E4B" w:rsidP="00006E4B">
      <w:pPr>
        <w:pStyle w:val="BodyTextIndent"/>
        <w:ind w:left="0"/>
      </w:pPr>
    </w:p>
    <w:p w14:paraId="2530648A" w14:textId="77777777" w:rsidR="00660C05" w:rsidRDefault="00660C05"/>
    <w:sectPr w:rsidR="00660C05" w:rsidSect="008561E7">
      <w:footerReference w:type="default" r:id="rId8"/>
      <w:footerReference w:type="first" r:id="rId9"/>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05B51A" w14:textId="77777777" w:rsidR="00780359" w:rsidRDefault="00780359" w:rsidP="008561E7">
      <w:r>
        <w:separator/>
      </w:r>
    </w:p>
  </w:endnote>
  <w:endnote w:type="continuationSeparator" w:id="0">
    <w:p w14:paraId="382A5C1D" w14:textId="77777777" w:rsidR="00780359" w:rsidRDefault="00780359" w:rsidP="00856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0648F" w14:textId="77777777" w:rsidR="00082F84" w:rsidRDefault="0011271C">
    <w:pPr>
      <w:pStyle w:val="Footer"/>
      <w:framePr w:wrap="around" w:vAnchor="text" w:hAnchor="margin" w:xAlign="center" w:y="1"/>
      <w:rPr>
        <w:rStyle w:val="PageNumber"/>
      </w:rPr>
    </w:pPr>
    <w:r>
      <w:rPr>
        <w:rStyle w:val="PageNumber"/>
      </w:rPr>
      <w:fldChar w:fldCharType="begin"/>
    </w:r>
    <w:r w:rsidR="00006E4B">
      <w:rPr>
        <w:rStyle w:val="PageNumber"/>
      </w:rPr>
      <w:instrText xml:space="preserve">PAGE  </w:instrText>
    </w:r>
    <w:r>
      <w:rPr>
        <w:rStyle w:val="PageNumber"/>
      </w:rPr>
      <w:fldChar w:fldCharType="separate"/>
    </w:r>
    <w:r w:rsidR="00BF79E0">
      <w:rPr>
        <w:rStyle w:val="PageNumber"/>
        <w:noProof/>
      </w:rPr>
      <w:t>2</w:t>
    </w:r>
    <w:r>
      <w:rPr>
        <w:rStyle w:val="PageNumber"/>
      </w:rPr>
      <w:fldChar w:fldCharType="end"/>
    </w:r>
  </w:p>
  <w:p w14:paraId="25306490" w14:textId="77777777" w:rsidR="00082F84" w:rsidRDefault="00006E4B">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06491" w14:textId="77777777" w:rsidR="00082F84" w:rsidRDefault="00006E4B">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B40329" w14:textId="77777777" w:rsidR="00780359" w:rsidRDefault="00780359" w:rsidP="008561E7">
      <w:r>
        <w:separator/>
      </w:r>
    </w:p>
  </w:footnote>
  <w:footnote w:type="continuationSeparator" w:id="0">
    <w:p w14:paraId="7E9929C6" w14:textId="77777777" w:rsidR="00780359" w:rsidRDefault="00780359" w:rsidP="008561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8A30604"/>
    <w:multiLevelType w:val="hybridMultilevel"/>
    <w:tmpl w:val="071C17C6"/>
    <w:lvl w:ilvl="0" w:tplc="B26EA4E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rPr>
          <w:rFonts w:ascii="Symbol" w:hAnsi="Symbol" w:hint="default"/>
          <w:sz w:val="16"/>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E4B"/>
    <w:rsid w:val="000001FF"/>
    <w:rsid w:val="00006E4B"/>
    <w:rsid w:val="00010A88"/>
    <w:rsid w:val="00022E44"/>
    <w:rsid w:val="00024212"/>
    <w:rsid w:val="00041507"/>
    <w:rsid w:val="000C40FD"/>
    <w:rsid w:val="000D55D3"/>
    <w:rsid w:val="0011271C"/>
    <w:rsid w:val="00137924"/>
    <w:rsid w:val="001449AA"/>
    <w:rsid w:val="001B4A1E"/>
    <w:rsid w:val="00217878"/>
    <w:rsid w:val="00223321"/>
    <w:rsid w:val="002622E8"/>
    <w:rsid w:val="00295FA8"/>
    <w:rsid w:val="002B68ED"/>
    <w:rsid w:val="0030516E"/>
    <w:rsid w:val="00317379"/>
    <w:rsid w:val="00321990"/>
    <w:rsid w:val="00383225"/>
    <w:rsid w:val="003B18A3"/>
    <w:rsid w:val="003E50DD"/>
    <w:rsid w:val="00407CB3"/>
    <w:rsid w:val="00411C2A"/>
    <w:rsid w:val="0043033C"/>
    <w:rsid w:val="00456C00"/>
    <w:rsid w:val="0047061D"/>
    <w:rsid w:val="00484D2A"/>
    <w:rsid w:val="0049474D"/>
    <w:rsid w:val="004A2185"/>
    <w:rsid w:val="004B025B"/>
    <w:rsid w:val="004C2D6F"/>
    <w:rsid w:val="005224F2"/>
    <w:rsid w:val="005300B5"/>
    <w:rsid w:val="0057107D"/>
    <w:rsid w:val="005A3C74"/>
    <w:rsid w:val="006169A7"/>
    <w:rsid w:val="0062462A"/>
    <w:rsid w:val="00660C05"/>
    <w:rsid w:val="00692BF7"/>
    <w:rsid w:val="006B51D3"/>
    <w:rsid w:val="006C676E"/>
    <w:rsid w:val="006D37AC"/>
    <w:rsid w:val="006E75BC"/>
    <w:rsid w:val="007429CC"/>
    <w:rsid w:val="007678E0"/>
    <w:rsid w:val="00770BF5"/>
    <w:rsid w:val="00780359"/>
    <w:rsid w:val="007D0D67"/>
    <w:rsid w:val="008510BD"/>
    <w:rsid w:val="008561E7"/>
    <w:rsid w:val="00887F43"/>
    <w:rsid w:val="008C731B"/>
    <w:rsid w:val="008E342F"/>
    <w:rsid w:val="008F5B3D"/>
    <w:rsid w:val="009545E5"/>
    <w:rsid w:val="00961420"/>
    <w:rsid w:val="0098052E"/>
    <w:rsid w:val="009A71EE"/>
    <w:rsid w:val="009F05EE"/>
    <w:rsid w:val="009F7688"/>
    <w:rsid w:val="00A246D1"/>
    <w:rsid w:val="00A5274E"/>
    <w:rsid w:val="00A818B8"/>
    <w:rsid w:val="00A93E39"/>
    <w:rsid w:val="00AA64E8"/>
    <w:rsid w:val="00AB6358"/>
    <w:rsid w:val="00AC631E"/>
    <w:rsid w:val="00BA1F51"/>
    <w:rsid w:val="00BA6033"/>
    <w:rsid w:val="00BB2CFD"/>
    <w:rsid w:val="00BF7692"/>
    <w:rsid w:val="00BF79E0"/>
    <w:rsid w:val="00C1221C"/>
    <w:rsid w:val="00C73666"/>
    <w:rsid w:val="00CA6372"/>
    <w:rsid w:val="00CB1D5A"/>
    <w:rsid w:val="00CC7A5B"/>
    <w:rsid w:val="00CF266F"/>
    <w:rsid w:val="00D27A5E"/>
    <w:rsid w:val="00D33204"/>
    <w:rsid w:val="00D34A30"/>
    <w:rsid w:val="00D4362E"/>
    <w:rsid w:val="00DA1FC8"/>
    <w:rsid w:val="00E3351D"/>
    <w:rsid w:val="00E4484C"/>
    <w:rsid w:val="00E53B83"/>
    <w:rsid w:val="00E713C3"/>
    <w:rsid w:val="00E82C54"/>
    <w:rsid w:val="00EE6A3A"/>
    <w:rsid w:val="00F106AE"/>
    <w:rsid w:val="00F1189C"/>
    <w:rsid w:val="00FD2E77"/>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06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E4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06E4B"/>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6E4B"/>
    <w:rPr>
      <w:rFonts w:ascii="Helvetica" w:eastAsia="Times New Roman" w:hAnsi="Helvetica" w:cs="Times New Roman"/>
      <w:b/>
      <w:sz w:val="24"/>
      <w:szCs w:val="20"/>
    </w:rPr>
  </w:style>
  <w:style w:type="paragraph" w:styleId="Header">
    <w:name w:val="header"/>
    <w:basedOn w:val="Normal"/>
    <w:link w:val="HeaderChar"/>
    <w:semiHidden/>
    <w:rsid w:val="00006E4B"/>
    <w:pPr>
      <w:tabs>
        <w:tab w:val="center" w:pos="4320"/>
        <w:tab w:val="right" w:pos="8640"/>
      </w:tabs>
    </w:pPr>
  </w:style>
  <w:style w:type="character" w:customStyle="1" w:styleId="HeaderChar">
    <w:name w:val="Header Char"/>
    <w:basedOn w:val="DefaultParagraphFont"/>
    <w:link w:val="Header"/>
    <w:semiHidden/>
    <w:rsid w:val="00006E4B"/>
    <w:rPr>
      <w:rFonts w:ascii="Times New Roman" w:eastAsia="Times New Roman" w:hAnsi="Times New Roman" w:cs="Times New Roman"/>
      <w:sz w:val="20"/>
      <w:szCs w:val="20"/>
    </w:rPr>
  </w:style>
  <w:style w:type="paragraph" w:styleId="Footer">
    <w:name w:val="footer"/>
    <w:basedOn w:val="Normal"/>
    <w:link w:val="FooterChar"/>
    <w:semiHidden/>
    <w:rsid w:val="00006E4B"/>
    <w:pPr>
      <w:tabs>
        <w:tab w:val="center" w:pos="4320"/>
        <w:tab w:val="right" w:pos="8640"/>
      </w:tabs>
    </w:pPr>
  </w:style>
  <w:style w:type="character" w:customStyle="1" w:styleId="FooterChar">
    <w:name w:val="Footer Char"/>
    <w:basedOn w:val="DefaultParagraphFont"/>
    <w:link w:val="Footer"/>
    <w:semiHidden/>
    <w:rsid w:val="00006E4B"/>
    <w:rPr>
      <w:rFonts w:ascii="Times New Roman" w:eastAsia="Times New Roman" w:hAnsi="Times New Roman" w:cs="Times New Roman"/>
      <w:sz w:val="20"/>
      <w:szCs w:val="20"/>
    </w:rPr>
  </w:style>
  <w:style w:type="character" w:styleId="PageNumber">
    <w:name w:val="page number"/>
    <w:basedOn w:val="DefaultParagraphFont"/>
    <w:semiHidden/>
    <w:rsid w:val="00006E4B"/>
  </w:style>
  <w:style w:type="paragraph" w:styleId="BodyText">
    <w:name w:val="Body Text"/>
    <w:basedOn w:val="Normal"/>
    <w:link w:val="BodyTextChar"/>
    <w:semiHidden/>
    <w:rsid w:val="00006E4B"/>
    <w:pPr>
      <w:overflowPunct/>
      <w:autoSpaceDE/>
      <w:autoSpaceDN/>
      <w:adjustRightInd/>
      <w:textAlignment w:val="auto"/>
    </w:pPr>
    <w:rPr>
      <w:b/>
      <w:bCs/>
      <w:i/>
      <w:iCs/>
      <w:sz w:val="24"/>
      <w:szCs w:val="24"/>
    </w:rPr>
  </w:style>
  <w:style w:type="character" w:customStyle="1" w:styleId="BodyTextChar">
    <w:name w:val="Body Text Char"/>
    <w:basedOn w:val="DefaultParagraphFont"/>
    <w:link w:val="BodyText"/>
    <w:semiHidden/>
    <w:rsid w:val="00006E4B"/>
    <w:rPr>
      <w:rFonts w:ascii="Times New Roman" w:eastAsia="Times New Roman" w:hAnsi="Times New Roman" w:cs="Times New Roman"/>
      <w:b/>
      <w:bCs/>
      <w:i/>
      <w:iCs/>
      <w:sz w:val="24"/>
      <w:szCs w:val="24"/>
    </w:rPr>
  </w:style>
  <w:style w:type="paragraph" w:styleId="BodyTextIndent">
    <w:name w:val="Body Text Indent"/>
    <w:basedOn w:val="Normal"/>
    <w:link w:val="BodyTextIndentChar"/>
    <w:semiHidden/>
    <w:rsid w:val="00006E4B"/>
    <w:pPr>
      <w:overflowPunct/>
      <w:autoSpaceDE/>
      <w:autoSpaceDN/>
      <w:adjustRightInd/>
      <w:ind w:left="360"/>
      <w:textAlignment w:val="auto"/>
    </w:pPr>
    <w:rPr>
      <w:sz w:val="24"/>
      <w:szCs w:val="24"/>
    </w:rPr>
  </w:style>
  <w:style w:type="character" w:customStyle="1" w:styleId="BodyTextIndentChar">
    <w:name w:val="Body Text Indent Char"/>
    <w:basedOn w:val="DefaultParagraphFont"/>
    <w:link w:val="BodyTextIndent"/>
    <w:semiHidden/>
    <w:rsid w:val="00006E4B"/>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006E4B"/>
    <w:pPr>
      <w:ind w:left="360" w:hanging="360"/>
    </w:pPr>
    <w:rPr>
      <w:sz w:val="24"/>
    </w:rPr>
  </w:style>
  <w:style w:type="character" w:customStyle="1" w:styleId="BodyTextIndent2Char">
    <w:name w:val="Body Text Indent 2 Char"/>
    <w:basedOn w:val="DefaultParagraphFont"/>
    <w:link w:val="BodyTextIndent2"/>
    <w:semiHidden/>
    <w:rsid w:val="00006E4B"/>
    <w:rPr>
      <w:rFonts w:ascii="Times New Roman" w:eastAsia="Times New Roman" w:hAnsi="Times New Roman" w:cs="Times New Roman"/>
      <w:sz w:val="24"/>
      <w:szCs w:val="20"/>
    </w:rPr>
  </w:style>
  <w:style w:type="paragraph" w:styleId="BodyText2">
    <w:name w:val="Body Text 2"/>
    <w:basedOn w:val="Normal"/>
    <w:link w:val="BodyText2Char"/>
    <w:semiHidden/>
    <w:rsid w:val="00006E4B"/>
    <w:rPr>
      <w:color w:val="000000"/>
      <w:sz w:val="24"/>
    </w:rPr>
  </w:style>
  <w:style w:type="character" w:customStyle="1" w:styleId="BodyText2Char">
    <w:name w:val="Body Text 2 Char"/>
    <w:basedOn w:val="DefaultParagraphFont"/>
    <w:link w:val="BodyText2"/>
    <w:semiHidden/>
    <w:rsid w:val="00006E4B"/>
    <w:rPr>
      <w:rFonts w:ascii="Times New Roman" w:eastAsia="Times New Roman" w:hAnsi="Times New Roman" w:cs="Times New Roman"/>
      <w:color w:val="000000"/>
      <w:sz w:val="24"/>
      <w:szCs w:val="20"/>
    </w:rPr>
  </w:style>
  <w:style w:type="paragraph" w:styleId="BalloonText">
    <w:name w:val="Balloon Text"/>
    <w:basedOn w:val="Normal"/>
    <w:link w:val="BalloonTextChar"/>
    <w:uiPriority w:val="99"/>
    <w:semiHidden/>
    <w:unhideWhenUsed/>
    <w:rsid w:val="00217878"/>
    <w:rPr>
      <w:rFonts w:ascii="Tahoma" w:hAnsi="Tahoma" w:cs="Tahoma"/>
      <w:sz w:val="16"/>
      <w:szCs w:val="16"/>
    </w:rPr>
  </w:style>
  <w:style w:type="character" w:customStyle="1" w:styleId="BalloonTextChar">
    <w:name w:val="Balloon Text Char"/>
    <w:basedOn w:val="DefaultParagraphFont"/>
    <w:link w:val="BalloonText"/>
    <w:uiPriority w:val="99"/>
    <w:semiHidden/>
    <w:rsid w:val="00217878"/>
    <w:rPr>
      <w:rFonts w:ascii="Tahoma" w:eastAsia="Times New Roman" w:hAnsi="Tahoma" w:cs="Tahoma"/>
      <w:sz w:val="16"/>
      <w:szCs w:val="16"/>
    </w:rPr>
  </w:style>
  <w:style w:type="paragraph" w:styleId="ListParagraph">
    <w:name w:val="List Paragraph"/>
    <w:basedOn w:val="Normal"/>
    <w:uiPriority w:val="34"/>
    <w:qFormat/>
    <w:rsid w:val="008E342F"/>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E4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06E4B"/>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6E4B"/>
    <w:rPr>
      <w:rFonts w:ascii="Helvetica" w:eastAsia="Times New Roman" w:hAnsi="Helvetica" w:cs="Times New Roman"/>
      <w:b/>
      <w:sz w:val="24"/>
      <w:szCs w:val="20"/>
    </w:rPr>
  </w:style>
  <w:style w:type="paragraph" w:styleId="Header">
    <w:name w:val="header"/>
    <w:basedOn w:val="Normal"/>
    <w:link w:val="HeaderChar"/>
    <w:semiHidden/>
    <w:rsid w:val="00006E4B"/>
    <w:pPr>
      <w:tabs>
        <w:tab w:val="center" w:pos="4320"/>
        <w:tab w:val="right" w:pos="8640"/>
      </w:tabs>
    </w:pPr>
  </w:style>
  <w:style w:type="character" w:customStyle="1" w:styleId="HeaderChar">
    <w:name w:val="Header Char"/>
    <w:basedOn w:val="DefaultParagraphFont"/>
    <w:link w:val="Header"/>
    <w:semiHidden/>
    <w:rsid w:val="00006E4B"/>
    <w:rPr>
      <w:rFonts w:ascii="Times New Roman" w:eastAsia="Times New Roman" w:hAnsi="Times New Roman" w:cs="Times New Roman"/>
      <w:sz w:val="20"/>
      <w:szCs w:val="20"/>
    </w:rPr>
  </w:style>
  <w:style w:type="paragraph" w:styleId="Footer">
    <w:name w:val="footer"/>
    <w:basedOn w:val="Normal"/>
    <w:link w:val="FooterChar"/>
    <w:semiHidden/>
    <w:rsid w:val="00006E4B"/>
    <w:pPr>
      <w:tabs>
        <w:tab w:val="center" w:pos="4320"/>
        <w:tab w:val="right" w:pos="8640"/>
      </w:tabs>
    </w:pPr>
  </w:style>
  <w:style w:type="character" w:customStyle="1" w:styleId="FooterChar">
    <w:name w:val="Footer Char"/>
    <w:basedOn w:val="DefaultParagraphFont"/>
    <w:link w:val="Footer"/>
    <w:semiHidden/>
    <w:rsid w:val="00006E4B"/>
    <w:rPr>
      <w:rFonts w:ascii="Times New Roman" w:eastAsia="Times New Roman" w:hAnsi="Times New Roman" w:cs="Times New Roman"/>
      <w:sz w:val="20"/>
      <w:szCs w:val="20"/>
    </w:rPr>
  </w:style>
  <w:style w:type="character" w:styleId="PageNumber">
    <w:name w:val="page number"/>
    <w:basedOn w:val="DefaultParagraphFont"/>
    <w:semiHidden/>
    <w:rsid w:val="00006E4B"/>
  </w:style>
  <w:style w:type="paragraph" w:styleId="BodyText">
    <w:name w:val="Body Text"/>
    <w:basedOn w:val="Normal"/>
    <w:link w:val="BodyTextChar"/>
    <w:semiHidden/>
    <w:rsid w:val="00006E4B"/>
    <w:pPr>
      <w:overflowPunct/>
      <w:autoSpaceDE/>
      <w:autoSpaceDN/>
      <w:adjustRightInd/>
      <w:textAlignment w:val="auto"/>
    </w:pPr>
    <w:rPr>
      <w:b/>
      <w:bCs/>
      <w:i/>
      <w:iCs/>
      <w:sz w:val="24"/>
      <w:szCs w:val="24"/>
    </w:rPr>
  </w:style>
  <w:style w:type="character" w:customStyle="1" w:styleId="BodyTextChar">
    <w:name w:val="Body Text Char"/>
    <w:basedOn w:val="DefaultParagraphFont"/>
    <w:link w:val="BodyText"/>
    <w:semiHidden/>
    <w:rsid w:val="00006E4B"/>
    <w:rPr>
      <w:rFonts w:ascii="Times New Roman" w:eastAsia="Times New Roman" w:hAnsi="Times New Roman" w:cs="Times New Roman"/>
      <w:b/>
      <w:bCs/>
      <w:i/>
      <w:iCs/>
      <w:sz w:val="24"/>
      <w:szCs w:val="24"/>
    </w:rPr>
  </w:style>
  <w:style w:type="paragraph" w:styleId="BodyTextIndent">
    <w:name w:val="Body Text Indent"/>
    <w:basedOn w:val="Normal"/>
    <w:link w:val="BodyTextIndentChar"/>
    <w:semiHidden/>
    <w:rsid w:val="00006E4B"/>
    <w:pPr>
      <w:overflowPunct/>
      <w:autoSpaceDE/>
      <w:autoSpaceDN/>
      <w:adjustRightInd/>
      <w:ind w:left="360"/>
      <w:textAlignment w:val="auto"/>
    </w:pPr>
    <w:rPr>
      <w:sz w:val="24"/>
      <w:szCs w:val="24"/>
    </w:rPr>
  </w:style>
  <w:style w:type="character" w:customStyle="1" w:styleId="BodyTextIndentChar">
    <w:name w:val="Body Text Indent Char"/>
    <w:basedOn w:val="DefaultParagraphFont"/>
    <w:link w:val="BodyTextIndent"/>
    <w:semiHidden/>
    <w:rsid w:val="00006E4B"/>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006E4B"/>
    <w:pPr>
      <w:ind w:left="360" w:hanging="360"/>
    </w:pPr>
    <w:rPr>
      <w:sz w:val="24"/>
    </w:rPr>
  </w:style>
  <w:style w:type="character" w:customStyle="1" w:styleId="BodyTextIndent2Char">
    <w:name w:val="Body Text Indent 2 Char"/>
    <w:basedOn w:val="DefaultParagraphFont"/>
    <w:link w:val="BodyTextIndent2"/>
    <w:semiHidden/>
    <w:rsid w:val="00006E4B"/>
    <w:rPr>
      <w:rFonts w:ascii="Times New Roman" w:eastAsia="Times New Roman" w:hAnsi="Times New Roman" w:cs="Times New Roman"/>
      <w:sz w:val="24"/>
      <w:szCs w:val="20"/>
    </w:rPr>
  </w:style>
  <w:style w:type="paragraph" w:styleId="BodyText2">
    <w:name w:val="Body Text 2"/>
    <w:basedOn w:val="Normal"/>
    <w:link w:val="BodyText2Char"/>
    <w:semiHidden/>
    <w:rsid w:val="00006E4B"/>
    <w:rPr>
      <w:color w:val="000000"/>
      <w:sz w:val="24"/>
    </w:rPr>
  </w:style>
  <w:style w:type="character" w:customStyle="1" w:styleId="BodyText2Char">
    <w:name w:val="Body Text 2 Char"/>
    <w:basedOn w:val="DefaultParagraphFont"/>
    <w:link w:val="BodyText2"/>
    <w:semiHidden/>
    <w:rsid w:val="00006E4B"/>
    <w:rPr>
      <w:rFonts w:ascii="Times New Roman" w:eastAsia="Times New Roman" w:hAnsi="Times New Roman" w:cs="Times New Roman"/>
      <w:color w:val="000000"/>
      <w:sz w:val="24"/>
      <w:szCs w:val="20"/>
    </w:rPr>
  </w:style>
  <w:style w:type="paragraph" w:styleId="BalloonText">
    <w:name w:val="Balloon Text"/>
    <w:basedOn w:val="Normal"/>
    <w:link w:val="BalloonTextChar"/>
    <w:uiPriority w:val="99"/>
    <w:semiHidden/>
    <w:unhideWhenUsed/>
    <w:rsid w:val="00217878"/>
    <w:rPr>
      <w:rFonts w:ascii="Tahoma" w:hAnsi="Tahoma" w:cs="Tahoma"/>
      <w:sz w:val="16"/>
      <w:szCs w:val="16"/>
    </w:rPr>
  </w:style>
  <w:style w:type="character" w:customStyle="1" w:styleId="BalloonTextChar">
    <w:name w:val="Balloon Text Char"/>
    <w:basedOn w:val="DefaultParagraphFont"/>
    <w:link w:val="BalloonText"/>
    <w:uiPriority w:val="99"/>
    <w:semiHidden/>
    <w:rsid w:val="00217878"/>
    <w:rPr>
      <w:rFonts w:ascii="Tahoma" w:eastAsia="Times New Roman" w:hAnsi="Tahoma" w:cs="Tahoma"/>
      <w:sz w:val="16"/>
      <w:szCs w:val="16"/>
    </w:rPr>
  </w:style>
  <w:style w:type="paragraph" w:styleId="ListParagraph">
    <w:name w:val="List Paragraph"/>
    <w:basedOn w:val="Normal"/>
    <w:uiPriority w:val="34"/>
    <w:qFormat/>
    <w:rsid w:val="008E342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1750</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SYSTEM</cp:lastModifiedBy>
  <cp:revision>2</cp:revision>
  <cp:lastPrinted>2018-10-03T21:09:00Z</cp:lastPrinted>
  <dcterms:created xsi:type="dcterms:W3CDTF">2019-03-12T22:21:00Z</dcterms:created>
  <dcterms:modified xsi:type="dcterms:W3CDTF">2019-03-12T22:21:00Z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