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9E8EB" w14:textId="576F753E" w:rsidR="004E4021" w:rsidRDefault="004E4021" w:rsidP="00425578">
      <w:pPr>
        <w:jc w:val="center"/>
        <w:outlineLvl w:val="0"/>
        <w:rPr>
          <w:b/>
          <w:sz w:val="36"/>
          <w:szCs w:val="36"/>
        </w:rPr>
      </w:pPr>
      <w:bookmarkStart w:id="0" w:name="_GoBack"/>
      <w:bookmarkEnd w:id="0"/>
    </w:p>
    <w:p w14:paraId="2107AB92" w14:textId="77777777" w:rsidR="004E4021" w:rsidRDefault="004E4021">
      <w:pPr>
        <w:jc w:val="center"/>
        <w:rPr>
          <w:b/>
          <w:sz w:val="36"/>
          <w:szCs w:val="36"/>
        </w:rPr>
      </w:pPr>
    </w:p>
    <w:p w14:paraId="3E4DCD11" w14:textId="7ED2F92B" w:rsidR="00CB3528" w:rsidRDefault="00FC50C7">
      <w:pPr>
        <w:jc w:val="center"/>
        <w:rPr>
          <w:b/>
          <w:sz w:val="36"/>
          <w:szCs w:val="36"/>
        </w:rPr>
      </w:pPr>
      <w:r>
        <w:rPr>
          <w:b/>
          <w:sz w:val="36"/>
          <w:szCs w:val="36"/>
        </w:rPr>
        <w:t xml:space="preserve">Implementation </w:t>
      </w:r>
      <w:r w:rsidR="001C6A34">
        <w:rPr>
          <w:b/>
          <w:sz w:val="36"/>
          <w:szCs w:val="36"/>
        </w:rPr>
        <w:t xml:space="preserve">of the 2008 National Ambient Air </w:t>
      </w:r>
      <w:r>
        <w:rPr>
          <w:b/>
          <w:sz w:val="36"/>
          <w:szCs w:val="36"/>
        </w:rPr>
        <w:t>Quality Standard</w:t>
      </w:r>
      <w:r w:rsidR="001C6A34">
        <w:rPr>
          <w:b/>
          <w:sz w:val="36"/>
          <w:szCs w:val="36"/>
        </w:rPr>
        <w:t>s</w:t>
      </w:r>
      <w:r>
        <w:rPr>
          <w:b/>
          <w:sz w:val="36"/>
          <w:szCs w:val="36"/>
        </w:rPr>
        <w:t xml:space="preserve"> </w:t>
      </w:r>
      <w:r w:rsidR="001C6A34">
        <w:rPr>
          <w:b/>
          <w:sz w:val="36"/>
          <w:szCs w:val="36"/>
        </w:rPr>
        <w:t>for Ozone</w:t>
      </w:r>
      <w:r w:rsidR="002F5A5E">
        <w:rPr>
          <w:b/>
          <w:sz w:val="36"/>
          <w:szCs w:val="36"/>
        </w:rPr>
        <w:t>:</w:t>
      </w:r>
      <w:r>
        <w:rPr>
          <w:b/>
          <w:sz w:val="36"/>
          <w:szCs w:val="36"/>
        </w:rPr>
        <w:br/>
      </w:r>
      <w:r w:rsidR="008E2FB4">
        <w:rPr>
          <w:b/>
          <w:sz w:val="36"/>
          <w:szCs w:val="36"/>
        </w:rPr>
        <w:t xml:space="preserve"> State Implementation Plan R</w:t>
      </w:r>
      <w:r w:rsidR="001C6A34">
        <w:rPr>
          <w:b/>
          <w:sz w:val="36"/>
          <w:szCs w:val="36"/>
        </w:rPr>
        <w:t xml:space="preserve">equirements; </w:t>
      </w:r>
      <w:r w:rsidR="00CA4CC6">
        <w:rPr>
          <w:b/>
          <w:sz w:val="36"/>
          <w:szCs w:val="36"/>
        </w:rPr>
        <w:t>Information Collection Request Renewal</w:t>
      </w:r>
    </w:p>
    <w:p w14:paraId="18C1539F" w14:textId="4C759DA6" w:rsidR="00CA4CC6" w:rsidRDefault="00CA4CC6">
      <w:pPr>
        <w:jc w:val="center"/>
        <w:rPr>
          <w:b/>
          <w:sz w:val="36"/>
          <w:szCs w:val="36"/>
        </w:rPr>
      </w:pPr>
    </w:p>
    <w:p w14:paraId="572DC910" w14:textId="77777777" w:rsidR="00CA4CC6" w:rsidRDefault="00CA4CC6">
      <w:pPr>
        <w:jc w:val="center"/>
        <w:rPr>
          <w:b/>
          <w:sz w:val="36"/>
          <w:szCs w:val="36"/>
        </w:rPr>
      </w:pPr>
    </w:p>
    <w:p w14:paraId="3845FC81" w14:textId="77777777" w:rsidR="00CA4CC6" w:rsidRDefault="00CA4CC6" w:rsidP="00CA4CC6">
      <w:pPr>
        <w:jc w:val="center"/>
        <w:rPr>
          <w:b/>
          <w:sz w:val="36"/>
          <w:szCs w:val="36"/>
        </w:rPr>
      </w:pPr>
      <w:r>
        <w:rPr>
          <w:b/>
          <w:sz w:val="36"/>
          <w:szCs w:val="36"/>
        </w:rPr>
        <w:t xml:space="preserve">Supporting Statement </w:t>
      </w:r>
    </w:p>
    <w:p w14:paraId="1A8F358E" w14:textId="77777777" w:rsidR="00CA4CC6" w:rsidRDefault="00CA4CC6" w:rsidP="00425578">
      <w:pPr>
        <w:jc w:val="center"/>
        <w:outlineLvl w:val="0"/>
        <w:rPr>
          <w:b/>
          <w:sz w:val="36"/>
          <w:szCs w:val="36"/>
        </w:rPr>
      </w:pPr>
    </w:p>
    <w:p w14:paraId="49C0D486" w14:textId="7C8878CC" w:rsidR="00CB3528" w:rsidRDefault="00CB3528" w:rsidP="00425578">
      <w:pPr>
        <w:jc w:val="center"/>
        <w:outlineLvl w:val="0"/>
        <w:rPr>
          <w:b/>
          <w:sz w:val="36"/>
          <w:szCs w:val="36"/>
        </w:rPr>
      </w:pPr>
      <w:r>
        <w:rPr>
          <w:b/>
          <w:sz w:val="36"/>
          <w:szCs w:val="36"/>
        </w:rPr>
        <w:t xml:space="preserve">EPA ICR </w:t>
      </w:r>
      <w:r w:rsidR="008356E0">
        <w:rPr>
          <w:b/>
          <w:sz w:val="36"/>
          <w:szCs w:val="36"/>
        </w:rPr>
        <w:t># 23</w:t>
      </w:r>
      <w:r w:rsidR="00FC50C7">
        <w:rPr>
          <w:b/>
          <w:sz w:val="36"/>
          <w:szCs w:val="36"/>
        </w:rPr>
        <w:t>47</w:t>
      </w:r>
      <w:r w:rsidR="008356E0">
        <w:rPr>
          <w:b/>
          <w:sz w:val="36"/>
          <w:szCs w:val="36"/>
        </w:rPr>
        <w:t>.0</w:t>
      </w:r>
      <w:r w:rsidR="00FC50C7">
        <w:rPr>
          <w:b/>
          <w:sz w:val="36"/>
          <w:szCs w:val="36"/>
        </w:rPr>
        <w:t>3</w:t>
      </w:r>
    </w:p>
    <w:p w14:paraId="28842432" w14:textId="77777777" w:rsidR="00CA4CC6" w:rsidRDefault="00CA4CC6" w:rsidP="00CA4CC6">
      <w:pPr>
        <w:jc w:val="center"/>
        <w:outlineLvl w:val="0"/>
        <w:rPr>
          <w:b/>
          <w:sz w:val="36"/>
          <w:szCs w:val="36"/>
        </w:rPr>
      </w:pPr>
      <w:r>
        <w:rPr>
          <w:b/>
          <w:sz w:val="36"/>
          <w:szCs w:val="36"/>
        </w:rPr>
        <w:t>OMB Control #2060-0695</w:t>
      </w:r>
    </w:p>
    <w:p w14:paraId="05A6003C" w14:textId="253D5AD1" w:rsidR="00CB3528" w:rsidRDefault="00CA4CC6" w:rsidP="00CA4CC6">
      <w:pPr>
        <w:jc w:val="center"/>
        <w:rPr>
          <w:b/>
          <w:sz w:val="36"/>
          <w:szCs w:val="36"/>
        </w:rPr>
      </w:pPr>
      <w:r>
        <w:rPr>
          <w:b/>
          <w:sz w:val="36"/>
          <w:szCs w:val="36"/>
        </w:rPr>
        <w:t>Renewal</w:t>
      </w:r>
    </w:p>
    <w:p w14:paraId="4C63B252" w14:textId="77777777" w:rsidR="00CB3528" w:rsidRDefault="00CB3528">
      <w:pPr>
        <w:jc w:val="center"/>
        <w:rPr>
          <w:b/>
          <w:sz w:val="36"/>
          <w:szCs w:val="36"/>
        </w:rPr>
      </w:pPr>
    </w:p>
    <w:p w14:paraId="27BCDA4B" w14:textId="77777777" w:rsidR="00CB3528" w:rsidRDefault="00CB3528">
      <w:pPr>
        <w:jc w:val="center"/>
        <w:rPr>
          <w:b/>
          <w:sz w:val="36"/>
          <w:szCs w:val="36"/>
        </w:rPr>
      </w:pPr>
    </w:p>
    <w:p w14:paraId="130F354F" w14:textId="77777777" w:rsidR="00431F9C" w:rsidRDefault="00431F9C">
      <w:pPr>
        <w:jc w:val="center"/>
        <w:rPr>
          <w:b/>
          <w:sz w:val="36"/>
          <w:szCs w:val="36"/>
        </w:rPr>
      </w:pPr>
    </w:p>
    <w:p w14:paraId="497CC4CE" w14:textId="77777777" w:rsidR="00431F9C" w:rsidRDefault="00431F9C">
      <w:pPr>
        <w:jc w:val="center"/>
        <w:rPr>
          <w:b/>
          <w:sz w:val="36"/>
          <w:szCs w:val="36"/>
        </w:rPr>
      </w:pPr>
    </w:p>
    <w:p w14:paraId="5296FA03" w14:textId="77777777" w:rsidR="00431F9C" w:rsidRDefault="00431F9C">
      <w:pPr>
        <w:jc w:val="center"/>
        <w:rPr>
          <w:b/>
          <w:sz w:val="36"/>
          <w:szCs w:val="36"/>
        </w:rPr>
      </w:pPr>
    </w:p>
    <w:p w14:paraId="05022381" w14:textId="77777777" w:rsidR="00431F9C" w:rsidRDefault="00431F9C">
      <w:pPr>
        <w:jc w:val="center"/>
        <w:rPr>
          <w:b/>
          <w:sz w:val="36"/>
          <w:szCs w:val="36"/>
        </w:rPr>
      </w:pPr>
    </w:p>
    <w:p w14:paraId="3E18BA3F" w14:textId="77777777" w:rsidR="00431F9C" w:rsidRDefault="00431F9C">
      <w:pPr>
        <w:jc w:val="center"/>
        <w:rPr>
          <w:b/>
          <w:sz w:val="36"/>
          <w:szCs w:val="36"/>
        </w:rPr>
      </w:pPr>
    </w:p>
    <w:p w14:paraId="55ADC712" w14:textId="73532707" w:rsidR="00431F9C" w:rsidRDefault="002E641D">
      <w:pPr>
        <w:jc w:val="center"/>
        <w:rPr>
          <w:b/>
          <w:sz w:val="36"/>
          <w:szCs w:val="36"/>
        </w:rPr>
      </w:pPr>
      <w:r>
        <w:rPr>
          <w:b/>
          <w:sz w:val="36"/>
          <w:szCs w:val="36"/>
        </w:rPr>
        <w:t xml:space="preserve">December </w:t>
      </w:r>
      <w:r w:rsidR="004B3E73">
        <w:rPr>
          <w:b/>
          <w:sz w:val="36"/>
          <w:szCs w:val="36"/>
        </w:rPr>
        <w:t>21</w:t>
      </w:r>
      <w:r w:rsidR="00CA4CC6">
        <w:rPr>
          <w:b/>
          <w:sz w:val="36"/>
          <w:szCs w:val="36"/>
        </w:rPr>
        <w:t>, 2017</w:t>
      </w:r>
    </w:p>
    <w:p w14:paraId="06BAE29F" w14:textId="77777777" w:rsidR="00431F9C" w:rsidRDefault="00431F9C">
      <w:pPr>
        <w:jc w:val="center"/>
        <w:rPr>
          <w:b/>
          <w:sz w:val="36"/>
          <w:szCs w:val="36"/>
        </w:rPr>
      </w:pPr>
    </w:p>
    <w:p w14:paraId="4A94A283" w14:textId="77777777" w:rsidR="00CB3528" w:rsidRDefault="00CB3528">
      <w:pPr>
        <w:jc w:val="center"/>
        <w:rPr>
          <w:b/>
          <w:sz w:val="36"/>
          <w:szCs w:val="36"/>
        </w:rPr>
      </w:pPr>
    </w:p>
    <w:p w14:paraId="432B50A2" w14:textId="77777777" w:rsidR="00CB3528" w:rsidRDefault="00CB3528">
      <w:pPr>
        <w:jc w:val="center"/>
        <w:rPr>
          <w:b/>
          <w:sz w:val="36"/>
          <w:szCs w:val="36"/>
        </w:rPr>
      </w:pPr>
    </w:p>
    <w:p w14:paraId="6FC136E8" w14:textId="77777777" w:rsidR="00CB3528" w:rsidRDefault="00CB3528" w:rsidP="00425578">
      <w:pPr>
        <w:jc w:val="center"/>
        <w:outlineLvl w:val="0"/>
        <w:rPr>
          <w:b/>
          <w:sz w:val="32"/>
          <w:szCs w:val="32"/>
        </w:rPr>
      </w:pPr>
      <w:r>
        <w:rPr>
          <w:b/>
          <w:sz w:val="32"/>
          <w:szCs w:val="32"/>
        </w:rPr>
        <w:t>Prepared by:</w:t>
      </w:r>
    </w:p>
    <w:p w14:paraId="62645D3D" w14:textId="77777777" w:rsidR="00CB3528" w:rsidRDefault="00CB3528">
      <w:pPr>
        <w:jc w:val="center"/>
        <w:rPr>
          <w:b/>
          <w:sz w:val="32"/>
          <w:szCs w:val="32"/>
        </w:rPr>
      </w:pPr>
    </w:p>
    <w:p w14:paraId="3F59C9D9" w14:textId="77777777" w:rsidR="00CB3528" w:rsidRDefault="00CB3528" w:rsidP="00425578">
      <w:pPr>
        <w:jc w:val="center"/>
        <w:outlineLvl w:val="0"/>
        <w:rPr>
          <w:b/>
          <w:sz w:val="32"/>
          <w:szCs w:val="32"/>
        </w:rPr>
      </w:pPr>
      <w:r>
        <w:rPr>
          <w:b/>
          <w:sz w:val="32"/>
          <w:szCs w:val="32"/>
        </w:rPr>
        <w:t xml:space="preserve">Office of Air Quality Planning and Standards </w:t>
      </w:r>
    </w:p>
    <w:p w14:paraId="72A157C1" w14:textId="77777777" w:rsidR="00CB3528" w:rsidRDefault="00CB3528">
      <w:pPr>
        <w:jc w:val="center"/>
        <w:rPr>
          <w:b/>
          <w:sz w:val="32"/>
          <w:szCs w:val="32"/>
        </w:rPr>
      </w:pPr>
      <w:r>
        <w:rPr>
          <w:b/>
          <w:sz w:val="32"/>
          <w:szCs w:val="32"/>
        </w:rPr>
        <w:t>Office of Air and Radiation</w:t>
      </w:r>
    </w:p>
    <w:p w14:paraId="32B083B8" w14:textId="77777777" w:rsidR="00CB3528" w:rsidRDefault="00CB3528">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14:paraId="38BA0662" w14:textId="77777777" w:rsidR="00CB3528" w:rsidRDefault="00CB3528">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14:paraId="53939D97" w14:textId="77777777" w:rsidR="00CB3528" w:rsidRDefault="00CB3528">
      <w:pPr>
        <w:jc w:val="center"/>
        <w:rPr>
          <w:b/>
          <w:sz w:val="32"/>
          <w:szCs w:val="32"/>
        </w:rPr>
      </w:pPr>
    </w:p>
    <w:p w14:paraId="61118857" w14:textId="77777777" w:rsidR="00CB3528" w:rsidRDefault="00CB3528">
      <w:pPr>
        <w:jc w:val="center"/>
        <w:rPr>
          <w:b/>
          <w:sz w:val="32"/>
          <w:szCs w:val="32"/>
        </w:rPr>
      </w:pPr>
    </w:p>
    <w:p w14:paraId="78A84D51" w14:textId="77777777" w:rsidR="00CB3528" w:rsidRDefault="00CB3528">
      <w:pPr>
        <w:jc w:val="center"/>
        <w:rPr>
          <w:b/>
          <w:sz w:val="32"/>
          <w:szCs w:val="32"/>
        </w:rPr>
      </w:pPr>
    </w:p>
    <w:p w14:paraId="6BAB02DA" w14:textId="77777777" w:rsidR="00CB3528" w:rsidRDefault="00CB3528">
      <w:pPr>
        <w:jc w:val="center"/>
        <w:rPr>
          <w:b/>
          <w:sz w:val="32"/>
          <w:szCs w:val="32"/>
        </w:rPr>
      </w:pPr>
    </w:p>
    <w:p w14:paraId="1A994ABA" w14:textId="77777777" w:rsidR="00CB3528" w:rsidRDefault="00CB3528">
      <w:pPr>
        <w:jc w:val="center"/>
        <w:rPr>
          <w:b/>
          <w:sz w:val="32"/>
          <w:szCs w:val="32"/>
        </w:rPr>
      </w:pPr>
    </w:p>
    <w:p w14:paraId="05D479D8" w14:textId="77777777" w:rsidR="00CB3528" w:rsidRDefault="00CB3528">
      <w:pPr>
        <w:jc w:val="center"/>
        <w:rPr>
          <w:b/>
          <w:sz w:val="32"/>
          <w:szCs w:val="32"/>
        </w:rPr>
      </w:pPr>
    </w:p>
    <w:p w14:paraId="435316C1" w14:textId="77777777" w:rsidR="00CB3528" w:rsidRDefault="00CB3528" w:rsidP="00425578">
      <w:pPr>
        <w:jc w:val="center"/>
        <w:outlineLvl w:val="0"/>
        <w:rPr>
          <w:b/>
          <w:sz w:val="32"/>
          <w:szCs w:val="32"/>
        </w:rPr>
      </w:pPr>
      <w:r>
        <w:rPr>
          <w:b/>
          <w:sz w:val="32"/>
          <w:szCs w:val="32"/>
        </w:rPr>
        <w:t>Table of Contents</w:t>
      </w:r>
    </w:p>
    <w:p w14:paraId="659CC84C" w14:textId="77777777" w:rsidR="00CB3528" w:rsidRDefault="00CB3528">
      <w:pPr>
        <w:jc w:val="center"/>
        <w:rPr>
          <w:b/>
          <w:sz w:val="32"/>
          <w:szCs w:val="32"/>
        </w:rPr>
      </w:pPr>
    </w:p>
    <w:p w14:paraId="4ABCF1D0" w14:textId="77777777" w:rsidR="00CB3528" w:rsidRDefault="00CB3528">
      <w:pPr>
        <w:jc w:val="center"/>
        <w:rPr>
          <w:b/>
          <w:sz w:val="32"/>
          <w:szCs w:val="32"/>
        </w:rPr>
      </w:pPr>
    </w:p>
    <w:p w14:paraId="4D95891C" w14:textId="77777777" w:rsidR="00CB3528" w:rsidRDefault="00CB3528" w:rsidP="00756E81">
      <w:pPr>
        <w:numPr>
          <w:ilvl w:val="0"/>
          <w:numId w:val="3"/>
        </w:numPr>
        <w:tabs>
          <w:tab w:val="clear" w:pos="1080"/>
          <w:tab w:val="num" w:pos="360"/>
        </w:tabs>
      </w:pPr>
      <w:r>
        <w:t xml:space="preserve">Identification of the Renewal Information Collection Request………page </w:t>
      </w:r>
      <w:r w:rsidR="000F6A4C">
        <w:t>1</w:t>
      </w:r>
    </w:p>
    <w:p w14:paraId="7CB9DB1F" w14:textId="77777777" w:rsidR="00CB3528" w:rsidRDefault="00CB3528"/>
    <w:p w14:paraId="0118404F" w14:textId="77777777" w:rsidR="00CB3528" w:rsidRDefault="00CB3528"/>
    <w:p w14:paraId="1A67B68C" w14:textId="77777777" w:rsidR="00CB3528" w:rsidRDefault="00CB3528"/>
    <w:p w14:paraId="17D2D3E8" w14:textId="77777777" w:rsidR="00CB3528" w:rsidRDefault="00CB3528" w:rsidP="00756E81">
      <w:pPr>
        <w:numPr>
          <w:ilvl w:val="0"/>
          <w:numId w:val="3"/>
        </w:numPr>
        <w:tabs>
          <w:tab w:val="clear" w:pos="1080"/>
          <w:tab w:val="num" w:pos="720"/>
        </w:tabs>
      </w:pPr>
      <w:r>
        <w:t xml:space="preserve">Need for and Use of the </w:t>
      </w:r>
      <w:r w:rsidR="00EA41D4">
        <w:t xml:space="preserve">Collection…………………………………...page </w:t>
      </w:r>
      <w:r w:rsidR="00F13A11">
        <w:t>3</w:t>
      </w:r>
    </w:p>
    <w:p w14:paraId="0E182F5B" w14:textId="77777777" w:rsidR="00CB3528" w:rsidRDefault="00CB3528"/>
    <w:p w14:paraId="50DD7D81" w14:textId="77777777" w:rsidR="00CB3528" w:rsidRDefault="00CB3528"/>
    <w:p w14:paraId="5C248BFA" w14:textId="77777777" w:rsidR="00CB3528" w:rsidRDefault="00CB3528"/>
    <w:p w14:paraId="011ACA58" w14:textId="6392C888" w:rsidR="00CB3528" w:rsidRDefault="00CB3528" w:rsidP="00756E81">
      <w:pPr>
        <w:numPr>
          <w:ilvl w:val="0"/>
          <w:numId w:val="3"/>
        </w:numPr>
        <w:tabs>
          <w:tab w:val="clear" w:pos="1080"/>
          <w:tab w:val="num" w:pos="720"/>
        </w:tabs>
      </w:pPr>
      <w:r>
        <w:t>Non-Duplication, Consultation, and other Collection Criteria……… page</w:t>
      </w:r>
      <w:r w:rsidR="000F6A4C">
        <w:t xml:space="preserve"> </w:t>
      </w:r>
      <w:r w:rsidR="002B023C">
        <w:t>4</w:t>
      </w:r>
    </w:p>
    <w:p w14:paraId="7BD1413F" w14:textId="77777777" w:rsidR="00CB3528" w:rsidRDefault="00CB3528"/>
    <w:p w14:paraId="25C0FF55" w14:textId="77777777" w:rsidR="00CB3528" w:rsidRDefault="00CB3528"/>
    <w:p w14:paraId="78101F0A" w14:textId="77777777" w:rsidR="00CB3528" w:rsidRDefault="00CB3528"/>
    <w:p w14:paraId="1D83C78F" w14:textId="1123ED24" w:rsidR="00CB3528" w:rsidRDefault="00CB3528" w:rsidP="00756E81">
      <w:pPr>
        <w:numPr>
          <w:ilvl w:val="0"/>
          <w:numId w:val="3"/>
        </w:numPr>
        <w:tabs>
          <w:tab w:val="clear" w:pos="1080"/>
          <w:tab w:val="num" w:pos="720"/>
        </w:tabs>
      </w:pPr>
      <w:r>
        <w:t xml:space="preserve">Respondents and the Information Requested…………………………page </w:t>
      </w:r>
      <w:r w:rsidR="002B023C">
        <w:t>8</w:t>
      </w:r>
    </w:p>
    <w:p w14:paraId="638B756A" w14:textId="77777777" w:rsidR="00CB3528" w:rsidRDefault="00CB3528"/>
    <w:p w14:paraId="782453BF" w14:textId="77777777" w:rsidR="00CB3528" w:rsidRDefault="00CB3528"/>
    <w:p w14:paraId="24ADCA56" w14:textId="77777777" w:rsidR="00CB3528" w:rsidRDefault="00CB3528"/>
    <w:p w14:paraId="3A381A23" w14:textId="6D1715E7" w:rsidR="00CB3528" w:rsidRDefault="00CB3528" w:rsidP="00756E81">
      <w:pPr>
        <w:numPr>
          <w:ilvl w:val="0"/>
          <w:numId w:val="3"/>
        </w:numPr>
        <w:tabs>
          <w:tab w:val="clear" w:pos="1080"/>
          <w:tab w:val="num" w:pos="720"/>
        </w:tabs>
      </w:pPr>
      <w:r>
        <w:t>Information Collected—Agency Activities, Collection Methodology and Information Mana</w:t>
      </w:r>
      <w:r w:rsidR="00EA41D4">
        <w:t>gement…………………………………………</w:t>
      </w:r>
      <w:r w:rsidR="009E2F0A">
        <w:t>…………...</w:t>
      </w:r>
      <w:r w:rsidR="00EA41D4">
        <w:t xml:space="preserve">…..page </w:t>
      </w:r>
      <w:r w:rsidR="002B023C">
        <w:t>13</w:t>
      </w:r>
    </w:p>
    <w:p w14:paraId="154F82D7" w14:textId="77777777" w:rsidR="00CB3528" w:rsidRDefault="00CB3528"/>
    <w:p w14:paraId="265B2895" w14:textId="77777777" w:rsidR="00CB3528" w:rsidRDefault="00CB3528"/>
    <w:p w14:paraId="123091A1" w14:textId="77777777" w:rsidR="00CB3528" w:rsidRDefault="00CB3528"/>
    <w:p w14:paraId="6C4F9B7C" w14:textId="695E3AD6" w:rsidR="00CB3528" w:rsidRDefault="00CB3528" w:rsidP="00756E81">
      <w:pPr>
        <w:numPr>
          <w:ilvl w:val="0"/>
          <w:numId w:val="3"/>
        </w:numPr>
        <w:tabs>
          <w:tab w:val="clear" w:pos="1080"/>
          <w:tab w:val="num" w:pos="720"/>
        </w:tabs>
      </w:pPr>
      <w:r>
        <w:t xml:space="preserve">Estimating the Burden and Cost of the Collection……………………page </w:t>
      </w:r>
      <w:r w:rsidR="002B023C">
        <w:t>14</w:t>
      </w:r>
    </w:p>
    <w:p w14:paraId="450CE79F" w14:textId="77777777" w:rsidR="00CB3528" w:rsidRDefault="00CB3528">
      <w:pPr>
        <w:ind w:left="360"/>
      </w:pPr>
    </w:p>
    <w:p w14:paraId="1B1E971B" w14:textId="77777777" w:rsidR="001E3008" w:rsidRDefault="001E3008">
      <w:pPr>
        <w:ind w:left="360"/>
        <w:sectPr w:rsidR="001E3008" w:rsidSect="009E2F0A">
          <w:footerReference w:type="even" r:id="rId9"/>
          <w:footerReference w:type="default" r:id="rId10"/>
          <w:pgSz w:w="12240" w:h="15840"/>
          <w:pgMar w:top="1440" w:right="1440" w:bottom="1440" w:left="1440" w:header="720" w:footer="720" w:gutter="0"/>
          <w:cols w:space="720"/>
          <w:docGrid w:linePitch="360"/>
        </w:sectPr>
      </w:pPr>
    </w:p>
    <w:p w14:paraId="7F97A033" w14:textId="0AB223FF" w:rsidR="00CB3528" w:rsidRDefault="00CB3528" w:rsidP="00756E81">
      <w:pPr>
        <w:numPr>
          <w:ilvl w:val="0"/>
          <w:numId w:val="4"/>
        </w:numPr>
        <w:tabs>
          <w:tab w:val="clear" w:pos="1440"/>
          <w:tab w:val="num" w:pos="1080"/>
        </w:tabs>
        <w:rPr>
          <w:b/>
          <w:sz w:val="28"/>
          <w:szCs w:val="28"/>
        </w:rPr>
      </w:pPr>
      <w:r>
        <w:rPr>
          <w:b/>
          <w:sz w:val="28"/>
          <w:szCs w:val="28"/>
        </w:rPr>
        <w:lastRenderedPageBreak/>
        <w:t xml:space="preserve">Identification of the </w:t>
      </w:r>
      <w:r w:rsidR="002B023C">
        <w:rPr>
          <w:b/>
          <w:sz w:val="28"/>
          <w:szCs w:val="28"/>
        </w:rPr>
        <w:t xml:space="preserve">Renewal </w:t>
      </w:r>
      <w:r>
        <w:rPr>
          <w:b/>
          <w:sz w:val="28"/>
          <w:szCs w:val="28"/>
        </w:rPr>
        <w:t>Information Collection Request</w:t>
      </w:r>
    </w:p>
    <w:p w14:paraId="76E9C9F9" w14:textId="77777777" w:rsidR="00CB3528" w:rsidRDefault="00CB3528">
      <w:pPr>
        <w:ind w:left="360"/>
        <w:rPr>
          <w:b/>
          <w:sz w:val="28"/>
          <w:szCs w:val="28"/>
        </w:rPr>
      </w:pPr>
    </w:p>
    <w:p w14:paraId="01F642A2" w14:textId="77777777" w:rsidR="00CB3528" w:rsidRDefault="00CB3528">
      <w:pPr>
        <w:ind w:left="360"/>
        <w:rPr>
          <w:b/>
        </w:rPr>
      </w:pPr>
      <w:r>
        <w:rPr>
          <w:b/>
        </w:rPr>
        <w:t>1(a)</w:t>
      </w:r>
      <w:r>
        <w:rPr>
          <w:b/>
        </w:rPr>
        <w:tab/>
        <w:t>Title of the Information Collection</w:t>
      </w:r>
    </w:p>
    <w:p w14:paraId="5F66E6FD" w14:textId="77777777" w:rsidR="00CB3528" w:rsidRDefault="00CB3528">
      <w:pPr>
        <w:ind w:left="360"/>
        <w:rPr>
          <w:b/>
        </w:rPr>
      </w:pPr>
    </w:p>
    <w:p w14:paraId="09B86337" w14:textId="0256BB21" w:rsidR="00CB3528" w:rsidRDefault="00CB3528">
      <w:pPr>
        <w:ind w:left="360"/>
      </w:pPr>
      <w:r>
        <w:rPr>
          <w:b/>
        </w:rPr>
        <w:tab/>
      </w:r>
      <w:r>
        <w:t>The title of the Information Collection Request</w:t>
      </w:r>
      <w:r w:rsidR="00470529">
        <w:t xml:space="preserve"> (ICR)</w:t>
      </w:r>
      <w:r w:rsidR="00BE1787">
        <w:t xml:space="preserve"> renewal</w:t>
      </w:r>
      <w:r>
        <w:t xml:space="preserve"> is </w:t>
      </w:r>
      <w:r w:rsidR="00BE1787">
        <w:rPr>
          <w:i/>
        </w:rPr>
        <w:t xml:space="preserve">Agency Information Collection Activities; Comment Request; </w:t>
      </w:r>
      <w:r w:rsidR="008E2FB4" w:rsidRPr="00435478">
        <w:rPr>
          <w:i/>
        </w:rPr>
        <w:t>2008</w:t>
      </w:r>
      <w:r w:rsidRPr="00435478">
        <w:rPr>
          <w:i/>
        </w:rPr>
        <w:t xml:space="preserve"> National Ambient Air Quality Standard</w:t>
      </w:r>
      <w:r w:rsidR="008E2FB4" w:rsidRPr="00435478">
        <w:rPr>
          <w:i/>
        </w:rPr>
        <w:t xml:space="preserve">s State </w:t>
      </w:r>
      <w:r w:rsidRPr="00435478">
        <w:rPr>
          <w:i/>
        </w:rPr>
        <w:t>Implementation</w:t>
      </w:r>
      <w:r w:rsidR="008E2FB4" w:rsidRPr="00435478">
        <w:rPr>
          <w:i/>
        </w:rPr>
        <w:t xml:space="preserve"> Plan Requirements</w:t>
      </w:r>
      <w:r w:rsidR="000F6A4C">
        <w:t xml:space="preserve"> (Renewal)</w:t>
      </w:r>
      <w:r>
        <w:t xml:space="preserve">, </w:t>
      </w:r>
      <w:r w:rsidR="00EE3452">
        <w:t xml:space="preserve">Environmental Protection Agency (EPA) </w:t>
      </w:r>
      <w:r w:rsidR="003C20A6">
        <w:t xml:space="preserve">ICR </w:t>
      </w:r>
      <w:r>
        <w:t xml:space="preserve">number </w:t>
      </w:r>
      <w:r w:rsidR="008356E0">
        <w:t>23</w:t>
      </w:r>
      <w:r w:rsidR="00FC50C7">
        <w:t>47</w:t>
      </w:r>
      <w:r w:rsidR="008356E0">
        <w:t>.0</w:t>
      </w:r>
      <w:r w:rsidR="00FC50C7">
        <w:t>3</w:t>
      </w:r>
      <w:r w:rsidR="00EE3452">
        <w:t xml:space="preserve">, Office of Management and Budget (OMB) </w:t>
      </w:r>
      <w:r w:rsidR="003C20A6">
        <w:t xml:space="preserve">Control </w:t>
      </w:r>
      <w:r w:rsidR="00EE3452">
        <w:t>number 2060-0</w:t>
      </w:r>
      <w:r w:rsidR="00FC50C7">
        <w:t>69</w:t>
      </w:r>
      <w:r w:rsidR="00EE3452">
        <w:t>5</w:t>
      </w:r>
      <w:r w:rsidR="0006111D">
        <w:t>.</w:t>
      </w:r>
    </w:p>
    <w:p w14:paraId="01C2DD4C" w14:textId="77777777" w:rsidR="00CB3528" w:rsidRDefault="00CB3528">
      <w:pPr>
        <w:ind w:left="360"/>
      </w:pPr>
    </w:p>
    <w:p w14:paraId="2BB05572" w14:textId="77777777" w:rsidR="00CB3528" w:rsidRDefault="00CB3528">
      <w:pPr>
        <w:ind w:left="360"/>
        <w:rPr>
          <w:b/>
        </w:rPr>
      </w:pPr>
      <w:r>
        <w:rPr>
          <w:b/>
        </w:rPr>
        <w:t>1(b)</w:t>
      </w:r>
      <w:r>
        <w:rPr>
          <w:b/>
        </w:rPr>
        <w:tab/>
        <w:t>Abstract/Executive Summary</w:t>
      </w:r>
    </w:p>
    <w:p w14:paraId="26CAD008" w14:textId="77777777" w:rsidR="00CB3528" w:rsidRDefault="00CB3528">
      <w:pPr>
        <w:ind w:left="360"/>
        <w:rPr>
          <w:b/>
        </w:rPr>
      </w:pPr>
    </w:p>
    <w:p w14:paraId="4D9B96AD" w14:textId="20535ED5" w:rsidR="00ED7E06" w:rsidRDefault="00CB3528" w:rsidP="00ED7E06">
      <w:pPr>
        <w:ind w:left="360"/>
      </w:pPr>
      <w:r>
        <w:tab/>
        <w:t xml:space="preserve">The Paperwork Reduction Act </w:t>
      </w:r>
      <w:r w:rsidR="004D5384">
        <w:t xml:space="preserve">(PRA) </w:t>
      </w:r>
      <w:r>
        <w:t xml:space="preserve">requires the information found in this Information Collection Request (ICR) </w:t>
      </w:r>
      <w:r w:rsidR="0006111D">
        <w:t xml:space="preserve">number </w:t>
      </w:r>
      <w:r w:rsidR="008356E0" w:rsidRPr="00E841AF">
        <w:t>23</w:t>
      </w:r>
      <w:r w:rsidR="00FC50C7">
        <w:t>47</w:t>
      </w:r>
      <w:r w:rsidR="008356E0" w:rsidRPr="00E841AF">
        <w:t>.</w:t>
      </w:r>
      <w:r w:rsidR="00E841AF" w:rsidRPr="00E841AF">
        <w:t>0</w:t>
      </w:r>
      <w:r w:rsidR="00FC50C7">
        <w:t>3</w:t>
      </w:r>
      <w:r w:rsidR="0006111D">
        <w:t xml:space="preserve">, </w:t>
      </w:r>
      <w:r>
        <w:t xml:space="preserve">to assess the burden (in hours and dollars) of the </w:t>
      </w:r>
      <w:r w:rsidR="00AF4C6D">
        <w:rPr>
          <w:i/>
        </w:rPr>
        <w:t>“</w:t>
      </w:r>
      <w:r w:rsidR="00FC50C7" w:rsidRPr="00680881">
        <w:rPr>
          <w:i/>
        </w:rPr>
        <w:t xml:space="preserve">Implementation of the 2008 </w:t>
      </w:r>
      <w:r w:rsidR="00BA705E" w:rsidRPr="00680881">
        <w:rPr>
          <w:i/>
        </w:rPr>
        <w:t>N</w:t>
      </w:r>
      <w:r w:rsidR="003460D9">
        <w:rPr>
          <w:i/>
        </w:rPr>
        <w:t xml:space="preserve">ational </w:t>
      </w:r>
      <w:r w:rsidR="00BA705E" w:rsidRPr="00680881">
        <w:rPr>
          <w:i/>
        </w:rPr>
        <w:t>A</w:t>
      </w:r>
      <w:r w:rsidR="003460D9">
        <w:rPr>
          <w:i/>
        </w:rPr>
        <w:t xml:space="preserve">mbient </w:t>
      </w:r>
      <w:r w:rsidR="00BA705E" w:rsidRPr="00680881">
        <w:rPr>
          <w:i/>
        </w:rPr>
        <w:t>A</w:t>
      </w:r>
      <w:r w:rsidR="003460D9">
        <w:rPr>
          <w:i/>
        </w:rPr>
        <w:t xml:space="preserve">ir </w:t>
      </w:r>
      <w:r w:rsidR="00BA705E" w:rsidRPr="00680881">
        <w:rPr>
          <w:i/>
        </w:rPr>
        <w:t>Q</w:t>
      </w:r>
      <w:r w:rsidR="003460D9">
        <w:rPr>
          <w:i/>
        </w:rPr>
        <w:t xml:space="preserve">uality </w:t>
      </w:r>
      <w:r w:rsidR="00BA705E" w:rsidRPr="00680881">
        <w:rPr>
          <w:i/>
        </w:rPr>
        <w:t>S</w:t>
      </w:r>
      <w:r w:rsidR="003460D9">
        <w:rPr>
          <w:i/>
        </w:rPr>
        <w:t>tandards</w:t>
      </w:r>
      <w:r w:rsidRPr="00680881">
        <w:rPr>
          <w:i/>
        </w:rPr>
        <w:t xml:space="preserve"> </w:t>
      </w:r>
      <w:r w:rsidR="00FC50C7" w:rsidRPr="00680881">
        <w:rPr>
          <w:i/>
        </w:rPr>
        <w:t>for Ozone</w:t>
      </w:r>
      <w:r w:rsidR="003460D9">
        <w:rPr>
          <w:i/>
        </w:rPr>
        <w:t>:</w:t>
      </w:r>
      <w:r w:rsidR="001C6A34" w:rsidRPr="00680881">
        <w:rPr>
          <w:i/>
        </w:rPr>
        <w:t xml:space="preserve"> </w:t>
      </w:r>
      <w:r w:rsidR="00141774" w:rsidRPr="00680881">
        <w:rPr>
          <w:i/>
        </w:rPr>
        <w:t>State Implementation Plan (</w:t>
      </w:r>
      <w:r w:rsidR="001C6A34" w:rsidRPr="00680881">
        <w:rPr>
          <w:i/>
        </w:rPr>
        <w:t>SIP</w:t>
      </w:r>
      <w:r w:rsidR="00141774" w:rsidRPr="00680881">
        <w:rPr>
          <w:i/>
        </w:rPr>
        <w:t>)</w:t>
      </w:r>
      <w:r w:rsidR="001C6A34" w:rsidRPr="00680881">
        <w:rPr>
          <w:i/>
        </w:rPr>
        <w:t xml:space="preserve"> Requirements</w:t>
      </w:r>
      <w:r w:rsidR="003460D9">
        <w:rPr>
          <w:i/>
        </w:rPr>
        <w:t>;</w:t>
      </w:r>
      <w:r w:rsidR="001503E8" w:rsidRPr="00680881">
        <w:rPr>
          <w:i/>
        </w:rPr>
        <w:t xml:space="preserve"> Final</w:t>
      </w:r>
      <w:r w:rsidR="001C6A34" w:rsidRPr="00680881">
        <w:rPr>
          <w:i/>
        </w:rPr>
        <w:t xml:space="preserve"> Rule</w:t>
      </w:r>
      <w:r w:rsidR="001C6A34">
        <w:t>,</w:t>
      </w:r>
      <w:r w:rsidR="003460D9">
        <w:t>”</w:t>
      </w:r>
      <w:r>
        <w:t xml:space="preserve"> </w:t>
      </w:r>
      <w:r w:rsidR="003460D9">
        <w:t>including any</w:t>
      </w:r>
      <w:r>
        <w:t xml:space="preserve"> periodic reporting and record keeping </w:t>
      </w:r>
      <w:r w:rsidR="003460D9">
        <w:t>required under</w:t>
      </w:r>
      <w:r>
        <w:t xml:space="preserve"> the rule. </w:t>
      </w:r>
      <w:r w:rsidR="00ED7E06">
        <w:t xml:space="preserve">The rule was proposed </w:t>
      </w:r>
      <w:r w:rsidR="00690298">
        <w:t>on June 6, 2013 (78 FR 34178)</w:t>
      </w:r>
      <w:r w:rsidR="00ED7E06" w:rsidRPr="00EE3452">
        <w:t xml:space="preserve"> and promulgated </w:t>
      </w:r>
      <w:r w:rsidR="00690298">
        <w:t xml:space="preserve">on March 6, 2015 </w:t>
      </w:r>
      <w:r w:rsidR="00ED7E06" w:rsidRPr="00EE3452">
        <w:t>(</w:t>
      </w:r>
      <w:r w:rsidR="00690298">
        <w:t>80</w:t>
      </w:r>
      <w:r w:rsidR="00ED7E06" w:rsidRPr="00EE3452">
        <w:t xml:space="preserve"> </w:t>
      </w:r>
      <w:r w:rsidR="00ED7E06" w:rsidRPr="00C122E7">
        <w:t>FR</w:t>
      </w:r>
      <w:r w:rsidR="00ED7E06" w:rsidRPr="00EE3452">
        <w:t xml:space="preserve"> </w:t>
      </w:r>
      <w:r w:rsidR="00690298">
        <w:t>12264</w:t>
      </w:r>
      <w:r w:rsidR="00ED7E06" w:rsidRPr="00EE3452">
        <w:t>)</w:t>
      </w:r>
      <w:r w:rsidR="00ED7E06">
        <w:t xml:space="preserve">. </w:t>
      </w:r>
      <w:r w:rsidR="004537E0">
        <w:t xml:space="preserve">The intended effect of this final rule is to </w:t>
      </w:r>
      <w:r w:rsidR="001A3018">
        <w:t xml:space="preserve">interpret Clean Air Act (CAA) requirements to </w:t>
      </w:r>
      <w:r w:rsidR="004537E0">
        <w:t>provide certainty to state</w:t>
      </w:r>
      <w:r w:rsidR="000D2B9D">
        <w:t>s</w:t>
      </w:r>
      <w:r w:rsidR="004537E0">
        <w:t xml:space="preserve"> regarding their planning obligations such that states may complete SIP development for the</w:t>
      </w:r>
      <w:r w:rsidR="000D2B9D">
        <w:t xml:space="preserve"> </w:t>
      </w:r>
      <w:r w:rsidR="004537E0">
        <w:t xml:space="preserve">2008 ozone NAAQS. </w:t>
      </w:r>
      <w:r w:rsidR="003460D9">
        <w:t>Such planning obligations may include, but are not limited to, developing SIP submissions that contain attainment demonstrations, Reasonably Further Progress (RFP) analyses, and determinations of Reasonably Available Control Technology (RACT).</w:t>
      </w:r>
      <w:r w:rsidR="005F6257">
        <w:t xml:space="preserve"> The original ICR applied for the period February 1, 2015 through January 31, 2018.</w:t>
      </w:r>
    </w:p>
    <w:p w14:paraId="64F04788" w14:textId="77777777" w:rsidR="00CB3528" w:rsidRDefault="00CB3528">
      <w:pPr>
        <w:ind w:left="360"/>
      </w:pPr>
    </w:p>
    <w:p w14:paraId="0ED7308A" w14:textId="42A44B1A" w:rsidR="00FB273E" w:rsidRDefault="00E93D5D">
      <w:pPr>
        <w:ind w:left="360"/>
      </w:pPr>
      <w:r>
        <w:tab/>
      </w:r>
      <w:r w:rsidR="00FB273E">
        <w:t xml:space="preserve">In the original ICR, which </w:t>
      </w:r>
      <w:r w:rsidR="000D2B9D">
        <w:t xml:space="preserve">accounted for the </w:t>
      </w:r>
      <w:r w:rsidR="00FB273E">
        <w:t xml:space="preserve">transition from </w:t>
      </w:r>
      <w:r w:rsidR="000D2B9D">
        <w:t xml:space="preserve">states implementing </w:t>
      </w:r>
      <w:r w:rsidR="00FB273E">
        <w:t xml:space="preserve">the 1997 </w:t>
      </w:r>
      <w:r w:rsidR="00680881">
        <w:t>8</w:t>
      </w:r>
      <w:r w:rsidR="00FB273E">
        <w:t xml:space="preserve">-hour ozone NAAQS to </w:t>
      </w:r>
      <w:r w:rsidR="000D2B9D">
        <w:t xml:space="preserve">implementing </w:t>
      </w:r>
      <w:r w:rsidR="00FB273E">
        <w:t xml:space="preserve">the 2008 8-hour ozone NAAQS, </w:t>
      </w:r>
      <w:r w:rsidR="000D2B9D">
        <w:t xml:space="preserve">the EPA </w:t>
      </w:r>
      <w:r w:rsidR="00FB273E">
        <w:t xml:space="preserve">estimated a total burden of 120,000 hours </w:t>
      </w:r>
      <w:r w:rsidR="000D2B9D">
        <w:t>for</w:t>
      </w:r>
      <w:r w:rsidR="00FB273E">
        <w:t xml:space="preserve"> 26 respondents (states and the District of Columbia) to address a full range of nonattainment area SIP requirements for implementing the 2008 ozone NAAQS.</w:t>
      </w:r>
      <w:r w:rsidR="00B021A0">
        <w:t xml:space="preserve"> </w:t>
      </w:r>
      <w:r w:rsidR="00DF555E">
        <w:t>Among other things, the</w:t>
      </w:r>
      <w:r w:rsidR="000D2B9D">
        <w:t xml:space="preserve"> original</w:t>
      </w:r>
      <w:r w:rsidR="00B021A0">
        <w:t xml:space="preserve"> estimate </w:t>
      </w:r>
      <w:r w:rsidR="000D2B9D">
        <w:t>included</w:t>
      </w:r>
      <w:r w:rsidR="00B021A0">
        <w:t xml:space="preserve"> burden hours </w:t>
      </w:r>
      <w:r w:rsidR="000D2B9D">
        <w:t xml:space="preserve">for </w:t>
      </w:r>
      <w:r w:rsidR="006E27A9">
        <w:t xml:space="preserve">a subset of the </w:t>
      </w:r>
      <w:r w:rsidR="000D2B9D">
        <w:t xml:space="preserve">areas originally classified as Marginal that </w:t>
      </w:r>
      <w:r w:rsidR="00B021A0">
        <w:t xml:space="preserve">the EPA predicted would </w:t>
      </w:r>
      <w:r w:rsidR="006E27A9">
        <w:t xml:space="preserve">ultimately </w:t>
      </w:r>
      <w:r w:rsidR="00B021A0">
        <w:t xml:space="preserve">fail to </w:t>
      </w:r>
      <w:r w:rsidR="000D2B9D">
        <w:t xml:space="preserve">timely </w:t>
      </w:r>
      <w:r w:rsidR="00B021A0">
        <w:t xml:space="preserve">attain the standard and </w:t>
      </w:r>
      <w:r w:rsidR="000D2B9D">
        <w:t xml:space="preserve">would thus be reclassified to Moderate and subject to </w:t>
      </w:r>
      <w:r w:rsidR="006E27A9">
        <w:t xml:space="preserve">the additional SIP requirements for </w:t>
      </w:r>
      <w:r w:rsidR="000D2B9D">
        <w:t>Moderate area</w:t>
      </w:r>
      <w:r w:rsidR="006E27A9">
        <w:t>s</w:t>
      </w:r>
      <w:r w:rsidR="00B021A0">
        <w:t>.</w:t>
      </w:r>
      <w:r w:rsidR="00DF555E">
        <w:t xml:space="preserve"> </w:t>
      </w:r>
      <w:r w:rsidR="00B021A0">
        <w:t xml:space="preserve">   </w:t>
      </w:r>
      <w:r w:rsidR="00FB273E">
        <w:t xml:space="preserve">   </w:t>
      </w:r>
    </w:p>
    <w:p w14:paraId="201651DB" w14:textId="77777777" w:rsidR="00FB273E" w:rsidRDefault="00FB273E">
      <w:pPr>
        <w:ind w:left="360"/>
      </w:pPr>
    </w:p>
    <w:p w14:paraId="46EF5970" w14:textId="538BAF84" w:rsidR="00010FB8" w:rsidRDefault="00B021A0" w:rsidP="00010FB8">
      <w:pPr>
        <w:ind w:left="360" w:firstLine="360"/>
      </w:pPr>
      <w:r>
        <w:t xml:space="preserve">This ICR renewal </w:t>
      </w:r>
      <w:r w:rsidR="00DF555E">
        <w:t>updates the</w:t>
      </w:r>
      <w:r>
        <w:t xml:space="preserve"> original 2008 ozone NAAQS </w:t>
      </w:r>
      <w:r w:rsidR="00095CF7">
        <w:t>SIP</w:t>
      </w:r>
      <w:r w:rsidR="007D0370">
        <w:t xml:space="preserve"> Requirements Rule</w:t>
      </w:r>
      <w:r w:rsidR="00095CF7">
        <w:t xml:space="preserve"> </w:t>
      </w:r>
      <w:r>
        <w:t xml:space="preserve">ICR </w:t>
      </w:r>
      <w:r w:rsidR="00653DEF">
        <w:t xml:space="preserve">based on our current knowledge of the attainment status and </w:t>
      </w:r>
      <w:r w:rsidR="004C0A13">
        <w:t xml:space="preserve">predicted future </w:t>
      </w:r>
      <w:r w:rsidR="00653DEF">
        <w:t>attainment planning obligations for areas originally designated nonattainment for the 2008 NAAQS</w:t>
      </w:r>
      <w:r w:rsidR="007D0370">
        <w:t xml:space="preserve"> in July 2012</w:t>
      </w:r>
      <w:r w:rsidR="00653DEF">
        <w:t xml:space="preserve">. </w:t>
      </w:r>
      <w:r w:rsidR="000B3DCA">
        <w:t xml:space="preserve">The </w:t>
      </w:r>
      <w:r w:rsidR="007C0A83">
        <w:t xml:space="preserve">revised </w:t>
      </w:r>
      <w:r w:rsidR="000B3DCA">
        <w:t xml:space="preserve">burden and cost estimates in this ICR renewal </w:t>
      </w:r>
      <w:r w:rsidR="003F7942">
        <w:t>are associated with</w:t>
      </w:r>
      <w:r w:rsidR="00680881">
        <w:t xml:space="preserve"> </w:t>
      </w:r>
      <w:r w:rsidR="006E27A9">
        <w:t>a subset of</w:t>
      </w:r>
      <w:r w:rsidR="00010FB8">
        <w:t xml:space="preserve"> </w:t>
      </w:r>
      <w:r w:rsidR="000B3DCA">
        <w:t xml:space="preserve">areas </w:t>
      </w:r>
      <w:r w:rsidR="00010FB8">
        <w:t>originally designated nonattainment that are under state jurisdiction</w:t>
      </w:r>
      <w:r w:rsidR="00D12F24">
        <w:t>.</w:t>
      </w:r>
      <w:r w:rsidR="00010FB8">
        <w:t xml:space="preserve"> </w:t>
      </w:r>
      <w:r w:rsidR="009E4EA0">
        <w:t>This renewal includes an estimate</w:t>
      </w:r>
      <w:r w:rsidR="00435478">
        <w:t xml:space="preserve"> of </w:t>
      </w:r>
      <w:r w:rsidR="007D0370">
        <w:t>additional</w:t>
      </w:r>
      <w:r w:rsidR="006E27A9">
        <w:t xml:space="preserve"> burden </w:t>
      </w:r>
      <w:r w:rsidR="00435478">
        <w:t xml:space="preserve">hours </w:t>
      </w:r>
      <w:r w:rsidR="006E27A9">
        <w:t xml:space="preserve">for </w:t>
      </w:r>
      <w:r w:rsidR="00435478">
        <w:t xml:space="preserve">one of </w:t>
      </w:r>
      <w:r w:rsidR="006E27A9">
        <w:t>the</w:t>
      </w:r>
      <w:r w:rsidR="00010FB8">
        <w:t xml:space="preserve"> two areas designated as nonattainment for the 2008 ozone NAAQS that are located within tribal boundaries</w:t>
      </w:r>
      <w:r w:rsidR="006E27A9">
        <w:t xml:space="preserve"> in EPA Region 9</w:t>
      </w:r>
      <w:r w:rsidR="001A3018">
        <w:t>.</w:t>
      </w:r>
      <w:r w:rsidR="00D12F24">
        <w:t xml:space="preserve"> </w:t>
      </w:r>
      <w:r w:rsidR="00435478">
        <w:t xml:space="preserve">The area is identified in Table 4.4. </w:t>
      </w:r>
      <w:r w:rsidR="001A3018">
        <w:t>T</w:t>
      </w:r>
      <w:r w:rsidR="00D12F24">
        <w:t>he burden for th</w:t>
      </w:r>
      <w:r w:rsidR="009E4EA0">
        <w:t>i</w:t>
      </w:r>
      <w:r w:rsidR="00D12F24">
        <w:t xml:space="preserve">s </w:t>
      </w:r>
      <w:r w:rsidR="001A3018">
        <w:t xml:space="preserve">tribal </w:t>
      </w:r>
      <w:r w:rsidR="00D12F24">
        <w:t xml:space="preserve">area </w:t>
      </w:r>
      <w:r w:rsidR="009E4EA0">
        <w:t xml:space="preserve">is </w:t>
      </w:r>
      <w:r w:rsidR="00D12F24">
        <w:t>accounted for under the burden estimates for EPA’s Region 9 office because</w:t>
      </w:r>
      <w:r w:rsidR="00010FB8">
        <w:t xml:space="preserve"> </w:t>
      </w:r>
      <w:r w:rsidR="00A377AC">
        <w:t xml:space="preserve">the </w:t>
      </w:r>
      <w:r w:rsidR="007D0370">
        <w:t xml:space="preserve">EPA fulfills CAA management duties for </w:t>
      </w:r>
      <w:r w:rsidR="00D12F24" w:rsidRPr="005045F8">
        <w:t>tribes</w:t>
      </w:r>
      <w:r w:rsidR="007D0370">
        <w:t>,</w:t>
      </w:r>
      <w:r w:rsidR="00D12F24" w:rsidRPr="005045F8">
        <w:t xml:space="preserve"> </w:t>
      </w:r>
      <w:r w:rsidR="007D0370">
        <w:t>unless the tribe</w:t>
      </w:r>
      <w:r w:rsidR="008809F9">
        <w:t xml:space="preserve"> choose</w:t>
      </w:r>
      <w:r w:rsidR="007D0370">
        <w:t>s</w:t>
      </w:r>
      <w:r w:rsidR="008809F9">
        <w:t xml:space="preserve"> to develop</w:t>
      </w:r>
      <w:r w:rsidR="00D12F24" w:rsidRPr="005045F8">
        <w:t xml:space="preserve"> </w:t>
      </w:r>
      <w:r w:rsidR="007D0370">
        <w:t xml:space="preserve">a </w:t>
      </w:r>
      <w:r w:rsidR="00D12F24" w:rsidRPr="005045F8">
        <w:t>Tribal Implementation Plan.</w:t>
      </w:r>
      <w:r w:rsidR="00010FB8">
        <w:t xml:space="preserve"> This ICR renewal will apply for the period February 1, 2018 through January 31, 2021.</w:t>
      </w:r>
    </w:p>
    <w:p w14:paraId="0B159E25" w14:textId="6B6C18E3" w:rsidR="00653DEF" w:rsidRDefault="00010FB8" w:rsidP="001E00B8">
      <w:pPr>
        <w:ind w:left="360" w:firstLine="360"/>
      </w:pPr>
      <w:r>
        <w:t xml:space="preserve"> </w:t>
      </w:r>
    </w:p>
    <w:p w14:paraId="4F512447" w14:textId="46D00BFB" w:rsidR="00CB3528" w:rsidRDefault="000D5639" w:rsidP="00842E43">
      <w:pPr>
        <w:ind w:left="360" w:firstLine="360"/>
      </w:pPr>
      <w:r>
        <w:t xml:space="preserve">The following </w:t>
      </w:r>
      <w:r w:rsidR="00F75BCF">
        <w:t xml:space="preserve">section </w:t>
      </w:r>
      <w:r>
        <w:t>explain</w:t>
      </w:r>
      <w:r w:rsidR="00F75BCF">
        <w:t>s</w:t>
      </w:r>
      <w:r>
        <w:t xml:space="preserve"> the </w:t>
      </w:r>
      <w:r w:rsidR="009E4EA0">
        <w:t xml:space="preserve">categories of nonattainment areas for which </w:t>
      </w:r>
      <w:r w:rsidR="00A377AC">
        <w:t xml:space="preserve">the </w:t>
      </w:r>
      <w:r w:rsidR="009E4EA0">
        <w:t>EPA is estimating respondent burden hours under this proposed ICR renewal</w:t>
      </w:r>
      <w:r>
        <w:t xml:space="preserve">. </w:t>
      </w:r>
    </w:p>
    <w:p w14:paraId="76E99381" w14:textId="4CB7B1D7" w:rsidR="0021779A" w:rsidRDefault="0021779A">
      <w:pPr>
        <w:ind w:left="360"/>
      </w:pPr>
    </w:p>
    <w:p w14:paraId="61C94D04" w14:textId="1EE7B69C" w:rsidR="00425B03" w:rsidRDefault="001425BF" w:rsidP="00DB1C38">
      <w:pPr>
        <w:numPr>
          <w:ilvl w:val="0"/>
          <w:numId w:val="5"/>
        </w:numPr>
      </w:pPr>
      <w:r>
        <w:rPr>
          <w:b/>
        </w:rPr>
        <w:t>A</w:t>
      </w:r>
      <w:r w:rsidR="00425B03">
        <w:rPr>
          <w:b/>
        </w:rPr>
        <w:t>reas</w:t>
      </w:r>
      <w:r w:rsidR="0059485F">
        <w:rPr>
          <w:b/>
        </w:rPr>
        <w:t xml:space="preserve"> </w:t>
      </w:r>
      <w:r>
        <w:rPr>
          <w:b/>
        </w:rPr>
        <w:t xml:space="preserve">that </w:t>
      </w:r>
      <w:r w:rsidR="0059485F">
        <w:rPr>
          <w:b/>
        </w:rPr>
        <w:t xml:space="preserve">have </w:t>
      </w:r>
      <w:r w:rsidR="00425B03">
        <w:rPr>
          <w:b/>
        </w:rPr>
        <w:t>attain</w:t>
      </w:r>
      <w:r w:rsidR="0059485F">
        <w:rPr>
          <w:b/>
        </w:rPr>
        <w:t>ed</w:t>
      </w:r>
      <w:r w:rsidR="00425B03">
        <w:rPr>
          <w:b/>
        </w:rPr>
        <w:t xml:space="preserve"> </w:t>
      </w:r>
      <w:r w:rsidR="00350C53">
        <w:rPr>
          <w:b/>
        </w:rPr>
        <w:t xml:space="preserve">(or are predicted to attain) </w:t>
      </w:r>
      <w:r w:rsidR="00425B03">
        <w:rPr>
          <w:b/>
        </w:rPr>
        <w:t xml:space="preserve">the 2008 ozone </w:t>
      </w:r>
      <w:r w:rsidR="0059485F">
        <w:rPr>
          <w:b/>
        </w:rPr>
        <w:t xml:space="preserve">standard </w:t>
      </w:r>
      <w:r w:rsidR="00425B03">
        <w:rPr>
          <w:b/>
        </w:rPr>
        <w:t xml:space="preserve">and are anticipated </w:t>
      </w:r>
      <w:r w:rsidR="00BB1B43">
        <w:rPr>
          <w:b/>
        </w:rPr>
        <w:t xml:space="preserve">to </w:t>
      </w:r>
      <w:r w:rsidR="0059485F">
        <w:rPr>
          <w:b/>
        </w:rPr>
        <w:t>request</w:t>
      </w:r>
      <w:r w:rsidR="00425B03">
        <w:rPr>
          <w:b/>
        </w:rPr>
        <w:t xml:space="preserve"> redesignation to attainment. </w:t>
      </w:r>
      <w:r w:rsidRPr="00CE4A98">
        <w:t xml:space="preserve">States with </w:t>
      </w:r>
      <w:r w:rsidRPr="00A31F6B">
        <w:t>o</w:t>
      </w:r>
      <w:r w:rsidR="00425B03" w:rsidRPr="00A31F6B">
        <w:t>zone</w:t>
      </w:r>
      <w:r w:rsidR="00425B03">
        <w:t xml:space="preserve"> nonattainment areas that </w:t>
      </w:r>
      <w:r w:rsidR="0059485F">
        <w:t xml:space="preserve">attain the 2008 ozone standard are eligible to submit a </w:t>
      </w:r>
      <w:r w:rsidR="00425B03">
        <w:t>request</w:t>
      </w:r>
      <w:r w:rsidR="0059485F">
        <w:t xml:space="preserve"> to the EPA for redesignation to attainment</w:t>
      </w:r>
      <w:r w:rsidR="00824779">
        <w:t>.</w:t>
      </w:r>
      <w:r w:rsidR="007D0370">
        <w:rPr>
          <w:rStyle w:val="FootnoteReference"/>
        </w:rPr>
        <w:footnoteReference w:id="2"/>
      </w:r>
      <w:r w:rsidR="00824779">
        <w:t xml:space="preserve"> </w:t>
      </w:r>
      <w:r w:rsidR="00A76630">
        <w:t xml:space="preserve">The </w:t>
      </w:r>
      <w:r w:rsidR="006203E9">
        <w:t>17</w:t>
      </w:r>
      <w:r w:rsidR="00E425CE">
        <w:t xml:space="preserve"> </w:t>
      </w:r>
      <w:r w:rsidR="00824779">
        <w:t xml:space="preserve">areas </w:t>
      </w:r>
      <w:r w:rsidR="00286533">
        <w:t xml:space="preserve">listed below </w:t>
      </w:r>
      <w:r w:rsidR="00824779">
        <w:t xml:space="preserve">are now eligible </w:t>
      </w:r>
      <w:r w:rsidR="00350C53">
        <w:t xml:space="preserve">(or are expected to be eligible) </w:t>
      </w:r>
      <w:r w:rsidR="00824779">
        <w:t>to request redesignation</w:t>
      </w:r>
      <w:r w:rsidR="00E425CE">
        <w:t xml:space="preserve"> to attainment</w:t>
      </w:r>
      <w:r w:rsidR="00824779">
        <w:t>, so</w:t>
      </w:r>
      <w:r>
        <w:t xml:space="preserve"> </w:t>
      </w:r>
      <w:r w:rsidR="0059485F">
        <w:t>t</w:t>
      </w:r>
      <w:r w:rsidR="00425B03">
        <w:t xml:space="preserve">he EPA </w:t>
      </w:r>
      <w:r w:rsidR="00A76630">
        <w:t xml:space="preserve">is </w:t>
      </w:r>
      <w:r w:rsidR="009E4EA0">
        <w:t>estimating</w:t>
      </w:r>
      <w:r w:rsidR="00A76630">
        <w:t xml:space="preserve"> </w:t>
      </w:r>
      <w:r w:rsidR="00042E96">
        <w:t>1,</w:t>
      </w:r>
      <w:r w:rsidR="00D246B2">
        <w:t>0</w:t>
      </w:r>
      <w:r w:rsidR="00A76630">
        <w:t xml:space="preserve">00 </w:t>
      </w:r>
      <w:r w:rsidR="00425B03">
        <w:t xml:space="preserve">burden hours </w:t>
      </w:r>
      <w:r w:rsidR="00A76630">
        <w:t xml:space="preserve">per </w:t>
      </w:r>
      <w:r w:rsidR="00286533">
        <w:t xml:space="preserve">state </w:t>
      </w:r>
      <w:r w:rsidR="00A76630">
        <w:t xml:space="preserve">area to account for states submitting redesignation requests </w:t>
      </w:r>
      <w:r w:rsidR="00425B03">
        <w:t xml:space="preserve">for </w:t>
      </w:r>
      <w:r w:rsidR="00A76630">
        <w:t>these areas</w:t>
      </w:r>
      <w:r w:rsidR="008F2537">
        <w:t>.</w:t>
      </w:r>
      <w:r w:rsidR="009E4EA0">
        <w:t xml:space="preserve"> </w:t>
      </w:r>
      <w:r w:rsidR="008F2537">
        <w:t xml:space="preserve">States containing a portion of a multi-state nonattainment area are expected to develop </w:t>
      </w:r>
      <w:r w:rsidR="00806AC9">
        <w:t>separate</w:t>
      </w:r>
      <w:r w:rsidR="008F2537">
        <w:t xml:space="preserve"> </w:t>
      </w:r>
      <w:r w:rsidR="00806AC9">
        <w:t>submittals</w:t>
      </w:r>
      <w:r w:rsidR="00425B03">
        <w:t>.</w:t>
      </w:r>
      <w:r w:rsidR="00F97E78">
        <w:t xml:space="preserve"> </w:t>
      </w:r>
    </w:p>
    <w:p w14:paraId="48736529" w14:textId="77777777" w:rsidR="00061D10" w:rsidRDefault="00061D10" w:rsidP="00061D10">
      <w:pPr>
        <w:numPr>
          <w:ilvl w:val="1"/>
          <w:numId w:val="5"/>
        </w:numPr>
      </w:pPr>
      <w:r>
        <w:t>Allentown-Bethlehem-Easton, PA</w:t>
      </w:r>
    </w:p>
    <w:p w14:paraId="0DFCA386" w14:textId="77777777" w:rsidR="00061D10" w:rsidRDefault="00061D10" w:rsidP="00061D10">
      <w:pPr>
        <w:numPr>
          <w:ilvl w:val="1"/>
          <w:numId w:val="5"/>
        </w:numPr>
      </w:pPr>
      <w:r>
        <w:t>Baltimore, MD</w:t>
      </w:r>
    </w:p>
    <w:p w14:paraId="549BC08D" w14:textId="77777777" w:rsidR="00061D10" w:rsidRDefault="00061D10" w:rsidP="00061D10">
      <w:pPr>
        <w:numPr>
          <w:ilvl w:val="1"/>
          <w:numId w:val="5"/>
        </w:numPr>
      </w:pPr>
      <w:r>
        <w:t>Calaveras County, CA</w:t>
      </w:r>
    </w:p>
    <w:p w14:paraId="142C233F" w14:textId="77777777" w:rsidR="00061D10" w:rsidRDefault="00061D10" w:rsidP="00061D10">
      <w:pPr>
        <w:numPr>
          <w:ilvl w:val="1"/>
          <w:numId w:val="5"/>
        </w:numPr>
      </w:pPr>
      <w:r>
        <w:t>Chico (Butte County), CA</w:t>
      </w:r>
    </w:p>
    <w:p w14:paraId="13C47939" w14:textId="77777777" w:rsidR="00061D10" w:rsidRDefault="00061D10" w:rsidP="00061D10">
      <w:pPr>
        <w:numPr>
          <w:ilvl w:val="1"/>
          <w:numId w:val="5"/>
        </w:numPr>
      </w:pPr>
      <w:r>
        <w:t>Dukes County, MA</w:t>
      </w:r>
    </w:p>
    <w:p w14:paraId="7606FC2B" w14:textId="77777777" w:rsidR="00061D10" w:rsidRDefault="00061D10" w:rsidP="00061D10">
      <w:pPr>
        <w:numPr>
          <w:ilvl w:val="1"/>
          <w:numId w:val="5"/>
        </w:numPr>
      </w:pPr>
      <w:r>
        <w:t>Jamestown, NY</w:t>
      </w:r>
    </w:p>
    <w:p w14:paraId="05050253" w14:textId="77777777" w:rsidR="00061D10" w:rsidRDefault="00061D10" w:rsidP="00061D10">
      <w:pPr>
        <w:numPr>
          <w:ilvl w:val="1"/>
          <w:numId w:val="5"/>
        </w:numPr>
      </w:pPr>
      <w:r>
        <w:t>Lancaster, PA</w:t>
      </w:r>
    </w:p>
    <w:p w14:paraId="2C36D1A4" w14:textId="77777777" w:rsidR="00061D10" w:rsidRDefault="00061D10" w:rsidP="00061D10">
      <w:pPr>
        <w:numPr>
          <w:ilvl w:val="1"/>
          <w:numId w:val="5"/>
        </w:numPr>
      </w:pPr>
      <w:r>
        <w:t>Mariposa County, CA</w:t>
      </w:r>
    </w:p>
    <w:p w14:paraId="1B9D8C2C" w14:textId="77777777" w:rsidR="00061D10" w:rsidRDefault="00061D10" w:rsidP="00061D10">
      <w:pPr>
        <w:numPr>
          <w:ilvl w:val="1"/>
          <w:numId w:val="5"/>
        </w:numPr>
      </w:pPr>
      <w:r>
        <w:t>Philadelphia-Wilmington-Atlantic City, DE-MD-NJ-PA</w:t>
      </w:r>
    </w:p>
    <w:p w14:paraId="4E154FDA" w14:textId="77777777" w:rsidR="00061D10" w:rsidRDefault="00061D10" w:rsidP="00061D10">
      <w:pPr>
        <w:numPr>
          <w:ilvl w:val="1"/>
          <w:numId w:val="5"/>
        </w:numPr>
      </w:pPr>
      <w:r>
        <w:t>Pittsburgh-Beaver Valley, PA</w:t>
      </w:r>
    </w:p>
    <w:p w14:paraId="22A53EC8" w14:textId="77777777" w:rsidR="00061D10" w:rsidRDefault="00061D10" w:rsidP="00061D10">
      <w:pPr>
        <w:numPr>
          <w:ilvl w:val="1"/>
          <w:numId w:val="5"/>
        </w:numPr>
      </w:pPr>
      <w:r>
        <w:t>Reading, PA</w:t>
      </w:r>
    </w:p>
    <w:p w14:paraId="7DBD6F38" w14:textId="3A5542EF" w:rsidR="00505403" w:rsidRDefault="00505403" w:rsidP="00792E2A">
      <w:pPr>
        <w:numPr>
          <w:ilvl w:val="1"/>
          <w:numId w:val="5"/>
        </w:numPr>
      </w:pPr>
      <w:r>
        <w:t>San Francisco Bay, CA</w:t>
      </w:r>
    </w:p>
    <w:p w14:paraId="6760C003" w14:textId="77777777" w:rsidR="00505403" w:rsidRDefault="00505403" w:rsidP="00792E2A">
      <w:pPr>
        <w:numPr>
          <w:ilvl w:val="1"/>
          <w:numId w:val="5"/>
        </w:numPr>
      </w:pPr>
      <w:r>
        <w:t>San Luis Obispo (Eastern San Luis Obispo), CA</w:t>
      </w:r>
    </w:p>
    <w:p w14:paraId="06E73AA9" w14:textId="77777777" w:rsidR="00061D10" w:rsidRDefault="00061D10" w:rsidP="00061D10">
      <w:pPr>
        <w:numPr>
          <w:ilvl w:val="1"/>
          <w:numId w:val="5"/>
        </w:numPr>
      </w:pPr>
      <w:r>
        <w:t>Seaford, DE</w:t>
      </w:r>
    </w:p>
    <w:p w14:paraId="05B318EC" w14:textId="77777777" w:rsidR="00505403" w:rsidRDefault="00505403" w:rsidP="00DB1C38">
      <w:pPr>
        <w:numPr>
          <w:ilvl w:val="1"/>
          <w:numId w:val="5"/>
        </w:numPr>
      </w:pPr>
      <w:r>
        <w:t>Tuscan Buttes, CA</w:t>
      </w:r>
    </w:p>
    <w:p w14:paraId="42CFC371" w14:textId="73F59081" w:rsidR="00505403" w:rsidRDefault="00505403" w:rsidP="00792E2A">
      <w:pPr>
        <w:numPr>
          <w:ilvl w:val="1"/>
          <w:numId w:val="5"/>
        </w:numPr>
      </w:pPr>
      <w:r>
        <w:t>Upper Green River Basin Area, WY</w:t>
      </w:r>
    </w:p>
    <w:p w14:paraId="5E112399" w14:textId="10FA76DD" w:rsidR="00061D10" w:rsidRDefault="00061D10" w:rsidP="00061D10">
      <w:pPr>
        <w:numPr>
          <w:ilvl w:val="1"/>
          <w:numId w:val="5"/>
        </w:numPr>
      </w:pPr>
      <w:r>
        <w:t xml:space="preserve">Washington, DC-MD-VA </w:t>
      </w:r>
    </w:p>
    <w:p w14:paraId="7776CC3E" w14:textId="77777777" w:rsidR="00D246B2" w:rsidRPr="00D246B2" w:rsidRDefault="00D246B2" w:rsidP="002108F4">
      <w:pPr>
        <w:ind w:left="1890"/>
      </w:pPr>
    </w:p>
    <w:p w14:paraId="35EB938E" w14:textId="3F5C65CB" w:rsidR="00CB3528" w:rsidRDefault="00147F0E" w:rsidP="00D246B2">
      <w:pPr>
        <w:numPr>
          <w:ilvl w:val="0"/>
          <w:numId w:val="5"/>
        </w:numPr>
      </w:pPr>
      <w:r w:rsidRPr="00D246B2">
        <w:rPr>
          <w:b/>
        </w:rPr>
        <w:t>Area</w:t>
      </w:r>
      <w:r w:rsidR="00764F81" w:rsidRPr="00D246B2">
        <w:rPr>
          <w:b/>
        </w:rPr>
        <w:t>s</w:t>
      </w:r>
      <w:r w:rsidRPr="00D246B2">
        <w:rPr>
          <w:b/>
        </w:rPr>
        <w:t xml:space="preserve"> </w:t>
      </w:r>
      <w:r w:rsidR="00764F81" w:rsidRPr="00D246B2">
        <w:rPr>
          <w:b/>
        </w:rPr>
        <w:t xml:space="preserve">now </w:t>
      </w:r>
      <w:r w:rsidRPr="00D246B2">
        <w:rPr>
          <w:b/>
        </w:rPr>
        <w:t>classified as</w:t>
      </w:r>
      <w:r w:rsidR="00807AC0" w:rsidRPr="00D246B2">
        <w:rPr>
          <w:b/>
        </w:rPr>
        <w:t xml:space="preserve"> </w:t>
      </w:r>
      <w:r w:rsidR="00B9639C" w:rsidRPr="00D246B2">
        <w:rPr>
          <w:b/>
        </w:rPr>
        <w:t xml:space="preserve">Moderate that </w:t>
      </w:r>
      <w:r w:rsidRPr="00D246B2">
        <w:rPr>
          <w:b/>
        </w:rPr>
        <w:t>may</w:t>
      </w:r>
      <w:r w:rsidR="00B9639C" w:rsidRPr="00D246B2">
        <w:rPr>
          <w:b/>
        </w:rPr>
        <w:t xml:space="preserve"> be reclassified to Serious</w:t>
      </w:r>
      <w:r w:rsidRPr="00D246B2">
        <w:rPr>
          <w:b/>
        </w:rPr>
        <w:t xml:space="preserve"> due to poor air quality</w:t>
      </w:r>
      <w:r w:rsidR="00B9639C" w:rsidRPr="00D246B2">
        <w:rPr>
          <w:b/>
        </w:rPr>
        <w:t>.</w:t>
      </w:r>
      <w:r w:rsidR="009A279B" w:rsidRPr="00D246B2">
        <w:rPr>
          <w:b/>
        </w:rPr>
        <w:t xml:space="preserve"> </w:t>
      </w:r>
      <w:r w:rsidR="00B9639C">
        <w:t xml:space="preserve">The EPA has identified </w:t>
      </w:r>
      <w:r w:rsidR="00EF7E56">
        <w:t>1</w:t>
      </w:r>
      <w:r w:rsidR="001D6BE5">
        <w:t>2</w:t>
      </w:r>
      <w:r w:rsidR="00EF7E56">
        <w:t xml:space="preserve"> </w:t>
      </w:r>
      <w:r w:rsidR="001D6BE5">
        <w:t xml:space="preserve">state </w:t>
      </w:r>
      <w:r w:rsidR="00B9639C">
        <w:t>area</w:t>
      </w:r>
      <w:r w:rsidR="00EF7E56">
        <w:t>s</w:t>
      </w:r>
      <w:r w:rsidR="00B9639C">
        <w:t xml:space="preserve"> </w:t>
      </w:r>
      <w:r w:rsidR="002108F4">
        <w:t xml:space="preserve">and 1 tribal area </w:t>
      </w:r>
      <w:r w:rsidR="00EF7E56">
        <w:t xml:space="preserve">classified Moderate </w:t>
      </w:r>
      <w:r w:rsidR="00B9639C">
        <w:t>that may fail to attain</w:t>
      </w:r>
      <w:r w:rsidR="000554C6">
        <w:t xml:space="preserve"> the 2008 ozone NAAQS by </w:t>
      </w:r>
      <w:r w:rsidR="00194B1C">
        <w:t xml:space="preserve">the </w:t>
      </w:r>
      <w:r w:rsidR="000554C6">
        <w:t>attainment date of July 20, 2018</w:t>
      </w:r>
      <w:r w:rsidR="00B9639C">
        <w:t>,</w:t>
      </w:r>
      <w:r w:rsidR="000554C6">
        <w:t xml:space="preserve"> </w:t>
      </w:r>
      <w:r w:rsidR="00824779">
        <w:t>in which case the area would</w:t>
      </w:r>
      <w:r w:rsidR="000554C6">
        <w:t xml:space="preserve"> be reclassified to Serious. </w:t>
      </w:r>
      <w:r w:rsidR="00535294">
        <w:t xml:space="preserve">Because </w:t>
      </w:r>
      <w:r w:rsidR="00EF7E56">
        <w:t xml:space="preserve">we assume </w:t>
      </w:r>
      <w:r w:rsidR="000D2B9D">
        <w:t xml:space="preserve">the </w:t>
      </w:r>
      <w:r w:rsidR="00535294">
        <w:t>state ha</w:t>
      </w:r>
      <w:r w:rsidR="000D2B9D">
        <w:t>s</w:t>
      </w:r>
      <w:r w:rsidR="00535294">
        <w:t xml:space="preserve"> already submitted </w:t>
      </w:r>
      <w:r w:rsidR="000D2B9D">
        <w:t xml:space="preserve">a </w:t>
      </w:r>
      <w:r w:rsidR="00535294">
        <w:t>Moderate area plan for th</w:t>
      </w:r>
      <w:r w:rsidR="000D2B9D">
        <w:t>i</w:t>
      </w:r>
      <w:r w:rsidR="00535294">
        <w:t xml:space="preserve">s area, the Serious area SIP submittal </w:t>
      </w:r>
      <w:r w:rsidR="000D2B9D">
        <w:t>is</w:t>
      </w:r>
      <w:r w:rsidR="004A2B15">
        <w:t xml:space="preserve"> anticipated </w:t>
      </w:r>
      <w:r w:rsidR="00824779">
        <w:t xml:space="preserve">simply </w:t>
      </w:r>
      <w:r w:rsidR="004A2B15">
        <w:t>to supplement the plan previously submitted.</w:t>
      </w:r>
      <w:r w:rsidR="000554C6">
        <w:t xml:space="preserve"> </w:t>
      </w:r>
      <w:r w:rsidR="001449AF">
        <w:t>Therefore, the EPA</w:t>
      </w:r>
      <w:r w:rsidR="00792E2A">
        <w:t xml:space="preserve"> </w:t>
      </w:r>
      <w:r w:rsidR="00EF7E56">
        <w:t xml:space="preserve">estimates </w:t>
      </w:r>
      <w:r w:rsidR="00C004A1">
        <w:t xml:space="preserve">an additional </w:t>
      </w:r>
      <w:r w:rsidR="00194B1C">
        <w:t xml:space="preserve">sum of </w:t>
      </w:r>
      <w:r w:rsidR="00212225">
        <w:t>5,0</w:t>
      </w:r>
      <w:r w:rsidR="00C004A1">
        <w:t xml:space="preserve">00 burden hours </w:t>
      </w:r>
      <w:r w:rsidR="00EF7E56">
        <w:t xml:space="preserve">per </w:t>
      </w:r>
      <w:r w:rsidR="00286533">
        <w:t xml:space="preserve">state </w:t>
      </w:r>
      <w:r w:rsidR="00EF7E56">
        <w:t>area</w:t>
      </w:r>
      <w:r w:rsidR="00D84216">
        <w:t xml:space="preserve"> </w:t>
      </w:r>
      <w:r w:rsidR="00194B1C">
        <w:t xml:space="preserve">for </w:t>
      </w:r>
      <w:r w:rsidR="000D2B9D">
        <w:t xml:space="preserve">the </w:t>
      </w:r>
      <w:r w:rsidR="00194B1C">
        <w:t>area</w:t>
      </w:r>
      <w:r w:rsidR="00EF7E56">
        <w:t>s</w:t>
      </w:r>
      <w:r w:rsidR="00D84216">
        <w:t xml:space="preserve"> </w:t>
      </w:r>
      <w:r w:rsidR="008A77C7">
        <w:t>listed below. S</w:t>
      </w:r>
      <w:r w:rsidR="00D84216">
        <w:t>tates containing a portion of a multi-state nonattainment area are expected to develop separate submittals</w:t>
      </w:r>
      <w:r w:rsidR="008A77C7">
        <w:t>.</w:t>
      </w:r>
    </w:p>
    <w:p w14:paraId="45D23D98" w14:textId="77777777" w:rsidR="006139D1" w:rsidRPr="00D246B2" w:rsidRDefault="006139D1" w:rsidP="00EA1EC4">
      <w:pPr>
        <w:numPr>
          <w:ilvl w:val="1"/>
          <w:numId w:val="5"/>
        </w:numPr>
        <w:rPr>
          <w:b/>
        </w:rPr>
      </w:pPr>
      <w:r>
        <w:t>Chicago-Naperville, IL-IN-WI</w:t>
      </w:r>
    </w:p>
    <w:p w14:paraId="5C1AC781" w14:textId="7FEC0105" w:rsidR="00C004A1" w:rsidRPr="00D246B2" w:rsidRDefault="00792E2A" w:rsidP="00EA1EC4">
      <w:pPr>
        <w:numPr>
          <w:ilvl w:val="1"/>
          <w:numId w:val="5"/>
        </w:numPr>
        <w:rPr>
          <w:b/>
        </w:rPr>
      </w:pPr>
      <w:r>
        <w:t>Dallas-Fort Worth, TX</w:t>
      </w:r>
    </w:p>
    <w:p w14:paraId="082766D3" w14:textId="77777777" w:rsidR="001D6BE5" w:rsidRPr="001D6BE5" w:rsidRDefault="001D6BE5" w:rsidP="00EA1EC4">
      <w:pPr>
        <w:numPr>
          <w:ilvl w:val="1"/>
          <w:numId w:val="5"/>
        </w:numPr>
        <w:rPr>
          <w:b/>
        </w:rPr>
      </w:pPr>
      <w:r>
        <w:t>Denver-Boulder-Greeley-Fort Collins-Loveland, CO</w:t>
      </w:r>
    </w:p>
    <w:p w14:paraId="415BEA2B" w14:textId="4B2A084B" w:rsidR="006139D1" w:rsidRPr="001D6BE5" w:rsidRDefault="006139D1" w:rsidP="001D6BE5">
      <w:pPr>
        <w:numPr>
          <w:ilvl w:val="1"/>
          <w:numId w:val="5"/>
        </w:numPr>
        <w:rPr>
          <w:b/>
        </w:rPr>
      </w:pPr>
      <w:r>
        <w:t>Greater Connecticut, CT</w:t>
      </w:r>
    </w:p>
    <w:p w14:paraId="1C5FD696" w14:textId="07249048" w:rsidR="006139D1" w:rsidRPr="00D246B2" w:rsidRDefault="006139D1" w:rsidP="00EA1EC4">
      <w:pPr>
        <w:numPr>
          <w:ilvl w:val="1"/>
          <w:numId w:val="5"/>
        </w:numPr>
        <w:rPr>
          <w:b/>
        </w:rPr>
      </w:pPr>
      <w:r>
        <w:t>Houston-Galveston-Brazoria, TX</w:t>
      </w:r>
    </w:p>
    <w:p w14:paraId="61AA62EB" w14:textId="77777777" w:rsidR="006139D1" w:rsidRPr="00D246B2" w:rsidRDefault="006139D1" w:rsidP="00EA1EC4">
      <w:pPr>
        <w:numPr>
          <w:ilvl w:val="1"/>
          <w:numId w:val="5"/>
        </w:numPr>
        <w:rPr>
          <w:b/>
        </w:rPr>
      </w:pPr>
      <w:r>
        <w:t>Imperial County, CA</w:t>
      </w:r>
    </w:p>
    <w:p w14:paraId="7E220A7E" w14:textId="3B951744" w:rsidR="006139D1" w:rsidRPr="00D246B2" w:rsidRDefault="006139D1" w:rsidP="00EA1EC4">
      <w:pPr>
        <w:numPr>
          <w:ilvl w:val="1"/>
          <w:numId w:val="5"/>
        </w:numPr>
        <w:rPr>
          <w:b/>
        </w:rPr>
      </w:pPr>
      <w:r>
        <w:t>Kern County (Eastern Kern), CA</w:t>
      </w:r>
    </w:p>
    <w:p w14:paraId="19B2BC0F" w14:textId="70F4E7E5" w:rsidR="006139D1" w:rsidRPr="00D246B2" w:rsidRDefault="006139D1" w:rsidP="00EA1EC4">
      <w:pPr>
        <w:numPr>
          <w:ilvl w:val="1"/>
          <w:numId w:val="5"/>
        </w:numPr>
        <w:rPr>
          <w:b/>
        </w:rPr>
      </w:pPr>
      <w:r>
        <w:t>Nevada County (Western Part), CA</w:t>
      </w:r>
    </w:p>
    <w:p w14:paraId="793CEB36" w14:textId="77777777" w:rsidR="006139D1" w:rsidRPr="00D246B2" w:rsidRDefault="006139D1" w:rsidP="006139D1">
      <w:pPr>
        <w:numPr>
          <w:ilvl w:val="1"/>
          <w:numId w:val="5"/>
        </w:numPr>
        <w:rPr>
          <w:b/>
        </w:rPr>
      </w:pPr>
      <w:r>
        <w:t>New York-N. New Jersey-Long Island, NY-NJ-CT</w:t>
      </w:r>
    </w:p>
    <w:p w14:paraId="2D396D1C" w14:textId="62232485" w:rsidR="006139D1" w:rsidRPr="00D246B2" w:rsidRDefault="006139D1" w:rsidP="006139D1">
      <w:pPr>
        <w:numPr>
          <w:ilvl w:val="1"/>
          <w:numId w:val="5"/>
        </w:numPr>
        <w:rPr>
          <w:b/>
        </w:rPr>
      </w:pPr>
      <w:r>
        <w:t xml:space="preserve">Pechanga Band of Luiseno Mission Indians of the Pechanga Reservation </w:t>
      </w:r>
    </w:p>
    <w:p w14:paraId="214FF1D1" w14:textId="476A5959" w:rsidR="00E55C3A" w:rsidRPr="00D246B2" w:rsidRDefault="00E55C3A" w:rsidP="00EA1EC4">
      <w:pPr>
        <w:numPr>
          <w:ilvl w:val="1"/>
          <w:numId w:val="5"/>
        </w:numPr>
        <w:rPr>
          <w:b/>
        </w:rPr>
      </w:pPr>
      <w:r>
        <w:t>Phoenix-Mesa, AZ</w:t>
      </w:r>
    </w:p>
    <w:p w14:paraId="789B331D" w14:textId="2F566AE7" w:rsidR="006139D1" w:rsidRPr="00D246B2" w:rsidRDefault="006139D1" w:rsidP="00EA1EC4">
      <w:pPr>
        <w:numPr>
          <w:ilvl w:val="1"/>
          <w:numId w:val="5"/>
        </w:numPr>
        <w:rPr>
          <w:b/>
        </w:rPr>
      </w:pPr>
      <w:r>
        <w:t>San Diego County, CA</w:t>
      </w:r>
    </w:p>
    <w:p w14:paraId="2B3F9DFB" w14:textId="37B6BDC6" w:rsidR="006139D1" w:rsidRPr="00EA1EC4" w:rsidRDefault="006139D1" w:rsidP="00EA1EC4">
      <w:pPr>
        <w:numPr>
          <w:ilvl w:val="1"/>
          <w:numId w:val="5"/>
        </w:numPr>
        <w:rPr>
          <w:b/>
        </w:rPr>
      </w:pPr>
      <w:r>
        <w:t>Sheboygan County, WI</w:t>
      </w:r>
    </w:p>
    <w:p w14:paraId="665C79F9" w14:textId="5B773DF3" w:rsidR="00674D0F" w:rsidRDefault="00674D0F" w:rsidP="000F6A4C">
      <w:pPr>
        <w:ind w:left="360"/>
      </w:pPr>
    </w:p>
    <w:p w14:paraId="20B4D1B5" w14:textId="53AD06C2" w:rsidR="00CB3528" w:rsidRPr="00EA1EC4" w:rsidRDefault="00CB3528" w:rsidP="000F6A4C">
      <w:pPr>
        <w:ind w:left="360"/>
      </w:pPr>
      <w:r>
        <w:tab/>
      </w:r>
      <w:r w:rsidR="006C2294">
        <w:t>In summary, the</w:t>
      </w:r>
      <w:r w:rsidR="006C2294" w:rsidRPr="00674D0F">
        <w:t xml:space="preserve"> </w:t>
      </w:r>
      <w:r w:rsidR="000B4541" w:rsidRPr="00674D0F">
        <w:t>EPA</w:t>
      </w:r>
      <w:r w:rsidR="00EF7E56">
        <w:t>’s</w:t>
      </w:r>
      <w:r w:rsidR="000B4541" w:rsidRPr="00674D0F">
        <w:t xml:space="preserve"> </w:t>
      </w:r>
      <w:r w:rsidR="00AF4C6D">
        <w:t xml:space="preserve">burden </w:t>
      </w:r>
      <w:r w:rsidR="00EF7E56">
        <w:t xml:space="preserve">estimate </w:t>
      </w:r>
      <w:r w:rsidR="00B700AE">
        <w:t>for this</w:t>
      </w:r>
      <w:r w:rsidR="00A01546">
        <w:t xml:space="preserve"> 3-year</w:t>
      </w:r>
      <w:r w:rsidR="00B700AE">
        <w:t xml:space="preserve"> ICR renewal covers</w:t>
      </w:r>
      <w:r w:rsidR="00AF4C6D">
        <w:t xml:space="preserve"> </w:t>
      </w:r>
      <w:r w:rsidR="00D246B2">
        <w:t>17</w:t>
      </w:r>
      <w:r w:rsidR="00B700AE" w:rsidRPr="00EA1EC4">
        <w:t xml:space="preserve"> </w:t>
      </w:r>
      <w:r w:rsidR="00426630" w:rsidRPr="00EA1EC4">
        <w:t>states with</w:t>
      </w:r>
      <w:r w:rsidR="000B4541" w:rsidRPr="00EA1EC4">
        <w:t xml:space="preserve"> </w:t>
      </w:r>
      <w:r w:rsidR="00AF4C6D">
        <w:t xml:space="preserve">jurisdiction over all or some portion of </w:t>
      </w:r>
      <w:r w:rsidR="008B22D6">
        <w:t>29</w:t>
      </w:r>
      <w:r w:rsidR="00B700AE" w:rsidRPr="00EA1EC4">
        <w:t xml:space="preserve"> </w:t>
      </w:r>
      <w:r w:rsidR="00F60529" w:rsidRPr="00EA1EC4">
        <w:t>nonattainment</w:t>
      </w:r>
      <w:r w:rsidR="000B4541" w:rsidRPr="00EA1EC4">
        <w:t xml:space="preserve"> areas</w:t>
      </w:r>
      <w:r w:rsidR="008A77C7">
        <w:t>,</w:t>
      </w:r>
      <w:r w:rsidR="000B4541" w:rsidRPr="00EA1EC4">
        <w:t xml:space="preserve"> </w:t>
      </w:r>
      <w:r w:rsidR="00F1665F">
        <w:t xml:space="preserve">and one </w:t>
      </w:r>
      <w:r w:rsidR="004D5384">
        <w:t>t</w:t>
      </w:r>
      <w:r w:rsidR="00F1665F">
        <w:t>ribal nonattainment area with EPA jurisdiction</w:t>
      </w:r>
      <w:r w:rsidR="008A77C7">
        <w:t>,</w:t>
      </w:r>
      <w:r w:rsidR="00F1665F">
        <w:t xml:space="preserve"> </w:t>
      </w:r>
      <w:r w:rsidR="00AF4C6D">
        <w:t xml:space="preserve">to meet </w:t>
      </w:r>
      <w:r w:rsidR="000B4541" w:rsidRPr="00EA1EC4">
        <w:t xml:space="preserve">obligations </w:t>
      </w:r>
      <w:r w:rsidR="006C2294" w:rsidRPr="00EA1EC4">
        <w:t>under the 2008 Ozone NAAQS SIP Requirements Rule</w:t>
      </w:r>
      <w:r w:rsidR="00AF4C6D">
        <w:t xml:space="preserve">. The total additional burden to states is estimated to be </w:t>
      </w:r>
      <w:r w:rsidR="00212225">
        <w:t>10</w:t>
      </w:r>
      <w:r w:rsidR="00D246B2">
        <w:t>2,000</w:t>
      </w:r>
      <w:r w:rsidR="006C2294" w:rsidRPr="00EA1EC4">
        <w:t xml:space="preserve"> burden hours</w:t>
      </w:r>
      <w:r w:rsidR="000B4541" w:rsidRPr="00EA1EC4">
        <w:t xml:space="preserve">. </w:t>
      </w:r>
      <w:r w:rsidRPr="00EA1EC4">
        <w:t xml:space="preserve">The </w:t>
      </w:r>
      <w:r w:rsidR="00F75D75" w:rsidRPr="00EA1EC4">
        <w:t>EPA</w:t>
      </w:r>
      <w:r w:rsidRPr="00EA1EC4">
        <w:t xml:space="preserve"> anticipates </w:t>
      </w:r>
      <w:r w:rsidR="006C2294" w:rsidRPr="00EA1EC4">
        <w:t xml:space="preserve">an </w:t>
      </w:r>
      <w:r w:rsidRPr="00EA1EC4">
        <w:t xml:space="preserve">additional administrative burden for the </w:t>
      </w:r>
      <w:r w:rsidR="00F75D75" w:rsidRPr="00EA1EC4">
        <w:t>EPA</w:t>
      </w:r>
      <w:r w:rsidRPr="00EA1EC4">
        <w:t xml:space="preserve"> of </w:t>
      </w:r>
      <w:r w:rsidR="00212225">
        <w:t>30</w:t>
      </w:r>
      <w:r w:rsidR="00D246B2">
        <w:t>,</w:t>
      </w:r>
      <w:r w:rsidR="00212225">
        <w:t>4</w:t>
      </w:r>
      <w:r w:rsidR="00D246B2">
        <w:t>80</w:t>
      </w:r>
      <w:r w:rsidRPr="00EA1EC4">
        <w:t xml:space="preserve"> hours</w:t>
      </w:r>
      <w:r w:rsidR="00E1146C">
        <w:t xml:space="preserve"> in order to review and approve the additional state submissions</w:t>
      </w:r>
      <w:r w:rsidR="001A088E">
        <w:t xml:space="preserve"> and address the Serious area planning requirements for </w:t>
      </w:r>
      <w:r w:rsidR="008A77C7">
        <w:t xml:space="preserve">the </w:t>
      </w:r>
      <w:r w:rsidR="004D5384">
        <w:t>t</w:t>
      </w:r>
      <w:r w:rsidR="001A088E">
        <w:t xml:space="preserve">ribal </w:t>
      </w:r>
      <w:r w:rsidR="008A77C7">
        <w:t>nonattainment area</w:t>
      </w:r>
      <w:r w:rsidRPr="00EA1EC4">
        <w:t xml:space="preserve">. </w:t>
      </w:r>
    </w:p>
    <w:p w14:paraId="53DDD92E" w14:textId="77777777" w:rsidR="00CB3528" w:rsidRPr="00EA1EC4" w:rsidRDefault="00CB3528" w:rsidP="000F6A4C">
      <w:pPr>
        <w:ind w:left="360"/>
      </w:pPr>
    </w:p>
    <w:p w14:paraId="00E19E0B" w14:textId="3751EC71" w:rsidR="00CB3528" w:rsidRPr="00674D0F" w:rsidRDefault="00CB3528" w:rsidP="000F6A4C">
      <w:pPr>
        <w:ind w:left="360"/>
      </w:pPr>
      <w:r w:rsidRPr="00EA1EC4">
        <w:tab/>
        <w:t xml:space="preserve">The total additional costs for state </w:t>
      </w:r>
      <w:r w:rsidR="006C2294" w:rsidRPr="00EA1EC4">
        <w:t xml:space="preserve">and local </w:t>
      </w:r>
      <w:r w:rsidRPr="00EA1EC4">
        <w:t>governments</w:t>
      </w:r>
      <w:r w:rsidR="003A31B7" w:rsidRPr="00EA1EC4">
        <w:t xml:space="preserve"> (respondents)</w:t>
      </w:r>
      <w:r w:rsidR="009F652A" w:rsidRPr="00EA1EC4">
        <w:t xml:space="preserve"> is</w:t>
      </w:r>
      <w:r w:rsidRPr="00EA1EC4">
        <w:t xml:space="preserve"> estimated at $</w:t>
      </w:r>
      <w:r w:rsidR="00212225">
        <w:t>6</w:t>
      </w:r>
      <w:r w:rsidR="00D246B2">
        <w:t>,</w:t>
      </w:r>
      <w:r w:rsidR="00212225">
        <w:t>933</w:t>
      </w:r>
      <w:r w:rsidR="00D246B2">
        <w:t>,</w:t>
      </w:r>
      <w:r w:rsidR="00212225">
        <w:t>000</w:t>
      </w:r>
      <w:r w:rsidRPr="00674D0F">
        <w:t xml:space="preserve">. </w:t>
      </w:r>
      <w:r w:rsidR="00112E35">
        <w:t>This equ</w:t>
      </w:r>
      <w:r w:rsidR="00A01546">
        <w:t>ates</w:t>
      </w:r>
      <w:r w:rsidR="00112E35">
        <w:t xml:space="preserve"> to a</w:t>
      </w:r>
      <w:r w:rsidR="00A01546">
        <w:t>n</w:t>
      </w:r>
      <w:r w:rsidR="00112E35">
        <w:t xml:space="preserve"> annual </w:t>
      </w:r>
      <w:r w:rsidR="00A01546">
        <w:t>average</w:t>
      </w:r>
      <w:r w:rsidR="00112E35">
        <w:t xml:space="preserve"> cost of</w:t>
      </w:r>
      <w:r w:rsidRPr="00674D0F">
        <w:t xml:space="preserve"> </w:t>
      </w:r>
      <w:r w:rsidRPr="00EA1EC4">
        <w:t>$</w:t>
      </w:r>
      <w:r w:rsidR="00212225">
        <w:t>2</w:t>
      </w:r>
      <w:r w:rsidR="00D246B2">
        <w:t>,</w:t>
      </w:r>
      <w:r w:rsidR="00212225">
        <w:t>311</w:t>
      </w:r>
      <w:r w:rsidR="00D246B2">
        <w:t>,</w:t>
      </w:r>
      <w:r w:rsidR="00212225">
        <w:t>000</w:t>
      </w:r>
      <w:r w:rsidRPr="00EA1EC4">
        <w:t xml:space="preserve"> </w:t>
      </w:r>
      <w:r w:rsidRPr="00674D0F">
        <w:t>during the 3</w:t>
      </w:r>
      <w:r w:rsidR="008D5473" w:rsidRPr="00674D0F">
        <w:t>-</w:t>
      </w:r>
      <w:r w:rsidRPr="00674D0F">
        <w:t xml:space="preserve">year period of the </w:t>
      </w:r>
      <w:r w:rsidR="00375C32">
        <w:t xml:space="preserve">renewed </w:t>
      </w:r>
      <w:r w:rsidRPr="00674D0F">
        <w:t>ICR.</w:t>
      </w:r>
    </w:p>
    <w:p w14:paraId="6A78C7C9" w14:textId="77777777" w:rsidR="00CB3528" w:rsidRPr="00792E2A" w:rsidRDefault="00CB3528" w:rsidP="000F6A4C">
      <w:pPr>
        <w:ind w:left="360"/>
        <w:rPr>
          <w:highlight w:val="yellow"/>
        </w:rPr>
      </w:pPr>
    </w:p>
    <w:p w14:paraId="36956847" w14:textId="7B9A5C51" w:rsidR="00CB3528" w:rsidRDefault="00CB3528" w:rsidP="000F6A4C">
      <w:pPr>
        <w:ind w:left="360"/>
      </w:pPr>
      <w:r w:rsidRPr="00674D0F">
        <w:tab/>
        <w:t xml:space="preserve">The </w:t>
      </w:r>
      <w:r w:rsidR="00DA35E4" w:rsidRPr="00EA1EC4">
        <w:t>EPA’s</w:t>
      </w:r>
      <w:r w:rsidRPr="00EA1EC4">
        <w:t xml:space="preserve"> </w:t>
      </w:r>
      <w:r w:rsidR="001024CB">
        <w:t xml:space="preserve">additional </w:t>
      </w:r>
      <w:r w:rsidRPr="00EA1EC4">
        <w:t>administrative cost burden is estimated at $</w:t>
      </w:r>
      <w:r w:rsidR="00212225">
        <w:t>2,037</w:t>
      </w:r>
      <w:r w:rsidR="00D246B2">
        <w:t>,</w:t>
      </w:r>
      <w:r w:rsidR="00212225">
        <w:t>000</w:t>
      </w:r>
      <w:r w:rsidRPr="00EA1EC4">
        <w:t>. This</w:t>
      </w:r>
      <w:r w:rsidR="004D5384">
        <w:t xml:space="preserve"> </w:t>
      </w:r>
      <w:r w:rsidRPr="00EA1EC4">
        <w:t>equ</w:t>
      </w:r>
      <w:r w:rsidR="00A01546">
        <w:t>ates</w:t>
      </w:r>
      <w:r w:rsidRPr="00EA1EC4">
        <w:t xml:space="preserve"> to a</w:t>
      </w:r>
      <w:r w:rsidR="00A01546">
        <w:t>n</w:t>
      </w:r>
      <w:r w:rsidR="00112E35" w:rsidRPr="00EA1EC4">
        <w:t xml:space="preserve"> </w:t>
      </w:r>
      <w:r w:rsidRPr="00EA1EC4">
        <w:t xml:space="preserve">annual </w:t>
      </w:r>
      <w:r w:rsidR="00A01546">
        <w:t>average</w:t>
      </w:r>
      <w:r w:rsidRPr="00EA1EC4">
        <w:t xml:space="preserve"> cost of $</w:t>
      </w:r>
      <w:r w:rsidR="00212225">
        <w:t>679</w:t>
      </w:r>
      <w:r w:rsidR="00D246B2">
        <w:t>,</w:t>
      </w:r>
      <w:r w:rsidR="00212225">
        <w:t>000</w:t>
      </w:r>
      <w:r w:rsidRPr="00EA1EC4">
        <w:t xml:space="preserve"> during the </w:t>
      </w:r>
      <w:r w:rsidR="00674D0F" w:rsidRPr="00EA1EC4">
        <w:t>3-</w:t>
      </w:r>
      <w:r w:rsidRPr="00EA1EC4">
        <w:t>year period</w:t>
      </w:r>
      <w:r w:rsidR="00F05148">
        <w:t xml:space="preserve"> of the renewed ICR</w:t>
      </w:r>
      <w:r w:rsidRPr="00EA1EC4">
        <w:t>.</w:t>
      </w:r>
      <w:r w:rsidR="00112E35" w:rsidRPr="00EA1EC4">
        <w:t xml:space="preserve"> Th</w:t>
      </w:r>
      <w:r w:rsidR="00BC068F">
        <w:t>e</w:t>
      </w:r>
      <w:r w:rsidR="00112E35" w:rsidRPr="00EA1EC4">
        <w:t xml:space="preserve"> annual </w:t>
      </w:r>
      <w:r w:rsidR="00A01546">
        <w:t>average</w:t>
      </w:r>
      <w:r w:rsidR="00A01546" w:rsidRPr="00EA1EC4">
        <w:t xml:space="preserve"> </w:t>
      </w:r>
      <w:r w:rsidR="00112E35" w:rsidRPr="00EA1EC4">
        <w:t xml:space="preserve">cost burden for states and </w:t>
      </w:r>
      <w:r w:rsidR="00A377AC">
        <w:t xml:space="preserve">the </w:t>
      </w:r>
      <w:r w:rsidR="00112E35" w:rsidRPr="00EA1EC4">
        <w:t xml:space="preserve">EPA </w:t>
      </w:r>
      <w:r w:rsidR="00BC068F">
        <w:t>is</w:t>
      </w:r>
      <w:r w:rsidR="00BC068F" w:rsidRPr="00EA1EC4">
        <w:t xml:space="preserve"> </w:t>
      </w:r>
      <w:r w:rsidR="00A01546">
        <w:t>calculat</w:t>
      </w:r>
      <w:r w:rsidR="00A01546" w:rsidRPr="00EA1EC4">
        <w:t xml:space="preserve">ed </w:t>
      </w:r>
      <w:r w:rsidR="00112E35" w:rsidRPr="00EA1EC4">
        <w:t xml:space="preserve">by averaging the </w:t>
      </w:r>
      <w:r w:rsidR="00A01546">
        <w:t xml:space="preserve">estimated </w:t>
      </w:r>
      <w:r w:rsidR="00112E35" w:rsidRPr="00EA1EC4">
        <w:t>cost burden over 3 years.</w:t>
      </w:r>
    </w:p>
    <w:p w14:paraId="1CCE2D35" w14:textId="77777777" w:rsidR="009E2F0A" w:rsidRDefault="009E2F0A" w:rsidP="000F6A4C">
      <w:pPr>
        <w:ind w:left="360"/>
      </w:pPr>
    </w:p>
    <w:p w14:paraId="2CA913AF" w14:textId="77777777" w:rsidR="00191AC6" w:rsidRDefault="00191AC6" w:rsidP="00A377AC">
      <w:pPr>
        <w:keepNext/>
        <w:ind w:left="360"/>
      </w:pPr>
    </w:p>
    <w:p w14:paraId="6D64FAB6" w14:textId="26F5973E" w:rsidR="00CB3528" w:rsidRPr="00432F8C" w:rsidRDefault="00CB3528" w:rsidP="00A377AC">
      <w:pPr>
        <w:keepNext/>
        <w:numPr>
          <w:ilvl w:val="0"/>
          <w:numId w:val="4"/>
        </w:numPr>
        <w:tabs>
          <w:tab w:val="clear" w:pos="1440"/>
          <w:tab w:val="num" w:pos="1080"/>
        </w:tabs>
        <w:rPr>
          <w:b/>
          <w:sz w:val="28"/>
          <w:szCs w:val="28"/>
        </w:rPr>
      </w:pPr>
      <w:r w:rsidRPr="00432F8C">
        <w:rPr>
          <w:b/>
          <w:sz w:val="28"/>
          <w:szCs w:val="28"/>
        </w:rPr>
        <w:t xml:space="preserve">Need </w:t>
      </w:r>
      <w:r w:rsidR="00BE5948" w:rsidRPr="00432F8C">
        <w:rPr>
          <w:b/>
          <w:sz w:val="28"/>
          <w:szCs w:val="28"/>
        </w:rPr>
        <w:t>for</w:t>
      </w:r>
      <w:r w:rsidRPr="00432F8C">
        <w:rPr>
          <w:b/>
          <w:sz w:val="28"/>
          <w:szCs w:val="28"/>
        </w:rPr>
        <w:t xml:space="preserve"> and Use of the Collection</w:t>
      </w:r>
    </w:p>
    <w:p w14:paraId="11C15D18" w14:textId="77777777" w:rsidR="00A01546" w:rsidRDefault="00A01546" w:rsidP="00A377AC">
      <w:pPr>
        <w:keepNext/>
        <w:ind w:left="360"/>
        <w:rPr>
          <w:b/>
        </w:rPr>
      </w:pPr>
    </w:p>
    <w:p w14:paraId="55F305A9" w14:textId="78AFF7C6" w:rsidR="00CB3528" w:rsidRDefault="00CB3528" w:rsidP="00A377AC">
      <w:pPr>
        <w:keepNext/>
        <w:ind w:left="360"/>
        <w:rPr>
          <w:b/>
        </w:rPr>
      </w:pPr>
      <w:r>
        <w:rPr>
          <w:b/>
        </w:rPr>
        <w:t>2(a)</w:t>
      </w:r>
      <w:r>
        <w:rPr>
          <w:b/>
        </w:rPr>
        <w:tab/>
        <w:t>Need/Authority for the Collection</w:t>
      </w:r>
    </w:p>
    <w:p w14:paraId="672D13D0" w14:textId="77777777" w:rsidR="00CB3528" w:rsidRDefault="00CB3528" w:rsidP="00A377AC">
      <w:pPr>
        <w:keepNext/>
        <w:ind w:left="360"/>
        <w:rPr>
          <w:b/>
        </w:rPr>
      </w:pPr>
    </w:p>
    <w:p w14:paraId="688AA79B" w14:textId="1451506E" w:rsidR="00CB3528" w:rsidRDefault="00CB3528" w:rsidP="00A377AC">
      <w:pPr>
        <w:keepNext/>
        <w:tabs>
          <w:tab w:val="left" w:pos="7560"/>
        </w:tabs>
        <w:ind w:left="360" w:firstLine="360"/>
      </w:pPr>
      <w:r>
        <w:t xml:space="preserve">Part D of Title I of the </w:t>
      </w:r>
      <w:r w:rsidR="001024CB">
        <w:t xml:space="preserve">CAA </w:t>
      </w:r>
      <w:r>
        <w:t xml:space="preserve">sets forth the plan (implementation) requirements for areas designated </w:t>
      </w:r>
      <w:r w:rsidR="00F60529">
        <w:t>nonattainment</w:t>
      </w:r>
      <w:r>
        <w:t xml:space="preserve"> with a promulgated </w:t>
      </w:r>
      <w:r w:rsidR="00D91FAD">
        <w:t xml:space="preserve">ozone </w:t>
      </w:r>
      <w:r>
        <w:t xml:space="preserve">National Ambient Air Quality Standard. When the CAA amendments of 1990 were enacted, the </w:t>
      </w:r>
      <w:r w:rsidR="00A26988">
        <w:t>s</w:t>
      </w:r>
      <w:r>
        <w:t xml:space="preserve">ubpart 2 provisions were specific to designated </w:t>
      </w:r>
      <w:r w:rsidR="00F60529">
        <w:t>nonattainment</w:t>
      </w:r>
      <w:r>
        <w:t xml:space="preserve"> areas for the 1-hour </w:t>
      </w:r>
      <w:r w:rsidR="00F75D75">
        <w:t>o</w:t>
      </w:r>
      <w:r>
        <w:t>zone NAAQS</w:t>
      </w:r>
      <w:r w:rsidR="00D91FAD">
        <w:t>.</w:t>
      </w:r>
      <w:r>
        <w:t xml:space="preserve"> </w:t>
      </w:r>
      <w:r w:rsidR="00D91FAD">
        <w:t>T</w:t>
      </w:r>
      <w:r>
        <w:t xml:space="preserve">hat standard was revised </w:t>
      </w:r>
      <w:r w:rsidR="00D91FAD">
        <w:t xml:space="preserve">in an 8-hour form </w:t>
      </w:r>
      <w:r>
        <w:t>in 1997</w:t>
      </w:r>
      <w:r w:rsidR="00D91FAD">
        <w:t>,</w:t>
      </w:r>
      <w:r w:rsidR="00D45BAD">
        <w:t xml:space="preserve"> and </w:t>
      </w:r>
      <w:r w:rsidR="00D91FAD">
        <w:t xml:space="preserve">the level of that 8-hour form was </w:t>
      </w:r>
      <w:r w:rsidR="00D45BAD">
        <w:t>further revised in 2008</w:t>
      </w:r>
      <w:r>
        <w:t xml:space="preserve">. </w:t>
      </w:r>
      <w:r w:rsidR="001024CB">
        <w:t xml:space="preserve">The EPA </w:t>
      </w:r>
      <w:r w:rsidR="00D91FAD">
        <w:t xml:space="preserve">interpreted </w:t>
      </w:r>
      <w:r w:rsidR="001024CB">
        <w:t>the CAA</w:t>
      </w:r>
      <w:r w:rsidR="00D91FAD">
        <w:t xml:space="preserve"> amendments’</w:t>
      </w:r>
      <w:r w:rsidR="001024CB">
        <w:t xml:space="preserve"> </w:t>
      </w:r>
      <w:r w:rsidR="00D91FAD">
        <w:t>subpart 2 implementation framework for the new 8-hour form in rulemakings promulgated in 2002 (for the 1997 NAAQS) and 2015 (for the 2008 NAAQS). Therefore, the current information collection requirements are dictated by the CAA and t</w:t>
      </w:r>
      <w:r>
        <w:t xml:space="preserve">he </w:t>
      </w:r>
      <w:r w:rsidR="002A3EA3" w:rsidRPr="00EA1EC4">
        <w:rPr>
          <w:i/>
        </w:rPr>
        <w:t>I</w:t>
      </w:r>
      <w:r w:rsidR="00F75D75" w:rsidRPr="00EA1EC4">
        <w:rPr>
          <w:i/>
        </w:rPr>
        <w:t xml:space="preserve">mplementation </w:t>
      </w:r>
      <w:r w:rsidR="002A3EA3" w:rsidRPr="00EA1EC4">
        <w:rPr>
          <w:i/>
        </w:rPr>
        <w:t>R</w:t>
      </w:r>
      <w:r w:rsidRPr="00EA1EC4">
        <w:rPr>
          <w:i/>
        </w:rPr>
        <w:t xml:space="preserve">ule </w:t>
      </w:r>
      <w:r w:rsidR="00F75D75" w:rsidRPr="00EA1EC4">
        <w:rPr>
          <w:i/>
        </w:rPr>
        <w:t xml:space="preserve">for the </w:t>
      </w:r>
      <w:r w:rsidR="00F54278" w:rsidRPr="00EA1EC4">
        <w:rPr>
          <w:i/>
        </w:rPr>
        <w:t>2008</w:t>
      </w:r>
      <w:r w:rsidR="00F75D75" w:rsidRPr="00EA1EC4">
        <w:rPr>
          <w:i/>
        </w:rPr>
        <w:t xml:space="preserve"> ozone NAAQS</w:t>
      </w:r>
      <w:r w:rsidR="007D3292">
        <w:rPr>
          <w:i/>
        </w:rPr>
        <w:t>:</w:t>
      </w:r>
      <w:r w:rsidR="00F75D75" w:rsidRPr="00EA1EC4">
        <w:rPr>
          <w:i/>
        </w:rPr>
        <w:t xml:space="preserve"> </w:t>
      </w:r>
      <w:r w:rsidR="00F54278" w:rsidRPr="00EA1EC4">
        <w:rPr>
          <w:i/>
        </w:rPr>
        <w:t>SIP Requirements</w:t>
      </w:r>
      <w:r w:rsidR="007D3292">
        <w:rPr>
          <w:i/>
        </w:rPr>
        <w:t>;</w:t>
      </w:r>
      <w:r w:rsidR="002A3EA3" w:rsidRPr="00EA1EC4">
        <w:rPr>
          <w:i/>
        </w:rPr>
        <w:t xml:space="preserve"> Final</w:t>
      </w:r>
      <w:r w:rsidR="00F54278" w:rsidRPr="00EA1EC4">
        <w:rPr>
          <w:i/>
        </w:rPr>
        <w:t xml:space="preserve"> Rule</w:t>
      </w:r>
      <w:r w:rsidR="00D91FAD" w:rsidRPr="00D91FAD">
        <w:t>, which</w:t>
      </w:r>
      <w:r w:rsidR="00F54278" w:rsidRPr="00D91FAD">
        <w:t xml:space="preserve"> </w:t>
      </w:r>
      <w:r>
        <w:t xml:space="preserve">was published </w:t>
      </w:r>
      <w:r w:rsidR="00033F77">
        <w:t>March 6, 2015 (80 FR 12264)</w:t>
      </w:r>
      <w:r>
        <w:t>.</w:t>
      </w:r>
      <w:r w:rsidR="00D91FAD" w:rsidDel="00D91FAD">
        <w:t xml:space="preserve"> </w:t>
      </w:r>
      <w:r>
        <w:t xml:space="preserve">This ICR is </w:t>
      </w:r>
      <w:r w:rsidR="000B4541">
        <w:t xml:space="preserve">the </w:t>
      </w:r>
      <w:r w:rsidR="00431F9C">
        <w:t>first</w:t>
      </w:r>
      <w:r w:rsidR="000B4541">
        <w:t xml:space="preserve"> 3-year </w:t>
      </w:r>
      <w:r w:rsidR="00395668">
        <w:t xml:space="preserve">renewal of the original ICR </w:t>
      </w:r>
      <w:r>
        <w:t xml:space="preserve">developed </w:t>
      </w:r>
      <w:r w:rsidR="00805057">
        <w:t>as a companion</w:t>
      </w:r>
      <w:r>
        <w:t xml:space="preserve"> to the implementation framework to fulfill requirements of the </w:t>
      </w:r>
      <w:r w:rsidR="004D5384">
        <w:t>PRA</w:t>
      </w:r>
      <w:r>
        <w:t>.</w:t>
      </w:r>
    </w:p>
    <w:p w14:paraId="2A4CC8BD" w14:textId="77777777" w:rsidR="00CB3528" w:rsidRDefault="00CB3528" w:rsidP="000F6A4C">
      <w:pPr>
        <w:ind w:left="360"/>
      </w:pPr>
    </w:p>
    <w:p w14:paraId="5EBDD5EC" w14:textId="77777777" w:rsidR="00F13A11" w:rsidRDefault="00F13A11" w:rsidP="000F6A4C">
      <w:pPr>
        <w:ind w:left="360"/>
      </w:pPr>
    </w:p>
    <w:p w14:paraId="33C4A1B7" w14:textId="77777777" w:rsidR="00CB3528" w:rsidRDefault="00CB3528" w:rsidP="000F6A4C">
      <w:pPr>
        <w:ind w:left="360"/>
        <w:rPr>
          <w:b/>
        </w:rPr>
      </w:pPr>
      <w:r>
        <w:rPr>
          <w:b/>
        </w:rPr>
        <w:t>2(</w:t>
      </w:r>
      <w:r w:rsidR="00BD10CD">
        <w:rPr>
          <w:b/>
        </w:rPr>
        <w:t>b</w:t>
      </w:r>
      <w:r>
        <w:rPr>
          <w:b/>
        </w:rPr>
        <w:t>)</w:t>
      </w:r>
      <w:r>
        <w:rPr>
          <w:b/>
        </w:rPr>
        <w:tab/>
        <w:t>User/Users of the Data</w:t>
      </w:r>
      <w:r>
        <w:rPr>
          <w:rStyle w:val="FootnoteReference"/>
          <w:b/>
        </w:rPr>
        <w:footnoteReference w:id="3"/>
      </w:r>
      <w:r>
        <w:rPr>
          <w:b/>
        </w:rPr>
        <w:t xml:space="preserve"> </w:t>
      </w:r>
    </w:p>
    <w:p w14:paraId="197CC14D" w14:textId="77777777" w:rsidR="00A079DD" w:rsidRDefault="00A079DD" w:rsidP="000F6A4C">
      <w:pPr>
        <w:ind w:left="360"/>
        <w:rPr>
          <w:b/>
        </w:rPr>
      </w:pPr>
    </w:p>
    <w:p w14:paraId="621055F3" w14:textId="579BBFE0" w:rsidR="00CB3528" w:rsidRDefault="00CB3528" w:rsidP="000F6A4C">
      <w:pPr>
        <w:ind w:left="360"/>
      </w:pPr>
      <w:r>
        <w:rPr>
          <w:b/>
        </w:rPr>
        <w:tab/>
      </w:r>
      <w:r>
        <w:t xml:space="preserve">The </w:t>
      </w:r>
      <w:r w:rsidR="00EC5A51">
        <w:t xml:space="preserve">information </w:t>
      </w:r>
      <w:r>
        <w:t xml:space="preserve">collected from respondents include attainment </w:t>
      </w:r>
      <w:r w:rsidR="00BA57AC">
        <w:t xml:space="preserve">plan SIP submissions (including attainment </w:t>
      </w:r>
      <w:r>
        <w:t>demonstrations</w:t>
      </w:r>
      <w:r w:rsidR="00B95784">
        <w:t xml:space="preserve"> and contingency measures</w:t>
      </w:r>
      <w:r w:rsidR="00BA57AC">
        <w:t>)</w:t>
      </w:r>
      <w:r>
        <w:t xml:space="preserve">, RFP </w:t>
      </w:r>
      <w:r w:rsidR="00BA57AC">
        <w:t xml:space="preserve">plan </w:t>
      </w:r>
      <w:r>
        <w:t>SIP submissions, RACT SIP submissions</w:t>
      </w:r>
      <w:r w:rsidR="00DD20A9">
        <w:t xml:space="preserve"> and, at the discretion of the state, </w:t>
      </w:r>
      <w:r w:rsidR="001A3F32">
        <w:t xml:space="preserve">requests for redesignation to attainment </w:t>
      </w:r>
      <w:r w:rsidR="00E1143E">
        <w:t>for</w:t>
      </w:r>
      <w:r w:rsidR="001A3F32">
        <w:t xml:space="preserve"> those areas that </w:t>
      </w:r>
      <w:r w:rsidR="00E1143E">
        <w:t>are eligible</w:t>
      </w:r>
      <w:r>
        <w:t xml:space="preserve">. The attainment </w:t>
      </w:r>
      <w:r w:rsidR="00BA57AC">
        <w:t>plan</w:t>
      </w:r>
      <w:r w:rsidR="00B95784">
        <w:t>/</w:t>
      </w:r>
      <w:r>
        <w:t xml:space="preserve">demonstration </w:t>
      </w:r>
      <w:r w:rsidR="00B95784">
        <w:t xml:space="preserve">SIP </w:t>
      </w:r>
      <w:r>
        <w:t>indicate</w:t>
      </w:r>
      <w:r w:rsidR="000228FD">
        <w:t>s</w:t>
      </w:r>
      <w:r>
        <w:t xml:space="preserve"> what emission reductions are necessary </w:t>
      </w:r>
      <w:r w:rsidR="00BA57AC">
        <w:t>for timely</w:t>
      </w:r>
      <w:r>
        <w:t xml:space="preserve"> attain</w:t>
      </w:r>
      <w:r w:rsidR="00BA57AC">
        <w:t>ment</w:t>
      </w:r>
      <w:r>
        <w:t xml:space="preserve"> </w:t>
      </w:r>
      <w:r w:rsidR="00BA57AC">
        <w:t>of</w:t>
      </w:r>
      <w:r>
        <w:t xml:space="preserve"> the </w:t>
      </w:r>
      <w:r w:rsidR="00F54278">
        <w:t>2008</w:t>
      </w:r>
      <w:r w:rsidR="00F75D75">
        <w:t xml:space="preserve"> o</w:t>
      </w:r>
      <w:r>
        <w:t>zone NAAQS.</w:t>
      </w:r>
      <w:r w:rsidR="00FA5F1B">
        <w:t xml:space="preserve"> </w:t>
      </w:r>
      <w:r>
        <w:t xml:space="preserve">The RFP </w:t>
      </w:r>
      <w:r w:rsidR="00BA57AC">
        <w:t xml:space="preserve">plan </w:t>
      </w:r>
      <w:r>
        <w:t xml:space="preserve">SIP describes how the RFP obligation will be met by the affected </w:t>
      </w:r>
      <w:r w:rsidR="00F60529">
        <w:t>nonattainment</w:t>
      </w:r>
      <w:r>
        <w:t xml:space="preserve"> areas as emission reductions </w:t>
      </w:r>
      <w:r w:rsidR="00BA57AC">
        <w:t xml:space="preserve">in the attainment plan </w:t>
      </w:r>
      <w:r>
        <w:t xml:space="preserve">are </w:t>
      </w:r>
      <w:r w:rsidR="00EC5A51">
        <w:t>achieved</w:t>
      </w:r>
      <w:r>
        <w:t xml:space="preserve"> over time. The RACT SIP </w:t>
      </w:r>
      <w:r w:rsidR="00EC5A51">
        <w:t xml:space="preserve">includes </w:t>
      </w:r>
      <w:r>
        <w:t xml:space="preserve">the assessment of </w:t>
      </w:r>
      <w:r w:rsidR="00BA57AC">
        <w:t xml:space="preserve">available </w:t>
      </w:r>
      <w:r>
        <w:t xml:space="preserve">controls on affected sources of emissions to </w:t>
      </w:r>
      <w:r w:rsidR="00BA57AC">
        <w:t>determine whether</w:t>
      </w:r>
      <w:r>
        <w:t xml:space="preserve"> they meet RACT requirements.</w:t>
      </w:r>
      <w:r w:rsidR="00FA5F1B">
        <w:t xml:space="preserve"> </w:t>
      </w:r>
      <w:r w:rsidR="00EC5A51">
        <w:t xml:space="preserve">In many cases, </w:t>
      </w:r>
      <w:r>
        <w:t xml:space="preserve">RACT requirements can </w:t>
      </w:r>
      <w:r w:rsidR="00EC5A51">
        <w:t xml:space="preserve">also </w:t>
      </w:r>
      <w:r>
        <w:t xml:space="preserve">be used to meet RFP </w:t>
      </w:r>
      <w:r w:rsidR="00BA57AC">
        <w:t xml:space="preserve">plan </w:t>
      </w:r>
      <w:r>
        <w:t xml:space="preserve">requirements. </w:t>
      </w:r>
      <w:r w:rsidR="00BA57AC">
        <w:t xml:space="preserve">The redesignation request </w:t>
      </w:r>
      <w:r w:rsidR="00B62F45">
        <w:t xml:space="preserve">must </w:t>
      </w:r>
      <w:r w:rsidR="00BA57AC">
        <w:t>include a 10-year plan</w:t>
      </w:r>
      <w:r w:rsidR="009D4303">
        <w:t xml:space="preserve"> for maintaining the NAAQS and a contingency measure plan for responding to any future violations of the NAAQS</w:t>
      </w:r>
      <w:r w:rsidR="00BA57AC">
        <w:t xml:space="preserve">. </w:t>
      </w:r>
      <w:r w:rsidR="00EC5A51">
        <w:t xml:space="preserve">Together, steps that air agencies take to meet </w:t>
      </w:r>
      <w:r>
        <w:t xml:space="preserve">RACT and RFP requirements can be used to satisfy the emission reduction requirements </w:t>
      </w:r>
      <w:r w:rsidR="00BA57AC">
        <w:t xml:space="preserve">necessary </w:t>
      </w:r>
      <w:r>
        <w:t xml:space="preserve">to </w:t>
      </w:r>
      <w:r w:rsidR="00BA57AC">
        <w:t xml:space="preserve">timely </w:t>
      </w:r>
      <w:r>
        <w:t xml:space="preserve">attain and </w:t>
      </w:r>
      <w:r w:rsidR="00BA57AC">
        <w:t xml:space="preserve">subsequently </w:t>
      </w:r>
      <w:r>
        <w:t xml:space="preserve">maintain the </w:t>
      </w:r>
      <w:r w:rsidR="00D45BAD">
        <w:t>2008</w:t>
      </w:r>
      <w:r w:rsidR="00F75D75">
        <w:t xml:space="preserve"> o</w:t>
      </w:r>
      <w:r>
        <w:t>zone NAAQS.</w:t>
      </w:r>
    </w:p>
    <w:p w14:paraId="5E1E7715" w14:textId="77777777" w:rsidR="00CB3528" w:rsidRDefault="00CB3528" w:rsidP="000F6A4C">
      <w:pPr>
        <w:ind w:left="360"/>
      </w:pPr>
    </w:p>
    <w:p w14:paraId="51CB4435" w14:textId="5B2455A7" w:rsidR="00CB3528" w:rsidRDefault="00CB3528" w:rsidP="000F6A4C">
      <w:pPr>
        <w:ind w:left="360"/>
      </w:pPr>
      <w:r>
        <w:tab/>
        <w:t xml:space="preserve">The regional and headquarters EPA use the information </w:t>
      </w:r>
      <w:r w:rsidR="00E1143E">
        <w:t xml:space="preserve">contained in these submissions to </w:t>
      </w:r>
      <w:r w:rsidR="009D4303">
        <w:t xml:space="preserve">perform the federal </w:t>
      </w:r>
      <w:r w:rsidR="000228FD">
        <w:t xml:space="preserve">review and </w:t>
      </w:r>
      <w:r w:rsidR="009D4303">
        <w:t xml:space="preserve">oversight functions prescribed in the CAA, including </w:t>
      </w:r>
      <w:r w:rsidR="00E1143E">
        <w:t>determin</w:t>
      </w:r>
      <w:r w:rsidR="009D4303">
        <w:t>ing</w:t>
      </w:r>
      <w:r w:rsidR="00E1143E">
        <w:t xml:space="preserve"> whether states have adopted adequate </w:t>
      </w:r>
      <w:r w:rsidR="009D4303">
        <w:t xml:space="preserve">emissions </w:t>
      </w:r>
      <w:r w:rsidR="00E1143E">
        <w:t xml:space="preserve">control strategies for their particular nonattainment areas to ensure timely attainment </w:t>
      </w:r>
      <w:r w:rsidR="009D4303">
        <w:t xml:space="preserve">and maintenance </w:t>
      </w:r>
      <w:r w:rsidR="00E1143E">
        <w:t xml:space="preserve">of the 2008 ozone NAAQS. </w:t>
      </w:r>
    </w:p>
    <w:p w14:paraId="7E048E73" w14:textId="77777777" w:rsidR="00CB3528" w:rsidRDefault="00CB3528" w:rsidP="000F6A4C">
      <w:pPr>
        <w:ind w:left="360"/>
      </w:pPr>
    </w:p>
    <w:p w14:paraId="0FD9D2E2" w14:textId="77777777" w:rsidR="00CB3528" w:rsidRDefault="00CB3528" w:rsidP="000F6A4C">
      <w:pPr>
        <w:ind w:left="360"/>
      </w:pPr>
    </w:p>
    <w:p w14:paraId="327BDA61" w14:textId="77777777" w:rsidR="00CB3528" w:rsidRDefault="00CB3528" w:rsidP="00A377AC">
      <w:pPr>
        <w:keepNext/>
        <w:numPr>
          <w:ilvl w:val="0"/>
          <w:numId w:val="4"/>
        </w:numPr>
        <w:tabs>
          <w:tab w:val="clear" w:pos="1440"/>
          <w:tab w:val="num" w:pos="1080"/>
        </w:tabs>
        <w:rPr>
          <w:b/>
          <w:sz w:val="28"/>
          <w:szCs w:val="28"/>
        </w:rPr>
      </w:pPr>
      <w:r>
        <w:rPr>
          <w:b/>
          <w:sz w:val="28"/>
          <w:szCs w:val="28"/>
        </w:rPr>
        <w:t>Non-Duplication, Consultation, and Other Collection Criteria</w:t>
      </w:r>
    </w:p>
    <w:p w14:paraId="54759081" w14:textId="77777777" w:rsidR="00CB3528" w:rsidRDefault="00CB3528" w:rsidP="00A377AC">
      <w:pPr>
        <w:keepNext/>
        <w:ind w:left="360"/>
      </w:pPr>
    </w:p>
    <w:p w14:paraId="3D3599D4" w14:textId="77777777" w:rsidR="00CB3528" w:rsidRDefault="00CB3528" w:rsidP="00A377AC">
      <w:pPr>
        <w:keepNext/>
        <w:ind w:left="360"/>
        <w:rPr>
          <w:b/>
        </w:rPr>
      </w:pPr>
      <w:r>
        <w:rPr>
          <w:b/>
        </w:rPr>
        <w:t>3(a)</w:t>
      </w:r>
      <w:r>
        <w:rPr>
          <w:b/>
        </w:rPr>
        <w:tab/>
        <w:t>Non-Duplication</w:t>
      </w:r>
    </w:p>
    <w:p w14:paraId="4C5B223F" w14:textId="77777777" w:rsidR="00CB3528" w:rsidRDefault="00CB3528" w:rsidP="00A377AC">
      <w:pPr>
        <w:keepNext/>
        <w:ind w:left="360"/>
        <w:rPr>
          <w:b/>
        </w:rPr>
      </w:pPr>
    </w:p>
    <w:p w14:paraId="5F3DA89F" w14:textId="21A4A1C4" w:rsidR="00CB3528" w:rsidRDefault="00CB3528" w:rsidP="00A377AC">
      <w:pPr>
        <w:keepNext/>
        <w:ind w:left="360"/>
      </w:pPr>
      <w:r>
        <w:rPr>
          <w:b/>
        </w:rPr>
        <w:tab/>
      </w:r>
      <w:r>
        <w:t xml:space="preserve">There are </w:t>
      </w:r>
      <w:r w:rsidR="002B5CE4">
        <w:t xml:space="preserve">four </w:t>
      </w:r>
      <w:r>
        <w:t>parts to the information collection for this ICR: the attainment</w:t>
      </w:r>
      <w:r w:rsidR="000228FD">
        <w:t xml:space="preserve"> plan/</w:t>
      </w:r>
      <w:r>
        <w:t>demonstration</w:t>
      </w:r>
      <w:r w:rsidR="000228FD">
        <w:t xml:space="preserve"> SIP submission</w:t>
      </w:r>
      <w:r>
        <w:t>, RFP SIP submission, RACT SIP submission</w:t>
      </w:r>
      <w:r w:rsidR="002B5CE4">
        <w:t xml:space="preserve">, and </w:t>
      </w:r>
      <w:r w:rsidR="00327683">
        <w:t>redesignation request/</w:t>
      </w:r>
      <w:r w:rsidR="002B5CE4">
        <w:t>maintenance plan</w:t>
      </w:r>
      <w:r>
        <w:t>.</w:t>
      </w:r>
    </w:p>
    <w:p w14:paraId="5B7ABE84" w14:textId="77777777" w:rsidR="00CB3528" w:rsidRDefault="00CB3528" w:rsidP="000F6A4C">
      <w:pPr>
        <w:ind w:left="360"/>
      </w:pPr>
    </w:p>
    <w:p w14:paraId="0EEBB73B" w14:textId="7434034E" w:rsidR="00CB3528" w:rsidRDefault="00CB3528" w:rsidP="000F6A4C">
      <w:pPr>
        <w:ind w:left="360"/>
      </w:pPr>
      <w:r>
        <w:tab/>
        <w:t xml:space="preserve">There are other activities covered by existing ICRs which complement the activities required for the attainment </w:t>
      </w:r>
      <w:r w:rsidR="00253967">
        <w:t>plan/</w:t>
      </w:r>
      <w:r>
        <w:t>demonstration</w:t>
      </w:r>
      <w:r w:rsidR="00253967">
        <w:t xml:space="preserve"> </w:t>
      </w:r>
      <w:r w:rsidR="00DA671D">
        <w:t>SIP submission</w:t>
      </w:r>
      <w:r>
        <w:t>, RFP SIP submission, and RACT SIP submission</w:t>
      </w:r>
      <w:r w:rsidR="00DA671D">
        <w:t>, as well as redesignation requests</w:t>
      </w:r>
      <w:r>
        <w:t>.</w:t>
      </w:r>
      <w:r w:rsidR="00FA5F1B">
        <w:t xml:space="preserve"> </w:t>
      </w:r>
      <w:r>
        <w:t>One example is the Consolidated Emissions Reporting Rule. Salient ICRs and their titles are identified below.</w:t>
      </w:r>
      <w:r w:rsidR="00821502">
        <w:t xml:space="preserve"> </w:t>
      </w:r>
    </w:p>
    <w:p w14:paraId="03E10DC8" w14:textId="77777777" w:rsidR="00CB3528" w:rsidRDefault="00CB3528" w:rsidP="000F6A4C">
      <w:pPr>
        <w:ind w:left="360"/>
      </w:pPr>
    </w:p>
    <w:p w14:paraId="6BDA5FBC" w14:textId="77777777" w:rsidR="00CB3528" w:rsidRDefault="00CB3528" w:rsidP="00756E81">
      <w:pPr>
        <w:numPr>
          <w:ilvl w:val="0"/>
          <w:numId w:val="18"/>
        </w:numPr>
        <w:tabs>
          <w:tab w:val="clear" w:pos="1080"/>
          <w:tab w:val="num" w:pos="720"/>
        </w:tabs>
      </w:pPr>
      <w:r>
        <w:t>Requirements for Preparation, Adoption, and Submittal of Implementation Plans</w:t>
      </w:r>
    </w:p>
    <w:p w14:paraId="3397A456" w14:textId="0E874728" w:rsidR="00CB3528" w:rsidRDefault="00CB3528" w:rsidP="00756E81">
      <w:pPr>
        <w:numPr>
          <w:ilvl w:val="1"/>
          <w:numId w:val="18"/>
        </w:numPr>
        <w:tabs>
          <w:tab w:val="clear" w:pos="1800"/>
          <w:tab w:val="num" w:pos="1440"/>
        </w:tabs>
      </w:pPr>
      <w:r>
        <w:t>51.121-51.122</w:t>
      </w:r>
      <w:r w:rsidR="00821502">
        <w:t xml:space="preserve"> </w:t>
      </w:r>
      <w:r>
        <w:t>NOx SIP Call……………………………</w:t>
      </w:r>
      <w:r w:rsidR="00F75D75">
        <w:t>..</w:t>
      </w:r>
      <w:r w:rsidR="008A77C7">
        <w:t>.</w:t>
      </w:r>
      <w:r w:rsidR="00BD10CD">
        <w:t>2</w:t>
      </w:r>
      <w:r>
        <w:t>060-0445</w:t>
      </w:r>
    </w:p>
    <w:p w14:paraId="5B884697" w14:textId="77777777" w:rsidR="00CB3528" w:rsidRDefault="00CB3528" w:rsidP="00756E81">
      <w:pPr>
        <w:numPr>
          <w:ilvl w:val="1"/>
          <w:numId w:val="18"/>
        </w:numPr>
        <w:tabs>
          <w:tab w:val="clear" w:pos="1800"/>
          <w:tab w:val="num" w:pos="1440"/>
        </w:tabs>
      </w:pPr>
      <w:r>
        <w:t>51.160-51.166</w:t>
      </w:r>
      <w:r w:rsidR="00821502">
        <w:t xml:space="preserve"> </w:t>
      </w:r>
      <w:r>
        <w:t>New Source Review.......................………</w:t>
      </w:r>
      <w:r w:rsidR="00BD10CD">
        <w:t>.</w:t>
      </w:r>
      <w:r>
        <w:t>2060-0003</w:t>
      </w:r>
    </w:p>
    <w:p w14:paraId="1608F669" w14:textId="77777777" w:rsidR="00CB3528" w:rsidRDefault="00CB3528" w:rsidP="00756E81">
      <w:pPr>
        <w:numPr>
          <w:ilvl w:val="1"/>
          <w:numId w:val="18"/>
        </w:numPr>
        <w:tabs>
          <w:tab w:val="clear" w:pos="1800"/>
          <w:tab w:val="num" w:pos="1440"/>
        </w:tabs>
      </w:pPr>
      <w:r>
        <w:t>51.321-51.323</w:t>
      </w:r>
      <w:r w:rsidR="00821502">
        <w:t xml:space="preserve"> </w:t>
      </w:r>
      <w:r>
        <w:t>Air Quality Data Reporting………………</w:t>
      </w:r>
      <w:r w:rsidR="00BD10CD">
        <w:t>..</w:t>
      </w:r>
      <w:r>
        <w:t>2060-0088</w:t>
      </w:r>
    </w:p>
    <w:p w14:paraId="70E1CEAB" w14:textId="77777777" w:rsidR="00CB3528" w:rsidRDefault="00CB3528" w:rsidP="00756E81">
      <w:pPr>
        <w:numPr>
          <w:ilvl w:val="1"/>
          <w:numId w:val="18"/>
        </w:numPr>
        <w:tabs>
          <w:tab w:val="clear" w:pos="1800"/>
          <w:tab w:val="num" w:pos="1440"/>
        </w:tabs>
      </w:pPr>
      <w:r>
        <w:t>51.353-51.354</w:t>
      </w:r>
      <w:r w:rsidR="00821502">
        <w:t xml:space="preserve"> </w:t>
      </w:r>
      <w:r>
        <w:t>Inspection/Maintenance…………………</w:t>
      </w:r>
      <w:r w:rsidR="00BD10CD">
        <w:t>…</w:t>
      </w:r>
      <w:r>
        <w:t>2060-0252</w:t>
      </w:r>
    </w:p>
    <w:p w14:paraId="21C25CA0" w14:textId="77777777" w:rsidR="00CB3528" w:rsidRDefault="00CB3528" w:rsidP="00756E81">
      <w:pPr>
        <w:numPr>
          <w:ilvl w:val="1"/>
          <w:numId w:val="18"/>
        </w:numPr>
        <w:tabs>
          <w:tab w:val="clear" w:pos="1800"/>
          <w:tab w:val="num" w:pos="1440"/>
        </w:tabs>
      </w:pPr>
      <w:r>
        <w:t>51.365-51.366</w:t>
      </w:r>
      <w:r w:rsidR="00821502">
        <w:t xml:space="preserve"> </w:t>
      </w:r>
      <w:r>
        <w:t>Inspection/Maintenance…………………</w:t>
      </w:r>
      <w:r w:rsidR="00BD10CD">
        <w:t>…</w:t>
      </w:r>
      <w:r>
        <w:t>2060-0252</w:t>
      </w:r>
    </w:p>
    <w:p w14:paraId="38682C2F" w14:textId="77777777" w:rsidR="00CB3528" w:rsidRDefault="00CB3528" w:rsidP="00756E81">
      <w:pPr>
        <w:numPr>
          <w:ilvl w:val="0"/>
          <w:numId w:val="18"/>
        </w:numPr>
        <w:tabs>
          <w:tab w:val="clear" w:pos="1080"/>
          <w:tab w:val="num" w:pos="720"/>
        </w:tabs>
      </w:pPr>
      <w:r>
        <w:t>Approval and Promulgation of Implementation Plans</w:t>
      </w:r>
    </w:p>
    <w:p w14:paraId="0F73DA8C" w14:textId="77777777" w:rsidR="00CB3528" w:rsidRDefault="00CB3528" w:rsidP="00756E81">
      <w:pPr>
        <w:numPr>
          <w:ilvl w:val="1"/>
          <w:numId w:val="18"/>
        </w:numPr>
        <w:tabs>
          <w:tab w:val="clear" w:pos="1800"/>
          <w:tab w:val="num" w:pos="1440"/>
        </w:tabs>
      </w:pPr>
      <w:r>
        <w:t>52.21 Prevention of Significant Deterioration…..………</w:t>
      </w:r>
      <w:r w:rsidR="00BD10CD">
        <w:t>….</w:t>
      </w:r>
      <w:r>
        <w:t>2060-0003</w:t>
      </w:r>
    </w:p>
    <w:p w14:paraId="6A93EDAC" w14:textId="77777777" w:rsidR="00CB3528" w:rsidRDefault="00CB3528" w:rsidP="00756E81">
      <w:pPr>
        <w:numPr>
          <w:ilvl w:val="0"/>
          <w:numId w:val="18"/>
        </w:numPr>
        <w:tabs>
          <w:tab w:val="clear" w:pos="1080"/>
          <w:tab w:val="num" w:pos="720"/>
        </w:tabs>
      </w:pPr>
      <w:r>
        <w:t>Ambient Air Monitoring Reference and Equivalent Methods</w:t>
      </w:r>
    </w:p>
    <w:p w14:paraId="4811BDE5" w14:textId="77777777" w:rsidR="00CB3528" w:rsidRDefault="00CB3528" w:rsidP="00756E81">
      <w:pPr>
        <w:numPr>
          <w:ilvl w:val="1"/>
          <w:numId w:val="18"/>
        </w:numPr>
        <w:tabs>
          <w:tab w:val="clear" w:pos="1800"/>
          <w:tab w:val="num" w:pos="1440"/>
        </w:tabs>
      </w:pPr>
      <w:r>
        <w:t>53.4 ………………………………………………………</w:t>
      </w:r>
      <w:r w:rsidR="00BD10CD">
        <w:t>…</w:t>
      </w:r>
      <w:r>
        <w:t>2080-0005</w:t>
      </w:r>
    </w:p>
    <w:p w14:paraId="6BAECEEF" w14:textId="77777777" w:rsidR="00CB3528" w:rsidRDefault="00CB3528" w:rsidP="00756E81">
      <w:pPr>
        <w:numPr>
          <w:ilvl w:val="1"/>
          <w:numId w:val="18"/>
        </w:numPr>
        <w:tabs>
          <w:tab w:val="clear" w:pos="1800"/>
          <w:tab w:val="num" w:pos="1440"/>
        </w:tabs>
      </w:pPr>
      <w:r>
        <w:t>53.9(f),(h),(i)……………………………………………….</w:t>
      </w:r>
      <w:r w:rsidR="00BD10CD">
        <w:t>.</w:t>
      </w:r>
      <w:r>
        <w:t>2080-0005</w:t>
      </w:r>
    </w:p>
    <w:p w14:paraId="2C459160" w14:textId="77777777" w:rsidR="00CB3528" w:rsidRDefault="00CB3528" w:rsidP="00756E81">
      <w:pPr>
        <w:numPr>
          <w:ilvl w:val="1"/>
          <w:numId w:val="18"/>
        </w:numPr>
        <w:tabs>
          <w:tab w:val="clear" w:pos="1800"/>
          <w:tab w:val="num" w:pos="1440"/>
        </w:tabs>
      </w:pPr>
      <w:r>
        <w:t>53.14………………………………………………………</w:t>
      </w:r>
      <w:r w:rsidR="00BD10CD">
        <w:t>...</w:t>
      </w:r>
      <w:r>
        <w:t>2080-0005</w:t>
      </w:r>
    </w:p>
    <w:p w14:paraId="03E6CEBE" w14:textId="77777777" w:rsidR="00CB3528" w:rsidRDefault="00CB3528" w:rsidP="00756E81">
      <w:pPr>
        <w:numPr>
          <w:ilvl w:val="1"/>
          <w:numId w:val="18"/>
        </w:numPr>
        <w:tabs>
          <w:tab w:val="clear" w:pos="1800"/>
          <w:tab w:val="num" w:pos="1440"/>
        </w:tabs>
      </w:pPr>
      <w:r>
        <w:t>53.15 ………………………………………………………</w:t>
      </w:r>
      <w:r w:rsidR="00BD10CD">
        <w:t>..</w:t>
      </w:r>
      <w:r>
        <w:t>2080-0005</w:t>
      </w:r>
    </w:p>
    <w:p w14:paraId="489611B6" w14:textId="77777777" w:rsidR="00CB3528" w:rsidRDefault="00CB3528" w:rsidP="00756E81">
      <w:pPr>
        <w:numPr>
          <w:ilvl w:val="1"/>
          <w:numId w:val="18"/>
        </w:numPr>
        <w:tabs>
          <w:tab w:val="clear" w:pos="1800"/>
          <w:tab w:val="num" w:pos="1440"/>
        </w:tabs>
      </w:pPr>
      <w:r>
        <w:t>53.16(a)-(d),(f)……………………………………………</w:t>
      </w:r>
      <w:r w:rsidR="00BD10CD">
        <w:t>…</w:t>
      </w:r>
      <w:r>
        <w:t>2080-0005</w:t>
      </w:r>
    </w:p>
    <w:p w14:paraId="40323FEB" w14:textId="77777777" w:rsidR="00CB3528" w:rsidRDefault="00CB3528" w:rsidP="00756E81">
      <w:pPr>
        <w:numPr>
          <w:ilvl w:val="0"/>
          <w:numId w:val="18"/>
        </w:numPr>
        <w:tabs>
          <w:tab w:val="clear" w:pos="1080"/>
          <w:tab w:val="num" w:pos="720"/>
        </w:tabs>
      </w:pPr>
      <w:r>
        <w:t>Outer Continental Shelf Air Regulations</w:t>
      </w:r>
    </w:p>
    <w:p w14:paraId="62CAFB2D" w14:textId="77777777" w:rsidR="00CB3528" w:rsidRDefault="00CB3528" w:rsidP="00756E81">
      <w:pPr>
        <w:numPr>
          <w:ilvl w:val="1"/>
          <w:numId w:val="18"/>
        </w:numPr>
        <w:tabs>
          <w:tab w:val="clear" w:pos="1800"/>
          <w:tab w:val="num" w:pos="1440"/>
        </w:tabs>
      </w:pPr>
      <w:r>
        <w:t>55.4-55.8 …………………………………………………</w:t>
      </w:r>
      <w:r w:rsidR="00BD10CD">
        <w:t>.</w:t>
      </w:r>
      <w:r>
        <w:t>..2060-0249</w:t>
      </w:r>
    </w:p>
    <w:p w14:paraId="2012E144" w14:textId="77777777" w:rsidR="00CB3528" w:rsidRDefault="00CB3528" w:rsidP="00756E81">
      <w:pPr>
        <w:numPr>
          <w:ilvl w:val="1"/>
          <w:numId w:val="18"/>
        </w:numPr>
        <w:tabs>
          <w:tab w:val="clear" w:pos="1800"/>
          <w:tab w:val="num" w:pos="1440"/>
        </w:tabs>
      </w:pPr>
      <w:r>
        <w:t>55.11-55.14 ………………………………………………</w:t>
      </w:r>
      <w:r w:rsidR="00BD10CD">
        <w:t>.</w:t>
      </w:r>
      <w:r>
        <w:t>..2060-0249</w:t>
      </w:r>
    </w:p>
    <w:p w14:paraId="0F58A11B" w14:textId="77777777" w:rsidR="00CB3528" w:rsidRDefault="00CB3528" w:rsidP="00756E81">
      <w:pPr>
        <w:numPr>
          <w:ilvl w:val="0"/>
          <w:numId w:val="18"/>
        </w:numPr>
        <w:tabs>
          <w:tab w:val="clear" w:pos="1080"/>
          <w:tab w:val="num" w:pos="720"/>
        </w:tabs>
      </w:pPr>
      <w:r>
        <w:t>Ambient Air Quality Surveillance</w:t>
      </w:r>
    </w:p>
    <w:p w14:paraId="56295383" w14:textId="77777777" w:rsidR="00CB3528" w:rsidRDefault="00CB3528" w:rsidP="00756E81">
      <w:pPr>
        <w:numPr>
          <w:ilvl w:val="1"/>
          <w:numId w:val="18"/>
        </w:numPr>
        <w:tabs>
          <w:tab w:val="clear" w:pos="1800"/>
          <w:tab w:val="num" w:pos="1440"/>
        </w:tabs>
      </w:pPr>
      <w:r>
        <w:t>58.11-58.14 ………………………………………………</w:t>
      </w:r>
      <w:r w:rsidR="00BD10CD">
        <w:t>.</w:t>
      </w:r>
      <w:r>
        <w:t>..2060-0084</w:t>
      </w:r>
    </w:p>
    <w:p w14:paraId="0A75A61B" w14:textId="77777777" w:rsidR="00CB3528" w:rsidRDefault="00CB3528" w:rsidP="00756E81">
      <w:pPr>
        <w:numPr>
          <w:ilvl w:val="1"/>
          <w:numId w:val="18"/>
        </w:numPr>
        <w:tabs>
          <w:tab w:val="clear" w:pos="1800"/>
          <w:tab w:val="num" w:pos="1440"/>
        </w:tabs>
      </w:pPr>
      <w:r>
        <w:t>58.20-58.23 ………………………………………………</w:t>
      </w:r>
      <w:r w:rsidR="00BD10CD">
        <w:t>.</w:t>
      </w:r>
      <w:r>
        <w:t>..2060-0084</w:t>
      </w:r>
    </w:p>
    <w:p w14:paraId="5E72014B" w14:textId="77777777" w:rsidR="00CB3528" w:rsidRDefault="00CB3528" w:rsidP="00756E81">
      <w:pPr>
        <w:numPr>
          <w:ilvl w:val="1"/>
          <w:numId w:val="18"/>
        </w:numPr>
        <w:tabs>
          <w:tab w:val="clear" w:pos="1800"/>
          <w:tab w:val="num" w:pos="1440"/>
        </w:tabs>
      </w:pPr>
      <w:r>
        <w:t>58.25-58.28 ………………………………………………</w:t>
      </w:r>
      <w:r w:rsidR="00BD10CD">
        <w:t>.</w:t>
      </w:r>
      <w:r>
        <w:t>..2060-0084</w:t>
      </w:r>
    </w:p>
    <w:p w14:paraId="56A88FE2" w14:textId="77777777" w:rsidR="00CB3528" w:rsidRDefault="00CB3528" w:rsidP="00756E81">
      <w:pPr>
        <w:numPr>
          <w:ilvl w:val="1"/>
          <w:numId w:val="18"/>
        </w:numPr>
        <w:tabs>
          <w:tab w:val="clear" w:pos="1800"/>
          <w:tab w:val="num" w:pos="1440"/>
        </w:tabs>
      </w:pPr>
      <w:r>
        <w:t>58.30-58.31 ……………………………………………</w:t>
      </w:r>
      <w:r w:rsidR="00BD10CD">
        <w:t>.</w:t>
      </w:r>
      <w:r>
        <w:t>…..2060-0084</w:t>
      </w:r>
    </w:p>
    <w:p w14:paraId="1BA4B1B0" w14:textId="77777777" w:rsidR="00CB3528" w:rsidRDefault="00CB3528" w:rsidP="00756E81">
      <w:pPr>
        <w:numPr>
          <w:ilvl w:val="1"/>
          <w:numId w:val="18"/>
        </w:numPr>
        <w:tabs>
          <w:tab w:val="clear" w:pos="1800"/>
          <w:tab w:val="num" w:pos="1440"/>
        </w:tabs>
      </w:pPr>
      <w:r>
        <w:t>58.33 ……………………………………………………….</w:t>
      </w:r>
      <w:r w:rsidR="00BD10CD">
        <w:t>.</w:t>
      </w:r>
      <w:r>
        <w:t>2060-0084</w:t>
      </w:r>
    </w:p>
    <w:p w14:paraId="18416596" w14:textId="77777777" w:rsidR="00CB3528" w:rsidRDefault="00CB3528" w:rsidP="00756E81">
      <w:pPr>
        <w:numPr>
          <w:ilvl w:val="1"/>
          <w:numId w:val="18"/>
        </w:numPr>
        <w:tabs>
          <w:tab w:val="clear" w:pos="1800"/>
          <w:tab w:val="num" w:pos="1440"/>
        </w:tabs>
      </w:pPr>
      <w:r>
        <w:t>58.35 ……………………………………………………….</w:t>
      </w:r>
      <w:r w:rsidR="00BD10CD">
        <w:t>.</w:t>
      </w:r>
      <w:r>
        <w:t>2060-0084</w:t>
      </w:r>
    </w:p>
    <w:p w14:paraId="1FE2EB42" w14:textId="77777777" w:rsidR="00CB3528" w:rsidRDefault="00CB3528" w:rsidP="00756E81">
      <w:pPr>
        <w:numPr>
          <w:ilvl w:val="1"/>
          <w:numId w:val="18"/>
        </w:numPr>
        <w:tabs>
          <w:tab w:val="clear" w:pos="1800"/>
          <w:tab w:val="num" w:pos="1440"/>
        </w:tabs>
      </w:pPr>
      <w:r>
        <w:t>58.40-58.41 ………………………………………………...2060-0084</w:t>
      </w:r>
    </w:p>
    <w:p w14:paraId="5F680C8E" w14:textId="77777777" w:rsidR="00CB3528" w:rsidRDefault="00CB3528" w:rsidP="00756E81">
      <w:pPr>
        <w:numPr>
          <w:ilvl w:val="1"/>
          <w:numId w:val="18"/>
        </w:numPr>
        <w:tabs>
          <w:tab w:val="clear" w:pos="1800"/>
          <w:tab w:val="num" w:pos="1440"/>
        </w:tabs>
      </w:pPr>
      <w:r>
        <w:t>58.43 ……………………………………………………….</w:t>
      </w:r>
      <w:r w:rsidR="00BD10CD">
        <w:t>.</w:t>
      </w:r>
      <w:r>
        <w:t>2060-0084</w:t>
      </w:r>
    </w:p>
    <w:p w14:paraId="35B68BAA" w14:textId="77777777" w:rsidR="00CB3528" w:rsidRDefault="00CB3528" w:rsidP="00756E81">
      <w:pPr>
        <w:numPr>
          <w:ilvl w:val="1"/>
          <w:numId w:val="18"/>
        </w:numPr>
        <w:tabs>
          <w:tab w:val="clear" w:pos="1800"/>
          <w:tab w:val="num" w:pos="1440"/>
        </w:tabs>
      </w:pPr>
      <w:r>
        <w:t>58.45 ……………………………………………………….</w:t>
      </w:r>
      <w:r w:rsidR="00BD10CD">
        <w:t>.</w:t>
      </w:r>
      <w:r>
        <w:t>2060-0084</w:t>
      </w:r>
    </w:p>
    <w:p w14:paraId="3718B7B3" w14:textId="77777777" w:rsidR="00CB3528" w:rsidRDefault="00CB3528" w:rsidP="00756E81">
      <w:pPr>
        <w:numPr>
          <w:ilvl w:val="1"/>
          <w:numId w:val="18"/>
        </w:numPr>
        <w:tabs>
          <w:tab w:val="clear" w:pos="1800"/>
          <w:tab w:val="num" w:pos="1440"/>
        </w:tabs>
      </w:pPr>
      <w:r>
        <w:t>58.50 ……………………………………………………….</w:t>
      </w:r>
      <w:r w:rsidR="00BD10CD">
        <w:t>.</w:t>
      </w:r>
      <w:r>
        <w:t>2060-0084</w:t>
      </w:r>
    </w:p>
    <w:p w14:paraId="4A4C17AE" w14:textId="77777777" w:rsidR="00CB3528" w:rsidRDefault="00CB3528" w:rsidP="00756E81">
      <w:pPr>
        <w:numPr>
          <w:ilvl w:val="0"/>
          <w:numId w:val="18"/>
        </w:numPr>
        <w:tabs>
          <w:tab w:val="clear" w:pos="1080"/>
          <w:tab w:val="num" w:pos="720"/>
        </w:tabs>
      </w:pPr>
      <w:r>
        <w:t>Determining Conformity of Federal Actions to State or Federal Implementation Plans</w:t>
      </w:r>
    </w:p>
    <w:p w14:paraId="64355D41" w14:textId="77777777" w:rsidR="00CB3528" w:rsidRDefault="00CB3528" w:rsidP="00756E81">
      <w:pPr>
        <w:numPr>
          <w:ilvl w:val="1"/>
          <w:numId w:val="18"/>
        </w:numPr>
        <w:tabs>
          <w:tab w:val="clear" w:pos="1800"/>
          <w:tab w:val="num" w:pos="1440"/>
        </w:tabs>
      </w:pPr>
      <w:r>
        <w:t>91.150-93.160 ……………………………………………</w:t>
      </w:r>
      <w:r w:rsidR="00BD10CD">
        <w:t>…</w:t>
      </w:r>
      <w:r>
        <w:t>2060-0279</w:t>
      </w:r>
    </w:p>
    <w:p w14:paraId="6E4767CB" w14:textId="77777777" w:rsidR="00BD10CD" w:rsidRDefault="00BD10CD" w:rsidP="00CF773B">
      <w:pPr>
        <w:ind w:left="1800"/>
      </w:pPr>
    </w:p>
    <w:p w14:paraId="4465C723" w14:textId="44F89011" w:rsidR="00CB3528" w:rsidRDefault="00CB3528" w:rsidP="006C7D8C">
      <w:pPr>
        <w:ind w:left="360"/>
      </w:pPr>
      <w:r>
        <w:rPr>
          <w:color w:val="FF0000"/>
        </w:rPr>
        <w:tab/>
      </w:r>
      <w:r>
        <w:rPr>
          <w:b/>
        </w:rPr>
        <w:t xml:space="preserve">Attainment </w:t>
      </w:r>
      <w:r w:rsidR="00DA671D">
        <w:rPr>
          <w:b/>
        </w:rPr>
        <w:t>Plan/Demonstration SIP Submission</w:t>
      </w:r>
      <w:r>
        <w:rPr>
          <w:b/>
        </w:rPr>
        <w:t>.</w:t>
      </w:r>
      <w:r w:rsidR="00821502">
        <w:rPr>
          <w:b/>
        </w:rPr>
        <w:t xml:space="preserve"> </w:t>
      </w:r>
      <w:r>
        <w:t>The attainment demonstration requirement appears as 40 CFR 51.</w:t>
      </w:r>
      <w:r w:rsidR="00627E9F">
        <w:t xml:space="preserve">1108 </w:t>
      </w:r>
      <w:r w:rsidR="00B62F45">
        <w:t xml:space="preserve">and 51.1112(c), </w:t>
      </w:r>
      <w:r>
        <w:t xml:space="preserve">which implement </w:t>
      </w:r>
      <w:r w:rsidR="00B62F45">
        <w:t>CAA</w:t>
      </w:r>
      <w:r>
        <w:t xml:space="preserve"> subsections 172(c)(1), 182(b)(1)(A), and 182(c)(2)(</w:t>
      </w:r>
      <w:r w:rsidR="00B62F45">
        <w:t>A</w:t>
      </w:r>
      <w:r>
        <w:t>).</w:t>
      </w:r>
      <w:r w:rsidR="00FA5F1B">
        <w:t xml:space="preserve"> </w:t>
      </w:r>
      <w:r>
        <w:t xml:space="preserve">The attainment demonstration for the 8-hour </w:t>
      </w:r>
      <w:r w:rsidR="002B5CE4">
        <w:t>o</w:t>
      </w:r>
      <w:r>
        <w:t>zone NAAQS is unique and does not duplicate other implementation plan requirements.</w:t>
      </w:r>
      <w:r w:rsidR="00FA5F1B">
        <w:t xml:space="preserve"> </w:t>
      </w:r>
      <w:r>
        <w:t xml:space="preserve">However, states are encouraged to build upon related implementation planning processes they used for the 1-hour </w:t>
      </w:r>
      <w:r w:rsidR="002B5CE4">
        <w:t>o</w:t>
      </w:r>
      <w:r>
        <w:t>zone NAAQS,</w:t>
      </w:r>
      <w:r w:rsidR="00627E9F">
        <w:t xml:space="preserve"> 1997 8-hour ozone NAAQS,</w:t>
      </w:r>
      <w:r>
        <w:t xml:space="preserve"> </w:t>
      </w:r>
      <w:r w:rsidR="002B3E15">
        <w:t>R</w:t>
      </w:r>
      <w:r>
        <w:t xml:space="preserve">egional </w:t>
      </w:r>
      <w:r w:rsidR="002B3E15">
        <w:t>H</w:t>
      </w:r>
      <w:r>
        <w:t xml:space="preserve">aze </w:t>
      </w:r>
      <w:r w:rsidR="002B3E15">
        <w:t>R</w:t>
      </w:r>
      <w:r>
        <w:t>ule, and/or PM</w:t>
      </w:r>
      <w:r w:rsidR="00F75D75" w:rsidRPr="00F75D75">
        <w:rPr>
          <w:vertAlign w:val="subscript"/>
        </w:rPr>
        <w:t>2.5</w:t>
      </w:r>
      <w:r w:rsidRPr="00F75D75">
        <w:rPr>
          <w:vertAlign w:val="subscript"/>
        </w:rPr>
        <w:t xml:space="preserve"> </w:t>
      </w:r>
      <w:r>
        <w:t>NAAQS.</w:t>
      </w:r>
      <w:r w:rsidR="00FA5F1B">
        <w:t xml:space="preserve"> </w:t>
      </w:r>
      <w:r>
        <w:t xml:space="preserve">Taking such steps, where appropriate, may reduce the incremental administrative burden and enable identification of control strategies that achieve requisite </w:t>
      </w:r>
      <w:r w:rsidR="002B5CE4">
        <w:t xml:space="preserve">emission reductions on a </w:t>
      </w:r>
      <w:r>
        <w:t xml:space="preserve">multi-pollutant </w:t>
      </w:r>
      <w:r w:rsidR="002B5CE4">
        <w:t>basis</w:t>
      </w:r>
      <w:r>
        <w:t xml:space="preserve"> at a lower </w:t>
      </w:r>
      <w:r w:rsidR="002B3E15">
        <w:t xml:space="preserve">overall </w:t>
      </w:r>
      <w:r>
        <w:t>cost</w:t>
      </w:r>
      <w:r w:rsidR="002B5CE4">
        <w:t xml:space="preserve"> </w:t>
      </w:r>
      <w:r w:rsidR="002B3E15">
        <w:t>to each program</w:t>
      </w:r>
      <w:r>
        <w:t>.</w:t>
      </w:r>
    </w:p>
    <w:p w14:paraId="0F95753D" w14:textId="77777777" w:rsidR="00BD10CD" w:rsidRDefault="00BD10CD" w:rsidP="006C7D8C">
      <w:pPr>
        <w:ind w:left="360"/>
      </w:pPr>
    </w:p>
    <w:p w14:paraId="73BF71BC" w14:textId="4CB8B0FB" w:rsidR="00CB3528" w:rsidRDefault="00CB3528" w:rsidP="006C7D8C">
      <w:pPr>
        <w:ind w:left="360"/>
      </w:pPr>
      <w:r>
        <w:tab/>
      </w:r>
      <w:r>
        <w:rPr>
          <w:b/>
        </w:rPr>
        <w:t>RFP SIP Submission.</w:t>
      </w:r>
      <w:r w:rsidR="00FA5F1B">
        <w:rPr>
          <w:b/>
        </w:rPr>
        <w:t xml:space="preserve"> </w:t>
      </w:r>
      <w:r>
        <w:t xml:space="preserve">This </w:t>
      </w:r>
      <w:r w:rsidR="00D30980">
        <w:t xml:space="preserve">independent </w:t>
      </w:r>
      <w:r>
        <w:t>requirement is described in 40 CFR</w:t>
      </w:r>
      <w:r w:rsidR="00C122E7">
        <w:t> </w:t>
      </w:r>
      <w:r>
        <w:t>51.</w:t>
      </w:r>
      <w:r w:rsidR="00627E9F">
        <w:t>1110</w:t>
      </w:r>
      <w:r w:rsidR="00D30980">
        <w:t xml:space="preserve">, which implements CAA sections 172(c)(2), </w:t>
      </w:r>
      <w:r w:rsidR="00B62F45">
        <w:t xml:space="preserve">182(b)(1)(a), and </w:t>
      </w:r>
      <w:r w:rsidR="00D30980">
        <w:t>182(c)</w:t>
      </w:r>
      <w:r w:rsidR="00B62F45">
        <w:t>(2)(B)</w:t>
      </w:r>
      <w:r>
        <w:t>.</w:t>
      </w:r>
      <w:r w:rsidR="00FA5F1B">
        <w:rPr>
          <w:color w:val="FF0000"/>
        </w:rPr>
        <w:t xml:space="preserve"> </w:t>
      </w:r>
      <w:r>
        <w:t>Although the RFP submission does not duplicate other plan requirements, the RFP submission may complement them.</w:t>
      </w:r>
      <w:r w:rsidR="00FA5F1B">
        <w:t xml:space="preserve"> </w:t>
      </w:r>
      <w:r>
        <w:t xml:space="preserve">For example, the emission reductions associated with the RFP SIP may </w:t>
      </w:r>
      <w:r w:rsidR="00597B08">
        <w:t xml:space="preserve">be sufficient to </w:t>
      </w:r>
      <w:r w:rsidR="00C456A3">
        <w:t xml:space="preserve">support a demonstration of timely </w:t>
      </w:r>
      <w:r w:rsidR="00597B08">
        <w:t>attainment</w:t>
      </w:r>
      <w:r>
        <w:t>.</w:t>
      </w:r>
      <w:r w:rsidR="00FA5F1B">
        <w:t xml:space="preserve"> </w:t>
      </w:r>
    </w:p>
    <w:p w14:paraId="127B2B91" w14:textId="77777777" w:rsidR="00CB3528" w:rsidRDefault="00CB3528" w:rsidP="006C7D8C">
      <w:pPr>
        <w:ind w:left="360"/>
      </w:pPr>
    </w:p>
    <w:p w14:paraId="1A430D4E" w14:textId="5AE98A99" w:rsidR="00CB3528" w:rsidRDefault="00CB3528" w:rsidP="006C7D8C">
      <w:pPr>
        <w:ind w:left="360"/>
      </w:pPr>
      <w:r>
        <w:tab/>
      </w:r>
      <w:r w:rsidR="002B5CE4">
        <w:t>S</w:t>
      </w:r>
      <w:r>
        <w:t>tates are encouraged to build upon related analyses for federal emission reducing rules as well as salient</w:t>
      </w:r>
      <w:r w:rsidR="00627E9F">
        <w:t xml:space="preserve"> previous ozone NAAQS, PM</w:t>
      </w:r>
      <w:r w:rsidR="00627E9F" w:rsidRPr="00F75D75">
        <w:rPr>
          <w:vertAlign w:val="subscript"/>
        </w:rPr>
        <w:t xml:space="preserve">2.5 </w:t>
      </w:r>
      <w:r>
        <w:t>NAAQS and regional haze implementation requirements where appropriate. Taking such steps may reduce the</w:t>
      </w:r>
      <w:r w:rsidR="002B5CE4">
        <w:t>ir</w:t>
      </w:r>
      <w:r>
        <w:t xml:space="preserve"> incremental administrative burden. For example, the temporal and spatial nature of emission reductions associated with federal rules</w:t>
      </w:r>
      <w:r w:rsidR="00CB0137">
        <w:t xml:space="preserve"> (e.g., inspection and maintenance for vehicles, reformulated gasoline</w:t>
      </w:r>
      <w:r w:rsidR="00C456A3">
        <w:t>,</w:t>
      </w:r>
      <w:r w:rsidR="00CB0137">
        <w:t xml:space="preserve"> onboard refueling vapor recovery for gasoline vehicle refueling</w:t>
      </w:r>
      <w:r w:rsidR="00C456A3">
        <w:t>, and national hazardous air pollutant standards</w:t>
      </w:r>
      <w:r w:rsidR="00CB0137">
        <w:t>)</w:t>
      </w:r>
      <w:r>
        <w:t xml:space="preserve"> may be sufficient to meet the RFP requirements. Hence, the need to identify additional emission reductions </w:t>
      </w:r>
      <w:r w:rsidR="002B5CE4">
        <w:t xml:space="preserve">beyond those achieved through federal rules in order </w:t>
      </w:r>
      <w:r>
        <w:t>to meet RFP requirements may be mitigated in some instances.</w:t>
      </w:r>
      <w:r w:rsidR="00FA5F1B">
        <w:t xml:space="preserve"> </w:t>
      </w:r>
    </w:p>
    <w:p w14:paraId="19622295" w14:textId="77777777" w:rsidR="00CB3528" w:rsidRDefault="00CB3528" w:rsidP="006C7D8C">
      <w:pPr>
        <w:ind w:left="360"/>
      </w:pPr>
    </w:p>
    <w:p w14:paraId="64D57F46" w14:textId="2C1BFEE6" w:rsidR="00CB3528" w:rsidRDefault="00CB3528" w:rsidP="006C7D8C">
      <w:pPr>
        <w:ind w:left="360"/>
      </w:pPr>
      <w:r>
        <w:tab/>
        <w:t xml:space="preserve">In addition, states are encouraged, where appropriate, to take into account similar analyses and planning efforts to meet certain </w:t>
      </w:r>
      <w:r w:rsidR="001F40D7">
        <w:t>PM</w:t>
      </w:r>
      <w:r w:rsidR="001F40D7" w:rsidRPr="00F75D75">
        <w:rPr>
          <w:vertAlign w:val="subscript"/>
        </w:rPr>
        <w:t xml:space="preserve">2.5 </w:t>
      </w:r>
      <w:r>
        <w:t xml:space="preserve">NAAQS and regional haze implementation requirements. Such actions may result in RFP plans which achieve requisite </w:t>
      </w:r>
      <w:r w:rsidR="00B12A44">
        <w:t xml:space="preserve">emission reductions on a </w:t>
      </w:r>
      <w:r>
        <w:t xml:space="preserve">multi-pollutant </w:t>
      </w:r>
      <w:r w:rsidR="00B12A44">
        <w:t xml:space="preserve">basis </w:t>
      </w:r>
      <w:r>
        <w:t xml:space="preserve">at a lower </w:t>
      </w:r>
      <w:r w:rsidR="00C456A3">
        <w:t xml:space="preserve">overall </w:t>
      </w:r>
      <w:r>
        <w:t>cost</w:t>
      </w:r>
      <w:r w:rsidR="00B12A44">
        <w:t xml:space="preserve"> </w:t>
      </w:r>
      <w:r w:rsidR="00C456A3">
        <w:t>to each program</w:t>
      </w:r>
      <w:r>
        <w:t>.</w:t>
      </w:r>
      <w:r w:rsidR="00FA5F1B">
        <w:t xml:space="preserve"> </w:t>
      </w:r>
    </w:p>
    <w:p w14:paraId="6D8095C4" w14:textId="77777777" w:rsidR="00CB3528" w:rsidRDefault="00CB3528" w:rsidP="000F6A4C">
      <w:pPr>
        <w:ind w:left="360"/>
      </w:pPr>
    </w:p>
    <w:p w14:paraId="78FE6B46" w14:textId="42EB89E0" w:rsidR="00CB3528" w:rsidRDefault="00CB3528" w:rsidP="000F6A4C">
      <w:pPr>
        <w:ind w:left="360"/>
      </w:pPr>
      <w:r>
        <w:tab/>
      </w:r>
      <w:r>
        <w:rPr>
          <w:b/>
        </w:rPr>
        <w:t>RACT SIP Submission.</w:t>
      </w:r>
      <w:r w:rsidR="00FA5F1B">
        <w:rPr>
          <w:b/>
        </w:rPr>
        <w:t xml:space="preserve"> </w:t>
      </w:r>
      <w:r>
        <w:t xml:space="preserve">This </w:t>
      </w:r>
      <w:r w:rsidR="00D30980">
        <w:t xml:space="preserve">independent nonattainment area </w:t>
      </w:r>
      <w:r>
        <w:t>requirement is described in 40 CFR</w:t>
      </w:r>
      <w:r w:rsidR="00C122E7">
        <w:t> </w:t>
      </w:r>
      <w:r w:rsidRPr="00C122E7">
        <w:t>5</w:t>
      </w:r>
      <w:r>
        <w:t>1.</w:t>
      </w:r>
      <w:r w:rsidR="001F40D7">
        <w:t>1112</w:t>
      </w:r>
      <w:r w:rsidR="00D30980">
        <w:t>,</w:t>
      </w:r>
      <w:r w:rsidR="001F40D7">
        <w:t xml:space="preserve"> </w:t>
      </w:r>
      <w:r>
        <w:t>which implements CAA subsections 172(c)(1)</w:t>
      </w:r>
      <w:r w:rsidR="00C122E7">
        <w:t>,</w:t>
      </w:r>
      <w:r>
        <w:t xml:space="preserve"> 182(b)(2)(c),(d) and (e)</w:t>
      </w:r>
      <w:r w:rsidR="00BE5948">
        <w:t>,</w:t>
      </w:r>
      <w:r w:rsidR="00B62F45">
        <w:t xml:space="preserve"> and 182(f)</w:t>
      </w:r>
      <w:r>
        <w:t>.</w:t>
      </w:r>
      <w:r w:rsidR="00FA5F1B">
        <w:t xml:space="preserve"> </w:t>
      </w:r>
      <w:r w:rsidR="00D30980">
        <w:t>In accordance with these statutory provisions, state ozone plans must include measures to implement all reasonably available control technology at selected sources of ozone-precursor emissions in nonattainment areas. S</w:t>
      </w:r>
      <w:r>
        <w:t xml:space="preserve">tates </w:t>
      </w:r>
      <w:r w:rsidR="00D30980">
        <w:t>may</w:t>
      </w:r>
      <w:r>
        <w:t xml:space="preserve"> take into account</w:t>
      </w:r>
      <w:r w:rsidR="00D30980">
        <w:t>, where appropriate,</w:t>
      </w:r>
      <w:r>
        <w:t xml:space="preserve"> </w:t>
      </w:r>
      <w:r w:rsidR="00D30980">
        <w:t>any relevant control measures being implemented under</w:t>
      </w:r>
      <w:r>
        <w:t xml:space="preserve"> related </w:t>
      </w:r>
      <w:r w:rsidR="00D30980">
        <w:t xml:space="preserve">CAA control </w:t>
      </w:r>
      <w:r>
        <w:t>requirements</w:t>
      </w:r>
      <w:r w:rsidR="00D30980">
        <w:t xml:space="preserve"> for the PM</w:t>
      </w:r>
      <w:r w:rsidR="00D30980" w:rsidRPr="00D30980">
        <w:rPr>
          <w:vertAlign w:val="subscript"/>
        </w:rPr>
        <w:t>2.5</w:t>
      </w:r>
      <w:r w:rsidR="00D30980">
        <w:t xml:space="preserve"> NAAQS implementation rule, the Regional Haze Rule, and national hazardous air pollutant standards</w:t>
      </w:r>
      <w:r>
        <w:t xml:space="preserve">. Taking such steps can reduce administrative burden and foster achievement of multi-pollutant environmental progress at a lower </w:t>
      </w:r>
      <w:r w:rsidR="00C14167">
        <w:t xml:space="preserve">overall </w:t>
      </w:r>
      <w:r>
        <w:t>cost.</w:t>
      </w:r>
    </w:p>
    <w:p w14:paraId="53664BFF" w14:textId="77777777" w:rsidR="00B12A44" w:rsidRDefault="00B12A44" w:rsidP="000F6A4C">
      <w:pPr>
        <w:ind w:left="360"/>
      </w:pPr>
    </w:p>
    <w:p w14:paraId="4C04FB87" w14:textId="5ACF68FC" w:rsidR="00F21505" w:rsidRDefault="00B12A44" w:rsidP="000F6A4C">
      <w:pPr>
        <w:ind w:left="360"/>
        <w:rPr>
          <w:b/>
        </w:rPr>
      </w:pPr>
      <w:r w:rsidRPr="00F95262">
        <w:rPr>
          <w:b/>
        </w:rPr>
        <w:tab/>
      </w:r>
      <w:r w:rsidR="00327683" w:rsidRPr="00F95262">
        <w:rPr>
          <w:b/>
        </w:rPr>
        <w:t>Redesignation Request/</w:t>
      </w:r>
      <w:r w:rsidRPr="00EA1EC4">
        <w:rPr>
          <w:b/>
        </w:rPr>
        <w:t xml:space="preserve">Maintenance Plan. </w:t>
      </w:r>
      <w:r w:rsidR="00D67378">
        <w:t xml:space="preserve">Once a state has achieved the goal of attaining the </w:t>
      </w:r>
      <w:r w:rsidR="00DC404D">
        <w:t xml:space="preserve">2008 ozone </w:t>
      </w:r>
      <w:r w:rsidR="00435D38">
        <w:t>NAAQS</w:t>
      </w:r>
      <w:r w:rsidR="00D67378">
        <w:t xml:space="preserve">, the state may request that </w:t>
      </w:r>
      <w:r w:rsidR="004D5384">
        <w:t xml:space="preserve">the </w:t>
      </w:r>
      <w:r w:rsidR="00D67378">
        <w:t xml:space="preserve">EPA redesignate the area to attainment. </w:t>
      </w:r>
      <w:r w:rsidR="00F21505" w:rsidRPr="00EA1EC4">
        <w:t xml:space="preserve">States </w:t>
      </w:r>
      <w:r w:rsidR="00C82F74">
        <w:t>must</w:t>
      </w:r>
      <w:r w:rsidR="00F21505" w:rsidRPr="00EA1EC4">
        <w:t xml:space="preserve"> demonstrate</w:t>
      </w:r>
      <w:r w:rsidR="00435D38">
        <w:t>, in accordance with</w:t>
      </w:r>
      <w:r w:rsidR="00F21505" w:rsidRPr="00EA1EC4">
        <w:t xml:space="preserve"> </w:t>
      </w:r>
      <w:r w:rsidR="00D67378">
        <w:t xml:space="preserve">CAA section </w:t>
      </w:r>
      <w:r w:rsidR="00435D38">
        <w:t>107(d)(3)(E),</w:t>
      </w:r>
      <w:r w:rsidR="00D67378">
        <w:t xml:space="preserve"> </w:t>
      </w:r>
      <w:r w:rsidR="00F21505" w:rsidRPr="00EA1EC4">
        <w:t xml:space="preserve">that the area has attained the </w:t>
      </w:r>
      <w:r w:rsidR="00435D38">
        <w:t>ozone NAAQS, that air quality improvements are the result of permanent emissions reductions,</w:t>
      </w:r>
      <w:r w:rsidR="00F21505" w:rsidRPr="00EA1EC4">
        <w:t xml:space="preserve"> </w:t>
      </w:r>
      <w:r w:rsidR="00435D38">
        <w:t>that the state has</w:t>
      </w:r>
      <w:r w:rsidR="00F21505" w:rsidRPr="00EA1EC4">
        <w:t xml:space="preserve"> met all of the </w:t>
      </w:r>
      <w:r w:rsidR="00DC404D">
        <w:t xml:space="preserve">statutory </w:t>
      </w:r>
      <w:r w:rsidR="00435D38">
        <w:t xml:space="preserve">nonattainment area </w:t>
      </w:r>
      <w:r w:rsidR="00F21505" w:rsidRPr="00EA1EC4">
        <w:t xml:space="preserve">requirements for </w:t>
      </w:r>
      <w:r w:rsidR="00435D38">
        <w:t xml:space="preserve">the area, and </w:t>
      </w:r>
      <w:r w:rsidR="00C82F74">
        <w:t xml:space="preserve">must </w:t>
      </w:r>
      <w:r w:rsidR="00435D38">
        <w:t>submit a maintenance plan meeting the requirements of CAA section 175A</w:t>
      </w:r>
      <w:r w:rsidR="00D67378" w:rsidRPr="00D67378">
        <w:t xml:space="preserve">. </w:t>
      </w:r>
      <w:r w:rsidR="00DC404D">
        <w:t>Seeking redesignation is purely discretionary on the part of a state.</w:t>
      </w:r>
    </w:p>
    <w:p w14:paraId="167E6150" w14:textId="40FD2546" w:rsidR="00B12A44" w:rsidRPr="00EA1EC4" w:rsidRDefault="00B12A44" w:rsidP="000F6A4C">
      <w:pPr>
        <w:ind w:left="360"/>
        <w:rPr>
          <w:b/>
        </w:rPr>
      </w:pPr>
    </w:p>
    <w:p w14:paraId="0967EE37" w14:textId="77777777" w:rsidR="00CB3528" w:rsidRDefault="00CB3528" w:rsidP="000F6A4C">
      <w:pPr>
        <w:ind w:left="360"/>
      </w:pPr>
    </w:p>
    <w:p w14:paraId="732A77A3" w14:textId="77777777" w:rsidR="00CB3528" w:rsidRDefault="00CB3528" w:rsidP="000F6A4C">
      <w:pPr>
        <w:ind w:left="1440" w:hanging="1080"/>
        <w:rPr>
          <w:b/>
        </w:rPr>
      </w:pPr>
      <w:r>
        <w:rPr>
          <w:b/>
        </w:rPr>
        <w:t>3(b)</w:t>
      </w:r>
      <w:r w:rsidR="00A80A5F">
        <w:rPr>
          <w:b/>
        </w:rPr>
        <w:tab/>
      </w:r>
      <w:r>
        <w:rPr>
          <w:b/>
        </w:rPr>
        <w:t>Public Notice Required Prior to ICR Submission to the Office of Management and Budget (OMB)</w:t>
      </w:r>
    </w:p>
    <w:p w14:paraId="3F3CA93E" w14:textId="77777777" w:rsidR="00756E81" w:rsidRDefault="00756E81" w:rsidP="000F6A4C">
      <w:pPr>
        <w:ind w:left="1440" w:hanging="1080"/>
        <w:rPr>
          <w:b/>
        </w:rPr>
      </w:pPr>
    </w:p>
    <w:p w14:paraId="7CC08386" w14:textId="0C3F53BB" w:rsidR="00921DE7" w:rsidRDefault="00756E81" w:rsidP="00921DE7">
      <w:pPr>
        <w:ind w:left="360"/>
        <w:rPr>
          <w:color w:val="000000"/>
        </w:rPr>
      </w:pPr>
      <w:r>
        <w:tab/>
      </w:r>
      <w:r w:rsidR="00976E1C">
        <w:t xml:space="preserve"> </w:t>
      </w:r>
      <w:r w:rsidR="00976E1C" w:rsidRPr="00B9435B">
        <w:t>T</w:t>
      </w:r>
      <w:r w:rsidR="00976E1C" w:rsidRPr="00B9435B">
        <w:rPr>
          <w:color w:val="000000"/>
        </w:rPr>
        <w:t xml:space="preserve">he EPA published </w:t>
      </w:r>
      <w:r w:rsidR="00976E1C" w:rsidRPr="00B9435B">
        <w:rPr>
          <w:i/>
          <w:color w:val="000000"/>
        </w:rPr>
        <w:t>Federal Register</w:t>
      </w:r>
      <w:r w:rsidR="00976E1C" w:rsidRPr="00B9435B">
        <w:rPr>
          <w:color w:val="000000"/>
        </w:rPr>
        <w:t xml:space="preserve"> notice</w:t>
      </w:r>
      <w:r w:rsidR="009F4678">
        <w:rPr>
          <w:color w:val="000000"/>
        </w:rPr>
        <w:t>s</w:t>
      </w:r>
      <w:r w:rsidR="00976E1C" w:rsidRPr="00B9435B">
        <w:rPr>
          <w:color w:val="000000"/>
        </w:rPr>
        <w:t xml:space="preserve"> on </w:t>
      </w:r>
      <w:r w:rsidR="00D17209" w:rsidRPr="00B9435B">
        <w:t>October 2, 2017</w:t>
      </w:r>
      <w:r w:rsidR="00976E1C" w:rsidRPr="00B9435B">
        <w:rPr>
          <w:color w:val="000000"/>
        </w:rPr>
        <w:t xml:space="preserve"> (</w:t>
      </w:r>
      <w:r w:rsidR="00B15AFA" w:rsidRPr="00B9435B">
        <w:t>82 FR 45843</w:t>
      </w:r>
      <w:r w:rsidR="00976E1C" w:rsidRPr="00B9435B">
        <w:rPr>
          <w:color w:val="000000"/>
        </w:rPr>
        <w:t>)</w:t>
      </w:r>
      <w:r w:rsidR="00B15AFA" w:rsidRPr="00B9435B">
        <w:rPr>
          <w:color w:val="000000"/>
        </w:rPr>
        <w:t xml:space="preserve"> and </w:t>
      </w:r>
      <w:r w:rsidR="00B15AFA" w:rsidRPr="00B9435B">
        <w:t>on</w:t>
      </w:r>
      <w:r w:rsidR="00B15AFA" w:rsidRPr="00BA10F0">
        <w:t xml:space="preserve"> </w:t>
      </w:r>
      <w:r w:rsidR="00B15AFA" w:rsidRPr="00694A1B">
        <w:t>November 8, 2017 (</w:t>
      </w:r>
      <w:r w:rsidR="00B15AFA" w:rsidRPr="00694A1B">
        <w:rPr>
          <w:color w:val="000000" w:themeColor="text1"/>
        </w:rPr>
        <w:t>82 FR 51829</w:t>
      </w:r>
      <w:r w:rsidR="00B15AFA" w:rsidRPr="00694A1B">
        <w:t>)</w:t>
      </w:r>
      <w:r w:rsidR="00976E1C" w:rsidRPr="00694A1B">
        <w:rPr>
          <w:color w:val="000000"/>
        </w:rPr>
        <w:t xml:space="preserve"> that solicited comment on the </w:t>
      </w:r>
      <w:r w:rsidR="002644E6" w:rsidRPr="00694A1B">
        <w:rPr>
          <w:color w:val="000000"/>
        </w:rPr>
        <w:t>2008</w:t>
      </w:r>
      <w:r w:rsidR="00976E1C" w:rsidRPr="00694A1B">
        <w:rPr>
          <w:color w:val="000000"/>
        </w:rPr>
        <w:t xml:space="preserve"> Ozone NAAQS</w:t>
      </w:r>
      <w:r w:rsidR="004B344C" w:rsidRPr="00694A1B">
        <w:rPr>
          <w:color w:val="000000"/>
        </w:rPr>
        <w:t xml:space="preserve"> SIP Requirements</w:t>
      </w:r>
      <w:r w:rsidR="00976E1C" w:rsidRPr="00694A1B">
        <w:rPr>
          <w:color w:val="000000"/>
        </w:rPr>
        <w:t xml:space="preserve"> Rule</w:t>
      </w:r>
      <w:r w:rsidR="002644E6" w:rsidRPr="00694A1B">
        <w:rPr>
          <w:color w:val="000000"/>
        </w:rPr>
        <w:t xml:space="preserve"> ICR Renewal.</w:t>
      </w:r>
      <w:r w:rsidR="00976E1C" w:rsidRPr="00694A1B">
        <w:rPr>
          <w:color w:val="000000"/>
        </w:rPr>
        <w:t xml:space="preserve"> </w:t>
      </w:r>
      <w:r w:rsidR="00921DE7" w:rsidRPr="00694A1B">
        <w:rPr>
          <w:color w:val="000000"/>
        </w:rPr>
        <w:t xml:space="preserve"> EPA received one comment from the Texas Commission on Environmental Quality (TCEQ).</w:t>
      </w:r>
      <w:r w:rsidR="00921DE7">
        <w:rPr>
          <w:color w:val="000000"/>
        </w:rPr>
        <w:t xml:space="preserve"> </w:t>
      </w:r>
    </w:p>
    <w:p w14:paraId="096F760F" w14:textId="48A2BC2B" w:rsidR="00682CC4" w:rsidRDefault="00682CC4" w:rsidP="00682CC4">
      <w:pPr>
        <w:autoSpaceDE w:val="0"/>
        <w:autoSpaceDN w:val="0"/>
        <w:adjustRightInd w:val="0"/>
        <w:ind w:left="360" w:firstLine="360"/>
        <w:rPr>
          <w:color w:val="000000"/>
        </w:rPr>
      </w:pPr>
      <w:r w:rsidRPr="004633AB">
        <w:rPr>
          <w:color w:val="000000"/>
          <w:u w:val="single"/>
        </w:rPr>
        <w:t>COMMENT</w:t>
      </w:r>
      <w:r>
        <w:rPr>
          <w:color w:val="000000"/>
        </w:rPr>
        <w:t xml:space="preserve">: The TCEQ </w:t>
      </w:r>
      <w:r w:rsidR="00B3280E">
        <w:rPr>
          <w:color w:val="000000"/>
        </w:rPr>
        <w:t>recognize</w:t>
      </w:r>
      <w:r w:rsidR="0026025B">
        <w:rPr>
          <w:color w:val="000000"/>
        </w:rPr>
        <w:t>d</w:t>
      </w:r>
      <w:r>
        <w:rPr>
          <w:color w:val="000000"/>
        </w:rPr>
        <w:t xml:space="preserve"> that the EPA has not decided if</w:t>
      </w:r>
      <w:r w:rsidR="008762D5">
        <w:rPr>
          <w:color w:val="000000"/>
        </w:rPr>
        <w:t xml:space="preserve"> or</w:t>
      </w:r>
      <w:r>
        <w:rPr>
          <w:color w:val="000000"/>
        </w:rPr>
        <w:t xml:space="preserve"> when</w:t>
      </w:r>
      <w:r w:rsidR="007272AC">
        <w:rPr>
          <w:color w:val="000000"/>
        </w:rPr>
        <w:t xml:space="preserve"> the</w:t>
      </w:r>
      <w:r w:rsidR="008762D5">
        <w:rPr>
          <w:color w:val="000000"/>
        </w:rPr>
        <w:t xml:space="preserve"> 2008 ozone NAAQS </w:t>
      </w:r>
      <w:r>
        <w:rPr>
          <w:color w:val="000000"/>
        </w:rPr>
        <w:t>will</w:t>
      </w:r>
      <w:r w:rsidR="008762D5">
        <w:rPr>
          <w:color w:val="000000"/>
        </w:rPr>
        <w:t xml:space="preserve"> be</w:t>
      </w:r>
      <w:r>
        <w:rPr>
          <w:color w:val="000000"/>
        </w:rPr>
        <w:t xml:space="preserve"> revoke</w:t>
      </w:r>
      <w:r w:rsidR="008762D5">
        <w:rPr>
          <w:color w:val="000000"/>
        </w:rPr>
        <w:t>d</w:t>
      </w:r>
      <w:r w:rsidR="0026025B">
        <w:rPr>
          <w:color w:val="000000"/>
        </w:rPr>
        <w:t>, and further pointed out that t</w:t>
      </w:r>
      <w:r w:rsidR="008762D5">
        <w:rPr>
          <w:color w:val="000000"/>
        </w:rPr>
        <w:t xml:space="preserve">he timing of </w:t>
      </w:r>
      <w:r w:rsidR="00173DDD">
        <w:rPr>
          <w:color w:val="000000"/>
        </w:rPr>
        <w:t>any potential revocation of the 2008</w:t>
      </w:r>
      <w:r w:rsidR="008762D5">
        <w:rPr>
          <w:color w:val="000000"/>
        </w:rPr>
        <w:t xml:space="preserve"> 8-hour ozone NAAQS will impact </w:t>
      </w:r>
      <w:r w:rsidR="00173DDD">
        <w:rPr>
          <w:color w:val="000000"/>
        </w:rPr>
        <w:t>the extent of any</w:t>
      </w:r>
      <w:r>
        <w:rPr>
          <w:color w:val="000000"/>
        </w:rPr>
        <w:t xml:space="preserve"> additional burden to states in developing SIP submittals for the </w:t>
      </w:r>
      <w:r w:rsidR="008762D5">
        <w:rPr>
          <w:color w:val="000000"/>
        </w:rPr>
        <w:t>2008</w:t>
      </w:r>
      <w:r>
        <w:rPr>
          <w:color w:val="000000"/>
        </w:rPr>
        <w:t xml:space="preserve"> 8-hour ozone NAAQS. However, TCEQ maintained that there could be responsibilities and costs for activities that remain applicable for the revoked standard for which the TCEQ believes the EPA has underestimated the burden and costs. The TCEQ recommend</w:t>
      </w:r>
      <w:r w:rsidR="0026025B">
        <w:rPr>
          <w:color w:val="000000"/>
        </w:rPr>
        <w:t>ed</w:t>
      </w:r>
      <w:r>
        <w:rPr>
          <w:color w:val="000000"/>
        </w:rPr>
        <w:t xml:space="preserve"> that the burden for the State of Texas should range between 45,000 and 5</w:t>
      </w:r>
      <w:r w:rsidR="008762D5">
        <w:rPr>
          <w:color w:val="000000"/>
        </w:rPr>
        <w:t>0</w:t>
      </w:r>
      <w:r>
        <w:rPr>
          <w:color w:val="000000"/>
        </w:rPr>
        <w:t xml:space="preserve">,000 hours </w:t>
      </w:r>
      <w:r w:rsidR="009F4678">
        <w:rPr>
          <w:color w:val="000000"/>
        </w:rPr>
        <w:t xml:space="preserve">for each nonattainment area </w:t>
      </w:r>
      <w:r>
        <w:rPr>
          <w:color w:val="000000"/>
        </w:rPr>
        <w:t>with an estimated cost of $</w:t>
      </w:r>
      <w:r w:rsidR="008762D5">
        <w:rPr>
          <w:color w:val="000000"/>
        </w:rPr>
        <w:t>2</w:t>
      </w:r>
      <w:r>
        <w:rPr>
          <w:color w:val="000000"/>
        </w:rPr>
        <w:t>,</w:t>
      </w:r>
      <w:r w:rsidR="008762D5">
        <w:rPr>
          <w:color w:val="000000"/>
        </w:rPr>
        <w:t>019</w:t>
      </w:r>
      <w:r>
        <w:rPr>
          <w:color w:val="000000"/>
        </w:rPr>
        <w:t>,</w:t>
      </w:r>
      <w:r w:rsidR="008762D5">
        <w:rPr>
          <w:color w:val="000000"/>
        </w:rPr>
        <w:t>248</w:t>
      </w:r>
      <w:r>
        <w:rPr>
          <w:color w:val="000000"/>
        </w:rPr>
        <w:t xml:space="preserve"> </w:t>
      </w:r>
      <w:r w:rsidR="009F4678">
        <w:rPr>
          <w:color w:val="000000"/>
        </w:rPr>
        <w:t xml:space="preserve">per nonattainment area </w:t>
      </w:r>
      <w:r>
        <w:rPr>
          <w:color w:val="000000"/>
        </w:rPr>
        <w:t xml:space="preserve">for work associated with implementing the </w:t>
      </w:r>
      <w:r w:rsidR="008762D5">
        <w:rPr>
          <w:color w:val="000000"/>
        </w:rPr>
        <w:t>2008</w:t>
      </w:r>
      <w:r>
        <w:rPr>
          <w:color w:val="000000"/>
        </w:rPr>
        <w:t xml:space="preserve"> ozone standard in the Dallas-Fort Worth</w:t>
      </w:r>
      <w:r w:rsidR="008762D5">
        <w:rPr>
          <w:color w:val="000000"/>
        </w:rPr>
        <w:t xml:space="preserve"> and Houston-Galveston-Brazoria</w:t>
      </w:r>
      <w:r w:rsidR="0026025B">
        <w:rPr>
          <w:color w:val="000000"/>
        </w:rPr>
        <w:t xml:space="preserve"> nonattainment</w:t>
      </w:r>
      <w:r>
        <w:rPr>
          <w:color w:val="000000"/>
        </w:rPr>
        <w:t xml:space="preserve"> area</w:t>
      </w:r>
      <w:r w:rsidR="008762D5">
        <w:rPr>
          <w:color w:val="000000"/>
        </w:rPr>
        <w:t>s</w:t>
      </w:r>
      <w:r>
        <w:rPr>
          <w:color w:val="000000"/>
        </w:rPr>
        <w:t xml:space="preserve">. </w:t>
      </w:r>
    </w:p>
    <w:p w14:paraId="1410C47D" w14:textId="77777777" w:rsidR="00682CC4" w:rsidRDefault="00682CC4" w:rsidP="00682CC4">
      <w:pPr>
        <w:autoSpaceDE w:val="0"/>
        <w:autoSpaceDN w:val="0"/>
        <w:adjustRightInd w:val="0"/>
        <w:ind w:left="360" w:firstLine="360"/>
        <w:rPr>
          <w:color w:val="000000"/>
        </w:rPr>
      </w:pPr>
    </w:p>
    <w:p w14:paraId="624EBB3C" w14:textId="60D1D7BC" w:rsidR="00682CC4" w:rsidRPr="0093748C" w:rsidRDefault="00682CC4" w:rsidP="00682CC4">
      <w:pPr>
        <w:autoSpaceDE w:val="0"/>
        <w:autoSpaceDN w:val="0"/>
        <w:adjustRightInd w:val="0"/>
        <w:ind w:left="360" w:firstLine="360"/>
      </w:pPr>
      <w:r>
        <w:t>The commenter acknowledged that some RACT requirements ha</w:t>
      </w:r>
      <w:r w:rsidR="0026025B">
        <w:t>ve</w:t>
      </w:r>
      <w:r>
        <w:t xml:space="preserve"> already been fulfilled through prior SIP submissions, however </w:t>
      </w:r>
      <w:r w:rsidR="0026025B">
        <w:t xml:space="preserve">they expressed concern that </w:t>
      </w:r>
      <w:r>
        <w:t xml:space="preserve">the higher classification would lower the RACT threshold from </w:t>
      </w:r>
      <w:r w:rsidR="00B3280E">
        <w:t>100</w:t>
      </w:r>
      <w:r>
        <w:t xml:space="preserve"> tons per year (</w:t>
      </w:r>
      <w:r w:rsidR="009C54F9">
        <w:t>tpy)</w:t>
      </w:r>
      <w:r>
        <w:t xml:space="preserve"> to </w:t>
      </w:r>
      <w:r w:rsidR="00B3280E">
        <w:t>50</w:t>
      </w:r>
      <w:r>
        <w:t xml:space="preserve"> tpy and previously classified minor sources may potentially become major sources</w:t>
      </w:r>
      <w:r w:rsidR="00204899">
        <w:t>.</w:t>
      </w:r>
      <w:r>
        <w:t xml:space="preserve"> </w:t>
      </w:r>
      <w:r w:rsidR="00B3280E">
        <w:t xml:space="preserve">The commenter also stated </w:t>
      </w:r>
      <w:r w:rsidR="0026025B">
        <w:t xml:space="preserve">that </w:t>
      </w:r>
      <w:r w:rsidR="00B3280E">
        <w:t xml:space="preserve">all counties in the </w:t>
      </w:r>
      <w:r w:rsidR="0026025B">
        <w:t>two nonattainment</w:t>
      </w:r>
      <w:r w:rsidR="00B3280E">
        <w:t xml:space="preserve"> areas were previously </w:t>
      </w:r>
      <w:r w:rsidR="0026025B">
        <w:t>classified</w:t>
      </w:r>
      <w:r w:rsidR="00B3280E">
        <w:t xml:space="preserve"> Serious or higher</w:t>
      </w:r>
      <w:r w:rsidR="0026025B">
        <w:t>, with the exception of</w:t>
      </w:r>
      <w:r w:rsidR="009C54F9">
        <w:t xml:space="preserve"> the Wise County portion of </w:t>
      </w:r>
      <w:r w:rsidR="0026025B">
        <w:t xml:space="preserve">the </w:t>
      </w:r>
      <w:r w:rsidR="009C54F9">
        <w:t>Dallas-Fort Worth</w:t>
      </w:r>
      <w:r w:rsidR="0026025B">
        <w:t xml:space="preserve"> nonattainment area</w:t>
      </w:r>
      <w:r w:rsidR="00B3280E">
        <w:t>.</w:t>
      </w:r>
      <w:r w:rsidR="009C54F9">
        <w:t xml:space="preserve"> The </w:t>
      </w:r>
      <w:r w:rsidR="0026025B">
        <w:t xml:space="preserve">commenter indicated that the </w:t>
      </w:r>
      <w:r w:rsidR="009C54F9">
        <w:t>Wise County RACT determination to the lower 50 tpy major source threshold would be a new burden.</w:t>
      </w:r>
      <w:r w:rsidR="00B3280E">
        <w:t xml:space="preserve"> </w:t>
      </w:r>
      <w:r w:rsidR="00204899">
        <w:t xml:space="preserve">The commenter </w:t>
      </w:r>
      <w:r w:rsidR="0026025B">
        <w:t>estimated</w:t>
      </w:r>
      <w:r w:rsidR="00204899">
        <w:t xml:space="preserve"> the burden could potentially reach 1,400 hours to develop RACT rules. </w:t>
      </w:r>
      <w:r>
        <w:t xml:space="preserve">The commenter also stated that RFP SIP revisions would potentially require the state to update </w:t>
      </w:r>
      <w:r w:rsidR="0026025B">
        <w:t xml:space="preserve">their </w:t>
      </w:r>
      <w:r>
        <w:t>emissions inventory and estimate</w:t>
      </w:r>
      <w:r w:rsidR="0026025B">
        <w:t>d</w:t>
      </w:r>
      <w:r>
        <w:t xml:space="preserve"> a potential 7,000 hours burden. The commenter also pointed out that along with the updated emissions inventory for the RFP SIP revision, the commenter believed that an attainment demonstration submittal to the EPA is mandated, which would potentially involve 40,000 hours burden. </w:t>
      </w:r>
    </w:p>
    <w:p w14:paraId="0171E61C" w14:textId="77777777" w:rsidR="00682CC4" w:rsidRDefault="00682CC4" w:rsidP="00682CC4">
      <w:pPr>
        <w:autoSpaceDE w:val="0"/>
        <w:autoSpaceDN w:val="0"/>
        <w:adjustRightInd w:val="0"/>
        <w:ind w:left="360" w:firstLine="360"/>
        <w:rPr>
          <w:color w:val="000000"/>
        </w:rPr>
      </w:pPr>
    </w:p>
    <w:p w14:paraId="1A39E370" w14:textId="488D9C4D" w:rsidR="00FB4ADD" w:rsidRDefault="00682CC4" w:rsidP="00682CC4">
      <w:pPr>
        <w:autoSpaceDE w:val="0"/>
        <w:autoSpaceDN w:val="0"/>
        <w:adjustRightInd w:val="0"/>
        <w:ind w:left="360" w:firstLine="360"/>
      </w:pPr>
      <w:r w:rsidRPr="004633AB">
        <w:rPr>
          <w:color w:val="000000"/>
          <w:u w:val="single"/>
        </w:rPr>
        <w:t>RESPONSE</w:t>
      </w:r>
      <w:r>
        <w:rPr>
          <w:color w:val="000000"/>
        </w:rPr>
        <w:t xml:space="preserve">: </w:t>
      </w:r>
      <w:r>
        <w:t xml:space="preserve">At the onset of </w:t>
      </w:r>
      <w:r w:rsidR="001478CF">
        <w:t xml:space="preserve">implementing </w:t>
      </w:r>
      <w:r>
        <w:t xml:space="preserve">the </w:t>
      </w:r>
      <w:r w:rsidR="00224994">
        <w:t>2008</w:t>
      </w:r>
      <w:r>
        <w:t xml:space="preserve"> 8-hour ozone NAAQS, </w:t>
      </w:r>
      <w:r w:rsidR="00097C93">
        <w:t>the EPA</w:t>
      </w:r>
      <w:r>
        <w:t xml:space="preserve"> estimated </w:t>
      </w:r>
      <w:r w:rsidR="00760514">
        <w:t xml:space="preserve">that an average of </w:t>
      </w:r>
      <w:r>
        <w:t xml:space="preserve">20,000 burden hours would be expended for Serious </w:t>
      </w:r>
      <w:r w:rsidR="000C0FDC">
        <w:t>(</w:t>
      </w:r>
      <w:r>
        <w:t>and above</w:t>
      </w:r>
      <w:r w:rsidR="000C0FDC">
        <w:t>)</w:t>
      </w:r>
      <w:r>
        <w:t xml:space="preserve"> areas to develop the initial required SIP submissions to the EPA. This burden estimate was previously subject to notice </w:t>
      </w:r>
      <w:r w:rsidR="00FD5452">
        <w:t>and</w:t>
      </w:r>
      <w:r>
        <w:t xml:space="preserve"> comment and approved by the Office of Management and Budget</w:t>
      </w:r>
      <w:r w:rsidR="000C0FDC">
        <w:t>, and</w:t>
      </w:r>
      <w:r>
        <w:t xml:space="preserve"> has been used to estimate the entire burden for </w:t>
      </w:r>
      <w:r w:rsidR="000C0FDC">
        <w:t>attainment planning for the 2008</w:t>
      </w:r>
      <w:r>
        <w:t xml:space="preserve"> 8-hour </w:t>
      </w:r>
      <w:r w:rsidR="000C0FDC">
        <w:t xml:space="preserve">ozone </w:t>
      </w:r>
      <w:r>
        <w:t xml:space="preserve">NAAQS. </w:t>
      </w:r>
      <w:r w:rsidR="00FB4ADD">
        <w:t xml:space="preserve">The EPA’s methodology for estimating the </w:t>
      </w:r>
      <w:r w:rsidR="00760514">
        <w:t xml:space="preserve">average </w:t>
      </w:r>
      <w:r w:rsidR="00FB4ADD">
        <w:t xml:space="preserve">burden hours of an area </w:t>
      </w:r>
      <w:r w:rsidR="00D70A81">
        <w:t xml:space="preserve">reclassified </w:t>
      </w:r>
      <w:r w:rsidR="00FB4ADD">
        <w:t xml:space="preserve">to Serious </w:t>
      </w:r>
      <w:r w:rsidR="009F4678">
        <w:t>assumes</w:t>
      </w:r>
      <w:r w:rsidR="00FB4ADD">
        <w:t xml:space="preserve"> that </w:t>
      </w:r>
      <w:r w:rsidR="009F4678">
        <w:t xml:space="preserve">the state </w:t>
      </w:r>
      <w:r w:rsidR="00FB4ADD">
        <w:t xml:space="preserve">has completed </w:t>
      </w:r>
      <w:r w:rsidR="009F4678">
        <w:t xml:space="preserve">all of </w:t>
      </w:r>
      <w:r w:rsidR="00097C93">
        <w:t>the</w:t>
      </w:r>
      <w:r w:rsidR="00FB4ADD">
        <w:t xml:space="preserve"> </w:t>
      </w:r>
      <w:r w:rsidR="00097C93">
        <w:t xml:space="preserve">required SIP submissions for </w:t>
      </w:r>
      <w:r w:rsidR="00FB4ADD">
        <w:t xml:space="preserve">Moderate </w:t>
      </w:r>
      <w:r w:rsidR="00097C93">
        <w:t>areas</w:t>
      </w:r>
      <w:r w:rsidR="009F4678">
        <w:t>, and thus the additional burden for a Serious classification is incremental to meeting previous requirements</w:t>
      </w:r>
      <w:r w:rsidR="00FB4ADD">
        <w:t xml:space="preserve">. The EPA’s methodology for estimating the burden hours also considers a state’s experience in meeting the same requirements for a previous ozone NAAQS. </w:t>
      </w:r>
      <w:r w:rsidR="009F4678">
        <w:t xml:space="preserve">As the commenter indicates, both the Dallas and Houston ozone nonattainment areas have been classified Serious for previous ozone NAAQS. </w:t>
      </w:r>
      <w:r w:rsidR="00941153">
        <w:t>Therefore, we believe t</w:t>
      </w:r>
      <w:r w:rsidR="00FB4ADD">
        <w:t xml:space="preserve">he </w:t>
      </w:r>
      <w:r w:rsidR="00760514">
        <w:t xml:space="preserve">average </w:t>
      </w:r>
      <w:r w:rsidR="00FB4ADD">
        <w:t xml:space="preserve">burden hours would </w:t>
      </w:r>
      <w:r w:rsidR="00D70A81">
        <w:t>necessarily be significantly less</w:t>
      </w:r>
      <w:r w:rsidR="00FB4ADD">
        <w:t xml:space="preserve"> than the full 20,000 hours estimated for a newly classified Serious area</w:t>
      </w:r>
      <w:r w:rsidR="00941153">
        <w:t xml:space="preserve">. </w:t>
      </w:r>
      <w:r w:rsidR="00D70A81">
        <w:t xml:space="preserve">EPA assumes the state will </w:t>
      </w:r>
      <w:r w:rsidR="00941153">
        <w:t xml:space="preserve">build on and make adjustments to the </w:t>
      </w:r>
      <w:r w:rsidR="00FB4ADD">
        <w:t xml:space="preserve">previous Moderate area </w:t>
      </w:r>
      <w:r w:rsidR="00D70A81">
        <w:t xml:space="preserve">SIP </w:t>
      </w:r>
      <w:r w:rsidR="00FB4ADD">
        <w:t xml:space="preserve">submittal. Accordingly, the EPA reduced the estimated </w:t>
      </w:r>
      <w:r w:rsidR="00941153">
        <w:t xml:space="preserve">average </w:t>
      </w:r>
      <w:r w:rsidR="00FB4ADD">
        <w:t xml:space="preserve">burden from 20,000 total hours to initiate a </w:t>
      </w:r>
      <w:r w:rsidR="00D70A81">
        <w:t xml:space="preserve">complete Serious area </w:t>
      </w:r>
      <w:r w:rsidR="00FB4ADD">
        <w:t>SIP, to</w:t>
      </w:r>
      <w:r w:rsidR="00760514">
        <w:t xml:space="preserve"> an average of </w:t>
      </w:r>
      <w:r w:rsidR="00FB4ADD">
        <w:t>5</w:t>
      </w:r>
      <w:r w:rsidR="00427BA5">
        <w:t>,0</w:t>
      </w:r>
      <w:r w:rsidR="00FB4ADD">
        <w:t xml:space="preserve">00 hours to revise an existing </w:t>
      </w:r>
      <w:r w:rsidR="00941153">
        <w:t xml:space="preserve">Moderate-area </w:t>
      </w:r>
      <w:r w:rsidR="00FB4ADD">
        <w:t>SIP after reclassification from Moderate to Serious</w:t>
      </w:r>
      <w:r w:rsidR="00941153">
        <w:t>.</w:t>
      </w:r>
      <w:r w:rsidR="00FB4ADD">
        <w:t xml:space="preserve"> </w:t>
      </w:r>
      <w:r w:rsidR="00941153">
        <w:t>This</w:t>
      </w:r>
      <w:r w:rsidR="00FB4ADD">
        <w:t xml:space="preserve"> would average about </w:t>
      </w:r>
      <w:r w:rsidR="00002DA8">
        <w:t>1,666</w:t>
      </w:r>
      <w:r w:rsidR="00FB4ADD">
        <w:t xml:space="preserve"> hours annually over the </w:t>
      </w:r>
      <w:r w:rsidR="00941153">
        <w:t>three-</w:t>
      </w:r>
      <w:r w:rsidR="00FB4ADD">
        <w:t>year period of this renewal.</w:t>
      </w:r>
      <w:r w:rsidR="00097C93">
        <w:t xml:space="preserve"> The 5</w:t>
      </w:r>
      <w:r w:rsidR="00002DA8">
        <w:t>,0</w:t>
      </w:r>
      <w:r w:rsidR="00097C93">
        <w:t xml:space="preserve">00 hours are intended to represent the burden on states to conduct the tasks associated with </w:t>
      </w:r>
      <w:r w:rsidR="004C5322">
        <w:t>completing milestones</w:t>
      </w:r>
      <w:r w:rsidR="00097C93">
        <w:t xml:space="preserve"> covered during the ICR reporting period: the RACT SIP revisions, RFP SIP revisions and the attainment demonstration.</w:t>
      </w:r>
    </w:p>
    <w:p w14:paraId="7C05F3CB" w14:textId="1284E6B1" w:rsidR="008877F9" w:rsidRDefault="00941153" w:rsidP="00DC509E">
      <w:pPr>
        <w:autoSpaceDE w:val="0"/>
        <w:autoSpaceDN w:val="0"/>
        <w:adjustRightInd w:val="0"/>
        <w:ind w:left="360" w:firstLine="360"/>
      </w:pPr>
      <w:r>
        <w:t>As noted by the commenter, t</w:t>
      </w:r>
      <w:r w:rsidR="00682CC4">
        <w:t>he</w:t>
      </w:r>
      <w:r w:rsidR="00760514">
        <w:t xml:space="preserve"> EPA acknowledges that</w:t>
      </w:r>
      <w:r w:rsidR="00682CC4">
        <w:t xml:space="preserve"> additional planning and emission control requirements that accompany a reclassification to Se</w:t>
      </w:r>
      <w:r w:rsidR="00224994">
        <w:t>rious</w:t>
      </w:r>
      <w:r w:rsidR="00682CC4">
        <w:t xml:space="preserve"> would require the state </w:t>
      </w:r>
      <w:r w:rsidR="0071139A">
        <w:t>review sources associated with a</w:t>
      </w:r>
      <w:r w:rsidR="00682CC4">
        <w:t xml:space="preserve"> lower  major source threshold from </w:t>
      </w:r>
      <w:r w:rsidR="00224994">
        <w:t>10</w:t>
      </w:r>
      <w:r w:rsidR="00682CC4">
        <w:t>0 tons per year (tpy) to 5</w:t>
      </w:r>
      <w:r w:rsidR="00224994">
        <w:t>0</w:t>
      </w:r>
      <w:r w:rsidR="00682CC4">
        <w:t xml:space="preserve"> tpy</w:t>
      </w:r>
      <w:r w:rsidR="001728F5">
        <w:t>,</w:t>
      </w:r>
      <w:r w:rsidR="00682CC4">
        <w:t xml:space="preserve"> and </w:t>
      </w:r>
      <w:r w:rsidR="001728F5">
        <w:t xml:space="preserve">make </w:t>
      </w:r>
      <w:r>
        <w:t xml:space="preserve">any necessary </w:t>
      </w:r>
      <w:r w:rsidR="001728F5">
        <w:t xml:space="preserve">changes to </w:t>
      </w:r>
      <w:r w:rsidR="00682CC4">
        <w:t xml:space="preserve">the </w:t>
      </w:r>
      <w:r>
        <w:t xml:space="preserve">nonattainment </w:t>
      </w:r>
      <w:r w:rsidR="00682CC4">
        <w:t xml:space="preserve">New Source Review (NSR) </w:t>
      </w:r>
      <w:r>
        <w:t xml:space="preserve">program (e.g., </w:t>
      </w:r>
      <w:r w:rsidR="00682CC4">
        <w:t>offset ratio</w:t>
      </w:r>
      <w:r>
        <w:t>s)</w:t>
      </w:r>
      <w:r w:rsidR="00682CC4">
        <w:t xml:space="preserve">. The state would </w:t>
      </w:r>
      <w:r>
        <w:t xml:space="preserve">also </w:t>
      </w:r>
      <w:r w:rsidR="00682CC4">
        <w:t xml:space="preserve">need to evaluate </w:t>
      </w:r>
      <w:r>
        <w:t xml:space="preserve">whether </w:t>
      </w:r>
      <w:r w:rsidR="00224994">
        <w:t xml:space="preserve">the existing </w:t>
      </w:r>
      <w:r w:rsidR="00D83D9B">
        <w:t xml:space="preserve">vehicle </w:t>
      </w:r>
      <w:r w:rsidR="00224994">
        <w:t>Inspection and Ma</w:t>
      </w:r>
      <w:r w:rsidR="009A446D">
        <w:t xml:space="preserve">intenance program meets the EPA’s enhanced I/M program required </w:t>
      </w:r>
      <w:r w:rsidR="00D83D9B">
        <w:t>for implementing the 1997 ozone NAAQS (prior to its revocation)</w:t>
      </w:r>
      <w:r w:rsidR="00682CC4">
        <w:t xml:space="preserve">. </w:t>
      </w:r>
      <w:r w:rsidR="00760514">
        <w:t xml:space="preserve">However, </w:t>
      </w:r>
      <w:r w:rsidR="00682CC4">
        <w:t>TCEQ’s estimates ranging between 45,000 to 5</w:t>
      </w:r>
      <w:r w:rsidR="00DC509E">
        <w:t>0</w:t>
      </w:r>
      <w:r w:rsidR="00682CC4">
        <w:t xml:space="preserve">,000 burden hours for completing SIP revisions </w:t>
      </w:r>
      <w:r w:rsidR="00760514">
        <w:t>seem to contemplate a level of effort far in e</w:t>
      </w:r>
      <w:r w:rsidR="00FD5452">
        <w:t>x</w:t>
      </w:r>
      <w:r w:rsidR="00760514">
        <w:t>cess of that anticipated for the average newly reclassified Serious area</w:t>
      </w:r>
      <w:r w:rsidR="008877F9">
        <w:t>, especially for those states where only one or two counties in the state are part of a larger multi-state nonattainment area</w:t>
      </w:r>
      <w:r w:rsidR="00682CC4">
        <w:t xml:space="preserve">. The EPA has no </w:t>
      </w:r>
      <w:r w:rsidR="0071139A">
        <w:t xml:space="preserve">basis </w:t>
      </w:r>
      <w:r w:rsidR="00682CC4">
        <w:t xml:space="preserve">to challenge the commenter’s statement that the EPA’s assumptions </w:t>
      </w:r>
      <w:r w:rsidR="0071139A">
        <w:t xml:space="preserve">for Texas’s burden </w:t>
      </w:r>
      <w:r w:rsidR="00682CC4">
        <w:t xml:space="preserve">may under-estimate the burden </w:t>
      </w:r>
      <w:r w:rsidR="00760514">
        <w:t>TCEQ</w:t>
      </w:r>
      <w:r w:rsidR="00682CC4">
        <w:t xml:space="preserve"> may encounter when submitting the necessary SIP revisions. </w:t>
      </w:r>
      <w:r w:rsidR="00002DA8">
        <w:t>Based on the TCEQ comment, t</w:t>
      </w:r>
      <w:r w:rsidR="009C54F9">
        <w:t xml:space="preserve">he EPA </w:t>
      </w:r>
      <w:r w:rsidR="00002DA8">
        <w:t xml:space="preserve">has </w:t>
      </w:r>
      <w:r w:rsidR="0071139A">
        <w:t xml:space="preserve">revised </w:t>
      </w:r>
      <w:r w:rsidR="008877F9">
        <w:t xml:space="preserve">upwards </w:t>
      </w:r>
      <w:r w:rsidR="0071139A">
        <w:t>its</w:t>
      </w:r>
      <w:r w:rsidR="00002DA8">
        <w:t xml:space="preserve"> first </w:t>
      </w:r>
      <w:r w:rsidR="009C54F9">
        <w:t xml:space="preserve">proposed estimate </w:t>
      </w:r>
      <w:r w:rsidR="008877F9">
        <w:t>of the burden for amending an existing Moderate SIP to meet the Serious area SIP requirements from</w:t>
      </w:r>
      <w:r w:rsidR="00002DA8">
        <w:t xml:space="preserve"> </w:t>
      </w:r>
      <w:r w:rsidR="009C54F9">
        <w:t>2</w:t>
      </w:r>
      <w:r w:rsidR="00682CC4">
        <w:t>,</w:t>
      </w:r>
      <w:r w:rsidR="009C54F9">
        <w:t>5</w:t>
      </w:r>
      <w:r w:rsidR="00682CC4">
        <w:t xml:space="preserve">00 hours </w:t>
      </w:r>
      <w:r w:rsidR="00002DA8">
        <w:t xml:space="preserve">to 5,000 hours. The </w:t>
      </w:r>
      <w:r w:rsidR="0071139A">
        <w:t xml:space="preserve">revised </w:t>
      </w:r>
      <w:r w:rsidR="00002DA8">
        <w:t>estimate include</w:t>
      </w:r>
      <w:r w:rsidR="0071139A">
        <w:t>s</w:t>
      </w:r>
      <w:r w:rsidR="00002DA8">
        <w:t xml:space="preserve"> </w:t>
      </w:r>
      <w:r w:rsidR="0071139A">
        <w:t xml:space="preserve">the </w:t>
      </w:r>
      <w:r w:rsidR="00002DA8">
        <w:t>burden</w:t>
      </w:r>
      <w:r w:rsidR="00682CC4">
        <w:t xml:space="preserve"> </w:t>
      </w:r>
      <w:r w:rsidR="0071139A">
        <w:t>to</w:t>
      </w:r>
      <w:r w:rsidR="00682CC4">
        <w:t xml:space="preserve"> conduct the tasks associated with completing RACT SIP revisions, RFP SIP revisions and the attainment demonstration. In meeting these milestones, such efforts may include data collection, analysis and assessment, rule development, public review processes and providing information to the EPA. </w:t>
      </w:r>
      <w:r w:rsidR="008877F9">
        <w:t>With the revised burden estimate, the average burden for a multi-state nonattainment area comprised of counties in three neighboring states would be 15,000 hours.</w:t>
      </w:r>
    </w:p>
    <w:p w14:paraId="42064AE8" w14:textId="56029F2F" w:rsidR="00CF2062" w:rsidRDefault="00682CC4" w:rsidP="00DC509E">
      <w:pPr>
        <w:autoSpaceDE w:val="0"/>
        <w:autoSpaceDN w:val="0"/>
        <w:adjustRightInd w:val="0"/>
        <w:ind w:left="360" w:firstLine="360"/>
        <w:rPr>
          <w:color w:val="000000"/>
        </w:rPr>
      </w:pPr>
      <w:r>
        <w:t xml:space="preserve">The EPA </w:t>
      </w:r>
      <w:r w:rsidR="0071139A">
        <w:t>notes</w:t>
      </w:r>
      <w:r>
        <w:t xml:space="preserve"> that the </w:t>
      </w:r>
      <w:r w:rsidR="0071139A">
        <w:t>burden of some tasks that are related to or provide a foundation for</w:t>
      </w:r>
      <w:r>
        <w:t xml:space="preserve"> the attainment demonstration, RFP SIP revisions, and the RACT SIP revisions </w:t>
      </w:r>
      <w:r w:rsidR="0071139A">
        <w:t>are</w:t>
      </w:r>
      <w:r>
        <w:t xml:space="preserve"> collected as a result of reporting activities required by other </w:t>
      </w:r>
      <w:r w:rsidR="0071139A">
        <w:t>OMB-</w:t>
      </w:r>
      <w:r>
        <w:t xml:space="preserve">approved ICRs. For example, see the ICR associated with the Consolidated Emissions Reporting Rule: </w:t>
      </w:r>
      <w:hyperlink r:id="rId11" w:history="1">
        <w:r>
          <w:rPr>
            <w:rStyle w:val="Hyperlink"/>
          </w:rPr>
          <w:t>http://www.epa.gov/ttn/chief/cerr/index.html</w:t>
        </w:r>
      </w:hyperlink>
      <w:r>
        <w:t xml:space="preserve">. In addition, air pollutant concentration data is covered already by ICR 0940-18, OMB Control Number 2060-0084; the New Source Review provisions are covered by ICR 1230.10 and 1230.11, OMB Control Number 2060-003; and the Reformulated Gasoline Requirements are covered ICR 1951.08, OMB Control Number 2060-0277. The EPA believes that a portion of the burden hours TCEQ identified </w:t>
      </w:r>
      <w:r w:rsidR="0071139A">
        <w:t xml:space="preserve">may be </w:t>
      </w:r>
      <w:r>
        <w:t>accounted for in these and other ICRs.</w:t>
      </w:r>
      <w:r w:rsidR="009C54F9" w:rsidDel="009C54F9">
        <w:rPr>
          <w:color w:val="000000"/>
        </w:rPr>
        <w:t xml:space="preserve"> </w:t>
      </w:r>
    </w:p>
    <w:p w14:paraId="6F724A64" w14:textId="4D417799" w:rsidR="00CF2062" w:rsidRDefault="00CF2062" w:rsidP="00DC509E">
      <w:pPr>
        <w:autoSpaceDE w:val="0"/>
        <w:autoSpaceDN w:val="0"/>
        <w:adjustRightInd w:val="0"/>
        <w:ind w:left="360" w:firstLine="360"/>
        <w:rPr>
          <w:color w:val="000000"/>
        </w:rPr>
      </w:pPr>
      <w:r>
        <w:rPr>
          <w:color w:val="000000"/>
        </w:rPr>
        <w:t xml:space="preserve">The commenter </w:t>
      </w:r>
      <w:r w:rsidR="00DC509E">
        <w:rPr>
          <w:color w:val="000000"/>
        </w:rPr>
        <w:t>asserted</w:t>
      </w:r>
      <w:r>
        <w:rPr>
          <w:color w:val="000000"/>
        </w:rPr>
        <w:t xml:space="preserve"> that the 2008 8-hour ozone NAAQS could be revoked within a timeframe that could negate the reclassifications from Moderate to Serious for areas failing to attain before the January 20, 2019 determination of attainment date. </w:t>
      </w:r>
      <w:r w:rsidR="00760514">
        <w:rPr>
          <w:color w:val="000000"/>
        </w:rPr>
        <w:t>However, t</w:t>
      </w:r>
      <w:r>
        <w:rPr>
          <w:color w:val="000000"/>
        </w:rPr>
        <w:t xml:space="preserve">he EPA </w:t>
      </w:r>
      <w:r w:rsidR="00760514">
        <w:rPr>
          <w:color w:val="000000"/>
        </w:rPr>
        <w:t xml:space="preserve">believes it applied an appropriately </w:t>
      </w:r>
      <w:r w:rsidR="000C0FDC">
        <w:rPr>
          <w:color w:val="000000"/>
        </w:rPr>
        <w:t xml:space="preserve">conservative approach for this ICR renewal by </w:t>
      </w:r>
      <w:r>
        <w:rPr>
          <w:color w:val="000000"/>
        </w:rPr>
        <w:t>includ</w:t>
      </w:r>
      <w:r w:rsidR="000C0FDC">
        <w:rPr>
          <w:color w:val="000000"/>
        </w:rPr>
        <w:t>ing</w:t>
      </w:r>
      <w:r>
        <w:rPr>
          <w:color w:val="000000"/>
        </w:rPr>
        <w:t xml:space="preserve"> an estimate of burden and cost that state</w:t>
      </w:r>
      <w:r w:rsidR="000C0FDC">
        <w:rPr>
          <w:color w:val="000000"/>
        </w:rPr>
        <w:t>s</w:t>
      </w:r>
      <w:r>
        <w:rPr>
          <w:color w:val="000000"/>
        </w:rPr>
        <w:t xml:space="preserve"> </w:t>
      </w:r>
      <w:r w:rsidR="00760514">
        <w:rPr>
          <w:color w:val="000000"/>
        </w:rPr>
        <w:t xml:space="preserve">such as Texas </w:t>
      </w:r>
      <w:r>
        <w:rPr>
          <w:color w:val="000000"/>
        </w:rPr>
        <w:t xml:space="preserve">may encounter for these areas </w:t>
      </w:r>
      <w:r w:rsidR="000C0FDC">
        <w:rPr>
          <w:color w:val="000000"/>
        </w:rPr>
        <w:t>assuming</w:t>
      </w:r>
      <w:r>
        <w:rPr>
          <w:color w:val="000000"/>
        </w:rPr>
        <w:t xml:space="preserve"> </w:t>
      </w:r>
      <w:r w:rsidR="000C0FDC">
        <w:rPr>
          <w:color w:val="000000"/>
        </w:rPr>
        <w:t xml:space="preserve">they are </w:t>
      </w:r>
      <w:r>
        <w:rPr>
          <w:color w:val="000000"/>
        </w:rPr>
        <w:t>reclassified</w:t>
      </w:r>
      <w:r w:rsidR="000C0FDC">
        <w:rPr>
          <w:color w:val="000000"/>
        </w:rPr>
        <w:t xml:space="preserve"> to Serious</w:t>
      </w:r>
      <w:r>
        <w:rPr>
          <w:color w:val="000000"/>
        </w:rPr>
        <w:t>.</w:t>
      </w:r>
    </w:p>
    <w:p w14:paraId="68DD2F39" w14:textId="3B5F34FF" w:rsidR="001478CF" w:rsidRDefault="001478CF" w:rsidP="001478CF">
      <w:pPr>
        <w:ind w:left="360" w:firstLine="360"/>
        <w:rPr>
          <w:color w:val="000000"/>
        </w:rPr>
      </w:pPr>
    </w:p>
    <w:p w14:paraId="337FD8D7" w14:textId="77777777" w:rsidR="00BA1885" w:rsidRPr="00756E81" w:rsidRDefault="00BA1885" w:rsidP="00BA1885">
      <w:pPr>
        <w:ind w:left="360"/>
        <w:rPr>
          <w:b/>
        </w:rPr>
      </w:pPr>
      <w:r>
        <w:rPr>
          <w:b/>
        </w:rPr>
        <w:t>3(c)</w:t>
      </w:r>
      <w:r>
        <w:rPr>
          <w:b/>
        </w:rPr>
        <w:tab/>
        <w:t>Consultations</w:t>
      </w:r>
    </w:p>
    <w:p w14:paraId="4AAE79E9" w14:textId="77777777" w:rsidR="00BA1885" w:rsidRDefault="00BA1885" w:rsidP="00BA1885">
      <w:pPr>
        <w:ind w:left="360"/>
      </w:pPr>
    </w:p>
    <w:p w14:paraId="2287B644" w14:textId="77777777" w:rsidR="00BA1885" w:rsidRDefault="00BA1885" w:rsidP="00BA1885">
      <w:pPr>
        <w:autoSpaceDE w:val="0"/>
        <w:autoSpaceDN w:val="0"/>
        <w:adjustRightInd w:val="0"/>
        <w:ind w:left="360"/>
        <w:rPr>
          <w:color w:val="000000"/>
        </w:rPr>
      </w:pPr>
      <w:r>
        <w:tab/>
      </w:r>
      <w:r>
        <w:rPr>
          <w:color w:val="000000"/>
        </w:rPr>
        <w:t xml:space="preserve">The preamble for the proposed 2008 Ozone NAAQS SIP Requirements Rule stated that the EPA would prepare an ICR to accompany the rulemaking. The EPA published a </w:t>
      </w:r>
      <w:r w:rsidRPr="00462ED5">
        <w:rPr>
          <w:i/>
          <w:color w:val="000000"/>
        </w:rPr>
        <w:t>Federal Register</w:t>
      </w:r>
      <w:r>
        <w:rPr>
          <w:color w:val="000000"/>
        </w:rPr>
        <w:t xml:space="preserve"> notice on June 6, 2013 (78 FR 34225) that solicited comment on the </w:t>
      </w:r>
      <w:r w:rsidRPr="00EA1EC4">
        <w:rPr>
          <w:i/>
          <w:color w:val="000000"/>
        </w:rPr>
        <w:t>Agency Information Collection Activities: Proposed Collection; Comment Request; Implementation</w:t>
      </w:r>
      <w:r>
        <w:rPr>
          <w:color w:val="000000"/>
        </w:rPr>
        <w:t xml:space="preserve"> </w:t>
      </w:r>
      <w:r w:rsidRPr="00EA1EC4">
        <w:rPr>
          <w:i/>
          <w:color w:val="000000"/>
        </w:rPr>
        <w:t>of the 2008 Ozone NAAQS</w:t>
      </w:r>
      <w:r>
        <w:rPr>
          <w:i/>
          <w:color w:val="000000"/>
        </w:rPr>
        <w:t>:</w:t>
      </w:r>
      <w:r w:rsidRPr="00EA1EC4">
        <w:rPr>
          <w:i/>
          <w:color w:val="000000"/>
        </w:rPr>
        <w:t xml:space="preserve"> SIP Requirements Rule, EPA ICR No. 2347.02, OMB Control No. 2060–0695</w:t>
      </w:r>
      <w:r>
        <w:rPr>
          <w:color w:val="000000"/>
        </w:rPr>
        <w:t xml:space="preserve">. At this time, a 3-year renewal of the ICR is required. </w:t>
      </w:r>
    </w:p>
    <w:p w14:paraId="4B680148" w14:textId="77777777" w:rsidR="00BA1885" w:rsidRDefault="00BA1885" w:rsidP="00BA1885">
      <w:pPr>
        <w:tabs>
          <w:tab w:val="left" w:pos="3165"/>
        </w:tabs>
        <w:autoSpaceDE w:val="0"/>
        <w:autoSpaceDN w:val="0"/>
        <w:adjustRightInd w:val="0"/>
        <w:ind w:left="360"/>
        <w:rPr>
          <w:color w:val="000000"/>
        </w:rPr>
      </w:pPr>
      <w:r>
        <w:rPr>
          <w:color w:val="000000"/>
        </w:rPr>
        <w:tab/>
      </w:r>
    </w:p>
    <w:p w14:paraId="7005F1EF" w14:textId="63D956D3" w:rsidR="00BA1885" w:rsidRDefault="00BA1885" w:rsidP="00BA1885">
      <w:pPr>
        <w:autoSpaceDE w:val="0"/>
        <w:autoSpaceDN w:val="0"/>
        <w:adjustRightInd w:val="0"/>
        <w:ind w:left="360" w:firstLine="360"/>
        <w:rPr>
          <w:color w:val="000000"/>
        </w:rPr>
      </w:pPr>
      <w:r w:rsidRPr="00694A1B">
        <w:rPr>
          <w:color w:val="000000"/>
        </w:rPr>
        <w:t xml:space="preserve">To renew the information collection activities, the EPA published a </w:t>
      </w:r>
      <w:r w:rsidRPr="00694A1B">
        <w:rPr>
          <w:i/>
          <w:color w:val="000000"/>
        </w:rPr>
        <w:t>Federal Register</w:t>
      </w:r>
      <w:r w:rsidRPr="00694A1B">
        <w:rPr>
          <w:color w:val="000000"/>
        </w:rPr>
        <w:t xml:space="preserve"> notice on </w:t>
      </w:r>
      <w:r w:rsidRPr="00694A1B">
        <w:t>October 2, 2017</w:t>
      </w:r>
      <w:r w:rsidRPr="00694A1B">
        <w:rPr>
          <w:color w:val="000000"/>
        </w:rPr>
        <w:t xml:space="preserve"> (</w:t>
      </w:r>
      <w:r w:rsidRPr="00694A1B">
        <w:t>82 FR 45843</w:t>
      </w:r>
      <w:r w:rsidRPr="00694A1B">
        <w:rPr>
          <w:color w:val="000000"/>
        </w:rPr>
        <w:t xml:space="preserve">) and </w:t>
      </w:r>
      <w:r w:rsidRPr="00694A1B">
        <w:t>on November 8, 2017 (</w:t>
      </w:r>
      <w:r w:rsidRPr="00694A1B">
        <w:rPr>
          <w:color w:val="000000" w:themeColor="text1"/>
        </w:rPr>
        <w:t>82 FR 51829</w:t>
      </w:r>
      <w:r w:rsidRPr="00694A1B">
        <w:t>)</w:t>
      </w:r>
      <w:r w:rsidRPr="00694A1B">
        <w:rPr>
          <w:color w:val="000000"/>
        </w:rPr>
        <w:t xml:space="preserve"> that solicited comment on the </w:t>
      </w:r>
      <w:r w:rsidRPr="00694A1B">
        <w:rPr>
          <w:i/>
          <w:color w:val="000000"/>
        </w:rPr>
        <w:t>Agency Information Collection Activities, Renewal, Comment Request; 2008 Ozone NAAQS: SIP Requirements Rule, EPA ICR 2347.03, OMB Control no. 2060-0695</w:t>
      </w:r>
      <w:r w:rsidRPr="00694A1B">
        <w:rPr>
          <w:color w:val="000000"/>
        </w:rPr>
        <w:t xml:space="preserve">. The comment period closed on December 8, 2017, with the EPA receiving 31 comments from anonymous commenters which did not apply to ozone NAAQS implementation and </w:t>
      </w:r>
      <w:r>
        <w:rPr>
          <w:color w:val="000000"/>
        </w:rPr>
        <w:t xml:space="preserve">one comment from the Texas Commission on Environmental Quality (TCEQ) that applied to the cost estimates for implementing the ozone NAAQS in the two Texas nonattainment areas. </w:t>
      </w:r>
      <w:r w:rsidR="00002DA8">
        <w:rPr>
          <w:color w:val="000000"/>
        </w:rPr>
        <w:t xml:space="preserve">The EPA has revised the cost estimate burden based on the comment from TCEQ. </w:t>
      </w:r>
      <w:r>
        <w:rPr>
          <w:color w:val="000000"/>
        </w:rPr>
        <w:t>The anonymous public comments unrelated to this ICR action do not require a response in this action.</w:t>
      </w:r>
    </w:p>
    <w:p w14:paraId="14D14DF1" w14:textId="77777777" w:rsidR="00682CC4" w:rsidRDefault="00682CC4" w:rsidP="00DC509E">
      <w:pPr>
        <w:autoSpaceDE w:val="0"/>
        <w:autoSpaceDN w:val="0"/>
        <w:adjustRightInd w:val="0"/>
        <w:ind w:left="360" w:firstLine="360"/>
        <w:rPr>
          <w:color w:val="000000"/>
        </w:rPr>
      </w:pPr>
    </w:p>
    <w:p w14:paraId="14047688" w14:textId="77777777" w:rsidR="00CB3528" w:rsidRDefault="001976E8" w:rsidP="009C54F9">
      <w:pPr>
        <w:ind w:left="360" w:firstLine="360"/>
        <w:rPr>
          <w:b/>
        </w:rPr>
      </w:pPr>
      <w:r>
        <w:rPr>
          <w:b/>
        </w:rPr>
        <w:t>3(</w:t>
      </w:r>
      <w:r w:rsidR="00756E81">
        <w:rPr>
          <w:b/>
        </w:rPr>
        <w:t>d</w:t>
      </w:r>
      <w:r w:rsidR="00CB3528">
        <w:rPr>
          <w:b/>
        </w:rPr>
        <w:t>)</w:t>
      </w:r>
      <w:r w:rsidR="00CB3528">
        <w:rPr>
          <w:b/>
        </w:rPr>
        <w:tab/>
        <w:t>Effects of Less Frequent Collection</w:t>
      </w:r>
    </w:p>
    <w:p w14:paraId="0A43F07D" w14:textId="77777777" w:rsidR="00CB3528" w:rsidRDefault="00CB3528" w:rsidP="00A377AC">
      <w:pPr>
        <w:keepNext/>
        <w:ind w:left="360"/>
        <w:rPr>
          <w:b/>
        </w:rPr>
      </w:pPr>
    </w:p>
    <w:p w14:paraId="6B6D9DE9" w14:textId="0F2BCCF3" w:rsidR="00CB3528" w:rsidRDefault="00CB3528" w:rsidP="000F6A4C">
      <w:pPr>
        <w:ind w:left="360"/>
      </w:pPr>
      <w:r>
        <w:rPr>
          <w:b/>
        </w:rPr>
        <w:tab/>
      </w:r>
      <w:r>
        <w:t>The collections under 40 CFR 51.</w:t>
      </w:r>
      <w:r w:rsidR="001F40D7">
        <w:t>1108</w:t>
      </w:r>
      <w:r>
        <w:t>, 51.</w:t>
      </w:r>
      <w:r w:rsidR="001F40D7">
        <w:t>1110</w:t>
      </w:r>
      <w:r w:rsidR="00D246B2">
        <w:t xml:space="preserve"> and</w:t>
      </w:r>
      <w:r>
        <w:t xml:space="preserve"> </w:t>
      </w:r>
      <w:r w:rsidR="00F21563">
        <w:t>51.1112</w:t>
      </w:r>
      <w:r w:rsidR="001F40D7">
        <w:t xml:space="preserve"> </w:t>
      </w:r>
      <w:r>
        <w:t>are necessary to provide assurances that emission</w:t>
      </w:r>
      <w:r w:rsidR="00F05148">
        <w:t>s</w:t>
      </w:r>
      <w:r>
        <w:t xml:space="preserve"> reductions </w:t>
      </w:r>
      <w:r w:rsidR="00F05148">
        <w:t xml:space="preserve">identified by states </w:t>
      </w:r>
      <w:r>
        <w:t xml:space="preserve">are adequate to ensure timely attainment and maintenance of the </w:t>
      </w:r>
      <w:r w:rsidR="007925BB">
        <w:t>2008</w:t>
      </w:r>
      <w:r w:rsidR="000B4541">
        <w:t xml:space="preserve"> </w:t>
      </w:r>
      <w:r w:rsidR="00B12A44">
        <w:t>o</w:t>
      </w:r>
      <w:r>
        <w:t>zone NAAQS</w:t>
      </w:r>
      <w:r w:rsidR="00B700AE">
        <w:t>, and</w:t>
      </w:r>
      <w:r>
        <w:t xml:space="preserve"> </w:t>
      </w:r>
      <w:r w:rsidR="00B700AE">
        <w:t>to</w:t>
      </w:r>
      <w:r>
        <w:t xml:space="preserve"> adher</w:t>
      </w:r>
      <w:r w:rsidR="00B700AE">
        <w:t>e</w:t>
      </w:r>
      <w:r>
        <w:t xml:space="preserve"> to the mandatory measures and requirements </w:t>
      </w:r>
      <w:r w:rsidR="00B700AE">
        <w:t xml:space="preserve">in the CAA </w:t>
      </w:r>
      <w:r>
        <w:t xml:space="preserve">for </w:t>
      </w:r>
      <w:r w:rsidR="00F60529">
        <w:t>nonattainment</w:t>
      </w:r>
      <w:r>
        <w:t xml:space="preserve"> areas.</w:t>
      </w:r>
    </w:p>
    <w:p w14:paraId="674FDDD1" w14:textId="77777777" w:rsidR="00CB3528" w:rsidRDefault="00CB3528" w:rsidP="000F6A4C">
      <w:pPr>
        <w:ind w:left="360"/>
      </w:pPr>
    </w:p>
    <w:p w14:paraId="7DFD8399" w14:textId="77777777" w:rsidR="00CB3528" w:rsidRDefault="001976E8" w:rsidP="000F6A4C">
      <w:pPr>
        <w:ind w:left="360"/>
      </w:pPr>
      <w:r>
        <w:rPr>
          <w:b/>
        </w:rPr>
        <w:t>3(</w:t>
      </w:r>
      <w:r w:rsidR="00756E81">
        <w:rPr>
          <w:b/>
        </w:rPr>
        <w:t>e</w:t>
      </w:r>
      <w:r w:rsidR="00CB3528">
        <w:rPr>
          <w:b/>
        </w:rPr>
        <w:t>)</w:t>
      </w:r>
      <w:r w:rsidR="00CB3528">
        <w:rPr>
          <w:b/>
        </w:rPr>
        <w:tab/>
        <w:t>General Guidelines</w:t>
      </w:r>
      <w:r w:rsidR="00CB3528">
        <w:t xml:space="preserve"> </w:t>
      </w:r>
    </w:p>
    <w:p w14:paraId="01AE7B46" w14:textId="77777777" w:rsidR="00756E81" w:rsidRDefault="00756E81" w:rsidP="00756E81">
      <w:pPr>
        <w:ind w:left="360"/>
      </w:pPr>
    </w:p>
    <w:p w14:paraId="1DBBD51E" w14:textId="25653DAD" w:rsidR="00CB3528" w:rsidRDefault="00756E81" w:rsidP="00756E81">
      <w:pPr>
        <w:ind w:left="360"/>
      </w:pPr>
      <w:r>
        <w:tab/>
      </w:r>
      <w:r w:rsidRPr="00C60E84">
        <w:t xml:space="preserve">This ICR </w:t>
      </w:r>
      <w:r w:rsidR="00C82F74">
        <w:t xml:space="preserve">renewal </w:t>
      </w:r>
      <w:r w:rsidRPr="00C60E84">
        <w:t xml:space="preserve">adheres to the guidelines stated in the 1995 </w:t>
      </w:r>
      <w:r w:rsidR="004D5384">
        <w:t>PRA</w:t>
      </w:r>
      <w:r w:rsidRPr="00C60E84">
        <w:t>, the OMB</w:t>
      </w:r>
      <w:r w:rsidR="009777F2">
        <w:t>’</w:t>
      </w:r>
      <w:r w:rsidRPr="00C60E84">
        <w:t xml:space="preserve">s implementing regulations, </w:t>
      </w:r>
      <w:r w:rsidR="00597B08">
        <w:t xml:space="preserve">the </w:t>
      </w:r>
      <w:r w:rsidRPr="00C60E84">
        <w:t>EPA</w:t>
      </w:r>
      <w:r w:rsidR="009777F2">
        <w:t>’</w:t>
      </w:r>
      <w:r w:rsidRPr="00C60E84">
        <w:t xml:space="preserve">s </w:t>
      </w:r>
      <w:r w:rsidRPr="00462ED5">
        <w:rPr>
          <w:i/>
        </w:rPr>
        <w:t>Information Collection Request Handbook</w:t>
      </w:r>
      <w:r w:rsidRPr="00C60E84">
        <w:t>, and other applicable OMB guidance.</w:t>
      </w:r>
      <w:r w:rsidR="00FA5F1B">
        <w:t xml:space="preserve"> </w:t>
      </w:r>
      <w:r w:rsidR="00CB3528">
        <w:t xml:space="preserve">The </w:t>
      </w:r>
      <w:r w:rsidR="00F21563" w:rsidRPr="00F95262">
        <w:rPr>
          <w:i/>
        </w:rPr>
        <w:t>Implementation of the 2008 National Ambient Air Quality Standards for Ozone: State Implementation Plan Requirements; Final rule</w:t>
      </w:r>
      <w:r w:rsidR="00F21563">
        <w:t xml:space="preserve">, </w:t>
      </w:r>
      <w:r w:rsidR="00CB3528">
        <w:t>does not require:</w:t>
      </w:r>
    </w:p>
    <w:p w14:paraId="49EBAB94" w14:textId="77777777" w:rsidR="00CB3528" w:rsidRDefault="00CB3528" w:rsidP="00756E81">
      <w:pPr>
        <w:numPr>
          <w:ilvl w:val="0"/>
          <w:numId w:val="6"/>
        </w:numPr>
        <w:tabs>
          <w:tab w:val="clear" w:pos="1080"/>
          <w:tab w:val="num" w:pos="720"/>
        </w:tabs>
      </w:pPr>
      <w:r>
        <w:t>reporting more than once a year;</w:t>
      </w:r>
    </w:p>
    <w:p w14:paraId="712228C6" w14:textId="77777777" w:rsidR="00CB3528" w:rsidRDefault="00CB3528" w:rsidP="00756E81">
      <w:pPr>
        <w:numPr>
          <w:ilvl w:val="0"/>
          <w:numId w:val="6"/>
        </w:numPr>
        <w:tabs>
          <w:tab w:val="clear" w:pos="1080"/>
          <w:tab w:val="num" w:pos="720"/>
        </w:tabs>
      </w:pPr>
      <w:r>
        <w:t>respondents to participate in a statistical survey;</w:t>
      </w:r>
      <w:r w:rsidR="00FA5F1B">
        <w:t xml:space="preserve"> </w:t>
      </w:r>
    </w:p>
    <w:p w14:paraId="4683363B" w14:textId="37FBD038" w:rsidR="00CB3528" w:rsidRDefault="00CB3528" w:rsidP="00756E81">
      <w:pPr>
        <w:numPr>
          <w:ilvl w:val="0"/>
          <w:numId w:val="6"/>
        </w:numPr>
        <w:tabs>
          <w:tab w:val="clear" w:pos="1080"/>
          <w:tab w:val="num" w:pos="720"/>
        </w:tabs>
      </w:pPr>
      <w:r>
        <w:t xml:space="preserve">responses to </w:t>
      </w:r>
      <w:r w:rsidR="00A377AC">
        <w:t>a</w:t>
      </w:r>
      <w:r>
        <w:t>gency inquiries in less than 30 days;</w:t>
      </w:r>
    </w:p>
    <w:p w14:paraId="32C44A7A" w14:textId="77777777" w:rsidR="00C41156" w:rsidRDefault="00CB3528" w:rsidP="00756E81">
      <w:pPr>
        <w:numPr>
          <w:ilvl w:val="0"/>
          <w:numId w:val="6"/>
        </w:numPr>
        <w:tabs>
          <w:tab w:val="clear" w:pos="1080"/>
          <w:tab w:val="num" w:pos="720"/>
        </w:tabs>
      </w:pPr>
      <w:r>
        <w:t xml:space="preserve">respondents to receive remuneration for preparation of reports; </w:t>
      </w:r>
    </w:p>
    <w:p w14:paraId="2F6A0A61" w14:textId="1826EF81" w:rsidR="00CB3528" w:rsidRDefault="00C41156" w:rsidP="00756E81">
      <w:pPr>
        <w:numPr>
          <w:ilvl w:val="0"/>
          <w:numId w:val="6"/>
        </w:numPr>
        <w:tabs>
          <w:tab w:val="clear" w:pos="1080"/>
          <w:tab w:val="num" w:pos="720"/>
        </w:tabs>
      </w:pPr>
      <w:r>
        <w:t>records to be kept more than 3 years,</w:t>
      </w:r>
      <w:r>
        <w:rPr>
          <w:rStyle w:val="FootnoteReference"/>
        </w:rPr>
        <w:footnoteReference w:id="4"/>
      </w:r>
      <w:r w:rsidR="00B12A44">
        <w:t xml:space="preserve"> or</w:t>
      </w:r>
      <w:r w:rsidR="00CB3528">
        <w:t xml:space="preserve">, </w:t>
      </w:r>
    </w:p>
    <w:p w14:paraId="121CFFD6" w14:textId="77777777" w:rsidR="00CB3528" w:rsidRDefault="00CB3528" w:rsidP="00756E81">
      <w:pPr>
        <w:numPr>
          <w:ilvl w:val="0"/>
          <w:numId w:val="6"/>
        </w:numPr>
        <w:tabs>
          <w:tab w:val="clear" w:pos="1080"/>
          <w:tab w:val="num" w:pos="720"/>
        </w:tabs>
      </w:pPr>
      <w:r>
        <w:t>manual methods of reporting.</w:t>
      </w:r>
      <w:r>
        <w:rPr>
          <w:rStyle w:val="FootnoteReference"/>
        </w:rPr>
        <w:footnoteReference w:id="5"/>
      </w:r>
    </w:p>
    <w:p w14:paraId="7D8F6AFD" w14:textId="77777777" w:rsidR="00CB3528" w:rsidRDefault="00CB3528" w:rsidP="000F6A4C">
      <w:pPr>
        <w:ind w:left="360"/>
      </w:pPr>
    </w:p>
    <w:p w14:paraId="0208593C" w14:textId="77777777" w:rsidR="00CB3528" w:rsidRDefault="001976E8" w:rsidP="000F6A4C">
      <w:pPr>
        <w:ind w:left="360"/>
        <w:rPr>
          <w:b/>
        </w:rPr>
      </w:pPr>
      <w:r>
        <w:rPr>
          <w:b/>
        </w:rPr>
        <w:t>3(</w:t>
      </w:r>
      <w:r w:rsidR="00BD10CD">
        <w:rPr>
          <w:b/>
        </w:rPr>
        <w:t>f</w:t>
      </w:r>
      <w:r>
        <w:rPr>
          <w:b/>
        </w:rPr>
        <w:t>)</w:t>
      </w:r>
      <w:r w:rsidR="00BD10CD">
        <w:rPr>
          <w:b/>
        </w:rPr>
        <w:tab/>
      </w:r>
      <w:r>
        <w:rPr>
          <w:b/>
        </w:rPr>
        <w:tab/>
      </w:r>
      <w:r w:rsidR="00CB3528">
        <w:rPr>
          <w:b/>
        </w:rPr>
        <w:t>Confidentiality</w:t>
      </w:r>
    </w:p>
    <w:p w14:paraId="155406E0" w14:textId="77777777" w:rsidR="00CB3528" w:rsidRDefault="00CB3528" w:rsidP="000F6A4C">
      <w:pPr>
        <w:ind w:left="360"/>
        <w:rPr>
          <w:b/>
        </w:rPr>
      </w:pPr>
    </w:p>
    <w:p w14:paraId="53987C12" w14:textId="56DFBF9D" w:rsidR="00CB3528" w:rsidRDefault="00CB3528" w:rsidP="000F6A4C">
      <w:pPr>
        <w:ind w:left="360"/>
      </w:pPr>
      <w:r>
        <w:rPr>
          <w:b/>
        </w:rPr>
        <w:tab/>
      </w:r>
      <w:r>
        <w:t xml:space="preserve">The information </w:t>
      </w:r>
      <w:r w:rsidR="00B12A44">
        <w:t xml:space="preserve">covered by this ICR </w:t>
      </w:r>
      <w:r>
        <w:t>is requested from state</w:t>
      </w:r>
      <w:r w:rsidR="00B12A44">
        <w:t xml:space="preserve"> and local air agencies</w:t>
      </w:r>
      <w:r>
        <w:t>.</w:t>
      </w:r>
      <w:r w:rsidR="00FA5F1B">
        <w:t xml:space="preserve"> </w:t>
      </w:r>
      <w:r>
        <w:t xml:space="preserve">To fulfill the attainment </w:t>
      </w:r>
      <w:r w:rsidR="00C82F74">
        <w:t>plan/</w:t>
      </w:r>
      <w:r>
        <w:t>demonstration</w:t>
      </w:r>
      <w:r w:rsidR="00C82F74">
        <w:t xml:space="preserve"> SIP submission</w:t>
      </w:r>
      <w:r>
        <w:t xml:space="preserve">, RFP SIP submission, and RACT SIP submission requirements, states will use emissions and control efficiency data provided by certain facilities in the private and public sector. </w:t>
      </w:r>
      <w:r w:rsidR="00233370">
        <w:t>In general</w:t>
      </w:r>
      <w:r w:rsidR="00B700AE">
        <w:t>, the information states use to develop SIP submittals may not be deemed confidential, and must be available for review by federal officials and the public.</w:t>
      </w:r>
      <w:r w:rsidR="00233370">
        <w:t xml:space="preserve"> Exceptions to this are outlined in the CAA, and the CAA’s provisions for handling confidential business information (CBI) will be followed by agency employees to ensure proper confidentiality where allowed by law.</w:t>
      </w:r>
    </w:p>
    <w:p w14:paraId="62334A63" w14:textId="77777777" w:rsidR="00275B3E" w:rsidRDefault="00275B3E" w:rsidP="000F6A4C">
      <w:pPr>
        <w:ind w:left="360"/>
      </w:pPr>
    </w:p>
    <w:p w14:paraId="6870C297" w14:textId="3DC1B59E" w:rsidR="00CB3528" w:rsidRDefault="001976E8" w:rsidP="000F6A4C">
      <w:pPr>
        <w:ind w:left="360"/>
        <w:rPr>
          <w:b/>
        </w:rPr>
      </w:pPr>
      <w:r>
        <w:rPr>
          <w:b/>
        </w:rPr>
        <w:t>3(</w:t>
      </w:r>
      <w:r w:rsidR="00BD10CD">
        <w:rPr>
          <w:b/>
        </w:rPr>
        <w:t>g</w:t>
      </w:r>
      <w:r w:rsidR="00CB3528">
        <w:rPr>
          <w:b/>
        </w:rPr>
        <w:t>)</w:t>
      </w:r>
      <w:r w:rsidR="00CB3528">
        <w:rPr>
          <w:b/>
        </w:rPr>
        <w:tab/>
        <w:t xml:space="preserve">Sensitive </w:t>
      </w:r>
      <w:r w:rsidR="00233370">
        <w:rPr>
          <w:b/>
        </w:rPr>
        <w:t>Questions</w:t>
      </w:r>
    </w:p>
    <w:p w14:paraId="48E604A7" w14:textId="77777777" w:rsidR="00CB3528" w:rsidRDefault="00CB3528" w:rsidP="000F6A4C">
      <w:pPr>
        <w:ind w:left="360"/>
        <w:rPr>
          <w:b/>
        </w:rPr>
      </w:pPr>
    </w:p>
    <w:p w14:paraId="3B4D66CA" w14:textId="7D6D3972" w:rsidR="00CB3528" w:rsidRDefault="00CB3528" w:rsidP="000F6A4C">
      <w:pPr>
        <w:ind w:left="360"/>
      </w:pPr>
      <w:r>
        <w:tab/>
        <w:t xml:space="preserve">The attainment </w:t>
      </w:r>
      <w:r w:rsidR="00C82F74">
        <w:t>plan/</w:t>
      </w:r>
      <w:r>
        <w:t>demonstration</w:t>
      </w:r>
      <w:r w:rsidR="00C82F74">
        <w:t xml:space="preserve"> SIP submission</w:t>
      </w:r>
      <w:r>
        <w:t xml:space="preserve">, RFP SIP submission, and RACT SIP submission do not include questions whose answers would require </w:t>
      </w:r>
      <w:r w:rsidR="00B12A44">
        <w:t xml:space="preserve">the reporting of </w:t>
      </w:r>
      <w:r>
        <w:t>sensitive information.</w:t>
      </w:r>
    </w:p>
    <w:p w14:paraId="2F0ACE44" w14:textId="77777777" w:rsidR="00CB3528" w:rsidRDefault="00CB3528" w:rsidP="000F6A4C">
      <w:pPr>
        <w:ind w:left="360"/>
        <w:rPr>
          <w:b/>
        </w:rPr>
      </w:pPr>
    </w:p>
    <w:p w14:paraId="4C97E39D" w14:textId="77777777" w:rsidR="00CB3528" w:rsidRDefault="00CB3528" w:rsidP="00A377AC">
      <w:pPr>
        <w:keepNext/>
        <w:numPr>
          <w:ilvl w:val="0"/>
          <w:numId w:val="7"/>
        </w:numPr>
        <w:tabs>
          <w:tab w:val="clear" w:pos="1440"/>
          <w:tab w:val="num" w:pos="1080"/>
        </w:tabs>
        <w:rPr>
          <w:b/>
          <w:sz w:val="28"/>
          <w:szCs w:val="28"/>
        </w:rPr>
      </w:pPr>
      <w:r>
        <w:rPr>
          <w:b/>
          <w:sz w:val="28"/>
          <w:szCs w:val="28"/>
        </w:rPr>
        <w:t>Respondents and the Information Requested</w:t>
      </w:r>
    </w:p>
    <w:p w14:paraId="7A03E0DD" w14:textId="77777777" w:rsidR="00CB3528" w:rsidRDefault="00CB3528" w:rsidP="00A377AC">
      <w:pPr>
        <w:keepNext/>
        <w:ind w:left="360"/>
        <w:rPr>
          <w:b/>
          <w:sz w:val="28"/>
          <w:szCs w:val="28"/>
        </w:rPr>
      </w:pPr>
    </w:p>
    <w:p w14:paraId="01D66E88" w14:textId="77777777" w:rsidR="00CB3528" w:rsidRDefault="00CB3528" w:rsidP="00A377AC">
      <w:pPr>
        <w:keepNext/>
        <w:ind w:left="360"/>
        <w:rPr>
          <w:b/>
        </w:rPr>
      </w:pPr>
      <w:r>
        <w:rPr>
          <w:b/>
        </w:rPr>
        <w:t>4(a)</w:t>
      </w:r>
      <w:r>
        <w:rPr>
          <w:b/>
        </w:rPr>
        <w:tab/>
        <w:t xml:space="preserve">Respondents and the </w:t>
      </w:r>
      <w:r w:rsidR="00F60529">
        <w:rPr>
          <w:b/>
        </w:rPr>
        <w:t>Nonattainment</w:t>
      </w:r>
      <w:r>
        <w:rPr>
          <w:b/>
        </w:rPr>
        <w:t xml:space="preserve"> areas</w:t>
      </w:r>
    </w:p>
    <w:p w14:paraId="1A5B0EC8" w14:textId="77777777" w:rsidR="00CB3528" w:rsidRDefault="00CB3528" w:rsidP="00A377AC">
      <w:pPr>
        <w:keepNext/>
        <w:ind w:left="360"/>
        <w:rPr>
          <w:b/>
        </w:rPr>
      </w:pPr>
    </w:p>
    <w:p w14:paraId="496B676E" w14:textId="2362F3FC" w:rsidR="00200C33" w:rsidRDefault="00CB3528" w:rsidP="00A377AC">
      <w:pPr>
        <w:keepNext/>
        <w:ind w:left="360"/>
      </w:pPr>
      <w:r>
        <w:tab/>
        <w:t xml:space="preserve">Table </w:t>
      </w:r>
      <w:r w:rsidR="00184DED">
        <w:t>4.</w:t>
      </w:r>
      <w:r>
        <w:t xml:space="preserve">1 lists </w:t>
      </w:r>
      <w:r w:rsidR="000F5D2C">
        <w:t xml:space="preserve">each of the 2008 ozone NAAQS </w:t>
      </w:r>
      <w:r w:rsidR="00333398">
        <w:t>nonattainment</w:t>
      </w:r>
      <w:r w:rsidR="0051032A">
        <w:t xml:space="preserve"> areas </w:t>
      </w:r>
      <w:r w:rsidR="000F5D2C">
        <w:t>by area classification (e.g., Marginal, Moderate) or maintenance status</w:t>
      </w:r>
      <w:r w:rsidR="0051032A">
        <w:t xml:space="preserve">. Table </w:t>
      </w:r>
      <w:r w:rsidR="00184DED">
        <w:t>4.</w:t>
      </w:r>
      <w:r w:rsidR="0051032A">
        <w:t xml:space="preserve">2 lists the number of </w:t>
      </w:r>
      <w:r w:rsidR="00F60529">
        <w:t>nonattainment</w:t>
      </w:r>
      <w:r w:rsidR="0051032A">
        <w:t xml:space="preserve"> areas within each state </w:t>
      </w:r>
      <w:r w:rsidR="000F5D2C">
        <w:t xml:space="preserve">by classification, </w:t>
      </w:r>
      <w:r w:rsidR="0051032A">
        <w:t xml:space="preserve">and </w:t>
      </w:r>
      <w:r w:rsidR="00DC404D">
        <w:t xml:space="preserve">their respective EPA </w:t>
      </w:r>
      <w:r w:rsidR="00A377AC">
        <w:t>R</w:t>
      </w:r>
      <w:r w:rsidR="0051032A">
        <w:t xml:space="preserve">egional </w:t>
      </w:r>
      <w:r w:rsidR="00A377AC">
        <w:t>O</w:t>
      </w:r>
      <w:r w:rsidR="0051032A">
        <w:t xml:space="preserve">ffice. Table </w:t>
      </w:r>
      <w:r w:rsidR="00184DED">
        <w:t>4.</w:t>
      </w:r>
      <w:r w:rsidR="0051032A">
        <w:t xml:space="preserve">3 </w:t>
      </w:r>
      <w:r w:rsidR="00200C33">
        <w:t xml:space="preserve">lists </w:t>
      </w:r>
      <w:r w:rsidR="0051032A">
        <w:t xml:space="preserve">the </w:t>
      </w:r>
      <w:r w:rsidR="00F95262">
        <w:t>17</w:t>
      </w:r>
      <w:r w:rsidR="00233370">
        <w:t xml:space="preserve"> </w:t>
      </w:r>
      <w:r w:rsidR="00F60529">
        <w:t>nonattainment</w:t>
      </w:r>
      <w:r w:rsidR="0051032A">
        <w:t xml:space="preserve"> areas </w:t>
      </w:r>
      <w:r w:rsidR="006C4C93">
        <w:t xml:space="preserve">and the states that are deemed eligible to </w:t>
      </w:r>
      <w:r w:rsidR="005054B5">
        <w:t xml:space="preserve">submit a request to EPA </w:t>
      </w:r>
      <w:r w:rsidR="00DC404D">
        <w:t xml:space="preserve">to redesignate </w:t>
      </w:r>
      <w:r w:rsidR="00200C33">
        <w:t>the</w:t>
      </w:r>
      <w:r w:rsidR="00DC404D">
        <w:t xml:space="preserve"> areas</w:t>
      </w:r>
      <w:r w:rsidR="005054B5">
        <w:t xml:space="preserve"> to </w:t>
      </w:r>
      <w:r w:rsidR="00B12A44">
        <w:t>a</w:t>
      </w:r>
      <w:r w:rsidR="005054B5">
        <w:t xml:space="preserve">ttainment. </w:t>
      </w:r>
      <w:r w:rsidR="001E1F2B">
        <w:t xml:space="preserve">Table </w:t>
      </w:r>
      <w:r w:rsidR="00184DED">
        <w:t>4.</w:t>
      </w:r>
      <w:r w:rsidR="006C4C93">
        <w:t>4</w:t>
      </w:r>
      <w:r w:rsidR="001E1F2B">
        <w:t xml:space="preserve"> </w:t>
      </w:r>
      <w:r w:rsidR="00200C33">
        <w:t xml:space="preserve">lists </w:t>
      </w:r>
      <w:r w:rsidR="00233370">
        <w:t xml:space="preserve">the Moderate </w:t>
      </w:r>
      <w:r w:rsidR="001E1F2B">
        <w:t>nonattainment area</w:t>
      </w:r>
      <w:r w:rsidR="00233370">
        <w:t>s</w:t>
      </w:r>
      <w:r w:rsidR="001E1F2B">
        <w:t xml:space="preserve"> that may be reclassified to </w:t>
      </w:r>
      <w:r w:rsidR="00460C1D">
        <w:t>Serious</w:t>
      </w:r>
      <w:r w:rsidR="00BE32D5">
        <w:t xml:space="preserve"> and thus likely to become subject to Serious area attainment planning requirements</w:t>
      </w:r>
      <w:r w:rsidR="001E1F2B">
        <w:t xml:space="preserve">. </w:t>
      </w:r>
    </w:p>
    <w:p w14:paraId="48EF7988" w14:textId="77777777" w:rsidR="00200C33" w:rsidRDefault="00200C33" w:rsidP="000F6A4C">
      <w:pPr>
        <w:ind w:left="360"/>
      </w:pPr>
    </w:p>
    <w:p w14:paraId="39ADC4DB" w14:textId="20917669" w:rsidR="00CB3528" w:rsidRDefault="00244943" w:rsidP="001E00B8">
      <w:pPr>
        <w:ind w:left="360" w:firstLine="360"/>
      </w:pPr>
      <w:r>
        <w:t xml:space="preserve">Local, state, and federal agencies are </w:t>
      </w:r>
      <w:r w:rsidR="00BE32D5">
        <w:t xml:space="preserve">directly affected entities that are </w:t>
      </w:r>
      <w:r>
        <w:t>part of the North American Industrial Classification System code number 924110.</w:t>
      </w:r>
      <w:r>
        <w:rPr>
          <w:rStyle w:val="FootnoteReference"/>
        </w:rPr>
        <w:footnoteReference w:id="6"/>
      </w:r>
      <w:r w:rsidR="00200C33">
        <w:t xml:space="preserve"> </w:t>
      </w:r>
      <w:r w:rsidR="00CB3528">
        <w:t xml:space="preserve">There are other entities that may be indirectly affected, </w:t>
      </w:r>
      <w:r w:rsidR="00200C33">
        <w:t xml:space="preserve">due to the fact that </w:t>
      </w:r>
      <w:r w:rsidR="00CB3528">
        <w:t xml:space="preserve">they may </w:t>
      </w:r>
      <w:r w:rsidR="00233370">
        <w:t xml:space="preserve">review and </w:t>
      </w:r>
      <w:r w:rsidR="00CB3528">
        <w:t>comment on the draft submissions before they are forwarded to EPA’s Regional Offices. These include potentially regulated entities, representatives of special interest groups, and individual</w:t>
      </w:r>
      <w:r w:rsidR="00233370">
        <w:t xml:space="preserve"> members of the public</w:t>
      </w:r>
      <w:r w:rsidR="00CB3528">
        <w:t xml:space="preserve">. Consideration of the burden on these entities is beyond the scope of the </w:t>
      </w:r>
      <w:r w:rsidR="004D5384">
        <w:t>PRA</w:t>
      </w:r>
      <w:r w:rsidR="00BE32D5">
        <w:t xml:space="preserve"> and therefore this renewal notice</w:t>
      </w:r>
      <w:r w:rsidR="00CB3528">
        <w:t xml:space="preserve">. </w:t>
      </w:r>
    </w:p>
    <w:p w14:paraId="5A65DAD3" w14:textId="21CF7353" w:rsidR="00191AC6" w:rsidRDefault="00191AC6" w:rsidP="000F6A4C">
      <w:pPr>
        <w:ind w:left="360"/>
      </w:pPr>
    </w:p>
    <w:p w14:paraId="2E87ED67" w14:textId="77777777" w:rsidR="00275B3E" w:rsidRDefault="00275B3E" w:rsidP="000F6A4C">
      <w:pPr>
        <w:ind w:left="360"/>
      </w:pPr>
    </w:p>
    <w:p w14:paraId="6A1206A1" w14:textId="1C6F3C4B" w:rsidR="00CB3528" w:rsidRDefault="00CB3528" w:rsidP="000F6A4C">
      <w:pPr>
        <w:ind w:left="360"/>
        <w:rPr>
          <w:rFonts w:ascii="Arial" w:hAnsi="Arial" w:cs="Arial"/>
          <w:b/>
          <w:sz w:val="20"/>
          <w:szCs w:val="20"/>
        </w:rPr>
      </w:pPr>
      <w:r w:rsidRPr="001A3469">
        <w:rPr>
          <w:b/>
        </w:rPr>
        <w:t xml:space="preserve">Table </w:t>
      </w:r>
      <w:r w:rsidR="00890EB3">
        <w:rPr>
          <w:b/>
        </w:rPr>
        <w:t>4.</w:t>
      </w:r>
      <w:r w:rsidRPr="001A3469">
        <w:rPr>
          <w:b/>
        </w:rPr>
        <w:t>1.</w:t>
      </w:r>
      <w:r w:rsidR="00821502">
        <w:rPr>
          <w:b/>
        </w:rPr>
        <w:t xml:space="preserve"> </w:t>
      </w:r>
      <w:r w:rsidRPr="001A3469">
        <w:rPr>
          <w:b/>
        </w:rPr>
        <w:t xml:space="preserve">Classifications of </w:t>
      </w:r>
      <w:r w:rsidR="001E1F2B">
        <w:rPr>
          <w:b/>
        </w:rPr>
        <w:t>200</w:t>
      </w:r>
      <w:r w:rsidRPr="001A3469">
        <w:rPr>
          <w:b/>
        </w:rPr>
        <w:t xml:space="preserve">8 Ozone </w:t>
      </w:r>
      <w:r w:rsidR="00F60529">
        <w:rPr>
          <w:b/>
        </w:rPr>
        <w:t>Nonattainment</w:t>
      </w:r>
      <w:r w:rsidRPr="001A3469">
        <w:rPr>
          <w:b/>
        </w:rPr>
        <w:t xml:space="preserve"> Area</w:t>
      </w:r>
      <w:r w:rsidR="00D04F44">
        <w:rPr>
          <w:b/>
        </w:rPr>
        <w:t xml:space="preserve">s </w:t>
      </w:r>
      <w:r w:rsidR="008A77C7">
        <w:rPr>
          <w:b/>
        </w:rPr>
        <w:t>a</w:t>
      </w:r>
      <w:r w:rsidR="00D04F44">
        <w:rPr>
          <w:b/>
        </w:rPr>
        <w:t xml:space="preserve">s of </w:t>
      </w:r>
      <w:r w:rsidR="007566EF">
        <w:rPr>
          <w:b/>
        </w:rPr>
        <w:t>September 30, 2017</w:t>
      </w:r>
      <w:r w:rsidR="00821502">
        <w:rPr>
          <w:rFonts w:ascii="Arial" w:hAnsi="Arial" w:cs="Arial"/>
          <w:b/>
          <w:sz w:val="20"/>
          <w:szCs w:val="20"/>
        </w:rPr>
        <w:t xml:space="preserve"> </w:t>
      </w:r>
      <w:r>
        <w:rPr>
          <w:rFonts w:ascii="Arial" w:hAnsi="Arial" w:cs="Arial"/>
          <w:b/>
          <w:sz w:val="20"/>
          <w:szCs w:val="20"/>
        </w:rPr>
        <w:t>(</w:t>
      </w:r>
      <w:r w:rsidR="00A50E3A">
        <w:rPr>
          <w:rFonts w:ascii="Arial" w:hAnsi="Arial" w:cs="Arial"/>
          <w:b/>
          <w:i/>
          <w:sz w:val="20"/>
          <w:szCs w:val="20"/>
        </w:rPr>
        <w:t>See</w:t>
      </w:r>
      <w:r w:rsidR="00A50E3A">
        <w:rPr>
          <w:rFonts w:ascii="Arial" w:hAnsi="Arial" w:cs="Arial"/>
          <w:b/>
          <w:sz w:val="20"/>
          <w:szCs w:val="20"/>
        </w:rPr>
        <w:t xml:space="preserve"> </w:t>
      </w:r>
      <w:r w:rsidR="0060279E" w:rsidRPr="00A377AC">
        <w:rPr>
          <w:rFonts w:ascii="Arial" w:hAnsi="Arial" w:cs="Arial"/>
          <w:b/>
          <w:i/>
          <w:sz w:val="20"/>
          <w:szCs w:val="20"/>
        </w:rPr>
        <w:t>http://www</w:t>
      </w:r>
      <w:r w:rsidR="001A0C28" w:rsidRPr="00A377AC">
        <w:rPr>
          <w:rFonts w:ascii="Arial" w:hAnsi="Arial" w:cs="Arial"/>
          <w:b/>
          <w:i/>
          <w:sz w:val="20"/>
          <w:szCs w:val="20"/>
        </w:rPr>
        <w:t>3</w:t>
      </w:r>
      <w:r w:rsidR="0060279E" w:rsidRPr="00A377AC">
        <w:rPr>
          <w:rFonts w:ascii="Arial" w:hAnsi="Arial" w:cs="Arial"/>
          <w:b/>
          <w:i/>
          <w:sz w:val="20"/>
          <w:szCs w:val="20"/>
        </w:rPr>
        <w:t>.epa.gov/</w:t>
      </w:r>
      <w:r w:rsidR="001A0C28" w:rsidRPr="00A377AC">
        <w:rPr>
          <w:rFonts w:ascii="Arial" w:hAnsi="Arial" w:cs="Arial"/>
          <w:b/>
          <w:i/>
          <w:sz w:val="20"/>
          <w:szCs w:val="20"/>
        </w:rPr>
        <w:t>airquality/greenbook/hbtc.html</w:t>
      </w:r>
      <w:r w:rsidR="006B6FA7">
        <w:rPr>
          <w:rFonts w:ascii="Arial" w:hAnsi="Arial" w:cs="Arial"/>
          <w:b/>
          <w:sz w:val="20"/>
          <w:szCs w:val="20"/>
        </w:rPr>
        <w:t>)</w:t>
      </w:r>
    </w:p>
    <w:p w14:paraId="50952C39" w14:textId="77777777" w:rsidR="00CB3528" w:rsidRDefault="00797A82" w:rsidP="000F6A4C">
      <w:pPr>
        <w:rPr>
          <w:rFonts w:ascii="Arial" w:hAnsi="Arial" w:cs="Arial"/>
          <w:sz w:val="20"/>
          <w:szCs w:val="20"/>
        </w:rPr>
      </w:pPr>
      <w:r>
        <w:rPr>
          <w:rFonts w:ascii="Arial" w:hAnsi="Arial" w:cs="Arial"/>
          <w:sz w:val="20"/>
          <w:szCs w:val="20"/>
        </w:rPr>
        <w:pict w14:anchorId="48C3174B">
          <v:rect id="_x0000_i1025" style="width:0;height:1.5pt" o:hrstd="t" o:hr="t" fillcolor="#aca899" stroked="f"/>
        </w:pict>
      </w: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9000"/>
      </w:tblGrid>
      <w:tr w:rsidR="00CB3528" w14:paraId="5AB0BD24" w14:textId="77777777" w:rsidTr="00756E81">
        <w:trPr>
          <w:tblCellSpacing w:w="15" w:type="dxa"/>
        </w:trPr>
        <w:tc>
          <w:tcPr>
            <w:tcW w:w="0" w:type="auto"/>
            <w:vAlign w:val="center"/>
          </w:tcPr>
          <w:p w14:paraId="05CE6977" w14:textId="66A934F7" w:rsidR="00CB3528" w:rsidRDefault="00CB3528" w:rsidP="00A50E3A">
            <w:pPr>
              <w:rPr>
                <w:rFonts w:ascii="Arial" w:hAnsi="Arial" w:cs="Arial"/>
                <w:color w:val="000000"/>
                <w:sz w:val="20"/>
                <w:szCs w:val="20"/>
              </w:rPr>
            </w:pPr>
          </w:p>
        </w:tc>
      </w:tr>
    </w:tbl>
    <w:p w14:paraId="4954EFC9" w14:textId="77777777" w:rsidR="00CB3528" w:rsidRDefault="00CB3528" w:rsidP="00756E81">
      <w:pPr>
        <w:pStyle w:val="HTMLPreformatted"/>
      </w:pPr>
      <w:r>
        <w:rPr>
          <w:b/>
          <w:bCs/>
        </w:rPr>
        <w:t>Category/Classification</w:t>
      </w:r>
      <w:r>
        <w:t xml:space="preserve"> </w:t>
      </w:r>
      <w:r>
        <w:rPr>
          <w:b/>
          <w:bCs/>
        </w:rPr>
        <w:t>(Attainment Date)</w:t>
      </w:r>
    </w:p>
    <w:p w14:paraId="5A7FC676" w14:textId="77777777" w:rsidR="00CB3528" w:rsidRDefault="00CB3528" w:rsidP="00756E81">
      <w:pPr>
        <w:pStyle w:val="HTMLPreformatted"/>
      </w:pPr>
      <w:r>
        <w:t>----------------------------------------------------------</w:t>
      </w:r>
    </w:p>
    <w:p w14:paraId="72ED91E7" w14:textId="77777777" w:rsidR="006429BA" w:rsidRDefault="006429BA" w:rsidP="00756E81">
      <w:pPr>
        <w:pStyle w:val="HTMLPreformatted"/>
        <w:rPr>
          <w:b/>
          <w:bCs/>
        </w:rPr>
      </w:pPr>
      <w:r>
        <w:rPr>
          <w:b/>
          <w:bCs/>
        </w:rPr>
        <w:t>EXTREME</w:t>
      </w:r>
      <w:r w:rsidR="00821502">
        <w:rPr>
          <w:b/>
          <w:bCs/>
        </w:rPr>
        <w:t xml:space="preserve"> </w:t>
      </w:r>
      <w:r>
        <w:rPr>
          <w:b/>
          <w:bCs/>
        </w:rPr>
        <w:t>(</w:t>
      </w:r>
      <w:r w:rsidRPr="00741AEF">
        <w:rPr>
          <w:b/>
          <w:bCs/>
        </w:rPr>
        <w:t>Ju</w:t>
      </w:r>
      <w:r w:rsidR="006B6FA7">
        <w:rPr>
          <w:b/>
          <w:bCs/>
        </w:rPr>
        <w:t>ly</w:t>
      </w:r>
      <w:r w:rsidRPr="00741AEF">
        <w:rPr>
          <w:b/>
          <w:bCs/>
        </w:rPr>
        <w:t xml:space="preserve"> 20</w:t>
      </w:r>
      <w:r>
        <w:rPr>
          <w:b/>
          <w:bCs/>
        </w:rPr>
        <w:t>3</w:t>
      </w:r>
      <w:r w:rsidR="00110EEC">
        <w:rPr>
          <w:b/>
          <w:bCs/>
        </w:rPr>
        <w:t>2</w:t>
      </w:r>
      <w:r>
        <w:rPr>
          <w:b/>
          <w:bCs/>
        </w:rPr>
        <w:t>)</w:t>
      </w:r>
      <w:r w:rsidR="00821502">
        <w:t xml:space="preserve">                                             </w:t>
      </w:r>
    </w:p>
    <w:p w14:paraId="1F03407C" w14:textId="77777777" w:rsidR="006429BA" w:rsidRDefault="00821502" w:rsidP="006429BA">
      <w:pPr>
        <w:pStyle w:val="HTMLPreformatted"/>
        <w:outlineLvl w:val="0"/>
      </w:pPr>
      <w:r>
        <w:t xml:space="preserve">  </w:t>
      </w:r>
      <w:r w:rsidR="006429BA" w:rsidRPr="004E6BAC">
        <w:t>Los Angeles-South Coast Air Basin Area</w:t>
      </w:r>
      <w:r w:rsidR="006429BA">
        <w:t>, CA</w:t>
      </w:r>
    </w:p>
    <w:p w14:paraId="5ACD885F" w14:textId="77777777" w:rsidR="006429BA" w:rsidRDefault="00821502" w:rsidP="006429BA">
      <w:pPr>
        <w:pStyle w:val="HTMLPreformatted"/>
        <w:outlineLvl w:val="0"/>
      </w:pPr>
      <w:r>
        <w:t xml:space="preserve">  </w:t>
      </w:r>
      <w:r w:rsidR="006429BA">
        <w:t>San Joaquin Valley Area, CA</w:t>
      </w:r>
    </w:p>
    <w:p w14:paraId="19F58E9D" w14:textId="77777777" w:rsidR="006429BA" w:rsidRDefault="006429BA" w:rsidP="00756E81">
      <w:pPr>
        <w:pStyle w:val="HTMLPreformatted"/>
        <w:rPr>
          <w:b/>
          <w:bCs/>
        </w:rPr>
      </w:pPr>
    </w:p>
    <w:p w14:paraId="7C6CD84D" w14:textId="77777777" w:rsidR="00CB3528" w:rsidRDefault="00CB3528" w:rsidP="00756E81">
      <w:pPr>
        <w:pStyle w:val="HTMLPreformatted"/>
      </w:pPr>
      <w:r>
        <w:rPr>
          <w:b/>
          <w:bCs/>
        </w:rPr>
        <w:t>SEVERE 1</w:t>
      </w:r>
      <w:r w:rsidR="006B6FA7">
        <w:rPr>
          <w:b/>
          <w:bCs/>
        </w:rPr>
        <w:t>5</w:t>
      </w:r>
      <w:r w:rsidR="00821502">
        <w:rPr>
          <w:b/>
          <w:bCs/>
        </w:rPr>
        <w:t xml:space="preserve"> </w:t>
      </w:r>
      <w:r>
        <w:rPr>
          <w:b/>
          <w:bCs/>
        </w:rPr>
        <w:t>(</w:t>
      </w:r>
      <w:r w:rsidRPr="00741AEF">
        <w:rPr>
          <w:b/>
          <w:bCs/>
        </w:rPr>
        <w:t>Ju</w:t>
      </w:r>
      <w:r w:rsidR="00110EEC">
        <w:rPr>
          <w:b/>
          <w:bCs/>
        </w:rPr>
        <w:t>ly</w:t>
      </w:r>
      <w:r w:rsidRPr="00741AEF">
        <w:rPr>
          <w:b/>
          <w:bCs/>
        </w:rPr>
        <w:t xml:space="preserve"> 202</w:t>
      </w:r>
      <w:r w:rsidR="00D16865">
        <w:rPr>
          <w:b/>
          <w:bCs/>
        </w:rPr>
        <w:t>7</w:t>
      </w:r>
      <w:r>
        <w:rPr>
          <w:b/>
          <w:bCs/>
        </w:rPr>
        <w:t>)</w:t>
      </w:r>
      <w:r w:rsidR="00821502">
        <w:t xml:space="preserve">                                             </w:t>
      </w:r>
    </w:p>
    <w:p w14:paraId="76B2F5CF" w14:textId="77777777" w:rsidR="006B6FA7" w:rsidRDefault="006B6FA7" w:rsidP="006B6FA7">
      <w:pPr>
        <w:pStyle w:val="HTMLPreformatted"/>
        <w:outlineLvl w:val="0"/>
      </w:pPr>
      <w:r>
        <w:t xml:space="preserve">  Los Angeles and San Bernardino Cos (W Mojave Desert) Area, CA</w:t>
      </w:r>
    </w:p>
    <w:p w14:paraId="4A8CFF82" w14:textId="77777777" w:rsidR="006B6FA7" w:rsidRDefault="006B6FA7" w:rsidP="006B6FA7">
      <w:pPr>
        <w:pStyle w:val="HTMLPreformatted"/>
        <w:outlineLvl w:val="0"/>
      </w:pPr>
      <w:r>
        <w:t xml:space="preserve">  Riverside County (Coachella Valley) Area, CA</w:t>
      </w:r>
    </w:p>
    <w:p w14:paraId="1E32FB11" w14:textId="77777777" w:rsidR="00CB3528" w:rsidRDefault="006B6FA7" w:rsidP="006B6FA7">
      <w:pPr>
        <w:pStyle w:val="HTMLPreformatted"/>
      </w:pPr>
      <w:r>
        <w:t xml:space="preserve">  Sacramento Metro Area, CA</w:t>
      </w:r>
    </w:p>
    <w:p w14:paraId="24D670AD" w14:textId="77777777" w:rsidR="006B6FA7" w:rsidRDefault="006B6FA7" w:rsidP="00756E81">
      <w:pPr>
        <w:pStyle w:val="HTMLPreformatted"/>
      </w:pPr>
    </w:p>
    <w:p w14:paraId="51AD6AD9" w14:textId="77777777" w:rsidR="00CB3528" w:rsidRDefault="00CB3528" w:rsidP="00756E81">
      <w:pPr>
        <w:pStyle w:val="HTMLPreformatted"/>
      </w:pPr>
      <w:r>
        <w:rPr>
          <w:b/>
          <w:bCs/>
        </w:rPr>
        <w:t>SERIOUS</w:t>
      </w:r>
      <w:r w:rsidR="00821502">
        <w:rPr>
          <w:b/>
          <w:bCs/>
        </w:rPr>
        <w:t xml:space="preserve"> </w:t>
      </w:r>
      <w:r>
        <w:rPr>
          <w:b/>
          <w:bCs/>
        </w:rPr>
        <w:t>(</w:t>
      </w:r>
      <w:r w:rsidRPr="00741AEF">
        <w:rPr>
          <w:b/>
          <w:bCs/>
        </w:rPr>
        <w:t>Ju</w:t>
      </w:r>
      <w:r w:rsidR="00110EEC">
        <w:rPr>
          <w:b/>
          <w:bCs/>
        </w:rPr>
        <w:t>ly</w:t>
      </w:r>
      <w:r w:rsidRPr="00741AEF">
        <w:rPr>
          <w:b/>
          <w:bCs/>
        </w:rPr>
        <w:t xml:space="preserve"> 20</w:t>
      </w:r>
      <w:r w:rsidR="00110EEC">
        <w:rPr>
          <w:b/>
          <w:bCs/>
        </w:rPr>
        <w:t>2</w:t>
      </w:r>
      <w:r w:rsidRPr="00741AEF">
        <w:rPr>
          <w:b/>
          <w:bCs/>
        </w:rPr>
        <w:t>1</w:t>
      </w:r>
      <w:r>
        <w:rPr>
          <w:b/>
          <w:bCs/>
        </w:rPr>
        <w:t>)</w:t>
      </w:r>
      <w:r w:rsidR="00821502">
        <w:t xml:space="preserve">                                              </w:t>
      </w:r>
    </w:p>
    <w:p w14:paraId="04E8E40C" w14:textId="753CEFAE" w:rsidR="006429BA" w:rsidRDefault="00821502" w:rsidP="006429BA">
      <w:pPr>
        <w:pStyle w:val="HTMLPreformatted"/>
        <w:outlineLvl w:val="0"/>
      </w:pPr>
      <w:r>
        <w:t xml:space="preserve">  </w:t>
      </w:r>
      <w:r w:rsidR="006B6FA7">
        <w:t>Morongo Band of Mission Indians</w:t>
      </w:r>
    </w:p>
    <w:p w14:paraId="75815255" w14:textId="77777777" w:rsidR="006429BA" w:rsidRDefault="00821502" w:rsidP="006429BA">
      <w:pPr>
        <w:pStyle w:val="HTMLPreformatted"/>
        <w:outlineLvl w:val="0"/>
      </w:pPr>
      <w:r>
        <w:t xml:space="preserve">  </w:t>
      </w:r>
      <w:r w:rsidR="006429BA">
        <w:t>Ventura County (part) Area, CA</w:t>
      </w:r>
    </w:p>
    <w:p w14:paraId="7D408CFF" w14:textId="77777777" w:rsidR="00CB3528" w:rsidRDefault="00CB3528" w:rsidP="00756E81">
      <w:pPr>
        <w:pStyle w:val="HTMLPreformatted"/>
      </w:pPr>
    </w:p>
    <w:p w14:paraId="306E183C" w14:textId="77777777" w:rsidR="00CB3528" w:rsidRDefault="00CB3528" w:rsidP="00756E81">
      <w:pPr>
        <w:pStyle w:val="HTMLPreformatted"/>
      </w:pPr>
      <w:r>
        <w:rPr>
          <w:b/>
          <w:bCs/>
        </w:rPr>
        <w:t>MODERATE</w:t>
      </w:r>
      <w:r w:rsidR="00821502">
        <w:rPr>
          <w:b/>
          <w:bCs/>
        </w:rPr>
        <w:t xml:space="preserve"> </w:t>
      </w:r>
      <w:r>
        <w:rPr>
          <w:b/>
          <w:bCs/>
        </w:rPr>
        <w:t>(</w:t>
      </w:r>
      <w:r w:rsidRPr="00741AEF">
        <w:rPr>
          <w:b/>
          <w:bCs/>
        </w:rPr>
        <w:t>Ju</w:t>
      </w:r>
      <w:r w:rsidR="00110EEC">
        <w:rPr>
          <w:b/>
          <w:bCs/>
        </w:rPr>
        <w:t>ly</w:t>
      </w:r>
      <w:r w:rsidRPr="00741AEF">
        <w:rPr>
          <w:b/>
          <w:bCs/>
        </w:rPr>
        <w:t xml:space="preserve"> 201</w:t>
      </w:r>
      <w:r w:rsidR="00110EEC">
        <w:rPr>
          <w:b/>
          <w:bCs/>
        </w:rPr>
        <w:t>8</w:t>
      </w:r>
      <w:r>
        <w:rPr>
          <w:b/>
          <w:bCs/>
        </w:rPr>
        <w:t>)</w:t>
      </w:r>
      <w:r w:rsidR="00821502">
        <w:t xml:space="preserve">                                             </w:t>
      </w:r>
    </w:p>
    <w:p w14:paraId="0AA48A8B" w14:textId="77777777" w:rsidR="0027018F" w:rsidRDefault="00821502" w:rsidP="0027018F">
      <w:pPr>
        <w:pStyle w:val="HTMLPreformatted"/>
        <w:outlineLvl w:val="0"/>
      </w:pPr>
      <w:r>
        <w:t xml:space="preserve">  </w:t>
      </w:r>
      <w:r w:rsidR="006B6FA7">
        <w:t>Baltimore, MD</w:t>
      </w:r>
    </w:p>
    <w:p w14:paraId="6563BAAE" w14:textId="77777777" w:rsidR="0027018F" w:rsidRDefault="00821502" w:rsidP="0027018F">
      <w:pPr>
        <w:pStyle w:val="HTMLPreformatted"/>
        <w:outlineLvl w:val="0"/>
      </w:pPr>
      <w:r>
        <w:t xml:space="preserve">  </w:t>
      </w:r>
      <w:r w:rsidR="0027018F">
        <w:t>Ch</w:t>
      </w:r>
      <w:r w:rsidR="006B6FA7">
        <w:t>icago-Naperville, IL-IN-WI</w:t>
      </w:r>
    </w:p>
    <w:p w14:paraId="3DFD8A4A" w14:textId="77777777" w:rsidR="00BB2AC8" w:rsidRDefault="00821502" w:rsidP="00BB2AC8">
      <w:pPr>
        <w:pStyle w:val="HTMLPreformatted"/>
        <w:outlineLvl w:val="0"/>
      </w:pPr>
      <w:r>
        <w:t xml:space="preserve">  </w:t>
      </w:r>
      <w:r w:rsidR="006B6FA7">
        <w:t>Dallas-Fort Worth, TX</w:t>
      </w:r>
      <w:r w:rsidR="006B6FA7">
        <w:br/>
        <w:t xml:space="preserve">  </w:t>
      </w:r>
      <w:r w:rsidR="00BB2AC8">
        <w:t>Denver-Boulder-Greeley-Ft. Collins-Love. Area, CO</w:t>
      </w:r>
    </w:p>
    <w:p w14:paraId="42AF13FF" w14:textId="77777777" w:rsidR="0027018F" w:rsidRDefault="00BB2AC8" w:rsidP="0027018F">
      <w:pPr>
        <w:pStyle w:val="HTMLPreformatted"/>
        <w:outlineLvl w:val="0"/>
      </w:pPr>
      <w:r>
        <w:t xml:space="preserve">  </w:t>
      </w:r>
      <w:r w:rsidR="0027018F">
        <w:t>Greater Connecticut, CT</w:t>
      </w:r>
    </w:p>
    <w:p w14:paraId="519EF2AE" w14:textId="77777777" w:rsidR="006429BA" w:rsidRDefault="00821502" w:rsidP="00D16865">
      <w:pPr>
        <w:pStyle w:val="HTMLPreformatted"/>
      </w:pPr>
      <w:r>
        <w:t xml:space="preserve">  </w:t>
      </w:r>
      <w:r w:rsidR="006B6FA7" w:rsidRPr="00756E81">
        <w:rPr>
          <w:bCs/>
        </w:rPr>
        <w:t>Houston-Galveston-Brazoria Area, TX</w:t>
      </w:r>
      <w:r w:rsidR="006B6FA7">
        <w:rPr>
          <w:bCs/>
        </w:rPr>
        <w:br/>
        <w:t xml:space="preserve">  </w:t>
      </w:r>
      <w:r w:rsidR="006429BA">
        <w:t>Imperial County, CA</w:t>
      </w:r>
      <w:r w:rsidR="006B6FA7">
        <w:br/>
      </w:r>
      <w:r>
        <w:t xml:space="preserve">  </w:t>
      </w:r>
      <w:r w:rsidR="006429BA">
        <w:t>Kern County (Eastern Kern) Area, CA</w:t>
      </w:r>
    </w:p>
    <w:p w14:paraId="59D0DD45" w14:textId="77777777" w:rsidR="00316C25" w:rsidRDefault="00C209CB" w:rsidP="00D16865">
      <w:pPr>
        <w:pStyle w:val="HTMLPreformatted"/>
      </w:pPr>
      <w:r>
        <w:t xml:space="preserve">  </w:t>
      </w:r>
      <w:r w:rsidR="00316C25">
        <w:t>Mariposa County, CA</w:t>
      </w:r>
    </w:p>
    <w:p w14:paraId="3CC574A9" w14:textId="77777777" w:rsidR="006429BA" w:rsidRDefault="00821502" w:rsidP="006429BA">
      <w:pPr>
        <w:pStyle w:val="HTMLPreformatted"/>
        <w:outlineLvl w:val="0"/>
      </w:pPr>
      <w:r>
        <w:t xml:space="preserve">  </w:t>
      </w:r>
      <w:r w:rsidR="006429BA">
        <w:t>Nevada County (Western part) Area, CA</w:t>
      </w:r>
    </w:p>
    <w:p w14:paraId="7E195401" w14:textId="77777777" w:rsidR="006429BA" w:rsidRDefault="00821502" w:rsidP="006429BA">
      <w:pPr>
        <w:pStyle w:val="HTMLPreformatted"/>
        <w:outlineLvl w:val="0"/>
      </w:pPr>
      <w:r>
        <w:t xml:space="preserve">  </w:t>
      </w:r>
      <w:r w:rsidR="006429BA">
        <w:t>New York-N. New Jersey-Long Island Area, CT-NJ-NY</w:t>
      </w:r>
    </w:p>
    <w:p w14:paraId="2CB897AF" w14:textId="77777777" w:rsidR="00674D0F" w:rsidRDefault="00821502" w:rsidP="006429BA">
      <w:pPr>
        <w:pStyle w:val="HTMLPreformatted"/>
        <w:outlineLvl w:val="0"/>
      </w:pPr>
      <w:r>
        <w:t xml:space="preserve">  </w:t>
      </w:r>
      <w:r w:rsidR="00BB2AC8">
        <w:t>Pechanga Band of Luiseno Mission Indians of the Pechanga Reservation</w:t>
      </w:r>
      <w:r w:rsidR="00BB2AC8">
        <w:br/>
        <w:t xml:space="preserve">  Phoenix-Mesa Area, AZ</w:t>
      </w:r>
      <w:r w:rsidR="00BB2AC8">
        <w:br/>
      </w:r>
      <w:r>
        <w:t xml:space="preserve">  </w:t>
      </w:r>
      <w:r w:rsidR="00674D0F">
        <w:t>San Diego County Area, CA</w:t>
      </w:r>
    </w:p>
    <w:p w14:paraId="409FEF03" w14:textId="77777777" w:rsidR="00AF3B4B" w:rsidRDefault="00674D0F" w:rsidP="00AF3B4B">
      <w:pPr>
        <w:pStyle w:val="HTMLPreformatted"/>
        <w:outlineLvl w:val="0"/>
      </w:pPr>
      <w:r>
        <w:t xml:space="preserve">  </w:t>
      </w:r>
      <w:r w:rsidR="006429BA">
        <w:t>Sheboygan</w:t>
      </w:r>
      <w:r w:rsidR="00026E0D">
        <w:t xml:space="preserve"> County</w:t>
      </w:r>
      <w:r w:rsidR="006429BA">
        <w:t>, WI</w:t>
      </w:r>
    </w:p>
    <w:p w14:paraId="52A12925" w14:textId="77777777" w:rsidR="009C0109" w:rsidRDefault="00821502" w:rsidP="00756E81">
      <w:pPr>
        <w:pStyle w:val="HTMLPreformatted"/>
        <w:outlineLvl w:val="0"/>
      </w:pPr>
      <w:r>
        <w:t xml:space="preserve"> </w:t>
      </w:r>
    </w:p>
    <w:p w14:paraId="0BB44F3B" w14:textId="77777777" w:rsidR="009C0109" w:rsidRPr="002C32CC" w:rsidRDefault="009C0109" w:rsidP="00756E81">
      <w:pPr>
        <w:pStyle w:val="HTMLPreformatted"/>
        <w:outlineLvl w:val="0"/>
        <w:rPr>
          <w:b/>
        </w:rPr>
      </w:pPr>
      <w:r w:rsidRPr="002C32CC">
        <w:rPr>
          <w:b/>
        </w:rPr>
        <w:t>MARGINAL</w:t>
      </w:r>
      <w:r w:rsidR="00821502">
        <w:rPr>
          <w:b/>
          <w:bCs/>
        </w:rPr>
        <w:t xml:space="preserve"> </w:t>
      </w:r>
      <w:r w:rsidR="00741AEF" w:rsidRPr="002C32CC">
        <w:rPr>
          <w:b/>
        </w:rPr>
        <w:t>(Ju</w:t>
      </w:r>
      <w:r w:rsidR="00110EEC">
        <w:rPr>
          <w:b/>
        </w:rPr>
        <w:t>ly</w:t>
      </w:r>
      <w:r w:rsidR="00741AEF" w:rsidRPr="002C32CC">
        <w:rPr>
          <w:b/>
        </w:rPr>
        <w:t xml:space="preserve"> 20</w:t>
      </w:r>
      <w:r w:rsidR="008D5473">
        <w:rPr>
          <w:b/>
        </w:rPr>
        <w:t>1</w:t>
      </w:r>
      <w:r w:rsidR="00110EEC">
        <w:rPr>
          <w:b/>
        </w:rPr>
        <w:t>5</w:t>
      </w:r>
      <w:r w:rsidR="008D5473">
        <w:rPr>
          <w:b/>
        </w:rPr>
        <w:t>)</w:t>
      </w:r>
    </w:p>
    <w:p w14:paraId="1F50354B" w14:textId="77777777" w:rsidR="00AF3B4B" w:rsidRDefault="00821502" w:rsidP="00756E81">
      <w:pPr>
        <w:pStyle w:val="HTMLPreformatted"/>
      </w:pPr>
      <w:r>
        <w:t xml:space="preserve">  </w:t>
      </w:r>
      <w:r w:rsidR="00AF3B4B">
        <w:t>A</w:t>
      </w:r>
      <w:r w:rsidR="00BB2AC8">
        <w:t>llentown-Bethlehem-Easton, PA</w:t>
      </w:r>
    </w:p>
    <w:p w14:paraId="63195430" w14:textId="597F8D8E" w:rsidR="00AF3B4B" w:rsidRDefault="00821502" w:rsidP="00B521F4">
      <w:pPr>
        <w:pStyle w:val="HTMLPreformatted"/>
      </w:pPr>
      <w:r>
        <w:t xml:space="preserve">  </w:t>
      </w:r>
      <w:r w:rsidR="00BB2AC8">
        <w:t>Calaveras County, CA</w:t>
      </w:r>
      <w:r w:rsidR="00BB2AC8">
        <w:br/>
        <w:t xml:space="preserve">  </w:t>
      </w:r>
      <w:r w:rsidR="00AF3B4B">
        <w:t>Chico Area, CA</w:t>
      </w:r>
      <w:r w:rsidR="00E237B8">
        <w:t xml:space="preserve">  </w:t>
      </w:r>
      <w:r w:rsidR="00BB2AC8">
        <w:t>Dukes County, MA</w:t>
      </w:r>
    </w:p>
    <w:p w14:paraId="5DBF9C63" w14:textId="77777777" w:rsidR="00AF3B4B" w:rsidRDefault="00821502" w:rsidP="00AF3B4B">
      <w:pPr>
        <w:pStyle w:val="HTMLPreformatted"/>
        <w:outlineLvl w:val="0"/>
      </w:pPr>
      <w:r>
        <w:t xml:space="preserve">  </w:t>
      </w:r>
      <w:r w:rsidR="00BB2AC8">
        <w:t>Jamestown Area, NY</w:t>
      </w:r>
      <w:r w:rsidR="00BB2AC8">
        <w:br/>
        <w:t xml:space="preserve">  Lancaster, PA</w:t>
      </w:r>
      <w:r w:rsidR="00BB2AC8">
        <w:br/>
        <w:t xml:space="preserve">  Philadelphia-Wilmington-Atlantic City, PA-NJ-MD-DE</w:t>
      </w:r>
      <w:r w:rsidR="00BB2AC8">
        <w:br/>
        <w:t xml:space="preserve">  Pittsburgh-Beaver Valley Area, PA</w:t>
      </w:r>
    </w:p>
    <w:p w14:paraId="1ADF71D6" w14:textId="77777777" w:rsidR="00AF3B4B" w:rsidRDefault="00821502" w:rsidP="00AF3B4B">
      <w:pPr>
        <w:pStyle w:val="HTMLPreformatted"/>
        <w:outlineLvl w:val="0"/>
      </w:pPr>
      <w:r>
        <w:t xml:space="preserve">  </w:t>
      </w:r>
      <w:r w:rsidR="00AF3B4B">
        <w:t>R</w:t>
      </w:r>
      <w:r w:rsidR="00BB2AC8">
        <w:t>eading, PA</w:t>
      </w:r>
    </w:p>
    <w:p w14:paraId="091ED97D" w14:textId="77777777" w:rsidR="00CB3528" w:rsidRDefault="00821502" w:rsidP="00756E81">
      <w:pPr>
        <w:pStyle w:val="HTMLPreformatted"/>
      </w:pPr>
      <w:r>
        <w:t xml:space="preserve">  </w:t>
      </w:r>
      <w:r w:rsidR="009C0109">
        <w:t>San Francisco Bay Area, CA</w:t>
      </w:r>
    </w:p>
    <w:p w14:paraId="7F8A5378" w14:textId="29092716" w:rsidR="00AF3B4B" w:rsidRDefault="00674D0F" w:rsidP="00AF3B4B">
      <w:pPr>
        <w:pStyle w:val="HTMLPreformatted"/>
        <w:outlineLvl w:val="0"/>
      </w:pPr>
      <w:r>
        <w:t xml:space="preserve">  </w:t>
      </w:r>
      <w:r w:rsidR="00BB2AC8">
        <w:t>San Luis Obispo (Eastern San Luis Obispo</w:t>
      </w:r>
      <w:r w:rsidR="00F53997">
        <w:t>)</w:t>
      </w:r>
      <w:r w:rsidR="00BB2AC8">
        <w:t>, CA</w:t>
      </w:r>
      <w:r w:rsidR="00BB2AC8">
        <w:br/>
        <w:t xml:space="preserve">  Seaford, DE  </w:t>
      </w:r>
      <w:r w:rsidR="00BE1787">
        <w:br/>
        <w:t xml:space="preserve">  </w:t>
      </w:r>
      <w:r w:rsidR="00BB2AC8">
        <w:t xml:space="preserve">St. Louis-St. Charles-Farmington, </w:t>
      </w:r>
      <w:r w:rsidR="006E6B22">
        <w:t>MO-</w:t>
      </w:r>
      <w:r w:rsidR="00BB2AC8">
        <w:t>IL</w:t>
      </w:r>
      <w:r w:rsidR="00BB2AC8">
        <w:br/>
        <w:t xml:space="preserve">  Tuscan Buttes, CA</w:t>
      </w:r>
      <w:r w:rsidR="00BB2AC8">
        <w:br/>
        <w:t xml:space="preserve">  Upper Green River Basin Area, WY</w:t>
      </w:r>
      <w:r w:rsidR="00AF3B4B">
        <w:t xml:space="preserve"> </w:t>
      </w:r>
    </w:p>
    <w:p w14:paraId="78B1123C" w14:textId="77777777" w:rsidR="00BB2AC8" w:rsidRDefault="00BB2AC8" w:rsidP="00BB2AC8">
      <w:pPr>
        <w:pStyle w:val="HTMLPreformatted"/>
        <w:outlineLvl w:val="0"/>
      </w:pPr>
      <w:r>
        <w:t xml:space="preserve">  Washington Area, DC-MD-VA</w:t>
      </w:r>
    </w:p>
    <w:p w14:paraId="3C157A83" w14:textId="77777777" w:rsidR="00F51102" w:rsidRDefault="00F51102" w:rsidP="00756E81">
      <w:pPr>
        <w:pStyle w:val="HTMLPreformatted"/>
      </w:pPr>
    </w:p>
    <w:p w14:paraId="1F09D107" w14:textId="77777777" w:rsidR="00A50E3A" w:rsidRDefault="00A50E3A" w:rsidP="00756E81">
      <w:pPr>
        <w:pStyle w:val="HTMLPreformatted"/>
        <w:rPr>
          <w:b/>
        </w:rPr>
      </w:pPr>
      <w:r>
        <w:rPr>
          <w:b/>
        </w:rPr>
        <w:t xml:space="preserve">REDESIGNATED TO </w:t>
      </w:r>
      <w:r w:rsidR="00366196">
        <w:rPr>
          <w:b/>
        </w:rPr>
        <w:t>MAINTENANCE</w:t>
      </w:r>
    </w:p>
    <w:p w14:paraId="56A4C06D" w14:textId="77777777" w:rsidR="00A50E3A" w:rsidRPr="007A3314" w:rsidRDefault="00A50E3A" w:rsidP="00756E81">
      <w:pPr>
        <w:pStyle w:val="HTMLPreformatted"/>
      </w:pPr>
      <w:r>
        <w:rPr>
          <w:b/>
        </w:rPr>
        <w:t xml:space="preserve">  </w:t>
      </w:r>
      <w:r w:rsidRPr="007A3314">
        <w:t>Atlanta, GA</w:t>
      </w:r>
    </w:p>
    <w:p w14:paraId="0976E8FF" w14:textId="77777777" w:rsidR="00A50E3A" w:rsidRPr="007A3314" w:rsidRDefault="00A50E3A" w:rsidP="00756E81">
      <w:pPr>
        <w:pStyle w:val="HTMLPreformatted"/>
      </w:pPr>
      <w:r w:rsidRPr="007A3314">
        <w:t xml:space="preserve">  Baton Rouge, LA</w:t>
      </w:r>
    </w:p>
    <w:p w14:paraId="31D5387C" w14:textId="77777777" w:rsidR="00A50E3A" w:rsidRPr="007A3314" w:rsidRDefault="00A50E3A" w:rsidP="00756E81">
      <w:pPr>
        <w:pStyle w:val="HTMLPreformatted"/>
      </w:pPr>
      <w:r w:rsidRPr="007A3314">
        <w:t xml:space="preserve">  Charlotte-Rock Hill, NC-SC</w:t>
      </w:r>
    </w:p>
    <w:p w14:paraId="5BE4A937" w14:textId="154D4A9C" w:rsidR="00A50E3A" w:rsidRPr="007A3314" w:rsidRDefault="00A50E3A" w:rsidP="00756E81">
      <w:pPr>
        <w:pStyle w:val="HTMLPreformatted"/>
      </w:pPr>
      <w:r w:rsidRPr="007A3314">
        <w:t xml:space="preserve">  Cincinnati, IN-OH-KY</w:t>
      </w:r>
      <w:r w:rsidR="00E237B8">
        <w:t xml:space="preserve"> </w:t>
      </w:r>
    </w:p>
    <w:p w14:paraId="6E3C7759" w14:textId="77777777" w:rsidR="00A50E3A" w:rsidRPr="007A3314" w:rsidRDefault="00A50E3A" w:rsidP="00756E81">
      <w:pPr>
        <w:pStyle w:val="HTMLPreformatted"/>
      </w:pPr>
      <w:r w:rsidRPr="007A3314">
        <w:t xml:space="preserve">  Cleveland-Akron-Lorain, OH</w:t>
      </w:r>
    </w:p>
    <w:p w14:paraId="20BB7F67" w14:textId="77777777" w:rsidR="00A50E3A" w:rsidRPr="007A3314" w:rsidRDefault="00A50E3A" w:rsidP="00756E81">
      <w:pPr>
        <w:pStyle w:val="HTMLPreformatted"/>
      </w:pPr>
      <w:r w:rsidRPr="007A3314">
        <w:t xml:space="preserve">  Columbus, OH</w:t>
      </w:r>
    </w:p>
    <w:p w14:paraId="541365D0" w14:textId="77777777" w:rsidR="00A50E3A" w:rsidRPr="007A3314" w:rsidRDefault="00A50E3A" w:rsidP="00756E81">
      <w:pPr>
        <w:pStyle w:val="HTMLPreformatted"/>
      </w:pPr>
      <w:r w:rsidRPr="007A3314">
        <w:t xml:space="preserve">  Knoxville, TN</w:t>
      </w:r>
    </w:p>
    <w:p w14:paraId="0735BCC6" w14:textId="77777777" w:rsidR="00A50E3A" w:rsidRPr="007A3314" w:rsidRDefault="00A50E3A" w:rsidP="00756E81">
      <w:pPr>
        <w:pStyle w:val="HTMLPreformatted"/>
      </w:pPr>
      <w:r w:rsidRPr="007A3314">
        <w:t xml:space="preserve">  Memphis, AR-MS-TN</w:t>
      </w:r>
    </w:p>
    <w:p w14:paraId="5DE4F773" w14:textId="77777777" w:rsidR="00A50E3A" w:rsidRPr="007A3314" w:rsidRDefault="00A50E3A" w:rsidP="00756E81">
      <w:pPr>
        <w:pStyle w:val="HTMLPreformatted"/>
        <w:rPr>
          <w:b/>
        </w:rPr>
      </w:pPr>
    </w:p>
    <w:p w14:paraId="7B592C26" w14:textId="7D4486DD" w:rsidR="00CB3528" w:rsidRPr="00BD10CD" w:rsidRDefault="00200C33" w:rsidP="00FB2A07">
      <w:pPr>
        <w:pStyle w:val="HTMLPreformatted"/>
        <w:tabs>
          <w:tab w:val="clear" w:pos="916"/>
          <w:tab w:val="left" w:pos="360"/>
        </w:tabs>
        <w:outlineLvl w:val="0"/>
        <w:rPr>
          <w:rFonts w:ascii="Times New Roman" w:hAnsi="Times New Roman" w:cs="Times New Roman"/>
          <w:sz w:val="24"/>
          <w:szCs w:val="24"/>
        </w:rPr>
      </w:pPr>
      <w:r w:rsidRPr="001E00B8">
        <w:rPr>
          <w:rFonts w:ascii="Times New Roman" w:hAnsi="Times New Roman" w:cs="Times New Roman"/>
          <w:sz w:val="24"/>
          <w:szCs w:val="24"/>
        </w:rPr>
        <w:tab/>
        <w:t xml:space="preserve">For multi-state nonattainment areas, the EPA estimates burden for each state with jurisdiction over some portion of the area. The burden estimate is not subdivided by the number of states; rather, each state is assigned the full burden hours (e.g., </w:t>
      </w:r>
      <w:r w:rsidR="00233370">
        <w:rPr>
          <w:rFonts w:ascii="Times New Roman" w:hAnsi="Times New Roman" w:cs="Times New Roman"/>
          <w:sz w:val="24"/>
          <w:szCs w:val="24"/>
        </w:rPr>
        <w:t>5</w:t>
      </w:r>
      <w:r w:rsidR="000A1FD1">
        <w:rPr>
          <w:rFonts w:ascii="Times New Roman" w:hAnsi="Times New Roman" w:cs="Times New Roman"/>
          <w:sz w:val="24"/>
          <w:szCs w:val="24"/>
        </w:rPr>
        <w:t>,0</w:t>
      </w:r>
      <w:r w:rsidR="00233370">
        <w:rPr>
          <w:rFonts w:ascii="Times New Roman" w:hAnsi="Times New Roman" w:cs="Times New Roman"/>
          <w:sz w:val="24"/>
          <w:szCs w:val="24"/>
        </w:rPr>
        <w:t xml:space="preserve">00 </w:t>
      </w:r>
      <w:r w:rsidRPr="001E00B8">
        <w:rPr>
          <w:rFonts w:ascii="Times New Roman" w:hAnsi="Times New Roman" w:cs="Times New Roman"/>
          <w:sz w:val="24"/>
          <w:szCs w:val="24"/>
        </w:rPr>
        <w:t xml:space="preserve">hours to develop a </w:t>
      </w:r>
      <w:r w:rsidR="00EF2EDA">
        <w:rPr>
          <w:rFonts w:ascii="Times New Roman" w:hAnsi="Times New Roman" w:cs="Times New Roman"/>
          <w:sz w:val="24"/>
          <w:szCs w:val="24"/>
        </w:rPr>
        <w:t>Serious</w:t>
      </w:r>
      <w:r w:rsidR="00EF2EDA" w:rsidRPr="001E00B8">
        <w:rPr>
          <w:rFonts w:ascii="Times New Roman" w:hAnsi="Times New Roman" w:cs="Times New Roman"/>
          <w:sz w:val="24"/>
          <w:szCs w:val="24"/>
        </w:rPr>
        <w:t xml:space="preserve"> </w:t>
      </w:r>
      <w:r w:rsidRPr="001E00B8">
        <w:rPr>
          <w:rFonts w:ascii="Times New Roman" w:hAnsi="Times New Roman" w:cs="Times New Roman"/>
          <w:sz w:val="24"/>
          <w:szCs w:val="24"/>
        </w:rPr>
        <w:t xml:space="preserve">area SIP submittal after a </w:t>
      </w:r>
      <w:r w:rsidR="00EF2EDA">
        <w:rPr>
          <w:rFonts w:ascii="Times New Roman" w:hAnsi="Times New Roman" w:cs="Times New Roman"/>
          <w:sz w:val="24"/>
          <w:szCs w:val="24"/>
        </w:rPr>
        <w:t>Moderate</w:t>
      </w:r>
      <w:r w:rsidR="00EF2EDA" w:rsidRPr="001E00B8">
        <w:rPr>
          <w:rFonts w:ascii="Times New Roman" w:hAnsi="Times New Roman" w:cs="Times New Roman"/>
          <w:sz w:val="24"/>
          <w:szCs w:val="24"/>
        </w:rPr>
        <w:t xml:space="preserve"> </w:t>
      </w:r>
      <w:r w:rsidRPr="001E00B8">
        <w:rPr>
          <w:rFonts w:ascii="Times New Roman" w:hAnsi="Times New Roman" w:cs="Times New Roman"/>
          <w:sz w:val="24"/>
          <w:szCs w:val="24"/>
        </w:rPr>
        <w:t xml:space="preserve">area </w:t>
      </w:r>
      <w:r w:rsidR="00BE32D5">
        <w:rPr>
          <w:rFonts w:ascii="Times New Roman" w:hAnsi="Times New Roman" w:cs="Times New Roman"/>
          <w:sz w:val="24"/>
          <w:szCs w:val="24"/>
        </w:rPr>
        <w:t>i</w:t>
      </w:r>
      <w:r w:rsidRPr="001E00B8">
        <w:rPr>
          <w:rFonts w:ascii="Times New Roman" w:hAnsi="Times New Roman" w:cs="Times New Roman"/>
          <w:sz w:val="24"/>
          <w:szCs w:val="24"/>
        </w:rPr>
        <w:t xml:space="preserve">s reclassified to </w:t>
      </w:r>
      <w:r w:rsidR="00EF2EDA">
        <w:rPr>
          <w:rFonts w:ascii="Times New Roman" w:hAnsi="Times New Roman" w:cs="Times New Roman"/>
          <w:sz w:val="24"/>
          <w:szCs w:val="24"/>
        </w:rPr>
        <w:t>Serious</w:t>
      </w:r>
      <w:r w:rsidRPr="001E00B8">
        <w:rPr>
          <w:rFonts w:ascii="Times New Roman" w:hAnsi="Times New Roman" w:cs="Times New Roman"/>
          <w:sz w:val="24"/>
          <w:szCs w:val="24"/>
        </w:rPr>
        <w:t>).</w:t>
      </w:r>
      <w:r>
        <w:rPr>
          <w:rFonts w:ascii="Times New Roman" w:hAnsi="Times New Roman" w:cs="Times New Roman"/>
          <w:sz w:val="24"/>
          <w:szCs w:val="24"/>
        </w:rPr>
        <w:t xml:space="preserve"> </w:t>
      </w:r>
      <w:r w:rsidR="00DF16A7" w:rsidRPr="00200C33">
        <w:rPr>
          <w:rFonts w:ascii="Times New Roman" w:hAnsi="Times New Roman" w:cs="Times New Roman"/>
          <w:sz w:val="24"/>
          <w:szCs w:val="24"/>
        </w:rPr>
        <w:t>Furthermore,</w:t>
      </w:r>
      <w:r w:rsidR="00DF16A7">
        <w:rPr>
          <w:rFonts w:ascii="Times New Roman" w:hAnsi="Times New Roman" w:cs="Times New Roman"/>
          <w:sz w:val="24"/>
          <w:szCs w:val="24"/>
        </w:rPr>
        <w:t xml:space="preserve"> </w:t>
      </w:r>
      <w:r w:rsidR="00E02DFA">
        <w:rPr>
          <w:rFonts w:ascii="Times New Roman" w:hAnsi="Times New Roman" w:cs="Times New Roman"/>
          <w:sz w:val="24"/>
          <w:szCs w:val="24"/>
        </w:rPr>
        <w:t xml:space="preserve">some of </w:t>
      </w:r>
      <w:r w:rsidR="00DF16A7">
        <w:rPr>
          <w:rFonts w:ascii="Times New Roman" w:hAnsi="Times New Roman" w:cs="Times New Roman"/>
          <w:sz w:val="24"/>
          <w:szCs w:val="24"/>
        </w:rPr>
        <w:t xml:space="preserve">these multi-state areas span more than one EPA Region. For example, the </w:t>
      </w:r>
      <w:r w:rsidR="00233370">
        <w:rPr>
          <w:rFonts w:ascii="Times New Roman" w:hAnsi="Times New Roman" w:cs="Times New Roman"/>
          <w:sz w:val="24"/>
          <w:szCs w:val="24"/>
        </w:rPr>
        <w:t xml:space="preserve">New York-N. New Jersey-Long Island </w:t>
      </w:r>
      <w:r w:rsidR="00DF16A7">
        <w:rPr>
          <w:rFonts w:ascii="Times New Roman" w:hAnsi="Times New Roman" w:cs="Times New Roman"/>
          <w:sz w:val="24"/>
          <w:szCs w:val="24"/>
        </w:rPr>
        <w:t>nonattainment area encompasses part</w:t>
      </w:r>
      <w:r w:rsidR="00233370">
        <w:rPr>
          <w:rFonts w:ascii="Times New Roman" w:hAnsi="Times New Roman" w:cs="Times New Roman"/>
          <w:sz w:val="24"/>
          <w:szCs w:val="24"/>
        </w:rPr>
        <w:t>s</w:t>
      </w:r>
      <w:r w:rsidR="00DF16A7">
        <w:rPr>
          <w:rFonts w:ascii="Times New Roman" w:hAnsi="Times New Roman" w:cs="Times New Roman"/>
          <w:sz w:val="24"/>
          <w:szCs w:val="24"/>
        </w:rPr>
        <w:t xml:space="preserve"> of </w:t>
      </w:r>
      <w:r w:rsidR="00233370">
        <w:rPr>
          <w:rFonts w:ascii="Times New Roman" w:hAnsi="Times New Roman" w:cs="Times New Roman"/>
          <w:sz w:val="24"/>
          <w:szCs w:val="24"/>
        </w:rPr>
        <w:t>New York</w:t>
      </w:r>
      <w:r w:rsidR="00DF16A7">
        <w:rPr>
          <w:rFonts w:ascii="Times New Roman" w:hAnsi="Times New Roman" w:cs="Times New Roman"/>
          <w:sz w:val="24"/>
          <w:szCs w:val="24"/>
        </w:rPr>
        <w:t xml:space="preserve">, New Jersey, and </w:t>
      </w:r>
      <w:r w:rsidR="00233370">
        <w:rPr>
          <w:rFonts w:ascii="Times New Roman" w:hAnsi="Times New Roman" w:cs="Times New Roman"/>
          <w:sz w:val="24"/>
          <w:szCs w:val="24"/>
        </w:rPr>
        <w:t>Connecticut</w:t>
      </w:r>
      <w:r w:rsidR="00DF16A7">
        <w:rPr>
          <w:rFonts w:ascii="Times New Roman" w:hAnsi="Times New Roman" w:cs="Times New Roman"/>
          <w:sz w:val="24"/>
          <w:szCs w:val="24"/>
        </w:rPr>
        <w:t xml:space="preserve">. </w:t>
      </w:r>
      <w:r w:rsidR="00233370">
        <w:rPr>
          <w:rFonts w:ascii="Times New Roman" w:hAnsi="Times New Roman" w:cs="Times New Roman"/>
          <w:sz w:val="24"/>
          <w:szCs w:val="24"/>
        </w:rPr>
        <w:t>Connecticut</w:t>
      </w:r>
      <w:r w:rsidR="00DF16A7">
        <w:rPr>
          <w:rFonts w:ascii="Times New Roman" w:hAnsi="Times New Roman" w:cs="Times New Roman"/>
          <w:sz w:val="24"/>
          <w:szCs w:val="24"/>
        </w:rPr>
        <w:t xml:space="preserve"> </w:t>
      </w:r>
      <w:r w:rsidR="00233370">
        <w:rPr>
          <w:rFonts w:ascii="Times New Roman" w:hAnsi="Times New Roman" w:cs="Times New Roman"/>
          <w:sz w:val="24"/>
          <w:szCs w:val="24"/>
        </w:rPr>
        <w:t xml:space="preserve">is </w:t>
      </w:r>
      <w:r w:rsidR="00DF16A7">
        <w:rPr>
          <w:rFonts w:ascii="Times New Roman" w:hAnsi="Times New Roman" w:cs="Times New Roman"/>
          <w:sz w:val="24"/>
          <w:szCs w:val="24"/>
        </w:rPr>
        <w:t xml:space="preserve">in EPA Region </w:t>
      </w:r>
      <w:r w:rsidR="00233370">
        <w:rPr>
          <w:rFonts w:ascii="Times New Roman" w:hAnsi="Times New Roman" w:cs="Times New Roman"/>
          <w:sz w:val="24"/>
          <w:szCs w:val="24"/>
        </w:rPr>
        <w:t>1</w:t>
      </w:r>
      <w:r w:rsidR="00DF16A7">
        <w:rPr>
          <w:rFonts w:ascii="Times New Roman" w:hAnsi="Times New Roman" w:cs="Times New Roman"/>
          <w:sz w:val="24"/>
          <w:szCs w:val="24"/>
        </w:rPr>
        <w:t xml:space="preserve"> jurisdiction, while </w:t>
      </w:r>
      <w:r w:rsidR="00233370">
        <w:rPr>
          <w:rFonts w:ascii="Times New Roman" w:hAnsi="Times New Roman" w:cs="Times New Roman"/>
          <w:sz w:val="24"/>
          <w:szCs w:val="24"/>
        </w:rPr>
        <w:t xml:space="preserve">New York and </w:t>
      </w:r>
      <w:r w:rsidR="00DF16A7">
        <w:rPr>
          <w:rFonts w:ascii="Times New Roman" w:hAnsi="Times New Roman" w:cs="Times New Roman"/>
          <w:sz w:val="24"/>
          <w:szCs w:val="24"/>
        </w:rPr>
        <w:t xml:space="preserve">New Jersey </w:t>
      </w:r>
      <w:r w:rsidR="00233370">
        <w:rPr>
          <w:rFonts w:ascii="Times New Roman" w:hAnsi="Times New Roman" w:cs="Times New Roman"/>
          <w:sz w:val="24"/>
          <w:szCs w:val="24"/>
        </w:rPr>
        <w:t>are</w:t>
      </w:r>
      <w:r w:rsidR="00DF16A7">
        <w:rPr>
          <w:rFonts w:ascii="Times New Roman" w:hAnsi="Times New Roman" w:cs="Times New Roman"/>
          <w:sz w:val="24"/>
          <w:szCs w:val="24"/>
        </w:rPr>
        <w:t xml:space="preserve"> in EPA Region 2 jurisdiction. This </w:t>
      </w:r>
      <w:r w:rsidR="00233370">
        <w:rPr>
          <w:rFonts w:ascii="Times New Roman" w:hAnsi="Times New Roman" w:cs="Times New Roman"/>
          <w:sz w:val="24"/>
          <w:szCs w:val="24"/>
        </w:rPr>
        <w:t>affects</w:t>
      </w:r>
      <w:r w:rsidR="00DF16A7">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00DF16A7">
        <w:rPr>
          <w:rFonts w:ascii="Times New Roman" w:hAnsi="Times New Roman" w:cs="Times New Roman"/>
          <w:sz w:val="24"/>
          <w:szCs w:val="24"/>
        </w:rPr>
        <w:t xml:space="preserve">administrative burden </w:t>
      </w:r>
      <w:r w:rsidR="00EF2EDA">
        <w:rPr>
          <w:rFonts w:ascii="Times New Roman" w:hAnsi="Times New Roman" w:cs="Times New Roman"/>
          <w:sz w:val="24"/>
          <w:szCs w:val="24"/>
        </w:rPr>
        <w:t xml:space="preserve">for </w:t>
      </w:r>
      <w:r w:rsidR="00A377AC">
        <w:rPr>
          <w:rFonts w:ascii="Times New Roman" w:hAnsi="Times New Roman" w:cs="Times New Roman"/>
          <w:sz w:val="24"/>
          <w:szCs w:val="24"/>
        </w:rPr>
        <w:t xml:space="preserve">the </w:t>
      </w:r>
      <w:r w:rsidR="00EF2EDA">
        <w:rPr>
          <w:rFonts w:ascii="Times New Roman" w:hAnsi="Times New Roman" w:cs="Times New Roman"/>
          <w:sz w:val="24"/>
          <w:szCs w:val="24"/>
        </w:rPr>
        <w:t>EPA for</w:t>
      </w:r>
      <w:r w:rsidR="00DF16A7">
        <w:rPr>
          <w:rFonts w:ascii="Times New Roman" w:hAnsi="Times New Roman" w:cs="Times New Roman"/>
          <w:sz w:val="24"/>
          <w:szCs w:val="24"/>
        </w:rPr>
        <w:t xml:space="preserve"> the required SIP submissions. </w:t>
      </w:r>
    </w:p>
    <w:p w14:paraId="26FFAD69" w14:textId="77777777" w:rsidR="00CB3528" w:rsidRPr="00BD10CD" w:rsidRDefault="00CB3528" w:rsidP="00756E81"/>
    <w:p w14:paraId="39AC5582" w14:textId="3FCD609F" w:rsidR="00680710" w:rsidRDefault="00CB3528" w:rsidP="00FB2A07">
      <w:pPr>
        <w:ind w:firstLine="360"/>
        <w:rPr>
          <w:i/>
        </w:rPr>
      </w:pPr>
      <w:r>
        <w:t xml:space="preserve">The numbers of </w:t>
      </w:r>
      <w:r w:rsidR="00F60529">
        <w:t>nonattainment</w:t>
      </w:r>
      <w:r>
        <w:t xml:space="preserve"> areas or parts of areas in each state and the associated EPA Regional Off</w:t>
      </w:r>
      <w:r w:rsidR="00BD10CD">
        <w:t xml:space="preserve">ice are presented in Table </w:t>
      </w:r>
      <w:r w:rsidR="00890EB3">
        <w:t>4.</w:t>
      </w:r>
      <w:r w:rsidR="00BD10CD">
        <w:t xml:space="preserve">2. There are </w:t>
      </w:r>
      <w:r w:rsidR="00A50E3A">
        <w:t>44</w:t>
      </w:r>
      <w:r w:rsidR="00BD10CD">
        <w:t xml:space="preserve"> </w:t>
      </w:r>
      <w:r w:rsidR="00F60529">
        <w:t>nonattainment</w:t>
      </w:r>
      <w:r w:rsidR="00BD10CD">
        <w:t xml:space="preserve"> areas</w:t>
      </w:r>
      <w:r w:rsidR="00BE32D5">
        <w:t xml:space="preserve"> for which state respondents’ burden is estimated in this ICR;</w:t>
      </w:r>
      <w:r w:rsidR="00BD10CD">
        <w:t xml:space="preserve"> </w:t>
      </w:r>
      <w:r w:rsidR="00AB5873">
        <w:t xml:space="preserve">four of </w:t>
      </w:r>
      <w:r w:rsidR="00BE32D5">
        <w:t xml:space="preserve">these areas </w:t>
      </w:r>
      <w:r w:rsidR="00325D80">
        <w:t>are</w:t>
      </w:r>
      <w:r w:rsidR="00AB5873">
        <w:t xml:space="preserve"> multi-state </w:t>
      </w:r>
      <w:r w:rsidR="00092485">
        <w:t>areas</w:t>
      </w:r>
      <w:r w:rsidR="00AB5873">
        <w:t>.</w:t>
      </w:r>
      <w:r w:rsidR="00233370">
        <w:t xml:space="preserve"> </w:t>
      </w:r>
      <w:r w:rsidR="00EF2EDA">
        <w:t>T</w:t>
      </w:r>
      <w:r w:rsidR="005C7470">
        <w:t xml:space="preserve">here are </w:t>
      </w:r>
      <w:r w:rsidR="00625172">
        <w:t>11</w:t>
      </w:r>
      <w:r w:rsidR="00EF2EDA">
        <w:t xml:space="preserve"> </w:t>
      </w:r>
      <w:r w:rsidR="005C7470">
        <w:t>states</w:t>
      </w:r>
      <w:r w:rsidR="0088613E">
        <w:t xml:space="preserve"> </w:t>
      </w:r>
      <w:r w:rsidR="00AB5873">
        <w:t xml:space="preserve">with all or some portion of </w:t>
      </w:r>
      <w:r w:rsidR="00625172">
        <w:t>4</w:t>
      </w:r>
      <w:r w:rsidR="00EF2EDA">
        <w:t xml:space="preserve"> </w:t>
      </w:r>
      <w:r w:rsidR="005C7470">
        <w:t xml:space="preserve">nonattainment areas with </w:t>
      </w:r>
      <w:r w:rsidR="0088613E">
        <w:t xml:space="preserve">an </w:t>
      </w:r>
      <w:r w:rsidR="00AB5873">
        <w:t xml:space="preserve">overall </w:t>
      </w:r>
      <w:r w:rsidR="0088613E">
        <w:t xml:space="preserve">estimated </w:t>
      </w:r>
      <w:r w:rsidR="005C7470">
        <w:t>increase</w:t>
      </w:r>
      <w:r w:rsidR="0088613E">
        <w:t xml:space="preserve"> in</w:t>
      </w:r>
      <w:r w:rsidR="005C7470">
        <w:t xml:space="preserve"> burden hours</w:t>
      </w:r>
      <w:r w:rsidR="0088613E">
        <w:t xml:space="preserve"> to </w:t>
      </w:r>
      <w:r w:rsidR="00AB5873">
        <w:t xml:space="preserve">account for additional planning requirements after being reclassified to </w:t>
      </w:r>
      <w:r w:rsidR="00EF2EDA">
        <w:t xml:space="preserve">Serious </w:t>
      </w:r>
      <w:r w:rsidR="00AB5873">
        <w:t xml:space="preserve">upon </w:t>
      </w:r>
      <w:r w:rsidR="0088613E">
        <w:t>fail</w:t>
      </w:r>
      <w:r w:rsidR="00AB5873">
        <w:t>ure</w:t>
      </w:r>
      <w:r w:rsidR="0088613E">
        <w:t xml:space="preserve"> to </w:t>
      </w:r>
      <w:r w:rsidR="00AB5873">
        <w:t xml:space="preserve">timely </w:t>
      </w:r>
      <w:r w:rsidR="0088613E">
        <w:t xml:space="preserve">attain the </w:t>
      </w:r>
      <w:r w:rsidR="00325D80">
        <w:t>2008 NAAQS</w:t>
      </w:r>
      <w:r w:rsidR="00EF2EDA">
        <w:t xml:space="preserve"> by July 20, 2018</w:t>
      </w:r>
      <w:r w:rsidR="0088613E">
        <w:t xml:space="preserve">. </w:t>
      </w:r>
      <w:r w:rsidR="00E02DFA">
        <w:t>Overall</w:t>
      </w:r>
      <w:r w:rsidR="0088613E">
        <w:t xml:space="preserve">, there </w:t>
      </w:r>
      <w:r w:rsidR="00E02DFA">
        <w:t xml:space="preserve">are </w:t>
      </w:r>
      <w:r w:rsidR="00625172">
        <w:t>17</w:t>
      </w:r>
      <w:r w:rsidR="00233370">
        <w:t xml:space="preserve"> </w:t>
      </w:r>
      <w:r w:rsidR="00890EB3">
        <w:t>state</w:t>
      </w:r>
      <w:r w:rsidR="0018277A">
        <w:t xml:space="preserve"> respon</w:t>
      </w:r>
      <w:r w:rsidR="00890EB3">
        <w:t>dents</w:t>
      </w:r>
      <w:r w:rsidR="0018277A">
        <w:t xml:space="preserve"> </w:t>
      </w:r>
      <w:r w:rsidR="00310AA5">
        <w:t>identified for</w:t>
      </w:r>
      <w:r w:rsidR="0018277A">
        <w:t xml:space="preserve"> th</w:t>
      </w:r>
      <w:r w:rsidR="00890EB3">
        <w:t>is</w:t>
      </w:r>
      <w:r w:rsidR="0018277A">
        <w:t xml:space="preserve"> </w:t>
      </w:r>
      <w:r w:rsidR="005C7470">
        <w:t>ICR renewal</w:t>
      </w:r>
      <w:r w:rsidR="0018277A">
        <w:t xml:space="preserve">. </w:t>
      </w:r>
      <w:r>
        <w:t>These</w:t>
      </w:r>
      <w:r w:rsidR="00092485">
        <w:t xml:space="preserve"> </w:t>
      </w:r>
      <w:r w:rsidR="00310AA5">
        <w:t xml:space="preserve">estimates </w:t>
      </w:r>
      <w:r>
        <w:t xml:space="preserve">were derived from the </w:t>
      </w:r>
      <w:r w:rsidR="003A3696">
        <w:t>September 30</w:t>
      </w:r>
      <w:r w:rsidR="00A64258">
        <w:t>, 20</w:t>
      </w:r>
      <w:r w:rsidR="00F01EB8">
        <w:t>1</w:t>
      </w:r>
      <w:r w:rsidR="00420045">
        <w:t>7</w:t>
      </w:r>
      <w:r w:rsidR="006A3291">
        <w:t xml:space="preserve"> version of the EPA Green Book</w:t>
      </w:r>
      <w:r w:rsidR="006C107A">
        <w:t xml:space="preserve"> (with </w:t>
      </w:r>
      <w:r w:rsidR="006C107A" w:rsidRPr="00A377AC">
        <w:rPr>
          <w:i/>
        </w:rPr>
        <w:t>Federal Register</w:t>
      </w:r>
      <w:r w:rsidR="006C107A">
        <w:t xml:space="preserve"> updates through </w:t>
      </w:r>
      <w:r w:rsidR="003A3696">
        <w:t>December 8</w:t>
      </w:r>
      <w:r w:rsidR="006C107A">
        <w:t xml:space="preserve">, 2017) </w:t>
      </w:r>
      <w:r>
        <w:t xml:space="preserve">at: </w:t>
      </w:r>
      <w:r w:rsidR="00680710" w:rsidRPr="00A377AC">
        <w:rPr>
          <w:i/>
        </w:rPr>
        <w:t>https://www3.epa.gov/airquality/greenbook/hbtc.html</w:t>
      </w:r>
      <w:r>
        <w:t xml:space="preserve">. </w:t>
      </w:r>
      <w:r w:rsidR="00680710">
        <w:t xml:space="preserve"> The current status of </w:t>
      </w:r>
      <w:r w:rsidR="00D62166">
        <w:t xml:space="preserve">ozone </w:t>
      </w:r>
      <w:r w:rsidR="00680710">
        <w:t>nonattainment area</w:t>
      </w:r>
      <w:r w:rsidR="008A77C7">
        <w:t xml:space="preserve"> implementation plans</w:t>
      </w:r>
      <w:r w:rsidR="00680710">
        <w:t xml:space="preserve"> is available </w:t>
      </w:r>
      <w:r w:rsidR="008A77C7">
        <w:t>from</w:t>
      </w:r>
      <w:r w:rsidR="00680710">
        <w:t xml:space="preserve"> the EPA SIP Status Reports at:  </w:t>
      </w:r>
      <w:r w:rsidR="00275B3E" w:rsidRPr="00275B3E">
        <w:rPr>
          <w:i/>
        </w:rPr>
        <w:t>https://www3.epa.gov/airquality/urbanair/sipstatus/reports/ozone-8hr__2008__areabynaaqs.html</w:t>
      </w:r>
    </w:p>
    <w:p w14:paraId="73B2B761" w14:textId="77777777" w:rsidR="00275B3E" w:rsidRDefault="00275B3E" w:rsidP="00FB2A07">
      <w:pPr>
        <w:ind w:firstLine="360"/>
      </w:pPr>
    </w:p>
    <w:p w14:paraId="23593731" w14:textId="77777777" w:rsidR="00CB3528" w:rsidRDefault="00CB3528" w:rsidP="00756E81"/>
    <w:p w14:paraId="1599C196" w14:textId="12F727ED" w:rsidR="00CB3528" w:rsidRDefault="00CB3528" w:rsidP="00A377AC">
      <w:pPr>
        <w:keepLines/>
        <w:rPr>
          <w:b/>
          <w:sz w:val="20"/>
          <w:szCs w:val="20"/>
        </w:rPr>
      </w:pPr>
      <w:r>
        <w:rPr>
          <w:b/>
          <w:sz w:val="20"/>
          <w:szCs w:val="20"/>
        </w:rPr>
        <w:t xml:space="preserve">Table </w:t>
      </w:r>
      <w:r w:rsidR="00890EB3">
        <w:rPr>
          <w:b/>
          <w:sz w:val="20"/>
          <w:szCs w:val="20"/>
        </w:rPr>
        <w:t>4.</w:t>
      </w:r>
      <w:r>
        <w:rPr>
          <w:b/>
          <w:sz w:val="20"/>
          <w:szCs w:val="20"/>
        </w:rPr>
        <w:t>2.</w:t>
      </w:r>
      <w:r w:rsidR="00821502">
        <w:rPr>
          <w:b/>
          <w:sz w:val="20"/>
          <w:szCs w:val="20"/>
        </w:rPr>
        <w:t xml:space="preserve"> </w:t>
      </w:r>
      <w:r>
        <w:rPr>
          <w:b/>
          <w:sz w:val="20"/>
          <w:szCs w:val="20"/>
        </w:rPr>
        <w:t xml:space="preserve">Number of </w:t>
      </w:r>
      <w:r w:rsidR="00F60529">
        <w:rPr>
          <w:b/>
          <w:sz w:val="20"/>
          <w:szCs w:val="20"/>
        </w:rPr>
        <w:t>Nonattainment</w:t>
      </w:r>
      <w:r>
        <w:rPr>
          <w:b/>
          <w:sz w:val="20"/>
          <w:szCs w:val="20"/>
        </w:rPr>
        <w:t xml:space="preserve"> Areas or Parts of Areas in Each State</w:t>
      </w:r>
      <w:r w:rsidR="00310AA5">
        <w:rPr>
          <w:b/>
          <w:sz w:val="20"/>
          <w:szCs w:val="20"/>
        </w:rPr>
        <w:t xml:space="preserve"> (as of </w:t>
      </w:r>
      <w:r w:rsidR="003A3696">
        <w:rPr>
          <w:b/>
          <w:sz w:val="20"/>
          <w:szCs w:val="20"/>
        </w:rPr>
        <w:t>December 8</w:t>
      </w:r>
      <w:r w:rsidR="00A619C0">
        <w:rPr>
          <w:b/>
          <w:sz w:val="20"/>
          <w:szCs w:val="20"/>
        </w:rPr>
        <w:t>, 2017)</w:t>
      </w:r>
    </w:p>
    <w:p w14:paraId="46A444F9" w14:textId="77777777" w:rsidR="00CB3528" w:rsidRDefault="00CB3528" w:rsidP="00A377AC">
      <w:pPr>
        <w:keepLines/>
        <w:rPr>
          <w:b/>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810"/>
        <w:gridCol w:w="1260"/>
        <w:gridCol w:w="1396"/>
        <w:gridCol w:w="967"/>
        <w:gridCol w:w="967"/>
        <w:gridCol w:w="810"/>
        <w:gridCol w:w="990"/>
        <w:gridCol w:w="900"/>
      </w:tblGrid>
      <w:tr w:rsidR="00D10B2B" w:rsidRPr="000D1AA0" w14:paraId="236ABC57" w14:textId="77777777" w:rsidTr="002F7E64">
        <w:tc>
          <w:tcPr>
            <w:tcW w:w="1435" w:type="dxa"/>
          </w:tcPr>
          <w:p w14:paraId="26F6E81D" w14:textId="77777777" w:rsidR="00D10B2B" w:rsidRPr="00A377AC" w:rsidRDefault="00D10B2B" w:rsidP="00A377AC">
            <w:pPr>
              <w:keepLines/>
              <w:rPr>
                <w:b/>
                <w:sz w:val="19"/>
                <w:szCs w:val="19"/>
              </w:rPr>
            </w:pPr>
            <w:r w:rsidRPr="00A377AC">
              <w:rPr>
                <w:b/>
                <w:sz w:val="19"/>
                <w:szCs w:val="19"/>
              </w:rPr>
              <w:t>State</w:t>
            </w:r>
          </w:p>
        </w:tc>
        <w:tc>
          <w:tcPr>
            <w:tcW w:w="810" w:type="dxa"/>
          </w:tcPr>
          <w:p w14:paraId="69336A56" w14:textId="77777777" w:rsidR="00D10B2B" w:rsidRPr="00A377AC" w:rsidRDefault="00D10B2B" w:rsidP="00A377AC">
            <w:pPr>
              <w:keepLines/>
              <w:rPr>
                <w:b/>
                <w:sz w:val="18"/>
                <w:szCs w:val="18"/>
              </w:rPr>
            </w:pPr>
            <w:r w:rsidRPr="00A377AC">
              <w:rPr>
                <w:b/>
                <w:sz w:val="18"/>
                <w:szCs w:val="18"/>
              </w:rPr>
              <w:t>EPA Region</w:t>
            </w:r>
          </w:p>
        </w:tc>
        <w:tc>
          <w:tcPr>
            <w:tcW w:w="1260" w:type="dxa"/>
          </w:tcPr>
          <w:p w14:paraId="74836238" w14:textId="0F9B5747" w:rsidR="00D10B2B" w:rsidRPr="00A377AC" w:rsidRDefault="00D10B2B" w:rsidP="00A377AC">
            <w:pPr>
              <w:keepLines/>
              <w:rPr>
                <w:b/>
                <w:sz w:val="18"/>
                <w:szCs w:val="18"/>
              </w:rPr>
            </w:pPr>
            <w:r w:rsidRPr="00A377AC">
              <w:rPr>
                <w:b/>
                <w:sz w:val="18"/>
                <w:szCs w:val="18"/>
              </w:rPr>
              <w:t xml:space="preserve">No. of Areas </w:t>
            </w:r>
            <w:r w:rsidR="00F92B37" w:rsidRPr="00A377AC">
              <w:rPr>
                <w:b/>
                <w:sz w:val="18"/>
                <w:szCs w:val="18"/>
              </w:rPr>
              <w:t xml:space="preserve">or Parts of Areas </w:t>
            </w:r>
            <w:r w:rsidRPr="00A377AC">
              <w:rPr>
                <w:b/>
                <w:sz w:val="18"/>
                <w:szCs w:val="18"/>
              </w:rPr>
              <w:t xml:space="preserve">Redesignated to </w:t>
            </w:r>
            <w:r w:rsidR="00680710" w:rsidRPr="00A377AC">
              <w:rPr>
                <w:b/>
                <w:sz w:val="18"/>
                <w:szCs w:val="18"/>
              </w:rPr>
              <w:t>Maintenance</w:t>
            </w:r>
          </w:p>
        </w:tc>
        <w:tc>
          <w:tcPr>
            <w:tcW w:w="1396" w:type="dxa"/>
          </w:tcPr>
          <w:p w14:paraId="6F5BFDA5" w14:textId="77777777" w:rsidR="00D10B2B" w:rsidRPr="00A377AC" w:rsidRDefault="00D10B2B" w:rsidP="00A377AC">
            <w:pPr>
              <w:keepLines/>
              <w:rPr>
                <w:b/>
                <w:sz w:val="18"/>
                <w:szCs w:val="18"/>
              </w:rPr>
            </w:pPr>
            <w:r w:rsidRPr="00A377AC">
              <w:rPr>
                <w:b/>
                <w:sz w:val="18"/>
                <w:szCs w:val="18"/>
              </w:rPr>
              <w:t>No. of Nonattainment Areas or Parts of Areas</w:t>
            </w:r>
          </w:p>
        </w:tc>
        <w:tc>
          <w:tcPr>
            <w:tcW w:w="967" w:type="dxa"/>
          </w:tcPr>
          <w:p w14:paraId="371E9429" w14:textId="77777777" w:rsidR="00D10B2B" w:rsidRPr="00A377AC" w:rsidRDefault="00D10B2B" w:rsidP="00A377AC">
            <w:pPr>
              <w:keepLines/>
              <w:rPr>
                <w:b/>
                <w:sz w:val="18"/>
                <w:szCs w:val="18"/>
              </w:rPr>
            </w:pPr>
            <w:r w:rsidRPr="00A377AC">
              <w:rPr>
                <w:b/>
                <w:sz w:val="18"/>
                <w:szCs w:val="18"/>
              </w:rPr>
              <w:t>No. of Marginal Areas</w:t>
            </w:r>
          </w:p>
        </w:tc>
        <w:tc>
          <w:tcPr>
            <w:tcW w:w="967" w:type="dxa"/>
          </w:tcPr>
          <w:p w14:paraId="2B26AE0E" w14:textId="77777777" w:rsidR="00D10B2B" w:rsidRPr="00A377AC" w:rsidRDefault="00D10B2B" w:rsidP="00A377AC">
            <w:pPr>
              <w:keepLines/>
              <w:rPr>
                <w:b/>
                <w:sz w:val="18"/>
                <w:szCs w:val="18"/>
              </w:rPr>
            </w:pPr>
            <w:r w:rsidRPr="00A377AC">
              <w:rPr>
                <w:b/>
                <w:sz w:val="18"/>
                <w:szCs w:val="18"/>
              </w:rPr>
              <w:t xml:space="preserve">No. of Moderate Areas </w:t>
            </w:r>
          </w:p>
        </w:tc>
        <w:tc>
          <w:tcPr>
            <w:tcW w:w="810" w:type="dxa"/>
          </w:tcPr>
          <w:p w14:paraId="05F01BAB" w14:textId="77777777" w:rsidR="00D10B2B" w:rsidRPr="00A377AC" w:rsidRDefault="00D10B2B" w:rsidP="00A377AC">
            <w:pPr>
              <w:keepLines/>
              <w:rPr>
                <w:b/>
                <w:sz w:val="18"/>
                <w:szCs w:val="18"/>
              </w:rPr>
            </w:pPr>
            <w:r w:rsidRPr="00A377AC">
              <w:rPr>
                <w:b/>
                <w:sz w:val="18"/>
                <w:szCs w:val="18"/>
              </w:rPr>
              <w:t xml:space="preserve">No. of Serious Areas </w:t>
            </w:r>
          </w:p>
        </w:tc>
        <w:tc>
          <w:tcPr>
            <w:tcW w:w="990" w:type="dxa"/>
          </w:tcPr>
          <w:p w14:paraId="676214A8" w14:textId="77777777" w:rsidR="00D10B2B" w:rsidRPr="00A377AC" w:rsidRDefault="00D10B2B" w:rsidP="00A377AC">
            <w:pPr>
              <w:keepLines/>
              <w:rPr>
                <w:b/>
                <w:sz w:val="18"/>
                <w:szCs w:val="18"/>
              </w:rPr>
            </w:pPr>
            <w:r w:rsidRPr="00A377AC">
              <w:rPr>
                <w:b/>
                <w:sz w:val="18"/>
                <w:szCs w:val="18"/>
              </w:rPr>
              <w:t xml:space="preserve">No. of Severe-15 Areas </w:t>
            </w:r>
          </w:p>
        </w:tc>
        <w:tc>
          <w:tcPr>
            <w:tcW w:w="900" w:type="dxa"/>
          </w:tcPr>
          <w:p w14:paraId="38BF714F" w14:textId="77777777" w:rsidR="00D10B2B" w:rsidRPr="00A377AC" w:rsidRDefault="00D10B2B" w:rsidP="00A377AC">
            <w:pPr>
              <w:keepLines/>
              <w:rPr>
                <w:b/>
                <w:sz w:val="18"/>
                <w:szCs w:val="18"/>
              </w:rPr>
            </w:pPr>
            <w:r w:rsidRPr="00A377AC">
              <w:rPr>
                <w:b/>
                <w:sz w:val="18"/>
                <w:szCs w:val="18"/>
              </w:rPr>
              <w:t>No. of Extreme Areas</w:t>
            </w:r>
          </w:p>
        </w:tc>
      </w:tr>
      <w:tr w:rsidR="00D10B2B" w:rsidRPr="000D1AA0" w14:paraId="7F512513" w14:textId="77777777" w:rsidTr="002F7E64">
        <w:tc>
          <w:tcPr>
            <w:tcW w:w="1435" w:type="dxa"/>
          </w:tcPr>
          <w:p w14:paraId="50C82AE0" w14:textId="77777777" w:rsidR="00D10B2B" w:rsidRDefault="00D10B2B" w:rsidP="00D10B2B">
            <w:pPr>
              <w:rPr>
                <w:sz w:val="20"/>
                <w:szCs w:val="20"/>
              </w:rPr>
            </w:pPr>
            <w:r>
              <w:rPr>
                <w:sz w:val="20"/>
                <w:szCs w:val="20"/>
              </w:rPr>
              <w:t>Arkansas</w:t>
            </w:r>
          </w:p>
        </w:tc>
        <w:tc>
          <w:tcPr>
            <w:tcW w:w="810" w:type="dxa"/>
          </w:tcPr>
          <w:p w14:paraId="2A21A1FA" w14:textId="77777777" w:rsidR="00D10B2B" w:rsidRDefault="00D10B2B" w:rsidP="00D10B2B">
            <w:pPr>
              <w:jc w:val="center"/>
              <w:rPr>
                <w:sz w:val="20"/>
                <w:szCs w:val="20"/>
              </w:rPr>
            </w:pPr>
            <w:r>
              <w:rPr>
                <w:sz w:val="20"/>
                <w:szCs w:val="20"/>
              </w:rPr>
              <w:t>6</w:t>
            </w:r>
          </w:p>
        </w:tc>
        <w:tc>
          <w:tcPr>
            <w:tcW w:w="1260" w:type="dxa"/>
          </w:tcPr>
          <w:p w14:paraId="674FBC0D" w14:textId="77777777" w:rsidR="00D10B2B" w:rsidRDefault="00D10B2B" w:rsidP="00D10B2B">
            <w:pPr>
              <w:jc w:val="center"/>
              <w:rPr>
                <w:sz w:val="20"/>
                <w:szCs w:val="20"/>
              </w:rPr>
            </w:pPr>
            <w:r>
              <w:rPr>
                <w:sz w:val="20"/>
                <w:szCs w:val="20"/>
              </w:rPr>
              <w:t>1</w:t>
            </w:r>
          </w:p>
        </w:tc>
        <w:tc>
          <w:tcPr>
            <w:tcW w:w="1396" w:type="dxa"/>
          </w:tcPr>
          <w:p w14:paraId="78EE1C74" w14:textId="77777777" w:rsidR="00D10B2B" w:rsidRDefault="00D10B2B" w:rsidP="00D10B2B">
            <w:pPr>
              <w:jc w:val="center"/>
              <w:rPr>
                <w:sz w:val="20"/>
                <w:szCs w:val="20"/>
              </w:rPr>
            </w:pPr>
            <w:r>
              <w:rPr>
                <w:sz w:val="20"/>
                <w:szCs w:val="20"/>
              </w:rPr>
              <w:t>0</w:t>
            </w:r>
          </w:p>
        </w:tc>
        <w:tc>
          <w:tcPr>
            <w:tcW w:w="967" w:type="dxa"/>
          </w:tcPr>
          <w:p w14:paraId="61C69742" w14:textId="77777777" w:rsidR="00D10B2B" w:rsidRDefault="00D10B2B" w:rsidP="00D10B2B">
            <w:pPr>
              <w:jc w:val="center"/>
              <w:rPr>
                <w:sz w:val="20"/>
                <w:szCs w:val="20"/>
              </w:rPr>
            </w:pPr>
            <w:r>
              <w:rPr>
                <w:sz w:val="20"/>
                <w:szCs w:val="20"/>
              </w:rPr>
              <w:t>0</w:t>
            </w:r>
          </w:p>
        </w:tc>
        <w:tc>
          <w:tcPr>
            <w:tcW w:w="967" w:type="dxa"/>
          </w:tcPr>
          <w:p w14:paraId="1AA5A867" w14:textId="77777777" w:rsidR="00D10B2B" w:rsidRDefault="00D10B2B" w:rsidP="00D10B2B">
            <w:pPr>
              <w:jc w:val="center"/>
              <w:rPr>
                <w:sz w:val="20"/>
                <w:szCs w:val="20"/>
              </w:rPr>
            </w:pPr>
            <w:r>
              <w:rPr>
                <w:sz w:val="20"/>
                <w:szCs w:val="20"/>
              </w:rPr>
              <w:t>0</w:t>
            </w:r>
          </w:p>
        </w:tc>
        <w:tc>
          <w:tcPr>
            <w:tcW w:w="810" w:type="dxa"/>
          </w:tcPr>
          <w:p w14:paraId="603A40B2" w14:textId="77777777" w:rsidR="00D10B2B" w:rsidRDefault="00D10B2B" w:rsidP="00D10B2B">
            <w:pPr>
              <w:jc w:val="center"/>
              <w:rPr>
                <w:sz w:val="20"/>
                <w:szCs w:val="20"/>
              </w:rPr>
            </w:pPr>
            <w:r>
              <w:rPr>
                <w:sz w:val="20"/>
                <w:szCs w:val="20"/>
              </w:rPr>
              <w:t>0</w:t>
            </w:r>
          </w:p>
        </w:tc>
        <w:tc>
          <w:tcPr>
            <w:tcW w:w="990" w:type="dxa"/>
          </w:tcPr>
          <w:p w14:paraId="35D0DF3B" w14:textId="77777777" w:rsidR="00D10B2B" w:rsidRDefault="00D10B2B" w:rsidP="00D10B2B">
            <w:pPr>
              <w:jc w:val="center"/>
              <w:rPr>
                <w:sz w:val="20"/>
                <w:szCs w:val="20"/>
              </w:rPr>
            </w:pPr>
            <w:r>
              <w:rPr>
                <w:sz w:val="20"/>
                <w:szCs w:val="20"/>
              </w:rPr>
              <w:t>0</w:t>
            </w:r>
          </w:p>
        </w:tc>
        <w:tc>
          <w:tcPr>
            <w:tcW w:w="900" w:type="dxa"/>
          </w:tcPr>
          <w:p w14:paraId="2910A9DC" w14:textId="77777777" w:rsidR="00D10B2B" w:rsidRDefault="00D10B2B" w:rsidP="00D10B2B">
            <w:pPr>
              <w:jc w:val="center"/>
              <w:rPr>
                <w:sz w:val="20"/>
                <w:szCs w:val="20"/>
              </w:rPr>
            </w:pPr>
            <w:r>
              <w:rPr>
                <w:sz w:val="20"/>
                <w:szCs w:val="20"/>
              </w:rPr>
              <w:t>0</w:t>
            </w:r>
          </w:p>
        </w:tc>
      </w:tr>
      <w:tr w:rsidR="00D10B2B" w:rsidRPr="000D1AA0" w14:paraId="335792B9" w14:textId="77777777" w:rsidTr="002F7E64">
        <w:tc>
          <w:tcPr>
            <w:tcW w:w="1435" w:type="dxa"/>
          </w:tcPr>
          <w:p w14:paraId="67084708" w14:textId="77777777" w:rsidR="00D10B2B" w:rsidRPr="000D1AA0" w:rsidRDefault="00D10B2B" w:rsidP="00D10B2B">
            <w:pPr>
              <w:rPr>
                <w:sz w:val="20"/>
                <w:szCs w:val="20"/>
              </w:rPr>
            </w:pPr>
            <w:r>
              <w:rPr>
                <w:sz w:val="20"/>
                <w:szCs w:val="20"/>
              </w:rPr>
              <w:t>Arizona</w:t>
            </w:r>
          </w:p>
        </w:tc>
        <w:tc>
          <w:tcPr>
            <w:tcW w:w="810" w:type="dxa"/>
          </w:tcPr>
          <w:p w14:paraId="4399E4EF" w14:textId="77777777" w:rsidR="00D10B2B" w:rsidRDefault="00D10B2B" w:rsidP="00D10B2B">
            <w:pPr>
              <w:jc w:val="center"/>
              <w:rPr>
                <w:sz w:val="20"/>
                <w:szCs w:val="20"/>
              </w:rPr>
            </w:pPr>
            <w:r>
              <w:rPr>
                <w:sz w:val="20"/>
                <w:szCs w:val="20"/>
              </w:rPr>
              <w:t>9</w:t>
            </w:r>
          </w:p>
        </w:tc>
        <w:tc>
          <w:tcPr>
            <w:tcW w:w="1260" w:type="dxa"/>
          </w:tcPr>
          <w:p w14:paraId="01F0754D" w14:textId="77777777" w:rsidR="00D10B2B" w:rsidRDefault="005C7470" w:rsidP="00D10B2B">
            <w:pPr>
              <w:jc w:val="center"/>
              <w:rPr>
                <w:sz w:val="20"/>
                <w:szCs w:val="20"/>
              </w:rPr>
            </w:pPr>
            <w:r>
              <w:rPr>
                <w:sz w:val="20"/>
                <w:szCs w:val="20"/>
              </w:rPr>
              <w:t>0</w:t>
            </w:r>
          </w:p>
        </w:tc>
        <w:tc>
          <w:tcPr>
            <w:tcW w:w="1396" w:type="dxa"/>
          </w:tcPr>
          <w:p w14:paraId="00D0C199" w14:textId="77777777" w:rsidR="00D10B2B" w:rsidRDefault="00D10B2B" w:rsidP="00D10B2B">
            <w:pPr>
              <w:jc w:val="center"/>
              <w:rPr>
                <w:sz w:val="20"/>
                <w:szCs w:val="20"/>
              </w:rPr>
            </w:pPr>
            <w:r>
              <w:rPr>
                <w:sz w:val="20"/>
                <w:szCs w:val="20"/>
              </w:rPr>
              <w:t>1</w:t>
            </w:r>
          </w:p>
        </w:tc>
        <w:tc>
          <w:tcPr>
            <w:tcW w:w="967" w:type="dxa"/>
          </w:tcPr>
          <w:p w14:paraId="639FCE05" w14:textId="77777777" w:rsidR="00D10B2B" w:rsidRDefault="00D10B2B" w:rsidP="00D10B2B">
            <w:pPr>
              <w:jc w:val="center"/>
              <w:rPr>
                <w:sz w:val="20"/>
                <w:szCs w:val="20"/>
              </w:rPr>
            </w:pPr>
            <w:r>
              <w:rPr>
                <w:sz w:val="20"/>
                <w:szCs w:val="20"/>
              </w:rPr>
              <w:t>0</w:t>
            </w:r>
          </w:p>
        </w:tc>
        <w:tc>
          <w:tcPr>
            <w:tcW w:w="967" w:type="dxa"/>
          </w:tcPr>
          <w:p w14:paraId="04AF7293" w14:textId="77777777" w:rsidR="00D10B2B" w:rsidRDefault="00D10B2B" w:rsidP="00D10B2B">
            <w:pPr>
              <w:jc w:val="center"/>
              <w:rPr>
                <w:sz w:val="20"/>
                <w:szCs w:val="20"/>
              </w:rPr>
            </w:pPr>
            <w:r>
              <w:rPr>
                <w:sz w:val="20"/>
                <w:szCs w:val="20"/>
              </w:rPr>
              <w:t>1</w:t>
            </w:r>
          </w:p>
        </w:tc>
        <w:tc>
          <w:tcPr>
            <w:tcW w:w="810" w:type="dxa"/>
          </w:tcPr>
          <w:p w14:paraId="59CB3330" w14:textId="77777777" w:rsidR="00D10B2B" w:rsidRDefault="00D10B2B" w:rsidP="00D10B2B">
            <w:pPr>
              <w:jc w:val="center"/>
              <w:rPr>
                <w:sz w:val="20"/>
                <w:szCs w:val="20"/>
              </w:rPr>
            </w:pPr>
            <w:r>
              <w:rPr>
                <w:sz w:val="20"/>
                <w:szCs w:val="20"/>
              </w:rPr>
              <w:t>0</w:t>
            </w:r>
          </w:p>
        </w:tc>
        <w:tc>
          <w:tcPr>
            <w:tcW w:w="990" w:type="dxa"/>
          </w:tcPr>
          <w:p w14:paraId="6377A4B5" w14:textId="77777777" w:rsidR="00D10B2B" w:rsidRDefault="00D10B2B" w:rsidP="00D10B2B">
            <w:pPr>
              <w:jc w:val="center"/>
              <w:rPr>
                <w:sz w:val="20"/>
                <w:szCs w:val="20"/>
              </w:rPr>
            </w:pPr>
            <w:r>
              <w:rPr>
                <w:sz w:val="20"/>
                <w:szCs w:val="20"/>
              </w:rPr>
              <w:t>0</w:t>
            </w:r>
          </w:p>
        </w:tc>
        <w:tc>
          <w:tcPr>
            <w:tcW w:w="900" w:type="dxa"/>
          </w:tcPr>
          <w:p w14:paraId="7FF69FA6" w14:textId="77777777" w:rsidR="00D10B2B" w:rsidRDefault="00D10B2B" w:rsidP="00D10B2B">
            <w:pPr>
              <w:jc w:val="center"/>
              <w:rPr>
                <w:sz w:val="20"/>
                <w:szCs w:val="20"/>
              </w:rPr>
            </w:pPr>
            <w:r>
              <w:rPr>
                <w:sz w:val="20"/>
                <w:szCs w:val="20"/>
              </w:rPr>
              <w:t>0</w:t>
            </w:r>
          </w:p>
        </w:tc>
      </w:tr>
      <w:tr w:rsidR="00D10B2B" w:rsidRPr="000D1AA0" w14:paraId="75E7AC41" w14:textId="77777777" w:rsidTr="002F7E64">
        <w:tc>
          <w:tcPr>
            <w:tcW w:w="1435" w:type="dxa"/>
          </w:tcPr>
          <w:p w14:paraId="41A4A0F1" w14:textId="77777777" w:rsidR="00D10B2B" w:rsidRPr="000D1AA0" w:rsidRDefault="00D10B2B" w:rsidP="00D10B2B">
            <w:pPr>
              <w:rPr>
                <w:sz w:val="20"/>
                <w:szCs w:val="20"/>
              </w:rPr>
            </w:pPr>
            <w:r w:rsidRPr="000D1AA0">
              <w:rPr>
                <w:sz w:val="20"/>
                <w:szCs w:val="20"/>
              </w:rPr>
              <w:t>California</w:t>
            </w:r>
          </w:p>
        </w:tc>
        <w:tc>
          <w:tcPr>
            <w:tcW w:w="810" w:type="dxa"/>
          </w:tcPr>
          <w:p w14:paraId="63BF204E" w14:textId="77777777" w:rsidR="00D10B2B" w:rsidRDefault="00D10B2B" w:rsidP="00D10B2B">
            <w:pPr>
              <w:jc w:val="center"/>
              <w:rPr>
                <w:sz w:val="20"/>
                <w:szCs w:val="20"/>
              </w:rPr>
            </w:pPr>
            <w:r>
              <w:rPr>
                <w:sz w:val="20"/>
                <w:szCs w:val="20"/>
              </w:rPr>
              <w:t>9</w:t>
            </w:r>
          </w:p>
        </w:tc>
        <w:tc>
          <w:tcPr>
            <w:tcW w:w="1260" w:type="dxa"/>
          </w:tcPr>
          <w:p w14:paraId="3647399C" w14:textId="77777777" w:rsidR="00D10B2B" w:rsidRDefault="005C7470" w:rsidP="00D10B2B">
            <w:pPr>
              <w:jc w:val="center"/>
              <w:rPr>
                <w:sz w:val="20"/>
                <w:szCs w:val="20"/>
              </w:rPr>
            </w:pPr>
            <w:r>
              <w:rPr>
                <w:sz w:val="20"/>
                <w:szCs w:val="20"/>
              </w:rPr>
              <w:t>0</w:t>
            </w:r>
          </w:p>
        </w:tc>
        <w:tc>
          <w:tcPr>
            <w:tcW w:w="1396" w:type="dxa"/>
          </w:tcPr>
          <w:p w14:paraId="6579F760" w14:textId="476ED2C3" w:rsidR="00D10B2B" w:rsidRPr="000D1AA0" w:rsidRDefault="00DD1B73" w:rsidP="00D10B2B">
            <w:pPr>
              <w:jc w:val="center"/>
              <w:rPr>
                <w:sz w:val="20"/>
                <w:szCs w:val="20"/>
              </w:rPr>
            </w:pPr>
            <w:r>
              <w:rPr>
                <w:sz w:val="20"/>
                <w:szCs w:val="20"/>
              </w:rPr>
              <w:t>16</w:t>
            </w:r>
          </w:p>
        </w:tc>
        <w:tc>
          <w:tcPr>
            <w:tcW w:w="967" w:type="dxa"/>
          </w:tcPr>
          <w:p w14:paraId="131418AF" w14:textId="2714FFF4" w:rsidR="00D10B2B" w:rsidRDefault="00325D80" w:rsidP="00D10B2B">
            <w:pPr>
              <w:jc w:val="center"/>
              <w:rPr>
                <w:sz w:val="20"/>
                <w:szCs w:val="20"/>
              </w:rPr>
            </w:pPr>
            <w:r>
              <w:rPr>
                <w:sz w:val="20"/>
                <w:szCs w:val="20"/>
              </w:rPr>
              <w:t>5</w:t>
            </w:r>
          </w:p>
        </w:tc>
        <w:tc>
          <w:tcPr>
            <w:tcW w:w="967" w:type="dxa"/>
          </w:tcPr>
          <w:p w14:paraId="0503C041" w14:textId="019870FD" w:rsidR="00D10B2B" w:rsidRPr="000D1AA0" w:rsidRDefault="00DD1B73" w:rsidP="00D10B2B">
            <w:pPr>
              <w:jc w:val="center"/>
              <w:rPr>
                <w:sz w:val="20"/>
                <w:szCs w:val="20"/>
              </w:rPr>
            </w:pPr>
            <w:r>
              <w:rPr>
                <w:sz w:val="20"/>
                <w:szCs w:val="20"/>
              </w:rPr>
              <w:t>5</w:t>
            </w:r>
          </w:p>
        </w:tc>
        <w:tc>
          <w:tcPr>
            <w:tcW w:w="810" w:type="dxa"/>
          </w:tcPr>
          <w:p w14:paraId="7BF32672" w14:textId="50334DD6" w:rsidR="00D10B2B" w:rsidRPr="000D1AA0" w:rsidRDefault="00DD1B73" w:rsidP="00D10B2B">
            <w:pPr>
              <w:jc w:val="center"/>
              <w:rPr>
                <w:sz w:val="20"/>
                <w:szCs w:val="20"/>
              </w:rPr>
            </w:pPr>
            <w:r>
              <w:rPr>
                <w:sz w:val="20"/>
                <w:szCs w:val="20"/>
              </w:rPr>
              <w:t>1</w:t>
            </w:r>
          </w:p>
        </w:tc>
        <w:tc>
          <w:tcPr>
            <w:tcW w:w="990" w:type="dxa"/>
          </w:tcPr>
          <w:p w14:paraId="3A16E364" w14:textId="77777777" w:rsidR="00D10B2B" w:rsidRPr="000D1AA0" w:rsidRDefault="00D10B2B" w:rsidP="00D10B2B">
            <w:pPr>
              <w:jc w:val="center"/>
              <w:rPr>
                <w:sz w:val="20"/>
                <w:szCs w:val="20"/>
              </w:rPr>
            </w:pPr>
            <w:r>
              <w:rPr>
                <w:sz w:val="20"/>
                <w:szCs w:val="20"/>
              </w:rPr>
              <w:t>3</w:t>
            </w:r>
          </w:p>
        </w:tc>
        <w:tc>
          <w:tcPr>
            <w:tcW w:w="900" w:type="dxa"/>
          </w:tcPr>
          <w:p w14:paraId="1B1E5676" w14:textId="77777777" w:rsidR="00D10B2B" w:rsidRPr="000D1AA0" w:rsidRDefault="00D10B2B" w:rsidP="00D10B2B">
            <w:pPr>
              <w:jc w:val="center"/>
              <w:rPr>
                <w:sz w:val="20"/>
                <w:szCs w:val="20"/>
              </w:rPr>
            </w:pPr>
            <w:r>
              <w:rPr>
                <w:sz w:val="20"/>
                <w:szCs w:val="20"/>
              </w:rPr>
              <w:t>2</w:t>
            </w:r>
          </w:p>
        </w:tc>
      </w:tr>
      <w:tr w:rsidR="00D10B2B" w:rsidRPr="000D1AA0" w14:paraId="7257A804" w14:textId="77777777" w:rsidTr="002F7E64">
        <w:tc>
          <w:tcPr>
            <w:tcW w:w="1435" w:type="dxa"/>
          </w:tcPr>
          <w:p w14:paraId="53C82D14" w14:textId="77777777" w:rsidR="00D10B2B" w:rsidRPr="000D1AA0" w:rsidRDefault="00D10B2B" w:rsidP="00D10B2B">
            <w:pPr>
              <w:rPr>
                <w:sz w:val="20"/>
                <w:szCs w:val="20"/>
              </w:rPr>
            </w:pPr>
            <w:r w:rsidRPr="000D1AA0">
              <w:rPr>
                <w:sz w:val="20"/>
                <w:szCs w:val="20"/>
              </w:rPr>
              <w:t>Colorado</w:t>
            </w:r>
          </w:p>
        </w:tc>
        <w:tc>
          <w:tcPr>
            <w:tcW w:w="810" w:type="dxa"/>
          </w:tcPr>
          <w:p w14:paraId="41762EA8" w14:textId="77777777" w:rsidR="00D10B2B" w:rsidRPr="000D1AA0" w:rsidRDefault="00D10B2B" w:rsidP="00D10B2B">
            <w:pPr>
              <w:jc w:val="center"/>
              <w:rPr>
                <w:sz w:val="20"/>
                <w:szCs w:val="20"/>
              </w:rPr>
            </w:pPr>
            <w:r>
              <w:rPr>
                <w:sz w:val="20"/>
                <w:szCs w:val="20"/>
              </w:rPr>
              <w:t>8</w:t>
            </w:r>
          </w:p>
        </w:tc>
        <w:tc>
          <w:tcPr>
            <w:tcW w:w="1260" w:type="dxa"/>
          </w:tcPr>
          <w:p w14:paraId="6DE8CD6D" w14:textId="77777777" w:rsidR="00D10B2B" w:rsidRPr="000D1AA0" w:rsidRDefault="005C7470" w:rsidP="00D10B2B">
            <w:pPr>
              <w:jc w:val="center"/>
              <w:rPr>
                <w:sz w:val="20"/>
                <w:szCs w:val="20"/>
              </w:rPr>
            </w:pPr>
            <w:r>
              <w:rPr>
                <w:sz w:val="20"/>
                <w:szCs w:val="20"/>
              </w:rPr>
              <w:t>0</w:t>
            </w:r>
          </w:p>
        </w:tc>
        <w:tc>
          <w:tcPr>
            <w:tcW w:w="1396" w:type="dxa"/>
          </w:tcPr>
          <w:p w14:paraId="171DCC1B" w14:textId="77777777" w:rsidR="00D10B2B" w:rsidRPr="000D1AA0" w:rsidRDefault="00D10B2B" w:rsidP="00D10B2B">
            <w:pPr>
              <w:jc w:val="center"/>
              <w:rPr>
                <w:sz w:val="20"/>
                <w:szCs w:val="20"/>
              </w:rPr>
            </w:pPr>
            <w:r w:rsidRPr="000D1AA0">
              <w:rPr>
                <w:sz w:val="20"/>
                <w:szCs w:val="20"/>
              </w:rPr>
              <w:t>1</w:t>
            </w:r>
          </w:p>
        </w:tc>
        <w:tc>
          <w:tcPr>
            <w:tcW w:w="967" w:type="dxa"/>
          </w:tcPr>
          <w:p w14:paraId="6D2BE4DF" w14:textId="77777777" w:rsidR="00D10B2B" w:rsidRPr="000D1AA0" w:rsidRDefault="00D10B2B" w:rsidP="00D10B2B">
            <w:pPr>
              <w:jc w:val="center"/>
              <w:rPr>
                <w:sz w:val="20"/>
                <w:szCs w:val="20"/>
              </w:rPr>
            </w:pPr>
            <w:r>
              <w:rPr>
                <w:sz w:val="20"/>
                <w:szCs w:val="20"/>
              </w:rPr>
              <w:t>0</w:t>
            </w:r>
          </w:p>
        </w:tc>
        <w:tc>
          <w:tcPr>
            <w:tcW w:w="967" w:type="dxa"/>
          </w:tcPr>
          <w:p w14:paraId="47F840A3" w14:textId="77777777" w:rsidR="00D10B2B" w:rsidRPr="000D1AA0" w:rsidRDefault="00D10B2B" w:rsidP="00D10B2B">
            <w:pPr>
              <w:jc w:val="center"/>
              <w:rPr>
                <w:sz w:val="20"/>
                <w:szCs w:val="20"/>
              </w:rPr>
            </w:pPr>
            <w:r>
              <w:rPr>
                <w:sz w:val="20"/>
                <w:szCs w:val="20"/>
              </w:rPr>
              <w:t>1</w:t>
            </w:r>
          </w:p>
        </w:tc>
        <w:tc>
          <w:tcPr>
            <w:tcW w:w="810" w:type="dxa"/>
          </w:tcPr>
          <w:p w14:paraId="19D49059" w14:textId="77777777" w:rsidR="00D10B2B" w:rsidRPr="000D1AA0" w:rsidRDefault="00D10B2B" w:rsidP="00D10B2B">
            <w:pPr>
              <w:jc w:val="center"/>
              <w:rPr>
                <w:sz w:val="20"/>
                <w:szCs w:val="20"/>
              </w:rPr>
            </w:pPr>
            <w:r w:rsidRPr="000D1AA0">
              <w:rPr>
                <w:sz w:val="20"/>
                <w:szCs w:val="20"/>
              </w:rPr>
              <w:t>0</w:t>
            </w:r>
          </w:p>
        </w:tc>
        <w:tc>
          <w:tcPr>
            <w:tcW w:w="990" w:type="dxa"/>
          </w:tcPr>
          <w:p w14:paraId="0AB265BA" w14:textId="77777777" w:rsidR="00D10B2B" w:rsidRPr="000D1AA0" w:rsidRDefault="00D10B2B" w:rsidP="00D10B2B">
            <w:pPr>
              <w:jc w:val="center"/>
              <w:rPr>
                <w:sz w:val="20"/>
                <w:szCs w:val="20"/>
              </w:rPr>
            </w:pPr>
            <w:r w:rsidRPr="000D1AA0">
              <w:rPr>
                <w:sz w:val="20"/>
                <w:szCs w:val="20"/>
              </w:rPr>
              <w:t>0</w:t>
            </w:r>
          </w:p>
        </w:tc>
        <w:tc>
          <w:tcPr>
            <w:tcW w:w="900" w:type="dxa"/>
          </w:tcPr>
          <w:p w14:paraId="78F5374E" w14:textId="77777777" w:rsidR="00D10B2B" w:rsidRPr="000D1AA0" w:rsidRDefault="00D10B2B" w:rsidP="00D10B2B">
            <w:pPr>
              <w:jc w:val="center"/>
              <w:rPr>
                <w:sz w:val="20"/>
                <w:szCs w:val="20"/>
              </w:rPr>
            </w:pPr>
            <w:r>
              <w:rPr>
                <w:sz w:val="20"/>
                <w:szCs w:val="20"/>
              </w:rPr>
              <w:t>0</w:t>
            </w:r>
          </w:p>
        </w:tc>
      </w:tr>
      <w:tr w:rsidR="00D10B2B" w:rsidRPr="000D1AA0" w14:paraId="63988326" w14:textId="77777777" w:rsidTr="002F7E64">
        <w:tc>
          <w:tcPr>
            <w:tcW w:w="1435" w:type="dxa"/>
          </w:tcPr>
          <w:p w14:paraId="27D584E3" w14:textId="77777777" w:rsidR="00D10B2B" w:rsidRPr="000D1AA0" w:rsidRDefault="00D10B2B" w:rsidP="00D10B2B">
            <w:pPr>
              <w:rPr>
                <w:sz w:val="20"/>
                <w:szCs w:val="20"/>
              </w:rPr>
            </w:pPr>
            <w:r w:rsidRPr="000D1AA0">
              <w:rPr>
                <w:sz w:val="20"/>
                <w:szCs w:val="20"/>
              </w:rPr>
              <w:t>Connecticut</w:t>
            </w:r>
          </w:p>
        </w:tc>
        <w:tc>
          <w:tcPr>
            <w:tcW w:w="810" w:type="dxa"/>
          </w:tcPr>
          <w:p w14:paraId="4557AD70" w14:textId="77777777" w:rsidR="00D10B2B" w:rsidRDefault="00D10B2B" w:rsidP="00D10B2B">
            <w:pPr>
              <w:jc w:val="center"/>
              <w:rPr>
                <w:sz w:val="20"/>
                <w:szCs w:val="20"/>
              </w:rPr>
            </w:pPr>
            <w:r>
              <w:rPr>
                <w:sz w:val="20"/>
                <w:szCs w:val="20"/>
              </w:rPr>
              <w:t>1</w:t>
            </w:r>
          </w:p>
        </w:tc>
        <w:tc>
          <w:tcPr>
            <w:tcW w:w="1260" w:type="dxa"/>
          </w:tcPr>
          <w:p w14:paraId="4FA58BA3" w14:textId="77777777" w:rsidR="00D10B2B" w:rsidRDefault="005C7470" w:rsidP="00D10B2B">
            <w:pPr>
              <w:jc w:val="center"/>
              <w:rPr>
                <w:sz w:val="20"/>
                <w:szCs w:val="20"/>
              </w:rPr>
            </w:pPr>
            <w:r>
              <w:rPr>
                <w:sz w:val="20"/>
                <w:szCs w:val="20"/>
              </w:rPr>
              <w:t>0</w:t>
            </w:r>
          </w:p>
        </w:tc>
        <w:tc>
          <w:tcPr>
            <w:tcW w:w="1396" w:type="dxa"/>
          </w:tcPr>
          <w:p w14:paraId="1CEABFEA" w14:textId="77777777" w:rsidR="00D10B2B" w:rsidRPr="000D1AA0" w:rsidRDefault="00D10B2B" w:rsidP="00D10B2B">
            <w:pPr>
              <w:jc w:val="center"/>
              <w:rPr>
                <w:sz w:val="20"/>
                <w:szCs w:val="20"/>
              </w:rPr>
            </w:pPr>
            <w:r>
              <w:rPr>
                <w:sz w:val="20"/>
                <w:szCs w:val="20"/>
              </w:rPr>
              <w:t>2</w:t>
            </w:r>
          </w:p>
        </w:tc>
        <w:tc>
          <w:tcPr>
            <w:tcW w:w="967" w:type="dxa"/>
          </w:tcPr>
          <w:p w14:paraId="74D1235C" w14:textId="77777777" w:rsidR="00D10B2B" w:rsidRDefault="00D10B2B" w:rsidP="00D10B2B">
            <w:pPr>
              <w:jc w:val="center"/>
              <w:rPr>
                <w:sz w:val="20"/>
                <w:szCs w:val="20"/>
              </w:rPr>
            </w:pPr>
            <w:r>
              <w:rPr>
                <w:sz w:val="20"/>
                <w:szCs w:val="20"/>
              </w:rPr>
              <w:t>0</w:t>
            </w:r>
          </w:p>
        </w:tc>
        <w:tc>
          <w:tcPr>
            <w:tcW w:w="967" w:type="dxa"/>
          </w:tcPr>
          <w:p w14:paraId="164678D6" w14:textId="77777777" w:rsidR="00D10B2B" w:rsidRPr="000D1AA0" w:rsidRDefault="00D10B2B" w:rsidP="00D10B2B">
            <w:pPr>
              <w:jc w:val="center"/>
              <w:rPr>
                <w:sz w:val="20"/>
                <w:szCs w:val="20"/>
              </w:rPr>
            </w:pPr>
            <w:r>
              <w:rPr>
                <w:sz w:val="20"/>
                <w:szCs w:val="20"/>
              </w:rPr>
              <w:t>2</w:t>
            </w:r>
          </w:p>
        </w:tc>
        <w:tc>
          <w:tcPr>
            <w:tcW w:w="810" w:type="dxa"/>
          </w:tcPr>
          <w:p w14:paraId="28965953" w14:textId="77777777" w:rsidR="00D10B2B" w:rsidRPr="000D1AA0" w:rsidRDefault="00D10B2B" w:rsidP="00D10B2B">
            <w:pPr>
              <w:jc w:val="center"/>
              <w:rPr>
                <w:sz w:val="20"/>
                <w:szCs w:val="20"/>
              </w:rPr>
            </w:pPr>
            <w:r w:rsidRPr="000D1AA0">
              <w:rPr>
                <w:sz w:val="20"/>
                <w:szCs w:val="20"/>
              </w:rPr>
              <w:t>0</w:t>
            </w:r>
          </w:p>
        </w:tc>
        <w:tc>
          <w:tcPr>
            <w:tcW w:w="990" w:type="dxa"/>
          </w:tcPr>
          <w:p w14:paraId="2AED85BE" w14:textId="77777777" w:rsidR="00D10B2B" w:rsidRPr="000D1AA0" w:rsidRDefault="00D10B2B" w:rsidP="00D10B2B">
            <w:pPr>
              <w:jc w:val="center"/>
              <w:rPr>
                <w:sz w:val="20"/>
                <w:szCs w:val="20"/>
              </w:rPr>
            </w:pPr>
            <w:r w:rsidRPr="000D1AA0">
              <w:rPr>
                <w:sz w:val="20"/>
                <w:szCs w:val="20"/>
              </w:rPr>
              <w:t>0</w:t>
            </w:r>
          </w:p>
        </w:tc>
        <w:tc>
          <w:tcPr>
            <w:tcW w:w="900" w:type="dxa"/>
          </w:tcPr>
          <w:p w14:paraId="75309386" w14:textId="77777777" w:rsidR="00D10B2B" w:rsidRPr="000D1AA0" w:rsidRDefault="00D10B2B" w:rsidP="00D10B2B">
            <w:pPr>
              <w:jc w:val="center"/>
              <w:rPr>
                <w:sz w:val="20"/>
                <w:szCs w:val="20"/>
              </w:rPr>
            </w:pPr>
            <w:r>
              <w:rPr>
                <w:sz w:val="20"/>
                <w:szCs w:val="20"/>
              </w:rPr>
              <w:t>0</w:t>
            </w:r>
          </w:p>
        </w:tc>
      </w:tr>
      <w:tr w:rsidR="00D10B2B" w:rsidRPr="000D1AA0" w14:paraId="0089B40E" w14:textId="77777777" w:rsidTr="002F7E64">
        <w:tc>
          <w:tcPr>
            <w:tcW w:w="1435" w:type="dxa"/>
          </w:tcPr>
          <w:p w14:paraId="6CEC323A" w14:textId="77777777" w:rsidR="00D10B2B" w:rsidRPr="000D1AA0" w:rsidRDefault="00D10B2B" w:rsidP="00D10B2B">
            <w:pPr>
              <w:rPr>
                <w:sz w:val="20"/>
                <w:szCs w:val="20"/>
              </w:rPr>
            </w:pPr>
            <w:r w:rsidRPr="000D1AA0">
              <w:rPr>
                <w:sz w:val="20"/>
                <w:szCs w:val="20"/>
              </w:rPr>
              <w:t>Delaware</w:t>
            </w:r>
          </w:p>
        </w:tc>
        <w:tc>
          <w:tcPr>
            <w:tcW w:w="810" w:type="dxa"/>
          </w:tcPr>
          <w:p w14:paraId="3C4FCAB7" w14:textId="77777777" w:rsidR="00D10B2B" w:rsidRDefault="00D10B2B" w:rsidP="00D10B2B">
            <w:pPr>
              <w:jc w:val="center"/>
              <w:rPr>
                <w:sz w:val="20"/>
                <w:szCs w:val="20"/>
              </w:rPr>
            </w:pPr>
            <w:r>
              <w:rPr>
                <w:sz w:val="20"/>
                <w:szCs w:val="20"/>
              </w:rPr>
              <w:t>3</w:t>
            </w:r>
          </w:p>
        </w:tc>
        <w:tc>
          <w:tcPr>
            <w:tcW w:w="1260" w:type="dxa"/>
          </w:tcPr>
          <w:p w14:paraId="5C209AD5" w14:textId="77777777" w:rsidR="00D10B2B" w:rsidRDefault="005C7470" w:rsidP="00D10B2B">
            <w:pPr>
              <w:jc w:val="center"/>
              <w:rPr>
                <w:sz w:val="20"/>
                <w:szCs w:val="20"/>
              </w:rPr>
            </w:pPr>
            <w:r>
              <w:rPr>
                <w:sz w:val="20"/>
                <w:szCs w:val="20"/>
              </w:rPr>
              <w:t>0</w:t>
            </w:r>
          </w:p>
        </w:tc>
        <w:tc>
          <w:tcPr>
            <w:tcW w:w="1396" w:type="dxa"/>
          </w:tcPr>
          <w:p w14:paraId="69E0BABD" w14:textId="77777777" w:rsidR="00D10B2B" w:rsidRPr="000D1AA0" w:rsidRDefault="00D10B2B" w:rsidP="00D10B2B">
            <w:pPr>
              <w:jc w:val="center"/>
              <w:rPr>
                <w:sz w:val="20"/>
                <w:szCs w:val="20"/>
              </w:rPr>
            </w:pPr>
            <w:r>
              <w:rPr>
                <w:sz w:val="20"/>
                <w:szCs w:val="20"/>
              </w:rPr>
              <w:t>2</w:t>
            </w:r>
          </w:p>
        </w:tc>
        <w:tc>
          <w:tcPr>
            <w:tcW w:w="967" w:type="dxa"/>
          </w:tcPr>
          <w:p w14:paraId="6D68CAEF" w14:textId="77777777" w:rsidR="00D10B2B" w:rsidRPr="000D1AA0" w:rsidRDefault="00D10B2B" w:rsidP="00D10B2B">
            <w:pPr>
              <w:jc w:val="center"/>
              <w:rPr>
                <w:sz w:val="20"/>
                <w:szCs w:val="20"/>
              </w:rPr>
            </w:pPr>
            <w:r>
              <w:rPr>
                <w:sz w:val="20"/>
                <w:szCs w:val="20"/>
              </w:rPr>
              <w:t>2</w:t>
            </w:r>
          </w:p>
        </w:tc>
        <w:tc>
          <w:tcPr>
            <w:tcW w:w="967" w:type="dxa"/>
          </w:tcPr>
          <w:p w14:paraId="683E30B4" w14:textId="77777777" w:rsidR="00D10B2B" w:rsidRPr="000D1AA0" w:rsidRDefault="00D10B2B" w:rsidP="00D10B2B">
            <w:pPr>
              <w:jc w:val="center"/>
              <w:rPr>
                <w:sz w:val="20"/>
                <w:szCs w:val="20"/>
              </w:rPr>
            </w:pPr>
            <w:r>
              <w:rPr>
                <w:sz w:val="20"/>
                <w:szCs w:val="20"/>
              </w:rPr>
              <w:t>0</w:t>
            </w:r>
          </w:p>
        </w:tc>
        <w:tc>
          <w:tcPr>
            <w:tcW w:w="810" w:type="dxa"/>
          </w:tcPr>
          <w:p w14:paraId="34DF493A" w14:textId="77777777" w:rsidR="00D10B2B" w:rsidRPr="000D1AA0" w:rsidRDefault="00D10B2B" w:rsidP="00D10B2B">
            <w:pPr>
              <w:jc w:val="center"/>
              <w:rPr>
                <w:sz w:val="20"/>
                <w:szCs w:val="20"/>
              </w:rPr>
            </w:pPr>
            <w:r w:rsidRPr="000D1AA0">
              <w:rPr>
                <w:sz w:val="20"/>
                <w:szCs w:val="20"/>
              </w:rPr>
              <w:t>0</w:t>
            </w:r>
          </w:p>
        </w:tc>
        <w:tc>
          <w:tcPr>
            <w:tcW w:w="990" w:type="dxa"/>
          </w:tcPr>
          <w:p w14:paraId="7508F5C2" w14:textId="77777777" w:rsidR="00D10B2B" w:rsidRPr="000D1AA0" w:rsidRDefault="00D10B2B" w:rsidP="00D10B2B">
            <w:pPr>
              <w:jc w:val="center"/>
              <w:rPr>
                <w:sz w:val="20"/>
                <w:szCs w:val="20"/>
              </w:rPr>
            </w:pPr>
            <w:r w:rsidRPr="000D1AA0">
              <w:rPr>
                <w:sz w:val="20"/>
                <w:szCs w:val="20"/>
              </w:rPr>
              <w:t>0</w:t>
            </w:r>
          </w:p>
        </w:tc>
        <w:tc>
          <w:tcPr>
            <w:tcW w:w="900" w:type="dxa"/>
          </w:tcPr>
          <w:p w14:paraId="73C8FC73" w14:textId="77777777" w:rsidR="00D10B2B" w:rsidRPr="000D1AA0" w:rsidRDefault="00D10B2B" w:rsidP="00D10B2B">
            <w:pPr>
              <w:jc w:val="center"/>
              <w:rPr>
                <w:sz w:val="20"/>
                <w:szCs w:val="20"/>
              </w:rPr>
            </w:pPr>
            <w:r>
              <w:rPr>
                <w:sz w:val="20"/>
                <w:szCs w:val="20"/>
              </w:rPr>
              <w:t>0</w:t>
            </w:r>
          </w:p>
        </w:tc>
      </w:tr>
      <w:tr w:rsidR="00D10B2B" w:rsidRPr="000D1AA0" w14:paraId="546555E2" w14:textId="77777777" w:rsidTr="001A3018">
        <w:tc>
          <w:tcPr>
            <w:tcW w:w="1435" w:type="dxa"/>
          </w:tcPr>
          <w:p w14:paraId="3DCD1C55" w14:textId="77777777" w:rsidR="00D10B2B" w:rsidRDefault="00D10B2B" w:rsidP="00D10B2B">
            <w:pPr>
              <w:rPr>
                <w:sz w:val="20"/>
                <w:szCs w:val="20"/>
              </w:rPr>
            </w:pPr>
            <w:r w:rsidRPr="000D1AA0">
              <w:rPr>
                <w:sz w:val="20"/>
                <w:szCs w:val="20"/>
              </w:rPr>
              <w:t>District of Columbia</w:t>
            </w:r>
          </w:p>
        </w:tc>
        <w:tc>
          <w:tcPr>
            <w:tcW w:w="810" w:type="dxa"/>
            <w:vAlign w:val="center"/>
          </w:tcPr>
          <w:p w14:paraId="00C4B8E8" w14:textId="77777777" w:rsidR="00D10B2B" w:rsidRPr="000D1AA0" w:rsidRDefault="00D10B2B" w:rsidP="00D10B2B">
            <w:pPr>
              <w:jc w:val="center"/>
              <w:rPr>
                <w:sz w:val="20"/>
                <w:szCs w:val="20"/>
              </w:rPr>
            </w:pPr>
            <w:r>
              <w:rPr>
                <w:sz w:val="20"/>
                <w:szCs w:val="20"/>
              </w:rPr>
              <w:t>3</w:t>
            </w:r>
          </w:p>
        </w:tc>
        <w:tc>
          <w:tcPr>
            <w:tcW w:w="1260" w:type="dxa"/>
            <w:vAlign w:val="center"/>
          </w:tcPr>
          <w:p w14:paraId="15F65AED" w14:textId="77777777" w:rsidR="00D10B2B" w:rsidRPr="000D1AA0" w:rsidRDefault="005C7470" w:rsidP="00D10B2B">
            <w:pPr>
              <w:jc w:val="center"/>
              <w:rPr>
                <w:sz w:val="20"/>
                <w:szCs w:val="20"/>
              </w:rPr>
            </w:pPr>
            <w:r>
              <w:rPr>
                <w:sz w:val="20"/>
                <w:szCs w:val="20"/>
              </w:rPr>
              <w:t>0</w:t>
            </w:r>
          </w:p>
        </w:tc>
        <w:tc>
          <w:tcPr>
            <w:tcW w:w="1396" w:type="dxa"/>
            <w:vAlign w:val="center"/>
          </w:tcPr>
          <w:p w14:paraId="270AE3E2" w14:textId="77777777" w:rsidR="00D10B2B" w:rsidRDefault="00D10B2B" w:rsidP="00D10B2B">
            <w:pPr>
              <w:jc w:val="center"/>
              <w:rPr>
                <w:sz w:val="20"/>
                <w:szCs w:val="20"/>
              </w:rPr>
            </w:pPr>
            <w:r w:rsidRPr="000D1AA0">
              <w:rPr>
                <w:sz w:val="20"/>
                <w:szCs w:val="20"/>
              </w:rPr>
              <w:t>1</w:t>
            </w:r>
          </w:p>
        </w:tc>
        <w:tc>
          <w:tcPr>
            <w:tcW w:w="967" w:type="dxa"/>
            <w:vAlign w:val="center"/>
          </w:tcPr>
          <w:p w14:paraId="67D51367" w14:textId="77777777" w:rsidR="00D10B2B" w:rsidRDefault="00D10B2B" w:rsidP="00D10B2B">
            <w:pPr>
              <w:jc w:val="center"/>
              <w:rPr>
                <w:sz w:val="20"/>
                <w:szCs w:val="20"/>
              </w:rPr>
            </w:pPr>
            <w:r>
              <w:rPr>
                <w:sz w:val="20"/>
                <w:szCs w:val="20"/>
              </w:rPr>
              <w:t>1</w:t>
            </w:r>
          </w:p>
        </w:tc>
        <w:tc>
          <w:tcPr>
            <w:tcW w:w="967" w:type="dxa"/>
            <w:vAlign w:val="center"/>
          </w:tcPr>
          <w:p w14:paraId="745644BF" w14:textId="77777777" w:rsidR="00D10B2B" w:rsidRDefault="00D10B2B" w:rsidP="00D10B2B">
            <w:pPr>
              <w:jc w:val="center"/>
              <w:rPr>
                <w:sz w:val="20"/>
                <w:szCs w:val="20"/>
              </w:rPr>
            </w:pPr>
            <w:r>
              <w:rPr>
                <w:sz w:val="20"/>
                <w:szCs w:val="20"/>
              </w:rPr>
              <w:t>0</w:t>
            </w:r>
          </w:p>
        </w:tc>
        <w:tc>
          <w:tcPr>
            <w:tcW w:w="810" w:type="dxa"/>
            <w:vAlign w:val="center"/>
          </w:tcPr>
          <w:p w14:paraId="2C985251" w14:textId="77777777" w:rsidR="00D10B2B" w:rsidRDefault="00D10B2B" w:rsidP="00D10B2B">
            <w:pPr>
              <w:jc w:val="center"/>
              <w:rPr>
                <w:sz w:val="20"/>
                <w:szCs w:val="20"/>
              </w:rPr>
            </w:pPr>
            <w:r w:rsidRPr="000D1AA0">
              <w:rPr>
                <w:sz w:val="20"/>
                <w:szCs w:val="20"/>
              </w:rPr>
              <w:t>0</w:t>
            </w:r>
          </w:p>
        </w:tc>
        <w:tc>
          <w:tcPr>
            <w:tcW w:w="990" w:type="dxa"/>
            <w:vAlign w:val="center"/>
          </w:tcPr>
          <w:p w14:paraId="6A9ABBE0" w14:textId="77777777" w:rsidR="00D10B2B" w:rsidRDefault="00D10B2B" w:rsidP="00D10B2B">
            <w:pPr>
              <w:jc w:val="center"/>
              <w:rPr>
                <w:sz w:val="20"/>
                <w:szCs w:val="20"/>
              </w:rPr>
            </w:pPr>
            <w:r w:rsidRPr="000D1AA0">
              <w:rPr>
                <w:sz w:val="20"/>
                <w:szCs w:val="20"/>
              </w:rPr>
              <w:t>0</w:t>
            </w:r>
          </w:p>
        </w:tc>
        <w:tc>
          <w:tcPr>
            <w:tcW w:w="900" w:type="dxa"/>
            <w:vAlign w:val="center"/>
          </w:tcPr>
          <w:p w14:paraId="4D266108" w14:textId="77777777" w:rsidR="00D10B2B" w:rsidRDefault="00D10B2B" w:rsidP="00D10B2B">
            <w:pPr>
              <w:jc w:val="center"/>
              <w:rPr>
                <w:sz w:val="20"/>
                <w:szCs w:val="20"/>
              </w:rPr>
            </w:pPr>
            <w:r>
              <w:rPr>
                <w:sz w:val="20"/>
                <w:szCs w:val="20"/>
              </w:rPr>
              <w:t>0</w:t>
            </w:r>
          </w:p>
        </w:tc>
      </w:tr>
      <w:tr w:rsidR="00D10B2B" w:rsidRPr="000D1AA0" w14:paraId="0F1F2452" w14:textId="77777777" w:rsidTr="002F7E64">
        <w:tc>
          <w:tcPr>
            <w:tcW w:w="1435" w:type="dxa"/>
          </w:tcPr>
          <w:p w14:paraId="4E9CA11B" w14:textId="77777777" w:rsidR="00D10B2B" w:rsidRDefault="00D10B2B" w:rsidP="00D10B2B">
            <w:pPr>
              <w:rPr>
                <w:sz w:val="20"/>
                <w:szCs w:val="20"/>
              </w:rPr>
            </w:pPr>
            <w:r>
              <w:rPr>
                <w:sz w:val="20"/>
                <w:szCs w:val="20"/>
              </w:rPr>
              <w:t>Georgia</w:t>
            </w:r>
          </w:p>
        </w:tc>
        <w:tc>
          <w:tcPr>
            <w:tcW w:w="810" w:type="dxa"/>
          </w:tcPr>
          <w:p w14:paraId="69DD7920" w14:textId="77777777" w:rsidR="00D10B2B" w:rsidRDefault="00D10B2B" w:rsidP="00D10B2B">
            <w:pPr>
              <w:jc w:val="center"/>
              <w:rPr>
                <w:sz w:val="20"/>
                <w:szCs w:val="20"/>
              </w:rPr>
            </w:pPr>
            <w:r>
              <w:rPr>
                <w:sz w:val="20"/>
                <w:szCs w:val="20"/>
              </w:rPr>
              <w:t>4</w:t>
            </w:r>
          </w:p>
        </w:tc>
        <w:tc>
          <w:tcPr>
            <w:tcW w:w="1260" w:type="dxa"/>
          </w:tcPr>
          <w:p w14:paraId="707CA52D" w14:textId="77777777" w:rsidR="00D10B2B" w:rsidRDefault="00D10B2B" w:rsidP="00D10B2B">
            <w:pPr>
              <w:jc w:val="center"/>
              <w:rPr>
                <w:sz w:val="20"/>
                <w:szCs w:val="20"/>
              </w:rPr>
            </w:pPr>
            <w:r>
              <w:rPr>
                <w:sz w:val="20"/>
                <w:szCs w:val="20"/>
              </w:rPr>
              <w:t>1</w:t>
            </w:r>
          </w:p>
        </w:tc>
        <w:tc>
          <w:tcPr>
            <w:tcW w:w="1396" w:type="dxa"/>
          </w:tcPr>
          <w:p w14:paraId="78D9A668" w14:textId="77777777" w:rsidR="00D10B2B" w:rsidRDefault="00D10B2B" w:rsidP="00D10B2B">
            <w:pPr>
              <w:jc w:val="center"/>
              <w:rPr>
                <w:sz w:val="20"/>
                <w:szCs w:val="20"/>
              </w:rPr>
            </w:pPr>
            <w:r>
              <w:rPr>
                <w:sz w:val="20"/>
                <w:szCs w:val="20"/>
              </w:rPr>
              <w:t>0</w:t>
            </w:r>
          </w:p>
        </w:tc>
        <w:tc>
          <w:tcPr>
            <w:tcW w:w="967" w:type="dxa"/>
          </w:tcPr>
          <w:p w14:paraId="50D1D5BF" w14:textId="77777777" w:rsidR="00D10B2B" w:rsidRDefault="00D10B2B" w:rsidP="00D10B2B">
            <w:pPr>
              <w:jc w:val="center"/>
              <w:rPr>
                <w:sz w:val="20"/>
                <w:szCs w:val="20"/>
              </w:rPr>
            </w:pPr>
            <w:r>
              <w:rPr>
                <w:sz w:val="20"/>
                <w:szCs w:val="20"/>
              </w:rPr>
              <w:t>0</w:t>
            </w:r>
          </w:p>
        </w:tc>
        <w:tc>
          <w:tcPr>
            <w:tcW w:w="967" w:type="dxa"/>
          </w:tcPr>
          <w:p w14:paraId="1D01E4DE" w14:textId="77777777" w:rsidR="00D10B2B" w:rsidRDefault="00D10B2B" w:rsidP="00D10B2B">
            <w:pPr>
              <w:jc w:val="center"/>
              <w:rPr>
                <w:sz w:val="20"/>
                <w:szCs w:val="20"/>
              </w:rPr>
            </w:pPr>
            <w:r>
              <w:rPr>
                <w:sz w:val="20"/>
                <w:szCs w:val="20"/>
              </w:rPr>
              <w:t>0</w:t>
            </w:r>
          </w:p>
        </w:tc>
        <w:tc>
          <w:tcPr>
            <w:tcW w:w="810" w:type="dxa"/>
          </w:tcPr>
          <w:p w14:paraId="6CB5E260" w14:textId="77777777" w:rsidR="00D10B2B" w:rsidRDefault="00D10B2B" w:rsidP="00D10B2B">
            <w:pPr>
              <w:jc w:val="center"/>
              <w:rPr>
                <w:sz w:val="20"/>
                <w:szCs w:val="20"/>
              </w:rPr>
            </w:pPr>
            <w:r>
              <w:rPr>
                <w:sz w:val="20"/>
                <w:szCs w:val="20"/>
              </w:rPr>
              <w:t>0</w:t>
            </w:r>
          </w:p>
        </w:tc>
        <w:tc>
          <w:tcPr>
            <w:tcW w:w="990" w:type="dxa"/>
          </w:tcPr>
          <w:p w14:paraId="18BA72E4" w14:textId="77777777" w:rsidR="00D10B2B" w:rsidRDefault="00D10B2B" w:rsidP="00D10B2B">
            <w:pPr>
              <w:jc w:val="center"/>
              <w:rPr>
                <w:sz w:val="20"/>
                <w:szCs w:val="20"/>
              </w:rPr>
            </w:pPr>
            <w:r>
              <w:rPr>
                <w:sz w:val="20"/>
                <w:szCs w:val="20"/>
              </w:rPr>
              <w:t>0</w:t>
            </w:r>
          </w:p>
        </w:tc>
        <w:tc>
          <w:tcPr>
            <w:tcW w:w="900" w:type="dxa"/>
          </w:tcPr>
          <w:p w14:paraId="43D64B9A" w14:textId="77777777" w:rsidR="00D10B2B" w:rsidRDefault="00D10B2B" w:rsidP="00D10B2B">
            <w:pPr>
              <w:jc w:val="center"/>
              <w:rPr>
                <w:sz w:val="20"/>
                <w:szCs w:val="20"/>
              </w:rPr>
            </w:pPr>
            <w:r>
              <w:rPr>
                <w:sz w:val="20"/>
                <w:szCs w:val="20"/>
              </w:rPr>
              <w:t>0</w:t>
            </w:r>
          </w:p>
        </w:tc>
      </w:tr>
      <w:tr w:rsidR="00D10B2B" w:rsidRPr="000D1AA0" w14:paraId="273E01F4" w14:textId="77777777" w:rsidTr="002F7E64">
        <w:tc>
          <w:tcPr>
            <w:tcW w:w="1435" w:type="dxa"/>
          </w:tcPr>
          <w:p w14:paraId="38C11B4E" w14:textId="77777777" w:rsidR="00D10B2B" w:rsidRDefault="00D10B2B" w:rsidP="00D10B2B">
            <w:pPr>
              <w:rPr>
                <w:sz w:val="20"/>
                <w:szCs w:val="20"/>
              </w:rPr>
            </w:pPr>
            <w:r>
              <w:rPr>
                <w:sz w:val="20"/>
                <w:szCs w:val="20"/>
              </w:rPr>
              <w:t>Illinois</w:t>
            </w:r>
          </w:p>
        </w:tc>
        <w:tc>
          <w:tcPr>
            <w:tcW w:w="810" w:type="dxa"/>
          </w:tcPr>
          <w:p w14:paraId="63415E0B" w14:textId="77777777" w:rsidR="00D10B2B" w:rsidRDefault="00D10B2B" w:rsidP="00D10B2B">
            <w:pPr>
              <w:jc w:val="center"/>
              <w:rPr>
                <w:sz w:val="20"/>
                <w:szCs w:val="20"/>
              </w:rPr>
            </w:pPr>
            <w:r>
              <w:rPr>
                <w:sz w:val="20"/>
                <w:szCs w:val="20"/>
              </w:rPr>
              <w:t>5</w:t>
            </w:r>
          </w:p>
        </w:tc>
        <w:tc>
          <w:tcPr>
            <w:tcW w:w="1260" w:type="dxa"/>
          </w:tcPr>
          <w:p w14:paraId="5DC1BC9D" w14:textId="77777777" w:rsidR="00D10B2B" w:rsidRDefault="005C7470" w:rsidP="00D10B2B">
            <w:pPr>
              <w:jc w:val="center"/>
              <w:rPr>
                <w:sz w:val="20"/>
                <w:szCs w:val="20"/>
              </w:rPr>
            </w:pPr>
            <w:r>
              <w:rPr>
                <w:sz w:val="20"/>
                <w:szCs w:val="20"/>
              </w:rPr>
              <w:t>0</w:t>
            </w:r>
          </w:p>
        </w:tc>
        <w:tc>
          <w:tcPr>
            <w:tcW w:w="1396" w:type="dxa"/>
          </w:tcPr>
          <w:p w14:paraId="6C6DAD19" w14:textId="77777777" w:rsidR="00D10B2B" w:rsidRDefault="00D10B2B" w:rsidP="00D10B2B">
            <w:pPr>
              <w:jc w:val="center"/>
              <w:rPr>
                <w:sz w:val="20"/>
                <w:szCs w:val="20"/>
              </w:rPr>
            </w:pPr>
            <w:r>
              <w:rPr>
                <w:sz w:val="20"/>
                <w:szCs w:val="20"/>
              </w:rPr>
              <w:t>2</w:t>
            </w:r>
          </w:p>
        </w:tc>
        <w:tc>
          <w:tcPr>
            <w:tcW w:w="967" w:type="dxa"/>
          </w:tcPr>
          <w:p w14:paraId="46967EA9" w14:textId="77777777" w:rsidR="00D10B2B" w:rsidRDefault="00D10B2B" w:rsidP="00D10B2B">
            <w:pPr>
              <w:jc w:val="center"/>
              <w:rPr>
                <w:sz w:val="20"/>
                <w:szCs w:val="20"/>
              </w:rPr>
            </w:pPr>
            <w:r>
              <w:rPr>
                <w:sz w:val="20"/>
                <w:szCs w:val="20"/>
              </w:rPr>
              <w:t>1</w:t>
            </w:r>
          </w:p>
        </w:tc>
        <w:tc>
          <w:tcPr>
            <w:tcW w:w="967" w:type="dxa"/>
          </w:tcPr>
          <w:p w14:paraId="1685E680" w14:textId="77777777" w:rsidR="00D10B2B" w:rsidRDefault="00D10B2B" w:rsidP="00D10B2B">
            <w:pPr>
              <w:jc w:val="center"/>
              <w:rPr>
                <w:sz w:val="20"/>
                <w:szCs w:val="20"/>
              </w:rPr>
            </w:pPr>
            <w:r>
              <w:rPr>
                <w:sz w:val="20"/>
                <w:szCs w:val="20"/>
              </w:rPr>
              <w:t>1</w:t>
            </w:r>
          </w:p>
        </w:tc>
        <w:tc>
          <w:tcPr>
            <w:tcW w:w="810" w:type="dxa"/>
          </w:tcPr>
          <w:p w14:paraId="29E86C75" w14:textId="77777777" w:rsidR="00D10B2B" w:rsidRDefault="00D10B2B" w:rsidP="00D10B2B">
            <w:pPr>
              <w:jc w:val="center"/>
              <w:rPr>
                <w:sz w:val="20"/>
                <w:szCs w:val="20"/>
              </w:rPr>
            </w:pPr>
            <w:r>
              <w:rPr>
                <w:sz w:val="20"/>
                <w:szCs w:val="20"/>
              </w:rPr>
              <w:t>0</w:t>
            </w:r>
          </w:p>
        </w:tc>
        <w:tc>
          <w:tcPr>
            <w:tcW w:w="990" w:type="dxa"/>
          </w:tcPr>
          <w:p w14:paraId="54958192" w14:textId="77777777" w:rsidR="00D10B2B" w:rsidRDefault="00D10B2B" w:rsidP="00D10B2B">
            <w:pPr>
              <w:jc w:val="center"/>
              <w:rPr>
                <w:sz w:val="20"/>
                <w:szCs w:val="20"/>
              </w:rPr>
            </w:pPr>
            <w:r>
              <w:rPr>
                <w:sz w:val="20"/>
                <w:szCs w:val="20"/>
              </w:rPr>
              <w:t>0</w:t>
            </w:r>
          </w:p>
        </w:tc>
        <w:tc>
          <w:tcPr>
            <w:tcW w:w="900" w:type="dxa"/>
          </w:tcPr>
          <w:p w14:paraId="0698994E" w14:textId="77777777" w:rsidR="00D10B2B" w:rsidRDefault="00D10B2B" w:rsidP="00D10B2B">
            <w:pPr>
              <w:jc w:val="center"/>
              <w:rPr>
                <w:sz w:val="20"/>
                <w:szCs w:val="20"/>
              </w:rPr>
            </w:pPr>
            <w:r>
              <w:rPr>
                <w:sz w:val="20"/>
                <w:szCs w:val="20"/>
              </w:rPr>
              <w:t>0</w:t>
            </w:r>
          </w:p>
        </w:tc>
      </w:tr>
      <w:tr w:rsidR="00D10B2B" w:rsidRPr="000D1AA0" w14:paraId="623432E6" w14:textId="77777777" w:rsidTr="002F7E64">
        <w:tc>
          <w:tcPr>
            <w:tcW w:w="1435" w:type="dxa"/>
          </w:tcPr>
          <w:p w14:paraId="10DDC576" w14:textId="77777777" w:rsidR="00D10B2B" w:rsidRDefault="00D10B2B" w:rsidP="00D10B2B">
            <w:pPr>
              <w:rPr>
                <w:sz w:val="20"/>
                <w:szCs w:val="20"/>
              </w:rPr>
            </w:pPr>
            <w:r>
              <w:rPr>
                <w:sz w:val="20"/>
                <w:szCs w:val="20"/>
              </w:rPr>
              <w:t>Indiana</w:t>
            </w:r>
          </w:p>
        </w:tc>
        <w:tc>
          <w:tcPr>
            <w:tcW w:w="810" w:type="dxa"/>
          </w:tcPr>
          <w:p w14:paraId="26ECEED9" w14:textId="77777777" w:rsidR="00D10B2B" w:rsidRDefault="00D10B2B" w:rsidP="00D10B2B">
            <w:pPr>
              <w:jc w:val="center"/>
              <w:rPr>
                <w:sz w:val="20"/>
                <w:szCs w:val="20"/>
              </w:rPr>
            </w:pPr>
            <w:r>
              <w:rPr>
                <w:sz w:val="20"/>
                <w:szCs w:val="20"/>
              </w:rPr>
              <w:t>5</w:t>
            </w:r>
          </w:p>
        </w:tc>
        <w:tc>
          <w:tcPr>
            <w:tcW w:w="1260" w:type="dxa"/>
          </w:tcPr>
          <w:p w14:paraId="6A93D066" w14:textId="77777777" w:rsidR="00D10B2B" w:rsidRDefault="00D10B2B" w:rsidP="00D10B2B">
            <w:pPr>
              <w:jc w:val="center"/>
              <w:rPr>
                <w:sz w:val="20"/>
                <w:szCs w:val="20"/>
              </w:rPr>
            </w:pPr>
            <w:r>
              <w:rPr>
                <w:sz w:val="20"/>
                <w:szCs w:val="20"/>
              </w:rPr>
              <w:t>1</w:t>
            </w:r>
          </w:p>
        </w:tc>
        <w:tc>
          <w:tcPr>
            <w:tcW w:w="1396" w:type="dxa"/>
          </w:tcPr>
          <w:p w14:paraId="43AEC387" w14:textId="77777777" w:rsidR="00D10B2B" w:rsidRDefault="00D10B2B" w:rsidP="00D10B2B">
            <w:pPr>
              <w:jc w:val="center"/>
              <w:rPr>
                <w:sz w:val="20"/>
                <w:szCs w:val="20"/>
              </w:rPr>
            </w:pPr>
            <w:r>
              <w:rPr>
                <w:sz w:val="20"/>
                <w:szCs w:val="20"/>
              </w:rPr>
              <w:t>1</w:t>
            </w:r>
          </w:p>
        </w:tc>
        <w:tc>
          <w:tcPr>
            <w:tcW w:w="967" w:type="dxa"/>
          </w:tcPr>
          <w:p w14:paraId="228FF028" w14:textId="77777777" w:rsidR="00D10B2B" w:rsidRDefault="00D10B2B" w:rsidP="00D10B2B">
            <w:pPr>
              <w:jc w:val="center"/>
              <w:rPr>
                <w:sz w:val="20"/>
                <w:szCs w:val="20"/>
              </w:rPr>
            </w:pPr>
            <w:r>
              <w:rPr>
                <w:sz w:val="20"/>
                <w:szCs w:val="20"/>
              </w:rPr>
              <w:t>0</w:t>
            </w:r>
          </w:p>
        </w:tc>
        <w:tc>
          <w:tcPr>
            <w:tcW w:w="967" w:type="dxa"/>
          </w:tcPr>
          <w:p w14:paraId="06FCE768" w14:textId="77777777" w:rsidR="00D10B2B" w:rsidRDefault="00D10B2B" w:rsidP="00D10B2B">
            <w:pPr>
              <w:jc w:val="center"/>
              <w:rPr>
                <w:sz w:val="20"/>
                <w:szCs w:val="20"/>
              </w:rPr>
            </w:pPr>
            <w:r>
              <w:rPr>
                <w:sz w:val="20"/>
                <w:szCs w:val="20"/>
              </w:rPr>
              <w:t>1</w:t>
            </w:r>
          </w:p>
        </w:tc>
        <w:tc>
          <w:tcPr>
            <w:tcW w:w="810" w:type="dxa"/>
          </w:tcPr>
          <w:p w14:paraId="2F462F17" w14:textId="77777777" w:rsidR="00D10B2B" w:rsidRDefault="00D10B2B" w:rsidP="00D10B2B">
            <w:pPr>
              <w:jc w:val="center"/>
              <w:rPr>
                <w:sz w:val="20"/>
                <w:szCs w:val="20"/>
              </w:rPr>
            </w:pPr>
            <w:r>
              <w:rPr>
                <w:sz w:val="20"/>
                <w:szCs w:val="20"/>
              </w:rPr>
              <w:t>0</w:t>
            </w:r>
          </w:p>
        </w:tc>
        <w:tc>
          <w:tcPr>
            <w:tcW w:w="990" w:type="dxa"/>
          </w:tcPr>
          <w:p w14:paraId="32894293" w14:textId="77777777" w:rsidR="00D10B2B" w:rsidRDefault="00D10B2B" w:rsidP="00D10B2B">
            <w:pPr>
              <w:jc w:val="center"/>
              <w:rPr>
                <w:sz w:val="20"/>
                <w:szCs w:val="20"/>
              </w:rPr>
            </w:pPr>
            <w:r>
              <w:rPr>
                <w:sz w:val="20"/>
                <w:szCs w:val="20"/>
              </w:rPr>
              <w:t>0</w:t>
            </w:r>
          </w:p>
        </w:tc>
        <w:tc>
          <w:tcPr>
            <w:tcW w:w="900" w:type="dxa"/>
          </w:tcPr>
          <w:p w14:paraId="56CBC43D" w14:textId="77777777" w:rsidR="00D10B2B" w:rsidRDefault="00D10B2B" w:rsidP="00D10B2B">
            <w:pPr>
              <w:jc w:val="center"/>
              <w:rPr>
                <w:sz w:val="20"/>
                <w:szCs w:val="20"/>
              </w:rPr>
            </w:pPr>
            <w:r>
              <w:rPr>
                <w:sz w:val="20"/>
                <w:szCs w:val="20"/>
              </w:rPr>
              <w:t>0</w:t>
            </w:r>
          </w:p>
        </w:tc>
      </w:tr>
      <w:tr w:rsidR="00D10B2B" w:rsidRPr="000D1AA0" w14:paraId="3936491D" w14:textId="77777777" w:rsidTr="002F7E64">
        <w:tc>
          <w:tcPr>
            <w:tcW w:w="1435" w:type="dxa"/>
          </w:tcPr>
          <w:p w14:paraId="07917A20" w14:textId="77777777" w:rsidR="00D10B2B" w:rsidRDefault="00D10B2B" w:rsidP="00D10B2B">
            <w:pPr>
              <w:rPr>
                <w:sz w:val="20"/>
                <w:szCs w:val="20"/>
              </w:rPr>
            </w:pPr>
            <w:r>
              <w:rPr>
                <w:sz w:val="20"/>
                <w:szCs w:val="20"/>
              </w:rPr>
              <w:t>Kentucky</w:t>
            </w:r>
          </w:p>
        </w:tc>
        <w:tc>
          <w:tcPr>
            <w:tcW w:w="810" w:type="dxa"/>
          </w:tcPr>
          <w:p w14:paraId="7306C58F" w14:textId="77777777" w:rsidR="00D10B2B" w:rsidRDefault="00D10B2B" w:rsidP="00D10B2B">
            <w:pPr>
              <w:jc w:val="center"/>
              <w:rPr>
                <w:sz w:val="20"/>
                <w:szCs w:val="20"/>
              </w:rPr>
            </w:pPr>
            <w:r>
              <w:rPr>
                <w:sz w:val="20"/>
                <w:szCs w:val="20"/>
              </w:rPr>
              <w:t>4</w:t>
            </w:r>
          </w:p>
        </w:tc>
        <w:tc>
          <w:tcPr>
            <w:tcW w:w="1260" w:type="dxa"/>
          </w:tcPr>
          <w:p w14:paraId="65D5F808" w14:textId="77777777" w:rsidR="00D10B2B" w:rsidRDefault="00D10B2B" w:rsidP="00D10B2B">
            <w:pPr>
              <w:jc w:val="center"/>
              <w:rPr>
                <w:sz w:val="20"/>
                <w:szCs w:val="20"/>
              </w:rPr>
            </w:pPr>
            <w:r>
              <w:rPr>
                <w:sz w:val="20"/>
                <w:szCs w:val="20"/>
              </w:rPr>
              <w:t>1</w:t>
            </w:r>
          </w:p>
        </w:tc>
        <w:tc>
          <w:tcPr>
            <w:tcW w:w="1396" w:type="dxa"/>
          </w:tcPr>
          <w:p w14:paraId="5C993920" w14:textId="77777777" w:rsidR="00D10B2B" w:rsidRDefault="00D10B2B" w:rsidP="00D10B2B">
            <w:pPr>
              <w:jc w:val="center"/>
              <w:rPr>
                <w:sz w:val="20"/>
                <w:szCs w:val="20"/>
              </w:rPr>
            </w:pPr>
            <w:r>
              <w:rPr>
                <w:sz w:val="20"/>
                <w:szCs w:val="20"/>
              </w:rPr>
              <w:t>0</w:t>
            </w:r>
          </w:p>
        </w:tc>
        <w:tc>
          <w:tcPr>
            <w:tcW w:w="967" w:type="dxa"/>
          </w:tcPr>
          <w:p w14:paraId="7D3161E1" w14:textId="77777777" w:rsidR="00D10B2B" w:rsidRDefault="00D10B2B" w:rsidP="00D10B2B">
            <w:pPr>
              <w:jc w:val="center"/>
              <w:rPr>
                <w:sz w:val="20"/>
                <w:szCs w:val="20"/>
              </w:rPr>
            </w:pPr>
            <w:r>
              <w:rPr>
                <w:sz w:val="20"/>
                <w:szCs w:val="20"/>
              </w:rPr>
              <w:t>0</w:t>
            </w:r>
          </w:p>
        </w:tc>
        <w:tc>
          <w:tcPr>
            <w:tcW w:w="967" w:type="dxa"/>
          </w:tcPr>
          <w:p w14:paraId="6A84EC19" w14:textId="77777777" w:rsidR="00D10B2B" w:rsidRDefault="00D10B2B" w:rsidP="00D10B2B">
            <w:pPr>
              <w:jc w:val="center"/>
              <w:rPr>
                <w:sz w:val="20"/>
                <w:szCs w:val="20"/>
              </w:rPr>
            </w:pPr>
            <w:r>
              <w:rPr>
                <w:sz w:val="20"/>
                <w:szCs w:val="20"/>
              </w:rPr>
              <w:t>0</w:t>
            </w:r>
          </w:p>
        </w:tc>
        <w:tc>
          <w:tcPr>
            <w:tcW w:w="810" w:type="dxa"/>
          </w:tcPr>
          <w:p w14:paraId="08626290" w14:textId="77777777" w:rsidR="00D10B2B" w:rsidRDefault="00D10B2B" w:rsidP="00D10B2B">
            <w:pPr>
              <w:jc w:val="center"/>
              <w:rPr>
                <w:sz w:val="20"/>
                <w:szCs w:val="20"/>
              </w:rPr>
            </w:pPr>
            <w:r>
              <w:rPr>
                <w:sz w:val="20"/>
                <w:szCs w:val="20"/>
              </w:rPr>
              <w:t>0</w:t>
            </w:r>
          </w:p>
        </w:tc>
        <w:tc>
          <w:tcPr>
            <w:tcW w:w="990" w:type="dxa"/>
          </w:tcPr>
          <w:p w14:paraId="416BDBDF" w14:textId="77777777" w:rsidR="00D10B2B" w:rsidRDefault="00D10B2B" w:rsidP="00D10B2B">
            <w:pPr>
              <w:jc w:val="center"/>
              <w:rPr>
                <w:sz w:val="20"/>
                <w:szCs w:val="20"/>
              </w:rPr>
            </w:pPr>
            <w:r>
              <w:rPr>
                <w:sz w:val="20"/>
                <w:szCs w:val="20"/>
              </w:rPr>
              <w:t>0</w:t>
            </w:r>
          </w:p>
        </w:tc>
        <w:tc>
          <w:tcPr>
            <w:tcW w:w="900" w:type="dxa"/>
          </w:tcPr>
          <w:p w14:paraId="61DEBE45" w14:textId="77777777" w:rsidR="00D10B2B" w:rsidRDefault="00D10B2B" w:rsidP="00D10B2B">
            <w:pPr>
              <w:jc w:val="center"/>
              <w:rPr>
                <w:sz w:val="20"/>
                <w:szCs w:val="20"/>
              </w:rPr>
            </w:pPr>
            <w:r>
              <w:rPr>
                <w:sz w:val="20"/>
                <w:szCs w:val="20"/>
              </w:rPr>
              <w:t>0</w:t>
            </w:r>
          </w:p>
        </w:tc>
      </w:tr>
      <w:tr w:rsidR="00D10B2B" w:rsidRPr="000D1AA0" w14:paraId="5DF590DC" w14:textId="77777777" w:rsidTr="002F7E64">
        <w:tc>
          <w:tcPr>
            <w:tcW w:w="1435" w:type="dxa"/>
          </w:tcPr>
          <w:p w14:paraId="729FB486" w14:textId="77777777" w:rsidR="00D10B2B" w:rsidRDefault="00D10B2B" w:rsidP="00D10B2B">
            <w:pPr>
              <w:rPr>
                <w:sz w:val="20"/>
                <w:szCs w:val="20"/>
              </w:rPr>
            </w:pPr>
            <w:r>
              <w:rPr>
                <w:sz w:val="20"/>
                <w:szCs w:val="20"/>
              </w:rPr>
              <w:t>Louisiana</w:t>
            </w:r>
          </w:p>
        </w:tc>
        <w:tc>
          <w:tcPr>
            <w:tcW w:w="810" w:type="dxa"/>
          </w:tcPr>
          <w:p w14:paraId="73DD7475" w14:textId="77777777" w:rsidR="00D10B2B" w:rsidRDefault="00D10B2B" w:rsidP="00D10B2B">
            <w:pPr>
              <w:jc w:val="center"/>
              <w:rPr>
                <w:sz w:val="20"/>
                <w:szCs w:val="20"/>
              </w:rPr>
            </w:pPr>
            <w:r>
              <w:rPr>
                <w:sz w:val="20"/>
                <w:szCs w:val="20"/>
              </w:rPr>
              <w:t>6</w:t>
            </w:r>
          </w:p>
        </w:tc>
        <w:tc>
          <w:tcPr>
            <w:tcW w:w="1260" w:type="dxa"/>
          </w:tcPr>
          <w:p w14:paraId="11C9AF68" w14:textId="77777777" w:rsidR="00D10B2B" w:rsidRDefault="00D10B2B" w:rsidP="00D10B2B">
            <w:pPr>
              <w:jc w:val="center"/>
              <w:rPr>
                <w:sz w:val="20"/>
                <w:szCs w:val="20"/>
              </w:rPr>
            </w:pPr>
            <w:r>
              <w:rPr>
                <w:sz w:val="20"/>
                <w:szCs w:val="20"/>
              </w:rPr>
              <w:t>1</w:t>
            </w:r>
          </w:p>
        </w:tc>
        <w:tc>
          <w:tcPr>
            <w:tcW w:w="1396" w:type="dxa"/>
          </w:tcPr>
          <w:p w14:paraId="015AE8D9" w14:textId="77777777" w:rsidR="00D10B2B" w:rsidRDefault="00D10B2B" w:rsidP="00D10B2B">
            <w:pPr>
              <w:jc w:val="center"/>
              <w:rPr>
                <w:sz w:val="20"/>
                <w:szCs w:val="20"/>
              </w:rPr>
            </w:pPr>
            <w:r>
              <w:rPr>
                <w:sz w:val="20"/>
                <w:szCs w:val="20"/>
              </w:rPr>
              <w:t>0</w:t>
            </w:r>
          </w:p>
        </w:tc>
        <w:tc>
          <w:tcPr>
            <w:tcW w:w="967" w:type="dxa"/>
          </w:tcPr>
          <w:p w14:paraId="17A38BED" w14:textId="77777777" w:rsidR="00D10B2B" w:rsidRDefault="00D10B2B" w:rsidP="00D10B2B">
            <w:pPr>
              <w:jc w:val="center"/>
              <w:rPr>
                <w:sz w:val="20"/>
                <w:szCs w:val="20"/>
              </w:rPr>
            </w:pPr>
            <w:r>
              <w:rPr>
                <w:sz w:val="20"/>
                <w:szCs w:val="20"/>
              </w:rPr>
              <w:t>0</w:t>
            </w:r>
          </w:p>
        </w:tc>
        <w:tc>
          <w:tcPr>
            <w:tcW w:w="967" w:type="dxa"/>
          </w:tcPr>
          <w:p w14:paraId="783BB453" w14:textId="77777777" w:rsidR="00D10B2B" w:rsidRDefault="00D10B2B" w:rsidP="00D10B2B">
            <w:pPr>
              <w:jc w:val="center"/>
              <w:rPr>
                <w:sz w:val="20"/>
                <w:szCs w:val="20"/>
              </w:rPr>
            </w:pPr>
            <w:r>
              <w:rPr>
                <w:sz w:val="20"/>
                <w:szCs w:val="20"/>
              </w:rPr>
              <w:t>0</w:t>
            </w:r>
          </w:p>
        </w:tc>
        <w:tc>
          <w:tcPr>
            <w:tcW w:w="810" w:type="dxa"/>
          </w:tcPr>
          <w:p w14:paraId="2581C675" w14:textId="77777777" w:rsidR="00D10B2B" w:rsidRDefault="00D10B2B" w:rsidP="00D10B2B">
            <w:pPr>
              <w:jc w:val="center"/>
              <w:rPr>
                <w:sz w:val="20"/>
                <w:szCs w:val="20"/>
              </w:rPr>
            </w:pPr>
            <w:r>
              <w:rPr>
                <w:sz w:val="20"/>
                <w:szCs w:val="20"/>
              </w:rPr>
              <w:t>0</w:t>
            </w:r>
          </w:p>
        </w:tc>
        <w:tc>
          <w:tcPr>
            <w:tcW w:w="990" w:type="dxa"/>
          </w:tcPr>
          <w:p w14:paraId="7EA740C1" w14:textId="77777777" w:rsidR="00D10B2B" w:rsidRDefault="00D10B2B" w:rsidP="00D10B2B">
            <w:pPr>
              <w:jc w:val="center"/>
              <w:rPr>
                <w:sz w:val="20"/>
                <w:szCs w:val="20"/>
              </w:rPr>
            </w:pPr>
            <w:r>
              <w:rPr>
                <w:sz w:val="20"/>
                <w:szCs w:val="20"/>
              </w:rPr>
              <w:t>0</w:t>
            </w:r>
          </w:p>
        </w:tc>
        <w:tc>
          <w:tcPr>
            <w:tcW w:w="900" w:type="dxa"/>
          </w:tcPr>
          <w:p w14:paraId="716C2C8A" w14:textId="77777777" w:rsidR="00D10B2B" w:rsidRDefault="00D10B2B" w:rsidP="00D10B2B">
            <w:pPr>
              <w:jc w:val="center"/>
              <w:rPr>
                <w:sz w:val="20"/>
                <w:szCs w:val="20"/>
              </w:rPr>
            </w:pPr>
            <w:r>
              <w:rPr>
                <w:sz w:val="20"/>
                <w:szCs w:val="20"/>
              </w:rPr>
              <w:t>0</w:t>
            </w:r>
          </w:p>
        </w:tc>
      </w:tr>
      <w:tr w:rsidR="00D10B2B" w:rsidRPr="000D1AA0" w14:paraId="47CF607F" w14:textId="77777777" w:rsidTr="002F7E64">
        <w:tc>
          <w:tcPr>
            <w:tcW w:w="1435" w:type="dxa"/>
          </w:tcPr>
          <w:p w14:paraId="30C322F6" w14:textId="77777777" w:rsidR="00D10B2B" w:rsidRPr="000D1AA0" w:rsidRDefault="00D10B2B" w:rsidP="00D10B2B">
            <w:pPr>
              <w:rPr>
                <w:sz w:val="20"/>
                <w:szCs w:val="20"/>
              </w:rPr>
            </w:pPr>
            <w:r w:rsidRPr="000D1AA0">
              <w:rPr>
                <w:sz w:val="20"/>
                <w:szCs w:val="20"/>
              </w:rPr>
              <w:t>Maryland</w:t>
            </w:r>
          </w:p>
        </w:tc>
        <w:tc>
          <w:tcPr>
            <w:tcW w:w="810" w:type="dxa"/>
          </w:tcPr>
          <w:p w14:paraId="49210571" w14:textId="77777777" w:rsidR="00D10B2B" w:rsidRDefault="00D10B2B" w:rsidP="00D10B2B">
            <w:pPr>
              <w:jc w:val="center"/>
              <w:rPr>
                <w:sz w:val="20"/>
                <w:szCs w:val="20"/>
              </w:rPr>
            </w:pPr>
            <w:r>
              <w:rPr>
                <w:sz w:val="20"/>
                <w:szCs w:val="20"/>
              </w:rPr>
              <w:t>3</w:t>
            </w:r>
          </w:p>
        </w:tc>
        <w:tc>
          <w:tcPr>
            <w:tcW w:w="1260" w:type="dxa"/>
          </w:tcPr>
          <w:p w14:paraId="12DAA43C" w14:textId="77777777" w:rsidR="00D10B2B" w:rsidRDefault="005C7470" w:rsidP="00D10B2B">
            <w:pPr>
              <w:jc w:val="center"/>
              <w:rPr>
                <w:sz w:val="20"/>
                <w:szCs w:val="20"/>
              </w:rPr>
            </w:pPr>
            <w:r>
              <w:rPr>
                <w:sz w:val="20"/>
                <w:szCs w:val="20"/>
              </w:rPr>
              <w:t>0</w:t>
            </w:r>
          </w:p>
        </w:tc>
        <w:tc>
          <w:tcPr>
            <w:tcW w:w="1396" w:type="dxa"/>
          </w:tcPr>
          <w:p w14:paraId="68DB3FA7" w14:textId="77777777" w:rsidR="00D10B2B" w:rsidRPr="000D1AA0" w:rsidRDefault="00D10B2B" w:rsidP="00D10B2B">
            <w:pPr>
              <w:jc w:val="center"/>
              <w:rPr>
                <w:sz w:val="20"/>
                <w:szCs w:val="20"/>
              </w:rPr>
            </w:pPr>
            <w:r>
              <w:rPr>
                <w:sz w:val="20"/>
                <w:szCs w:val="20"/>
              </w:rPr>
              <w:t>3</w:t>
            </w:r>
          </w:p>
        </w:tc>
        <w:tc>
          <w:tcPr>
            <w:tcW w:w="967" w:type="dxa"/>
          </w:tcPr>
          <w:p w14:paraId="3E25C9CD" w14:textId="77777777" w:rsidR="00D10B2B" w:rsidRDefault="00D10B2B" w:rsidP="00D10B2B">
            <w:pPr>
              <w:jc w:val="center"/>
              <w:rPr>
                <w:sz w:val="20"/>
                <w:szCs w:val="20"/>
              </w:rPr>
            </w:pPr>
            <w:r>
              <w:rPr>
                <w:sz w:val="20"/>
                <w:szCs w:val="20"/>
              </w:rPr>
              <w:t>2</w:t>
            </w:r>
          </w:p>
        </w:tc>
        <w:tc>
          <w:tcPr>
            <w:tcW w:w="967" w:type="dxa"/>
          </w:tcPr>
          <w:p w14:paraId="4ABB9909" w14:textId="77777777" w:rsidR="00D10B2B" w:rsidRPr="000D1AA0" w:rsidRDefault="00D10B2B" w:rsidP="00D10B2B">
            <w:pPr>
              <w:jc w:val="center"/>
              <w:rPr>
                <w:sz w:val="20"/>
                <w:szCs w:val="20"/>
              </w:rPr>
            </w:pPr>
            <w:r>
              <w:rPr>
                <w:sz w:val="20"/>
                <w:szCs w:val="20"/>
              </w:rPr>
              <w:t>1</w:t>
            </w:r>
          </w:p>
        </w:tc>
        <w:tc>
          <w:tcPr>
            <w:tcW w:w="810" w:type="dxa"/>
          </w:tcPr>
          <w:p w14:paraId="19EAC6C3" w14:textId="77777777" w:rsidR="00D10B2B" w:rsidRPr="000D1AA0" w:rsidRDefault="00D10B2B" w:rsidP="00D10B2B">
            <w:pPr>
              <w:jc w:val="center"/>
              <w:rPr>
                <w:sz w:val="20"/>
                <w:szCs w:val="20"/>
              </w:rPr>
            </w:pPr>
            <w:r>
              <w:rPr>
                <w:sz w:val="20"/>
                <w:szCs w:val="20"/>
              </w:rPr>
              <w:t>0</w:t>
            </w:r>
          </w:p>
        </w:tc>
        <w:tc>
          <w:tcPr>
            <w:tcW w:w="990" w:type="dxa"/>
          </w:tcPr>
          <w:p w14:paraId="5ED7EE2C" w14:textId="77777777" w:rsidR="00D10B2B" w:rsidRPr="000D1AA0" w:rsidRDefault="00D10B2B" w:rsidP="00D10B2B">
            <w:pPr>
              <w:jc w:val="center"/>
              <w:rPr>
                <w:sz w:val="20"/>
                <w:szCs w:val="20"/>
              </w:rPr>
            </w:pPr>
            <w:r>
              <w:rPr>
                <w:sz w:val="20"/>
                <w:szCs w:val="20"/>
              </w:rPr>
              <w:t>0</w:t>
            </w:r>
          </w:p>
        </w:tc>
        <w:tc>
          <w:tcPr>
            <w:tcW w:w="900" w:type="dxa"/>
          </w:tcPr>
          <w:p w14:paraId="1CD8E4D4" w14:textId="77777777" w:rsidR="00D10B2B" w:rsidRPr="000D1AA0" w:rsidRDefault="00D10B2B" w:rsidP="00D10B2B">
            <w:pPr>
              <w:jc w:val="center"/>
              <w:rPr>
                <w:sz w:val="20"/>
                <w:szCs w:val="20"/>
              </w:rPr>
            </w:pPr>
            <w:r>
              <w:rPr>
                <w:sz w:val="20"/>
                <w:szCs w:val="20"/>
              </w:rPr>
              <w:t>0</w:t>
            </w:r>
          </w:p>
        </w:tc>
      </w:tr>
      <w:tr w:rsidR="00D10B2B" w:rsidRPr="000D1AA0" w:rsidDel="006D74AF" w14:paraId="75A8D8E5" w14:textId="77777777" w:rsidTr="002F7E64">
        <w:tc>
          <w:tcPr>
            <w:tcW w:w="1435" w:type="dxa"/>
          </w:tcPr>
          <w:p w14:paraId="79B5CCE9" w14:textId="77777777" w:rsidR="00D10B2B" w:rsidRPr="000D1AA0" w:rsidDel="006D74AF" w:rsidRDefault="00D10B2B" w:rsidP="00D10B2B">
            <w:pPr>
              <w:rPr>
                <w:sz w:val="20"/>
                <w:szCs w:val="20"/>
              </w:rPr>
            </w:pPr>
            <w:r w:rsidRPr="000D1AA0" w:rsidDel="006D74AF">
              <w:rPr>
                <w:sz w:val="20"/>
                <w:szCs w:val="20"/>
              </w:rPr>
              <w:t>Massachusetts</w:t>
            </w:r>
          </w:p>
        </w:tc>
        <w:tc>
          <w:tcPr>
            <w:tcW w:w="810" w:type="dxa"/>
          </w:tcPr>
          <w:p w14:paraId="4E83129C" w14:textId="77777777" w:rsidR="00D10B2B" w:rsidRDefault="00D10B2B" w:rsidP="00D10B2B">
            <w:pPr>
              <w:jc w:val="center"/>
              <w:rPr>
                <w:sz w:val="20"/>
                <w:szCs w:val="20"/>
              </w:rPr>
            </w:pPr>
            <w:r>
              <w:rPr>
                <w:sz w:val="20"/>
                <w:szCs w:val="20"/>
              </w:rPr>
              <w:t>1</w:t>
            </w:r>
          </w:p>
        </w:tc>
        <w:tc>
          <w:tcPr>
            <w:tcW w:w="1260" w:type="dxa"/>
          </w:tcPr>
          <w:p w14:paraId="156DD034" w14:textId="77777777" w:rsidR="00D10B2B" w:rsidRDefault="005C7470" w:rsidP="00D10B2B">
            <w:pPr>
              <w:jc w:val="center"/>
              <w:rPr>
                <w:sz w:val="20"/>
                <w:szCs w:val="20"/>
              </w:rPr>
            </w:pPr>
            <w:r>
              <w:rPr>
                <w:sz w:val="20"/>
                <w:szCs w:val="20"/>
              </w:rPr>
              <w:t>0</w:t>
            </w:r>
          </w:p>
        </w:tc>
        <w:tc>
          <w:tcPr>
            <w:tcW w:w="1396" w:type="dxa"/>
          </w:tcPr>
          <w:p w14:paraId="30D91317" w14:textId="77777777" w:rsidR="00D10B2B" w:rsidRPr="000D1AA0" w:rsidDel="006D74AF" w:rsidRDefault="00D10B2B" w:rsidP="00D10B2B">
            <w:pPr>
              <w:jc w:val="center"/>
              <w:rPr>
                <w:sz w:val="20"/>
                <w:szCs w:val="20"/>
              </w:rPr>
            </w:pPr>
            <w:r>
              <w:rPr>
                <w:sz w:val="20"/>
                <w:szCs w:val="20"/>
              </w:rPr>
              <w:t>1</w:t>
            </w:r>
          </w:p>
        </w:tc>
        <w:tc>
          <w:tcPr>
            <w:tcW w:w="967" w:type="dxa"/>
          </w:tcPr>
          <w:p w14:paraId="12BE15AD" w14:textId="77777777" w:rsidR="00D10B2B" w:rsidDel="006D74AF" w:rsidRDefault="00D10B2B" w:rsidP="00D10B2B">
            <w:pPr>
              <w:jc w:val="center"/>
              <w:rPr>
                <w:sz w:val="20"/>
                <w:szCs w:val="20"/>
              </w:rPr>
            </w:pPr>
            <w:r>
              <w:rPr>
                <w:sz w:val="20"/>
                <w:szCs w:val="20"/>
              </w:rPr>
              <w:t>1</w:t>
            </w:r>
          </w:p>
        </w:tc>
        <w:tc>
          <w:tcPr>
            <w:tcW w:w="967" w:type="dxa"/>
          </w:tcPr>
          <w:p w14:paraId="215249CB" w14:textId="77777777" w:rsidR="00D10B2B" w:rsidRPr="000D1AA0" w:rsidDel="006D74AF" w:rsidRDefault="00D10B2B" w:rsidP="00D10B2B">
            <w:pPr>
              <w:jc w:val="center"/>
              <w:rPr>
                <w:sz w:val="20"/>
                <w:szCs w:val="20"/>
              </w:rPr>
            </w:pPr>
            <w:r>
              <w:rPr>
                <w:sz w:val="20"/>
                <w:szCs w:val="20"/>
              </w:rPr>
              <w:t>0</w:t>
            </w:r>
          </w:p>
        </w:tc>
        <w:tc>
          <w:tcPr>
            <w:tcW w:w="810" w:type="dxa"/>
          </w:tcPr>
          <w:p w14:paraId="6CE5B035" w14:textId="77777777" w:rsidR="00D10B2B" w:rsidRPr="000D1AA0" w:rsidDel="006D74AF" w:rsidRDefault="00D10B2B" w:rsidP="00D10B2B">
            <w:pPr>
              <w:jc w:val="center"/>
              <w:rPr>
                <w:sz w:val="20"/>
                <w:szCs w:val="20"/>
              </w:rPr>
            </w:pPr>
            <w:r w:rsidRPr="000D1AA0" w:rsidDel="006D74AF">
              <w:rPr>
                <w:sz w:val="20"/>
                <w:szCs w:val="20"/>
              </w:rPr>
              <w:t>0</w:t>
            </w:r>
          </w:p>
        </w:tc>
        <w:tc>
          <w:tcPr>
            <w:tcW w:w="990" w:type="dxa"/>
          </w:tcPr>
          <w:p w14:paraId="42A5DBB0" w14:textId="77777777" w:rsidR="00D10B2B" w:rsidRPr="000D1AA0" w:rsidDel="006D74AF" w:rsidRDefault="00D10B2B" w:rsidP="00D10B2B">
            <w:pPr>
              <w:jc w:val="center"/>
              <w:rPr>
                <w:sz w:val="20"/>
                <w:szCs w:val="20"/>
              </w:rPr>
            </w:pPr>
            <w:r w:rsidRPr="000D1AA0" w:rsidDel="006D74AF">
              <w:rPr>
                <w:sz w:val="20"/>
                <w:szCs w:val="20"/>
              </w:rPr>
              <w:t>0</w:t>
            </w:r>
          </w:p>
        </w:tc>
        <w:tc>
          <w:tcPr>
            <w:tcW w:w="900" w:type="dxa"/>
          </w:tcPr>
          <w:p w14:paraId="6FE9C148" w14:textId="77777777" w:rsidR="00D10B2B" w:rsidRPr="000D1AA0" w:rsidDel="006D74AF" w:rsidRDefault="00D10B2B" w:rsidP="00D10B2B">
            <w:pPr>
              <w:jc w:val="center"/>
              <w:rPr>
                <w:sz w:val="20"/>
                <w:szCs w:val="20"/>
              </w:rPr>
            </w:pPr>
            <w:r w:rsidDel="006D74AF">
              <w:rPr>
                <w:sz w:val="20"/>
                <w:szCs w:val="20"/>
              </w:rPr>
              <w:t>0</w:t>
            </w:r>
          </w:p>
        </w:tc>
      </w:tr>
      <w:tr w:rsidR="00D10B2B" w:rsidRPr="000D1AA0" w14:paraId="2FEB2B0B" w14:textId="77777777" w:rsidTr="002F7E64">
        <w:tc>
          <w:tcPr>
            <w:tcW w:w="1435" w:type="dxa"/>
          </w:tcPr>
          <w:p w14:paraId="6995BF34" w14:textId="77777777" w:rsidR="00D10B2B" w:rsidRDefault="00D10B2B" w:rsidP="00D10B2B">
            <w:pPr>
              <w:rPr>
                <w:sz w:val="20"/>
                <w:szCs w:val="20"/>
              </w:rPr>
            </w:pPr>
            <w:r>
              <w:rPr>
                <w:sz w:val="20"/>
                <w:szCs w:val="20"/>
              </w:rPr>
              <w:t>Mississippi</w:t>
            </w:r>
          </w:p>
        </w:tc>
        <w:tc>
          <w:tcPr>
            <w:tcW w:w="810" w:type="dxa"/>
          </w:tcPr>
          <w:p w14:paraId="30D50B07" w14:textId="77777777" w:rsidR="00D10B2B" w:rsidRDefault="00D10B2B" w:rsidP="00D10B2B">
            <w:pPr>
              <w:jc w:val="center"/>
              <w:rPr>
                <w:sz w:val="20"/>
                <w:szCs w:val="20"/>
              </w:rPr>
            </w:pPr>
            <w:r>
              <w:rPr>
                <w:sz w:val="20"/>
                <w:szCs w:val="20"/>
              </w:rPr>
              <w:t>4</w:t>
            </w:r>
          </w:p>
        </w:tc>
        <w:tc>
          <w:tcPr>
            <w:tcW w:w="1260" w:type="dxa"/>
          </w:tcPr>
          <w:p w14:paraId="7814DCE9" w14:textId="77777777" w:rsidR="00D10B2B" w:rsidRDefault="00D10B2B" w:rsidP="00D10B2B">
            <w:pPr>
              <w:jc w:val="center"/>
              <w:rPr>
                <w:sz w:val="20"/>
                <w:szCs w:val="20"/>
              </w:rPr>
            </w:pPr>
            <w:r>
              <w:rPr>
                <w:sz w:val="20"/>
                <w:szCs w:val="20"/>
              </w:rPr>
              <w:t>1</w:t>
            </w:r>
          </w:p>
        </w:tc>
        <w:tc>
          <w:tcPr>
            <w:tcW w:w="1396" w:type="dxa"/>
          </w:tcPr>
          <w:p w14:paraId="536BE0E3" w14:textId="77777777" w:rsidR="00D10B2B" w:rsidRDefault="00D10B2B" w:rsidP="00D10B2B">
            <w:pPr>
              <w:jc w:val="center"/>
              <w:rPr>
                <w:sz w:val="20"/>
                <w:szCs w:val="20"/>
              </w:rPr>
            </w:pPr>
            <w:r>
              <w:rPr>
                <w:sz w:val="20"/>
                <w:szCs w:val="20"/>
              </w:rPr>
              <w:t>0</w:t>
            </w:r>
          </w:p>
        </w:tc>
        <w:tc>
          <w:tcPr>
            <w:tcW w:w="967" w:type="dxa"/>
          </w:tcPr>
          <w:p w14:paraId="6C9F433F" w14:textId="77777777" w:rsidR="00D10B2B" w:rsidRDefault="00D10B2B" w:rsidP="00D10B2B">
            <w:pPr>
              <w:jc w:val="center"/>
              <w:rPr>
                <w:sz w:val="20"/>
                <w:szCs w:val="20"/>
              </w:rPr>
            </w:pPr>
            <w:r>
              <w:rPr>
                <w:sz w:val="20"/>
                <w:szCs w:val="20"/>
              </w:rPr>
              <w:t>0</w:t>
            </w:r>
          </w:p>
        </w:tc>
        <w:tc>
          <w:tcPr>
            <w:tcW w:w="967" w:type="dxa"/>
          </w:tcPr>
          <w:p w14:paraId="34E3BF79" w14:textId="77777777" w:rsidR="00D10B2B" w:rsidRDefault="00D10B2B" w:rsidP="00D10B2B">
            <w:pPr>
              <w:jc w:val="center"/>
              <w:rPr>
                <w:sz w:val="20"/>
                <w:szCs w:val="20"/>
              </w:rPr>
            </w:pPr>
            <w:r>
              <w:rPr>
                <w:sz w:val="20"/>
                <w:szCs w:val="20"/>
              </w:rPr>
              <w:t>0</w:t>
            </w:r>
          </w:p>
        </w:tc>
        <w:tc>
          <w:tcPr>
            <w:tcW w:w="810" w:type="dxa"/>
          </w:tcPr>
          <w:p w14:paraId="20355AE7" w14:textId="77777777" w:rsidR="00D10B2B" w:rsidRDefault="00D10B2B" w:rsidP="00D10B2B">
            <w:pPr>
              <w:jc w:val="center"/>
              <w:rPr>
                <w:sz w:val="20"/>
                <w:szCs w:val="20"/>
              </w:rPr>
            </w:pPr>
            <w:r>
              <w:rPr>
                <w:sz w:val="20"/>
                <w:szCs w:val="20"/>
              </w:rPr>
              <w:t>0</w:t>
            </w:r>
          </w:p>
        </w:tc>
        <w:tc>
          <w:tcPr>
            <w:tcW w:w="990" w:type="dxa"/>
          </w:tcPr>
          <w:p w14:paraId="39ED1082" w14:textId="77777777" w:rsidR="00D10B2B" w:rsidRDefault="00D10B2B" w:rsidP="00D10B2B">
            <w:pPr>
              <w:jc w:val="center"/>
              <w:rPr>
                <w:sz w:val="20"/>
                <w:szCs w:val="20"/>
              </w:rPr>
            </w:pPr>
            <w:r>
              <w:rPr>
                <w:sz w:val="20"/>
                <w:szCs w:val="20"/>
              </w:rPr>
              <w:t>0</w:t>
            </w:r>
          </w:p>
        </w:tc>
        <w:tc>
          <w:tcPr>
            <w:tcW w:w="900" w:type="dxa"/>
          </w:tcPr>
          <w:p w14:paraId="569F14BB" w14:textId="77777777" w:rsidR="00D10B2B" w:rsidRDefault="00D10B2B" w:rsidP="00D10B2B">
            <w:pPr>
              <w:jc w:val="center"/>
              <w:rPr>
                <w:sz w:val="20"/>
                <w:szCs w:val="20"/>
              </w:rPr>
            </w:pPr>
            <w:r>
              <w:rPr>
                <w:sz w:val="20"/>
                <w:szCs w:val="20"/>
              </w:rPr>
              <w:t>0</w:t>
            </w:r>
          </w:p>
        </w:tc>
      </w:tr>
      <w:tr w:rsidR="00D10B2B" w:rsidRPr="000D1AA0" w14:paraId="6E40EC31" w14:textId="77777777" w:rsidTr="002F7E64">
        <w:tc>
          <w:tcPr>
            <w:tcW w:w="1435" w:type="dxa"/>
          </w:tcPr>
          <w:p w14:paraId="6BDF080E" w14:textId="77777777" w:rsidR="00D10B2B" w:rsidRPr="000D1AA0" w:rsidRDefault="00D10B2B" w:rsidP="00D10B2B">
            <w:pPr>
              <w:rPr>
                <w:sz w:val="20"/>
                <w:szCs w:val="20"/>
              </w:rPr>
            </w:pPr>
            <w:r>
              <w:rPr>
                <w:sz w:val="20"/>
                <w:szCs w:val="20"/>
              </w:rPr>
              <w:t>Missouri</w:t>
            </w:r>
          </w:p>
        </w:tc>
        <w:tc>
          <w:tcPr>
            <w:tcW w:w="810" w:type="dxa"/>
          </w:tcPr>
          <w:p w14:paraId="6644F0BA" w14:textId="77777777" w:rsidR="00D10B2B" w:rsidRDefault="00D10B2B" w:rsidP="00D10B2B">
            <w:pPr>
              <w:jc w:val="center"/>
              <w:rPr>
                <w:sz w:val="20"/>
                <w:szCs w:val="20"/>
              </w:rPr>
            </w:pPr>
            <w:r>
              <w:rPr>
                <w:sz w:val="20"/>
                <w:szCs w:val="20"/>
              </w:rPr>
              <w:t>7</w:t>
            </w:r>
          </w:p>
        </w:tc>
        <w:tc>
          <w:tcPr>
            <w:tcW w:w="1260" w:type="dxa"/>
          </w:tcPr>
          <w:p w14:paraId="7DD40248" w14:textId="6BABF8CD" w:rsidR="00D10B2B" w:rsidRDefault="008D1C2A" w:rsidP="008D1C2A">
            <w:pPr>
              <w:jc w:val="center"/>
              <w:rPr>
                <w:sz w:val="20"/>
                <w:szCs w:val="20"/>
              </w:rPr>
            </w:pPr>
            <w:r>
              <w:rPr>
                <w:sz w:val="20"/>
                <w:szCs w:val="20"/>
              </w:rPr>
              <w:t>0</w:t>
            </w:r>
          </w:p>
        </w:tc>
        <w:tc>
          <w:tcPr>
            <w:tcW w:w="1396" w:type="dxa"/>
          </w:tcPr>
          <w:p w14:paraId="496887E1" w14:textId="3F74B40D" w:rsidR="00D10B2B" w:rsidRPr="000D1AA0" w:rsidRDefault="008D1C2A" w:rsidP="008D1C2A">
            <w:pPr>
              <w:jc w:val="center"/>
              <w:rPr>
                <w:sz w:val="20"/>
                <w:szCs w:val="20"/>
              </w:rPr>
            </w:pPr>
            <w:r>
              <w:rPr>
                <w:sz w:val="20"/>
                <w:szCs w:val="20"/>
              </w:rPr>
              <w:t>1</w:t>
            </w:r>
          </w:p>
        </w:tc>
        <w:tc>
          <w:tcPr>
            <w:tcW w:w="967" w:type="dxa"/>
          </w:tcPr>
          <w:p w14:paraId="4A31A92A" w14:textId="77777777" w:rsidR="00D10B2B" w:rsidRDefault="00D10B2B" w:rsidP="00D10B2B">
            <w:pPr>
              <w:jc w:val="center"/>
              <w:rPr>
                <w:sz w:val="20"/>
                <w:szCs w:val="20"/>
              </w:rPr>
            </w:pPr>
            <w:r>
              <w:rPr>
                <w:sz w:val="20"/>
                <w:szCs w:val="20"/>
              </w:rPr>
              <w:t>0</w:t>
            </w:r>
          </w:p>
        </w:tc>
        <w:tc>
          <w:tcPr>
            <w:tcW w:w="967" w:type="dxa"/>
          </w:tcPr>
          <w:p w14:paraId="6E3395B5" w14:textId="77777777" w:rsidR="00D10B2B" w:rsidRPr="000D1AA0" w:rsidRDefault="00D10B2B" w:rsidP="00D10B2B">
            <w:pPr>
              <w:jc w:val="center"/>
              <w:rPr>
                <w:sz w:val="20"/>
                <w:szCs w:val="20"/>
              </w:rPr>
            </w:pPr>
            <w:r>
              <w:rPr>
                <w:sz w:val="20"/>
                <w:szCs w:val="20"/>
              </w:rPr>
              <w:t>0</w:t>
            </w:r>
          </w:p>
        </w:tc>
        <w:tc>
          <w:tcPr>
            <w:tcW w:w="810" w:type="dxa"/>
          </w:tcPr>
          <w:p w14:paraId="4C033EB5" w14:textId="77777777" w:rsidR="00D10B2B" w:rsidRPr="000D1AA0" w:rsidRDefault="00D10B2B" w:rsidP="00D10B2B">
            <w:pPr>
              <w:jc w:val="center"/>
              <w:rPr>
                <w:sz w:val="20"/>
                <w:szCs w:val="20"/>
              </w:rPr>
            </w:pPr>
            <w:r>
              <w:rPr>
                <w:sz w:val="20"/>
                <w:szCs w:val="20"/>
              </w:rPr>
              <w:t>0</w:t>
            </w:r>
          </w:p>
        </w:tc>
        <w:tc>
          <w:tcPr>
            <w:tcW w:w="990" w:type="dxa"/>
          </w:tcPr>
          <w:p w14:paraId="33898CA2" w14:textId="77777777" w:rsidR="00D10B2B" w:rsidRPr="000D1AA0" w:rsidRDefault="00D10B2B" w:rsidP="00D10B2B">
            <w:pPr>
              <w:jc w:val="center"/>
              <w:rPr>
                <w:sz w:val="20"/>
                <w:szCs w:val="20"/>
              </w:rPr>
            </w:pPr>
            <w:r>
              <w:rPr>
                <w:sz w:val="20"/>
                <w:szCs w:val="20"/>
              </w:rPr>
              <w:t>0</w:t>
            </w:r>
          </w:p>
        </w:tc>
        <w:tc>
          <w:tcPr>
            <w:tcW w:w="900" w:type="dxa"/>
          </w:tcPr>
          <w:p w14:paraId="3EE4E563" w14:textId="77777777" w:rsidR="00D10B2B" w:rsidRDefault="00D10B2B" w:rsidP="00D10B2B">
            <w:pPr>
              <w:jc w:val="center"/>
              <w:rPr>
                <w:sz w:val="20"/>
                <w:szCs w:val="20"/>
              </w:rPr>
            </w:pPr>
            <w:r>
              <w:rPr>
                <w:sz w:val="20"/>
                <w:szCs w:val="20"/>
              </w:rPr>
              <w:t>0</w:t>
            </w:r>
          </w:p>
        </w:tc>
      </w:tr>
      <w:tr w:rsidR="00D10B2B" w:rsidRPr="000D1AA0" w14:paraId="5E2C8DBA" w14:textId="77777777" w:rsidTr="002F7E64">
        <w:tc>
          <w:tcPr>
            <w:tcW w:w="1435" w:type="dxa"/>
          </w:tcPr>
          <w:p w14:paraId="4BB1FCDA" w14:textId="77777777" w:rsidR="00D10B2B" w:rsidRPr="000D1AA0" w:rsidRDefault="00D10B2B" w:rsidP="00D10B2B">
            <w:pPr>
              <w:rPr>
                <w:sz w:val="20"/>
                <w:szCs w:val="20"/>
              </w:rPr>
            </w:pPr>
            <w:r w:rsidRPr="000D1AA0">
              <w:rPr>
                <w:sz w:val="20"/>
                <w:szCs w:val="20"/>
              </w:rPr>
              <w:t>New Jersey</w:t>
            </w:r>
          </w:p>
        </w:tc>
        <w:tc>
          <w:tcPr>
            <w:tcW w:w="810" w:type="dxa"/>
          </w:tcPr>
          <w:p w14:paraId="063E0427" w14:textId="77777777" w:rsidR="00D10B2B" w:rsidRPr="000D1AA0" w:rsidRDefault="00D10B2B" w:rsidP="00D10B2B">
            <w:pPr>
              <w:jc w:val="center"/>
              <w:rPr>
                <w:sz w:val="20"/>
                <w:szCs w:val="20"/>
              </w:rPr>
            </w:pPr>
            <w:r>
              <w:rPr>
                <w:sz w:val="20"/>
                <w:szCs w:val="20"/>
              </w:rPr>
              <w:t>2</w:t>
            </w:r>
          </w:p>
        </w:tc>
        <w:tc>
          <w:tcPr>
            <w:tcW w:w="1260" w:type="dxa"/>
          </w:tcPr>
          <w:p w14:paraId="1431EE30" w14:textId="77777777" w:rsidR="00D10B2B" w:rsidRPr="000D1AA0" w:rsidRDefault="005C7470" w:rsidP="00D10B2B">
            <w:pPr>
              <w:jc w:val="center"/>
              <w:rPr>
                <w:sz w:val="20"/>
                <w:szCs w:val="20"/>
              </w:rPr>
            </w:pPr>
            <w:r>
              <w:rPr>
                <w:sz w:val="20"/>
                <w:szCs w:val="20"/>
              </w:rPr>
              <w:t>0</w:t>
            </w:r>
          </w:p>
        </w:tc>
        <w:tc>
          <w:tcPr>
            <w:tcW w:w="1396" w:type="dxa"/>
          </w:tcPr>
          <w:p w14:paraId="5A8B6CBF" w14:textId="77777777" w:rsidR="00D10B2B" w:rsidRPr="000D1AA0" w:rsidRDefault="00D10B2B" w:rsidP="00D10B2B">
            <w:pPr>
              <w:jc w:val="center"/>
              <w:rPr>
                <w:sz w:val="20"/>
                <w:szCs w:val="20"/>
              </w:rPr>
            </w:pPr>
            <w:r w:rsidRPr="000D1AA0">
              <w:rPr>
                <w:sz w:val="20"/>
                <w:szCs w:val="20"/>
              </w:rPr>
              <w:t>2</w:t>
            </w:r>
          </w:p>
        </w:tc>
        <w:tc>
          <w:tcPr>
            <w:tcW w:w="967" w:type="dxa"/>
          </w:tcPr>
          <w:p w14:paraId="31D7B5E7" w14:textId="77777777" w:rsidR="00D10B2B" w:rsidRPr="000D1AA0" w:rsidRDefault="00D10B2B" w:rsidP="00D10B2B">
            <w:pPr>
              <w:jc w:val="center"/>
              <w:rPr>
                <w:sz w:val="20"/>
                <w:szCs w:val="20"/>
              </w:rPr>
            </w:pPr>
            <w:r>
              <w:rPr>
                <w:sz w:val="20"/>
                <w:szCs w:val="20"/>
              </w:rPr>
              <w:t>1</w:t>
            </w:r>
          </w:p>
        </w:tc>
        <w:tc>
          <w:tcPr>
            <w:tcW w:w="967" w:type="dxa"/>
          </w:tcPr>
          <w:p w14:paraId="3B6A2294" w14:textId="77777777" w:rsidR="00D10B2B" w:rsidRPr="000D1AA0" w:rsidRDefault="00D10B2B" w:rsidP="00D10B2B">
            <w:pPr>
              <w:jc w:val="center"/>
              <w:rPr>
                <w:sz w:val="20"/>
                <w:szCs w:val="20"/>
              </w:rPr>
            </w:pPr>
            <w:r>
              <w:rPr>
                <w:sz w:val="20"/>
                <w:szCs w:val="20"/>
              </w:rPr>
              <w:t>1</w:t>
            </w:r>
          </w:p>
        </w:tc>
        <w:tc>
          <w:tcPr>
            <w:tcW w:w="810" w:type="dxa"/>
          </w:tcPr>
          <w:p w14:paraId="71BD626D" w14:textId="77777777" w:rsidR="00D10B2B" w:rsidRPr="000D1AA0" w:rsidRDefault="00D10B2B" w:rsidP="00D10B2B">
            <w:pPr>
              <w:jc w:val="center"/>
              <w:rPr>
                <w:sz w:val="20"/>
                <w:szCs w:val="20"/>
              </w:rPr>
            </w:pPr>
            <w:r w:rsidRPr="000D1AA0">
              <w:rPr>
                <w:sz w:val="20"/>
                <w:szCs w:val="20"/>
              </w:rPr>
              <w:t>0</w:t>
            </w:r>
          </w:p>
        </w:tc>
        <w:tc>
          <w:tcPr>
            <w:tcW w:w="990" w:type="dxa"/>
          </w:tcPr>
          <w:p w14:paraId="0975E790" w14:textId="77777777" w:rsidR="00D10B2B" w:rsidRPr="000D1AA0" w:rsidRDefault="00D10B2B" w:rsidP="00D10B2B">
            <w:pPr>
              <w:jc w:val="center"/>
              <w:rPr>
                <w:sz w:val="20"/>
                <w:szCs w:val="20"/>
              </w:rPr>
            </w:pPr>
            <w:r w:rsidRPr="000D1AA0">
              <w:rPr>
                <w:sz w:val="20"/>
                <w:szCs w:val="20"/>
              </w:rPr>
              <w:t>0</w:t>
            </w:r>
          </w:p>
        </w:tc>
        <w:tc>
          <w:tcPr>
            <w:tcW w:w="900" w:type="dxa"/>
          </w:tcPr>
          <w:p w14:paraId="0B412B73" w14:textId="77777777" w:rsidR="00D10B2B" w:rsidRPr="000D1AA0" w:rsidRDefault="00D10B2B" w:rsidP="00D10B2B">
            <w:pPr>
              <w:jc w:val="center"/>
              <w:rPr>
                <w:sz w:val="20"/>
                <w:szCs w:val="20"/>
              </w:rPr>
            </w:pPr>
            <w:r>
              <w:rPr>
                <w:sz w:val="20"/>
                <w:szCs w:val="20"/>
              </w:rPr>
              <w:t>0</w:t>
            </w:r>
          </w:p>
        </w:tc>
      </w:tr>
      <w:tr w:rsidR="00D10B2B" w:rsidRPr="000D1AA0" w14:paraId="2787AB58" w14:textId="77777777" w:rsidTr="002F7E64">
        <w:tc>
          <w:tcPr>
            <w:tcW w:w="1435" w:type="dxa"/>
          </w:tcPr>
          <w:p w14:paraId="6E460630" w14:textId="77777777" w:rsidR="00D10B2B" w:rsidRPr="000D1AA0" w:rsidRDefault="00D10B2B" w:rsidP="00D10B2B">
            <w:pPr>
              <w:rPr>
                <w:sz w:val="20"/>
                <w:szCs w:val="20"/>
              </w:rPr>
            </w:pPr>
            <w:r w:rsidRPr="000D1AA0">
              <w:rPr>
                <w:sz w:val="20"/>
                <w:szCs w:val="20"/>
              </w:rPr>
              <w:t>New York</w:t>
            </w:r>
          </w:p>
        </w:tc>
        <w:tc>
          <w:tcPr>
            <w:tcW w:w="810" w:type="dxa"/>
          </w:tcPr>
          <w:p w14:paraId="0F6855AD" w14:textId="77777777" w:rsidR="00D10B2B" w:rsidRDefault="00D10B2B" w:rsidP="00D10B2B">
            <w:pPr>
              <w:jc w:val="center"/>
              <w:rPr>
                <w:sz w:val="20"/>
                <w:szCs w:val="20"/>
              </w:rPr>
            </w:pPr>
            <w:r>
              <w:rPr>
                <w:sz w:val="20"/>
                <w:szCs w:val="20"/>
              </w:rPr>
              <w:t>2</w:t>
            </w:r>
          </w:p>
        </w:tc>
        <w:tc>
          <w:tcPr>
            <w:tcW w:w="1260" w:type="dxa"/>
          </w:tcPr>
          <w:p w14:paraId="30AB999A" w14:textId="77777777" w:rsidR="00D10B2B" w:rsidRDefault="005C7470" w:rsidP="00D10B2B">
            <w:pPr>
              <w:jc w:val="center"/>
              <w:rPr>
                <w:sz w:val="20"/>
                <w:szCs w:val="20"/>
              </w:rPr>
            </w:pPr>
            <w:r>
              <w:rPr>
                <w:sz w:val="20"/>
                <w:szCs w:val="20"/>
              </w:rPr>
              <w:t>0</w:t>
            </w:r>
          </w:p>
        </w:tc>
        <w:tc>
          <w:tcPr>
            <w:tcW w:w="1396" w:type="dxa"/>
          </w:tcPr>
          <w:p w14:paraId="423074EC" w14:textId="7B2C3FFE" w:rsidR="00D10B2B" w:rsidRPr="000D1AA0" w:rsidRDefault="008D1C2A" w:rsidP="008D1C2A">
            <w:pPr>
              <w:jc w:val="center"/>
              <w:rPr>
                <w:sz w:val="20"/>
                <w:szCs w:val="20"/>
              </w:rPr>
            </w:pPr>
            <w:r>
              <w:rPr>
                <w:sz w:val="20"/>
                <w:szCs w:val="20"/>
              </w:rPr>
              <w:t>2</w:t>
            </w:r>
          </w:p>
        </w:tc>
        <w:tc>
          <w:tcPr>
            <w:tcW w:w="967" w:type="dxa"/>
          </w:tcPr>
          <w:p w14:paraId="5802629E" w14:textId="77777777" w:rsidR="00D10B2B" w:rsidRDefault="00D10B2B" w:rsidP="00D10B2B">
            <w:pPr>
              <w:jc w:val="center"/>
              <w:rPr>
                <w:sz w:val="20"/>
                <w:szCs w:val="20"/>
              </w:rPr>
            </w:pPr>
            <w:r>
              <w:rPr>
                <w:sz w:val="20"/>
                <w:szCs w:val="20"/>
              </w:rPr>
              <w:t>2</w:t>
            </w:r>
          </w:p>
        </w:tc>
        <w:tc>
          <w:tcPr>
            <w:tcW w:w="967" w:type="dxa"/>
          </w:tcPr>
          <w:p w14:paraId="6E8E1BEA" w14:textId="77777777" w:rsidR="00D10B2B" w:rsidRPr="000D1AA0" w:rsidRDefault="00D10B2B" w:rsidP="00D10B2B">
            <w:pPr>
              <w:jc w:val="center"/>
              <w:rPr>
                <w:sz w:val="20"/>
                <w:szCs w:val="20"/>
              </w:rPr>
            </w:pPr>
            <w:r>
              <w:rPr>
                <w:sz w:val="20"/>
                <w:szCs w:val="20"/>
              </w:rPr>
              <w:t>1</w:t>
            </w:r>
          </w:p>
        </w:tc>
        <w:tc>
          <w:tcPr>
            <w:tcW w:w="810" w:type="dxa"/>
          </w:tcPr>
          <w:p w14:paraId="5CD1DC03" w14:textId="77777777" w:rsidR="00D10B2B" w:rsidRPr="000D1AA0" w:rsidRDefault="00D10B2B" w:rsidP="00D10B2B">
            <w:pPr>
              <w:jc w:val="center"/>
              <w:rPr>
                <w:sz w:val="20"/>
                <w:szCs w:val="20"/>
              </w:rPr>
            </w:pPr>
            <w:r w:rsidRPr="000D1AA0">
              <w:rPr>
                <w:sz w:val="20"/>
                <w:szCs w:val="20"/>
              </w:rPr>
              <w:t>0</w:t>
            </w:r>
          </w:p>
        </w:tc>
        <w:tc>
          <w:tcPr>
            <w:tcW w:w="990" w:type="dxa"/>
          </w:tcPr>
          <w:p w14:paraId="79F2509A" w14:textId="77777777" w:rsidR="00D10B2B" w:rsidRPr="000D1AA0" w:rsidRDefault="00D10B2B" w:rsidP="00D10B2B">
            <w:pPr>
              <w:jc w:val="center"/>
              <w:rPr>
                <w:sz w:val="20"/>
                <w:szCs w:val="20"/>
              </w:rPr>
            </w:pPr>
            <w:r w:rsidRPr="000D1AA0">
              <w:rPr>
                <w:sz w:val="20"/>
                <w:szCs w:val="20"/>
              </w:rPr>
              <w:t>0</w:t>
            </w:r>
          </w:p>
        </w:tc>
        <w:tc>
          <w:tcPr>
            <w:tcW w:w="900" w:type="dxa"/>
          </w:tcPr>
          <w:p w14:paraId="600B2B44" w14:textId="77777777" w:rsidR="00D10B2B" w:rsidRPr="000D1AA0" w:rsidRDefault="00D10B2B" w:rsidP="00D10B2B">
            <w:pPr>
              <w:jc w:val="center"/>
              <w:rPr>
                <w:sz w:val="20"/>
                <w:szCs w:val="20"/>
              </w:rPr>
            </w:pPr>
            <w:r>
              <w:rPr>
                <w:sz w:val="20"/>
                <w:szCs w:val="20"/>
              </w:rPr>
              <w:t>0</w:t>
            </w:r>
          </w:p>
        </w:tc>
      </w:tr>
      <w:tr w:rsidR="00D10B2B" w:rsidRPr="000D1AA0" w14:paraId="0D8F1E00" w14:textId="77777777" w:rsidTr="002F7E64">
        <w:tc>
          <w:tcPr>
            <w:tcW w:w="1435" w:type="dxa"/>
          </w:tcPr>
          <w:p w14:paraId="1AC50811" w14:textId="77777777" w:rsidR="00D10B2B" w:rsidRPr="000D1AA0" w:rsidRDefault="00D10B2B" w:rsidP="00D10B2B">
            <w:pPr>
              <w:rPr>
                <w:sz w:val="20"/>
                <w:szCs w:val="20"/>
              </w:rPr>
            </w:pPr>
            <w:r>
              <w:rPr>
                <w:sz w:val="20"/>
                <w:szCs w:val="20"/>
              </w:rPr>
              <w:t>North Carolina</w:t>
            </w:r>
          </w:p>
        </w:tc>
        <w:tc>
          <w:tcPr>
            <w:tcW w:w="810" w:type="dxa"/>
          </w:tcPr>
          <w:p w14:paraId="13D33764" w14:textId="77777777" w:rsidR="00D10B2B" w:rsidRDefault="00D10B2B" w:rsidP="00D10B2B">
            <w:pPr>
              <w:jc w:val="center"/>
              <w:rPr>
                <w:sz w:val="20"/>
                <w:szCs w:val="20"/>
              </w:rPr>
            </w:pPr>
            <w:r>
              <w:rPr>
                <w:sz w:val="20"/>
                <w:szCs w:val="20"/>
              </w:rPr>
              <w:t>4</w:t>
            </w:r>
          </w:p>
        </w:tc>
        <w:tc>
          <w:tcPr>
            <w:tcW w:w="1260" w:type="dxa"/>
          </w:tcPr>
          <w:p w14:paraId="2900A82F" w14:textId="77777777" w:rsidR="00D10B2B" w:rsidRDefault="00D10B2B" w:rsidP="00D10B2B">
            <w:pPr>
              <w:jc w:val="center"/>
              <w:rPr>
                <w:sz w:val="20"/>
                <w:szCs w:val="20"/>
              </w:rPr>
            </w:pPr>
            <w:r>
              <w:rPr>
                <w:sz w:val="20"/>
                <w:szCs w:val="20"/>
              </w:rPr>
              <w:t>1</w:t>
            </w:r>
          </w:p>
        </w:tc>
        <w:tc>
          <w:tcPr>
            <w:tcW w:w="1396" w:type="dxa"/>
          </w:tcPr>
          <w:p w14:paraId="1940D709" w14:textId="77777777" w:rsidR="00D10B2B" w:rsidRPr="000D1AA0" w:rsidRDefault="00D10B2B" w:rsidP="00D10B2B">
            <w:pPr>
              <w:jc w:val="center"/>
              <w:rPr>
                <w:sz w:val="20"/>
                <w:szCs w:val="20"/>
              </w:rPr>
            </w:pPr>
            <w:r>
              <w:rPr>
                <w:sz w:val="20"/>
                <w:szCs w:val="20"/>
              </w:rPr>
              <w:t>0</w:t>
            </w:r>
          </w:p>
        </w:tc>
        <w:tc>
          <w:tcPr>
            <w:tcW w:w="967" w:type="dxa"/>
          </w:tcPr>
          <w:p w14:paraId="67864471" w14:textId="77777777" w:rsidR="00D10B2B" w:rsidRDefault="00D10B2B" w:rsidP="00D10B2B">
            <w:pPr>
              <w:jc w:val="center"/>
              <w:rPr>
                <w:sz w:val="20"/>
                <w:szCs w:val="20"/>
              </w:rPr>
            </w:pPr>
            <w:r>
              <w:rPr>
                <w:sz w:val="20"/>
                <w:szCs w:val="20"/>
              </w:rPr>
              <w:t>0</w:t>
            </w:r>
          </w:p>
        </w:tc>
        <w:tc>
          <w:tcPr>
            <w:tcW w:w="967" w:type="dxa"/>
          </w:tcPr>
          <w:p w14:paraId="24FC8A87" w14:textId="77777777" w:rsidR="00D10B2B" w:rsidRDefault="00D10B2B" w:rsidP="00D10B2B">
            <w:pPr>
              <w:jc w:val="center"/>
              <w:rPr>
                <w:sz w:val="20"/>
                <w:szCs w:val="20"/>
              </w:rPr>
            </w:pPr>
            <w:r>
              <w:rPr>
                <w:sz w:val="20"/>
                <w:szCs w:val="20"/>
              </w:rPr>
              <w:t>0</w:t>
            </w:r>
          </w:p>
        </w:tc>
        <w:tc>
          <w:tcPr>
            <w:tcW w:w="810" w:type="dxa"/>
          </w:tcPr>
          <w:p w14:paraId="075B30F7" w14:textId="77777777" w:rsidR="00D10B2B" w:rsidRPr="000D1AA0" w:rsidRDefault="00D10B2B" w:rsidP="00D10B2B">
            <w:pPr>
              <w:jc w:val="center"/>
              <w:rPr>
                <w:sz w:val="20"/>
                <w:szCs w:val="20"/>
              </w:rPr>
            </w:pPr>
            <w:r>
              <w:rPr>
                <w:sz w:val="20"/>
                <w:szCs w:val="20"/>
              </w:rPr>
              <w:t>0</w:t>
            </w:r>
          </w:p>
        </w:tc>
        <w:tc>
          <w:tcPr>
            <w:tcW w:w="990" w:type="dxa"/>
          </w:tcPr>
          <w:p w14:paraId="507237FD" w14:textId="77777777" w:rsidR="00D10B2B" w:rsidRPr="000D1AA0" w:rsidRDefault="00D10B2B" w:rsidP="00D10B2B">
            <w:pPr>
              <w:jc w:val="center"/>
              <w:rPr>
                <w:sz w:val="20"/>
                <w:szCs w:val="20"/>
              </w:rPr>
            </w:pPr>
            <w:r>
              <w:rPr>
                <w:sz w:val="20"/>
                <w:szCs w:val="20"/>
              </w:rPr>
              <w:t>0</w:t>
            </w:r>
          </w:p>
        </w:tc>
        <w:tc>
          <w:tcPr>
            <w:tcW w:w="900" w:type="dxa"/>
          </w:tcPr>
          <w:p w14:paraId="48DAD0F5" w14:textId="77777777" w:rsidR="00D10B2B" w:rsidRDefault="00D10B2B" w:rsidP="00D10B2B">
            <w:pPr>
              <w:jc w:val="center"/>
              <w:rPr>
                <w:sz w:val="20"/>
                <w:szCs w:val="20"/>
              </w:rPr>
            </w:pPr>
            <w:r>
              <w:rPr>
                <w:sz w:val="20"/>
                <w:szCs w:val="20"/>
              </w:rPr>
              <w:t>0</w:t>
            </w:r>
          </w:p>
        </w:tc>
      </w:tr>
      <w:tr w:rsidR="00D10B2B" w:rsidRPr="000D1AA0" w14:paraId="0D692BA5" w14:textId="77777777" w:rsidTr="002F7E64">
        <w:tc>
          <w:tcPr>
            <w:tcW w:w="1435" w:type="dxa"/>
          </w:tcPr>
          <w:p w14:paraId="467E950E" w14:textId="77777777" w:rsidR="00D10B2B" w:rsidRPr="000D1AA0" w:rsidRDefault="00D10B2B" w:rsidP="00D10B2B">
            <w:pPr>
              <w:rPr>
                <w:sz w:val="20"/>
                <w:szCs w:val="20"/>
              </w:rPr>
            </w:pPr>
            <w:r>
              <w:rPr>
                <w:sz w:val="20"/>
                <w:szCs w:val="20"/>
              </w:rPr>
              <w:t>Ohio</w:t>
            </w:r>
          </w:p>
        </w:tc>
        <w:tc>
          <w:tcPr>
            <w:tcW w:w="810" w:type="dxa"/>
          </w:tcPr>
          <w:p w14:paraId="012916A0" w14:textId="77777777" w:rsidR="00D10B2B" w:rsidRDefault="00D10B2B" w:rsidP="00D10B2B">
            <w:pPr>
              <w:jc w:val="center"/>
              <w:rPr>
                <w:sz w:val="20"/>
                <w:szCs w:val="20"/>
              </w:rPr>
            </w:pPr>
            <w:r>
              <w:rPr>
                <w:sz w:val="20"/>
                <w:szCs w:val="20"/>
              </w:rPr>
              <w:t>5</w:t>
            </w:r>
          </w:p>
        </w:tc>
        <w:tc>
          <w:tcPr>
            <w:tcW w:w="1260" w:type="dxa"/>
          </w:tcPr>
          <w:p w14:paraId="2055B81E" w14:textId="77777777" w:rsidR="00D10B2B" w:rsidRDefault="00D10B2B" w:rsidP="00D10B2B">
            <w:pPr>
              <w:jc w:val="center"/>
              <w:rPr>
                <w:sz w:val="20"/>
                <w:szCs w:val="20"/>
              </w:rPr>
            </w:pPr>
            <w:r>
              <w:rPr>
                <w:sz w:val="20"/>
                <w:szCs w:val="20"/>
              </w:rPr>
              <w:t>3</w:t>
            </w:r>
          </w:p>
        </w:tc>
        <w:tc>
          <w:tcPr>
            <w:tcW w:w="1396" w:type="dxa"/>
          </w:tcPr>
          <w:p w14:paraId="13850F06" w14:textId="77777777" w:rsidR="00D10B2B" w:rsidRPr="000D1AA0" w:rsidRDefault="00D10B2B" w:rsidP="00D10B2B">
            <w:pPr>
              <w:jc w:val="center"/>
              <w:rPr>
                <w:sz w:val="20"/>
                <w:szCs w:val="20"/>
              </w:rPr>
            </w:pPr>
            <w:r>
              <w:rPr>
                <w:sz w:val="20"/>
                <w:szCs w:val="20"/>
              </w:rPr>
              <w:t>0</w:t>
            </w:r>
          </w:p>
        </w:tc>
        <w:tc>
          <w:tcPr>
            <w:tcW w:w="967" w:type="dxa"/>
          </w:tcPr>
          <w:p w14:paraId="729E1A07" w14:textId="77777777" w:rsidR="00D10B2B" w:rsidRDefault="00D10B2B" w:rsidP="00D10B2B">
            <w:pPr>
              <w:jc w:val="center"/>
              <w:rPr>
                <w:sz w:val="20"/>
                <w:szCs w:val="20"/>
              </w:rPr>
            </w:pPr>
            <w:r>
              <w:rPr>
                <w:sz w:val="20"/>
                <w:szCs w:val="20"/>
              </w:rPr>
              <w:t>0</w:t>
            </w:r>
          </w:p>
        </w:tc>
        <w:tc>
          <w:tcPr>
            <w:tcW w:w="967" w:type="dxa"/>
          </w:tcPr>
          <w:p w14:paraId="3659739F" w14:textId="77777777" w:rsidR="00D10B2B" w:rsidRDefault="00D10B2B" w:rsidP="00D10B2B">
            <w:pPr>
              <w:jc w:val="center"/>
              <w:rPr>
                <w:sz w:val="20"/>
                <w:szCs w:val="20"/>
              </w:rPr>
            </w:pPr>
            <w:r>
              <w:rPr>
                <w:sz w:val="20"/>
                <w:szCs w:val="20"/>
              </w:rPr>
              <w:t>0</w:t>
            </w:r>
          </w:p>
        </w:tc>
        <w:tc>
          <w:tcPr>
            <w:tcW w:w="810" w:type="dxa"/>
          </w:tcPr>
          <w:p w14:paraId="20B55A61" w14:textId="77777777" w:rsidR="00D10B2B" w:rsidRPr="000D1AA0" w:rsidRDefault="00D10B2B" w:rsidP="00D10B2B">
            <w:pPr>
              <w:jc w:val="center"/>
              <w:rPr>
                <w:sz w:val="20"/>
                <w:szCs w:val="20"/>
              </w:rPr>
            </w:pPr>
            <w:r>
              <w:rPr>
                <w:sz w:val="20"/>
                <w:szCs w:val="20"/>
              </w:rPr>
              <w:t>0</w:t>
            </w:r>
          </w:p>
        </w:tc>
        <w:tc>
          <w:tcPr>
            <w:tcW w:w="990" w:type="dxa"/>
          </w:tcPr>
          <w:p w14:paraId="6858F6E1" w14:textId="77777777" w:rsidR="00D10B2B" w:rsidRPr="000D1AA0" w:rsidRDefault="00D10B2B" w:rsidP="00D10B2B">
            <w:pPr>
              <w:jc w:val="center"/>
              <w:rPr>
                <w:sz w:val="20"/>
                <w:szCs w:val="20"/>
              </w:rPr>
            </w:pPr>
            <w:r>
              <w:rPr>
                <w:sz w:val="20"/>
                <w:szCs w:val="20"/>
              </w:rPr>
              <w:t>0</w:t>
            </w:r>
          </w:p>
        </w:tc>
        <w:tc>
          <w:tcPr>
            <w:tcW w:w="900" w:type="dxa"/>
          </w:tcPr>
          <w:p w14:paraId="3804060E" w14:textId="77777777" w:rsidR="00D10B2B" w:rsidRDefault="00D10B2B" w:rsidP="00D10B2B">
            <w:pPr>
              <w:jc w:val="center"/>
              <w:rPr>
                <w:sz w:val="20"/>
                <w:szCs w:val="20"/>
              </w:rPr>
            </w:pPr>
            <w:r>
              <w:rPr>
                <w:sz w:val="20"/>
                <w:szCs w:val="20"/>
              </w:rPr>
              <w:t>0</w:t>
            </w:r>
          </w:p>
        </w:tc>
      </w:tr>
      <w:tr w:rsidR="00D10B2B" w:rsidRPr="000D1AA0" w14:paraId="04697AED" w14:textId="77777777" w:rsidTr="002F7E64">
        <w:tc>
          <w:tcPr>
            <w:tcW w:w="1435" w:type="dxa"/>
          </w:tcPr>
          <w:p w14:paraId="16BC0347" w14:textId="77777777" w:rsidR="00D10B2B" w:rsidRPr="000D1AA0" w:rsidRDefault="00D10B2B" w:rsidP="00D10B2B">
            <w:pPr>
              <w:rPr>
                <w:sz w:val="20"/>
                <w:szCs w:val="20"/>
              </w:rPr>
            </w:pPr>
            <w:r w:rsidRPr="000D1AA0">
              <w:rPr>
                <w:sz w:val="20"/>
                <w:szCs w:val="20"/>
              </w:rPr>
              <w:t>Pennsylvania</w:t>
            </w:r>
          </w:p>
        </w:tc>
        <w:tc>
          <w:tcPr>
            <w:tcW w:w="810" w:type="dxa"/>
          </w:tcPr>
          <w:p w14:paraId="45D68652" w14:textId="77777777" w:rsidR="00D10B2B" w:rsidRDefault="00D10B2B" w:rsidP="00D10B2B">
            <w:pPr>
              <w:jc w:val="center"/>
              <w:rPr>
                <w:sz w:val="20"/>
                <w:szCs w:val="20"/>
              </w:rPr>
            </w:pPr>
            <w:r>
              <w:rPr>
                <w:sz w:val="20"/>
                <w:szCs w:val="20"/>
              </w:rPr>
              <w:t>3</w:t>
            </w:r>
          </w:p>
        </w:tc>
        <w:tc>
          <w:tcPr>
            <w:tcW w:w="1260" w:type="dxa"/>
          </w:tcPr>
          <w:p w14:paraId="51EBD539" w14:textId="77777777" w:rsidR="00D10B2B" w:rsidRDefault="005C7470" w:rsidP="00D10B2B">
            <w:pPr>
              <w:jc w:val="center"/>
              <w:rPr>
                <w:sz w:val="20"/>
                <w:szCs w:val="20"/>
              </w:rPr>
            </w:pPr>
            <w:r>
              <w:rPr>
                <w:sz w:val="20"/>
                <w:szCs w:val="20"/>
              </w:rPr>
              <w:t>0</w:t>
            </w:r>
          </w:p>
        </w:tc>
        <w:tc>
          <w:tcPr>
            <w:tcW w:w="1396" w:type="dxa"/>
          </w:tcPr>
          <w:p w14:paraId="5F5FD8F3" w14:textId="77777777" w:rsidR="00D10B2B" w:rsidRPr="000D1AA0" w:rsidRDefault="00D10B2B" w:rsidP="00D10B2B">
            <w:pPr>
              <w:jc w:val="center"/>
              <w:rPr>
                <w:sz w:val="20"/>
                <w:szCs w:val="20"/>
              </w:rPr>
            </w:pPr>
            <w:r>
              <w:rPr>
                <w:sz w:val="20"/>
                <w:szCs w:val="20"/>
              </w:rPr>
              <w:t>5</w:t>
            </w:r>
          </w:p>
        </w:tc>
        <w:tc>
          <w:tcPr>
            <w:tcW w:w="967" w:type="dxa"/>
          </w:tcPr>
          <w:p w14:paraId="7B12DC08" w14:textId="77777777" w:rsidR="00D10B2B" w:rsidRDefault="00D10B2B" w:rsidP="00D10B2B">
            <w:pPr>
              <w:jc w:val="center"/>
              <w:rPr>
                <w:sz w:val="20"/>
                <w:szCs w:val="20"/>
              </w:rPr>
            </w:pPr>
            <w:r>
              <w:rPr>
                <w:sz w:val="20"/>
                <w:szCs w:val="20"/>
              </w:rPr>
              <w:t>5</w:t>
            </w:r>
          </w:p>
        </w:tc>
        <w:tc>
          <w:tcPr>
            <w:tcW w:w="967" w:type="dxa"/>
          </w:tcPr>
          <w:p w14:paraId="1D90257B" w14:textId="77777777" w:rsidR="00D10B2B" w:rsidRPr="000D1AA0" w:rsidRDefault="00D10B2B" w:rsidP="00D10B2B">
            <w:pPr>
              <w:jc w:val="center"/>
              <w:rPr>
                <w:sz w:val="20"/>
                <w:szCs w:val="20"/>
              </w:rPr>
            </w:pPr>
            <w:r>
              <w:rPr>
                <w:sz w:val="20"/>
                <w:szCs w:val="20"/>
              </w:rPr>
              <w:t>0</w:t>
            </w:r>
          </w:p>
        </w:tc>
        <w:tc>
          <w:tcPr>
            <w:tcW w:w="810" w:type="dxa"/>
          </w:tcPr>
          <w:p w14:paraId="3DFA9BDA" w14:textId="77777777" w:rsidR="00D10B2B" w:rsidRPr="000D1AA0" w:rsidRDefault="00D10B2B" w:rsidP="00D10B2B">
            <w:pPr>
              <w:jc w:val="center"/>
              <w:rPr>
                <w:sz w:val="20"/>
                <w:szCs w:val="20"/>
              </w:rPr>
            </w:pPr>
            <w:r w:rsidRPr="000D1AA0">
              <w:rPr>
                <w:sz w:val="20"/>
                <w:szCs w:val="20"/>
              </w:rPr>
              <w:t>0</w:t>
            </w:r>
          </w:p>
        </w:tc>
        <w:tc>
          <w:tcPr>
            <w:tcW w:w="990" w:type="dxa"/>
          </w:tcPr>
          <w:p w14:paraId="5239CE90" w14:textId="77777777" w:rsidR="00D10B2B" w:rsidRPr="000D1AA0" w:rsidRDefault="00D10B2B" w:rsidP="00D10B2B">
            <w:pPr>
              <w:jc w:val="center"/>
              <w:rPr>
                <w:sz w:val="20"/>
                <w:szCs w:val="20"/>
              </w:rPr>
            </w:pPr>
            <w:r w:rsidRPr="000D1AA0">
              <w:rPr>
                <w:sz w:val="20"/>
                <w:szCs w:val="20"/>
              </w:rPr>
              <w:t>0</w:t>
            </w:r>
          </w:p>
        </w:tc>
        <w:tc>
          <w:tcPr>
            <w:tcW w:w="900" w:type="dxa"/>
          </w:tcPr>
          <w:p w14:paraId="0EB65863" w14:textId="77777777" w:rsidR="00D10B2B" w:rsidRPr="000D1AA0" w:rsidRDefault="00D10B2B" w:rsidP="00D10B2B">
            <w:pPr>
              <w:jc w:val="center"/>
              <w:rPr>
                <w:sz w:val="20"/>
                <w:szCs w:val="20"/>
              </w:rPr>
            </w:pPr>
            <w:r>
              <w:rPr>
                <w:sz w:val="20"/>
                <w:szCs w:val="20"/>
              </w:rPr>
              <w:t>0</w:t>
            </w:r>
          </w:p>
        </w:tc>
      </w:tr>
      <w:tr w:rsidR="00D10B2B" w:rsidRPr="000D1AA0" w14:paraId="1FCD7602" w14:textId="77777777" w:rsidTr="002F7E64">
        <w:tc>
          <w:tcPr>
            <w:tcW w:w="1435" w:type="dxa"/>
          </w:tcPr>
          <w:p w14:paraId="5D9D88F9" w14:textId="77777777" w:rsidR="00D10B2B" w:rsidRPr="000D1AA0" w:rsidRDefault="00D10B2B" w:rsidP="00D10B2B">
            <w:pPr>
              <w:rPr>
                <w:sz w:val="20"/>
                <w:szCs w:val="20"/>
              </w:rPr>
            </w:pPr>
            <w:r>
              <w:rPr>
                <w:sz w:val="20"/>
                <w:szCs w:val="20"/>
              </w:rPr>
              <w:t>South Carolina</w:t>
            </w:r>
          </w:p>
        </w:tc>
        <w:tc>
          <w:tcPr>
            <w:tcW w:w="810" w:type="dxa"/>
          </w:tcPr>
          <w:p w14:paraId="7F9C9F1B" w14:textId="77777777" w:rsidR="00D10B2B" w:rsidRDefault="00D10B2B" w:rsidP="00D10B2B">
            <w:pPr>
              <w:jc w:val="center"/>
              <w:rPr>
                <w:sz w:val="20"/>
                <w:szCs w:val="20"/>
              </w:rPr>
            </w:pPr>
            <w:r>
              <w:rPr>
                <w:sz w:val="20"/>
                <w:szCs w:val="20"/>
              </w:rPr>
              <w:t>4</w:t>
            </w:r>
          </w:p>
        </w:tc>
        <w:tc>
          <w:tcPr>
            <w:tcW w:w="1260" w:type="dxa"/>
          </w:tcPr>
          <w:p w14:paraId="3690C92B" w14:textId="77777777" w:rsidR="00D10B2B" w:rsidRDefault="00D10B2B" w:rsidP="00D10B2B">
            <w:pPr>
              <w:jc w:val="center"/>
              <w:rPr>
                <w:sz w:val="20"/>
                <w:szCs w:val="20"/>
              </w:rPr>
            </w:pPr>
            <w:r>
              <w:rPr>
                <w:sz w:val="20"/>
                <w:szCs w:val="20"/>
              </w:rPr>
              <w:t>1</w:t>
            </w:r>
          </w:p>
        </w:tc>
        <w:tc>
          <w:tcPr>
            <w:tcW w:w="1396" w:type="dxa"/>
          </w:tcPr>
          <w:p w14:paraId="6B8241EC" w14:textId="77777777" w:rsidR="00D10B2B" w:rsidRPr="000D1AA0" w:rsidRDefault="00D10B2B" w:rsidP="00D10B2B">
            <w:pPr>
              <w:jc w:val="center"/>
              <w:rPr>
                <w:sz w:val="20"/>
                <w:szCs w:val="20"/>
              </w:rPr>
            </w:pPr>
            <w:r>
              <w:rPr>
                <w:sz w:val="20"/>
                <w:szCs w:val="20"/>
              </w:rPr>
              <w:t>0</w:t>
            </w:r>
          </w:p>
        </w:tc>
        <w:tc>
          <w:tcPr>
            <w:tcW w:w="967" w:type="dxa"/>
          </w:tcPr>
          <w:p w14:paraId="7F27E9A0" w14:textId="77777777" w:rsidR="00D10B2B" w:rsidRDefault="00D10B2B" w:rsidP="00D10B2B">
            <w:pPr>
              <w:jc w:val="center"/>
              <w:rPr>
                <w:sz w:val="20"/>
                <w:szCs w:val="20"/>
              </w:rPr>
            </w:pPr>
            <w:r>
              <w:rPr>
                <w:sz w:val="20"/>
                <w:szCs w:val="20"/>
              </w:rPr>
              <w:t>0</w:t>
            </w:r>
          </w:p>
        </w:tc>
        <w:tc>
          <w:tcPr>
            <w:tcW w:w="967" w:type="dxa"/>
          </w:tcPr>
          <w:p w14:paraId="393A98BC" w14:textId="77777777" w:rsidR="00D10B2B" w:rsidRDefault="00D10B2B" w:rsidP="00D10B2B">
            <w:pPr>
              <w:jc w:val="center"/>
              <w:rPr>
                <w:sz w:val="20"/>
                <w:szCs w:val="20"/>
              </w:rPr>
            </w:pPr>
            <w:r>
              <w:rPr>
                <w:sz w:val="20"/>
                <w:szCs w:val="20"/>
              </w:rPr>
              <w:t>0</w:t>
            </w:r>
          </w:p>
        </w:tc>
        <w:tc>
          <w:tcPr>
            <w:tcW w:w="810" w:type="dxa"/>
          </w:tcPr>
          <w:p w14:paraId="180236A5" w14:textId="77777777" w:rsidR="00D10B2B" w:rsidRDefault="00D10B2B" w:rsidP="00D10B2B">
            <w:pPr>
              <w:jc w:val="center"/>
              <w:rPr>
                <w:sz w:val="20"/>
                <w:szCs w:val="20"/>
              </w:rPr>
            </w:pPr>
            <w:r>
              <w:rPr>
                <w:sz w:val="20"/>
                <w:szCs w:val="20"/>
              </w:rPr>
              <w:t>0</w:t>
            </w:r>
          </w:p>
        </w:tc>
        <w:tc>
          <w:tcPr>
            <w:tcW w:w="990" w:type="dxa"/>
          </w:tcPr>
          <w:p w14:paraId="27F72352" w14:textId="77777777" w:rsidR="00D10B2B" w:rsidRPr="000D1AA0" w:rsidRDefault="00D10B2B" w:rsidP="00D10B2B">
            <w:pPr>
              <w:jc w:val="center"/>
              <w:rPr>
                <w:sz w:val="20"/>
                <w:szCs w:val="20"/>
              </w:rPr>
            </w:pPr>
            <w:r>
              <w:rPr>
                <w:sz w:val="20"/>
                <w:szCs w:val="20"/>
              </w:rPr>
              <w:t>0</w:t>
            </w:r>
          </w:p>
        </w:tc>
        <w:tc>
          <w:tcPr>
            <w:tcW w:w="900" w:type="dxa"/>
          </w:tcPr>
          <w:p w14:paraId="4F12D04A" w14:textId="77777777" w:rsidR="00D10B2B" w:rsidRDefault="00D10B2B" w:rsidP="00D10B2B">
            <w:pPr>
              <w:jc w:val="center"/>
              <w:rPr>
                <w:sz w:val="20"/>
                <w:szCs w:val="20"/>
              </w:rPr>
            </w:pPr>
            <w:r>
              <w:rPr>
                <w:sz w:val="20"/>
                <w:szCs w:val="20"/>
              </w:rPr>
              <w:t>0</w:t>
            </w:r>
          </w:p>
        </w:tc>
      </w:tr>
      <w:tr w:rsidR="00D10B2B" w:rsidRPr="000D1AA0" w14:paraId="4045F9D6" w14:textId="77777777" w:rsidTr="002F7E64">
        <w:tc>
          <w:tcPr>
            <w:tcW w:w="1435" w:type="dxa"/>
          </w:tcPr>
          <w:p w14:paraId="2834FD60" w14:textId="77777777" w:rsidR="00D10B2B" w:rsidRPr="000D1AA0" w:rsidRDefault="00D10B2B" w:rsidP="00D10B2B">
            <w:pPr>
              <w:rPr>
                <w:sz w:val="20"/>
                <w:szCs w:val="20"/>
              </w:rPr>
            </w:pPr>
            <w:r>
              <w:rPr>
                <w:sz w:val="20"/>
                <w:szCs w:val="20"/>
              </w:rPr>
              <w:t>Tennessee</w:t>
            </w:r>
          </w:p>
        </w:tc>
        <w:tc>
          <w:tcPr>
            <w:tcW w:w="810" w:type="dxa"/>
          </w:tcPr>
          <w:p w14:paraId="13E90CC4" w14:textId="77777777" w:rsidR="00D10B2B" w:rsidRDefault="00D10B2B" w:rsidP="00D10B2B">
            <w:pPr>
              <w:jc w:val="center"/>
              <w:rPr>
                <w:sz w:val="20"/>
                <w:szCs w:val="20"/>
              </w:rPr>
            </w:pPr>
            <w:r>
              <w:rPr>
                <w:sz w:val="20"/>
                <w:szCs w:val="20"/>
              </w:rPr>
              <w:t>4</w:t>
            </w:r>
          </w:p>
        </w:tc>
        <w:tc>
          <w:tcPr>
            <w:tcW w:w="1260" w:type="dxa"/>
          </w:tcPr>
          <w:p w14:paraId="6E9B7A37" w14:textId="77777777" w:rsidR="00D10B2B" w:rsidRDefault="00D10B2B" w:rsidP="00D10B2B">
            <w:pPr>
              <w:jc w:val="center"/>
              <w:rPr>
                <w:sz w:val="20"/>
                <w:szCs w:val="20"/>
              </w:rPr>
            </w:pPr>
            <w:r>
              <w:rPr>
                <w:sz w:val="20"/>
                <w:szCs w:val="20"/>
              </w:rPr>
              <w:t>2</w:t>
            </w:r>
          </w:p>
        </w:tc>
        <w:tc>
          <w:tcPr>
            <w:tcW w:w="1396" w:type="dxa"/>
          </w:tcPr>
          <w:p w14:paraId="5DAC86F7" w14:textId="77777777" w:rsidR="00D10B2B" w:rsidRPr="000D1AA0" w:rsidRDefault="00D10B2B" w:rsidP="00D10B2B">
            <w:pPr>
              <w:jc w:val="center"/>
              <w:rPr>
                <w:sz w:val="20"/>
                <w:szCs w:val="20"/>
              </w:rPr>
            </w:pPr>
            <w:r>
              <w:rPr>
                <w:sz w:val="20"/>
                <w:szCs w:val="20"/>
              </w:rPr>
              <w:t>0</w:t>
            </w:r>
          </w:p>
        </w:tc>
        <w:tc>
          <w:tcPr>
            <w:tcW w:w="967" w:type="dxa"/>
          </w:tcPr>
          <w:p w14:paraId="3EC29CA7" w14:textId="77777777" w:rsidR="00D10B2B" w:rsidRDefault="00D10B2B" w:rsidP="00D10B2B">
            <w:pPr>
              <w:jc w:val="center"/>
              <w:rPr>
                <w:sz w:val="20"/>
                <w:szCs w:val="20"/>
              </w:rPr>
            </w:pPr>
            <w:r>
              <w:rPr>
                <w:sz w:val="20"/>
                <w:szCs w:val="20"/>
              </w:rPr>
              <w:t>0</w:t>
            </w:r>
          </w:p>
        </w:tc>
        <w:tc>
          <w:tcPr>
            <w:tcW w:w="967" w:type="dxa"/>
          </w:tcPr>
          <w:p w14:paraId="4B009439" w14:textId="77777777" w:rsidR="00D10B2B" w:rsidRDefault="00D10B2B" w:rsidP="00D10B2B">
            <w:pPr>
              <w:jc w:val="center"/>
              <w:rPr>
                <w:sz w:val="20"/>
                <w:szCs w:val="20"/>
              </w:rPr>
            </w:pPr>
            <w:r>
              <w:rPr>
                <w:sz w:val="20"/>
                <w:szCs w:val="20"/>
              </w:rPr>
              <w:t>0</w:t>
            </w:r>
          </w:p>
        </w:tc>
        <w:tc>
          <w:tcPr>
            <w:tcW w:w="810" w:type="dxa"/>
          </w:tcPr>
          <w:p w14:paraId="70433B93" w14:textId="77777777" w:rsidR="00D10B2B" w:rsidRDefault="00D10B2B" w:rsidP="00D10B2B">
            <w:pPr>
              <w:jc w:val="center"/>
              <w:rPr>
                <w:sz w:val="20"/>
                <w:szCs w:val="20"/>
              </w:rPr>
            </w:pPr>
            <w:r>
              <w:rPr>
                <w:sz w:val="20"/>
                <w:szCs w:val="20"/>
              </w:rPr>
              <w:t>0</w:t>
            </w:r>
          </w:p>
        </w:tc>
        <w:tc>
          <w:tcPr>
            <w:tcW w:w="990" w:type="dxa"/>
          </w:tcPr>
          <w:p w14:paraId="5E5173AE" w14:textId="77777777" w:rsidR="00D10B2B" w:rsidRPr="000D1AA0" w:rsidRDefault="00D10B2B" w:rsidP="00D10B2B">
            <w:pPr>
              <w:jc w:val="center"/>
              <w:rPr>
                <w:sz w:val="20"/>
                <w:szCs w:val="20"/>
              </w:rPr>
            </w:pPr>
            <w:r>
              <w:rPr>
                <w:sz w:val="20"/>
                <w:szCs w:val="20"/>
              </w:rPr>
              <w:t>0</w:t>
            </w:r>
          </w:p>
        </w:tc>
        <w:tc>
          <w:tcPr>
            <w:tcW w:w="900" w:type="dxa"/>
          </w:tcPr>
          <w:p w14:paraId="75CFCF05" w14:textId="77777777" w:rsidR="00D10B2B" w:rsidRDefault="00D10B2B" w:rsidP="00D10B2B">
            <w:pPr>
              <w:jc w:val="center"/>
              <w:rPr>
                <w:sz w:val="20"/>
                <w:szCs w:val="20"/>
              </w:rPr>
            </w:pPr>
            <w:r>
              <w:rPr>
                <w:sz w:val="20"/>
                <w:szCs w:val="20"/>
              </w:rPr>
              <w:t>0</w:t>
            </w:r>
          </w:p>
        </w:tc>
      </w:tr>
      <w:tr w:rsidR="00D10B2B" w:rsidRPr="000D1AA0" w14:paraId="3DDF1AF8" w14:textId="77777777" w:rsidTr="002F7E64">
        <w:tc>
          <w:tcPr>
            <w:tcW w:w="1435" w:type="dxa"/>
          </w:tcPr>
          <w:p w14:paraId="578E6CDE" w14:textId="77777777" w:rsidR="00D10B2B" w:rsidRPr="000D1AA0" w:rsidRDefault="00D10B2B" w:rsidP="00D10B2B">
            <w:pPr>
              <w:rPr>
                <w:sz w:val="20"/>
                <w:szCs w:val="20"/>
              </w:rPr>
            </w:pPr>
            <w:r w:rsidRPr="000D1AA0">
              <w:rPr>
                <w:sz w:val="20"/>
                <w:szCs w:val="20"/>
              </w:rPr>
              <w:t>Texas</w:t>
            </w:r>
          </w:p>
        </w:tc>
        <w:tc>
          <w:tcPr>
            <w:tcW w:w="810" w:type="dxa"/>
          </w:tcPr>
          <w:p w14:paraId="0DF37098" w14:textId="77777777" w:rsidR="00D10B2B" w:rsidRPr="000D1AA0" w:rsidRDefault="00D10B2B" w:rsidP="00D10B2B">
            <w:pPr>
              <w:jc w:val="center"/>
              <w:rPr>
                <w:sz w:val="20"/>
                <w:szCs w:val="20"/>
              </w:rPr>
            </w:pPr>
            <w:r>
              <w:rPr>
                <w:sz w:val="20"/>
                <w:szCs w:val="20"/>
              </w:rPr>
              <w:t>6</w:t>
            </w:r>
          </w:p>
        </w:tc>
        <w:tc>
          <w:tcPr>
            <w:tcW w:w="1260" w:type="dxa"/>
          </w:tcPr>
          <w:p w14:paraId="4F3338EE" w14:textId="77777777" w:rsidR="00D10B2B" w:rsidRPr="000D1AA0" w:rsidRDefault="005C7470" w:rsidP="00D10B2B">
            <w:pPr>
              <w:jc w:val="center"/>
              <w:rPr>
                <w:sz w:val="20"/>
                <w:szCs w:val="20"/>
              </w:rPr>
            </w:pPr>
            <w:r>
              <w:rPr>
                <w:sz w:val="20"/>
                <w:szCs w:val="20"/>
              </w:rPr>
              <w:t>0</w:t>
            </w:r>
          </w:p>
        </w:tc>
        <w:tc>
          <w:tcPr>
            <w:tcW w:w="1396" w:type="dxa"/>
          </w:tcPr>
          <w:p w14:paraId="7B1BE7C3" w14:textId="77777777" w:rsidR="00D10B2B" w:rsidRPr="000D1AA0" w:rsidRDefault="00D10B2B" w:rsidP="00D10B2B">
            <w:pPr>
              <w:jc w:val="center"/>
              <w:rPr>
                <w:sz w:val="20"/>
                <w:szCs w:val="20"/>
              </w:rPr>
            </w:pPr>
            <w:r w:rsidRPr="000D1AA0">
              <w:rPr>
                <w:sz w:val="20"/>
                <w:szCs w:val="20"/>
              </w:rPr>
              <w:t>2</w:t>
            </w:r>
          </w:p>
        </w:tc>
        <w:tc>
          <w:tcPr>
            <w:tcW w:w="967" w:type="dxa"/>
          </w:tcPr>
          <w:p w14:paraId="789713DB" w14:textId="77777777" w:rsidR="00D10B2B" w:rsidRDefault="00D10B2B" w:rsidP="00D10B2B">
            <w:pPr>
              <w:jc w:val="center"/>
              <w:rPr>
                <w:sz w:val="20"/>
                <w:szCs w:val="20"/>
              </w:rPr>
            </w:pPr>
            <w:r>
              <w:rPr>
                <w:sz w:val="20"/>
                <w:szCs w:val="20"/>
              </w:rPr>
              <w:t>0</w:t>
            </w:r>
          </w:p>
        </w:tc>
        <w:tc>
          <w:tcPr>
            <w:tcW w:w="967" w:type="dxa"/>
          </w:tcPr>
          <w:p w14:paraId="56E1A7AD" w14:textId="77777777" w:rsidR="00D10B2B" w:rsidRPr="000D1AA0" w:rsidRDefault="00D10B2B" w:rsidP="00D10B2B">
            <w:pPr>
              <w:jc w:val="center"/>
              <w:rPr>
                <w:sz w:val="20"/>
                <w:szCs w:val="20"/>
              </w:rPr>
            </w:pPr>
            <w:r>
              <w:rPr>
                <w:sz w:val="20"/>
                <w:szCs w:val="20"/>
              </w:rPr>
              <w:t>2</w:t>
            </w:r>
          </w:p>
        </w:tc>
        <w:tc>
          <w:tcPr>
            <w:tcW w:w="810" w:type="dxa"/>
          </w:tcPr>
          <w:p w14:paraId="29EA8013" w14:textId="77777777" w:rsidR="00D10B2B" w:rsidRPr="000D1AA0" w:rsidRDefault="00D10B2B" w:rsidP="00D10B2B">
            <w:pPr>
              <w:jc w:val="center"/>
              <w:rPr>
                <w:sz w:val="20"/>
                <w:szCs w:val="20"/>
              </w:rPr>
            </w:pPr>
            <w:r>
              <w:rPr>
                <w:sz w:val="20"/>
                <w:szCs w:val="20"/>
              </w:rPr>
              <w:t>0</w:t>
            </w:r>
          </w:p>
        </w:tc>
        <w:tc>
          <w:tcPr>
            <w:tcW w:w="990" w:type="dxa"/>
          </w:tcPr>
          <w:p w14:paraId="244025C8" w14:textId="77777777" w:rsidR="00D10B2B" w:rsidRPr="000D1AA0" w:rsidRDefault="00D10B2B" w:rsidP="00D10B2B">
            <w:pPr>
              <w:jc w:val="center"/>
              <w:rPr>
                <w:sz w:val="20"/>
                <w:szCs w:val="20"/>
              </w:rPr>
            </w:pPr>
            <w:r>
              <w:rPr>
                <w:sz w:val="20"/>
                <w:szCs w:val="20"/>
              </w:rPr>
              <w:t>0</w:t>
            </w:r>
          </w:p>
        </w:tc>
        <w:tc>
          <w:tcPr>
            <w:tcW w:w="900" w:type="dxa"/>
          </w:tcPr>
          <w:p w14:paraId="4BF62B11" w14:textId="77777777" w:rsidR="00D10B2B" w:rsidRPr="000D1AA0" w:rsidRDefault="00D10B2B" w:rsidP="00D10B2B">
            <w:pPr>
              <w:jc w:val="center"/>
              <w:rPr>
                <w:sz w:val="20"/>
                <w:szCs w:val="20"/>
              </w:rPr>
            </w:pPr>
            <w:r>
              <w:rPr>
                <w:sz w:val="20"/>
                <w:szCs w:val="20"/>
              </w:rPr>
              <w:t>0</w:t>
            </w:r>
          </w:p>
        </w:tc>
      </w:tr>
      <w:tr w:rsidR="00D10B2B" w:rsidRPr="000D1AA0" w14:paraId="29A4DBA6" w14:textId="77777777" w:rsidTr="002F7E64">
        <w:tc>
          <w:tcPr>
            <w:tcW w:w="1435" w:type="dxa"/>
          </w:tcPr>
          <w:p w14:paraId="331A763C" w14:textId="77777777" w:rsidR="00D10B2B" w:rsidRPr="000D1AA0" w:rsidRDefault="00D10B2B" w:rsidP="00D10B2B">
            <w:pPr>
              <w:rPr>
                <w:sz w:val="20"/>
                <w:szCs w:val="20"/>
              </w:rPr>
            </w:pPr>
            <w:r w:rsidRPr="000D1AA0">
              <w:rPr>
                <w:sz w:val="20"/>
                <w:szCs w:val="20"/>
              </w:rPr>
              <w:t>Virginia</w:t>
            </w:r>
          </w:p>
        </w:tc>
        <w:tc>
          <w:tcPr>
            <w:tcW w:w="810" w:type="dxa"/>
          </w:tcPr>
          <w:p w14:paraId="1936A2FB" w14:textId="77777777" w:rsidR="00D10B2B" w:rsidRPr="000D1AA0" w:rsidRDefault="00D10B2B" w:rsidP="00D10B2B">
            <w:pPr>
              <w:jc w:val="center"/>
              <w:rPr>
                <w:sz w:val="20"/>
                <w:szCs w:val="20"/>
              </w:rPr>
            </w:pPr>
            <w:r>
              <w:rPr>
                <w:sz w:val="20"/>
                <w:szCs w:val="20"/>
              </w:rPr>
              <w:t>3</w:t>
            </w:r>
          </w:p>
        </w:tc>
        <w:tc>
          <w:tcPr>
            <w:tcW w:w="1260" w:type="dxa"/>
          </w:tcPr>
          <w:p w14:paraId="60174016" w14:textId="77777777" w:rsidR="00D10B2B" w:rsidRPr="000D1AA0" w:rsidRDefault="005C7470" w:rsidP="00D10B2B">
            <w:pPr>
              <w:jc w:val="center"/>
              <w:rPr>
                <w:sz w:val="20"/>
                <w:szCs w:val="20"/>
              </w:rPr>
            </w:pPr>
            <w:r>
              <w:rPr>
                <w:sz w:val="20"/>
                <w:szCs w:val="20"/>
              </w:rPr>
              <w:t>0</w:t>
            </w:r>
          </w:p>
        </w:tc>
        <w:tc>
          <w:tcPr>
            <w:tcW w:w="1396" w:type="dxa"/>
          </w:tcPr>
          <w:p w14:paraId="77028213" w14:textId="77777777" w:rsidR="00D10B2B" w:rsidRPr="000D1AA0" w:rsidRDefault="00D10B2B" w:rsidP="00D10B2B">
            <w:pPr>
              <w:jc w:val="center"/>
              <w:rPr>
                <w:sz w:val="20"/>
                <w:szCs w:val="20"/>
              </w:rPr>
            </w:pPr>
            <w:r w:rsidRPr="000D1AA0">
              <w:rPr>
                <w:sz w:val="20"/>
                <w:szCs w:val="20"/>
              </w:rPr>
              <w:t>1</w:t>
            </w:r>
          </w:p>
        </w:tc>
        <w:tc>
          <w:tcPr>
            <w:tcW w:w="967" w:type="dxa"/>
          </w:tcPr>
          <w:p w14:paraId="36451D4C" w14:textId="77777777" w:rsidR="00D10B2B" w:rsidRPr="000D1AA0" w:rsidRDefault="00D10B2B" w:rsidP="00D10B2B">
            <w:pPr>
              <w:jc w:val="center"/>
              <w:rPr>
                <w:sz w:val="20"/>
                <w:szCs w:val="20"/>
              </w:rPr>
            </w:pPr>
            <w:r>
              <w:rPr>
                <w:sz w:val="20"/>
                <w:szCs w:val="20"/>
              </w:rPr>
              <w:t>1</w:t>
            </w:r>
          </w:p>
        </w:tc>
        <w:tc>
          <w:tcPr>
            <w:tcW w:w="967" w:type="dxa"/>
          </w:tcPr>
          <w:p w14:paraId="1481B2F8" w14:textId="77777777" w:rsidR="00D10B2B" w:rsidRPr="000D1AA0" w:rsidRDefault="00D10B2B" w:rsidP="00D10B2B">
            <w:pPr>
              <w:jc w:val="center"/>
              <w:rPr>
                <w:sz w:val="20"/>
                <w:szCs w:val="20"/>
              </w:rPr>
            </w:pPr>
            <w:r>
              <w:rPr>
                <w:sz w:val="20"/>
                <w:szCs w:val="20"/>
              </w:rPr>
              <w:t>0</w:t>
            </w:r>
          </w:p>
        </w:tc>
        <w:tc>
          <w:tcPr>
            <w:tcW w:w="810" w:type="dxa"/>
          </w:tcPr>
          <w:p w14:paraId="4EBB9D13" w14:textId="77777777" w:rsidR="00D10B2B" w:rsidRPr="000D1AA0" w:rsidRDefault="00D10B2B" w:rsidP="00D10B2B">
            <w:pPr>
              <w:jc w:val="center"/>
              <w:rPr>
                <w:sz w:val="20"/>
                <w:szCs w:val="20"/>
              </w:rPr>
            </w:pPr>
            <w:r w:rsidRPr="000D1AA0">
              <w:rPr>
                <w:sz w:val="20"/>
                <w:szCs w:val="20"/>
              </w:rPr>
              <w:t>0</w:t>
            </w:r>
          </w:p>
        </w:tc>
        <w:tc>
          <w:tcPr>
            <w:tcW w:w="990" w:type="dxa"/>
          </w:tcPr>
          <w:p w14:paraId="0E85B899" w14:textId="77777777" w:rsidR="00D10B2B" w:rsidRPr="000D1AA0" w:rsidRDefault="00D10B2B" w:rsidP="00D10B2B">
            <w:pPr>
              <w:jc w:val="center"/>
              <w:rPr>
                <w:sz w:val="20"/>
                <w:szCs w:val="20"/>
              </w:rPr>
            </w:pPr>
            <w:r w:rsidRPr="000D1AA0">
              <w:rPr>
                <w:sz w:val="20"/>
                <w:szCs w:val="20"/>
              </w:rPr>
              <w:t>0</w:t>
            </w:r>
          </w:p>
        </w:tc>
        <w:tc>
          <w:tcPr>
            <w:tcW w:w="900" w:type="dxa"/>
          </w:tcPr>
          <w:p w14:paraId="3B077F21" w14:textId="77777777" w:rsidR="00D10B2B" w:rsidRPr="000D1AA0" w:rsidRDefault="00D10B2B" w:rsidP="00D10B2B">
            <w:pPr>
              <w:jc w:val="center"/>
              <w:rPr>
                <w:sz w:val="20"/>
                <w:szCs w:val="20"/>
              </w:rPr>
            </w:pPr>
            <w:r>
              <w:rPr>
                <w:sz w:val="20"/>
                <w:szCs w:val="20"/>
              </w:rPr>
              <w:t>0</w:t>
            </w:r>
          </w:p>
        </w:tc>
      </w:tr>
      <w:tr w:rsidR="00D10B2B" w:rsidRPr="000D1AA0" w14:paraId="758A947D" w14:textId="77777777" w:rsidTr="002F7E64">
        <w:tc>
          <w:tcPr>
            <w:tcW w:w="1435" w:type="dxa"/>
          </w:tcPr>
          <w:p w14:paraId="348B2DCC" w14:textId="77777777" w:rsidR="00D10B2B" w:rsidRPr="000D1AA0" w:rsidRDefault="00D10B2B" w:rsidP="00D10B2B">
            <w:pPr>
              <w:rPr>
                <w:sz w:val="20"/>
                <w:szCs w:val="20"/>
              </w:rPr>
            </w:pPr>
            <w:r>
              <w:rPr>
                <w:sz w:val="20"/>
                <w:szCs w:val="20"/>
              </w:rPr>
              <w:t>Wisconsin</w:t>
            </w:r>
          </w:p>
        </w:tc>
        <w:tc>
          <w:tcPr>
            <w:tcW w:w="810" w:type="dxa"/>
          </w:tcPr>
          <w:p w14:paraId="5A68B151" w14:textId="6FB14F64" w:rsidR="00D10B2B" w:rsidRDefault="001A3018" w:rsidP="00D10B2B">
            <w:pPr>
              <w:jc w:val="center"/>
              <w:rPr>
                <w:sz w:val="20"/>
                <w:szCs w:val="20"/>
              </w:rPr>
            </w:pPr>
            <w:r>
              <w:rPr>
                <w:sz w:val="20"/>
                <w:szCs w:val="20"/>
              </w:rPr>
              <w:t>5</w:t>
            </w:r>
          </w:p>
        </w:tc>
        <w:tc>
          <w:tcPr>
            <w:tcW w:w="1260" w:type="dxa"/>
          </w:tcPr>
          <w:p w14:paraId="7D6751D4" w14:textId="77777777" w:rsidR="00D10B2B" w:rsidRDefault="005C7470" w:rsidP="00D10B2B">
            <w:pPr>
              <w:jc w:val="center"/>
              <w:rPr>
                <w:sz w:val="20"/>
                <w:szCs w:val="20"/>
              </w:rPr>
            </w:pPr>
            <w:r>
              <w:rPr>
                <w:sz w:val="20"/>
                <w:szCs w:val="20"/>
              </w:rPr>
              <w:t>0</w:t>
            </w:r>
          </w:p>
        </w:tc>
        <w:tc>
          <w:tcPr>
            <w:tcW w:w="1396" w:type="dxa"/>
          </w:tcPr>
          <w:p w14:paraId="7FBB374F" w14:textId="77777777" w:rsidR="00D10B2B" w:rsidRPr="000D1AA0" w:rsidRDefault="00D10B2B" w:rsidP="00D10B2B">
            <w:pPr>
              <w:jc w:val="center"/>
              <w:rPr>
                <w:sz w:val="20"/>
                <w:szCs w:val="20"/>
              </w:rPr>
            </w:pPr>
            <w:r>
              <w:rPr>
                <w:sz w:val="20"/>
                <w:szCs w:val="20"/>
              </w:rPr>
              <w:t>2</w:t>
            </w:r>
          </w:p>
        </w:tc>
        <w:tc>
          <w:tcPr>
            <w:tcW w:w="967" w:type="dxa"/>
          </w:tcPr>
          <w:p w14:paraId="4C45D74C" w14:textId="77777777" w:rsidR="00D10B2B" w:rsidRDefault="00D10B2B" w:rsidP="00D10B2B">
            <w:pPr>
              <w:jc w:val="center"/>
              <w:rPr>
                <w:sz w:val="20"/>
                <w:szCs w:val="20"/>
              </w:rPr>
            </w:pPr>
            <w:r>
              <w:rPr>
                <w:sz w:val="20"/>
                <w:szCs w:val="20"/>
              </w:rPr>
              <w:t>0</w:t>
            </w:r>
          </w:p>
        </w:tc>
        <w:tc>
          <w:tcPr>
            <w:tcW w:w="967" w:type="dxa"/>
          </w:tcPr>
          <w:p w14:paraId="2E61535B" w14:textId="77777777" w:rsidR="00D10B2B" w:rsidRPr="000D1AA0" w:rsidRDefault="00D10B2B" w:rsidP="00D10B2B">
            <w:pPr>
              <w:jc w:val="center"/>
              <w:rPr>
                <w:sz w:val="20"/>
                <w:szCs w:val="20"/>
              </w:rPr>
            </w:pPr>
            <w:r>
              <w:rPr>
                <w:sz w:val="20"/>
                <w:szCs w:val="20"/>
              </w:rPr>
              <w:t>2</w:t>
            </w:r>
          </w:p>
        </w:tc>
        <w:tc>
          <w:tcPr>
            <w:tcW w:w="810" w:type="dxa"/>
          </w:tcPr>
          <w:p w14:paraId="66C78E3E" w14:textId="77777777" w:rsidR="00D10B2B" w:rsidRPr="000D1AA0" w:rsidRDefault="00D10B2B" w:rsidP="00D10B2B">
            <w:pPr>
              <w:jc w:val="center"/>
              <w:rPr>
                <w:sz w:val="20"/>
                <w:szCs w:val="20"/>
              </w:rPr>
            </w:pPr>
            <w:r>
              <w:rPr>
                <w:sz w:val="20"/>
                <w:szCs w:val="20"/>
              </w:rPr>
              <w:t>0</w:t>
            </w:r>
          </w:p>
        </w:tc>
        <w:tc>
          <w:tcPr>
            <w:tcW w:w="990" w:type="dxa"/>
          </w:tcPr>
          <w:p w14:paraId="10A8C59B" w14:textId="77777777" w:rsidR="00D10B2B" w:rsidRPr="000D1AA0" w:rsidRDefault="00D10B2B" w:rsidP="00D10B2B">
            <w:pPr>
              <w:jc w:val="center"/>
              <w:rPr>
                <w:sz w:val="20"/>
                <w:szCs w:val="20"/>
              </w:rPr>
            </w:pPr>
            <w:r>
              <w:rPr>
                <w:sz w:val="20"/>
                <w:szCs w:val="20"/>
              </w:rPr>
              <w:t>0</w:t>
            </w:r>
          </w:p>
        </w:tc>
        <w:tc>
          <w:tcPr>
            <w:tcW w:w="900" w:type="dxa"/>
          </w:tcPr>
          <w:p w14:paraId="35B1800F" w14:textId="77777777" w:rsidR="00D10B2B" w:rsidRDefault="00D10B2B" w:rsidP="00D10B2B">
            <w:pPr>
              <w:jc w:val="center"/>
              <w:rPr>
                <w:sz w:val="20"/>
                <w:szCs w:val="20"/>
              </w:rPr>
            </w:pPr>
            <w:r>
              <w:rPr>
                <w:sz w:val="20"/>
                <w:szCs w:val="20"/>
              </w:rPr>
              <w:t>0</w:t>
            </w:r>
          </w:p>
        </w:tc>
      </w:tr>
      <w:tr w:rsidR="00D10B2B" w:rsidRPr="000D1AA0" w14:paraId="6FD0F363" w14:textId="77777777" w:rsidTr="002F7E64">
        <w:tc>
          <w:tcPr>
            <w:tcW w:w="1435" w:type="dxa"/>
          </w:tcPr>
          <w:p w14:paraId="606F85D4" w14:textId="77777777" w:rsidR="00D10B2B" w:rsidRDefault="00D10B2B" w:rsidP="00D10B2B">
            <w:pPr>
              <w:rPr>
                <w:sz w:val="20"/>
                <w:szCs w:val="20"/>
              </w:rPr>
            </w:pPr>
            <w:r>
              <w:rPr>
                <w:sz w:val="20"/>
                <w:szCs w:val="20"/>
              </w:rPr>
              <w:t>Wyoming</w:t>
            </w:r>
          </w:p>
        </w:tc>
        <w:tc>
          <w:tcPr>
            <w:tcW w:w="810" w:type="dxa"/>
          </w:tcPr>
          <w:p w14:paraId="316E1120" w14:textId="77777777" w:rsidR="00D10B2B" w:rsidRDefault="00D10B2B" w:rsidP="00D10B2B">
            <w:pPr>
              <w:jc w:val="center"/>
              <w:rPr>
                <w:sz w:val="20"/>
                <w:szCs w:val="20"/>
              </w:rPr>
            </w:pPr>
            <w:r>
              <w:rPr>
                <w:sz w:val="20"/>
                <w:szCs w:val="20"/>
              </w:rPr>
              <w:t>8</w:t>
            </w:r>
          </w:p>
        </w:tc>
        <w:tc>
          <w:tcPr>
            <w:tcW w:w="1260" w:type="dxa"/>
          </w:tcPr>
          <w:p w14:paraId="6693BCCF" w14:textId="77777777" w:rsidR="00D10B2B" w:rsidRDefault="005C7470" w:rsidP="00D10B2B">
            <w:pPr>
              <w:jc w:val="center"/>
              <w:rPr>
                <w:sz w:val="20"/>
                <w:szCs w:val="20"/>
              </w:rPr>
            </w:pPr>
            <w:r>
              <w:rPr>
                <w:sz w:val="20"/>
                <w:szCs w:val="20"/>
              </w:rPr>
              <w:t>0</w:t>
            </w:r>
          </w:p>
        </w:tc>
        <w:tc>
          <w:tcPr>
            <w:tcW w:w="1396" w:type="dxa"/>
          </w:tcPr>
          <w:p w14:paraId="4CBF3647" w14:textId="77777777" w:rsidR="00D10B2B" w:rsidRDefault="00D10B2B" w:rsidP="00D10B2B">
            <w:pPr>
              <w:jc w:val="center"/>
              <w:rPr>
                <w:sz w:val="20"/>
                <w:szCs w:val="20"/>
              </w:rPr>
            </w:pPr>
            <w:r>
              <w:rPr>
                <w:sz w:val="20"/>
                <w:szCs w:val="20"/>
              </w:rPr>
              <w:t>1</w:t>
            </w:r>
          </w:p>
        </w:tc>
        <w:tc>
          <w:tcPr>
            <w:tcW w:w="967" w:type="dxa"/>
          </w:tcPr>
          <w:p w14:paraId="5E921CE7" w14:textId="77777777" w:rsidR="00D10B2B" w:rsidRDefault="00D10B2B" w:rsidP="00D10B2B">
            <w:pPr>
              <w:jc w:val="center"/>
              <w:rPr>
                <w:sz w:val="20"/>
                <w:szCs w:val="20"/>
              </w:rPr>
            </w:pPr>
            <w:r>
              <w:rPr>
                <w:sz w:val="20"/>
                <w:szCs w:val="20"/>
              </w:rPr>
              <w:t>1</w:t>
            </w:r>
          </w:p>
        </w:tc>
        <w:tc>
          <w:tcPr>
            <w:tcW w:w="967" w:type="dxa"/>
          </w:tcPr>
          <w:p w14:paraId="266BC554" w14:textId="77777777" w:rsidR="00D10B2B" w:rsidRDefault="00D10B2B" w:rsidP="00D10B2B">
            <w:pPr>
              <w:jc w:val="center"/>
              <w:rPr>
                <w:sz w:val="20"/>
                <w:szCs w:val="20"/>
              </w:rPr>
            </w:pPr>
            <w:r>
              <w:rPr>
                <w:sz w:val="20"/>
                <w:szCs w:val="20"/>
              </w:rPr>
              <w:t>0</w:t>
            </w:r>
          </w:p>
        </w:tc>
        <w:tc>
          <w:tcPr>
            <w:tcW w:w="810" w:type="dxa"/>
          </w:tcPr>
          <w:p w14:paraId="0F7DE137" w14:textId="77777777" w:rsidR="00D10B2B" w:rsidRDefault="00D10B2B" w:rsidP="00D10B2B">
            <w:pPr>
              <w:jc w:val="center"/>
              <w:rPr>
                <w:sz w:val="20"/>
                <w:szCs w:val="20"/>
              </w:rPr>
            </w:pPr>
            <w:r>
              <w:rPr>
                <w:sz w:val="20"/>
                <w:szCs w:val="20"/>
              </w:rPr>
              <w:t>0</w:t>
            </w:r>
          </w:p>
        </w:tc>
        <w:tc>
          <w:tcPr>
            <w:tcW w:w="990" w:type="dxa"/>
          </w:tcPr>
          <w:p w14:paraId="6B35A935" w14:textId="77777777" w:rsidR="00D10B2B" w:rsidRDefault="00D10B2B" w:rsidP="00D10B2B">
            <w:pPr>
              <w:jc w:val="center"/>
              <w:rPr>
                <w:sz w:val="20"/>
                <w:szCs w:val="20"/>
              </w:rPr>
            </w:pPr>
            <w:r>
              <w:rPr>
                <w:sz w:val="20"/>
                <w:szCs w:val="20"/>
              </w:rPr>
              <w:t>0</w:t>
            </w:r>
          </w:p>
        </w:tc>
        <w:tc>
          <w:tcPr>
            <w:tcW w:w="900" w:type="dxa"/>
          </w:tcPr>
          <w:p w14:paraId="04A9593C" w14:textId="77777777" w:rsidR="00D10B2B" w:rsidRDefault="00D10B2B" w:rsidP="00D10B2B">
            <w:pPr>
              <w:jc w:val="center"/>
              <w:rPr>
                <w:sz w:val="20"/>
                <w:szCs w:val="20"/>
              </w:rPr>
            </w:pPr>
            <w:r>
              <w:rPr>
                <w:sz w:val="20"/>
                <w:szCs w:val="20"/>
              </w:rPr>
              <w:t>0</w:t>
            </w:r>
          </w:p>
        </w:tc>
      </w:tr>
      <w:tr w:rsidR="00310AA5" w:rsidRPr="000D1AA0" w14:paraId="4B11F8B7" w14:textId="77777777" w:rsidTr="00625172">
        <w:tc>
          <w:tcPr>
            <w:tcW w:w="1435" w:type="dxa"/>
          </w:tcPr>
          <w:p w14:paraId="1E9E5772" w14:textId="33D7CCD1" w:rsidR="00310AA5" w:rsidRDefault="00310AA5" w:rsidP="00D10B2B">
            <w:pPr>
              <w:rPr>
                <w:sz w:val="20"/>
                <w:szCs w:val="20"/>
              </w:rPr>
            </w:pPr>
            <w:r>
              <w:rPr>
                <w:sz w:val="20"/>
                <w:szCs w:val="20"/>
              </w:rPr>
              <w:t>Pechanga</w:t>
            </w:r>
            <w:r w:rsidR="00625172">
              <w:rPr>
                <w:sz w:val="20"/>
                <w:szCs w:val="20"/>
              </w:rPr>
              <w:t xml:space="preserve"> Tribal Lands</w:t>
            </w:r>
          </w:p>
        </w:tc>
        <w:tc>
          <w:tcPr>
            <w:tcW w:w="810" w:type="dxa"/>
            <w:vAlign w:val="center"/>
          </w:tcPr>
          <w:p w14:paraId="3B8D7307" w14:textId="208DE2B5" w:rsidR="00310AA5" w:rsidRDefault="00310AA5" w:rsidP="00625172">
            <w:pPr>
              <w:jc w:val="center"/>
              <w:rPr>
                <w:sz w:val="20"/>
                <w:szCs w:val="20"/>
              </w:rPr>
            </w:pPr>
            <w:r>
              <w:rPr>
                <w:sz w:val="20"/>
                <w:szCs w:val="20"/>
              </w:rPr>
              <w:t>9</w:t>
            </w:r>
          </w:p>
        </w:tc>
        <w:tc>
          <w:tcPr>
            <w:tcW w:w="1260" w:type="dxa"/>
            <w:vAlign w:val="center"/>
          </w:tcPr>
          <w:p w14:paraId="3C829960" w14:textId="11A32CF3" w:rsidR="00310AA5" w:rsidRDefault="00625172" w:rsidP="00625172">
            <w:pPr>
              <w:jc w:val="center"/>
              <w:rPr>
                <w:sz w:val="20"/>
                <w:szCs w:val="20"/>
              </w:rPr>
            </w:pPr>
            <w:r>
              <w:rPr>
                <w:sz w:val="20"/>
                <w:szCs w:val="20"/>
              </w:rPr>
              <w:t>0</w:t>
            </w:r>
          </w:p>
        </w:tc>
        <w:tc>
          <w:tcPr>
            <w:tcW w:w="1396" w:type="dxa"/>
            <w:vAlign w:val="center"/>
          </w:tcPr>
          <w:p w14:paraId="7942DCCD" w14:textId="4C84F6C6" w:rsidR="00310AA5" w:rsidRDefault="00310AA5" w:rsidP="00625172">
            <w:pPr>
              <w:jc w:val="center"/>
              <w:rPr>
                <w:sz w:val="20"/>
                <w:szCs w:val="20"/>
              </w:rPr>
            </w:pPr>
            <w:r>
              <w:rPr>
                <w:sz w:val="20"/>
                <w:szCs w:val="20"/>
              </w:rPr>
              <w:t>1</w:t>
            </w:r>
          </w:p>
        </w:tc>
        <w:tc>
          <w:tcPr>
            <w:tcW w:w="967" w:type="dxa"/>
            <w:vAlign w:val="center"/>
          </w:tcPr>
          <w:p w14:paraId="151D9804" w14:textId="65B2E173" w:rsidR="00310AA5" w:rsidRDefault="00625172" w:rsidP="00625172">
            <w:pPr>
              <w:jc w:val="center"/>
              <w:rPr>
                <w:sz w:val="20"/>
                <w:szCs w:val="20"/>
              </w:rPr>
            </w:pPr>
            <w:r>
              <w:rPr>
                <w:sz w:val="20"/>
                <w:szCs w:val="20"/>
              </w:rPr>
              <w:t>0</w:t>
            </w:r>
          </w:p>
        </w:tc>
        <w:tc>
          <w:tcPr>
            <w:tcW w:w="967" w:type="dxa"/>
            <w:vAlign w:val="center"/>
          </w:tcPr>
          <w:p w14:paraId="2B5D8887" w14:textId="4817C57D" w:rsidR="00310AA5" w:rsidRDefault="00310AA5" w:rsidP="00625172">
            <w:pPr>
              <w:jc w:val="center"/>
              <w:rPr>
                <w:sz w:val="20"/>
                <w:szCs w:val="20"/>
              </w:rPr>
            </w:pPr>
            <w:r>
              <w:rPr>
                <w:sz w:val="20"/>
                <w:szCs w:val="20"/>
              </w:rPr>
              <w:t>1</w:t>
            </w:r>
          </w:p>
        </w:tc>
        <w:tc>
          <w:tcPr>
            <w:tcW w:w="810" w:type="dxa"/>
            <w:vAlign w:val="center"/>
          </w:tcPr>
          <w:p w14:paraId="3E4B69ED" w14:textId="6F89A3C4" w:rsidR="00310AA5" w:rsidRDefault="00625172" w:rsidP="00625172">
            <w:pPr>
              <w:jc w:val="center"/>
              <w:rPr>
                <w:sz w:val="20"/>
                <w:szCs w:val="20"/>
              </w:rPr>
            </w:pPr>
            <w:r>
              <w:rPr>
                <w:sz w:val="20"/>
                <w:szCs w:val="20"/>
              </w:rPr>
              <w:t>0</w:t>
            </w:r>
          </w:p>
        </w:tc>
        <w:tc>
          <w:tcPr>
            <w:tcW w:w="990" w:type="dxa"/>
            <w:vAlign w:val="center"/>
          </w:tcPr>
          <w:p w14:paraId="6E2B7C7E" w14:textId="4BE47CCA" w:rsidR="00310AA5" w:rsidRDefault="00625172" w:rsidP="00625172">
            <w:pPr>
              <w:jc w:val="center"/>
              <w:rPr>
                <w:sz w:val="20"/>
                <w:szCs w:val="20"/>
              </w:rPr>
            </w:pPr>
            <w:r>
              <w:rPr>
                <w:sz w:val="20"/>
                <w:szCs w:val="20"/>
              </w:rPr>
              <w:t>0</w:t>
            </w:r>
          </w:p>
        </w:tc>
        <w:tc>
          <w:tcPr>
            <w:tcW w:w="900" w:type="dxa"/>
            <w:vAlign w:val="center"/>
          </w:tcPr>
          <w:p w14:paraId="1553CDFC" w14:textId="73F82943" w:rsidR="00310AA5" w:rsidRDefault="00625172" w:rsidP="00625172">
            <w:pPr>
              <w:jc w:val="center"/>
              <w:rPr>
                <w:sz w:val="20"/>
                <w:szCs w:val="20"/>
              </w:rPr>
            </w:pPr>
            <w:r>
              <w:rPr>
                <w:sz w:val="20"/>
                <w:szCs w:val="20"/>
              </w:rPr>
              <w:t>0</w:t>
            </w:r>
          </w:p>
        </w:tc>
      </w:tr>
      <w:tr w:rsidR="00310AA5" w:rsidRPr="000D1AA0" w14:paraId="14208DA0" w14:textId="77777777" w:rsidTr="00625172">
        <w:tc>
          <w:tcPr>
            <w:tcW w:w="1435" w:type="dxa"/>
          </w:tcPr>
          <w:p w14:paraId="103DA12C" w14:textId="02F5686F" w:rsidR="00310AA5" w:rsidRDefault="004D18F9" w:rsidP="00D10B2B">
            <w:pPr>
              <w:rPr>
                <w:sz w:val="20"/>
                <w:szCs w:val="20"/>
              </w:rPr>
            </w:pPr>
            <w:r>
              <w:rPr>
                <w:sz w:val="20"/>
                <w:szCs w:val="20"/>
              </w:rPr>
              <w:t>Morongo</w:t>
            </w:r>
            <w:r w:rsidR="00625172">
              <w:rPr>
                <w:sz w:val="20"/>
                <w:szCs w:val="20"/>
              </w:rPr>
              <w:t xml:space="preserve"> Tribal Lands</w:t>
            </w:r>
          </w:p>
        </w:tc>
        <w:tc>
          <w:tcPr>
            <w:tcW w:w="810" w:type="dxa"/>
            <w:vAlign w:val="center"/>
          </w:tcPr>
          <w:p w14:paraId="275CD919" w14:textId="171CD6F7" w:rsidR="00310AA5" w:rsidRDefault="00310AA5" w:rsidP="00625172">
            <w:pPr>
              <w:jc w:val="center"/>
              <w:rPr>
                <w:sz w:val="20"/>
                <w:szCs w:val="20"/>
              </w:rPr>
            </w:pPr>
            <w:r>
              <w:rPr>
                <w:sz w:val="20"/>
                <w:szCs w:val="20"/>
              </w:rPr>
              <w:t>9</w:t>
            </w:r>
          </w:p>
        </w:tc>
        <w:tc>
          <w:tcPr>
            <w:tcW w:w="1260" w:type="dxa"/>
            <w:vAlign w:val="center"/>
          </w:tcPr>
          <w:p w14:paraId="30014BD4" w14:textId="15EFFBE8" w:rsidR="00310AA5" w:rsidRDefault="00625172" w:rsidP="00625172">
            <w:pPr>
              <w:jc w:val="center"/>
              <w:rPr>
                <w:sz w:val="20"/>
                <w:szCs w:val="20"/>
              </w:rPr>
            </w:pPr>
            <w:r>
              <w:rPr>
                <w:sz w:val="20"/>
                <w:szCs w:val="20"/>
              </w:rPr>
              <w:t>0</w:t>
            </w:r>
          </w:p>
        </w:tc>
        <w:tc>
          <w:tcPr>
            <w:tcW w:w="1396" w:type="dxa"/>
            <w:vAlign w:val="center"/>
          </w:tcPr>
          <w:p w14:paraId="3CC6E340" w14:textId="5BE10AE5" w:rsidR="00310AA5" w:rsidRDefault="00310AA5" w:rsidP="00625172">
            <w:pPr>
              <w:jc w:val="center"/>
              <w:rPr>
                <w:sz w:val="20"/>
                <w:szCs w:val="20"/>
              </w:rPr>
            </w:pPr>
            <w:r>
              <w:rPr>
                <w:sz w:val="20"/>
                <w:szCs w:val="20"/>
              </w:rPr>
              <w:t>1</w:t>
            </w:r>
          </w:p>
        </w:tc>
        <w:tc>
          <w:tcPr>
            <w:tcW w:w="967" w:type="dxa"/>
            <w:vAlign w:val="center"/>
          </w:tcPr>
          <w:p w14:paraId="3508E2EC" w14:textId="10F8B33C" w:rsidR="00310AA5" w:rsidRDefault="00625172" w:rsidP="00625172">
            <w:pPr>
              <w:jc w:val="center"/>
              <w:rPr>
                <w:sz w:val="20"/>
                <w:szCs w:val="20"/>
              </w:rPr>
            </w:pPr>
            <w:r>
              <w:rPr>
                <w:sz w:val="20"/>
                <w:szCs w:val="20"/>
              </w:rPr>
              <w:t>0</w:t>
            </w:r>
          </w:p>
        </w:tc>
        <w:tc>
          <w:tcPr>
            <w:tcW w:w="967" w:type="dxa"/>
            <w:vAlign w:val="center"/>
          </w:tcPr>
          <w:p w14:paraId="30F634F4" w14:textId="1E315AB7" w:rsidR="00310AA5" w:rsidRDefault="00625172" w:rsidP="00625172">
            <w:pPr>
              <w:jc w:val="center"/>
              <w:rPr>
                <w:sz w:val="20"/>
                <w:szCs w:val="20"/>
              </w:rPr>
            </w:pPr>
            <w:r>
              <w:rPr>
                <w:sz w:val="20"/>
                <w:szCs w:val="20"/>
              </w:rPr>
              <w:t>0</w:t>
            </w:r>
          </w:p>
        </w:tc>
        <w:tc>
          <w:tcPr>
            <w:tcW w:w="810" w:type="dxa"/>
            <w:vAlign w:val="center"/>
          </w:tcPr>
          <w:p w14:paraId="705A3779" w14:textId="5CDA1A70" w:rsidR="00310AA5" w:rsidRDefault="00310AA5" w:rsidP="00625172">
            <w:pPr>
              <w:jc w:val="center"/>
              <w:rPr>
                <w:sz w:val="20"/>
                <w:szCs w:val="20"/>
              </w:rPr>
            </w:pPr>
            <w:r>
              <w:rPr>
                <w:sz w:val="20"/>
                <w:szCs w:val="20"/>
              </w:rPr>
              <w:t>1</w:t>
            </w:r>
          </w:p>
        </w:tc>
        <w:tc>
          <w:tcPr>
            <w:tcW w:w="990" w:type="dxa"/>
            <w:vAlign w:val="center"/>
          </w:tcPr>
          <w:p w14:paraId="500F1E0F" w14:textId="47B27AE5" w:rsidR="00310AA5" w:rsidRDefault="00625172" w:rsidP="00625172">
            <w:pPr>
              <w:jc w:val="center"/>
              <w:rPr>
                <w:sz w:val="20"/>
                <w:szCs w:val="20"/>
              </w:rPr>
            </w:pPr>
            <w:r>
              <w:rPr>
                <w:sz w:val="20"/>
                <w:szCs w:val="20"/>
              </w:rPr>
              <w:t>0</w:t>
            </w:r>
          </w:p>
        </w:tc>
        <w:tc>
          <w:tcPr>
            <w:tcW w:w="900" w:type="dxa"/>
            <w:vAlign w:val="center"/>
          </w:tcPr>
          <w:p w14:paraId="6F00FE16" w14:textId="1CA40DED" w:rsidR="00310AA5" w:rsidRDefault="00625172" w:rsidP="00625172">
            <w:pPr>
              <w:jc w:val="center"/>
              <w:rPr>
                <w:sz w:val="20"/>
                <w:szCs w:val="20"/>
              </w:rPr>
            </w:pPr>
            <w:r>
              <w:rPr>
                <w:sz w:val="20"/>
                <w:szCs w:val="20"/>
              </w:rPr>
              <w:t>0</w:t>
            </w:r>
          </w:p>
        </w:tc>
      </w:tr>
      <w:tr w:rsidR="00082DBA" w:rsidRPr="000D1AA0" w14:paraId="763AFDE7" w14:textId="77777777" w:rsidTr="000826D3">
        <w:tc>
          <w:tcPr>
            <w:tcW w:w="2245" w:type="dxa"/>
            <w:gridSpan w:val="2"/>
          </w:tcPr>
          <w:p w14:paraId="717DEB89" w14:textId="10F693CF" w:rsidR="00082DBA" w:rsidRDefault="00082DBA" w:rsidP="00D10B2B">
            <w:pPr>
              <w:jc w:val="center"/>
              <w:rPr>
                <w:sz w:val="20"/>
                <w:szCs w:val="20"/>
              </w:rPr>
            </w:pPr>
            <w:r w:rsidRPr="000D1AA0">
              <w:rPr>
                <w:sz w:val="20"/>
                <w:szCs w:val="20"/>
              </w:rPr>
              <w:t>Total</w:t>
            </w:r>
          </w:p>
        </w:tc>
        <w:tc>
          <w:tcPr>
            <w:tcW w:w="1260" w:type="dxa"/>
          </w:tcPr>
          <w:p w14:paraId="06C1D79E" w14:textId="737A3369" w:rsidR="00082DBA" w:rsidRPr="001E00B8" w:rsidRDefault="00082DBA" w:rsidP="008D1C2A">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13</w:t>
            </w:r>
            <w:r>
              <w:rPr>
                <w:b/>
                <w:sz w:val="20"/>
                <w:szCs w:val="20"/>
              </w:rPr>
              <w:fldChar w:fldCharType="end"/>
            </w:r>
          </w:p>
        </w:tc>
        <w:tc>
          <w:tcPr>
            <w:tcW w:w="1396" w:type="dxa"/>
          </w:tcPr>
          <w:p w14:paraId="55796ACA" w14:textId="6FC1ED69" w:rsidR="00082DBA" w:rsidRPr="001E00B8" w:rsidRDefault="00DD1B73" w:rsidP="008D1C2A">
            <w:pPr>
              <w:jc w:val="center"/>
              <w:rPr>
                <w:b/>
                <w:sz w:val="20"/>
                <w:szCs w:val="20"/>
              </w:rPr>
            </w:pPr>
            <w:r w:rsidRPr="001E00B8">
              <w:rPr>
                <w:b/>
                <w:sz w:val="20"/>
                <w:szCs w:val="20"/>
              </w:rPr>
              <w:fldChar w:fldCharType="begin"/>
            </w:r>
            <w:r w:rsidRPr="001E00B8">
              <w:rPr>
                <w:b/>
                <w:sz w:val="20"/>
                <w:szCs w:val="20"/>
              </w:rPr>
              <w:instrText xml:space="preserve"> =SUM(ABOVE) </w:instrText>
            </w:r>
            <w:r w:rsidRPr="001E00B8">
              <w:rPr>
                <w:b/>
                <w:sz w:val="20"/>
                <w:szCs w:val="20"/>
              </w:rPr>
              <w:fldChar w:fldCharType="end"/>
            </w:r>
            <w:r>
              <w:rPr>
                <w:b/>
                <w:sz w:val="20"/>
                <w:szCs w:val="20"/>
              </w:rPr>
              <w:t>48</w:t>
            </w:r>
          </w:p>
        </w:tc>
        <w:tc>
          <w:tcPr>
            <w:tcW w:w="967" w:type="dxa"/>
          </w:tcPr>
          <w:p w14:paraId="2E02AF89" w14:textId="7DBDC3F6" w:rsidR="00082DBA" w:rsidRDefault="00EC7571" w:rsidP="00D10B2B">
            <w:pPr>
              <w:jc w:val="center"/>
              <w:rPr>
                <w:b/>
                <w:sz w:val="20"/>
                <w:szCs w:val="20"/>
              </w:rPr>
            </w:pPr>
            <w:r>
              <w:rPr>
                <w:b/>
                <w:sz w:val="20"/>
                <w:szCs w:val="20"/>
              </w:rPr>
              <w:t>23</w:t>
            </w:r>
          </w:p>
        </w:tc>
        <w:tc>
          <w:tcPr>
            <w:tcW w:w="967" w:type="dxa"/>
          </w:tcPr>
          <w:p w14:paraId="3814E0AE" w14:textId="7413A714" w:rsidR="00082DBA" w:rsidRPr="00131F21" w:rsidRDefault="00EC7571" w:rsidP="00D10B2B">
            <w:pPr>
              <w:jc w:val="center"/>
              <w:rPr>
                <w:b/>
                <w:sz w:val="20"/>
                <w:szCs w:val="20"/>
              </w:rPr>
            </w:pPr>
            <w:r>
              <w:rPr>
                <w:b/>
                <w:sz w:val="20"/>
                <w:szCs w:val="20"/>
              </w:rPr>
              <w:t>19</w:t>
            </w:r>
          </w:p>
        </w:tc>
        <w:tc>
          <w:tcPr>
            <w:tcW w:w="810" w:type="dxa"/>
          </w:tcPr>
          <w:p w14:paraId="13FC38BF" w14:textId="30FDAE11" w:rsidR="00082DBA" w:rsidRPr="00131F21" w:rsidRDefault="00EC7571" w:rsidP="00D10B2B">
            <w:pPr>
              <w:jc w:val="center"/>
              <w:rPr>
                <w:b/>
                <w:sz w:val="20"/>
                <w:szCs w:val="20"/>
              </w:rPr>
            </w:pPr>
            <w:r>
              <w:rPr>
                <w:b/>
                <w:sz w:val="20"/>
                <w:szCs w:val="20"/>
              </w:rPr>
              <w:t>2</w:t>
            </w:r>
          </w:p>
        </w:tc>
        <w:tc>
          <w:tcPr>
            <w:tcW w:w="990" w:type="dxa"/>
          </w:tcPr>
          <w:p w14:paraId="4E19C071" w14:textId="77777777" w:rsidR="00082DBA" w:rsidRPr="00131F21" w:rsidRDefault="00082DBA" w:rsidP="00D10B2B">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3</w:t>
            </w:r>
            <w:r>
              <w:rPr>
                <w:b/>
                <w:sz w:val="20"/>
                <w:szCs w:val="20"/>
              </w:rPr>
              <w:fldChar w:fldCharType="end"/>
            </w:r>
          </w:p>
        </w:tc>
        <w:tc>
          <w:tcPr>
            <w:tcW w:w="900" w:type="dxa"/>
          </w:tcPr>
          <w:p w14:paraId="4CF88CB6" w14:textId="77777777" w:rsidR="00082DBA" w:rsidRPr="00131F21" w:rsidRDefault="00082DBA" w:rsidP="00D10B2B">
            <w:pPr>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2</w:t>
            </w:r>
            <w:r>
              <w:rPr>
                <w:b/>
                <w:sz w:val="20"/>
                <w:szCs w:val="20"/>
              </w:rPr>
              <w:fldChar w:fldCharType="end"/>
            </w:r>
          </w:p>
        </w:tc>
      </w:tr>
    </w:tbl>
    <w:p w14:paraId="502B7450" w14:textId="7EE58118" w:rsidR="005C7470" w:rsidRDefault="005C7470" w:rsidP="00756E81">
      <w:pPr>
        <w:rPr>
          <w:b/>
          <w:sz w:val="20"/>
          <w:szCs w:val="20"/>
        </w:rPr>
      </w:pPr>
    </w:p>
    <w:p w14:paraId="4596673C" w14:textId="77777777" w:rsidR="00DD1B73" w:rsidRDefault="00DD1B73" w:rsidP="00756E81">
      <w:pPr>
        <w:rPr>
          <w:b/>
          <w:sz w:val="20"/>
          <w:szCs w:val="20"/>
        </w:rPr>
      </w:pPr>
    </w:p>
    <w:p w14:paraId="566343B1" w14:textId="1254D17C" w:rsidR="008D3470" w:rsidRDefault="001E1F2B" w:rsidP="00EE481D">
      <w:pPr>
        <w:keepLines/>
        <w:rPr>
          <w:b/>
          <w:sz w:val="20"/>
          <w:szCs w:val="20"/>
        </w:rPr>
      </w:pPr>
      <w:r w:rsidRPr="000E1835">
        <w:rPr>
          <w:b/>
          <w:sz w:val="20"/>
          <w:szCs w:val="20"/>
        </w:rPr>
        <w:t xml:space="preserve">Table </w:t>
      </w:r>
      <w:r w:rsidR="00890EB3">
        <w:rPr>
          <w:b/>
          <w:sz w:val="20"/>
          <w:szCs w:val="20"/>
        </w:rPr>
        <w:t>4.</w:t>
      </w:r>
      <w:r w:rsidRPr="000E1835">
        <w:rPr>
          <w:b/>
          <w:sz w:val="20"/>
          <w:szCs w:val="20"/>
        </w:rPr>
        <w:t>3</w:t>
      </w:r>
      <w:r w:rsidR="00E711ED" w:rsidRPr="000E1835">
        <w:rPr>
          <w:b/>
          <w:sz w:val="20"/>
          <w:szCs w:val="20"/>
        </w:rPr>
        <w:t xml:space="preserve">. Nonattainment Areas </w:t>
      </w:r>
      <w:r w:rsidR="00A619C0">
        <w:rPr>
          <w:b/>
          <w:sz w:val="20"/>
          <w:szCs w:val="20"/>
        </w:rPr>
        <w:t xml:space="preserve">and States </w:t>
      </w:r>
      <w:r w:rsidR="00E711ED" w:rsidRPr="000E1835">
        <w:rPr>
          <w:b/>
          <w:sz w:val="20"/>
          <w:szCs w:val="20"/>
        </w:rPr>
        <w:t xml:space="preserve">Eligible </w:t>
      </w:r>
      <w:r w:rsidR="008D3470">
        <w:rPr>
          <w:b/>
          <w:sz w:val="20"/>
          <w:szCs w:val="20"/>
        </w:rPr>
        <w:t xml:space="preserve">(or Expected to be Eligible) </w:t>
      </w:r>
      <w:r w:rsidR="00E711ED" w:rsidRPr="000E1835">
        <w:rPr>
          <w:b/>
          <w:sz w:val="20"/>
          <w:szCs w:val="20"/>
        </w:rPr>
        <w:t>to Submit a Redesignation to Attainment Request</w:t>
      </w:r>
    </w:p>
    <w:p w14:paraId="2E1A0265" w14:textId="749D6CC9" w:rsidR="001E1F2B" w:rsidRPr="000E1835" w:rsidRDefault="00A619C0" w:rsidP="00EE481D">
      <w:pPr>
        <w:keepLines/>
        <w:rPr>
          <w:b/>
          <w:sz w:val="20"/>
          <w:szCs w:val="20"/>
        </w:rPr>
      </w:pPr>
      <w:r>
        <w:rPr>
          <w:b/>
          <w:sz w:val="20"/>
          <w:szCs w:val="20"/>
        </w:rPr>
        <w:t xml:space="preserve"> </w:t>
      </w:r>
    </w:p>
    <w:tbl>
      <w:tblPr>
        <w:tblStyle w:val="TableGrid"/>
        <w:tblW w:w="7555" w:type="dxa"/>
        <w:tblLook w:val="04A0" w:firstRow="1" w:lastRow="0" w:firstColumn="1" w:lastColumn="0" w:noHBand="0" w:noVBand="1"/>
      </w:tblPr>
      <w:tblGrid>
        <w:gridCol w:w="4321"/>
        <w:gridCol w:w="736"/>
        <w:gridCol w:w="968"/>
        <w:gridCol w:w="1530"/>
      </w:tblGrid>
      <w:tr w:rsidR="00082DBA" w:rsidRPr="00674D0F" w14:paraId="4A59281F" w14:textId="77777777" w:rsidTr="00A377AC">
        <w:tc>
          <w:tcPr>
            <w:tcW w:w="4321" w:type="dxa"/>
          </w:tcPr>
          <w:p w14:paraId="36DAB4A8" w14:textId="77777777" w:rsidR="00082DBA" w:rsidRPr="000E1835" w:rsidRDefault="00082DBA" w:rsidP="00EE481D">
            <w:pPr>
              <w:keepLines/>
              <w:rPr>
                <w:b/>
                <w:sz w:val="20"/>
                <w:szCs w:val="20"/>
              </w:rPr>
            </w:pPr>
            <w:r w:rsidRPr="000E1835">
              <w:rPr>
                <w:b/>
                <w:sz w:val="20"/>
                <w:szCs w:val="20"/>
              </w:rPr>
              <w:t>Nonattainment Area</w:t>
            </w:r>
          </w:p>
        </w:tc>
        <w:tc>
          <w:tcPr>
            <w:tcW w:w="736" w:type="dxa"/>
          </w:tcPr>
          <w:p w14:paraId="7F51744F" w14:textId="77777777" w:rsidR="00082DBA" w:rsidRPr="000E1835" w:rsidRDefault="00082DBA" w:rsidP="00EE481D">
            <w:pPr>
              <w:keepLines/>
              <w:jc w:val="center"/>
              <w:rPr>
                <w:b/>
                <w:sz w:val="20"/>
                <w:szCs w:val="20"/>
              </w:rPr>
            </w:pPr>
            <w:r w:rsidRPr="000E1835">
              <w:rPr>
                <w:b/>
                <w:sz w:val="20"/>
                <w:szCs w:val="20"/>
              </w:rPr>
              <w:t>State</w:t>
            </w:r>
          </w:p>
        </w:tc>
        <w:tc>
          <w:tcPr>
            <w:tcW w:w="968" w:type="dxa"/>
          </w:tcPr>
          <w:p w14:paraId="72E7EE63" w14:textId="65DED6C9" w:rsidR="00082DBA" w:rsidRPr="000E1835" w:rsidRDefault="00082DBA" w:rsidP="00EE481D">
            <w:pPr>
              <w:keepLines/>
              <w:jc w:val="center"/>
              <w:rPr>
                <w:b/>
                <w:sz w:val="20"/>
                <w:szCs w:val="20"/>
              </w:rPr>
            </w:pPr>
            <w:r>
              <w:rPr>
                <w:b/>
                <w:sz w:val="20"/>
                <w:szCs w:val="20"/>
              </w:rPr>
              <w:t xml:space="preserve">EPA </w:t>
            </w:r>
            <w:r w:rsidRPr="000E1835">
              <w:rPr>
                <w:b/>
                <w:sz w:val="20"/>
                <w:szCs w:val="20"/>
              </w:rPr>
              <w:t>Region</w:t>
            </w:r>
          </w:p>
        </w:tc>
        <w:tc>
          <w:tcPr>
            <w:tcW w:w="1530" w:type="dxa"/>
          </w:tcPr>
          <w:p w14:paraId="46B13730" w14:textId="77777777" w:rsidR="00082DBA" w:rsidRPr="000E1835" w:rsidRDefault="00082DBA" w:rsidP="00EE481D">
            <w:pPr>
              <w:keepLines/>
              <w:jc w:val="center"/>
              <w:rPr>
                <w:b/>
                <w:sz w:val="20"/>
                <w:szCs w:val="20"/>
              </w:rPr>
            </w:pPr>
            <w:r w:rsidRPr="000E1835">
              <w:rPr>
                <w:b/>
                <w:sz w:val="20"/>
                <w:szCs w:val="20"/>
              </w:rPr>
              <w:t>Classification</w:t>
            </w:r>
          </w:p>
        </w:tc>
      </w:tr>
      <w:tr w:rsidR="00082DBA" w14:paraId="16D287BC" w14:textId="77777777" w:rsidTr="00A377AC">
        <w:tc>
          <w:tcPr>
            <w:tcW w:w="4321" w:type="dxa"/>
          </w:tcPr>
          <w:p w14:paraId="4588B2BF" w14:textId="4853F5F6" w:rsidR="00082DBA" w:rsidRPr="000E1835" w:rsidRDefault="00082DBA" w:rsidP="00EA1D86">
            <w:pPr>
              <w:rPr>
                <w:sz w:val="20"/>
                <w:szCs w:val="20"/>
              </w:rPr>
            </w:pPr>
            <w:r>
              <w:rPr>
                <w:sz w:val="20"/>
                <w:szCs w:val="20"/>
              </w:rPr>
              <w:t>Allentown-Bethlehem-Easton</w:t>
            </w:r>
          </w:p>
        </w:tc>
        <w:tc>
          <w:tcPr>
            <w:tcW w:w="736" w:type="dxa"/>
          </w:tcPr>
          <w:p w14:paraId="283E1F55" w14:textId="12EA6531" w:rsidR="00082DBA" w:rsidRPr="000E1835" w:rsidRDefault="00082DBA" w:rsidP="00EA1D86">
            <w:pPr>
              <w:jc w:val="center"/>
              <w:rPr>
                <w:sz w:val="20"/>
                <w:szCs w:val="20"/>
              </w:rPr>
            </w:pPr>
            <w:r>
              <w:rPr>
                <w:sz w:val="20"/>
                <w:szCs w:val="20"/>
              </w:rPr>
              <w:t>PA</w:t>
            </w:r>
          </w:p>
        </w:tc>
        <w:tc>
          <w:tcPr>
            <w:tcW w:w="968" w:type="dxa"/>
          </w:tcPr>
          <w:p w14:paraId="7244C077" w14:textId="22B87402" w:rsidR="00082DBA" w:rsidRPr="000E1835" w:rsidRDefault="00082DBA" w:rsidP="00674D0F">
            <w:pPr>
              <w:jc w:val="center"/>
              <w:rPr>
                <w:sz w:val="20"/>
                <w:szCs w:val="20"/>
              </w:rPr>
            </w:pPr>
            <w:r>
              <w:rPr>
                <w:sz w:val="20"/>
                <w:szCs w:val="20"/>
              </w:rPr>
              <w:t>3</w:t>
            </w:r>
          </w:p>
        </w:tc>
        <w:tc>
          <w:tcPr>
            <w:tcW w:w="1530" w:type="dxa"/>
          </w:tcPr>
          <w:p w14:paraId="52988519" w14:textId="4322E68B" w:rsidR="00082DBA" w:rsidRPr="000E1835" w:rsidRDefault="00082DBA" w:rsidP="00674D0F">
            <w:pPr>
              <w:jc w:val="center"/>
              <w:rPr>
                <w:sz w:val="20"/>
                <w:szCs w:val="20"/>
              </w:rPr>
            </w:pPr>
            <w:r>
              <w:rPr>
                <w:sz w:val="20"/>
                <w:szCs w:val="20"/>
              </w:rPr>
              <w:t>Marginal</w:t>
            </w:r>
          </w:p>
        </w:tc>
      </w:tr>
      <w:tr w:rsidR="00082DBA" w14:paraId="27AD7A2C" w14:textId="77777777" w:rsidTr="00A377AC">
        <w:tc>
          <w:tcPr>
            <w:tcW w:w="4321" w:type="dxa"/>
          </w:tcPr>
          <w:p w14:paraId="5EC263BD" w14:textId="6986BE2E" w:rsidR="00082DBA" w:rsidRPr="000E1835" w:rsidRDefault="00082DBA" w:rsidP="00EA1D86">
            <w:pPr>
              <w:rPr>
                <w:sz w:val="20"/>
                <w:szCs w:val="20"/>
              </w:rPr>
            </w:pPr>
            <w:r>
              <w:rPr>
                <w:sz w:val="20"/>
                <w:szCs w:val="20"/>
              </w:rPr>
              <w:t>Baltimore</w:t>
            </w:r>
          </w:p>
        </w:tc>
        <w:tc>
          <w:tcPr>
            <w:tcW w:w="736" w:type="dxa"/>
          </w:tcPr>
          <w:p w14:paraId="62793B40" w14:textId="28CFC71B" w:rsidR="00082DBA" w:rsidRPr="000E1835" w:rsidRDefault="00082DBA" w:rsidP="00EA1D86">
            <w:pPr>
              <w:jc w:val="center"/>
              <w:rPr>
                <w:sz w:val="20"/>
                <w:szCs w:val="20"/>
              </w:rPr>
            </w:pPr>
            <w:r>
              <w:rPr>
                <w:sz w:val="20"/>
                <w:szCs w:val="20"/>
              </w:rPr>
              <w:t>MD</w:t>
            </w:r>
          </w:p>
        </w:tc>
        <w:tc>
          <w:tcPr>
            <w:tcW w:w="968" w:type="dxa"/>
          </w:tcPr>
          <w:p w14:paraId="5FE2EE2D" w14:textId="200F1634" w:rsidR="00082DBA" w:rsidRPr="000E1835" w:rsidRDefault="00082DBA" w:rsidP="00674D0F">
            <w:pPr>
              <w:jc w:val="center"/>
              <w:rPr>
                <w:sz w:val="20"/>
                <w:szCs w:val="20"/>
              </w:rPr>
            </w:pPr>
            <w:r>
              <w:rPr>
                <w:sz w:val="20"/>
                <w:szCs w:val="20"/>
              </w:rPr>
              <w:t>3</w:t>
            </w:r>
          </w:p>
        </w:tc>
        <w:tc>
          <w:tcPr>
            <w:tcW w:w="1530" w:type="dxa"/>
          </w:tcPr>
          <w:p w14:paraId="1FD80BB7" w14:textId="6C341351" w:rsidR="00082DBA" w:rsidRPr="000E1835" w:rsidRDefault="00082DBA" w:rsidP="00674D0F">
            <w:pPr>
              <w:jc w:val="center"/>
              <w:rPr>
                <w:sz w:val="20"/>
                <w:szCs w:val="20"/>
              </w:rPr>
            </w:pPr>
            <w:r>
              <w:rPr>
                <w:sz w:val="20"/>
                <w:szCs w:val="20"/>
              </w:rPr>
              <w:t>Moderate</w:t>
            </w:r>
          </w:p>
        </w:tc>
      </w:tr>
      <w:tr w:rsidR="00082DBA" w14:paraId="513748FF" w14:textId="77777777" w:rsidTr="00A377AC">
        <w:tc>
          <w:tcPr>
            <w:tcW w:w="4321" w:type="dxa"/>
          </w:tcPr>
          <w:p w14:paraId="5965018E" w14:textId="77777777" w:rsidR="00082DBA" w:rsidRPr="000E1835" w:rsidRDefault="00082DBA" w:rsidP="00EA1D86">
            <w:pPr>
              <w:rPr>
                <w:sz w:val="20"/>
                <w:szCs w:val="20"/>
              </w:rPr>
            </w:pPr>
            <w:r w:rsidRPr="000E1835">
              <w:rPr>
                <w:sz w:val="20"/>
                <w:szCs w:val="20"/>
              </w:rPr>
              <w:t>Calaveras County</w:t>
            </w:r>
          </w:p>
        </w:tc>
        <w:tc>
          <w:tcPr>
            <w:tcW w:w="736" w:type="dxa"/>
          </w:tcPr>
          <w:p w14:paraId="12F98BB1" w14:textId="77777777" w:rsidR="00082DBA" w:rsidRPr="000E1835" w:rsidRDefault="00082DBA" w:rsidP="00EA1D86">
            <w:pPr>
              <w:jc w:val="center"/>
              <w:rPr>
                <w:sz w:val="20"/>
                <w:szCs w:val="20"/>
              </w:rPr>
            </w:pPr>
            <w:r w:rsidRPr="000E1835">
              <w:rPr>
                <w:sz w:val="20"/>
                <w:szCs w:val="20"/>
              </w:rPr>
              <w:t>CA</w:t>
            </w:r>
          </w:p>
        </w:tc>
        <w:tc>
          <w:tcPr>
            <w:tcW w:w="968" w:type="dxa"/>
          </w:tcPr>
          <w:p w14:paraId="0A70B662" w14:textId="77777777" w:rsidR="00082DBA" w:rsidRPr="000E1835" w:rsidRDefault="00082DBA" w:rsidP="00674D0F">
            <w:pPr>
              <w:jc w:val="center"/>
              <w:rPr>
                <w:sz w:val="20"/>
                <w:szCs w:val="20"/>
              </w:rPr>
            </w:pPr>
            <w:r w:rsidRPr="000E1835">
              <w:rPr>
                <w:sz w:val="20"/>
                <w:szCs w:val="20"/>
              </w:rPr>
              <w:t>9</w:t>
            </w:r>
          </w:p>
        </w:tc>
        <w:tc>
          <w:tcPr>
            <w:tcW w:w="1530" w:type="dxa"/>
          </w:tcPr>
          <w:p w14:paraId="2111801B" w14:textId="77777777" w:rsidR="00082DBA" w:rsidRPr="000E1835" w:rsidRDefault="00082DBA" w:rsidP="00674D0F">
            <w:pPr>
              <w:jc w:val="center"/>
              <w:rPr>
                <w:sz w:val="20"/>
                <w:szCs w:val="20"/>
              </w:rPr>
            </w:pPr>
            <w:r w:rsidRPr="000E1835">
              <w:rPr>
                <w:sz w:val="20"/>
                <w:szCs w:val="20"/>
              </w:rPr>
              <w:t>Marginal</w:t>
            </w:r>
          </w:p>
        </w:tc>
      </w:tr>
      <w:tr w:rsidR="00082DBA" w14:paraId="0E3226A2" w14:textId="77777777" w:rsidTr="00A377AC">
        <w:tc>
          <w:tcPr>
            <w:tcW w:w="4321" w:type="dxa"/>
          </w:tcPr>
          <w:p w14:paraId="50F84E5B" w14:textId="77777777" w:rsidR="00082DBA" w:rsidRPr="000E1835" w:rsidRDefault="00082DBA" w:rsidP="00EA1D86">
            <w:pPr>
              <w:rPr>
                <w:sz w:val="20"/>
                <w:szCs w:val="20"/>
              </w:rPr>
            </w:pPr>
            <w:r w:rsidRPr="000E1835">
              <w:rPr>
                <w:sz w:val="20"/>
                <w:szCs w:val="20"/>
              </w:rPr>
              <w:t>Chico (Butte County)</w:t>
            </w:r>
          </w:p>
        </w:tc>
        <w:tc>
          <w:tcPr>
            <w:tcW w:w="736" w:type="dxa"/>
          </w:tcPr>
          <w:p w14:paraId="60E2CC3A" w14:textId="77777777" w:rsidR="00082DBA" w:rsidRPr="000E1835" w:rsidRDefault="00082DBA" w:rsidP="00EA1D86">
            <w:pPr>
              <w:jc w:val="center"/>
              <w:rPr>
                <w:sz w:val="20"/>
                <w:szCs w:val="20"/>
              </w:rPr>
            </w:pPr>
            <w:r w:rsidRPr="000E1835">
              <w:rPr>
                <w:sz w:val="20"/>
                <w:szCs w:val="20"/>
              </w:rPr>
              <w:t>CA</w:t>
            </w:r>
          </w:p>
        </w:tc>
        <w:tc>
          <w:tcPr>
            <w:tcW w:w="968" w:type="dxa"/>
          </w:tcPr>
          <w:p w14:paraId="77C1BEBC" w14:textId="77777777" w:rsidR="00082DBA" w:rsidRPr="000E1835" w:rsidRDefault="00082DBA" w:rsidP="00674D0F">
            <w:pPr>
              <w:jc w:val="center"/>
              <w:rPr>
                <w:sz w:val="20"/>
                <w:szCs w:val="20"/>
              </w:rPr>
            </w:pPr>
            <w:r w:rsidRPr="000E1835">
              <w:rPr>
                <w:sz w:val="20"/>
                <w:szCs w:val="20"/>
              </w:rPr>
              <w:t>9</w:t>
            </w:r>
          </w:p>
        </w:tc>
        <w:tc>
          <w:tcPr>
            <w:tcW w:w="1530" w:type="dxa"/>
          </w:tcPr>
          <w:p w14:paraId="5EBF2130" w14:textId="77777777" w:rsidR="00082DBA" w:rsidRPr="000E1835" w:rsidRDefault="00082DBA" w:rsidP="00674D0F">
            <w:pPr>
              <w:jc w:val="center"/>
              <w:rPr>
                <w:sz w:val="20"/>
                <w:szCs w:val="20"/>
              </w:rPr>
            </w:pPr>
            <w:r w:rsidRPr="000E1835">
              <w:rPr>
                <w:sz w:val="20"/>
                <w:szCs w:val="20"/>
              </w:rPr>
              <w:t>Marginal</w:t>
            </w:r>
          </w:p>
        </w:tc>
      </w:tr>
      <w:tr w:rsidR="00082DBA" w14:paraId="737B46C1" w14:textId="77777777" w:rsidTr="00A377AC">
        <w:tc>
          <w:tcPr>
            <w:tcW w:w="4321" w:type="dxa"/>
          </w:tcPr>
          <w:p w14:paraId="21B3B968" w14:textId="3F058248" w:rsidR="00082DBA" w:rsidRPr="000E1835" w:rsidRDefault="00082DBA" w:rsidP="00EA1D86">
            <w:pPr>
              <w:rPr>
                <w:sz w:val="20"/>
                <w:szCs w:val="20"/>
              </w:rPr>
            </w:pPr>
            <w:r>
              <w:rPr>
                <w:sz w:val="20"/>
                <w:szCs w:val="20"/>
              </w:rPr>
              <w:t>Dukes County</w:t>
            </w:r>
          </w:p>
        </w:tc>
        <w:tc>
          <w:tcPr>
            <w:tcW w:w="736" w:type="dxa"/>
          </w:tcPr>
          <w:p w14:paraId="06DC8322" w14:textId="1A186037" w:rsidR="00082DBA" w:rsidRPr="000E1835" w:rsidRDefault="00082DBA" w:rsidP="00EA1D86">
            <w:pPr>
              <w:jc w:val="center"/>
              <w:rPr>
                <w:sz w:val="20"/>
                <w:szCs w:val="20"/>
              </w:rPr>
            </w:pPr>
            <w:r>
              <w:rPr>
                <w:sz w:val="20"/>
                <w:szCs w:val="20"/>
              </w:rPr>
              <w:t>MA</w:t>
            </w:r>
          </w:p>
        </w:tc>
        <w:tc>
          <w:tcPr>
            <w:tcW w:w="968" w:type="dxa"/>
          </w:tcPr>
          <w:p w14:paraId="549F5EBE" w14:textId="2B5F6A0E" w:rsidR="00082DBA" w:rsidRPr="000E1835" w:rsidRDefault="00082DBA" w:rsidP="00674D0F">
            <w:pPr>
              <w:jc w:val="center"/>
              <w:rPr>
                <w:sz w:val="20"/>
                <w:szCs w:val="20"/>
              </w:rPr>
            </w:pPr>
            <w:r>
              <w:rPr>
                <w:sz w:val="20"/>
                <w:szCs w:val="20"/>
              </w:rPr>
              <w:t>1</w:t>
            </w:r>
          </w:p>
        </w:tc>
        <w:tc>
          <w:tcPr>
            <w:tcW w:w="1530" w:type="dxa"/>
          </w:tcPr>
          <w:p w14:paraId="010287BD" w14:textId="6A146C1A" w:rsidR="00082DBA" w:rsidRPr="000E1835" w:rsidRDefault="00082DBA" w:rsidP="00674D0F">
            <w:pPr>
              <w:jc w:val="center"/>
              <w:rPr>
                <w:sz w:val="20"/>
                <w:szCs w:val="20"/>
              </w:rPr>
            </w:pPr>
            <w:r>
              <w:rPr>
                <w:sz w:val="20"/>
                <w:szCs w:val="20"/>
              </w:rPr>
              <w:t>Marginal</w:t>
            </w:r>
          </w:p>
        </w:tc>
      </w:tr>
      <w:tr w:rsidR="00082DBA" w14:paraId="08D210CA" w14:textId="77777777" w:rsidTr="00A377AC">
        <w:tc>
          <w:tcPr>
            <w:tcW w:w="4321" w:type="dxa"/>
          </w:tcPr>
          <w:p w14:paraId="4DBBAF73" w14:textId="1D7F47AA" w:rsidR="00082DBA" w:rsidRPr="000E1835" w:rsidRDefault="00082DBA" w:rsidP="00EA1D86">
            <w:pPr>
              <w:rPr>
                <w:sz w:val="20"/>
                <w:szCs w:val="20"/>
              </w:rPr>
            </w:pPr>
            <w:r>
              <w:rPr>
                <w:sz w:val="20"/>
                <w:szCs w:val="20"/>
              </w:rPr>
              <w:t>Jamestown</w:t>
            </w:r>
          </w:p>
        </w:tc>
        <w:tc>
          <w:tcPr>
            <w:tcW w:w="736" w:type="dxa"/>
          </w:tcPr>
          <w:p w14:paraId="3446BBB9" w14:textId="3850F35B" w:rsidR="00082DBA" w:rsidRPr="000E1835" w:rsidRDefault="00082DBA" w:rsidP="00EA1D86">
            <w:pPr>
              <w:jc w:val="center"/>
              <w:rPr>
                <w:sz w:val="20"/>
                <w:szCs w:val="20"/>
              </w:rPr>
            </w:pPr>
            <w:r>
              <w:rPr>
                <w:sz w:val="20"/>
                <w:szCs w:val="20"/>
              </w:rPr>
              <w:t>NY</w:t>
            </w:r>
          </w:p>
        </w:tc>
        <w:tc>
          <w:tcPr>
            <w:tcW w:w="968" w:type="dxa"/>
          </w:tcPr>
          <w:p w14:paraId="189C8618" w14:textId="23F18348" w:rsidR="00082DBA" w:rsidRPr="000E1835" w:rsidRDefault="00082DBA" w:rsidP="00674D0F">
            <w:pPr>
              <w:jc w:val="center"/>
              <w:rPr>
                <w:sz w:val="20"/>
                <w:szCs w:val="20"/>
              </w:rPr>
            </w:pPr>
            <w:r>
              <w:rPr>
                <w:sz w:val="20"/>
                <w:szCs w:val="20"/>
              </w:rPr>
              <w:t>2</w:t>
            </w:r>
          </w:p>
        </w:tc>
        <w:tc>
          <w:tcPr>
            <w:tcW w:w="1530" w:type="dxa"/>
          </w:tcPr>
          <w:p w14:paraId="47D1110C" w14:textId="6E6C1DD8" w:rsidR="00082DBA" w:rsidRPr="000E1835" w:rsidRDefault="00082DBA" w:rsidP="00674D0F">
            <w:pPr>
              <w:jc w:val="center"/>
              <w:rPr>
                <w:sz w:val="20"/>
                <w:szCs w:val="20"/>
              </w:rPr>
            </w:pPr>
            <w:r>
              <w:rPr>
                <w:sz w:val="20"/>
                <w:szCs w:val="20"/>
              </w:rPr>
              <w:t>Marginal</w:t>
            </w:r>
          </w:p>
        </w:tc>
      </w:tr>
      <w:tr w:rsidR="00082DBA" w14:paraId="6FE1390A" w14:textId="77777777" w:rsidTr="00A377AC">
        <w:tc>
          <w:tcPr>
            <w:tcW w:w="4321" w:type="dxa"/>
          </w:tcPr>
          <w:p w14:paraId="39386567" w14:textId="15BB4D9D" w:rsidR="00082DBA" w:rsidRPr="000E1835" w:rsidRDefault="00082DBA" w:rsidP="00EA1D86">
            <w:pPr>
              <w:rPr>
                <w:sz w:val="20"/>
                <w:szCs w:val="20"/>
              </w:rPr>
            </w:pPr>
            <w:r>
              <w:rPr>
                <w:sz w:val="20"/>
                <w:szCs w:val="20"/>
              </w:rPr>
              <w:t>Lancaster</w:t>
            </w:r>
          </w:p>
        </w:tc>
        <w:tc>
          <w:tcPr>
            <w:tcW w:w="736" w:type="dxa"/>
          </w:tcPr>
          <w:p w14:paraId="4396FF6D" w14:textId="6A7465DC" w:rsidR="00082DBA" w:rsidRPr="000E1835" w:rsidRDefault="00082DBA" w:rsidP="00EA1D86">
            <w:pPr>
              <w:jc w:val="center"/>
              <w:rPr>
                <w:sz w:val="20"/>
                <w:szCs w:val="20"/>
              </w:rPr>
            </w:pPr>
            <w:r>
              <w:rPr>
                <w:sz w:val="20"/>
                <w:szCs w:val="20"/>
              </w:rPr>
              <w:t>PA</w:t>
            </w:r>
          </w:p>
        </w:tc>
        <w:tc>
          <w:tcPr>
            <w:tcW w:w="968" w:type="dxa"/>
          </w:tcPr>
          <w:p w14:paraId="12D1DEBA" w14:textId="104A7274" w:rsidR="00082DBA" w:rsidRPr="000E1835" w:rsidRDefault="00082DBA" w:rsidP="00674D0F">
            <w:pPr>
              <w:jc w:val="center"/>
              <w:rPr>
                <w:sz w:val="20"/>
                <w:szCs w:val="20"/>
              </w:rPr>
            </w:pPr>
            <w:r>
              <w:rPr>
                <w:sz w:val="20"/>
                <w:szCs w:val="20"/>
              </w:rPr>
              <w:t>3</w:t>
            </w:r>
          </w:p>
        </w:tc>
        <w:tc>
          <w:tcPr>
            <w:tcW w:w="1530" w:type="dxa"/>
          </w:tcPr>
          <w:p w14:paraId="185A4F27" w14:textId="3E711573" w:rsidR="00082DBA" w:rsidRPr="000E1835" w:rsidRDefault="00082DBA" w:rsidP="00674D0F">
            <w:pPr>
              <w:jc w:val="center"/>
              <w:rPr>
                <w:sz w:val="20"/>
                <w:szCs w:val="20"/>
              </w:rPr>
            </w:pPr>
            <w:r>
              <w:rPr>
                <w:sz w:val="20"/>
                <w:szCs w:val="20"/>
              </w:rPr>
              <w:t>Marginal</w:t>
            </w:r>
          </w:p>
        </w:tc>
      </w:tr>
      <w:tr w:rsidR="00082DBA" w14:paraId="508B7F92" w14:textId="77777777" w:rsidTr="00A377AC">
        <w:tc>
          <w:tcPr>
            <w:tcW w:w="4321" w:type="dxa"/>
          </w:tcPr>
          <w:p w14:paraId="482B811D" w14:textId="428B29D5" w:rsidR="00082DBA" w:rsidRPr="000E1835" w:rsidRDefault="00082DBA" w:rsidP="00EA1D86">
            <w:pPr>
              <w:rPr>
                <w:sz w:val="20"/>
                <w:szCs w:val="20"/>
              </w:rPr>
            </w:pPr>
            <w:r>
              <w:rPr>
                <w:sz w:val="20"/>
                <w:szCs w:val="20"/>
              </w:rPr>
              <w:t>Mariposa County</w:t>
            </w:r>
          </w:p>
        </w:tc>
        <w:tc>
          <w:tcPr>
            <w:tcW w:w="736" w:type="dxa"/>
          </w:tcPr>
          <w:p w14:paraId="48050482" w14:textId="6DFD754C" w:rsidR="00082DBA" w:rsidRPr="000E1835" w:rsidRDefault="00082DBA" w:rsidP="00EA1D86">
            <w:pPr>
              <w:jc w:val="center"/>
              <w:rPr>
                <w:sz w:val="20"/>
                <w:szCs w:val="20"/>
              </w:rPr>
            </w:pPr>
            <w:r>
              <w:rPr>
                <w:sz w:val="20"/>
                <w:szCs w:val="20"/>
              </w:rPr>
              <w:t>CA</w:t>
            </w:r>
          </w:p>
        </w:tc>
        <w:tc>
          <w:tcPr>
            <w:tcW w:w="968" w:type="dxa"/>
          </w:tcPr>
          <w:p w14:paraId="038ADA4E" w14:textId="01198A5D" w:rsidR="00082DBA" w:rsidRPr="000E1835" w:rsidRDefault="00082DBA" w:rsidP="00674D0F">
            <w:pPr>
              <w:jc w:val="center"/>
              <w:rPr>
                <w:sz w:val="20"/>
                <w:szCs w:val="20"/>
              </w:rPr>
            </w:pPr>
            <w:r>
              <w:rPr>
                <w:sz w:val="20"/>
                <w:szCs w:val="20"/>
              </w:rPr>
              <w:t>9</w:t>
            </w:r>
          </w:p>
        </w:tc>
        <w:tc>
          <w:tcPr>
            <w:tcW w:w="1530" w:type="dxa"/>
          </w:tcPr>
          <w:p w14:paraId="00E5851B" w14:textId="23E66714" w:rsidR="00082DBA" w:rsidRPr="000E1835" w:rsidRDefault="00082DBA" w:rsidP="00674D0F">
            <w:pPr>
              <w:jc w:val="center"/>
              <w:rPr>
                <w:sz w:val="20"/>
                <w:szCs w:val="20"/>
              </w:rPr>
            </w:pPr>
            <w:r>
              <w:rPr>
                <w:sz w:val="20"/>
                <w:szCs w:val="20"/>
              </w:rPr>
              <w:t>Moderate</w:t>
            </w:r>
          </w:p>
        </w:tc>
      </w:tr>
      <w:tr w:rsidR="00082DBA" w14:paraId="58A76CCF" w14:textId="77777777" w:rsidTr="00A377AC">
        <w:tc>
          <w:tcPr>
            <w:tcW w:w="4321" w:type="dxa"/>
          </w:tcPr>
          <w:p w14:paraId="07842834" w14:textId="302A4DD1" w:rsidR="00082DBA" w:rsidRPr="000E1835" w:rsidRDefault="00082DBA" w:rsidP="00EA1D86">
            <w:pPr>
              <w:rPr>
                <w:sz w:val="20"/>
                <w:szCs w:val="20"/>
              </w:rPr>
            </w:pPr>
            <w:r>
              <w:rPr>
                <w:sz w:val="20"/>
                <w:szCs w:val="20"/>
              </w:rPr>
              <w:t>Philadelphia-Wilmington-Atlantic City</w:t>
            </w:r>
          </w:p>
        </w:tc>
        <w:tc>
          <w:tcPr>
            <w:tcW w:w="736" w:type="dxa"/>
          </w:tcPr>
          <w:p w14:paraId="740714AD" w14:textId="2DFDCBD9" w:rsidR="00082DBA" w:rsidRPr="000E1835" w:rsidRDefault="00082DBA" w:rsidP="00EA1D86">
            <w:pPr>
              <w:jc w:val="center"/>
              <w:rPr>
                <w:sz w:val="20"/>
                <w:szCs w:val="20"/>
              </w:rPr>
            </w:pPr>
            <w:r>
              <w:rPr>
                <w:sz w:val="20"/>
                <w:szCs w:val="20"/>
              </w:rPr>
              <w:t>PA</w:t>
            </w:r>
          </w:p>
        </w:tc>
        <w:tc>
          <w:tcPr>
            <w:tcW w:w="968" w:type="dxa"/>
          </w:tcPr>
          <w:p w14:paraId="4EB11D1E" w14:textId="4C58FDD9" w:rsidR="00082DBA" w:rsidRPr="000E1835" w:rsidRDefault="00082DBA" w:rsidP="00674D0F">
            <w:pPr>
              <w:jc w:val="center"/>
              <w:rPr>
                <w:sz w:val="20"/>
                <w:szCs w:val="20"/>
              </w:rPr>
            </w:pPr>
            <w:r>
              <w:rPr>
                <w:sz w:val="20"/>
                <w:szCs w:val="20"/>
              </w:rPr>
              <w:t>3</w:t>
            </w:r>
          </w:p>
        </w:tc>
        <w:tc>
          <w:tcPr>
            <w:tcW w:w="1530" w:type="dxa"/>
          </w:tcPr>
          <w:p w14:paraId="7BB6F3DE" w14:textId="62A74A83" w:rsidR="00082DBA" w:rsidRPr="000E1835" w:rsidRDefault="00082DBA" w:rsidP="00674D0F">
            <w:pPr>
              <w:jc w:val="center"/>
              <w:rPr>
                <w:sz w:val="20"/>
                <w:szCs w:val="20"/>
              </w:rPr>
            </w:pPr>
            <w:r>
              <w:rPr>
                <w:sz w:val="20"/>
                <w:szCs w:val="20"/>
              </w:rPr>
              <w:t>Marginal</w:t>
            </w:r>
          </w:p>
        </w:tc>
      </w:tr>
      <w:tr w:rsidR="00082DBA" w14:paraId="673DA0BA" w14:textId="77777777" w:rsidTr="00A377AC">
        <w:tc>
          <w:tcPr>
            <w:tcW w:w="4321" w:type="dxa"/>
          </w:tcPr>
          <w:p w14:paraId="0DDFEE7A" w14:textId="66CE7E64" w:rsidR="00082DBA" w:rsidRPr="000E1835" w:rsidRDefault="00082DBA" w:rsidP="004D18F9">
            <w:pPr>
              <w:rPr>
                <w:sz w:val="20"/>
                <w:szCs w:val="20"/>
              </w:rPr>
            </w:pPr>
            <w:r>
              <w:rPr>
                <w:sz w:val="20"/>
                <w:szCs w:val="20"/>
              </w:rPr>
              <w:t>Philadelphia-Wilmington-Atlantic City</w:t>
            </w:r>
          </w:p>
        </w:tc>
        <w:tc>
          <w:tcPr>
            <w:tcW w:w="736" w:type="dxa"/>
          </w:tcPr>
          <w:p w14:paraId="62CC87D3" w14:textId="2C912142" w:rsidR="00082DBA" w:rsidRPr="000E1835" w:rsidRDefault="00082DBA" w:rsidP="004D18F9">
            <w:pPr>
              <w:jc w:val="center"/>
              <w:rPr>
                <w:sz w:val="20"/>
                <w:szCs w:val="20"/>
              </w:rPr>
            </w:pPr>
            <w:r>
              <w:rPr>
                <w:sz w:val="20"/>
                <w:szCs w:val="20"/>
              </w:rPr>
              <w:t>NJ</w:t>
            </w:r>
          </w:p>
        </w:tc>
        <w:tc>
          <w:tcPr>
            <w:tcW w:w="968" w:type="dxa"/>
          </w:tcPr>
          <w:p w14:paraId="5B838AC2" w14:textId="44965E39" w:rsidR="00082DBA" w:rsidRPr="000E1835" w:rsidRDefault="00082DBA" w:rsidP="004D18F9">
            <w:pPr>
              <w:jc w:val="center"/>
              <w:rPr>
                <w:sz w:val="20"/>
                <w:szCs w:val="20"/>
              </w:rPr>
            </w:pPr>
            <w:r>
              <w:rPr>
                <w:sz w:val="20"/>
                <w:szCs w:val="20"/>
              </w:rPr>
              <w:t>3</w:t>
            </w:r>
          </w:p>
        </w:tc>
        <w:tc>
          <w:tcPr>
            <w:tcW w:w="1530" w:type="dxa"/>
          </w:tcPr>
          <w:p w14:paraId="606F1DE6" w14:textId="57A98334" w:rsidR="00082DBA" w:rsidRPr="000E1835" w:rsidRDefault="00082DBA" w:rsidP="004D18F9">
            <w:pPr>
              <w:jc w:val="center"/>
              <w:rPr>
                <w:sz w:val="20"/>
                <w:szCs w:val="20"/>
              </w:rPr>
            </w:pPr>
            <w:r>
              <w:rPr>
                <w:sz w:val="20"/>
                <w:szCs w:val="20"/>
              </w:rPr>
              <w:t>Marginal</w:t>
            </w:r>
          </w:p>
        </w:tc>
      </w:tr>
      <w:tr w:rsidR="00082DBA" w14:paraId="7B1B777A" w14:textId="77777777" w:rsidTr="00A377AC">
        <w:tc>
          <w:tcPr>
            <w:tcW w:w="4321" w:type="dxa"/>
          </w:tcPr>
          <w:p w14:paraId="7F44E4DF" w14:textId="0794A64D" w:rsidR="00082DBA" w:rsidRPr="000E1835" w:rsidRDefault="00082DBA" w:rsidP="004D18F9">
            <w:pPr>
              <w:rPr>
                <w:sz w:val="20"/>
                <w:szCs w:val="20"/>
              </w:rPr>
            </w:pPr>
            <w:r>
              <w:rPr>
                <w:sz w:val="20"/>
                <w:szCs w:val="20"/>
              </w:rPr>
              <w:t>Philadelphia-Wilmington-Atlantic City</w:t>
            </w:r>
          </w:p>
        </w:tc>
        <w:tc>
          <w:tcPr>
            <w:tcW w:w="736" w:type="dxa"/>
          </w:tcPr>
          <w:p w14:paraId="110D3088" w14:textId="42785D04" w:rsidR="00082DBA" w:rsidRPr="000E1835" w:rsidRDefault="00082DBA" w:rsidP="004D18F9">
            <w:pPr>
              <w:jc w:val="center"/>
              <w:rPr>
                <w:sz w:val="20"/>
                <w:szCs w:val="20"/>
              </w:rPr>
            </w:pPr>
            <w:r>
              <w:rPr>
                <w:sz w:val="20"/>
                <w:szCs w:val="20"/>
              </w:rPr>
              <w:t>MD</w:t>
            </w:r>
          </w:p>
        </w:tc>
        <w:tc>
          <w:tcPr>
            <w:tcW w:w="968" w:type="dxa"/>
          </w:tcPr>
          <w:p w14:paraId="420B8C13" w14:textId="1A2A1656" w:rsidR="00082DBA" w:rsidRPr="000E1835" w:rsidRDefault="00082DBA" w:rsidP="004D18F9">
            <w:pPr>
              <w:jc w:val="center"/>
              <w:rPr>
                <w:sz w:val="20"/>
                <w:szCs w:val="20"/>
              </w:rPr>
            </w:pPr>
            <w:r>
              <w:rPr>
                <w:sz w:val="20"/>
                <w:szCs w:val="20"/>
              </w:rPr>
              <w:t>3</w:t>
            </w:r>
          </w:p>
        </w:tc>
        <w:tc>
          <w:tcPr>
            <w:tcW w:w="1530" w:type="dxa"/>
          </w:tcPr>
          <w:p w14:paraId="5009975C" w14:textId="5BA7AC8B" w:rsidR="00082DBA" w:rsidRPr="000E1835" w:rsidRDefault="00082DBA" w:rsidP="004D18F9">
            <w:pPr>
              <w:jc w:val="center"/>
              <w:rPr>
                <w:sz w:val="20"/>
                <w:szCs w:val="20"/>
              </w:rPr>
            </w:pPr>
            <w:r>
              <w:rPr>
                <w:sz w:val="20"/>
                <w:szCs w:val="20"/>
              </w:rPr>
              <w:t>Marginal</w:t>
            </w:r>
          </w:p>
        </w:tc>
      </w:tr>
      <w:tr w:rsidR="00082DBA" w14:paraId="18DDA277" w14:textId="77777777" w:rsidTr="00A377AC">
        <w:tc>
          <w:tcPr>
            <w:tcW w:w="4321" w:type="dxa"/>
          </w:tcPr>
          <w:p w14:paraId="261FDA8C" w14:textId="460FD81F" w:rsidR="00082DBA" w:rsidRPr="000E1835" w:rsidRDefault="00082DBA" w:rsidP="004D18F9">
            <w:pPr>
              <w:rPr>
                <w:sz w:val="20"/>
                <w:szCs w:val="20"/>
              </w:rPr>
            </w:pPr>
            <w:r>
              <w:rPr>
                <w:sz w:val="20"/>
                <w:szCs w:val="20"/>
              </w:rPr>
              <w:t>Philadelphia-Wilmington-Atlantic City</w:t>
            </w:r>
          </w:p>
        </w:tc>
        <w:tc>
          <w:tcPr>
            <w:tcW w:w="736" w:type="dxa"/>
          </w:tcPr>
          <w:p w14:paraId="2F0FF89D" w14:textId="0A9A3821" w:rsidR="00082DBA" w:rsidRPr="000E1835" w:rsidRDefault="00082DBA" w:rsidP="004D18F9">
            <w:pPr>
              <w:jc w:val="center"/>
              <w:rPr>
                <w:sz w:val="20"/>
                <w:szCs w:val="20"/>
              </w:rPr>
            </w:pPr>
            <w:r>
              <w:rPr>
                <w:sz w:val="20"/>
                <w:szCs w:val="20"/>
              </w:rPr>
              <w:t>DE</w:t>
            </w:r>
          </w:p>
        </w:tc>
        <w:tc>
          <w:tcPr>
            <w:tcW w:w="968" w:type="dxa"/>
          </w:tcPr>
          <w:p w14:paraId="12C16B04" w14:textId="63E9CC3D" w:rsidR="00082DBA" w:rsidRPr="000E1835" w:rsidRDefault="00082DBA" w:rsidP="004D18F9">
            <w:pPr>
              <w:jc w:val="center"/>
              <w:rPr>
                <w:sz w:val="20"/>
                <w:szCs w:val="20"/>
              </w:rPr>
            </w:pPr>
            <w:r>
              <w:rPr>
                <w:sz w:val="20"/>
                <w:szCs w:val="20"/>
              </w:rPr>
              <w:t>3</w:t>
            </w:r>
          </w:p>
        </w:tc>
        <w:tc>
          <w:tcPr>
            <w:tcW w:w="1530" w:type="dxa"/>
          </w:tcPr>
          <w:p w14:paraId="213332F9" w14:textId="1B4D3460" w:rsidR="00082DBA" w:rsidRPr="000E1835" w:rsidRDefault="00082DBA" w:rsidP="004D18F9">
            <w:pPr>
              <w:jc w:val="center"/>
              <w:rPr>
                <w:sz w:val="20"/>
                <w:szCs w:val="20"/>
              </w:rPr>
            </w:pPr>
            <w:r>
              <w:rPr>
                <w:sz w:val="20"/>
                <w:szCs w:val="20"/>
              </w:rPr>
              <w:t>Marginal</w:t>
            </w:r>
          </w:p>
        </w:tc>
      </w:tr>
      <w:tr w:rsidR="00082DBA" w14:paraId="70E74DD0" w14:textId="77777777" w:rsidTr="00A377AC">
        <w:tc>
          <w:tcPr>
            <w:tcW w:w="4321" w:type="dxa"/>
          </w:tcPr>
          <w:p w14:paraId="0388B451" w14:textId="20B1FD8C" w:rsidR="00082DBA" w:rsidRDefault="00082DBA" w:rsidP="004D18F9">
            <w:pPr>
              <w:rPr>
                <w:sz w:val="20"/>
                <w:szCs w:val="20"/>
              </w:rPr>
            </w:pPr>
            <w:r>
              <w:rPr>
                <w:sz w:val="20"/>
                <w:szCs w:val="20"/>
              </w:rPr>
              <w:t>Pittsburgh-Beaver Valley</w:t>
            </w:r>
          </w:p>
        </w:tc>
        <w:tc>
          <w:tcPr>
            <w:tcW w:w="736" w:type="dxa"/>
          </w:tcPr>
          <w:p w14:paraId="2E7A344F" w14:textId="5A55E23A" w:rsidR="00082DBA" w:rsidRDefault="00082DBA" w:rsidP="004D18F9">
            <w:pPr>
              <w:jc w:val="center"/>
              <w:rPr>
                <w:sz w:val="20"/>
                <w:szCs w:val="20"/>
              </w:rPr>
            </w:pPr>
            <w:r>
              <w:rPr>
                <w:sz w:val="20"/>
                <w:szCs w:val="20"/>
              </w:rPr>
              <w:t>PA</w:t>
            </w:r>
          </w:p>
        </w:tc>
        <w:tc>
          <w:tcPr>
            <w:tcW w:w="968" w:type="dxa"/>
          </w:tcPr>
          <w:p w14:paraId="21358CF9" w14:textId="608EF75C" w:rsidR="00082DBA" w:rsidRDefault="00082DBA" w:rsidP="004D18F9">
            <w:pPr>
              <w:jc w:val="center"/>
              <w:rPr>
                <w:sz w:val="20"/>
                <w:szCs w:val="20"/>
              </w:rPr>
            </w:pPr>
            <w:r>
              <w:rPr>
                <w:sz w:val="20"/>
                <w:szCs w:val="20"/>
              </w:rPr>
              <w:t>3</w:t>
            </w:r>
          </w:p>
        </w:tc>
        <w:tc>
          <w:tcPr>
            <w:tcW w:w="1530" w:type="dxa"/>
          </w:tcPr>
          <w:p w14:paraId="1E6DF0DE" w14:textId="0CA2EE92" w:rsidR="00082DBA" w:rsidRDefault="00082DBA" w:rsidP="004D18F9">
            <w:pPr>
              <w:jc w:val="center"/>
              <w:rPr>
                <w:sz w:val="20"/>
                <w:szCs w:val="20"/>
              </w:rPr>
            </w:pPr>
            <w:r>
              <w:rPr>
                <w:sz w:val="20"/>
                <w:szCs w:val="20"/>
              </w:rPr>
              <w:t>Marginal</w:t>
            </w:r>
          </w:p>
        </w:tc>
      </w:tr>
      <w:tr w:rsidR="00082DBA" w14:paraId="537754B5" w14:textId="77777777" w:rsidTr="00A377AC">
        <w:tc>
          <w:tcPr>
            <w:tcW w:w="4321" w:type="dxa"/>
          </w:tcPr>
          <w:p w14:paraId="4D16D043" w14:textId="0AE9DA49" w:rsidR="00082DBA" w:rsidRDefault="00082DBA" w:rsidP="004D18F9">
            <w:pPr>
              <w:rPr>
                <w:sz w:val="20"/>
                <w:szCs w:val="20"/>
              </w:rPr>
            </w:pPr>
            <w:r>
              <w:rPr>
                <w:sz w:val="20"/>
                <w:szCs w:val="20"/>
              </w:rPr>
              <w:t>Reading</w:t>
            </w:r>
          </w:p>
        </w:tc>
        <w:tc>
          <w:tcPr>
            <w:tcW w:w="736" w:type="dxa"/>
          </w:tcPr>
          <w:p w14:paraId="7F406B8F" w14:textId="0AE640CE" w:rsidR="00082DBA" w:rsidRDefault="00082DBA" w:rsidP="004D18F9">
            <w:pPr>
              <w:jc w:val="center"/>
              <w:rPr>
                <w:sz w:val="20"/>
                <w:szCs w:val="20"/>
              </w:rPr>
            </w:pPr>
            <w:r>
              <w:rPr>
                <w:sz w:val="20"/>
                <w:szCs w:val="20"/>
              </w:rPr>
              <w:t>PA</w:t>
            </w:r>
          </w:p>
        </w:tc>
        <w:tc>
          <w:tcPr>
            <w:tcW w:w="968" w:type="dxa"/>
          </w:tcPr>
          <w:p w14:paraId="656B4941" w14:textId="3643A672" w:rsidR="00082DBA" w:rsidRDefault="00082DBA" w:rsidP="004D18F9">
            <w:pPr>
              <w:jc w:val="center"/>
              <w:rPr>
                <w:sz w:val="20"/>
                <w:szCs w:val="20"/>
              </w:rPr>
            </w:pPr>
            <w:r>
              <w:rPr>
                <w:sz w:val="20"/>
                <w:szCs w:val="20"/>
              </w:rPr>
              <w:t>3</w:t>
            </w:r>
          </w:p>
        </w:tc>
        <w:tc>
          <w:tcPr>
            <w:tcW w:w="1530" w:type="dxa"/>
          </w:tcPr>
          <w:p w14:paraId="5FE629A3" w14:textId="78BE39ED" w:rsidR="00082DBA" w:rsidRDefault="00082DBA" w:rsidP="004D18F9">
            <w:pPr>
              <w:jc w:val="center"/>
              <w:rPr>
                <w:sz w:val="20"/>
                <w:szCs w:val="20"/>
              </w:rPr>
            </w:pPr>
            <w:r>
              <w:rPr>
                <w:sz w:val="20"/>
                <w:szCs w:val="20"/>
              </w:rPr>
              <w:t>Marginal</w:t>
            </w:r>
          </w:p>
        </w:tc>
      </w:tr>
      <w:tr w:rsidR="00082DBA" w14:paraId="57DB7576" w14:textId="77777777" w:rsidTr="00A377AC">
        <w:tc>
          <w:tcPr>
            <w:tcW w:w="4321" w:type="dxa"/>
          </w:tcPr>
          <w:p w14:paraId="3500D943" w14:textId="77777777" w:rsidR="00082DBA" w:rsidRPr="000E1835" w:rsidRDefault="00082DBA" w:rsidP="004D18F9">
            <w:pPr>
              <w:rPr>
                <w:sz w:val="20"/>
                <w:szCs w:val="20"/>
              </w:rPr>
            </w:pPr>
            <w:r w:rsidRPr="000E1835">
              <w:rPr>
                <w:sz w:val="20"/>
                <w:szCs w:val="20"/>
              </w:rPr>
              <w:t>San Francisco Bay</w:t>
            </w:r>
          </w:p>
        </w:tc>
        <w:tc>
          <w:tcPr>
            <w:tcW w:w="736" w:type="dxa"/>
          </w:tcPr>
          <w:p w14:paraId="7C9BB2F5" w14:textId="77777777" w:rsidR="00082DBA" w:rsidRPr="000E1835" w:rsidRDefault="00082DBA" w:rsidP="004D18F9">
            <w:pPr>
              <w:jc w:val="center"/>
              <w:rPr>
                <w:sz w:val="20"/>
                <w:szCs w:val="20"/>
              </w:rPr>
            </w:pPr>
            <w:r w:rsidRPr="000E1835">
              <w:rPr>
                <w:sz w:val="20"/>
                <w:szCs w:val="20"/>
              </w:rPr>
              <w:t>CA</w:t>
            </w:r>
          </w:p>
        </w:tc>
        <w:tc>
          <w:tcPr>
            <w:tcW w:w="968" w:type="dxa"/>
          </w:tcPr>
          <w:p w14:paraId="7C2D561D" w14:textId="77777777" w:rsidR="00082DBA" w:rsidRPr="000E1835" w:rsidRDefault="00082DBA" w:rsidP="004D18F9">
            <w:pPr>
              <w:jc w:val="center"/>
              <w:rPr>
                <w:sz w:val="20"/>
                <w:szCs w:val="20"/>
              </w:rPr>
            </w:pPr>
            <w:r w:rsidRPr="000E1835">
              <w:rPr>
                <w:sz w:val="20"/>
                <w:szCs w:val="20"/>
              </w:rPr>
              <w:t>9</w:t>
            </w:r>
          </w:p>
        </w:tc>
        <w:tc>
          <w:tcPr>
            <w:tcW w:w="1530" w:type="dxa"/>
          </w:tcPr>
          <w:p w14:paraId="724D9323" w14:textId="77777777" w:rsidR="00082DBA" w:rsidRPr="000E1835" w:rsidRDefault="00082DBA" w:rsidP="004D18F9">
            <w:pPr>
              <w:jc w:val="center"/>
              <w:rPr>
                <w:sz w:val="20"/>
                <w:szCs w:val="20"/>
              </w:rPr>
            </w:pPr>
            <w:r w:rsidRPr="000E1835">
              <w:rPr>
                <w:sz w:val="20"/>
                <w:szCs w:val="20"/>
              </w:rPr>
              <w:t>Marginal</w:t>
            </w:r>
          </w:p>
        </w:tc>
      </w:tr>
      <w:tr w:rsidR="00082DBA" w14:paraId="47746012" w14:textId="77777777" w:rsidTr="00A377AC">
        <w:tc>
          <w:tcPr>
            <w:tcW w:w="4321" w:type="dxa"/>
          </w:tcPr>
          <w:p w14:paraId="19361553" w14:textId="77777777" w:rsidR="00082DBA" w:rsidRPr="000E1835" w:rsidRDefault="00082DBA" w:rsidP="004D18F9">
            <w:pPr>
              <w:rPr>
                <w:sz w:val="20"/>
                <w:szCs w:val="20"/>
              </w:rPr>
            </w:pPr>
            <w:r w:rsidRPr="000E1835">
              <w:rPr>
                <w:sz w:val="20"/>
                <w:szCs w:val="20"/>
              </w:rPr>
              <w:t>San Luis Obispo (Eastern San Luis Obispo)</w:t>
            </w:r>
          </w:p>
        </w:tc>
        <w:tc>
          <w:tcPr>
            <w:tcW w:w="736" w:type="dxa"/>
            <w:vAlign w:val="center"/>
          </w:tcPr>
          <w:p w14:paraId="4ADCC261" w14:textId="77777777" w:rsidR="00082DBA" w:rsidRPr="000E1835" w:rsidRDefault="00082DBA" w:rsidP="004D18F9">
            <w:pPr>
              <w:jc w:val="center"/>
              <w:rPr>
                <w:sz w:val="20"/>
                <w:szCs w:val="20"/>
              </w:rPr>
            </w:pPr>
            <w:r w:rsidRPr="000E1835">
              <w:rPr>
                <w:sz w:val="20"/>
                <w:szCs w:val="20"/>
              </w:rPr>
              <w:t>CA</w:t>
            </w:r>
          </w:p>
        </w:tc>
        <w:tc>
          <w:tcPr>
            <w:tcW w:w="968" w:type="dxa"/>
            <w:vAlign w:val="center"/>
          </w:tcPr>
          <w:p w14:paraId="1219EA0B" w14:textId="77777777" w:rsidR="00082DBA" w:rsidRPr="000E1835" w:rsidRDefault="00082DBA" w:rsidP="004D18F9">
            <w:pPr>
              <w:jc w:val="center"/>
              <w:rPr>
                <w:sz w:val="20"/>
                <w:szCs w:val="20"/>
              </w:rPr>
            </w:pPr>
            <w:r w:rsidRPr="000E1835">
              <w:rPr>
                <w:sz w:val="20"/>
                <w:szCs w:val="20"/>
              </w:rPr>
              <w:t>9</w:t>
            </w:r>
          </w:p>
        </w:tc>
        <w:tc>
          <w:tcPr>
            <w:tcW w:w="1530" w:type="dxa"/>
            <w:vAlign w:val="center"/>
          </w:tcPr>
          <w:p w14:paraId="07346391" w14:textId="77777777" w:rsidR="00082DBA" w:rsidRPr="000E1835" w:rsidRDefault="00082DBA" w:rsidP="004D18F9">
            <w:pPr>
              <w:jc w:val="center"/>
              <w:rPr>
                <w:sz w:val="20"/>
                <w:szCs w:val="20"/>
              </w:rPr>
            </w:pPr>
            <w:r w:rsidRPr="000E1835">
              <w:rPr>
                <w:sz w:val="20"/>
                <w:szCs w:val="20"/>
              </w:rPr>
              <w:t>Marginal</w:t>
            </w:r>
          </w:p>
        </w:tc>
      </w:tr>
      <w:tr w:rsidR="00082DBA" w14:paraId="679F5E79" w14:textId="77777777" w:rsidTr="00A377AC">
        <w:tc>
          <w:tcPr>
            <w:tcW w:w="4321" w:type="dxa"/>
          </w:tcPr>
          <w:p w14:paraId="5FC04036" w14:textId="3C963742" w:rsidR="00082DBA" w:rsidRPr="000E1835" w:rsidRDefault="00082DBA" w:rsidP="004D18F9">
            <w:pPr>
              <w:rPr>
                <w:sz w:val="20"/>
                <w:szCs w:val="20"/>
              </w:rPr>
            </w:pPr>
            <w:r>
              <w:rPr>
                <w:sz w:val="20"/>
                <w:szCs w:val="20"/>
              </w:rPr>
              <w:t>Seaford</w:t>
            </w:r>
          </w:p>
        </w:tc>
        <w:tc>
          <w:tcPr>
            <w:tcW w:w="736" w:type="dxa"/>
          </w:tcPr>
          <w:p w14:paraId="6D6C48E8" w14:textId="3A417E1E" w:rsidR="00082DBA" w:rsidRPr="000E1835" w:rsidRDefault="00082DBA" w:rsidP="004D18F9">
            <w:pPr>
              <w:jc w:val="center"/>
              <w:rPr>
                <w:sz w:val="20"/>
                <w:szCs w:val="20"/>
              </w:rPr>
            </w:pPr>
            <w:r>
              <w:rPr>
                <w:sz w:val="20"/>
                <w:szCs w:val="20"/>
              </w:rPr>
              <w:t>DE</w:t>
            </w:r>
          </w:p>
        </w:tc>
        <w:tc>
          <w:tcPr>
            <w:tcW w:w="968" w:type="dxa"/>
          </w:tcPr>
          <w:p w14:paraId="6E35DEB2" w14:textId="68DF15B9" w:rsidR="00082DBA" w:rsidRPr="000E1835" w:rsidRDefault="00082DBA" w:rsidP="004D18F9">
            <w:pPr>
              <w:jc w:val="center"/>
              <w:rPr>
                <w:sz w:val="20"/>
                <w:szCs w:val="20"/>
              </w:rPr>
            </w:pPr>
            <w:r>
              <w:rPr>
                <w:sz w:val="20"/>
                <w:szCs w:val="20"/>
              </w:rPr>
              <w:t>3</w:t>
            </w:r>
          </w:p>
        </w:tc>
        <w:tc>
          <w:tcPr>
            <w:tcW w:w="1530" w:type="dxa"/>
          </w:tcPr>
          <w:p w14:paraId="23AD3A97" w14:textId="2242AABA" w:rsidR="00082DBA" w:rsidRPr="000E1835" w:rsidRDefault="00082DBA" w:rsidP="004D18F9">
            <w:pPr>
              <w:jc w:val="center"/>
              <w:rPr>
                <w:sz w:val="20"/>
                <w:szCs w:val="20"/>
              </w:rPr>
            </w:pPr>
            <w:r>
              <w:rPr>
                <w:sz w:val="20"/>
                <w:szCs w:val="20"/>
              </w:rPr>
              <w:t>Marginal</w:t>
            </w:r>
          </w:p>
        </w:tc>
      </w:tr>
      <w:tr w:rsidR="00082DBA" w14:paraId="26CE9899" w14:textId="77777777" w:rsidTr="00A377AC">
        <w:tc>
          <w:tcPr>
            <w:tcW w:w="4321" w:type="dxa"/>
          </w:tcPr>
          <w:p w14:paraId="569662F0" w14:textId="77777777" w:rsidR="00082DBA" w:rsidRPr="000E1835" w:rsidRDefault="00082DBA" w:rsidP="004D18F9">
            <w:pPr>
              <w:rPr>
                <w:sz w:val="20"/>
                <w:szCs w:val="20"/>
              </w:rPr>
            </w:pPr>
            <w:r w:rsidRPr="000E1835">
              <w:rPr>
                <w:sz w:val="20"/>
                <w:szCs w:val="20"/>
              </w:rPr>
              <w:t>Tuscan Buttes</w:t>
            </w:r>
          </w:p>
        </w:tc>
        <w:tc>
          <w:tcPr>
            <w:tcW w:w="736" w:type="dxa"/>
          </w:tcPr>
          <w:p w14:paraId="625E6734" w14:textId="77777777" w:rsidR="00082DBA" w:rsidRPr="000E1835" w:rsidRDefault="00082DBA" w:rsidP="004D18F9">
            <w:pPr>
              <w:jc w:val="center"/>
              <w:rPr>
                <w:sz w:val="20"/>
                <w:szCs w:val="20"/>
              </w:rPr>
            </w:pPr>
            <w:r w:rsidRPr="000E1835">
              <w:rPr>
                <w:sz w:val="20"/>
                <w:szCs w:val="20"/>
              </w:rPr>
              <w:t>CA</w:t>
            </w:r>
          </w:p>
        </w:tc>
        <w:tc>
          <w:tcPr>
            <w:tcW w:w="968" w:type="dxa"/>
          </w:tcPr>
          <w:p w14:paraId="5AAA23CF" w14:textId="77777777" w:rsidR="00082DBA" w:rsidRPr="000E1835" w:rsidRDefault="00082DBA" w:rsidP="004D18F9">
            <w:pPr>
              <w:jc w:val="center"/>
              <w:rPr>
                <w:sz w:val="20"/>
                <w:szCs w:val="20"/>
              </w:rPr>
            </w:pPr>
            <w:r w:rsidRPr="000E1835">
              <w:rPr>
                <w:sz w:val="20"/>
                <w:szCs w:val="20"/>
              </w:rPr>
              <w:t>9</w:t>
            </w:r>
          </w:p>
        </w:tc>
        <w:tc>
          <w:tcPr>
            <w:tcW w:w="1530" w:type="dxa"/>
          </w:tcPr>
          <w:p w14:paraId="4C2CA7F2" w14:textId="77777777" w:rsidR="00082DBA" w:rsidRPr="000E1835" w:rsidRDefault="00082DBA" w:rsidP="004D18F9">
            <w:pPr>
              <w:jc w:val="center"/>
              <w:rPr>
                <w:sz w:val="20"/>
                <w:szCs w:val="20"/>
              </w:rPr>
            </w:pPr>
            <w:r w:rsidRPr="000E1835">
              <w:rPr>
                <w:sz w:val="20"/>
                <w:szCs w:val="20"/>
              </w:rPr>
              <w:t>Marginal</w:t>
            </w:r>
          </w:p>
        </w:tc>
      </w:tr>
      <w:tr w:rsidR="00082DBA" w14:paraId="12E21A66" w14:textId="77777777" w:rsidTr="00A377AC">
        <w:tc>
          <w:tcPr>
            <w:tcW w:w="4321" w:type="dxa"/>
          </w:tcPr>
          <w:p w14:paraId="5EC0DA41" w14:textId="77777777" w:rsidR="00082DBA" w:rsidRPr="000E1835" w:rsidRDefault="00082DBA" w:rsidP="004D18F9">
            <w:pPr>
              <w:rPr>
                <w:sz w:val="20"/>
                <w:szCs w:val="20"/>
              </w:rPr>
            </w:pPr>
            <w:r w:rsidRPr="000E1835">
              <w:rPr>
                <w:sz w:val="20"/>
                <w:szCs w:val="20"/>
              </w:rPr>
              <w:t>Upper Green River Basin Area</w:t>
            </w:r>
          </w:p>
        </w:tc>
        <w:tc>
          <w:tcPr>
            <w:tcW w:w="736" w:type="dxa"/>
          </w:tcPr>
          <w:p w14:paraId="2781E40E" w14:textId="77777777" w:rsidR="00082DBA" w:rsidRPr="000E1835" w:rsidRDefault="00082DBA" w:rsidP="004D18F9">
            <w:pPr>
              <w:jc w:val="center"/>
              <w:rPr>
                <w:sz w:val="20"/>
                <w:szCs w:val="20"/>
              </w:rPr>
            </w:pPr>
            <w:r w:rsidRPr="000E1835">
              <w:rPr>
                <w:sz w:val="20"/>
                <w:szCs w:val="20"/>
              </w:rPr>
              <w:t>WY</w:t>
            </w:r>
          </w:p>
        </w:tc>
        <w:tc>
          <w:tcPr>
            <w:tcW w:w="968" w:type="dxa"/>
          </w:tcPr>
          <w:p w14:paraId="3D16AAE7" w14:textId="4F875358" w:rsidR="00082DBA" w:rsidRPr="000E1835" w:rsidRDefault="00082DBA" w:rsidP="004D18F9">
            <w:pPr>
              <w:jc w:val="center"/>
              <w:rPr>
                <w:sz w:val="20"/>
                <w:szCs w:val="20"/>
              </w:rPr>
            </w:pPr>
            <w:r>
              <w:rPr>
                <w:sz w:val="20"/>
                <w:szCs w:val="20"/>
              </w:rPr>
              <w:t>8</w:t>
            </w:r>
          </w:p>
        </w:tc>
        <w:tc>
          <w:tcPr>
            <w:tcW w:w="1530" w:type="dxa"/>
          </w:tcPr>
          <w:p w14:paraId="29A73424" w14:textId="77777777" w:rsidR="00082DBA" w:rsidRPr="000E1835" w:rsidRDefault="00082DBA" w:rsidP="004D18F9">
            <w:pPr>
              <w:jc w:val="center"/>
              <w:rPr>
                <w:sz w:val="20"/>
                <w:szCs w:val="20"/>
              </w:rPr>
            </w:pPr>
            <w:r w:rsidRPr="000E1835">
              <w:rPr>
                <w:sz w:val="20"/>
                <w:szCs w:val="20"/>
              </w:rPr>
              <w:t>Marginal</w:t>
            </w:r>
          </w:p>
        </w:tc>
      </w:tr>
      <w:tr w:rsidR="00082DBA" w14:paraId="2C6C8F0F" w14:textId="77777777" w:rsidTr="00A377AC">
        <w:tc>
          <w:tcPr>
            <w:tcW w:w="4321" w:type="dxa"/>
          </w:tcPr>
          <w:p w14:paraId="06DF7895" w14:textId="5F5BA37E" w:rsidR="00082DBA" w:rsidRPr="000E1835" w:rsidRDefault="00082DBA" w:rsidP="004D18F9">
            <w:pPr>
              <w:rPr>
                <w:sz w:val="20"/>
                <w:szCs w:val="20"/>
              </w:rPr>
            </w:pPr>
            <w:r>
              <w:rPr>
                <w:sz w:val="20"/>
                <w:szCs w:val="20"/>
              </w:rPr>
              <w:t>Washington</w:t>
            </w:r>
          </w:p>
        </w:tc>
        <w:tc>
          <w:tcPr>
            <w:tcW w:w="736" w:type="dxa"/>
          </w:tcPr>
          <w:p w14:paraId="4621956A" w14:textId="54C89949" w:rsidR="00082DBA" w:rsidRPr="000E1835" w:rsidRDefault="00082DBA" w:rsidP="004D18F9">
            <w:pPr>
              <w:jc w:val="center"/>
              <w:rPr>
                <w:sz w:val="20"/>
                <w:szCs w:val="20"/>
              </w:rPr>
            </w:pPr>
            <w:r>
              <w:rPr>
                <w:sz w:val="20"/>
                <w:szCs w:val="20"/>
              </w:rPr>
              <w:t>DC</w:t>
            </w:r>
          </w:p>
        </w:tc>
        <w:tc>
          <w:tcPr>
            <w:tcW w:w="968" w:type="dxa"/>
          </w:tcPr>
          <w:p w14:paraId="116DE092" w14:textId="781F090E" w:rsidR="00082DBA" w:rsidRPr="000E1835" w:rsidDel="001A3018" w:rsidRDefault="00082DBA" w:rsidP="004D18F9">
            <w:pPr>
              <w:jc w:val="center"/>
              <w:rPr>
                <w:sz w:val="20"/>
                <w:szCs w:val="20"/>
              </w:rPr>
            </w:pPr>
            <w:r>
              <w:rPr>
                <w:sz w:val="20"/>
                <w:szCs w:val="20"/>
              </w:rPr>
              <w:t>3</w:t>
            </w:r>
          </w:p>
        </w:tc>
        <w:tc>
          <w:tcPr>
            <w:tcW w:w="1530" w:type="dxa"/>
          </w:tcPr>
          <w:p w14:paraId="3F4D0B71" w14:textId="52E2BA07" w:rsidR="00082DBA" w:rsidRPr="000E1835" w:rsidRDefault="00082DBA" w:rsidP="004D18F9">
            <w:pPr>
              <w:jc w:val="center"/>
              <w:rPr>
                <w:sz w:val="20"/>
                <w:szCs w:val="20"/>
              </w:rPr>
            </w:pPr>
            <w:r>
              <w:rPr>
                <w:sz w:val="20"/>
                <w:szCs w:val="20"/>
              </w:rPr>
              <w:t>Marginal</w:t>
            </w:r>
          </w:p>
        </w:tc>
      </w:tr>
      <w:tr w:rsidR="00082DBA" w14:paraId="26134AA6" w14:textId="77777777" w:rsidTr="00A377AC">
        <w:tc>
          <w:tcPr>
            <w:tcW w:w="4321" w:type="dxa"/>
          </w:tcPr>
          <w:p w14:paraId="023A8C24" w14:textId="074CF1B7" w:rsidR="00082DBA" w:rsidRPr="000E1835" w:rsidRDefault="00082DBA" w:rsidP="004D18F9">
            <w:pPr>
              <w:rPr>
                <w:sz w:val="20"/>
                <w:szCs w:val="20"/>
              </w:rPr>
            </w:pPr>
            <w:r>
              <w:rPr>
                <w:sz w:val="20"/>
                <w:szCs w:val="20"/>
              </w:rPr>
              <w:t>Washington</w:t>
            </w:r>
          </w:p>
        </w:tc>
        <w:tc>
          <w:tcPr>
            <w:tcW w:w="736" w:type="dxa"/>
          </w:tcPr>
          <w:p w14:paraId="1B1F0318" w14:textId="4355D590" w:rsidR="00082DBA" w:rsidRPr="000E1835" w:rsidRDefault="00082DBA" w:rsidP="004D18F9">
            <w:pPr>
              <w:jc w:val="center"/>
              <w:rPr>
                <w:sz w:val="20"/>
                <w:szCs w:val="20"/>
              </w:rPr>
            </w:pPr>
            <w:r>
              <w:rPr>
                <w:sz w:val="20"/>
                <w:szCs w:val="20"/>
              </w:rPr>
              <w:t>MD</w:t>
            </w:r>
          </w:p>
        </w:tc>
        <w:tc>
          <w:tcPr>
            <w:tcW w:w="968" w:type="dxa"/>
          </w:tcPr>
          <w:p w14:paraId="0FC6642D" w14:textId="45B7E48C" w:rsidR="00082DBA" w:rsidRPr="000E1835" w:rsidDel="001A3018" w:rsidRDefault="00082DBA" w:rsidP="004D18F9">
            <w:pPr>
              <w:jc w:val="center"/>
              <w:rPr>
                <w:sz w:val="20"/>
                <w:szCs w:val="20"/>
              </w:rPr>
            </w:pPr>
            <w:r>
              <w:rPr>
                <w:sz w:val="20"/>
                <w:szCs w:val="20"/>
              </w:rPr>
              <w:t>3</w:t>
            </w:r>
          </w:p>
        </w:tc>
        <w:tc>
          <w:tcPr>
            <w:tcW w:w="1530" w:type="dxa"/>
          </w:tcPr>
          <w:p w14:paraId="48FDBC28" w14:textId="3AC7A421" w:rsidR="00082DBA" w:rsidRPr="000E1835" w:rsidRDefault="00082DBA" w:rsidP="004D18F9">
            <w:pPr>
              <w:jc w:val="center"/>
              <w:rPr>
                <w:sz w:val="20"/>
                <w:szCs w:val="20"/>
              </w:rPr>
            </w:pPr>
            <w:r>
              <w:rPr>
                <w:sz w:val="20"/>
                <w:szCs w:val="20"/>
              </w:rPr>
              <w:t>Marginal</w:t>
            </w:r>
          </w:p>
        </w:tc>
      </w:tr>
      <w:tr w:rsidR="00082DBA" w14:paraId="693B41F0" w14:textId="77777777" w:rsidTr="00A377AC">
        <w:tc>
          <w:tcPr>
            <w:tcW w:w="4321" w:type="dxa"/>
          </w:tcPr>
          <w:p w14:paraId="0EB68093" w14:textId="18F50BC5" w:rsidR="00082DBA" w:rsidRPr="000E1835" w:rsidRDefault="00082DBA" w:rsidP="004D18F9">
            <w:pPr>
              <w:rPr>
                <w:sz w:val="20"/>
                <w:szCs w:val="20"/>
              </w:rPr>
            </w:pPr>
            <w:r>
              <w:rPr>
                <w:sz w:val="20"/>
                <w:szCs w:val="20"/>
              </w:rPr>
              <w:t>Washington</w:t>
            </w:r>
          </w:p>
        </w:tc>
        <w:tc>
          <w:tcPr>
            <w:tcW w:w="736" w:type="dxa"/>
          </w:tcPr>
          <w:p w14:paraId="0A6F4F7D" w14:textId="0F3929F7" w:rsidR="00082DBA" w:rsidRPr="000E1835" w:rsidRDefault="00082DBA" w:rsidP="004D18F9">
            <w:pPr>
              <w:jc w:val="center"/>
              <w:rPr>
                <w:sz w:val="20"/>
                <w:szCs w:val="20"/>
              </w:rPr>
            </w:pPr>
            <w:r>
              <w:rPr>
                <w:sz w:val="20"/>
                <w:szCs w:val="20"/>
              </w:rPr>
              <w:t>VA</w:t>
            </w:r>
          </w:p>
        </w:tc>
        <w:tc>
          <w:tcPr>
            <w:tcW w:w="968" w:type="dxa"/>
          </w:tcPr>
          <w:p w14:paraId="6B4917D8" w14:textId="744310F5" w:rsidR="00082DBA" w:rsidRPr="000E1835" w:rsidDel="001A3018" w:rsidRDefault="00082DBA" w:rsidP="004D18F9">
            <w:pPr>
              <w:jc w:val="center"/>
              <w:rPr>
                <w:sz w:val="20"/>
                <w:szCs w:val="20"/>
              </w:rPr>
            </w:pPr>
            <w:r>
              <w:rPr>
                <w:sz w:val="20"/>
                <w:szCs w:val="20"/>
              </w:rPr>
              <w:t>3</w:t>
            </w:r>
          </w:p>
        </w:tc>
        <w:tc>
          <w:tcPr>
            <w:tcW w:w="1530" w:type="dxa"/>
          </w:tcPr>
          <w:p w14:paraId="6E24A477" w14:textId="4BEE899B" w:rsidR="00082DBA" w:rsidRPr="000E1835" w:rsidRDefault="00082DBA" w:rsidP="004D18F9">
            <w:pPr>
              <w:jc w:val="center"/>
              <w:rPr>
                <w:sz w:val="20"/>
                <w:szCs w:val="20"/>
              </w:rPr>
            </w:pPr>
            <w:r>
              <w:rPr>
                <w:sz w:val="20"/>
                <w:szCs w:val="20"/>
              </w:rPr>
              <w:t>Marginal</w:t>
            </w:r>
          </w:p>
        </w:tc>
      </w:tr>
    </w:tbl>
    <w:p w14:paraId="071B6D2F" w14:textId="4A3EA7C1" w:rsidR="00E711ED" w:rsidRDefault="00E711ED" w:rsidP="00756E81"/>
    <w:p w14:paraId="60B67E37" w14:textId="77777777" w:rsidR="00DD1B73" w:rsidRDefault="00DD1B73" w:rsidP="00756E81"/>
    <w:p w14:paraId="197A9345" w14:textId="77777777" w:rsidR="00DD1B73" w:rsidRDefault="001E1F2B" w:rsidP="00A377AC">
      <w:pPr>
        <w:keepLines/>
        <w:rPr>
          <w:b/>
          <w:sz w:val="20"/>
          <w:szCs w:val="20"/>
        </w:rPr>
      </w:pPr>
      <w:r w:rsidRPr="000E1835">
        <w:rPr>
          <w:b/>
          <w:sz w:val="20"/>
          <w:szCs w:val="20"/>
        </w:rPr>
        <w:t xml:space="preserve">Table </w:t>
      </w:r>
      <w:r w:rsidR="00890EB3">
        <w:rPr>
          <w:b/>
          <w:sz w:val="20"/>
          <w:szCs w:val="20"/>
        </w:rPr>
        <w:t>4.</w:t>
      </w:r>
      <w:r w:rsidR="00435478">
        <w:rPr>
          <w:b/>
          <w:sz w:val="20"/>
          <w:szCs w:val="20"/>
        </w:rPr>
        <w:t>4</w:t>
      </w:r>
      <w:r w:rsidR="00E711ED" w:rsidRPr="000E1835">
        <w:rPr>
          <w:b/>
          <w:sz w:val="20"/>
          <w:szCs w:val="20"/>
        </w:rPr>
        <w:t xml:space="preserve">. </w:t>
      </w:r>
      <w:r w:rsidR="0063052B">
        <w:rPr>
          <w:b/>
          <w:sz w:val="20"/>
          <w:szCs w:val="20"/>
        </w:rPr>
        <w:t xml:space="preserve">Moderate </w:t>
      </w:r>
      <w:r w:rsidR="00E711ED" w:rsidRPr="000E1835">
        <w:rPr>
          <w:b/>
          <w:sz w:val="20"/>
          <w:szCs w:val="20"/>
        </w:rPr>
        <w:t xml:space="preserve">Nonattainment Areas </w:t>
      </w:r>
      <w:r w:rsidR="00A619C0">
        <w:rPr>
          <w:b/>
          <w:sz w:val="20"/>
          <w:szCs w:val="20"/>
        </w:rPr>
        <w:t xml:space="preserve">and States </w:t>
      </w:r>
      <w:r w:rsidR="0063052B">
        <w:rPr>
          <w:b/>
          <w:sz w:val="20"/>
          <w:szCs w:val="20"/>
        </w:rPr>
        <w:t xml:space="preserve">Expected to be </w:t>
      </w:r>
      <w:r w:rsidR="00E711ED" w:rsidRPr="000E1835">
        <w:rPr>
          <w:b/>
          <w:sz w:val="20"/>
          <w:szCs w:val="20"/>
        </w:rPr>
        <w:t>Affected by Serious Area SIP Requirements</w:t>
      </w:r>
    </w:p>
    <w:p w14:paraId="354148A3" w14:textId="0F0B8923" w:rsidR="001E1F2B" w:rsidRPr="000E1835" w:rsidRDefault="001E1F2B" w:rsidP="00A377AC">
      <w:pPr>
        <w:keepLines/>
        <w:rPr>
          <w:b/>
          <w:sz w:val="20"/>
          <w:szCs w:val="20"/>
        </w:rPr>
      </w:pPr>
    </w:p>
    <w:tbl>
      <w:tblPr>
        <w:tblStyle w:val="TableGrid"/>
        <w:tblW w:w="7555" w:type="dxa"/>
        <w:tblLook w:val="04A0" w:firstRow="1" w:lastRow="0" w:firstColumn="1" w:lastColumn="0" w:noHBand="0" w:noVBand="1"/>
      </w:tblPr>
      <w:tblGrid>
        <w:gridCol w:w="4315"/>
        <w:gridCol w:w="720"/>
        <w:gridCol w:w="990"/>
        <w:gridCol w:w="1530"/>
      </w:tblGrid>
      <w:tr w:rsidR="00082DBA" w:rsidRPr="00674D0F" w14:paraId="2963B3A9" w14:textId="77777777" w:rsidTr="00A377AC">
        <w:tc>
          <w:tcPr>
            <w:tcW w:w="4315" w:type="dxa"/>
          </w:tcPr>
          <w:p w14:paraId="248C5A9A" w14:textId="77777777" w:rsidR="00082DBA" w:rsidRPr="000E1835" w:rsidRDefault="00082DBA" w:rsidP="00A377AC">
            <w:pPr>
              <w:keepLines/>
              <w:rPr>
                <w:b/>
                <w:sz w:val="20"/>
                <w:szCs w:val="20"/>
              </w:rPr>
            </w:pPr>
            <w:r w:rsidRPr="000E1835">
              <w:rPr>
                <w:b/>
                <w:sz w:val="20"/>
                <w:szCs w:val="20"/>
              </w:rPr>
              <w:t>Nonattainment Area</w:t>
            </w:r>
          </w:p>
        </w:tc>
        <w:tc>
          <w:tcPr>
            <w:tcW w:w="720" w:type="dxa"/>
          </w:tcPr>
          <w:p w14:paraId="377C8111" w14:textId="77777777" w:rsidR="00082DBA" w:rsidRPr="000E1835" w:rsidRDefault="00082DBA" w:rsidP="00A377AC">
            <w:pPr>
              <w:keepLines/>
              <w:jc w:val="center"/>
              <w:rPr>
                <w:b/>
                <w:sz w:val="20"/>
                <w:szCs w:val="20"/>
              </w:rPr>
            </w:pPr>
            <w:r w:rsidRPr="000E1835">
              <w:rPr>
                <w:b/>
                <w:sz w:val="20"/>
                <w:szCs w:val="20"/>
              </w:rPr>
              <w:t>State</w:t>
            </w:r>
          </w:p>
        </w:tc>
        <w:tc>
          <w:tcPr>
            <w:tcW w:w="990" w:type="dxa"/>
          </w:tcPr>
          <w:p w14:paraId="3E7028B7" w14:textId="7DB7D052" w:rsidR="00082DBA" w:rsidRPr="000E1835" w:rsidRDefault="00082DBA" w:rsidP="00A377AC">
            <w:pPr>
              <w:keepLines/>
              <w:jc w:val="center"/>
              <w:rPr>
                <w:b/>
                <w:sz w:val="20"/>
                <w:szCs w:val="20"/>
              </w:rPr>
            </w:pPr>
            <w:r>
              <w:rPr>
                <w:b/>
                <w:sz w:val="20"/>
                <w:szCs w:val="20"/>
              </w:rPr>
              <w:t>EPA Region</w:t>
            </w:r>
          </w:p>
        </w:tc>
        <w:tc>
          <w:tcPr>
            <w:tcW w:w="1530" w:type="dxa"/>
          </w:tcPr>
          <w:p w14:paraId="6FD6CF84" w14:textId="77777777" w:rsidR="00082DBA" w:rsidRPr="000E1835" w:rsidRDefault="00082DBA" w:rsidP="00A377AC">
            <w:pPr>
              <w:keepLines/>
              <w:jc w:val="center"/>
              <w:rPr>
                <w:b/>
                <w:sz w:val="20"/>
                <w:szCs w:val="20"/>
              </w:rPr>
            </w:pPr>
            <w:r w:rsidRPr="000E1835">
              <w:rPr>
                <w:b/>
                <w:sz w:val="20"/>
                <w:szCs w:val="20"/>
              </w:rPr>
              <w:t>Classification</w:t>
            </w:r>
          </w:p>
        </w:tc>
      </w:tr>
      <w:tr w:rsidR="00082DBA" w14:paraId="796DF1CB" w14:textId="77777777" w:rsidTr="00A377AC">
        <w:tc>
          <w:tcPr>
            <w:tcW w:w="4315" w:type="dxa"/>
          </w:tcPr>
          <w:p w14:paraId="183E60EC" w14:textId="2F8BB841" w:rsidR="00082DBA" w:rsidRPr="000E1835" w:rsidRDefault="00082DBA" w:rsidP="00216D6F">
            <w:pPr>
              <w:rPr>
                <w:sz w:val="20"/>
                <w:szCs w:val="20"/>
              </w:rPr>
            </w:pPr>
            <w:r>
              <w:rPr>
                <w:sz w:val="20"/>
                <w:szCs w:val="20"/>
              </w:rPr>
              <w:t>Chicago-Naperville</w:t>
            </w:r>
          </w:p>
        </w:tc>
        <w:tc>
          <w:tcPr>
            <w:tcW w:w="720" w:type="dxa"/>
          </w:tcPr>
          <w:p w14:paraId="2C18F2A3" w14:textId="34F13D91" w:rsidR="00082DBA" w:rsidRPr="000E1835" w:rsidRDefault="00082DBA" w:rsidP="00674D0F">
            <w:pPr>
              <w:jc w:val="center"/>
              <w:rPr>
                <w:sz w:val="20"/>
                <w:szCs w:val="20"/>
              </w:rPr>
            </w:pPr>
            <w:r>
              <w:rPr>
                <w:sz w:val="20"/>
                <w:szCs w:val="20"/>
              </w:rPr>
              <w:t>IL</w:t>
            </w:r>
          </w:p>
        </w:tc>
        <w:tc>
          <w:tcPr>
            <w:tcW w:w="990" w:type="dxa"/>
          </w:tcPr>
          <w:p w14:paraId="542113D5" w14:textId="4CDD9EBC" w:rsidR="00082DBA" w:rsidRPr="000E1835" w:rsidRDefault="00082DBA" w:rsidP="00674D0F">
            <w:pPr>
              <w:jc w:val="center"/>
              <w:rPr>
                <w:sz w:val="20"/>
                <w:szCs w:val="20"/>
              </w:rPr>
            </w:pPr>
            <w:r>
              <w:rPr>
                <w:sz w:val="20"/>
                <w:szCs w:val="20"/>
              </w:rPr>
              <w:t>5</w:t>
            </w:r>
          </w:p>
        </w:tc>
        <w:tc>
          <w:tcPr>
            <w:tcW w:w="1530" w:type="dxa"/>
          </w:tcPr>
          <w:p w14:paraId="1402AA33" w14:textId="1847DA82" w:rsidR="00082DBA" w:rsidRPr="000E1835" w:rsidRDefault="00082DBA" w:rsidP="00674D0F">
            <w:pPr>
              <w:jc w:val="center"/>
              <w:rPr>
                <w:sz w:val="20"/>
                <w:szCs w:val="20"/>
              </w:rPr>
            </w:pPr>
            <w:r>
              <w:rPr>
                <w:sz w:val="20"/>
                <w:szCs w:val="20"/>
              </w:rPr>
              <w:t>Moderate</w:t>
            </w:r>
          </w:p>
        </w:tc>
      </w:tr>
      <w:tr w:rsidR="00082DBA" w14:paraId="50B190B0" w14:textId="77777777" w:rsidTr="00A377AC">
        <w:tc>
          <w:tcPr>
            <w:tcW w:w="4315" w:type="dxa"/>
          </w:tcPr>
          <w:p w14:paraId="3E22CCFE" w14:textId="210F5A29" w:rsidR="00082DBA" w:rsidRPr="000E1835" w:rsidRDefault="00082DBA" w:rsidP="00343E45">
            <w:pPr>
              <w:rPr>
                <w:sz w:val="20"/>
                <w:szCs w:val="20"/>
              </w:rPr>
            </w:pPr>
            <w:r>
              <w:rPr>
                <w:sz w:val="20"/>
                <w:szCs w:val="20"/>
              </w:rPr>
              <w:t>Chicago-Naperville</w:t>
            </w:r>
          </w:p>
        </w:tc>
        <w:tc>
          <w:tcPr>
            <w:tcW w:w="720" w:type="dxa"/>
          </w:tcPr>
          <w:p w14:paraId="581EF10E" w14:textId="42AD5A97" w:rsidR="00082DBA" w:rsidRPr="000E1835" w:rsidRDefault="00082DBA" w:rsidP="00343E45">
            <w:pPr>
              <w:jc w:val="center"/>
              <w:rPr>
                <w:sz w:val="20"/>
                <w:szCs w:val="20"/>
              </w:rPr>
            </w:pPr>
            <w:r>
              <w:rPr>
                <w:sz w:val="20"/>
                <w:szCs w:val="20"/>
              </w:rPr>
              <w:t>IN</w:t>
            </w:r>
          </w:p>
        </w:tc>
        <w:tc>
          <w:tcPr>
            <w:tcW w:w="990" w:type="dxa"/>
          </w:tcPr>
          <w:p w14:paraId="36129C8C" w14:textId="16AB33D9" w:rsidR="00082DBA" w:rsidRPr="000E1835" w:rsidRDefault="00082DBA" w:rsidP="00343E45">
            <w:pPr>
              <w:jc w:val="center"/>
              <w:rPr>
                <w:sz w:val="20"/>
                <w:szCs w:val="20"/>
              </w:rPr>
            </w:pPr>
            <w:r>
              <w:rPr>
                <w:sz w:val="20"/>
                <w:szCs w:val="20"/>
              </w:rPr>
              <w:t>5</w:t>
            </w:r>
          </w:p>
        </w:tc>
        <w:tc>
          <w:tcPr>
            <w:tcW w:w="1530" w:type="dxa"/>
          </w:tcPr>
          <w:p w14:paraId="030C875F" w14:textId="40F0C647" w:rsidR="00082DBA" w:rsidRPr="000E1835" w:rsidRDefault="00082DBA" w:rsidP="00343E45">
            <w:pPr>
              <w:jc w:val="center"/>
              <w:rPr>
                <w:sz w:val="20"/>
                <w:szCs w:val="20"/>
              </w:rPr>
            </w:pPr>
            <w:r>
              <w:rPr>
                <w:sz w:val="20"/>
                <w:szCs w:val="20"/>
              </w:rPr>
              <w:t>Moderate</w:t>
            </w:r>
          </w:p>
        </w:tc>
      </w:tr>
      <w:tr w:rsidR="00082DBA" w14:paraId="2D9D4228" w14:textId="77777777" w:rsidTr="00A377AC">
        <w:tc>
          <w:tcPr>
            <w:tcW w:w="4315" w:type="dxa"/>
          </w:tcPr>
          <w:p w14:paraId="6BA6A9B2" w14:textId="37602600" w:rsidR="00082DBA" w:rsidRPr="000E1835" w:rsidRDefault="00082DBA" w:rsidP="00343E45">
            <w:pPr>
              <w:rPr>
                <w:sz w:val="20"/>
                <w:szCs w:val="20"/>
              </w:rPr>
            </w:pPr>
            <w:r>
              <w:rPr>
                <w:sz w:val="20"/>
                <w:szCs w:val="20"/>
              </w:rPr>
              <w:t>Chicago-Naperville</w:t>
            </w:r>
          </w:p>
        </w:tc>
        <w:tc>
          <w:tcPr>
            <w:tcW w:w="720" w:type="dxa"/>
          </w:tcPr>
          <w:p w14:paraId="73C8F9D0" w14:textId="4E4C33C7" w:rsidR="00082DBA" w:rsidRPr="000E1835" w:rsidRDefault="00082DBA" w:rsidP="00343E45">
            <w:pPr>
              <w:jc w:val="center"/>
              <w:rPr>
                <w:sz w:val="20"/>
                <w:szCs w:val="20"/>
              </w:rPr>
            </w:pPr>
            <w:r>
              <w:rPr>
                <w:sz w:val="20"/>
                <w:szCs w:val="20"/>
              </w:rPr>
              <w:t>WI</w:t>
            </w:r>
          </w:p>
        </w:tc>
        <w:tc>
          <w:tcPr>
            <w:tcW w:w="990" w:type="dxa"/>
          </w:tcPr>
          <w:p w14:paraId="00248CFD" w14:textId="5080D6B7" w:rsidR="00082DBA" w:rsidRPr="000E1835" w:rsidRDefault="00082DBA" w:rsidP="00343E45">
            <w:pPr>
              <w:jc w:val="center"/>
              <w:rPr>
                <w:sz w:val="20"/>
                <w:szCs w:val="20"/>
              </w:rPr>
            </w:pPr>
            <w:r>
              <w:rPr>
                <w:sz w:val="20"/>
                <w:szCs w:val="20"/>
              </w:rPr>
              <w:t>5</w:t>
            </w:r>
          </w:p>
        </w:tc>
        <w:tc>
          <w:tcPr>
            <w:tcW w:w="1530" w:type="dxa"/>
          </w:tcPr>
          <w:p w14:paraId="15417318" w14:textId="79B9FF25" w:rsidR="00082DBA" w:rsidRPr="000E1835" w:rsidRDefault="00082DBA" w:rsidP="00343E45">
            <w:pPr>
              <w:jc w:val="center"/>
              <w:rPr>
                <w:sz w:val="20"/>
                <w:szCs w:val="20"/>
              </w:rPr>
            </w:pPr>
            <w:r>
              <w:rPr>
                <w:sz w:val="20"/>
                <w:szCs w:val="20"/>
              </w:rPr>
              <w:t>Moderate</w:t>
            </w:r>
          </w:p>
        </w:tc>
      </w:tr>
      <w:tr w:rsidR="00082DBA" w14:paraId="29FDE346" w14:textId="77777777" w:rsidTr="00A377AC">
        <w:tc>
          <w:tcPr>
            <w:tcW w:w="4315" w:type="dxa"/>
          </w:tcPr>
          <w:p w14:paraId="70F0162F" w14:textId="77777777" w:rsidR="00082DBA" w:rsidRPr="000E1835" w:rsidRDefault="00082DBA" w:rsidP="00343E45">
            <w:pPr>
              <w:rPr>
                <w:sz w:val="20"/>
                <w:szCs w:val="20"/>
              </w:rPr>
            </w:pPr>
            <w:r w:rsidRPr="000E1835">
              <w:rPr>
                <w:sz w:val="20"/>
                <w:szCs w:val="20"/>
              </w:rPr>
              <w:t>Dallas-Fort Worth</w:t>
            </w:r>
          </w:p>
        </w:tc>
        <w:tc>
          <w:tcPr>
            <w:tcW w:w="720" w:type="dxa"/>
          </w:tcPr>
          <w:p w14:paraId="45900754" w14:textId="77777777" w:rsidR="00082DBA" w:rsidRPr="000E1835" w:rsidRDefault="00082DBA" w:rsidP="00343E45">
            <w:pPr>
              <w:jc w:val="center"/>
              <w:rPr>
                <w:sz w:val="20"/>
                <w:szCs w:val="20"/>
              </w:rPr>
            </w:pPr>
            <w:r w:rsidRPr="000E1835">
              <w:rPr>
                <w:sz w:val="20"/>
                <w:szCs w:val="20"/>
              </w:rPr>
              <w:t>TX</w:t>
            </w:r>
          </w:p>
        </w:tc>
        <w:tc>
          <w:tcPr>
            <w:tcW w:w="990" w:type="dxa"/>
          </w:tcPr>
          <w:p w14:paraId="4175FDE7" w14:textId="77777777" w:rsidR="00082DBA" w:rsidRPr="000E1835" w:rsidRDefault="00082DBA" w:rsidP="00343E45">
            <w:pPr>
              <w:jc w:val="center"/>
              <w:rPr>
                <w:sz w:val="20"/>
                <w:szCs w:val="20"/>
              </w:rPr>
            </w:pPr>
            <w:r w:rsidRPr="000E1835">
              <w:rPr>
                <w:sz w:val="20"/>
                <w:szCs w:val="20"/>
              </w:rPr>
              <w:t>6</w:t>
            </w:r>
          </w:p>
        </w:tc>
        <w:tc>
          <w:tcPr>
            <w:tcW w:w="1530" w:type="dxa"/>
          </w:tcPr>
          <w:p w14:paraId="669A5F55" w14:textId="77777777" w:rsidR="00082DBA" w:rsidRPr="000E1835" w:rsidRDefault="00082DBA" w:rsidP="00343E45">
            <w:pPr>
              <w:jc w:val="center"/>
              <w:rPr>
                <w:sz w:val="20"/>
                <w:szCs w:val="20"/>
              </w:rPr>
            </w:pPr>
            <w:r w:rsidRPr="000E1835">
              <w:rPr>
                <w:sz w:val="20"/>
                <w:szCs w:val="20"/>
              </w:rPr>
              <w:t>Moderate</w:t>
            </w:r>
          </w:p>
        </w:tc>
      </w:tr>
      <w:tr w:rsidR="00082DBA" w14:paraId="3B2479FE" w14:textId="77777777" w:rsidTr="00A377AC">
        <w:tc>
          <w:tcPr>
            <w:tcW w:w="4315" w:type="dxa"/>
          </w:tcPr>
          <w:p w14:paraId="4D672945" w14:textId="0930F34E" w:rsidR="00082DBA" w:rsidRPr="000E1835" w:rsidRDefault="00082DBA" w:rsidP="00343E45">
            <w:pPr>
              <w:rPr>
                <w:sz w:val="20"/>
                <w:szCs w:val="20"/>
              </w:rPr>
            </w:pPr>
            <w:r>
              <w:rPr>
                <w:sz w:val="20"/>
                <w:szCs w:val="20"/>
              </w:rPr>
              <w:t>Denver-Boulder-Greeley-Ft. Collins-Loveland</w:t>
            </w:r>
          </w:p>
        </w:tc>
        <w:tc>
          <w:tcPr>
            <w:tcW w:w="720" w:type="dxa"/>
          </w:tcPr>
          <w:p w14:paraId="09A72319" w14:textId="644596B9" w:rsidR="00082DBA" w:rsidRPr="000E1835" w:rsidRDefault="00082DBA" w:rsidP="00343E45">
            <w:pPr>
              <w:jc w:val="center"/>
              <w:rPr>
                <w:sz w:val="20"/>
                <w:szCs w:val="20"/>
              </w:rPr>
            </w:pPr>
            <w:r>
              <w:rPr>
                <w:sz w:val="20"/>
                <w:szCs w:val="20"/>
              </w:rPr>
              <w:t>CO</w:t>
            </w:r>
          </w:p>
        </w:tc>
        <w:tc>
          <w:tcPr>
            <w:tcW w:w="990" w:type="dxa"/>
          </w:tcPr>
          <w:p w14:paraId="6BFA2030" w14:textId="75771CE3" w:rsidR="00082DBA" w:rsidRPr="000E1835" w:rsidRDefault="00082DBA" w:rsidP="00343E45">
            <w:pPr>
              <w:jc w:val="center"/>
              <w:rPr>
                <w:sz w:val="20"/>
                <w:szCs w:val="20"/>
              </w:rPr>
            </w:pPr>
            <w:r>
              <w:rPr>
                <w:sz w:val="20"/>
                <w:szCs w:val="20"/>
              </w:rPr>
              <w:t>8</w:t>
            </w:r>
          </w:p>
        </w:tc>
        <w:tc>
          <w:tcPr>
            <w:tcW w:w="1530" w:type="dxa"/>
          </w:tcPr>
          <w:p w14:paraId="75B1D4C9" w14:textId="77C6B98D" w:rsidR="00082DBA" w:rsidRPr="000E1835" w:rsidRDefault="00082DBA" w:rsidP="00343E45">
            <w:pPr>
              <w:jc w:val="center"/>
              <w:rPr>
                <w:sz w:val="20"/>
                <w:szCs w:val="20"/>
              </w:rPr>
            </w:pPr>
            <w:r>
              <w:rPr>
                <w:sz w:val="20"/>
                <w:szCs w:val="20"/>
              </w:rPr>
              <w:t>Moderate</w:t>
            </w:r>
          </w:p>
        </w:tc>
      </w:tr>
      <w:tr w:rsidR="00082DBA" w14:paraId="7DF80955" w14:textId="77777777" w:rsidTr="00A377AC">
        <w:tc>
          <w:tcPr>
            <w:tcW w:w="4315" w:type="dxa"/>
          </w:tcPr>
          <w:p w14:paraId="0AF9DB15" w14:textId="61172A45" w:rsidR="00082DBA" w:rsidRPr="000E1835" w:rsidRDefault="00082DBA" w:rsidP="00343E45">
            <w:pPr>
              <w:rPr>
                <w:sz w:val="20"/>
                <w:szCs w:val="20"/>
              </w:rPr>
            </w:pPr>
            <w:r>
              <w:rPr>
                <w:sz w:val="20"/>
                <w:szCs w:val="20"/>
              </w:rPr>
              <w:t>Houston-Galveston-Brazoria</w:t>
            </w:r>
          </w:p>
        </w:tc>
        <w:tc>
          <w:tcPr>
            <w:tcW w:w="720" w:type="dxa"/>
          </w:tcPr>
          <w:p w14:paraId="2E566A0E" w14:textId="6C7E47E8" w:rsidR="00082DBA" w:rsidRPr="000E1835" w:rsidRDefault="00082DBA" w:rsidP="00343E45">
            <w:pPr>
              <w:jc w:val="center"/>
              <w:rPr>
                <w:sz w:val="20"/>
                <w:szCs w:val="20"/>
              </w:rPr>
            </w:pPr>
            <w:r>
              <w:rPr>
                <w:sz w:val="20"/>
                <w:szCs w:val="20"/>
              </w:rPr>
              <w:t>TX</w:t>
            </w:r>
          </w:p>
        </w:tc>
        <w:tc>
          <w:tcPr>
            <w:tcW w:w="990" w:type="dxa"/>
          </w:tcPr>
          <w:p w14:paraId="442F621E" w14:textId="02A4A3CB" w:rsidR="00082DBA" w:rsidRPr="000E1835" w:rsidRDefault="00082DBA" w:rsidP="00343E45">
            <w:pPr>
              <w:jc w:val="center"/>
              <w:rPr>
                <w:sz w:val="20"/>
                <w:szCs w:val="20"/>
              </w:rPr>
            </w:pPr>
            <w:r>
              <w:rPr>
                <w:sz w:val="20"/>
                <w:szCs w:val="20"/>
              </w:rPr>
              <w:t>6</w:t>
            </w:r>
          </w:p>
        </w:tc>
        <w:tc>
          <w:tcPr>
            <w:tcW w:w="1530" w:type="dxa"/>
          </w:tcPr>
          <w:p w14:paraId="68D3FA3A" w14:textId="0143E23D" w:rsidR="00082DBA" w:rsidRPr="000E1835" w:rsidRDefault="00082DBA" w:rsidP="00343E45">
            <w:pPr>
              <w:jc w:val="center"/>
              <w:rPr>
                <w:sz w:val="20"/>
                <w:szCs w:val="20"/>
              </w:rPr>
            </w:pPr>
            <w:r>
              <w:rPr>
                <w:sz w:val="20"/>
                <w:szCs w:val="20"/>
              </w:rPr>
              <w:t>Moderate</w:t>
            </w:r>
          </w:p>
        </w:tc>
      </w:tr>
      <w:tr w:rsidR="00082DBA" w14:paraId="398EC2ED" w14:textId="77777777" w:rsidTr="00A377AC">
        <w:tc>
          <w:tcPr>
            <w:tcW w:w="4315" w:type="dxa"/>
          </w:tcPr>
          <w:p w14:paraId="1EAAA3E1" w14:textId="1A4DB609" w:rsidR="00082DBA" w:rsidRPr="000E1835" w:rsidRDefault="00082DBA" w:rsidP="00343E45">
            <w:pPr>
              <w:rPr>
                <w:sz w:val="20"/>
                <w:szCs w:val="20"/>
              </w:rPr>
            </w:pPr>
            <w:r>
              <w:rPr>
                <w:sz w:val="20"/>
                <w:szCs w:val="20"/>
              </w:rPr>
              <w:t>Imperial County</w:t>
            </w:r>
          </w:p>
        </w:tc>
        <w:tc>
          <w:tcPr>
            <w:tcW w:w="720" w:type="dxa"/>
          </w:tcPr>
          <w:p w14:paraId="135DB0E7" w14:textId="22791A95" w:rsidR="00082DBA" w:rsidRPr="000E1835" w:rsidRDefault="00082DBA" w:rsidP="00343E45">
            <w:pPr>
              <w:jc w:val="center"/>
              <w:rPr>
                <w:sz w:val="20"/>
                <w:szCs w:val="20"/>
              </w:rPr>
            </w:pPr>
            <w:r>
              <w:rPr>
                <w:sz w:val="20"/>
                <w:szCs w:val="20"/>
              </w:rPr>
              <w:t>CA</w:t>
            </w:r>
          </w:p>
        </w:tc>
        <w:tc>
          <w:tcPr>
            <w:tcW w:w="990" w:type="dxa"/>
          </w:tcPr>
          <w:p w14:paraId="0C58504F" w14:textId="32A7BF0A" w:rsidR="00082DBA" w:rsidRPr="000E1835" w:rsidRDefault="00082DBA" w:rsidP="00343E45">
            <w:pPr>
              <w:jc w:val="center"/>
              <w:rPr>
                <w:sz w:val="20"/>
                <w:szCs w:val="20"/>
              </w:rPr>
            </w:pPr>
            <w:r>
              <w:rPr>
                <w:sz w:val="20"/>
                <w:szCs w:val="20"/>
              </w:rPr>
              <w:t>9</w:t>
            </w:r>
          </w:p>
        </w:tc>
        <w:tc>
          <w:tcPr>
            <w:tcW w:w="1530" w:type="dxa"/>
          </w:tcPr>
          <w:p w14:paraId="330D97A1" w14:textId="67CC06EA" w:rsidR="00082DBA" w:rsidRPr="000E1835" w:rsidRDefault="00082DBA" w:rsidP="00343E45">
            <w:pPr>
              <w:jc w:val="center"/>
              <w:rPr>
                <w:sz w:val="20"/>
                <w:szCs w:val="20"/>
              </w:rPr>
            </w:pPr>
            <w:r>
              <w:rPr>
                <w:sz w:val="20"/>
                <w:szCs w:val="20"/>
              </w:rPr>
              <w:t>Moderate</w:t>
            </w:r>
          </w:p>
        </w:tc>
      </w:tr>
      <w:tr w:rsidR="00082DBA" w14:paraId="0B6B7F04" w14:textId="77777777" w:rsidTr="00A377AC">
        <w:tc>
          <w:tcPr>
            <w:tcW w:w="4315" w:type="dxa"/>
          </w:tcPr>
          <w:p w14:paraId="0CF05CEE" w14:textId="030B3FD0" w:rsidR="00082DBA" w:rsidRPr="000E1835" w:rsidRDefault="00082DBA" w:rsidP="00343E45">
            <w:pPr>
              <w:rPr>
                <w:sz w:val="20"/>
                <w:szCs w:val="20"/>
              </w:rPr>
            </w:pPr>
            <w:r>
              <w:rPr>
                <w:sz w:val="20"/>
                <w:szCs w:val="20"/>
              </w:rPr>
              <w:t>Kern County (Eastern Kern)</w:t>
            </w:r>
          </w:p>
        </w:tc>
        <w:tc>
          <w:tcPr>
            <w:tcW w:w="720" w:type="dxa"/>
          </w:tcPr>
          <w:p w14:paraId="7C29CBA8" w14:textId="2D8D2266" w:rsidR="00082DBA" w:rsidRPr="000E1835" w:rsidRDefault="00082DBA" w:rsidP="00343E45">
            <w:pPr>
              <w:jc w:val="center"/>
              <w:rPr>
                <w:sz w:val="20"/>
                <w:szCs w:val="20"/>
              </w:rPr>
            </w:pPr>
            <w:r>
              <w:rPr>
                <w:sz w:val="20"/>
                <w:szCs w:val="20"/>
              </w:rPr>
              <w:t>CA</w:t>
            </w:r>
          </w:p>
        </w:tc>
        <w:tc>
          <w:tcPr>
            <w:tcW w:w="990" w:type="dxa"/>
          </w:tcPr>
          <w:p w14:paraId="6A76EAE2" w14:textId="37BF8F15" w:rsidR="00082DBA" w:rsidRPr="000E1835" w:rsidRDefault="00082DBA" w:rsidP="00343E45">
            <w:pPr>
              <w:jc w:val="center"/>
              <w:rPr>
                <w:sz w:val="20"/>
                <w:szCs w:val="20"/>
              </w:rPr>
            </w:pPr>
            <w:r>
              <w:rPr>
                <w:sz w:val="20"/>
                <w:szCs w:val="20"/>
              </w:rPr>
              <w:t>9</w:t>
            </w:r>
          </w:p>
        </w:tc>
        <w:tc>
          <w:tcPr>
            <w:tcW w:w="1530" w:type="dxa"/>
          </w:tcPr>
          <w:p w14:paraId="6F1DCDDE" w14:textId="36300D84" w:rsidR="00082DBA" w:rsidRPr="000E1835" w:rsidRDefault="00082DBA" w:rsidP="00343E45">
            <w:pPr>
              <w:jc w:val="center"/>
              <w:rPr>
                <w:sz w:val="20"/>
                <w:szCs w:val="20"/>
              </w:rPr>
            </w:pPr>
            <w:r>
              <w:rPr>
                <w:sz w:val="20"/>
                <w:szCs w:val="20"/>
              </w:rPr>
              <w:t>Moderate</w:t>
            </w:r>
          </w:p>
        </w:tc>
      </w:tr>
      <w:tr w:rsidR="00082DBA" w14:paraId="668DDE5F" w14:textId="77777777" w:rsidTr="00A377AC">
        <w:tc>
          <w:tcPr>
            <w:tcW w:w="4315" w:type="dxa"/>
          </w:tcPr>
          <w:p w14:paraId="1A97D1DD" w14:textId="15961E91" w:rsidR="00082DBA" w:rsidRPr="000E1835" w:rsidRDefault="00082DBA" w:rsidP="00343E45">
            <w:pPr>
              <w:rPr>
                <w:sz w:val="20"/>
                <w:szCs w:val="20"/>
              </w:rPr>
            </w:pPr>
            <w:r>
              <w:rPr>
                <w:sz w:val="20"/>
                <w:szCs w:val="20"/>
              </w:rPr>
              <w:t>Nevada County</w:t>
            </w:r>
          </w:p>
        </w:tc>
        <w:tc>
          <w:tcPr>
            <w:tcW w:w="720" w:type="dxa"/>
          </w:tcPr>
          <w:p w14:paraId="4D5ABF0F" w14:textId="1B5AC2D1" w:rsidR="00082DBA" w:rsidRPr="000E1835" w:rsidRDefault="00082DBA" w:rsidP="00343E45">
            <w:pPr>
              <w:jc w:val="center"/>
              <w:rPr>
                <w:sz w:val="20"/>
                <w:szCs w:val="20"/>
              </w:rPr>
            </w:pPr>
            <w:r>
              <w:rPr>
                <w:sz w:val="20"/>
                <w:szCs w:val="20"/>
              </w:rPr>
              <w:t>CA</w:t>
            </w:r>
          </w:p>
        </w:tc>
        <w:tc>
          <w:tcPr>
            <w:tcW w:w="990" w:type="dxa"/>
          </w:tcPr>
          <w:p w14:paraId="2D608FFF" w14:textId="0EC25342" w:rsidR="00082DBA" w:rsidRPr="000E1835" w:rsidRDefault="00082DBA" w:rsidP="00343E45">
            <w:pPr>
              <w:jc w:val="center"/>
              <w:rPr>
                <w:sz w:val="20"/>
                <w:szCs w:val="20"/>
              </w:rPr>
            </w:pPr>
            <w:r>
              <w:rPr>
                <w:sz w:val="20"/>
                <w:szCs w:val="20"/>
              </w:rPr>
              <w:t>9</w:t>
            </w:r>
          </w:p>
        </w:tc>
        <w:tc>
          <w:tcPr>
            <w:tcW w:w="1530" w:type="dxa"/>
          </w:tcPr>
          <w:p w14:paraId="6C80F28A" w14:textId="7F78A0D7" w:rsidR="00082DBA" w:rsidRPr="000E1835" w:rsidRDefault="00082DBA" w:rsidP="00343E45">
            <w:pPr>
              <w:jc w:val="center"/>
              <w:rPr>
                <w:sz w:val="20"/>
                <w:szCs w:val="20"/>
              </w:rPr>
            </w:pPr>
            <w:r>
              <w:rPr>
                <w:sz w:val="20"/>
                <w:szCs w:val="20"/>
              </w:rPr>
              <w:t>Moderate</w:t>
            </w:r>
          </w:p>
        </w:tc>
      </w:tr>
      <w:tr w:rsidR="00082DBA" w14:paraId="41DB0A07" w14:textId="77777777" w:rsidTr="00A377AC">
        <w:tc>
          <w:tcPr>
            <w:tcW w:w="4315" w:type="dxa"/>
          </w:tcPr>
          <w:p w14:paraId="64A08522" w14:textId="0DCFFE73" w:rsidR="00082DBA" w:rsidRPr="000E1835" w:rsidRDefault="00082DBA" w:rsidP="00343E45">
            <w:pPr>
              <w:rPr>
                <w:sz w:val="20"/>
                <w:szCs w:val="20"/>
              </w:rPr>
            </w:pPr>
            <w:r>
              <w:rPr>
                <w:sz w:val="20"/>
                <w:szCs w:val="20"/>
              </w:rPr>
              <w:t>New York-N. New Jersey-Long Island</w:t>
            </w:r>
          </w:p>
        </w:tc>
        <w:tc>
          <w:tcPr>
            <w:tcW w:w="720" w:type="dxa"/>
          </w:tcPr>
          <w:p w14:paraId="7D204BCE" w14:textId="20EF9BEA" w:rsidR="00082DBA" w:rsidRPr="000E1835" w:rsidRDefault="00082DBA" w:rsidP="00343E45">
            <w:pPr>
              <w:jc w:val="center"/>
              <w:rPr>
                <w:sz w:val="20"/>
                <w:szCs w:val="20"/>
              </w:rPr>
            </w:pPr>
            <w:r>
              <w:rPr>
                <w:sz w:val="20"/>
                <w:szCs w:val="20"/>
              </w:rPr>
              <w:t>NY</w:t>
            </w:r>
          </w:p>
        </w:tc>
        <w:tc>
          <w:tcPr>
            <w:tcW w:w="990" w:type="dxa"/>
          </w:tcPr>
          <w:p w14:paraId="5B091199" w14:textId="4210BFEB" w:rsidR="00082DBA" w:rsidRPr="000E1835" w:rsidRDefault="00082DBA" w:rsidP="00343E45">
            <w:pPr>
              <w:jc w:val="center"/>
              <w:rPr>
                <w:sz w:val="20"/>
                <w:szCs w:val="20"/>
              </w:rPr>
            </w:pPr>
            <w:r>
              <w:rPr>
                <w:sz w:val="20"/>
                <w:szCs w:val="20"/>
              </w:rPr>
              <w:t>2</w:t>
            </w:r>
          </w:p>
        </w:tc>
        <w:tc>
          <w:tcPr>
            <w:tcW w:w="1530" w:type="dxa"/>
          </w:tcPr>
          <w:p w14:paraId="05F50CDA" w14:textId="33C2CAFF" w:rsidR="00082DBA" w:rsidRPr="000E1835" w:rsidRDefault="00082DBA" w:rsidP="00343E45">
            <w:pPr>
              <w:jc w:val="center"/>
              <w:rPr>
                <w:sz w:val="20"/>
                <w:szCs w:val="20"/>
              </w:rPr>
            </w:pPr>
            <w:r>
              <w:rPr>
                <w:sz w:val="20"/>
                <w:szCs w:val="20"/>
              </w:rPr>
              <w:t>Moderate</w:t>
            </w:r>
          </w:p>
        </w:tc>
      </w:tr>
      <w:tr w:rsidR="00082DBA" w14:paraId="1977C769" w14:textId="77777777" w:rsidTr="00A377AC">
        <w:tc>
          <w:tcPr>
            <w:tcW w:w="4315" w:type="dxa"/>
          </w:tcPr>
          <w:p w14:paraId="11A16724" w14:textId="65D06323" w:rsidR="00082DBA" w:rsidRPr="000E1835" w:rsidRDefault="00082DBA" w:rsidP="00343E45">
            <w:pPr>
              <w:rPr>
                <w:sz w:val="20"/>
                <w:szCs w:val="20"/>
              </w:rPr>
            </w:pPr>
            <w:r>
              <w:rPr>
                <w:sz w:val="20"/>
                <w:szCs w:val="20"/>
              </w:rPr>
              <w:t>New York-N. New Jersey-Long Island</w:t>
            </w:r>
          </w:p>
        </w:tc>
        <w:tc>
          <w:tcPr>
            <w:tcW w:w="720" w:type="dxa"/>
          </w:tcPr>
          <w:p w14:paraId="77FE7863" w14:textId="3F0A2317" w:rsidR="00082DBA" w:rsidRPr="000E1835" w:rsidRDefault="00082DBA" w:rsidP="00343E45">
            <w:pPr>
              <w:jc w:val="center"/>
              <w:rPr>
                <w:sz w:val="20"/>
                <w:szCs w:val="20"/>
              </w:rPr>
            </w:pPr>
            <w:r>
              <w:rPr>
                <w:sz w:val="20"/>
                <w:szCs w:val="20"/>
              </w:rPr>
              <w:t>NJ</w:t>
            </w:r>
          </w:p>
        </w:tc>
        <w:tc>
          <w:tcPr>
            <w:tcW w:w="990" w:type="dxa"/>
          </w:tcPr>
          <w:p w14:paraId="785D6386" w14:textId="310BEDF3" w:rsidR="00082DBA" w:rsidRPr="000E1835" w:rsidRDefault="00082DBA" w:rsidP="00343E45">
            <w:pPr>
              <w:jc w:val="center"/>
              <w:rPr>
                <w:sz w:val="20"/>
                <w:szCs w:val="20"/>
              </w:rPr>
            </w:pPr>
            <w:r>
              <w:rPr>
                <w:sz w:val="20"/>
                <w:szCs w:val="20"/>
              </w:rPr>
              <w:t>2</w:t>
            </w:r>
          </w:p>
        </w:tc>
        <w:tc>
          <w:tcPr>
            <w:tcW w:w="1530" w:type="dxa"/>
          </w:tcPr>
          <w:p w14:paraId="31C00BBC" w14:textId="3A6C2080" w:rsidR="00082DBA" w:rsidRPr="000E1835" w:rsidRDefault="00082DBA" w:rsidP="00343E45">
            <w:pPr>
              <w:jc w:val="center"/>
              <w:rPr>
                <w:sz w:val="20"/>
                <w:szCs w:val="20"/>
              </w:rPr>
            </w:pPr>
            <w:r>
              <w:rPr>
                <w:sz w:val="20"/>
                <w:szCs w:val="20"/>
              </w:rPr>
              <w:t>Moderate</w:t>
            </w:r>
          </w:p>
        </w:tc>
      </w:tr>
      <w:tr w:rsidR="00082DBA" w14:paraId="273F323D" w14:textId="77777777" w:rsidTr="00A377AC">
        <w:tc>
          <w:tcPr>
            <w:tcW w:w="4315" w:type="dxa"/>
          </w:tcPr>
          <w:p w14:paraId="1CB3A629" w14:textId="2F3F6F1A" w:rsidR="00082DBA" w:rsidRPr="000E1835" w:rsidRDefault="00082DBA" w:rsidP="00343E45">
            <w:pPr>
              <w:rPr>
                <w:sz w:val="20"/>
                <w:szCs w:val="20"/>
              </w:rPr>
            </w:pPr>
            <w:r>
              <w:rPr>
                <w:sz w:val="20"/>
                <w:szCs w:val="20"/>
              </w:rPr>
              <w:t>New York-N. New Jersey-Long Island</w:t>
            </w:r>
          </w:p>
        </w:tc>
        <w:tc>
          <w:tcPr>
            <w:tcW w:w="720" w:type="dxa"/>
          </w:tcPr>
          <w:p w14:paraId="32FA45D7" w14:textId="07F818EB" w:rsidR="00082DBA" w:rsidRPr="000E1835" w:rsidRDefault="00082DBA" w:rsidP="00343E45">
            <w:pPr>
              <w:jc w:val="center"/>
              <w:rPr>
                <w:sz w:val="20"/>
                <w:szCs w:val="20"/>
              </w:rPr>
            </w:pPr>
            <w:r>
              <w:rPr>
                <w:sz w:val="20"/>
                <w:szCs w:val="20"/>
              </w:rPr>
              <w:t>CT</w:t>
            </w:r>
          </w:p>
        </w:tc>
        <w:tc>
          <w:tcPr>
            <w:tcW w:w="990" w:type="dxa"/>
          </w:tcPr>
          <w:p w14:paraId="465625DE" w14:textId="2AEDE713" w:rsidR="00082DBA" w:rsidRPr="000E1835" w:rsidRDefault="00082DBA" w:rsidP="00343E45">
            <w:pPr>
              <w:jc w:val="center"/>
              <w:rPr>
                <w:sz w:val="20"/>
                <w:szCs w:val="20"/>
              </w:rPr>
            </w:pPr>
            <w:r>
              <w:rPr>
                <w:sz w:val="20"/>
                <w:szCs w:val="20"/>
              </w:rPr>
              <w:t>1</w:t>
            </w:r>
          </w:p>
        </w:tc>
        <w:tc>
          <w:tcPr>
            <w:tcW w:w="1530" w:type="dxa"/>
          </w:tcPr>
          <w:p w14:paraId="71F78A8A" w14:textId="3F162DE3" w:rsidR="00082DBA" w:rsidRPr="000E1835" w:rsidRDefault="00082DBA" w:rsidP="00343E45">
            <w:pPr>
              <w:jc w:val="center"/>
              <w:rPr>
                <w:sz w:val="20"/>
                <w:szCs w:val="20"/>
              </w:rPr>
            </w:pPr>
            <w:r>
              <w:rPr>
                <w:sz w:val="20"/>
                <w:szCs w:val="20"/>
              </w:rPr>
              <w:t>Moderate</w:t>
            </w:r>
          </w:p>
        </w:tc>
      </w:tr>
      <w:tr w:rsidR="00082DBA" w14:paraId="0492D00C" w14:textId="77777777" w:rsidTr="00A377AC">
        <w:tc>
          <w:tcPr>
            <w:tcW w:w="4315" w:type="dxa"/>
          </w:tcPr>
          <w:p w14:paraId="0A5BF0B5" w14:textId="209CD89B" w:rsidR="00082DBA" w:rsidRPr="000E1835" w:rsidRDefault="00082DBA" w:rsidP="00343E45">
            <w:pPr>
              <w:rPr>
                <w:sz w:val="20"/>
                <w:szCs w:val="20"/>
              </w:rPr>
            </w:pPr>
            <w:r>
              <w:rPr>
                <w:sz w:val="20"/>
                <w:szCs w:val="20"/>
              </w:rPr>
              <w:t>Pechanga Reservation</w:t>
            </w:r>
          </w:p>
        </w:tc>
        <w:tc>
          <w:tcPr>
            <w:tcW w:w="720" w:type="dxa"/>
          </w:tcPr>
          <w:p w14:paraId="042E08C7" w14:textId="0A7E89A0" w:rsidR="00082DBA" w:rsidRPr="000E1835" w:rsidRDefault="00082DBA" w:rsidP="00343E45">
            <w:pPr>
              <w:jc w:val="center"/>
              <w:rPr>
                <w:sz w:val="20"/>
                <w:szCs w:val="20"/>
              </w:rPr>
            </w:pPr>
            <w:r>
              <w:rPr>
                <w:sz w:val="20"/>
                <w:szCs w:val="20"/>
              </w:rPr>
              <w:t>CA</w:t>
            </w:r>
          </w:p>
        </w:tc>
        <w:tc>
          <w:tcPr>
            <w:tcW w:w="990" w:type="dxa"/>
          </w:tcPr>
          <w:p w14:paraId="75137688" w14:textId="6F21E992" w:rsidR="00082DBA" w:rsidRPr="000E1835" w:rsidRDefault="00082DBA" w:rsidP="00343E45">
            <w:pPr>
              <w:jc w:val="center"/>
              <w:rPr>
                <w:sz w:val="20"/>
                <w:szCs w:val="20"/>
              </w:rPr>
            </w:pPr>
            <w:r>
              <w:rPr>
                <w:sz w:val="20"/>
                <w:szCs w:val="20"/>
              </w:rPr>
              <w:t>9</w:t>
            </w:r>
          </w:p>
        </w:tc>
        <w:tc>
          <w:tcPr>
            <w:tcW w:w="1530" w:type="dxa"/>
          </w:tcPr>
          <w:p w14:paraId="06B7411C" w14:textId="6AB29D23" w:rsidR="00082DBA" w:rsidRPr="000E1835" w:rsidRDefault="00082DBA" w:rsidP="00343E45">
            <w:pPr>
              <w:jc w:val="center"/>
              <w:rPr>
                <w:sz w:val="20"/>
                <w:szCs w:val="20"/>
              </w:rPr>
            </w:pPr>
            <w:r>
              <w:rPr>
                <w:sz w:val="20"/>
                <w:szCs w:val="20"/>
              </w:rPr>
              <w:t>Moderate</w:t>
            </w:r>
          </w:p>
        </w:tc>
      </w:tr>
      <w:tr w:rsidR="00082DBA" w14:paraId="1984DC5E" w14:textId="77777777" w:rsidTr="00A377AC">
        <w:tc>
          <w:tcPr>
            <w:tcW w:w="4315" w:type="dxa"/>
          </w:tcPr>
          <w:p w14:paraId="1BEB7FA4" w14:textId="031A74B3" w:rsidR="00082DBA" w:rsidRDefault="00082DBA" w:rsidP="00343E45">
            <w:pPr>
              <w:rPr>
                <w:sz w:val="20"/>
                <w:szCs w:val="20"/>
              </w:rPr>
            </w:pPr>
            <w:r>
              <w:rPr>
                <w:sz w:val="20"/>
                <w:szCs w:val="20"/>
              </w:rPr>
              <w:t>Phoenix-Mesa</w:t>
            </w:r>
          </w:p>
        </w:tc>
        <w:tc>
          <w:tcPr>
            <w:tcW w:w="720" w:type="dxa"/>
          </w:tcPr>
          <w:p w14:paraId="348C7B5D" w14:textId="543D7385" w:rsidR="00082DBA" w:rsidRDefault="00082DBA" w:rsidP="00343E45">
            <w:pPr>
              <w:jc w:val="center"/>
              <w:rPr>
                <w:sz w:val="20"/>
                <w:szCs w:val="20"/>
              </w:rPr>
            </w:pPr>
            <w:r>
              <w:rPr>
                <w:sz w:val="20"/>
                <w:szCs w:val="20"/>
              </w:rPr>
              <w:t>AZ</w:t>
            </w:r>
          </w:p>
        </w:tc>
        <w:tc>
          <w:tcPr>
            <w:tcW w:w="990" w:type="dxa"/>
          </w:tcPr>
          <w:p w14:paraId="0C656EE3" w14:textId="7634249A" w:rsidR="00082DBA" w:rsidRDefault="00082DBA" w:rsidP="00343E45">
            <w:pPr>
              <w:jc w:val="center"/>
              <w:rPr>
                <w:sz w:val="20"/>
                <w:szCs w:val="20"/>
              </w:rPr>
            </w:pPr>
            <w:r>
              <w:rPr>
                <w:sz w:val="20"/>
                <w:szCs w:val="20"/>
              </w:rPr>
              <w:t>9</w:t>
            </w:r>
          </w:p>
        </w:tc>
        <w:tc>
          <w:tcPr>
            <w:tcW w:w="1530" w:type="dxa"/>
          </w:tcPr>
          <w:p w14:paraId="2A5BB49C" w14:textId="68F7781E" w:rsidR="00082DBA" w:rsidRDefault="00082DBA" w:rsidP="00343E45">
            <w:pPr>
              <w:jc w:val="center"/>
              <w:rPr>
                <w:sz w:val="20"/>
                <w:szCs w:val="20"/>
              </w:rPr>
            </w:pPr>
            <w:r>
              <w:rPr>
                <w:sz w:val="20"/>
                <w:szCs w:val="20"/>
              </w:rPr>
              <w:t>Moderate</w:t>
            </w:r>
          </w:p>
        </w:tc>
      </w:tr>
      <w:tr w:rsidR="00082DBA" w14:paraId="10DF2F39" w14:textId="77777777" w:rsidTr="00A377AC">
        <w:tc>
          <w:tcPr>
            <w:tcW w:w="4315" w:type="dxa"/>
          </w:tcPr>
          <w:p w14:paraId="37BCA230" w14:textId="69D924BD" w:rsidR="00082DBA" w:rsidRPr="000E1835" w:rsidRDefault="00082DBA" w:rsidP="00343E45">
            <w:pPr>
              <w:rPr>
                <w:sz w:val="20"/>
                <w:szCs w:val="20"/>
              </w:rPr>
            </w:pPr>
            <w:r>
              <w:rPr>
                <w:sz w:val="20"/>
                <w:szCs w:val="20"/>
              </w:rPr>
              <w:t>San Diego County</w:t>
            </w:r>
          </w:p>
        </w:tc>
        <w:tc>
          <w:tcPr>
            <w:tcW w:w="720" w:type="dxa"/>
          </w:tcPr>
          <w:p w14:paraId="5AA6E354" w14:textId="52FB04EC" w:rsidR="00082DBA" w:rsidRPr="000E1835" w:rsidRDefault="00082DBA" w:rsidP="00343E45">
            <w:pPr>
              <w:jc w:val="center"/>
              <w:rPr>
                <w:sz w:val="20"/>
                <w:szCs w:val="20"/>
              </w:rPr>
            </w:pPr>
            <w:r>
              <w:rPr>
                <w:sz w:val="20"/>
                <w:szCs w:val="20"/>
              </w:rPr>
              <w:t>CA</w:t>
            </w:r>
          </w:p>
        </w:tc>
        <w:tc>
          <w:tcPr>
            <w:tcW w:w="990" w:type="dxa"/>
          </w:tcPr>
          <w:p w14:paraId="4F6BE9D4" w14:textId="07E10436" w:rsidR="00082DBA" w:rsidRPr="000E1835" w:rsidRDefault="00082DBA" w:rsidP="00343E45">
            <w:pPr>
              <w:jc w:val="center"/>
              <w:rPr>
                <w:sz w:val="20"/>
                <w:szCs w:val="20"/>
              </w:rPr>
            </w:pPr>
            <w:r>
              <w:rPr>
                <w:sz w:val="20"/>
                <w:szCs w:val="20"/>
              </w:rPr>
              <w:t>9</w:t>
            </w:r>
          </w:p>
        </w:tc>
        <w:tc>
          <w:tcPr>
            <w:tcW w:w="1530" w:type="dxa"/>
          </w:tcPr>
          <w:p w14:paraId="79F63B76" w14:textId="23C503FF" w:rsidR="00082DBA" w:rsidRPr="000E1835" w:rsidRDefault="00082DBA" w:rsidP="00343E45">
            <w:pPr>
              <w:jc w:val="center"/>
              <w:rPr>
                <w:sz w:val="20"/>
                <w:szCs w:val="20"/>
              </w:rPr>
            </w:pPr>
            <w:r>
              <w:rPr>
                <w:sz w:val="20"/>
                <w:szCs w:val="20"/>
              </w:rPr>
              <w:t>Moderate</w:t>
            </w:r>
          </w:p>
        </w:tc>
      </w:tr>
      <w:tr w:rsidR="00082DBA" w14:paraId="7684B16C" w14:textId="77777777" w:rsidTr="00A377AC">
        <w:tc>
          <w:tcPr>
            <w:tcW w:w="4315" w:type="dxa"/>
          </w:tcPr>
          <w:p w14:paraId="3A663A79" w14:textId="23CA5075" w:rsidR="00082DBA" w:rsidRPr="000E1835" w:rsidRDefault="00082DBA" w:rsidP="00343E45">
            <w:pPr>
              <w:rPr>
                <w:sz w:val="20"/>
                <w:szCs w:val="20"/>
              </w:rPr>
            </w:pPr>
            <w:r>
              <w:rPr>
                <w:sz w:val="20"/>
                <w:szCs w:val="20"/>
              </w:rPr>
              <w:t>Sheboygan</w:t>
            </w:r>
          </w:p>
        </w:tc>
        <w:tc>
          <w:tcPr>
            <w:tcW w:w="720" w:type="dxa"/>
          </w:tcPr>
          <w:p w14:paraId="7EDDF5E4" w14:textId="39D672A2" w:rsidR="00082DBA" w:rsidRPr="000E1835" w:rsidRDefault="00082DBA" w:rsidP="00343E45">
            <w:pPr>
              <w:jc w:val="center"/>
              <w:rPr>
                <w:sz w:val="20"/>
                <w:szCs w:val="20"/>
              </w:rPr>
            </w:pPr>
            <w:r>
              <w:rPr>
                <w:sz w:val="20"/>
                <w:szCs w:val="20"/>
              </w:rPr>
              <w:t>WI</w:t>
            </w:r>
          </w:p>
        </w:tc>
        <w:tc>
          <w:tcPr>
            <w:tcW w:w="990" w:type="dxa"/>
          </w:tcPr>
          <w:p w14:paraId="242F260A" w14:textId="25169911" w:rsidR="00082DBA" w:rsidRPr="000E1835" w:rsidRDefault="00082DBA" w:rsidP="00343E45">
            <w:pPr>
              <w:jc w:val="center"/>
              <w:rPr>
                <w:sz w:val="20"/>
                <w:szCs w:val="20"/>
              </w:rPr>
            </w:pPr>
            <w:r>
              <w:rPr>
                <w:sz w:val="20"/>
                <w:szCs w:val="20"/>
              </w:rPr>
              <w:t>5</w:t>
            </w:r>
          </w:p>
        </w:tc>
        <w:tc>
          <w:tcPr>
            <w:tcW w:w="1530" w:type="dxa"/>
          </w:tcPr>
          <w:p w14:paraId="3FD30B00" w14:textId="6C96DCE3" w:rsidR="00082DBA" w:rsidRPr="000E1835" w:rsidRDefault="00082DBA" w:rsidP="00343E45">
            <w:pPr>
              <w:jc w:val="center"/>
              <w:rPr>
                <w:sz w:val="20"/>
                <w:szCs w:val="20"/>
              </w:rPr>
            </w:pPr>
            <w:r>
              <w:rPr>
                <w:sz w:val="20"/>
                <w:szCs w:val="20"/>
              </w:rPr>
              <w:t>Moderate</w:t>
            </w:r>
          </w:p>
        </w:tc>
      </w:tr>
    </w:tbl>
    <w:p w14:paraId="0C04BB8A" w14:textId="23B1BC5E" w:rsidR="001E1F2B" w:rsidRDefault="001E1F2B" w:rsidP="00756E81"/>
    <w:p w14:paraId="749420DC" w14:textId="77777777" w:rsidR="00DD1B73" w:rsidRDefault="00DD1B73" w:rsidP="00756E81"/>
    <w:p w14:paraId="2C9B5F12" w14:textId="77777777" w:rsidR="00CB3528" w:rsidRDefault="00CB3528" w:rsidP="00A377AC">
      <w:pPr>
        <w:keepNext/>
        <w:rPr>
          <w:b/>
        </w:rPr>
      </w:pPr>
      <w:r>
        <w:rPr>
          <w:b/>
        </w:rPr>
        <w:t>4(b)</w:t>
      </w:r>
      <w:r>
        <w:rPr>
          <w:b/>
        </w:rPr>
        <w:tab/>
        <w:t>Information Requested</w:t>
      </w:r>
    </w:p>
    <w:p w14:paraId="5F9B0962" w14:textId="77777777" w:rsidR="00CB3528" w:rsidRDefault="00CB3528" w:rsidP="00A377AC">
      <w:pPr>
        <w:keepNext/>
        <w:rPr>
          <w:b/>
        </w:rPr>
      </w:pPr>
    </w:p>
    <w:p w14:paraId="59C3D841" w14:textId="3020C768" w:rsidR="00CB3528" w:rsidRDefault="00CB3528" w:rsidP="00A377AC">
      <w:pPr>
        <w:keepNext/>
        <w:ind w:firstLine="360"/>
      </w:pPr>
      <w:r>
        <w:t>The information requested under this ICR</w:t>
      </w:r>
      <w:r w:rsidR="00310AA5">
        <w:t xml:space="preserve"> renewal</w:t>
      </w:r>
      <w:r>
        <w:t xml:space="preserve"> is prescribed </w:t>
      </w:r>
      <w:r w:rsidR="0018277A">
        <w:t xml:space="preserve">in the final 2008 ozone NAAQS SIP Requirement Rule </w:t>
      </w:r>
      <w:r>
        <w:t>by 40 CFR 51.</w:t>
      </w:r>
      <w:r w:rsidR="0018277A">
        <w:t>1108</w:t>
      </w:r>
      <w:r>
        <w:t xml:space="preserve"> </w:t>
      </w:r>
      <w:r w:rsidR="00310AA5">
        <w:t xml:space="preserve">and 51.1112(c) </w:t>
      </w:r>
      <w:r>
        <w:t xml:space="preserve">(attainment </w:t>
      </w:r>
      <w:r w:rsidR="00310AA5">
        <w:t>plan/</w:t>
      </w:r>
      <w:r>
        <w:t>demonstration</w:t>
      </w:r>
      <w:r w:rsidR="00310AA5">
        <w:t xml:space="preserve"> SIP submission</w:t>
      </w:r>
      <w:r>
        <w:t>), 51.</w:t>
      </w:r>
      <w:r w:rsidR="0018277A">
        <w:t>11</w:t>
      </w:r>
      <w:r>
        <w:t xml:space="preserve">10 (RFP SIP </w:t>
      </w:r>
      <w:r w:rsidR="008C634D">
        <w:t>submission</w:t>
      </w:r>
      <w:r>
        <w:t>), and 51.</w:t>
      </w:r>
      <w:r w:rsidR="0018277A">
        <w:t>11</w:t>
      </w:r>
      <w:r>
        <w:t xml:space="preserve">12 (RACT SIP </w:t>
      </w:r>
      <w:r w:rsidR="008C634D">
        <w:t>submission</w:t>
      </w:r>
      <w:r>
        <w:t>). The implementation framework set forth in the regulation</w:t>
      </w:r>
      <w:r w:rsidR="00BE32D5">
        <w:t>s</w:t>
      </w:r>
      <w:r>
        <w:t xml:space="preserve"> does not adopt a “one-size-fits all” approach to meeting </w:t>
      </w:r>
      <w:r w:rsidR="00BE32D5">
        <w:t>the</w:t>
      </w:r>
      <w:r w:rsidR="00310AA5">
        <w:t>se</w:t>
      </w:r>
      <w:r w:rsidR="00BE32D5">
        <w:t xml:space="preserve"> applicable requirements</w:t>
      </w:r>
      <w:r>
        <w:t xml:space="preserve">. This flexibility enables the states to customize, to the extent allowed by the </w:t>
      </w:r>
      <w:r w:rsidR="00310AA5">
        <w:t>CAA</w:t>
      </w:r>
      <w:r>
        <w:t xml:space="preserve">, their approach to attaining and maintaining the </w:t>
      </w:r>
      <w:r w:rsidR="004D3FCA">
        <w:t>2008</w:t>
      </w:r>
      <w:r>
        <w:t xml:space="preserve"> </w:t>
      </w:r>
      <w:r w:rsidR="00E83423">
        <w:t>o</w:t>
      </w:r>
      <w:r>
        <w:t>zone NAAQS</w:t>
      </w:r>
      <w:r w:rsidR="000841F8">
        <w:t>.</w:t>
      </w:r>
    </w:p>
    <w:p w14:paraId="494C25C8" w14:textId="77777777" w:rsidR="00CB3528" w:rsidRDefault="00CB3528" w:rsidP="00A377AC">
      <w:pPr>
        <w:ind w:firstLine="360"/>
      </w:pPr>
    </w:p>
    <w:p w14:paraId="09524047" w14:textId="5B2FDC1C" w:rsidR="00CB3528" w:rsidRDefault="00CB3528" w:rsidP="00A377AC">
      <w:pPr>
        <w:ind w:firstLine="360"/>
      </w:pPr>
      <w:r>
        <w:rPr>
          <w:b/>
        </w:rPr>
        <w:t>Data Items.</w:t>
      </w:r>
      <w:r w:rsidR="00821502">
        <w:rPr>
          <w:b/>
        </w:rPr>
        <w:t xml:space="preserve"> </w:t>
      </w:r>
      <w:r>
        <w:t xml:space="preserve">The emissions and control efficiency data required </w:t>
      </w:r>
      <w:r w:rsidR="00310AA5">
        <w:t>to develop</w:t>
      </w:r>
      <w:r>
        <w:t xml:space="preserve"> the attainment </w:t>
      </w:r>
      <w:r w:rsidR="00310AA5">
        <w:t>plan/</w:t>
      </w:r>
      <w:r>
        <w:t>demonstration</w:t>
      </w:r>
      <w:r w:rsidR="00310AA5">
        <w:t xml:space="preserve"> SIP submission</w:t>
      </w:r>
      <w:r>
        <w:t xml:space="preserve">, RFP SIP submission, and RACT SIP submission </w:t>
      </w:r>
      <w:r w:rsidR="004D3FCA">
        <w:t xml:space="preserve">are </w:t>
      </w:r>
      <w:r>
        <w:t xml:space="preserve">collected as a result of reporting activities required by other OMB approved ICRs. For example, see the ICR associated with the Consolidated Emissions Reporting Rule: </w:t>
      </w:r>
      <w:r w:rsidRPr="00A377AC">
        <w:rPr>
          <w:i/>
        </w:rPr>
        <w:t>http://www.epa.gov/ttn/chief/cerr/index.html</w:t>
      </w:r>
      <w:r>
        <w:t>.</w:t>
      </w:r>
      <w:r w:rsidR="00FA5F1B">
        <w:t xml:space="preserve"> </w:t>
      </w:r>
      <w:r>
        <w:t xml:space="preserve">In addition, air pollutant concentration data </w:t>
      </w:r>
      <w:r w:rsidR="004D3FCA">
        <w:t xml:space="preserve">are </w:t>
      </w:r>
      <w:r>
        <w:t>covered already by ICR 0940-</w:t>
      </w:r>
      <w:r w:rsidR="009E2F0A">
        <w:t>22</w:t>
      </w:r>
      <w:r>
        <w:t>, OMB Control Number 2060-0084; the New Source Review provisions are covered by ICR 1230.</w:t>
      </w:r>
      <w:r w:rsidR="009E2F0A">
        <w:t>2</w:t>
      </w:r>
      <w:r w:rsidR="00572E75">
        <w:t>3</w:t>
      </w:r>
      <w:r>
        <w:t>, OM</w:t>
      </w:r>
      <w:r w:rsidR="00B24A9D">
        <w:t xml:space="preserve">B Control Number 2060-003; and </w:t>
      </w:r>
      <w:r>
        <w:t>the Reformulated Gasoline Requirements are covered ICR 1951.</w:t>
      </w:r>
      <w:r w:rsidR="009E2F0A">
        <w:t>24</w:t>
      </w:r>
      <w:r>
        <w:t>, OMB Control Number 2060-0277.</w:t>
      </w:r>
    </w:p>
    <w:p w14:paraId="3378965F" w14:textId="77777777" w:rsidR="00CB3528" w:rsidRDefault="00CB3528" w:rsidP="00A377AC">
      <w:pPr>
        <w:ind w:firstLine="360"/>
      </w:pPr>
    </w:p>
    <w:p w14:paraId="342D854B" w14:textId="710DCDA6" w:rsidR="00CB3528" w:rsidRDefault="00CB3528" w:rsidP="00A377AC">
      <w:pPr>
        <w:ind w:firstLine="360"/>
        <w:rPr>
          <w:b/>
          <w:i/>
        </w:rPr>
      </w:pPr>
      <w:r>
        <w:t>There may be other data that the states use</w:t>
      </w:r>
      <w:r w:rsidR="001944AB">
        <w:t xml:space="preserve"> to develop SIP submissions</w:t>
      </w:r>
      <w:r>
        <w:t xml:space="preserve">. For example, states may identify economic and population growth rates, federal rules that reduce future emissions of ozone precursors, and meteorological data. These data are </w:t>
      </w:r>
      <w:r w:rsidR="0065554D">
        <w:t xml:space="preserve">publicly </w:t>
      </w:r>
      <w:r>
        <w:t>available.</w:t>
      </w:r>
      <w:r w:rsidR="00FA5F1B">
        <w:rPr>
          <w:b/>
          <w:i/>
        </w:rPr>
        <w:t xml:space="preserve"> </w:t>
      </w:r>
    </w:p>
    <w:p w14:paraId="515F4C5C" w14:textId="77777777" w:rsidR="00CB3528" w:rsidRDefault="00CB3528" w:rsidP="00756E81"/>
    <w:p w14:paraId="50015584" w14:textId="619C55E4" w:rsidR="00CB3528" w:rsidRDefault="00CB3528" w:rsidP="00A377AC">
      <w:pPr>
        <w:ind w:firstLine="360"/>
      </w:pPr>
      <w:r>
        <w:rPr>
          <w:b/>
        </w:rPr>
        <w:t>Respondents’ Activities.</w:t>
      </w:r>
      <w:r w:rsidR="00FA5F1B">
        <w:rPr>
          <w:b/>
        </w:rPr>
        <w:t xml:space="preserve"> </w:t>
      </w:r>
      <w:r w:rsidR="00E83423">
        <w:t>S</w:t>
      </w:r>
      <w:r>
        <w:t xml:space="preserve">tates </w:t>
      </w:r>
      <w:r w:rsidR="001944AB">
        <w:t>activities include</w:t>
      </w:r>
      <w:r w:rsidR="00DB74EC">
        <w:t xml:space="preserve"> </w:t>
      </w:r>
      <w:r>
        <w:t>compil</w:t>
      </w:r>
      <w:r w:rsidR="001944AB">
        <w:t>ing</w:t>
      </w:r>
      <w:r>
        <w:t xml:space="preserve"> data, </w:t>
      </w:r>
      <w:r w:rsidR="001944AB">
        <w:t>developing</w:t>
      </w:r>
      <w:r>
        <w:t xml:space="preserve"> methodolog</w:t>
      </w:r>
      <w:r w:rsidR="001944AB">
        <w:t>ies</w:t>
      </w:r>
      <w:r>
        <w:t>, conduct</w:t>
      </w:r>
      <w:r w:rsidR="001944AB">
        <w:t>ing</w:t>
      </w:r>
      <w:r>
        <w:t xml:space="preserve"> analyses, develop</w:t>
      </w:r>
      <w:r w:rsidR="001944AB">
        <w:t>ing</w:t>
      </w:r>
      <w:r w:rsidR="00DB74EC">
        <w:t xml:space="preserve"> initial draft</w:t>
      </w:r>
      <w:r w:rsidR="001944AB">
        <w:t xml:space="preserve"> SIP</w:t>
      </w:r>
      <w:r w:rsidR="00DB74EC">
        <w:t>s, h</w:t>
      </w:r>
      <w:r w:rsidR="001944AB">
        <w:t>o</w:t>
      </w:r>
      <w:r w:rsidR="00DB74EC">
        <w:t>l</w:t>
      </w:r>
      <w:r>
        <w:t>d</w:t>
      </w:r>
      <w:r w:rsidR="001944AB">
        <w:t>ing</w:t>
      </w:r>
      <w:r>
        <w:t xml:space="preserve"> hearings, adopt</w:t>
      </w:r>
      <w:r w:rsidR="001944AB">
        <w:t>ing</w:t>
      </w:r>
      <w:r>
        <w:t xml:space="preserve"> rules, regulations, and programs, </w:t>
      </w:r>
      <w:r w:rsidR="00DB74EC">
        <w:t>ha</w:t>
      </w:r>
      <w:r w:rsidR="001944AB">
        <w:t>ving</w:t>
      </w:r>
      <w:r w:rsidR="00DB74EC">
        <w:t xml:space="preserve"> </w:t>
      </w:r>
      <w:r>
        <w:t>discussions with EPA staff as appropriate, refin</w:t>
      </w:r>
      <w:r w:rsidR="001944AB">
        <w:t>ing</w:t>
      </w:r>
      <w:r>
        <w:t xml:space="preserve"> the draft SIP submissions as appropriate, adopt</w:t>
      </w:r>
      <w:r w:rsidR="001944AB">
        <w:t>ing</w:t>
      </w:r>
      <w:r>
        <w:t xml:space="preserve"> the SIP</w:t>
      </w:r>
      <w:r w:rsidR="00293BD4">
        <w:t xml:space="preserve"> into state law</w:t>
      </w:r>
      <w:r>
        <w:t xml:space="preserve">, and </w:t>
      </w:r>
      <w:r w:rsidR="001944AB">
        <w:t xml:space="preserve">submitting </w:t>
      </w:r>
      <w:r w:rsidR="009F652A">
        <w:t xml:space="preserve">that SIP </w:t>
      </w:r>
      <w:r>
        <w:t xml:space="preserve">to </w:t>
      </w:r>
      <w:r w:rsidR="00242EAD">
        <w:t xml:space="preserve">the </w:t>
      </w:r>
      <w:r>
        <w:t>EPA.</w:t>
      </w:r>
      <w:r w:rsidR="00DB74EC">
        <w:t xml:space="preserve"> </w:t>
      </w:r>
      <w:r w:rsidR="001944AB">
        <w:t>Our past experience with these</w:t>
      </w:r>
      <w:r w:rsidR="00DB74EC">
        <w:t xml:space="preserve"> activities have informed </w:t>
      </w:r>
      <w:r w:rsidR="00A377AC">
        <w:t xml:space="preserve">the </w:t>
      </w:r>
      <w:r w:rsidR="00DB74EC">
        <w:t xml:space="preserve">EPA’s </w:t>
      </w:r>
      <w:r w:rsidR="0065554D">
        <w:t>development of</w:t>
      </w:r>
      <w:r w:rsidR="00DB74EC">
        <w:t xml:space="preserve"> this renewal ICR.</w:t>
      </w:r>
    </w:p>
    <w:p w14:paraId="5E3A789A" w14:textId="77777777" w:rsidR="00CB3528" w:rsidRDefault="00CB3528" w:rsidP="00A377AC">
      <w:pPr>
        <w:ind w:firstLine="360"/>
      </w:pPr>
    </w:p>
    <w:p w14:paraId="04318903" w14:textId="7446C3C2" w:rsidR="00CB3528" w:rsidRDefault="00F3252C" w:rsidP="00A377AC">
      <w:pPr>
        <w:ind w:firstLine="360"/>
      </w:pPr>
      <w:r w:rsidRPr="00F3252C">
        <w:rPr>
          <w:b/>
        </w:rPr>
        <w:t>EPA</w:t>
      </w:r>
      <w:r>
        <w:rPr>
          <w:b/>
        </w:rPr>
        <w:t>’s</w:t>
      </w:r>
      <w:r w:rsidR="00CB3528" w:rsidRPr="00F3252C">
        <w:rPr>
          <w:b/>
        </w:rPr>
        <w:t xml:space="preserve"> </w:t>
      </w:r>
      <w:r w:rsidR="00CB3528">
        <w:rPr>
          <w:b/>
        </w:rPr>
        <w:t>Activities.</w:t>
      </w:r>
      <w:r w:rsidR="00FA5F1B">
        <w:rPr>
          <w:b/>
        </w:rPr>
        <w:t xml:space="preserve"> </w:t>
      </w:r>
      <w:r w:rsidR="001944AB">
        <w:t>Activities for s</w:t>
      </w:r>
      <w:r w:rsidR="00CB3528">
        <w:t xml:space="preserve">taff in </w:t>
      </w:r>
      <w:r w:rsidR="00E83423">
        <w:t xml:space="preserve">EPA’s </w:t>
      </w:r>
      <w:r w:rsidR="00A377AC">
        <w:t>R</w:t>
      </w:r>
      <w:r w:rsidR="00CB3528">
        <w:t xml:space="preserve">egional </w:t>
      </w:r>
      <w:r w:rsidR="00A377AC">
        <w:t>O</w:t>
      </w:r>
      <w:r w:rsidR="00CB3528">
        <w:t xml:space="preserve">ffices </w:t>
      </w:r>
      <w:r w:rsidR="001944AB">
        <w:t xml:space="preserve">include </w:t>
      </w:r>
      <w:r w:rsidR="00B332CA">
        <w:t>assist</w:t>
      </w:r>
      <w:r w:rsidR="001944AB">
        <w:t>ing</w:t>
      </w:r>
      <w:r w:rsidR="00B332CA">
        <w:t xml:space="preserve"> states to develop and make </w:t>
      </w:r>
      <w:r w:rsidR="00CB3528">
        <w:t xml:space="preserve">timely </w:t>
      </w:r>
      <w:r w:rsidR="000971ED">
        <w:t>submittal</w:t>
      </w:r>
      <w:r w:rsidR="00B332CA">
        <w:t>s</w:t>
      </w:r>
      <w:r w:rsidR="00CB3528">
        <w:t xml:space="preserve"> of the </w:t>
      </w:r>
      <w:r w:rsidR="001944AB">
        <w:t>SIPs</w:t>
      </w:r>
      <w:r w:rsidR="00CB3528">
        <w:t xml:space="preserve"> by reviewing </w:t>
      </w:r>
      <w:r w:rsidR="001944AB">
        <w:t xml:space="preserve">draft </w:t>
      </w:r>
      <w:r w:rsidR="00CB3528">
        <w:t>materials and answering questions from states regarding</w:t>
      </w:r>
      <w:r w:rsidR="00FA5F1B">
        <w:t xml:space="preserve"> </w:t>
      </w:r>
      <w:r w:rsidR="00CB3528">
        <w:t xml:space="preserve">requirements, potential data sources, </w:t>
      </w:r>
      <w:r w:rsidR="001944AB">
        <w:t xml:space="preserve">and </w:t>
      </w:r>
      <w:r w:rsidR="00CB3528">
        <w:t xml:space="preserve">analysis tools. </w:t>
      </w:r>
      <w:r w:rsidR="00A377AC">
        <w:t xml:space="preserve">The </w:t>
      </w:r>
      <w:r w:rsidR="00CB3528">
        <w:t xml:space="preserve">EPA Regional Offices </w:t>
      </w:r>
      <w:r w:rsidR="00E83423">
        <w:t xml:space="preserve">then </w:t>
      </w:r>
      <w:r w:rsidR="00CB3528">
        <w:t xml:space="preserve">evaluate the </w:t>
      </w:r>
      <w:r w:rsidR="00E83423">
        <w:t xml:space="preserve">official </w:t>
      </w:r>
      <w:r w:rsidR="00CB3528">
        <w:t xml:space="preserve">SIP submissions </w:t>
      </w:r>
      <w:r w:rsidR="00E83423">
        <w:t xml:space="preserve">that they receive from states </w:t>
      </w:r>
      <w:r w:rsidR="00CB3528">
        <w:t xml:space="preserve">and take rulemaking action to approve or disapprove the SIP revisions. </w:t>
      </w:r>
    </w:p>
    <w:p w14:paraId="7B61DC21" w14:textId="77777777" w:rsidR="00CB3528" w:rsidRDefault="00CB3528" w:rsidP="00A377AC">
      <w:pPr>
        <w:ind w:firstLine="360"/>
      </w:pPr>
    </w:p>
    <w:p w14:paraId="7446C5FC" w14:textId="55240AFD" w:rsidR="00CB3528" w:rsidRDefault="00CB3528" w:rsidP="00A377AC">
      <w:pPr>
        <w:ind w:firstLine="360"/>
      </w:pPr>
      <w:r>
        <w:t xml:space="preserve">EPA </w:t>
      </w:r>
      <w:r w:rsidR="00A377AC">
        <w:t>H</w:t>
      </w:r>
      <w:r>
        <w:t xml:space="preserve">eadquarters staff facilitate information flow amongst the regions and states to </w:t>
      </w:r>
      <w:r w:rsidR="00B332CA">
        <w:t xml:space="preserve">provide technical and policy guidance, and </w:t>
      </w:r>
      <w:r>
        <w:t xml:space="preserve">foster timely </w:t>
      </w:r>
      <w:r w:rsidR="000971ED">
        <w:t xml:space="preserve">review </w:t>
      </w:r>
      <w:r>
        <w:t>of SIP submissions.</w:t>
      </w:r>
    </w:p>
    <w:p w14:paraId="5A26593E" w14:textId="77777777" w:rsidR="00CB3528" w:rsidRDefault="00CB3528" w:rsidP="00A377AC">
      <w:pPr>
        <w:ind w:firstLine="360"/>
      </w:pPr>
    </w:p>
    <w:p w14:paraId="0C3A93BE" w14:textId="5AF17963" w:rsidR="00CB3528" w:rsidRDefault="00CB3528" w:rsidP="00A377AC">
      <w:pPr>
        <w:ind w:firstLine="360"/>
      </w:pPr>
      <w:r>
        <w:rPr>
          <w:b/>
        </w:rPr>
        <w:t>Reporting Protocols.</w:t>
      </w:r>
      <w:r w:rsidR="00FA5F1B">
        <w:rPr>
          <w:b/>
        </w:rPr>
        <w:t xml:space="preserve"> </w:t>
      </w:r>
      <w:r>
        <w:t xml:space="preserve">The </w:t>
      </w:r>
      <w:r w:rsidR="00B332CA">
        <w:t xml:space="preserve">due </w:t>
      </w:r>
      <w:r>
        <w:t>dates for the submissions are set forth in the final implementation rule (40 CFR 51.</w:t>
      </w:r>
      <w:r w:rsidR="001944AB">
        <w:t>1108</w:t>
      </w:r>
      <w:r>
        <w:t>, 51.</w:t>
      </w:r>
      <w:r w:rsidR="001944AB">
        <w:t>1110</w:t>
      </w:r>
      <w:r>
        <w:t>, and 51.</w:t>
      </w:r>
      <w:r w:rsidR="001944AB">
        <w:t>1112</w:t>
      </w:r>
      <w:r>
        <w:t>)</w:t>
      </w:r>
      <w:r w:rsidR="00B332CA">
        <w:t xml:space="preserve"> </w:t>
      </w:r>
      <w:r w:rsidR="001944AB">
        <w:t>and</w:t>
      </w:r>
      <w:r w:rsidR="00B332CA">
        <w:t xml:space="preserve"> </w:t>
      </w:r>
      <w:r w:rsidR="001944AB">
        <w:t xml:space="preserve">in </w:t>
      </w:r>
      <w:r w:rsidR="00B332CA">
        <w:t>subsequent rulemaking actions</w:t>
      </w:r>
      <w:r w:rsidR="001944AB">
        <w:t>,</w:t>
      </w:r>
      <w:r w:rsidR="00B332CA">
        <w:t xml:space="preserve"> as needed</w:t>
      </w:r>
      <w:r>
        <w:t>.</w:t>
      </w:r>
    </w:p>
    <w:p w14:paraId="3E4288EF" w14:textId="77777777" w:rsidR="00CB3528" w:rsidRDefault="00CB3528" w:rsidP="00A377AC">
      <w:pPr>
        <w:ind w:firstLine="360"/>
      </w:pPr>
    </w:p>
    <w:p w14:paraId="198C1969" w14:textId="77777777" w:rsidR="00CB3528" w:rsidRDefault="00CB3528" w:rsidP="00A377AC">
      <w:pPr>
        <w:ind w:firstLine="360"/>
      </w:pPr>
    </w:p>
    <w:p w14:paraId="2EB789CB" w14:textId="77777777" w:rsidR="00CB3528" w:rsidRPr="001A3469" w:rsidRDefault="00CB3528" w:rsidP="00A377AC">
      <w:pPr>
        <w:keepNext/>
        <w:numPr>
          <w:ilvl w:val="0"/>
          <w:numId w:val="7"/>
        </w:numPr>
        <w:tabs>
          <w:tab w:val="clear" w:pos="1440"/>
          <w:tab w:val="num" w:pos="1080"/>
        </w:tabs>
        <w:ind w:left="1080" w:firstLine="360"/>
        <w:rPr>
          <w:b/>
          <w:sz w:val="28"/>
          <w:szCs w:val="28"/>
        </w:rPr>
      </w:pPr>
      <w:r w:rsidRPr="001A3469">
        <w:rPr>
          <w:b/>
          <w:sz w:val="28"/>
          <w:szCs w:val="28"/>
        </w:rPr>
        <w:t>Information Collected—Agency Activities, Collection Methodology, and Information Management</w:t>
      </w:r>
    </w:p>
    <w:p w14:paraId="522DF082" w14:textId="77777777" w:rsidR="00CB3528" w:rsidRDefault="00CB3528" w:rsidP="00A377AC">
      <w:pPr>
        <w:keepNext/>
        <w:ind w:firstLine="360"/>
        <w:rPr>
          <w:sz w:val="28"/>
          <w:szCs w:val="28"/>
        </w:rPr>
      </w:pPr>
    </w:p>
    <w:p w14:paraId="47709B2B" w14:textId="77777777" w:rsidR="00CB3528" w:rsidRDefault="00CB3528" w:rsidP="00A377AC">
      <w:pPr>
        <w:keepNext/>
        <w:ind w:firstLine="360"/>
        <w:rPr>
          <w:b/>
        </w:rPr>
      </w:pPr>
      <w:r>
        <w:rPr>
          <w:b/>
        </w:rPr>
        <w:t>5(a)</w:t>
      </w:r>
      <w:r w:rsidR="00572E75">
        <w:rPr>
          <w:b/>
        </w:rPr>
        <w:tab/>
      </w:r>
      <w:r>
        <w:rPr>
          <w:b/>
        </w:rPr>
        <w:t>States, EPA Regional Offices, and EPA Headquarters Offices</w:t>
      </w:r>
    </w:p>
    <w:p w14:paraId="45FDA8B2" w14:textId="77777777" w:rsidR="00CB3528" w:rsidRDefault="00CB3528" w:rsidP="00A377AC">
      <w:pPr>
        <w:keepNext/>
        <w:ind w:firstLine="360"/>
        <w:rPr>
          <w:b/>
        </w:rPr>
      </w:pPr>
    </w:p>
    <w:p w14:paraId="2F3D99F8" w14:textId="557E4F0C" w:rsidR="00CB3528" w:rsidRDefault="009009C7" w:rsidP="00A377AC">
      <w:pPr>
        <w:keepNext/>
        <w:ind w:firstLine="360"/>
      </w:pPr>
      <w:r>
        <w:rPr>
          <w:b/>
        </w:rPr>
        <w:tab/>
      </w:r>
      <w:r w:rsidR="00CB3528">
        <w:rPr>
          <w:b/>
        </w:rPr>
        <w:t>States:</w:t>
      </w:r>
      <w:r w:rsidR="00FA5F1B">
        <w:rPr>
          <w:b/>
        </w:rPr>
        <w:t xml:space="preserve"> </w:t>
      </w:r>
      <w:r w:rsidR="00CB3528">
        <w:t>The states agencies’ activities include</w:t>
      </w:r>
      <w:r w:rsidR="001607FC">
        <w:rPr>
          <w:rStyle w:val="FootnoteReference"/>
        </w:rPr>
        <w:footnoteReference w:id="7"/>
      </w:r>
      <w:r w:rsidR="00CB3528">
        <w:t>:</w:t>
      </w:r>
    </w:p>
    <w:p w14:paraId="69AB52E8" w14:textId="77777777" w:rsidR="00E9626C" w:rsidRDefault="00E9626C" w:rsidP="00A377AC">
      <w:pPr>
        <w:ind w:firstLine="360"/>
      </w:pPr>
    </w:p>
    <w:p w14:paraId="670F989A" w14:textId="77777777" w:rsidR="00574D6F" w:rsidRDefault="00574D6F" w:rsidP="00A377AC">
      <w:pPr>
        <w:numPr>
          <w:ilvl w:val="0"/>
          <w:numId w:val="8"/>
        </w:numPr>
        <w:tabs>
          <w:tab w:val="clear" w:pos="1080"/>
          <w:tab w:val="num" w:pos="720"/>
        </w:tabs>
        <w:ind w:left="720" w:firstLine="360"/>
      </w:pPr>
      <w:r>
        <w:t>Review relevant EPA rules and any associated technical guidance.</w:t>
      </w:r>
    </w:p>
    <w:p w14:paraId="694888BF" w14:textId="12C33D33" w:rsidR="00CB3528" w:rsidRDefault="00CB3528" w:rsidP="00A377AC">
      <w:pPr>
        <w:numPr>
          <w:ilvl w:val="0"/>
          <w:numId w:val="8"/>
        </w:numPr>
        <w:tabs>
          <w:tab w:val="clear" w:pos="1080"/>
          <w:tab w:val="num" w:pos="720"/>
        </w:tabs>
        <w:ind w:left="720" w:firstLine="360"/>
      </w:pPr>
      <w:r>
        <w:t xml:space="preserve">Forecast baseline emissions, develop and evaluate emission reduction strategies where warranted, conduct air quality modeling to verify maintenance and attainment of the 8-hour </w:t>
      </w:r>
      <w:r w:rsidR="00E9626C">
        <w:t>o</w:t>
      </w:r>
      <w:r>
        <w:t>zone NAAQS</w:t>
      </w:r>
      <w:r w:rsidR="00597B08">
        <w:t>.</w:t>
      </w:r>
    </w:p>
    <w:p w14:paraId="4C800456" w14:textId="08FCA2B1" w:rsidR="00E9626C" w:rsidRDefault="00CB3528" w:rsidP="00A377AC">
      <w:pPr>
        <w:numPr>
          <w:ilvl w:val="0"/>
          <w:numId w:val="8"/>
        </w:numPr>
        <w:tabs>
          <w:tab w:val="clear" w:pos="1080"/>
          <w:tab w:val="num" w:pos="720"/>
        </w:tabs>
        <w:ind w:left="720" w:firstLine="360"/>
      </w:pPr>
      <w:r>
        <w:t>Calculate the emission reductions necessary to fulfill RFP requirement</w:t>
      </w:r>
      <w:r w:rsidR="00E9626C">
        <w:t>s</w:t>
      </w:r>
      <w:r>
        <w:t>, determine creditable emission reductions, where necessary determine additional emission reductions and compliance timing to meet RFP requirement</w:t>
      </w:r>
      <w:r w:rsidR="00E9626C">
        <w:t>s</w:t>
      </w:r>
      <w:r>
        <w:t>. Draft findings, hold state hearings, make revisions as warranted.</w:t>
      </w:r>
      <w:r w:rsidR="00FA5F1B">
        <w:t xml:space="preserve"> </w:t>
      </w:r>
      <w:r>
        <w:t xml:space="preserve">Submit RFP SIP to </w:t>
      </w:r>
      <w:r w:rsidR="00242EAD">
        <w:t xml:space="preserve">the appropriate </w:t>
      </w:r>
      <w:r>
        <w:t xml:space="preserve">EPA Regional office. Have discussions with </w:t>
      </w:r>
      <w:r w:rsidR="00242EAD">
        <w:t xml:space="preserve">the </w:t>
      </w:r>
      <w:r>
        <w:t>EPA.</w:t>
      </w:r>
    </w:p>
    <w:p w14:paraId="52A4BB24" w14:textId="20D7C3C9" w:rsidR="00CB3528" w:rsidRDefault="00CB3528" w:rsidP="00A377AC">
      <w:pPr>
        <w:numPr>
          <w:ilvl w:val="0"/>
          <w:numId w:val="8"/>
        </w:numPr>
        <w:tabs>
          <w:tab w:val="clear" w:pos="1080"/>
          <w:tab w:val="num" w:pos="720"/>
        </w:tabs>
        <w:ind w:left="720" w:firstLine="360"/>
      </w:pPr>
      <w:r>
        <w:t>Identify RACT applicable sources and their control measures under baseline and attainment conditions</w:t>
      </w:r>
      <w:r w:rsidR="00E9626C">
        <w:t>,</w:t>
      </w:r>
      <w:r>
        <w:t xml:space="preserve"> and evaluate alternatives. Draft findings, hold state hearings, make revisions as warranted.</w:t>
      </w:r>
      <w:r w:rsidR="00FA5F1B">
        <w:t xml:space="preserve"> </w:t>
      </w:r>
      <w:r>
        <w:t xml:space="preserve">Submit RACT SIP to </w:t>
      </w:r>
      <w:r w:rsidR="00597B08">
        <w:t xml:space="preserve">the </w:t>
      </w:r>
      <w:r>
        <w:t xml:space="preserve">EPA Regional Office. Have discussions with </w:t>
      </w:r>
      <w:r w:rsidR="00242EAD">
        <w:t xml:space="preserve">the </w:t>
      </w:r>
      <w:r>
        <w:t>EPA.</w:t>
      </w:r>
    </w:p>
    <w:p w14:paraId="14AC4479" w14:textId="77777777" w:rsidR="00CB3528" w:rsidRDefault="00CB3528" w:rsidP="00A377AC">
      <w:pPr>
        <w:ind w:firstLine="360"/>
      </w:pPr>
    </w:p>
    <w:p w14:paraId="2FCB9B1E" w14:textId="76BC4FAD" w:rsidR="00CB3528" w:rsidRDefault="009009C7" w:rsidP="00A377AC">
      <w:pPr>
        <w:ind w:firstLine="360"/>
      </w:pPr>
      <w:r>
        <w:rPr>
          <w:b/>
        </w:rPr>
        <w:tab/>
      </w:r>
      <w:r w:rsidR="00CB3528">
        <w:rPr>
          <w:b/>
        </w:rPr>
        <w:t>EPA Regional Offices.</w:t>
      </w:r>
      <w:r w:rsidR="00FA5F1B">
        <w:rPr>
          <w:b/>
        </w:rPr>
        <w:t xml:space="preserve"> </w:t>
      </w:r>
      <w:r w:rsidR="00CB3528">
        <w:t xml:space="preserve">The </w:t>
      </w:r>
      <w:r w:rsidR="00A377AC">
        <w:t>R</w:t>
      </w:r>
      <w:r w:rsidR="00CB3528">
        <w:t xml:space="preserve">egional </w:t>
      </w:r>
      <w:r w:rsidR="00A377AC">
        <w:t>O</w:t>
      </w:r>
      <w:r w:rsidR="00CB3528">
        <w:t>ffice activities include:</w:t>
      </w:r>
    </w:p>
    <w:p w14:paraId="26BFDFCB" w14:textId="77777777" w:rsidR="00E9626C" w:rsidRDefault="00E9626C" w:rsidP="00A377AC">
      <w:pPr>
        <w:ind w:firstLine="360"/>
      </w:pPr>
    </w:p>
    <w:p w14:paraId="310A9A7A" w14:textId="36DB26DD" w:rsidR="00CB3528" w:rsidRDefault="00CB3528" w:rsidP="00A377AC">
      <w:pPr>
        <w:numPr>
          <w:ilvl w:val="0"/>
          <w:numId w:val="9"/>
        </w:numPr>
        <w:tabs>
          <w:tab w:val="clear" w:pos="1080"/>
          <w:tab w:val="num" w:pos="720"/>
        </w:tabs>
        <w:ind w:left="720" w:firstLine="360"/>
      </w:pPr>
      <w:r>
        <w:t xml:space="preserve">Answer inquiries </w:t>
      </w:r>
      <w:r w:rsidR="00E9626C">
        <w:t>from</w:t>
      </w:r>
      <w:r>
        <w:t xml:space="preserve"> states.</w:t>
      </w:r>
    </w:p>
    <w:p w14:paraId="7ED50638" w14:textId="38437AA7" w:rsidR="00CB3528" w:rsidRDefault="00CB3528" w:rsidP="00A377AC">
      <w:pPr>
        <w:numPr>
          <w:ilvl w:val="0"/>
          <w:numId w:val="9"/>
        </w:numPr>
        <w:tabs>
          <w:tab w:val="clear" w:pos="1080"/>
          <w:tab w:val="num" w:pos="720"/>
        </w:tabs>
        <w:ind w:left="720" w:firstLine="360"/>
      </w:pPr>
      <w:r>
        <w:t xml:space="preserve">Review data, analysis, and findings of attainment </w:t>
      </w:r>
      <w:r w:rsidR="00FC3DA9">
        <w:t>plan/</w:t>
      </w:r>
      <w:r>
        <w:t>demonstration</w:t>
      </w:r>
      <w:r w:rsidR="00FC3DA9">
        <w:t xml:space="preserve"> SIP</w:t>
      </w:r>
      <w:r>
        <w:t>, RFP SIP and RACT SIP.</w:t>
      </w:r>
    </w:p>
    <w:p w14:paraId="4D5C929F" w14:textId="497AA72A" w:rsidR="00CB3528" w:rsidRDefault="00E9626C" w:rsidP="00A377AC">
      <w:pPr>
        <w:numPr>
          <w:ilvl w:val="0"/>
          <w:numId w:val="9"/>
        </w:numPr>
        <w:tabs>
          <w:tab w:val="clear" w:pos="1080"/>
          <w:tab w:val="num" w:pos="720"/>
        </w:tabs>
        <w:ind w:left="720" w:firstLine="360"/>
      </w:pPr>
      <w:r>
        <w:t xml:space="preserve">Develop </w:t>
      </w:r>
      <w:r w:rsidRPr="001E00B8">
        <w:rPr>
          <w:i/>
        </w:rPr>
        <w:t>Federal Register</w:t>
      </w:r>
      <w:r>
        <w:t xml:space="preserve"> notices to propose and/or finalize</w:t>
      </w:r>
      <w:r w:rsidR="00CB3528">
        <w:t xml:space="preserve"> </w:t>
      </w:r>
      <w:r w:rsidR="009D70E1">
        <w:t>action (e.g., approval, conditional approval, disapproval) on</w:t>
      </w:r>
      <w:r w:rsidR="00CB3528">
        <w:t xml:space="preserve"> SIP submissions</w:t>
      </w:r>
      <w:r w:rsidR="00597B08">
        <w:t>.</w:t>
      </w:r>
    </w:p>
    <w:p w14:paraId="7371B666" w14:textId="77777777" w:rsidR="00CB3528" w:rsidRDefault="00CB3528" w:rsidP="00A377AC">
      <w:pPr>
        <w:ind w:firstLine="360"/>
      </w:pPr>
    </w:p>
    <w:p w14:paraId="6C6F62AF" w14:textId="3149AA2B" w:rsidR="00CB3528" w:rsidRDefault="009009C7" w:rsidP="00A377AC">
      <w:pPr>
        <w:ind w:firstLine="360"/>
      </w:pPr>
      <w:r>
        <w:rPr>
          <w:b/>
        </w:rPr>
        <w:tab/>
      </w:r>
      <w:r w:rsidR="00CB3528">
        <w:rPr>
          <w:b/>
        </w:rPr>
        <w:t>EPA Headquarters.</w:t>
      </w:r>
      <w:r w:rsidR="00821502">
        <w:t xml:space="preserve"> </w:t>
      </w:r>
      <w:r w:rsidR="00CB3528">
        <w:t xml:space="preserve">The EPA </w:t>
      </w:r>
      <w:r w:rsidR="00A377AC">
        <w:t>H</w:t>
      </w:r>
      <w:r w:rsidR="00CB3528">
        <w:t>eadquarters office activities include:</w:t>
      </w:r>
    </w:p>
    <w:p w14:paraId="06AA5FCA" w14:textId="77777777" w:rsidR="00E9626C" w:rsidRDefault="00E9626C" w:rsidP="00A377AC">
      <w:pPr>
        <w:ind w:firstLine="360"/>
      </w:pPr>
    </w:p>
    <w:p w14:paraId="0829C8B1" w14:textId="6EC4EA39" w:rsidR="00CB3528" w:rsidRDefault="009D70E1" w:rsidP="00A377AC">
      <w:pPr>
        <w:numPr>
          <w:ilvl w:val="0"/>
          <w:numId w:val="10"/>
        </w:numPr>
        <w:tabs>
          <w:tab w:val="clear" w:pos="1080"/>
          <w:tab w:val="num" w:pos="720"/>
        </w:tabs>
        <w:ind w:left="720" w:firstLine="360"/>
      </w:pPr>
      <w:r>
        <w:t>Coordinate</w:t>
      </w:r>
      <w:r w:rsidR="00CB3528">
        <w:t xml:space="preserve"> information flow and problem</w:t>
      </w:r>
      <w:r>
        <w:t>-</w:t>
      </w:r>
      <w:r w:rsidR="00CB3528">
        <w:t>solving amongst the regions regarding submittals from the states</w:t>
      </w:r>
      <w:r w:rsidR="00597B08">
        <w:t>.</w:t>
      </w:r>
    </w:p>
    <w:p w14:paraId="4604DE2E" w14:textId="3A8691B5" w:rsidR="00CB3528" w:rsidRDefault="00CB3528" w:rsidP="00A377AC">
      <w:pPr>
        <w:numPr>
          <w:ilvl w:val="0"/>
          <w:numId w:val="10"/>
        </w:numPr>
        <w:tabs>
          <w:tab w:val="clear" w:pos="1080"/>
          <w:tab w:val="num" w:pos="720"/>
        </w:tabs>
        <w:ind w:left="720" w:firstLine="360"/>
      </w:pPr>
      <w:r>
        <w:t xml:space="preserve">Answer questions regarding application and interpretation of </w:t>
      </w:r>
      <w:r w:rsidR="009D70E1">
        <w:t xml:space="preserve">relevant </w:t>
      </w:r>
      <w:r>
        <w:t>rule provisions.</w:t>
      </w:r>
    </w:p>
    <w:p w14:paraId="43CC672C" w14:textId="77777777" w:rsidR="00CB3528" w:rsidRDefault="00CB3528" w:rsidP="00A377AC">
      <w:pPr>
        <w:ind w:firstLine="360"/>
      </w:pPr>
    </w:p>
    <w:p w14:paraId="139EE25F" w14:textId="77777777" w:rsidR="00CB3528" w:rsidRDefault="00CB3528" w:rsidP="00A377AC">
      <w:pPr>
        <w:ind w:firstLine="360"/>
        <w:rPr>
          <w:b/>
        </w:rPr>
      </w:pPr>
      <w:r>
        <w:rPr>
          <w:b/>
        </w:rPr>
        <w:t>5(b)</w:t>
      </w:r>
      <w:r>
        <w:rPr>
          <w:b/>
        </w:rPr>
        <w:tab/>
        <w:t>Collection Methodology and Management</w:t>
      </w:r>
    </w:p>
    <w:p w14:paraId="515F12C1" w14:textId="77777777" w:rsidR="00CB3528" w:rsidRDefault="00CB3528" w:rsidP="00A377AC">
      <w:pPr>
        <w:ind w:firstLine="360"/>
        <w:rPr>
          <w:b/>
        </w:rPr>
      </w:pPr>
    </w:p>
    <w:p w14:paraId="475F5173" w14:textId="5F95234C" w:rsidR="00CB3528" w:rsidRDefault="00FC3DA9" w:rsidP="00A377AC">
      <w:pPr>
        <w:ind w:firstLine="360"/>
      </w:pPr>
      <w:r>
        <w:t xml:space="preserve">The EPA will ensure the completeness of the information submitted by comparing </w:t>
      </w:r>
      <w:r w:rsidR="001A3E80">
        <w:t>to</w:t>
      </w:r>
      <w:r>
        <w:t xml:space="preserve"> CAA and rule requirements. The SIP submissions are stored at EPA </w:t>
      </w:r>
      <w:r w:rsidR="00A377AC">
        <w:t>R</w:t>
      </w:r>
      <w:r>
        <w:t xml:space="preserve">egional </w:t>
      </w:r>
      <w:r w:rsidR="00A377AC">
        <w:t>O</w:t>
      </w:r>
      <w:r>
        <w:t>ffices and made available in a public docket as part of any EPA action to approve/disapprove a submission.</w:t>
      </w:r>
      <w:r w:rsidR="001A3E80">
        <w:t xml:space="preserve"> Submissions may be in either electronic or paper form.</w:t>
      </w:r>
    </w:p>
    <w:p w14:paraId="2EC492BA" w14:textId="77777777" w:rsidR="00CB3528" w:rsidRDefault="00CB3528" w:rsidP="00A377AC">
      <w:pPr>
        <w:ind w:firstLine="360"/>
      </w:pPr>
    </w:p>
    <w:p w14:paraId="463DBD44" w14:textId="77777777" w:rsidR="00CB3528" w:rsidRDefault="00CB3528" w:rsidP="00A377AC">
      <w:pPr>
        <w:keepNext/>
        <w:ind w:firstLine="360"/>
        <w:rPr>
          <w:b/>
        </w:rPr>
      </w:pPr>
      <w:r>
        <w:rPr>
          <w:b/>
        </w:rPr>
        <w:t>5(c)</w:t>
      </w:r>
      <w:r>
        <w:rPr>
          <w:b/>
        </w:rPr>
        <w:tab/>
        <w:t>Small Entity Flexibility</w:t>
      </w:r>
    </w:p>
    <w:p w14:paraId="4992AF6C" w14:textId="77777777" w:rsidR="00CB3528" w:rsidRDefault="00CB3528" w:rsidP="00A377AC">
      <w:pPr>
        <w:ind w:firstLine="360"/>
        <w:rPr>
          <w:b/>
        </w:rPr>
      </w:pPr>
    </w:p>
    <w:p w14:paraId="1B609449" w14:textId="7AD6FFBA" w:rsidR="00CB3528" w:rsidRDefault="00CB3528" w:rsidP="00A377AC">
      <w:pPr>
        <w:ind w:firstLine="360"/>
      </w:pPr>
      <w:r>
        <w:t xml:space="preserve">For an approved ICR, the </w:t>
      </w:r>
      <w:r w:rsidR="00F3252C">
        <w:t>EPA</w:t>
      </w:r>
      <w:r>
        <w:t xml:space="preserve"> must demonstrate that it has taken all</w:t>
      </w:r>
      <w:r w:rsidR="00572E75">
        <w:t xml:space="preserve"> </w:t>
      </w:r>
      <w:r>
        <w:t>practical steps to develop separate and simplified requirements for small businesses and other small entities.</w:t>
      </w:r>
      <w:r w:rsidR="00FA5F1B">
        <w:t xml:space="preserve"> </w:t>
      </w:r>
      <w:r>
        <w:t>See 5 CFR 1320.6(h).</w:t>
      </w:r>
      <w:r w:rsidR="00FA5F1B">
        <w:t xml:space="preserve"> </w:t>
      </w:r>
      <w:r>
        <w:t xml:space="preserve">The 8-hour </w:t>
      </w:r>
      <w:r w:rsidR="00E9626C">
        <w:t>o</w:t>
      </w:r>
      <w:r>
        <w:t>zone NAAQS implementation regulation</w:t>
      </w:r>
      <w:r w:rsidR="00E9626C">
        <w:t>s</w:t>
      </w:r>
      <w:r>
        <w:t xml:space="preserve"> do not </w:t>
      </w:r>
      <w:r w:rsidR="00E9626C">
        <w:t xml:space="preserve">create </w:t>
      </w:r>
      <w:r>
        <w:t xml:space="preserve">a direct administrative burden </w:t>
      </w:r>
      <w:r w:rsidR="00E9626C">
        <w:t xml:space="preserve">for </w:t>
      </w:r>
      <w:r>
        <w:t>small entities.</w:t>
      </w:r>
    </w:p>
    <w:p w14:paraId="63256406" w14:textId="77777777" w:rsidR="002C32CC" w:rsidRDefault="002C32CC" w:rsidP="00A377AC">
      <w:pPr>
        <w:ind w:firstLine="360"/>
      </w:pPr>
    </w:p>
    <w:p w14:paraId="2C7B1A2A" w14:textId="77777777" w:rsidR="00CB3528" w:rsidRPr="009009C7" w:rsidRDefault="00CB3528" w:rsidP="00A377AC">
      <w:pPr>
        <w:ind w:firstLine="360"/>
        <w:rPr>
          <w:b/>
        </w:rPr>
      </w:pPr>
      <w:r w:rsidRPr="009009C7">
        <w:rPr>
          <w:b/>
        </w:rPr>
        <w:t>5(d)</w:t>
      </w:r>
      <w:r w:rsidRPr="009009C7">
        <w:rPr>
          <w:b/>
        </w:rPr>
        <w:tab/>
        <w:t>Collection Schedule</w:t>
      </w:r>
    </w:p>
    <w:p w14:paraId="09A78AE3" w14:textId="77777777" w:rsidR="00CB3528" w:rsidRDefault="00CB3528" w:rsidP="00A377AC">
      <w:pPr>
        <w:ind w:firstLine="360"/>
      </w:pPr>
    </w:p>
    <w:p w14:paraId="7B87E0D5" w14:textId="56ED2227" w:rsidR="00CB3528" w:rsidRDefault="00E9626C" w:rsidP="00A377AC">
      <w:pPr>
        <w:ind w:firstLine="360"/>
      </w:pPr>
      <w:r>
        <w:t xml:space="preserve">States have already undertaken a significant amount of planning activities related to meeting the 2008 ozone NAAQS to date. Additional </w:t>
      </w:r>
      <w:r w:rsidR="001A3E80">
        <w:t xml:space="preserve">submissions </w:t>
      </w:r>
      <w:r>
        <w:t xml:space="preserve">reflected in the revised burden estimates in this ICR renewal </w:t>
      </w:r>
      <w:r w:rsidR="007C31DF">
        <w:t xml:space="preserve">include </w:t>
      </w:r>
      <w:r>
        <w:t xml:space="preserve">redesignation </w:t>
      </w:r>
      <w:r w:rsidR="007C31DF">
        <w:t>request</w:t>
      </w:r>
      <w:r>
        <w:t>s fo</w:t>
      </w:r>
      <w:r w:rsidR="007C31DF">
        <w:t xml:space="preserve">r </w:t>
      </w:r>
      <w:r>
        <w:t xml:space="preserve">eligible </w:t>
      </w:r>
      <w:r w:rsidR="007C31DF">
        <w:t>areas</w:t>
      </w:r>
      <w:r>
        <w:t>,</w:t>
      </w:r>
      <w:r w:rsidR="007C31DF">
        <w:t xml:space="preserve"> </w:t>
      </w:r>
      <w:r w:rsidR="00CB3528">
        <w:t xml:space="preserve">attainment </w:t>
      </w:r>
      <w:r w:rsidR="00525BB5">
        <w:t>plan/</w:t>
      </w:r>
      <w:r w:rsidR="00CB3528">
        <w:t>demonstration</w:t>
      </w:r>
      <w:r w:rsidR="00525BB5">
        <w:t xml:space="preserve"> SIP submissions</w:t>
      </w:r>
      <w:r>
        <w:t>,</w:t>
      </w:r>
      <w:r w:rsidR="00CB3528">
        <w:t xml:space="preserve"> </w:t>
      </w:r>
      <w:r w:rsidR="00AC0BD1">
        <w:t>RFP</w:t>
      </w:r>
      <w:r w:rsidR="00CB3528">
        <w:t xml:space="preserve"> SIP submission</w:t>
      </w:r>
      <w:r>
        <w:t>s,</w:t>
      </w:r>
      <w:r w:rsidR="00CB3528">
        <w:t xml:space="preserve"> and RACT SIP submission</w:t>
      </w:r>
      <w:r>
        <w:t>s</w:t>
      </w:r>
      <w:r w:rsidR="00CB3528">
        <w:t>.</w:t>
      </w:r>
    </w:p>
    <w:p w14:paraId="26C93854" w14:textId="77777777" w:rsidR="00CB3528" w:rsidRDefault="00CB3528" w:rsidP="00A377AC">
      <w:pPr>
        <w:ind w:firstLine="360"/>
      </w:pPr>
    </w:p>
    <w:p w14:paraId="1082A631" w14:textId="43E5B7F9" w:rsidR="007C31DF" w:rsidRDefault="007C31DF" w:rsidP="00A377AC">
      <w:pPr>
        <w:ind w:firstLine="360"/>
      </w:pPr>
      <w:r w:rsidRPr="00F10219">
        <w:rPr>
          <w:b/>
        </w:rPr>
        <w:t>Redesignation Request</w:t>
      </w:r>
      <w:r>
        <w:t xml:space="preserve">. </w:t>
      </w:r>
      <w:r w:rsidR="00525BB5">
        <w:t>When an o</w:t>
      </w:r>
      <w:r>
        <w:t>zone nonattainment area attain</w:t>
      </w:r>
      <w:r w:rsidR="00525BB5">
        <w:t>s</w:t>
      </w:r>
      <w:r>
        <w:t xml:space="preserve"> the 2008 ozone standard</w:t>
      </w:r>
      <w:r w:rsidR="00293BD4">
        <w:t>s</w:t>
      </w:r>
      <w:r w:rsidR="00525BB5">
        <w:t>, states</w:t>
      </w:r>
      <w:r>
        <w:t xml:space="preserve"> are eligible to submit a request to the EPA for redesignation to attainment. </w:t>
      </w:r>
      <w:r w:rsidR="00E9626C">
        <w:t xml:space="preserve">Such requests are discretionary; to be conservative, this ICR renewal assumes that </w:t>
      </w:r>
      <w:r w:rsidR="00525BB5">
        <w:t xml:space="preserve">all </w:t>
      </w:r>
      <w:r w:rsidR="00E9626C">
        <w:t xml:space="preserve">states with areas </w:t>
      </w:r>
      <w:r w:rsidR="00525BB5">
        <w:t xml:space="preserve">predicted to be </w:t>
      </w:r>
      <w:r w:rsidR="00E9626C">
        <w:t xml:space="preserve">eligible for redesignation </w:t>
      </w:r>
      <w:r w:rsidR="00525BB5">
        <w:t xml:space="preserve">during the 3-year ICR renewal period </w:t>
      </w:r>
      <w:r w:rsidR="00E9626C">
        <w:t>will request it.</w:t>
      </w:r>
    </w:p>
    <w:p w14:paraId="7F2E57B3" w14:textId="77777777" w:rsidR="007C31DF" w:rsidRDefault="007C31DF" w:rsidP="00A377AC">
      <w:pPr>
        <w:ind w:firstLine="360"/>
      </w:pPr>
    </w:p>
    <w:p w14:paraId="2FE76D2F" w14:textId="795322DF" w:rsidR="00AF1B00" w:rsidRDefault="00CB3528" w:rsidP="00A377AC">
      <w:pPr>
        <w:ind w:firstLine="360"/>
      </w:pPr>
      <w:r w:rsidRPr="009009C7">
        <w:rPr>
          <w:b/>
        </w:rPr>
        <w:t xml:space="preserve">Attainment </w:t>
      </w:r>
      <w:r w:rsidR="00525BB5">
        <w:rPr>
          <w:b/>
        </w:rPr>
        <w:t>Plan/</w:t>
      </w:r>
      <w:r w:rsidRPr="009009C7">
        <w:rPr>
          <w:b/>
        </w:rPr>
        <w:t>Demonstration</w:t>
      </w:r>
      <w:r>
        <w:t xml:space="preserve">. </w:t>
      </w:r>
      <w:r w:rsidR="00D04F44">
        <w:t xml:space="preserve">If the EPA takes </w:t>
      </w:r>
      <w:r w:rsidR="00AF1B00">
        <w:t>a</w:t>
      </w:r>
      <w:r w:rsidR="00D04F44">
        <w:t xml:space="preserve">n action to reclassify </w:t>
      </w:r>
      <w:r w:rsidR="00525BB5">
        <w:t xml:space="preserve">to Serious an </w:t>
      </w:r>
      <w:r w:rsidR="00D04F44">
        <w:t xml:space="preserve">area that </w:t>
      </w:r>
      <w:r w:rsidR="00525BB5">
        <w:t xml:space="preserve">does </w:t>
      </w:r>
      <w:r w:rsidR="00D04F44">
        <w:t xml:space="preserve">not attain by the </w:t>
      </w:r>
      <w:r w:rsidR="00C3701A">
        <w:t>Moderate</w:t>
      </w:r>
      <w:r w:rsidR="00D04F44">
        <w:t xml:space="preserve"> area attainment date</w:t>
      </w:r>
      <w:r w:rsidR="00525BB5">
        <w:t xml:space="preserve"> of July 20, 2018</w:t>
      </w:r>
      <w:r w:rsidR="00D04F44">
        <w:t>, t</w:t>
      </w:r>
      <w:r>
        <w:t xml:space="preserve">he </w:t>
      </w:r>
      <w:r w:rsidR="00525BB5">
        <w:t>attainment plan/</w:t>
      </w:r>
      <w:r>
        <w:t xml:space="preserve">demonstration </w:t>
      </w:r>
      <w:r w:rsidR="00525BB5">
        <w:t xml:space="preserve">SIP </w:t>
      </w:r>
      <w:r>
        <w:t xml:space="preserve">submission date </w:t>
      </w:r>
      <w:r w:rsidR="00D04F44">
        <w:t xml:space="preserve">for the area will be specified in the EPA action. </w:t>
      </w:r>
      <w:r w:rsidR="00525BB5">
        <w:t xml:space="preserve">For </w:t>
      </w:r>
      <w:r w:rsidR="00D04F44">
        <w:t>this ICR</w:t>
      </w:r>
      <w:r w:rsidR="00525BB5">
        <w:t xml:space="preserve"> renewal</w:t>
      </w:r>
      <w:r w:rsidR="00D04F44">
        <w:t xml:space="preserve">, </w:t>
      </w:r>
      <w:r w:rsidR="00A377AC">
        <w:t xml:space="preserve">the </w:t>
      </w:r>
      <w:r w:rsidR="00D04F44">
        <w:t xml:space="preserve">EPA assumes the submission due date would be </w:t>
      </w:r>
      <w:r w:rsidR="00525BB5">
        <w:t xml:space="preserve">no later than </w:t>
      </w:r>
      <w:r w:rsidR="00D173BC">
        <w:t xml:space="preserve">January 1, 2020, which is </w:t>
      </w:r>
      <w:r w:rsidR="00525BB5">
        <w:t xml:space="preserve">the </w:t>
      </w:r>
      <w:r w:rsidR="00D173BC">
        <w:t xml:space="preserve">start of the </w:t>
      </w:r>
      <w:r w:rsidR="00525BB5">
        <w:t>attainment year for Serious areas</w:t>
      </w:r>
      <w:r w:rsidR="00D04F44">
        <w:t xml:space="preserve">. </w:t>
      </w:r>
    </w:p>
    <w:p w14:paraId="5C5460FD" w14:textId="77777777" w:rsidR="00AF1B00" w:rsidRDefault="00AC607B" w:rsidP="00A377AC">
      <w:pPr>
        <w:tabs>
          <w:tab w:val="left" w:pos="3555"/>
        </w:tabs>
        <w:ind w:firstLine="360"/>
      </w:pPr>
      <w:r>
        <w:tab/>
      </w:r>
    </w:p>
    <w:p w14:paraId="6CFF92E6" w14:textId="6F026604" w:rsidR="00CB3528" w:rsidRDefault="00CB3528" w:rsidP="00A377AC">
      <w:pPr>
        <w:ind w:firstLine="360"/>
        <w:rPr>
          <w:sz w:val="28"/>
          <w:szCs w:val="28"/>
        </w:rPr>
      </w:pPr>
      <w:r w:rsidRPr="009009C7">
        <w:rPr>
          <w:b/>
        </w:rPr>
        <w:t>RFP SIP Submission</w:t>
      </w:r>
      <w:r>
        <w:t>.</w:t>
      </w:r>
      <w:r w:rsidR="00821502">
        <w:t xml:space="preserve"> </w:t>
      </w:r>
      <w:r w:rsidR="00C466B3">
        <w:t xml:space="preserve">If the EPA takes an action to reclassify </w:t>
      </w:r>
      <w:r w:rsidR="001A3E80">
        <w:t xml:space="preserve">to Serious an </w:t>
      </w:r>
      <w:r w:rsidR="00C466B3">
        <w:t xml:space="preserve">area that </w:t>
      </w:r>
      <w:r w:rsidR="001A3E80">
        <w:t xml:space="preserve">does </w:t>
      </w:r>
      <w:r w:rsidR="00C466B3">
        <w:t>not attain by the Moderate area attainment date</w:t>
      </w:r>
      <w:r w:rsidR="001A3E80">
        <w:t xml:space="preserve"> of July 20, 2018</w:t>
      </w:r>
      <w:r w:rsidR="00C466B3">
        <w:t xml:space="preserve">, the RFP SIP submission date for the areas will be specified in the EPA action. </w:t>
      </w:r>
      <w:r w:rsidR="001A3E80">
        <w:t xml:space="preserve">For </w:t>
      </w:r>
      <w:r w:rsidR="00C466B3">
        <w:t>this ICR</w:t>
      </w:r>
      <w:r w:rsidR="001A3E80">
        <w:t xml:space="preserve"> renewal</w:t>
      </w:r>
      <w:r w:rsidR="00C466B3">
        <w:t xml:space="preserve">, </w:t>
      </w:r>
      <w:r w:rsidR="00A377AC">
        <w:t xml:space="preserve">the </w:t>
      </w:r>
      <w:r w:rsidR="00C466B3">
        <w:t xml:space="preserve">EPA assumes the submission due date would be </w:t>
      </w:r>
      <w:r w:rsidR="001A3E80">
        <w:t>no later than January 1, 2020, which is the start of the attainment year for Serious areas</w:t>
      </w:r>
      <w:r w:rsidR="00C466B3">
        <w:t>.</w:t>
      </w:r>
      <w:r w:rsidR="00D04F44">
        <w:t xml:space="preserve"> </w:t>
      </w:r>
    </w:p>
    <w:p w14:paraId="23B38475" w14:textId="77777777" w:rsidR="00CB3528" w:rsidRDefault="00CB3528" w:rsidP="00A377AC">
      <w:pPr>
        <w:ind w:firstLine="360"/>
      </w:pPr>
    </w:p>
    <w:p w14:paraId="38ED3C91" w14:textId="24700755" w:rsidR="00CB3528" w:rsidRDefault="00CB3528" w:rsidP="00A377AC">
      <w:pPr>
        <w:ind w:firstLine="360"/>
      </w:pPr>
      <w:r w:rsidRPr="009009C7">
        <w:rPr>
          <w:b/>
        </w:rPr>
        <w:t>RACT SIP Submission</w:t>
      </w:r>
      <w:r>
        <w:t xml:space="preserve">. </w:t>
      </w:r>
      <w:r w:rsidR="00D112AC">
        <w:t>T</w:t>
      </w:r>
      <w:r>
        <w:t>he RACT SIP subm</w:t>
      </w:r>
      <w:r w:rsidR="00750286">
        <w:t xml:space="preserve">ission </w:t>
      </w:r>
      <w:r w:rsidR="00D112AC">
        <w:t xml:space="preserve">due </w:t>
      </w:r>
      <w:r w:rsidR="00750286">
        <w:t xml:space="preserve">date </w:t>
      </w:r>
      <w:r w:rsidR="00C3701A">
        <w:t xml:space="preserve">for </w:t>
      </w:r>
      <w:r w:rsidR="001A3E80">
        <w:t xml:space="preserve">Moderate </w:t>
      </w:r>
      <w:r w:rsidR="00C3701A">
        <w:t xml:space="preserve">nonattainment areas reclassified </w:t>
      </w:r>
      <w:r w:rsidR="0035711E">
        <w:t xml:space="preserve">to </w:t>
      </w:r>
      <w:r w:rsidR="001A3E80">
        <w:t>Serious will be specified in the EPA action</w:t>
      </w:r>
      <w:r w:rsidR="000A23B9">
        <w:t xml:space="preserve"> reclassifying an area</w:t>
      </w:r>
      <w:r w:rsidR="00325747">
        <w:t>.</w:t>
      </w:r>
      <w:r w:rsidR="0035711E">
        <w:t xml:space="preserve"> </w:t>
      </w:r>
      <w:r w:rsidR="000A23B9">
        <w:t xml:space="preserve">For this ICR renewal, </w:t>
      </w:r>
      <w:r w:rsidR="00A377AC">
        <w:t xml:space="preserve">the </w:t>
      </w:r>
      <w:r w:rsidR="000A23B9">
        <w:t>EPA assumes the submission due date would be no later than January 1, 2020, which is the start of the attainment year for Serious areas</w:t>
      </w:r>
      <w:r w:rsidR="0035711E">
        <w:t>.</w:t>
      </w:r>
    </w:p>
    <w:p w14:paraId="00396C22" w14:textId="77777777" w:rsidR="00CB3528" w:rsidRDefault="00CB3528" w:rsidP="00A377AC">
      <w:pPr>
        <w:ind w:firstLine="360"/>
      </w:pPr>
    </w:p>
    <w:p w14:paraId="35F60595" w14:textId="77777777" w:rsidR="00CB3528" w:rsidRDefault="00CB3528" w:rsidP="00A377AC">
      <w:pPr>
        <w:numPr>
          <w:ilvl w:val="0"/>
          <w:numId w:val="12"/>
        </w:numPr>
        <w:tabs>
          <w:tab w:val="clear" w:pos="720"/>
          <w:tab w:val="num" w:pos="360"/>
        </w:tabs>
        <w:ind w:left="360" w:firstLine="360"/>
        <w:rPr>
          <w:b/>
          <w:sz w:val="28"/>
          <w:szCs w:val="28"/>
        </w:rPr>
      </w:pPr>
      <w:r>
        <w:rPr>
          <w:b/>
          <w:sz w:val="28"/>
          <w:szCs w:val="28"/>
        </w:rPr>
        <w:t xml:space="preserve">Estimating the Burden </w:t>
      </w:r>
      <w:r w:rsidR="009F652A">
        <w:rPr>
          <w:b/>
          <w:sz w:val="28"/>
          <w:szCs w:val="28"/>
        </w:rPr>
        <w:t xml:space="preserve">and Cost </w:t>
      </w:r>
      <w:r>
        <w:rPr>
          <w:b/>
          <w:sz w:val="28"/>
          <w:szCs w:val="28"/>
        </w:rPr>
        <w:t>of the Collection</w:t>
      </w:r>
    </w:p>
    <w:p w14:paraId="3A40E592" w14:textId="77777777" w:rsidR="00CB3528" w:rsidRDefault="00CB3528" w:rsidP="00A377AC">
      <w:pPr>
        <w:ind w:firstLine="360"/>
      </w:pPr>
    </w:p>
    <w:p w14:paraId="5DCD2CB6" w14:textId="7C152CBE" w:rsidR="00184DED" w:rsidRDefault="00CB3528" w:rsidP="00A377AC">
      <w:pPr>
        <w:ind w:firstLine="360"/>
      </w:pPr>
      <w:r>
        <w:t xml:space="preserve">This section provides information on the cost and hours associated with the information collection for respondents (affected states) and the </w:t>
      </w:r>
      <w:r w:rsidR="00DA35E4">
        <w:t>EPA</w:t>
      </w:r>
      <w:r>
        <w:t xml:space="preserve"> (regional and headquarters offices). Hours and costs are presented for the activities associated with each collection item for a </w:t>
      </w:r>
      <w:r w:rsidR="00F60529">
        <w:t>nonattainment</w:t>
      </w:r>
      <w:r>
        <w:t xml:space="preserve"> area (or </w:t>
      </w:r>
      <w:r w:rsidR="000E64D8">
        <w:t>portion thereof</w:t>
      </w:r>
      <w:r>
        <w:t>) in a given state, as well as the equivalent annual and present value numbers.</w:t>
      </w:r>
    </w:p>
    <w:p w14:paraId="2ACEDE17" w14:textId="77777777" w:rsidR="00C92500" w:rsidRDefault="00C92500" w:rsidP="00A377AC">
      <w:pPr>
        <w:ind w:firstLine="360"/>
        <w:rPr>
          <w:b/>
        </w:rPr>
      </w:pPr>
    </w:p>
    <w:p w14:paraId="23393403" w14:textId="77777777" w:rsidR="00CB3528" w:rsidRPr="009009C7" w:rsidRDefault="00CB3528" w:rsidP="00A377AC">
      <w:pPr>
        <w:keepLines/>
        <w:ind w:firstLine="360"/>
        <w:rPr>
          <w:b/>
        </w:rPr>
      </w:pPr>
      <w:r w:rsidRPr="009009C7">
        <w:rPr>
          <w:b/>
        </w:rPr>
        <w:t>6(a)</w:t>
      </w:r>
      <w:r w:rsidRPr="009009C7">
        <w:rPr>
          <w:b/>
        </w:rPr>
        <w:tab/>
        <w:t>Estimating Respondent Burden</w:t>
      </w:r>
    </w:p>
    <w:p w14:paraId="648D0E29" w14:textId="77777777" w:rsidR="00CB3528" w:rsidRDefault="00CB3528" w:rsidP="00A377AC">
      <w:pPr>
        <w:keepLines/>
        <w:ind w:firstLine="360"/>
      </w:pPr>
    </w:p>
    <w:p w14:paraId="12652825" w14:textId="620CC9F5" w:rsidR="00CB3528" w:rsidRDefault="00CB3528" w:rsidP="00A377AC">
      <w:pPr>
        <w:keepLines/>
        <w:ind w:firstLine="360"/>
      </w:pPr>
      <w:r>
        <w:t xml:space="preserve">The estimated respondent burden is that associated with the activities </w:t>
      </w:r>
      <w:r w:rsidR="000A23B9">
        <w:t>to develop and submit</w:t>
      </w:r>
      <w:r>
        <w:t xml:space="preserve"> the attainment </w:t>
      </w:r>
      <w:r w:rsidR="000A23B9">
        <w:t>plan/</w:t>
      </w:r>
      <w:r>
        <w:t>demonstration</w:t>
      </w:r>
      <w:r w:rsidR="000A23B9">
        <w:t xml:space="preserve"> SIP</w:t>
      </w:r>
      <w:r>
        <w:t>, RFP SIP, RACT SIP</w:t>
      </w:r>
      <w:r w:rsidR="000A23B9">
        <w:t>,</w:t>
      </w:r>
      <w:r>
        <w:t xml:space="preserve"> </w:t>
      </w:r>
      <w:r w:rsidR="000841F8">
        <w:t>and requests for redesignation to attainment</w:t>
      </w:r>
      <w:r>
        <w:t>.</w:t>
      </w:r>
    </w:p>
    <w:p w14:paraId="4DC1C079" w14:textId="77777777" w:rsidR="00CB3528" w:rsidRDefault="00CB3528" w:rsidP="00A377AC">
      <w:pPr>
        <w:ind w:firstLine="360"/>
      </w:pPr>
    </w:p>
    <w:p w14:paraId="1D01C22B" w14:textId="645DE10B" w:rsidR="00CB3528" w:rsidRDefault="00CB3528" w:rsidP="00A377AC">
      <w:pPr>
        <w:ind w:firstLine="360"/>
      </w:pPr>
      <w:r>
        <w:t xml:space="preserve">The estimated burden is incremental to that required by other EPA environmental reporting obligations. The </w:t>
      </w:r>
      <w:r w:rsidR="00EA74FD">
        <w:t xml:space="preserve">actual </w:t>
      </w:r>
      <w:r>
        <w:t>incremental burden for some areas may be less than for others. There are several reasons for this disparity</w:t>
      </w:r>
      <w:r w:rsidR="000E64D8">
        <w:t>:</w:t>
      </w:r>
    </w:p>
    <w:p w14:paraId="1A6BC4C1" w14:textId="62795D84" w:rsidR="009009C7" w:rsidRDefault="00CB3528" w:rsidP="00A377AC">
      <w:pPr>
        <w:numPr>
          <w:ilvl w:val="0"/>
          <w:numId w:val="26"/>
        </w:numPr>
        <w:ind w:firstLine="360"/>
      </w:pPr>
      <w:r>
        <w:t xml:space="preserve">The severity of the </w:t>
      </w:r>
      <w:r w:rsidR="00F60529">
        <w:t>nonattainment</w:t>
      </w:r>
      <w:r>
        <w:t xml:space="preserve"> problem varies among the designated areas</w:t>
      </w:r>
      <w:r w:rsidR="0026707C">
        <w:t>, as does the number and types of sources of ozone precursor emissions</w:t>
      </w:r>
      <w:r>
        <w:t>.</w:t>
      </w:r>
    </w:p>
    <w:p w14:paraId="3367E7D2" w14:textId="52E6EBCE" w:rsidR="009009C7" w:rsidRDefault="0026707C" w:rsidP="00A377AC">
      <w:pPr>
        <w:numPr>
          <w:ilvl w:val="0"/>
          <w:numId w:val="26"/>
        </w:numPr>
        <w:ind w:firstLine="360"/>
      </w:pPr>
      <w:r>
        <w:t>For c</w:t>
      </w:r>
      <w:r w:rsidR="00CB3528">
        <w:t>ertain areas or parts of areas</w:t>
      </w:r>
      <w:r>
        <w:t>, states</w:t>
      </w:r>
      <w:r w:rsidR="00CB3528">
        <w:t xml:space="preserve"> may already have developed and implemented RACT requirements.</w:t>
      </w:r>
    </w:p>
    <w:p w14:paraId="787CD7E9" w14:textId="64F3B765" w:rsidR="00CB3528" w:rsidRDefault="00CB3528" w:rsidP="00A377AC">
      <w:pPr>
        <w:numPr>
          <w:ilvl w:val="0"/>
          <w:numId w:val="26"/>
        </w:numPr>
        <w:ind w:firstLine="360"/>
      </w:pPr>
      <w:r>
        <w:t xml:space="preserve">Some areas may </w:t>
      </w:r>
      <w:r w:rsidR="0026707C">
        <w:t>be able to</w:t>
      </w:r>
      <w:r w:rsidR="00447E81">
        <w:t xml:space="preserve"> </w:t>
      </w:r>
      <w:r>
        <w:t xml:space="preserve">fulfill the RFP requirement </w:t>
      </w:r>
      <w:r w:rsidR="0026707C">
        <w:t>solely with</w:t>
      </w:r>
      <w:r>
        <w:t xml:space="preserve"> creditable emission reductions resulting from federal rules that reduce ozone precursor emissions.</w:t>
      </w:r>
    </w:p>
    <w:p w14:paraId="556E8D23" w14:textId="345AFDAA" w:rsidR="0072708A" w:rsidRDefault="0026707C" w:rsidP="00A377AC">
      <w:pPr>
        <w:numPr>
          <w:ilvl w:val="0"/>
          <w:numId w:val="26"/>
        </w:numPr>
        <w:ind w:firstLine="360"/>
      </w:pPr>
      <w:r>
        <w:t>State-level administrative procedures for adopting environmental rules and ensuring public participation vary from state to state.</w:t>
      </w:r>
    </w:p>
    <w:p w14:paraId="6873EC4B" w14:textId="77777777" w:rsidR="00CB3528" w:rsidRDefault="00CB3528" w:rsidP="00A377AC">
      <w:pPr>
        <w:ind w:firstLine="360"/>
      </w:pPr>
    </w:p>
    <w:p w14:paraId="03B1766D" w14:textId="2BFAB2D9" w:rsidR="00DA211A" w:rsidRDefault="0072708A" w:rsidP="00A377AC">
      <w:pPr>
        <w:ind w:firstLine="360"/>
      </w:pPr>
      <w:r>
        <w:t>In estimating the incremental burden to respondents, the EPA did not attempt to tailor estimates for every possible area, but instead has developed what we consider “average” expected burden.</w:t>
      </w:r>
      <w:r w:rsidR="00FA5F1B">
        <w:t xml:space="preserve"> </w:t>
      </w:r>
      <w:r w:rsidR="00CB3528" w:rsidRPr="00E73491">
        <w:t>As a starting point for developing burden</w:t>
      </w:r>
      <w:r w:rsidR="00CB3528">
        <w:t xml:space="preserve"> estimates, the </w:t>
      </w:r>
      <w:r w:rsidR="00DA35E4">
        <w:t>EPA</w:t>
      </w:r>
      <w:r w:rsidR="00CB3528">
        <w:t xml:space="preserve"> looked at the total hours expended in related EPA level of effort </w:t>
      </w:r>
      <w:r w:rsidR="00F6021C">
        <w:t>for similar deliverables</w:t>
      </w:r>
      <w:r w:rsidR="00CB3528">
        <w:t xml:space="preserve">, exclusive of the air quality modeling. </w:t>
      </w:r>
      <w:r w:rsidR="00F00C80">
        <w:t>For developing redesignation requests</w:t>
      </w:r>
      <w:r w:rsidR="00813978">
        <w:t>,</w:t>
      </w:r>
      <w:r w:rsidR="00F00C80">
        <w:t xml:space="preserve"> we estimate</w:t>
      </w:r>
      <w:r w:rsidR="00CB3528">
        <w:t xml:space="preserve"> </w:t>
      </w:r>
      <w:r w:rsidR="00216D6F">
        <w:t>1</w:t>
      </w:r>
      <w:r w:rsidR="00813978">
        <w:t>,0</w:t>
      </w:r>
      <w:r w:rsidR="00E71B66">
        <w:t xml:space="preserve">00 </w:t>
      </w:r>
      <w:r w:rsidR="00CB3528">
        <w:t xml:space="preserve">hours </w:t>
      </w:r>
      <w:r w:rsidR="00F00C80">
        <w:t>per</w:t>
      </w:r>
      <w:r w:rsidR="00813978">
        <w:t xml:space="preserve"> state respondent.</w:t>
      </w:r>
      <w:r w:rsidR="00CD76FA">
        <w:t xml:space="preserve"> </w:t>
      </w:r>
      <w:r w:rsidR="00C16AC7">
        <w:t>Examples of the specific scope of the effort include:</w:t>
      </w:r>
    </w:p>
    <w:p w14:paraId="35870BA5" w14:textId="77777777" w:rsidR="00574D6F" w:rsidRDefault="00574D6F" w:rsidP="000A1FD1">
      <w:pPr>
        <w:pStyle w:val="ListParagraph"/>
        <w:numPr>
          <w:ilvl w:val="0"/>
          <w:numId w:val="37"/>
        </w:numPr>
        <w:ind w:left="720" w:firstLine="360"/>
      </w:pPr>
      <w:r>
        <w:t>Reviewing any relevant EPA technical guidance.</w:t>
      </w:r>
    </w:p>
    <w:p w14:paraId="0F6E9A7B" w14:textId="1559EA87" w:rsidR="00C16AC7" w:rsidRDefault="00C16AC7" w:rsidP="000A1FD1">
      <w:pPr>
        <w:pStyle w:val="ListParagraph"/>
        <w:numPr>
          <w:ilvl w:val="0"/>
          <w:numId w:val="37"/>
        </w:numPr>
        <w:ind w:left="720" w:firstLine="360"/>
      </w:pPr>
      <w:r>
        <w:t>Assessing long-term emissions trends.</w:t>
      </w:r>
    </w:p>
    <w:p w14:paraId="4B4F6F5F" w14:textId="64EFF0AA" w:rsidR="00C16AC7" w:rsidRDefault="00C16AC7" w:rsidP="000A1FD1">
      <w:pPr>
        <w:pStyle w:val="ListParagraph"/>
        <w:numPr>
          <w:ilvl w:val="0"/>
          <w:numId w:val="37"/>
        </w:numPr>
        <w:ind w:left="720" w:firstLine="360"/>
      </w:pPr>
      <w:r>
        <w:t>Assessing and adopting contingency measures.</w:t>
      </w:r>
    </w:p>
    <w:p w14:paraId="57A4A25D" w14:textId="77777777" w:rsidR="00DA211A" w:rsidRDefault="00DA211A" w:rsidP="00A377AC">
      <w:pPr>
        <w:ind w:firstLine="360"/>
      </w:pPr>
    </w:p>
    <w:p w14:paraId="423CF3C1" w14:textId="1685BACB" w:rsidR="00CB3528" w:rsidRDefault="00DA211A" w:rsidP="00A377AC">
      <w:pPr>
        <w:ind w:firstLine="360"/>
      </w:pPr>
      <w:r>
        <w:t xml:space="preserve">For </w:t>
      </w:r>
      <w:r w:rsidR="00F6021C">
        <w:t xml:space="preserve">developing </w:t>
      </w:r>
      <w:r w:rsidR="00CD76FA">
        <w:t>SIP</w:t>
      </w:r>
      <w:r w:rsidR="00F00C80">
        <w:t>s</w:t>
      </w:r>
      <w:r w:rsidR="00CD76FA">
        <w:t xml:space="preserve"> </w:t>
      </w:r>
      <w:r>
        <w:t xml:space="preserve">to meet requirements for attainment plans/demonstrations, RFP, and RACT </w:t>
      </w:r>
      <w:r w:rsidR="00F6021C">
        <w:t>for</w:t>
      </w:r>
      <w:r w:rsidR="00447E81">
        <w:t xml:space="preserve"> </w:t>
      </w:r>
      <w:r w:rsidR="00F6021C">
        <w:t xml:space="preserve">areas reclassified to </w:t>
      </w:r>
      <w:r w:rsidR="00F00C80">
        <w:t xml:space="preserve">Serious, we estimate </w:t>
      </w:r>
      <w:r w:rsidR="0089114C">
        <w:t>2,500 hours</w:t>
      </w:r>
      <w:r>
        <w:t xml:space="preserve"> per SIP</w:t>
      </w:r>
      <w:r w:rsidR="0089114C">
        <w:t>.</w:t>
      </w:r>
      <w:r w:rsidR="00FA5F1B">
        <w:t xml:space="preserve"> </w:t>
      </w:r>
      <w:r w:rsidR="00CB3528">
        <w:t>Examples of the specific scope of the effort include:</w:t>
      </w:r>
    </w:p>
    <w:p w14:paraId="667C6053" w14:textId="77777777" w:rsidR="00574D6F" w:rsidRDefault="00574D6F" w:rsidP="00A377AC">
      <w:pPr>
        <w:numPr>
          <w:ilvl w:val="0"/>
          <w:numId w:val="27"/>
        </w:numPr>
        <w:ind w:firstLine="360"/>
      </w:pPr>
      <w:r>
        <w:t>Reviewing EPA rules and any associated technical guidance.</w:t>
      </w:r>
    </w:p>
    <w:p w14:paraId="49DC4B54" w14:textId="1525CED4" w:rsidR="00DA211A" w:rsidRDefault="00DA211A" w:rsidP="00A377AC">
      <w:pPr>
        <w:numPr>
          <w:ilvl w:val="0"/>
          <w:numId w:val="27"/>
        </w:numPr>
        <w:ind w:firstLine="360"/>
      </w:pPr>
      <w:r>
        <w:t>Assessing alternative emission reduction targets.</w:t>
      </w:r>
    </w:p>
    <w:p w14:paraId="47612370" w14:textId="6675C40B" w:rsidR="009009C7" w:rsidRDefault="00CB3528" w:rsidP="00A377AC">
      <w:pPr>
        <w:numPr>
          <w:ilvl w:val="0"/>
          <w:numId w:val="27"/>
        </w:numPr>
        <w:ind w:firstLine="360"/>
      </w:pPr>
      <w:r w:rsidRPr="001976E8">
        <w:t>Design</w:t>
      </w:r>
      <w:r w:rsidR="00DA211A">
        <w:t>ing</w:t>
      </w:r>
      <w:r w:rsidRPr="001976E8">
        <w:t xml:space="preserve"> </w:t>
      </w:r>
      <w:r w:rsidR="00DA211A">
        <w:t>additional</w:t>
      </w:r>
      <w:r w:rsidRPr="001976E8">
        <w:t xml:space="preserve"> </w:t>
      </w:r>
      <w:r w:rsidR="00DA211A">
        <w:t xml:space="preserve">emissions </w:t>
      </w:r>
      <w:r w:rsidRPr="001976E8">
        <w:t>control strategies</w:t>
      </w:r>
      <w:r w:rsidR="00F6021C">
        <w:t xml:space="preserve">, including considering controls on sources located in larger </w:t>
      </w:r>
      <w:r w:rsidRPr="001976E8">
        <w:t xml:space="preserve">geographic areas (e.g., </w:t>
      </w:r>
      <w:r w:rsidR="00F6021C">
        <w:t xml:space="preserve">examining the effect of </w:t>
      </w:r>
      <w:r w:rsidR="00DA211A">
        <w:t xml:space="preserve">emissions </w:t>
      </w:r>
      <w:r w:rsidR="00F6021C">
        <w:t xml:space="preserve">controls on </w:t>
      </w:r>
      <w:r w:rsidR="00DA211A">
        <w:t xml:space="preserve">in-state </w:t>
      </w:r>
      <w:r w:rsidR="00F6021C">
        <w:t>sources located</w:t>
      </w:r>
      <w:r w:rsidR="00F6021C" w:rsidRPr="001976E8">
        <w:t xml:space="preserve"> </w:t>
      </w:r>
      <w:r w:rsidR="00DA211A">
        <w:t>outside nonattainment areas</w:t>
      </w:r>
      <w:r w:rsidRPr="001976E8">
        <w:t>)</w:t>
      </w:r>
    </w:p>
    <w:p w14:paraId="74994A8A" w14:textId="3001C857" w:rsidR="009009C7" w:rsidRDefault="00CB3528" w:rsidP="00A377AC">
      <w:pPr>
        <w:numPr>
          <w:ilvl w:val="0"/>
          <w:numId w:val="27"/>
        </w:numPr>
        <w:ind w:firstLine="360"/>
      </w:pPr>
      <w:r w:rsidRPr="001976E8">
        <w:t>Assess</w:t>
      </w:r>
      <w:r w:rsidR="00DA211A">
        <w:t>ing</w:t>
      </w:r>
      <w:r w:rsidRPr="001976E8">
        <w:t xml:space="preserve"> RFP </w:t>
      </w:r>
      <w:r w:rsidR="00543438">
        <w:t>emissions reduction targets</w:t>
      </w:r>
      <w:r w:rsidR="00DA211A">
        <w:t>.</w:t>
      </w:r>
    </w:p>
    <w:p w14:paraId="37CD7B95" w14:textId="2859D8DC" w:rsidR="009009C7" w:rsidRDefault="00CB3528" w:rsidP="00A377AC">
      <w:pPr>
        <w:numPr>
          <w:ilvl w:val="0"/>
          <w:numId w:val="27"/>
        </w:numPr>
        <w:ind w:firstLine="360"/>
      </w:pPr>
      <w:r w:rsidRPr="001976E8">
        <w:t>Assess</w:t>
      </w:r>
      <w:r w:rsidR="00DA211A">
        <w:t>ing</w:t>
      </w:r>
      <w:r w:rsidRPr="001976E8">
        <w:t xml:space="preserve"> RACT </w:t>
      </w:r>
      <w:r w:rsidR="00DA211A">
        <w:t>for smaller sources than previously reviewed.</w:t>
      </w:r>
    </w:p>
    <w:p w14:paraId="610AC8E3" w14:textId="3C15C5EC" w:rsidR="00CB3528" w:rsidRPr="001976E8" w:rsidRDefault="00825EBE" w:rsidP="00A377AC">
      <w:pPr>
        <w:numPr>
          <w:ilvl w:val="0"/>
          <w:numId w:val="27"/>
        </w:numPr>
        <w:ind w:firstLine="360"/>
      </w:pPr>
      <w:r>
        <w:t>Assessing d</w:t>
      </w:r>
      <w:r w:rsidR="00CB3528" w:rsidRPr="001976E8">
        <w:t>ifferences in cost, emission reductions, economic</w:t>
      </w:r>
      <w:r w:rsidR="00F6021C">
        <w:t xml:space="preserve"> impacts</w:t>
      </w:r>
      <w:r w:rsidR="00CB3528" w:rsidRPr="001976E8">
        <w:t xml:space="preserve">, and energy impacts looking at alternative frameworks for </w:t>
      </w:r>
      <w:r>
        <w:t>attaining</w:t>
      </w:r>
      <w:r w:rsidR="00F6021C">
        <w:t xml:space="preserve"> </w:t>
      </w:r>
      <w:r w:rsidR="0089114C">
        <w:t>the 2008 ozone NAAQS</w:t>
      </w:r>
      <w:r w:rsidR="00CB3528" w:rsidRPr="001976E8">
        <w:t>.</w:t>
      </w:r>
    </w:p>
    <w:p w14:paraId="75C98A6C" w14:textId="77777777" w:rsidR="00E71B66" w:rsidRDefault="00E71B66" w:rsidP="00A377AC">
      <w:pPr>
        <w:ind w:firstLine="360"/>
      </w:pPr>
    </w:p>
    <w:p w14:paraId="4FD048E5" w14:textId="01A869CE" w:rsidR="00CB3528" w:rsidRDefault="00BC7906" w:rsidP="00A377AC">
      <w:pPr>
        <w:ind w:firstLine="360"/>
      </w:pPr>
      <w:r>
        <w:t xml:space="preserve">Most of the </w:t>
      </w:r>
      <w:r w:rsidR="00F6021C">
        <w:t xml:space="preserve">2008 ozone NAAQS nonattainment </w:t>
      </w:r>
      <w:r>
        <w:t xml:space="preserve">areas have </w:t>
      </w:r>
      <w:r w:rsidR="00F6021C">
        <w:t xml:space="preserve">had to </w:t>
      </w:r>
      <w:r>
        <w:t>me</w:t>
      </w:r>
      <w:r w:rsidR="00F6021C">
        <w:t>e</w:t>
      </w:r>
      <w:r>
        <w:t>t RACT requirements</w:t>
      </w:r>
      <w:r w:rsidR="00F6021C">
        <w:t xml:space="preserve"> for </w:t>
      </w:r>
      <w:r w:rsidR="00CF0071">
        <w:t xml:space="preserve">the </w:t>
      </w:r>
      <w:r w:rsidR="00F6021C">
        <w:t xml:space="preserve">prior </w:t>
      </w:r>
      <w:r w:rsidR="00CF0071">
        <w:t xml:space="preserve">1-hour and 1997 8-hour ozone </w:t>
      </w:r>
      <w:r w:rsidR="00F6021C">
        <w:t>NAAQS</w:t>
      </w:r>
      <w:r w:rsidR="00CF0071">
        <w:t xml:space="preserve">, so the additional effort associated with Serious area </w:t>
      </w:r>
      <w:r w:rsidR="00A619C0">
        <w:t xml:space="preserve">SIP </w:t>
      </w:r>
      <w:r w:rsidR="00CF0071">
        <w:t>requirements is reduced</w:t>
      </w:r>
      <w:r>
        <w:t xml:space="preserve">. Also, the </w:t>
      </w:r>
      <w:r w:rsidR="00CF0071">
        <w:t xml:space="preserve">additional </w:t>
      </w:r>
      <w:r>
        <w:t xml:space="preserve">RFP </w:t>
      </w:r>
      <w:r w:rsidR="00BB3641">
        <w:t xml:space="preserve">emissions reduction </w:t>
      </w:r>
      <w:r>
        <w:t xml:space="preserve">requirement </w:t>
      </w:r>
      <w:r w:rsidR="00825EBE">
        <w:t xml:space="preserve">is </w:t>
      </w:r>
      <w:r>
        <w:t>met or reduced because of creditable emission reductions resulting from federal rules</w:t>
      </w:r>
      <w:r w:rsidR="0011719D">
        <w:t xml:space="preserve"> </w:t>
      </w:r>
    </w:p>
    <w:p w14:paraId="0489562E" w14:textId="77777777" w:rsidR="00CB3528" w:rsidRDefault="00CB3528" w:rsidP="00A377AC">
      <w:pPr>
        <w:ind w:firstLine="360"/>
      </w:pPr>
    </w:p>
    <w:p w14:paraId="23BBE626" w14:textId="09133789" w:rsidR="00CB3528" w:rsidRDefault="00CB3528" w:rsidP="00A377AC">
      <w:pPr>
        <w:ind w:firstLine="360"/>
      </w:pPr>
      <w:r>
        <w:t xml:space="preserve">The estimated </w:t>
      </w:r>
      <w:r w:rsidR="00A03603">
        <w:t xml:space="preserve">incremental </w:t>
      </w:r>
      <w:r>
        <w:t xml:space="preserve">burden for </w:t>
      </w:r>
      <w:r w:rsidR="00825EBE">
        <w:t>states with affected</w:t>
      </w:r>
      <w:r w:rsidR="00CD252A">
        <w:t xml:space="preserve"> </w:t>
      </w:r>
      <w:r w:rsidR="00F60529">
        <w:t>nonattainment</w:t>
      </w:r>
      <w:r w:rsidR="00A03603">
        <w:t xml:space="preserve"> </w:t>
      </w:r>
      <w:r>
        <w:t>areas is present</w:t>
      </w:r>
      <w:r w:rsidR="00A03603">
        <w:t>ed</w:t>
      </w:r>
      <w:r>
        <w:t xml:space="preserve"> in Table </w:t>
      </w:r>
      <w:r w:rsidR="00184DED">
        <w:t>6.1</w:t>
      </w:r>
      <w:r>
        <w:t>.</w:t>
      </w:r>
    </w:p>
    <w:p w14:paraId="7A79058F" w14:textId="77777777" w:rsidR="007C31DF" w:rsidRDefault="007C31DF" w:rsidP="00A377AC">
      <w:pPr>
        <w:ind w:firstLine="360"/>
      </w:pPr>
    </w:p>
    <w:p w14:paraId="0FD74347" w14:textId="3E8C461A" w:rsidR="007C31DF" w:rsidRDefault="007C31DF" w:rsidP="00A377AC">
      <w:pPr>
        <w:ind w:firstLine="360"/>
      </w:pPr>
      <w:r w:rsidRPr="00881C87">
        <w:rPr>
          <w:b/>
        </w:rPr>
        <w:t>Nonattainment Areas</w:t>
      </w:r>
      <w:r w:rsidR="00BC5B05" w:rsidRPr="00881C87">
        <w:rPr>
          <w:b/>
        </w:rPr>
        <w:t xml:space="preserve"> that Have Attained the 2008</w:t>
      </w:r>
      <w:r w:rsidR="00BC5B05" w:rsidRPr="00FA00CD">
        <w:rPr>
          <w:b/>
        </w:rPr>
        <w:t xml:space="preserve"> Ozone NAAQS</w:t>
      </w:r>
      <w:r w:rsidRPr="00FA00CD">
        <w:t xml:space="preserve">. </w:t>
      </w:r>
      <w:r w:rsidR="00856536" w:rsidRPr="00FA00CD">
        <w:t>As of Ju</w:t>
      </w:r>
      <w:r w:rsidR="003E31A2">
        <w:t>ly</w:t>
      </w:r>
      <w:r w:rsidR="00856536" w:rsidRPr="00FA00CD">
        <w:t xml:space="preserve"> </w:t>
      </w:r>
      <w:r w:rsidR="003E31A2">
        <w:t>7</w:t>
      </w:r>
      <w:r w:rsidR="00856536" w:rsidRPr="00FA00CD">
        <w:t xml:space="preserve">, 2017, </w:t>
      </w:r>
      <w:r w:rsidR="002913F3" w:rsidRPr="00FA00CD">
        <w:t>1</w:t>
      </w:r>
      <w:r w:rsidR="002913F3" w:rsidRPr="00A377AC">
        <w:t>5</w:t>
      </w:r>
      <w:r w:rsidR="002913F3" w:rsidRPr="00881C87">
        <w:t xml:space="preserve"> </w:t>
      </w:r>
      <w:r w:rsidR="002913F3" w:rsidRPr="00A377AC">
        <w:t xml:space="preserve">Marginal </w:t>
      </w:r>
      <w:r w:rsidR="00C34430" w:rsidRPr="00881C87">
        <w:t xml:space="preserve">areas </w:t>
      </w:r>
      <w:r w:rsidR="00BC5B05" w:rsidRPr="00881C87">
        <w:t>have attained the 2008 ozone NAAQS</w:t>
      </w:r>
      <w:r w:rsidR="00867B0F" w:rsidRPr="00A377AC">
        <w:t>,</w:t>
      </w:r>
      <w:r w:rsidR="00BC5B05" w:rsidRPr="00881C87">
        <w:t xml:space="preserve"> and </w:t>
      </w:r>
      <w:r w:rsidR="003E31A2">
        <w:t xml:space="preserve">the responsible </w:t>
      </w:r>
      <w:r w:rsidR="0072651E" w:rsidRPr="00A377AC">
        <w:t xml:space="preserve">states </w:t>
      </w:r>
      <w:r w:rsidR="00BC5B05" w:rsidRPr="00881C87">
        <w:t>are eligible to request</w:t>
      </w:r>
      <w:r w:rsidR="00C34430" w:rsidRPr="00881C87">
        <w:t xml:space="preserve"> redesignat</w:t>
      </w:r>
      <w:r w:rsidR="00BC5B05" w:rsidRPr="00FA00CD">
        <w:t>ion</w:t>
      </w:r>
      <w:r w:rsidR="00C34430" w:rsidRPr="00FA00CD">
        <w:t xml:space="preserve"> to attainment. </w:t>
      </w:r>
      <w:r w:rsidR="00BC5B05" w:rsidRPr="00FA00CD">
        <w:t>During the ICR renewal period</w:t>
      </w:r>
      <w:r w:rsidR="00BC5B05" w:rsidRPr="00881C87">
        <w:t xml:space="preserve">, we anticipate that </w:t>
      </w:r>
      <w:r w:rsidR="00FA00CD">
        <w:t>two</w:t>
      </w:r>
      <w:r w:rsidR="00BC5B05" w:rsidRPr="00FA00CD">
        <w:t xml:space="preserve"> </w:t>
      </w:r>
      <w:r w:rsidR="006C4C93" w:rsidRPr="00FA00CD">
        <w:t xml:space="preserve">Moderate </w:t>
      </w:r>
      <w:r w:rsidR="00BC5B05" w:rsidRPr="00FA00CD">
        <w:t xml:space="preserve">areas will </w:t>
      </w:r>
      <w:r w:rsidR="0072651E" w:rsidRPr="00A377AC">
        <w:t xml:space="preserve">also </w:t>
      </w:r>
      <w:r w:rsidR="00BC5B05" w:rsidRPr="00881C87">
        <w:t xml:space="preserve">attain the 2008 ozone NAAQS and be eligible </w:t>
      </w:r>
      <w:r w:rsidR="00867B0F" w:rsidRPr="00A377AC">
        <w:t xml:space="preserve">for </w:t>
      </w:r>
      <w:r w:rsidR="00BC5B05" w:rsidRPr="00881C87">
        <w:t>redesignation to attainment</w:t>
      </w:r>
      <w:r w:rsidR="00BC5B05" w:rsidRPr="00FA00CD">
        <w:t>.</w:t>
      </w:r>
      <w:r w:rsidR="00BC5B05" w:rsidRPr="00FA00CD" w:rsidDel="00BC5B05">
        <w:t xml:space="preserve"> </w:t>
      </w:r>
      <w:r w:rsidR="00867B0F" w:rsidRPr="00A377AC">
        <w:t xml:space="preserve">These 17 areas are listed in Table 6.1. </w:t>
      </w:r>
      <w:r w:rsidR="006C4C93" w:rsidRPr="00FA00CD">
        <w:t>T</w:t>
      </w:r>
      <w:r w:rsidR="00691F4C" w:rsidRPr="00FA00CD">
        <w:t>he</w:t>
      </w:r>
      <w:r w:rsidR="00691F4C" w:rsidRPr="003300C0">
        <w:t xml:space="preserve"> EPA is estimating an additional </w:t>
      </w:r>
      <w:r w:rsidR="00574D6F" w:rsidRPr="003300C0">
        <w:t xml:space="preserve">state </w:t>
      </w:r>
      <w:r w:rsidR="00691F4C" w:rsidRPr="003300C0">
        <w:t xml:space="preserve">burden of </w:t>
      </w:r>
      <w:r w:rsidR="00C94BC0" w:rsidRPr="003300C0">
        <w:t>1</w:t>
      </w:r>
      <w:r w:rsidR="00691F4C" w:rsidRPr="003300C0">
        <w:t>,</w:t>
      </w:r>
      <w:r w:rsidR="008D1C2A" w:rsidRPr="003300C0">
        <w:t>0</w:t>
      </w:r>
      <w:r w:rsidR="00691F4C" w:rsidRPr="003300C0">
        <w:t>00 hours</w:t>
      </w:r>
      <w:r w:rsidR="00574D6F" w:rsidRPr="003300C0">
        <w:t xml:space="preserve"> per area (or state portion of each area) to develop and submit the redesignation request</w:t>
      </w:r>
      <w:r w:rsidR="00904F7B" w:rsidRPr="003300C0">
        <w:t>. This renewal ICR 2347.03 accounts for the</w:t>
      </w:r>
      <w:r w:rsidR="00574D6F" w:rsidRPr="003300C0">
        <w:t>se</w:t>
      </w:r>
      <w:r w:rsidR="00904F7B" w:rsidRPr="003300C0">
        <w:t xml:space="preserve"> burden increases.</w:t>
      </w:r>
    </w:p>
    <w:p w14:paraId="63596F83" w14:textId="6BBD425C" w:rsidR="006C4C93" w:rsidRDefault="006C4C93" w:rsidP="00A377AC">
      <w:pPr>
        <w:ind w:firstLine="360"/>
      </w:pPr>
    </w:p>
    <w:p w14:paraId="56A7A5CD" w14:textId="77777777" w:rsidR="006C4C93" w:rsidRDefault="006C4C93" w:rsidP="00A377AC">
      <w:pPr>
        <w:ind w:firstLine="360"/>
      </w:pPr>
    </w:p>
    <w:p w14:paraId="081395DD" w14:textId="62FD26C1" w:rsidR="006C4C93" w:rsidRDefault="006C4C93" w:rsidP="00A377AC">
      <w:pPr>
        <w:keepLines/>
        <w:ind w:firstLine="360"/>
        <w:rPr>
          <w:b/>
          <w:sz w:val="20"/>
          <w:szCs w:val="20"/>
        </w:rPr>
      </w:pPr>
      <w:r w:rsidRPr="00A377AC">
        <w:rPr>
          <w:b/>
          <w:sz w:val="20"/>
          <w:szCs w:val="20"/>
        </w:rPr>
        <w:t>Table 6.1. Estimated Burden for Affected States to Request Redesignation to Attainment</w:t>
      </w:r>
      <w:r w:rsidRPr="003E31A2">
        <w:rPr>
          <w:b/>
          <w:sz w:val="20"/>
          <w:szCs w:val="20"/>
        </w:rPr>
        <w:t>.</w:t>
      </w:r>
    </w:p>
    <w:p w14:paraId="24C4A1D1" w14:textId="77777777" w:rsidR="003E31A2" w:rsidRPr="003E31A2" w:rsidRDefault="003E31A2" w:rsidP="00A377AC">
      <w:pPr>
        <w:keepLines/>
        <w:ind w:firstLine="360"/>
        <w:rPr>
          <w:b/>
          <w:sz w:val="20"/>
          <w:szCs w:val="20"/>
        </w:rPr>
      </w:pPr>
    </w:p>
    <w:tbl>
      <w:tblPr>
        <w:tblStyle w:val="TableGrid"/>
        <w:tblW w:w="0" w:type="auto"/>
        <w:tblLook w:val="04A0" w:firstRow="1" w:lastRow="0" w:firstColumn="1" w:lastColumn="0" w:noHBand="0" w:noVBand="1"/>
      </w:tblPr>
      <w:tblGrid>
        <w:gridCol w:w="5464"/>
        <w:gridCol w:w="931"/>
        <w:gridCol w:w="960"/>
        <w:gridCol w:w="1995"/>
      </w:tblGrid>
      <w:tr w:rsidR="006C4C93" w14:paraId="70CC42A2" w14:textId="77777777" w:rsidTr="00A377AC">
        <w:tc>
          <w:tcPr>
            <w:tcW w:w="5464" w:type="dxa"/>
            <w:vAlign w:val="center"/>
          </w:tcPr>
          <w:p w14:paraId="4B6D080F" w14:textId="296BEDDA" w:rsidR="006C4C93" w:rsidRPr="00813978" w:rsidRDefault="00E1768C" w:rsidP="00A377AC">
            <w:pPr>
              <w:keepLines/>
              <w:ind w:firstLine="360"/>
              <w:rPr>
                <w:b/>
                <w:sz w:val="20"/>
                <w:szCs w:val="20"/>
              </w:rPr>
            </w:pPr>
            <w:r>
              <w:rPr>
                <w:b/>
                <w:sz w:val="20"/>
                <w:szCs w:val="20"/>
              </w:rPr>
              <w:t xml:space="preserve">Nonattainment </w:t>
            </w:r>
            <w:r w:rsidR="006C4C93" w:rsidRPr="00813978">
              <w:rPr>
                <w:b/>
                <w:sz w:val="20"/>
                <w:szCs w:val="20"/>
              </w:rPr>
              <w:t>Area</w:t>
            </w:r>
          </w:p>
        </w:tc>
        <w:tc>
          <w:tcPr>
            <w:tcW w:w="931" w:type="dxa"/>
            <w:vAlign w:val="center"/>
          </w:tcPr>
          <w:p w14:paraId="30DAFB98" w14:textId="77777777" w:rsidR="006C4C93" w:rsidRPr="00813978" w:rsidRDefault="006C4C93" w:rsidP="00A377AC">
            <w:pPr>
              <w:keepLines/>
              <w:ind w:firstLine="360"/>
              <w:rPr>
                <w:b/>
                <w:sz w:val="20"/>
                <w:szCs w:val="20"/>
              </w:rPr>
            </w:pPr>
            <w:r w:rsidRPr="00813978">
              <w:rPr>
                <w:b/>
                <w:sz w:val="20"/>
                <w:szCs w:val="20"/>
              </w:rPr>
              <w:t>State</w:t>
            </w:r>
          </w:p>
        </w:tc>
        <w:tc>
          <w:tcPr>
            <w:tcW w:w="960" w:type="dxa"/>
            <w:vAlign w:val="center"/>
          </w:tcPr>
          <w:p w14:paraId="7FA5C08A" w14:textId="77777777" w:rsidR="009B5F97" w:rsidRDefault="009B5F97" w:rsidP="00A377AC">
            <w:pPr>
              <w:keepLines/>
              <w:ind w:firstLine="360"/>
              <w:rPr>
                <w:b/>
                <w:sz w:val="20"/>
                <w:szCs w:val="20"/>
              </w:rPr>
            </w:pPr>
            <w:r>
              <w:rPr>
                <w:b/>
                <w:sz w:val="20"/>
                <w:szCs w:val="20"/>
              </w:rPr>
              <w:t>EPA</w:t>
            </w:r>
          </w:p>
          <w:p w14:paraId="5BF2CF62" w14:textId="4D779541" w:rsidR="006C4C93" w:rsidRPr="00813978" w:rsidRDefault="006C4C93" w:rsidP="00A377AC">
            <w:pPr>
              <w:keepLines/>
              <w:ind w:firstLine="360"/>
              <w:rPr>
                <w:b/>
                <w:sz w:val="20"/>
                <w:szCs w:val="20"/>
              </w:rPr>
            </w:pPr>
            <w:r w:rsidRPr="00813978">
              <w:rPr>
                <w:b/>
                <w:sz w:val="20"/>
                <w:szCs w:val="20"/>
              </w:rPr>
              <w:t>Region</w:t>
            </w:r>
          </w:p>
        </w:tc>
        <w:tc>
          <w:tcPr>
            <w:tcW w:w="1995" w:type="dxa"/>
            <w:vAlign w:val="center"/>
          </w:tcPr>
          <w:p w14:paraId="0D0AC24A" w14:textId="266A3740" w:rsidR="006C4C93" w:rsidRPr="00813978" w:rsidRDefault="00E1768C" w:rsidP="00A377AC">
            <w:pPr>
              <w:keepLines/>
              <w:ind w:firstLine="360"/>
              <w:rPr>
                <w:b/>
                <w:sz w:val="20"/>
                <w:szCs w:val="20"/>
              </w:rPr>
            </w:pPr>
            <w:r>
              <w:rPr>
                <w:b/>
                <w:sz w:val="20"/>
                <w:szCs w:val="20"/>
              </w:rPr>
              <w:t>Estimated Burden</w:t>
            </w:r>
            <w:r w:rsidR="006C4C93" w:rsidRPr="00813978">
              <w:rPr>
                <w:b/>
                <w:sz w:val="20"/>
                <w:szCs w:val="20"/>
              </w:rPr>
              <w:t xml:space="preserve"> Hours</w:t>
            </w:r>
          </w:p>
        </w:tc>
      </w:tr>
      <w:tr w:rsidR="006C4C93" w14:paraId="214F1B9C" w14:textId="77777777" w:rsidTr="0030470E">
        <w:tc>
          <w:tcPr>
            <w:tcW w:w="5464" w:type="dxa"/>
          </w:tcPr>
          <w:p w14:paraId="67253211" w14:textId="77777777" w:rsidR="006C4C93" w:rsidRPr="00813978" w:rsidRDefault="006C4C93" w:rsidP="00A377AC">
            <w:pPr>
              <w:ind w:firstLine="360"/>
              <w:rPr>
                <w:sz w:val="20"/>
                <w:szCs w:val="20"/>
              </w:rPr>
            </w:pPr>
            <w:r w:rsidRPr="00813978">
              <w:rPr>
                <w:color w:val="000000"/>
                <w:sz w:val="20"/>
                <w:szCs w:val="20"/>
              </w:rPr>
              <w:t>Allentown-Bethlehem-Easton</w:t>
            </w:r>
          </w:p>
        </w:tc>
        <w:tc>
          <w:tcPr>
            <w:tcW w:w="931" w:type="dxa"/>
            <w:vAlign w:val="center"/>
          </w:tcPr>
          <w:p w14:paraId="18FEA1B3" w14:textId="77777777" w:rsidR="006C4C93" w:rsidRPr="006C4C93" w:rsidRDefault="006C4C93" w:rsidP="00A377AC">
            <w:pPr>
              <w:ind w:firstLine="360"/>
              <w:rPr>
                <w:sz w:val="20"/>
                <w:szCs w:val="20"/>
              </w:rPr>
            </w:pPr>
            <w:r w:rsidRPr="00813978">
              <w:rPr>
                <w:sz w:val="20"/>
                <w:szCs w:val="20"/>
              </w:rPr>
              <w:t>PA</w:t>
            </w:r>
          </w:p>
        </w:tc>
        <w:tc>
          <w:tcPr>
            <w:tcW w:w="960" w:type="dxa"/>
          </w:tcPr>
          <w:p w14:paraId="7B8E1C9A" w14:textId="77777777" w:rsidR="006C4C93" w:rsidRPr="006C4C93" w:rsidRDefault="006C4C93" w:rsidP="00A377AC">
            <w:pPr>
              <w:ind w:firstLine="360"/>
              <w:rPr>
                <w:sz w:val="20"/>
                <w:szCs w:val="20"/>
              </w:rPr>
            </w:pPr>
            <w:r w:rsidRPr="00813978">
              <w:rPr>
                <w:sz w:val="20"/>
                <w:szCs w:val="20"/>
              </w:rPr>
              <w:t>3</w:t>
            </w:r>
          </w:p>
        </w:tc>
        <w:tc>
          <w:tcPr>
            <w:tcW w:w="1995" w:type="dxa"/>
          </w:tcPr>
          <w:p w14:paraId="15EC3237" w14:textId="77777777" w:rsidR="006C4C93" w:rsidRPr="006C4C93" w:rsidRDefault="006C4C93" w:rsidP="00A377AC">
            <w:pPr>
              <w:ind w:firstLine="360"/>
              <w:rPr>
                <w:sz w:val="20"/>
                <w:szCs w:val="20"/>
              </w:rPr>
            </w:pPr>
            <w:r w:rsidRPr="00813978">
              <w:rPr>
                <w:sz w:val="20"/>
                <w:szCs w:val="20"/>
              </w:rPr>
              <w:t>1,000</w:t>
            </w:r>
          </w:p>
        </w:tc>
      </w:tr>
      <w:tr w:rsidR="006C4C93" w14:paraId="295B3C2D" w14:textId="77777777" w:rsidTr="0030470E">
        <w:tc>
          <w:tcPr>
            <w:tcW w:w="5464" w:type="dxa"/>
            <w:vAlign w:val="bottom"/>
          </w:tcPr>
          <w:p w14:paraId="72E2E8EA" w14:textId="53D669FD" w:rsidR="006C4C93" w:rsidRPr="006C4C93" w:rsidRDefault="006C4C93" w:rsidP="00A377AC">
            <w:pPr>
              <w:ind w:firstLine="360"/>
              <w:rPr>
                <w:sz w:val="20"/>
                <w:szCs w:val="20"/>
              </w:rPr>
            </w:pPr>
            <w:r w:rsidRPr="006C4C93">
              <w:rPr>
                <w:sz w:val="20"/>
                <w:szCs w:val="20"/>
              </w:rPr>
              <w:t>Baltimore</w:t>
            </w:r>
          </w:p>
        </w:tc>
        <w:tc>
          <w:tcPr>
            <w:tcW w:w="931" w:type="dxa"/>
            <w:vAlign w:val="bottom"/>
          </w:tcPr>
          <w:p w14:paraId="060E5086" w14:textId="77777777" w:rsidR="006C4C93" w:rsidRPr="006C4C93" w:rsidRDefault="006C4C93" w:rsidP="00A377AC">
            <w:pPr>
              <w:ind w:firstLine="360"/>
              <w:rPr>
                <w:sz w:val="20"/>
                <w:szCs w:val="20"/>
              </w:rPr>
            </w:pPr>
            <w:r w:rsidRPr="006C4C93">
              <w:rPr>
                <w:sz w:val="20"/>
                <w:szCs w:val="20"/>
              </w:rPr>
              <w:t>MD</w:t>
            </w:r>
          </w:p>
        </w:tc>
        <w:tc>
          <w:tcPr>
            <w:tcW w:w="960" w:type="dxa"/>
          </w:tcPr>
          <w:p w14:paraId="6E33CD5D" w14:textId="77777777" w:rsidR="006C4C93" w:rsidRPr="006C4C93" w:rsidRDefault="006C4C93" w:rsidP="00A377AC">
            <w:pPr>
              <w:ind w:firstLine="360"/>
              <w:rPr>
                <w:sz w:val="20"/>
                <w:szCs w:val="20"/>
              </w:rPr>
            </w:pPr>
            <w:r w:rsidRPr="00813978">
              <w:rPr>
                <w:sz w:val="20"/>
                <w:szCs w:val="20"/>
              </w:rPr>
              <w:t>3</w:t>
            </w:r>
          </w:p>
        </w:tc>
        <w:tc>
          <w:tcPr>
            <w:tcW w:w="1995" w:type="dxa"/>
          </w:tcPr>
          <w:p w14:paraId="545A5AD3" w14:textId="77777777" w:rsidR="006C4C93" w:rsidRPr="006C4C93" w:rsidRDefault="006C4C93" w:rsidP="00A377AC">
            <w:pPr>
              <w:ind w:firstLine="360"/>
              <w:rPr>
                <w:sz w:val="20"/>
                <w:szCs w:val="20"/>
              </w:rPr>
            </w:pPr>
            <w:r w:rsidRPr="00813978">
              <w:rPr>
                <w:sz w:val="20"/>
                <w:szCs w:val="20"/>
              </w:rPr>
              <w:t>1,000</w:t>
            </w:r>
          </w:p>
        </w:tc>
      </w:tr>
      <w:tr w:rsidR="006C4C93" w14:paraId="37E08193" w14:textId="77777777" w:rsidTr="0030470E">
        <w:tc>
          <w:tcPr>
            <w:tcW w:w="5464" w:type="dxa"/>
          </w:tcPr>
          <w:p w14:paraId="2C2056ED" w14:textId="77777777" w:rsidR="006C4C93" w:rsidRPr="006C4C93" w:rsidRDefault="006C4C93" w:rsidP="00A377AC">
            <w:pPr>
              <w:ind w:firstLine="360"/>
              <w:rPr>
                <w:sz w:val="20"/>
                <w:szCs w:val="20"/>
              </w:rPr>
            </w:pPr>
            <w:r w:rsidRPr="006C4C93">
              <w:rPr>
                <w:color w:val="000000"/>
                <w:sz w:val="20"/>
                <w:szCs w:val="20"/>
              </w:rPr>
              <w:t>Calaveras County</w:t>
            </w:r>
          </w:p>
        </w:tc>
        <w:tc>
          <w:tcPr>
            <w:tcW w:w="931" w:type="dxa"/>
            <w:vAlign w:val="center"/>
          </w:tcPr>
          <w:p w14:paraId="6FB38DFF" w14:textId="77777777" w:rsidR="006C4C93" w:rsidRPr="006C4C93" w:rsidRDefault="006C4C93" w:rsidP="00A377AC">
            <w:pPr>
              <w:ind w:firstLine="360"/>
              <w:rPr>
                <w:sz w:val="20"/>
                <w:szCs w:val="20"/>
              </w:rPr>
            </w:pPr>
            <w:r w:rsidRPr="006C4C93">
              <w:rPr>
                <w:sz w:val="20"/>
                <w:szCs w:val="20"/>
              </w:rPr>
              <w:t>CA</w:t>
            </w:r>
          </w:p>
        </w:tc>
        <w:tc>
          <w:tcPr>
            <w:tcW w:w="960" w:type="dxa"/>
          </w:tcPr>
          <w:p w14:paraId="565B6FEA" w14:textId="77777777" w:rsidR="006C4C93" w:rsidRPr="006C4C93" w:rsidRDefault="006C4C93" w:rsidP="00A377AC">
            <w:pPr>
              <w:ind w:firstLine="360"/>
              <w:rPr>
                <w:sz w:val="20"/>
                <w:szCs w:val="20"/>
              </w:rPr>
            </w:pPr>
            <w:r w:rsidRPr="00813978">
              <w:rPr>
                <w:sz w:val="20"/>
                <w:szCs w:val="20"/>
              </w:rPr>
              <w:t>9</w:t>
            </w:r>
          </w:p>
        </w:tc>
        <w:tc>
          <w:tcPr>
            <w:tcW w:w="1995" w:type="dxa"/>
          </w:tcPr>
          <w:p w14:paraId="0CE13CA7" w14:textId="77777777" w:rsidR="006C4C93" w:rsidRPr="006C4C93" w:rsidRDefault="006C4C93" w:rsidP="00A377AC">
            <w:pPr>
              <w:ind w:firstLine="360"/>
              <w:rPr>
                <w:sz w:val="20"/>
                <w:szCs w:val="20"/>
              </w:rPr>
            </w:pPr>
            <w:r>
              <w:rPr>
                <w:sz w:val="20"/>
                <w:szCs w:val="20"/>
              </w:rPr>
              <w:t>1</w:t>
            </w:r>
            <w:r w:rsidRPr="00813978">
              <w:rPr>
                <w:sz w:val="20"/>
                <w:szCs w:val="20"/>
              </w:rPr>
              <w:t>,000</w:t>
            </w:r>
          </w:p>
        </w:tc>
      </w:tr>
      <w:tr w:rsidR="006C4C93" w14:paraId="4C863FD6" w14:textId="77777777" w:rsidTr="0030470E">
        <w:tc>
          <w:tcPr>
            <w:tcW w:w="5464" w:type="dxa"/>
          </w:tcPr>
          <w:p w14:paraId="3AD7B301" w14:textId="77777777" w:rsidR="006C4C93" w:rsidRPr="00813978" w:rsidRDefault="006C4C93" w:rsidP="00A377AC">
            <w:pPr>
              <w:ind w:firstLine="360"/>
              <w:rPr>
                <w:sz w:val="20"/>
                <w:szCs w:val="20"/>
              </w:rPr>
            </w:pPr>
            <w:r w:rsidRPr="006C4C93">
              <w:rPr>
                <w:color w:val="000000"/>
                <w:sz w:val="20"/>
                <w:szCs w:val="20"/>
              </w:rPr>
              <w:t>Chico (Butte County)</w:t>
            </w:r>
          </w:p>
        </w:tc>
        <w:tc>
          <w:tcPr>
            <w:tcW w:w="931" w:type="dxa"/>
            <w:vAlign w:val="center"/>
          </w:tcPr>
          <w:p w14:paraId="7FFAF597" w14:textId="77777777" w:rsidR="006C4C93" w:rsidRPr="00813978" w:rsidRDefault="006C4C93" w:rsidP="00A377AC">
            <w:pPr>
              <w:ind w:firstLine="360"/>
              <w:rPr>
                <w:sz w:val="20"/>
                <w:szCs w:val="20"/>
              </w:rPr>
            </w:pPr>
            <w:r w:rsidRPr="006C4C93">
              <w:rPr>
                <w:sz w:val="20"/>
                <w:szCs w:val="20"/>
              </w:rPr>
              <w:t>CA</w:t>
            </w:r>
          </w:p>
        </w:tc>
        <w:tc>
          <w:tcPr>
            <w:tcW w:w="960" w:type="dxa"/>
          </w:tcPr>
          <w:p w14:paraId="59ACA5F4" w14:textId="77777777" w:rsidR="006C4C93" w:rsidRPr="00813978" w:rsidRDefault="006C4C93" w:rsidP="00A377AC">
            <w:pPr>
              <w:ind w:firstLine="360"/>
              <w:rPr>
                <w:sz w:val="20"/>
                <w:szCs w:val="20"/>
              </w:rPr>
            </w:pPr>
            <w:r w:rsidRPr="00813978">
              <w:rPr>
                <w:sz w:val="20"/>
                <w:szCs w:val="20"/>
              </w:rPr>
              <w:t>9</w:t>
            </w:r>
          </w:p>
        </w:tc>
        <w:tc>
          <w:tcPr>
            <w:tcW w:w="1995" w:type="dxa"/>
          </w:tcPr>
          <w:p w14:paraId="4F676478" w14:textId="77777777" w:rsidR="006C4C93" w:rsidRPr="00813978" w:rsidRDefault="006C4C93" w:rsidP="00A377AC">
            <w:pPr>
              <w:ind w:firstLine="360"/>
              <w:rPr>
                <w:sz w:val="20"/>
                <w:szCs w:val="20"/>
              </w:rPr>
            </w:pPr>
            <w:r w:rsidRPr="00813978">
              <w:rPr>
                <w:sz w:val="20"/>
                <w:szCs w:val="20"/>
              </w:rPr>
              <w:t>1,000</w:t>
            </w:r>
          </w:p>
        </w:tc>
      </w:tr>
      <w:tr w:rsidR="006C4C93" w14:paraId="23DFF9CB" w14:textId="77777777" w:rsidTr="0030470E">
        <w:tc>
          <w:tcPr>
            <w:tcW w:w="5464" w:type="dxa"/>
          </w:tcPr>
          <w:p w14:paraId="554BD254" w14:textId="77777777" w:rsidR="006C4C93" w:rsidRPr="00813978" w:rsidRDefault="006C4C93" w:rsidP="00A377AC">
            <w:pPr>
              <w:ind w:firstLine="360"/>
              <w:rPr>
                <w:sz w:val="20"/>
                <w:szCs w:val="20"/>
              </w:rPr>
            </w:pPr>
            <w:r w:rsidRPr="006C4C93">
              <w:rPr>
                <w:color w:val="000000"/>
                <w:sz w:val="20"/>
                <w:szCs w:val="20"/>
              </w:rPr>
              <w:t>Dukes County</w:t>
            </w:r>
          </w:p>
        </w:tc>
        <w:tc>
          <w:tcPr>
            <w:tcW w:w="931" w:type="dxa"/>
            <w:vAlign w:val="center"/>
          </w:tcPr>
          <w:p w14:paraId="58D0B555" w14:textId="77777777" w:rsidR="006C4C93" w:rsidRPr="00813978" w:rsidRDefault="006C4C93" w:rsidP="00A377AC">
            <w:pPr>
              <w:ind w:firstLine="360"/>
              <w:rPr>
                <w:sz w:val="20"/>
                <w:szCs w:val="20"/>
              </w:rPr>
            </w:pPr>
            <w:r w:rsidRPr="006C4C93">
              <w:rPr>
                <w:sz w:val="20"/>
                <w:szCs w:val="20"/>
              </w:rPr>
              <w:t>MA</w:t>
            </w:r>
          </w:p>
        </w:tc>
        <w:tc>
          <w:tcPr>
            <w:tcW w:w="960" w:type="dxa"/>
          </w:tcPr>
          <w:p w14:paraId="59C96F65" w14:textId="77777777" w:rsidR="006C4C93" w:rsidRPr="00813978" w:rsidRDefault="006C4C93" w:rsidP="00A377AC">
            <w:pPr>
              <w:ind w:firstLine="360"/>
              <w:rPr>
                <w:sz w:val="20"/>
                <w:szCs w:val="20"/>
              </w:rPr>
            </w:pPr>
            <w:r w:rsidRPr="00813978">
              <w:rPr>
                <w:sz w:val="20"/>
                <w:szCs w:val="20"/>
              </w:rPr>
              <w:t>1</w:t>
            </w:r>
          </w:p>
        </w:tc>
        <w:tc>
          <w:tcPr>
            <w:tcW w:w="1995" w:type="dxa"/>
          </w:tcPr>
          <w:p w14:paraId="1FC356A7" w14:textId="77777777" w:rsidR="006C4C93" w:rsidRPr="00813978" w:rsidRDefault="006C4C93" w:rsidP="00A377AC">
            <w:pPr>
              <w:ind w:firstLine="360"/>
              <w:rPr>
                <w:sz w:val="20"/>
                <w:szCs w:val="20"/>
              </w:rPr>
            </w:pPr>
            <w:r w:rsidRPr="00813978">
              <w:rPr>
                <w:sz w:val="20"/>
                <w:szCs w:val="20"/>
              </w:rPr>
              <w:t>1,000</w:t>
            </w:r>
          </w:p>
        </w:tc>
      </w:tr>
      <w:tr w:rsidR="006C4C93" w14:paraId="54DF9B33" w14:textId="77777777" w:rsidTr="0030470E">
        <w:tc>
          <w:tcPr>
            <w:tcW w:w="5464" w:type="dxa"/>
          </w:tcPr>
          <w:p w14:paraId="627EB244" w14:textId="77777777" w:rsidR="006C4C93" w:rsidRPr="00813978" w:rsidRDefault="006C4C93" w:rsidP="00A377AC">
            <w:pPr>
              <w:ind w:firstLine="360"/>
              <w:rPr>
                <w:sz w:val="20"/>
                <w:szCs w:val="20"/>
              </w:rPr>
            </w:pPr>
            <w:r w:rsidRPr="006C4C93">
              <w:rPr>
                <w:color w:val="000000"/>
                <w:sz w:val="20"/>
                <w:szCs w:val="20"/>
              </w:rPr>
              <w:t>Jamestown</w:t>
            </w:r>
          </w:p>
        </w:tc>
        <w:tc>
          <w:tcPr>
            <w:tcW w:w="931" w:type="dxa"/>
            <w:vAlign w:val="center"/>
          </w:tcPr>
          <w:p w14:paraId="3189CC85" w14:textId="77777777" w:rsidR="006C4C93" w:rsidRPr="00813978" w:rsidRDefault="006C4C93" w:rsidP="00A377AC">
            <w:pPr>
              <w:ind w:firstLine="360"/>
              <w:rPr>
                <w:sz w:val="20"/>
                <w:szCs w:val="20"/>
              </w:rPr>
            </w:pPr>
            <w:r w:rsidRPr="006C4C93">
              <w:rPr>
                <w:sz w:val="20"/>
                <w:szCs w:val="20"/>
              </w:rPr>
              <w:t>NY</w:t>
            </w:r>
          </w:p>
        </w:tc>
        <w:tc>
          <w:tcPr>
            <w:tcW w:w="960" w:type="dxa"/>
          </w:tcPr>
          <w:p w14:paraId="0E77E0C9" w14:textId="77777777" w:rsidR="006C4C93" w:rsidRPr="00813978" w:rsidRDefault="006C4C93" w:rsidP="00A377AC">
            <w:pPr>
              <w:ind w:firstLine="360"/>
              <w:rPr>
                <w:sz w:val="20"/>
                <w:szCs w:val="20"/>
              </w:rPr>
            </w:pPr>
            <w:r w:rsidRPr="00813978">
              <w:rPr>
                <w:sz w:val="20"/>
                <w:szCs w:val="20"/>
              </w:rPr>
              <w:t>2</w:t>
            </w:r>
          </w:p>
        </w:tc>
        <w:tc>
          <w:tcPr>
            <w:tcW w:w="1995" w:type="dxa"/>
          </w:tcPr>
          <w:p w14:paraId="27F74A06" w14:textId="77777777" w:rsidR="006C4C93" w:rsidRPr="00813978" w:rsidRDefault="006C4C93" w:rsidP="00A377AC">
            <w:pPr>
              <w:ind w:firstLine="360"/>
              <w:rPr>
                <w:sz w:val="20"/>
                <w:szCs w:val="20"/>
              </w:rPr>
            </w:pPr>
            <w:r w:rsidRPr="00813978">
              <w:rPr>
                <w:sz w:val="20"/>
                <w:szCs w:val="20"/>
              </w:rPr>
              <w:t>1,000</w:t>
            </w:r>
          </w:p>
        </w:tc>
      </w:tr>
      <w:tr w:rsidR="006C4C93" w14:paraId="536CD726" w14:textId="77777777" w:rsidTr="0030470E">
        <w:tc>
          <w:tcPr>
            <w:tcW w:w="5464" w:type="dxa"/>
          </w:tcPr>
          <w:p w14:paraId="2151D742" w14:textId="77777777" w:rsidR="006C4C93" w:rsidRPr="00813978" w:rsidRDefault="006C4C93" w:rsidP="00A377AC">
            <w:pPr>
              <w:ind w:firstLine="360"/>
              <w:rPr>
                <w:sz w:val="20"/>
                <w:szCs w:val="20"/>
              </w:rPr>
            </w:pPr>
            <w:r w:rsidRPr="006C4C93">
              <w:rPr>
                <w:color w:val="000000"/>
                <w:sz w:val="20"/>
                <w:szCs w:val="20"/>
              </w:rPr>
              <w:t>Lancaster</w:t>
            </w:r>
          </w:p>
        </w:tc>
        <w:tc>
          <w:tcPr>
            <w:tcW w:w="931" w:type="dxa"/>
            <w:vAlign w:val="center"/>
          </w:tcPr>
          <w:p w14:paraId="5BBBCFBF" w14:textId="77777777" w:rsidR="006C4C93" w:rsidRPr="00813978" w:rsidRDefault="006C4C93" w:rsidP="00A377AC">
            <w:pPr>
              <w:ind w:firstLine="360"/>
              <w:rPr>
                <w:sz w:val="20"/>
                <w:szCs w:val="20"/>
              </w:rPr>
            </w:pPr>
            <w:r w:rsidRPr="006C4C93">
              <w:rPr>
                <w:sz w:val="20"/>
                <w:szCs w:val="20"/>
              </w:rPr>
              <w:t>PA</w:t>
            </w:r>
          </w:p>
        </w:tc>
        <w:tc>
          <w:tcPr>
            <w:tcW w:w="960" w:type="dxa"/>
          </w:tcPr>
          <w:p w14:paraId="4F1DCB3F" w14:textId="77777777" w:rsidR="006C4C93" w:rsidRPr="00813978" w:rsidRDefault="006C4C93" w:rsidP="00A377AC">
            <w:pPr>
              <w:ind w:firstLine="360"/>
              <w:rPr>
                <w:sz w:val="20"/>
                <w:szCs w:val="20"/>
              </w:rPr>
            </w:pPr>
            <w:r w:rsidRPr="00813978">
              <w:rPr>
                <w:sz w:val="20"/>
                <w:szCs w:val="20"/>
              </w:rPr>
              <w:t>3</w:t>
            </w:r>
          </w:p>
        </w:tc>
        <w:tc>
          <w:tcPr>
            <w:tcW w:w="1995" w:type="dxa"/>
          </w:tcPr>
          <w:p w14:paraId="450B0934" w14:textId="77777777" w:rsidR="006C4C93" w:rsidRPr="00813978" w:rsidRDefault="006C4C93" w:rsidP="00A377AC">
            <w:pPr>
              <w:ind w:firstLine="360"/>
              <w:rPr>
                <w:sz w:val="20"/>
                <w:szCs w:val="20"/>
              </w:rPr>
            </w:pPr>
            <w:r w:rsidRPr="00813978">
              <w:rPr>
                <w:sz w:val="20"/>
                <w:szCs w:val="20"/>
              </w:rPr>
              <w:t>1,000</w:t>
            </w:r>
          </w:p>
        </w:tc>
      </w:tr>
      <w:tr w:rsidR="006C4C93" w14:paraId="49DEDA54" w14:textId="77777777" w:rsidTr="0030470E">
        <w:tc>
          <w:tcPr>
            <w:tcW w:w="5464" w:type="dxa"/>
            <w:vAlign w:val="bottom"/>
          </w:tcPr>
          <w:p w14:paraId="11869CAE" w14:textId="63AD03A6" w:rsidR="006C4C93" w:rsidRPr="00813978" w:rsidRDefault="006C4C93" w:rsidP="00A377AC">
            <w:pPr>
              <w:ind w:firstLine="360"/>
              <w:rPr>
                <w:sz w:val="20"/>
                <w:szCs w:val="20"/>
              </w:rPr>
            </w:pPr>
            <w:r w:rsidRPr="00813978">
              <w:rPr>
                <w:sz w:val="20"/>
                <w:szCs w:val="20"/>
              </w:rPr>
              <w:t>Mariposa County</w:t>
            </w:r>
          </w:p>
        </w:tc>
        <w:tc>
          <w:tcPr>
            <w:tcW w:w="931" w:type="dxa"/>
            <w:vAlign w:val="bottom"/>
          </w:tcPr>
          <w:p w14:paraId="74358AD0" w14:textId="77777777" w:rsidR="006C4C93" w:rsidRPr="00813978" w:rsidRDefault="006C4C93" w:rsidP="00A377AC">
            <w:pPr>
              <w:ind w:firstLine="360"/>
              <w:rPr>
                <w:sz w:val="20"/>
                <w:szCs w:val="20"/>
              </w:rPr>
            </w:pPr>
            <w:r w:rsidRPr="00813978">
              <w:rPr>
                <w:sz w:val="20"/>
                <w:szCs w:val="20"/>
              </w:rPr>
              <w:t>CA</w:t>
            </w:r>
          </w:p>
        </w:tc>
        <w:tc>
          <w:tcPr>
            <w:tcW w:w="960" w:type="dxa"/>
          </w:tcPr>
          <w:p w14:paraId="451B31F7" w14:textId="77777777" w:rsidR="006C4C93" w:rsidRPr="00813978" w:rsidRDefault="006C4C93" w:rsidP="00A377AC">
            <w:pPr>
              <w:ind w:firstLine="360"/>
              <w:rPr>
                <w:sz w:val="20"/>
                <w:szCs w:val="20"/>
              </w:rPr>
            </w:pPr>
            <w:r w:rsidRPr="00813978">
              <w:rPr>
                <w:sz w:val="20"/>
                <w:szCs w:val="20"/>
              </w:rPr>
              <w:t>9</w:t>
            </w:r>
          </w:p>
        </w:tc>
        <w:tc>
          <w:tcPr>
            <w:tcW w:w="1995" w:type="dxa"/>
          </w:tcPr>
          <w:p w14:paraId="3F58B9DB" w14:textId="77777777" w:rsidR="006C4C93" w:rsidRPr="00813978" w:rsidRDefault="006C4C93" w:rsidP="00A377AC">
            <w:pPr>
              <w:ind w:firstLine="360"/>
              <w:rPr>
                <w:sz w:val="20"/>
                <w:szCs w:val="20"/>
              </w:rPr>
            </w:pPr>
            <w:r w:rsidRPr="00813978">
              <w:rPr>
                <w:sz w:val="20"/>
                <w:szCs w:val="20"/>
              </w:rPr>
              <w:t>1,000</w:t>
            </w:r>
          </w:p>
        </w:tc>
      </w:tr>
      <w:tr w:rsidR="006C4C93" w14:paraId="70757003" w14:textId="77777777" w:rsidTr="0030470E">
        <w:tc>
          <w:tcPr>
            <w:tcW w:w="5464" w:type="dxa"/>
          </w:tcPr>
          <w:p w14:paraId="056AA535" w14:textId="77777777" w:rsidR="006C4C93" w:rsidRPr="00813978" w:rsidRDefault="006C4C93" w:rsidP="00A377AC">
            <w:pPr>
              <w:ind w:firstLine="360"/>
              <w:rPr>
                <w:sz w:val="20"/>
                <w:szCs w:val="20"/>
              </w:rPr>
            </w:pPr>
            <w:r w:rsidRPr="00813978">
              <w:rPr>
                <w:color w:val="000000"/>
                <w:sz w:val="20"/>
                <w:szCs w:val="20"/>
              </w:rPr>
              <w:t>Philadelphia-Wilmington-Atlantic City</w:t>
            </w:r>
          </w:p>
        </w:tc>
        <w:tc>
          <w:tcPr>
            <w:tcW w:w="931" w:type="dxa"/>
            <w:vAlign w:val="center"/>
          </w:tcPr>
          <w:p w14:paraId="675089D0" w14:textId="77777777" w:rsidR="006C4C93" w:rsidRPr="00813978" w:rsidRDefault="006C4C93" w:rsidP="00A377AC">
            <w:pPr>
              <w:ind w:firstLine="360"/>
              <w:rPr>
                <w:sz w:val="20"/>
                <w:szCs w:val="20"/>
              </w:rPr>
            </w:pPr>
            <w:r w:rsidRPr="00813978">
              <w:rPr>
                <w:sz w:val="20"/>
                <w:szCs w:val="20"/>
              </w:rPr>
              <w:t>DE</w:t>
            </w:r>
          </w:p>
        </w:tc>
        <w:tc>
          <w:tcPr>
            <w:tcW w:w="960" w:type="dxa"/>
          </w:tcPr>
          <w:p w14:paraId="17C3ED2C" w14:textId="77777777" w:rsidR="006C4C93" w:rsidRPr="00813978" w:rsidRDefault="006C4C93" w:rsidP="00A377AC">
            <w:pPr>
              <w:ind w:firstLine="360"/>
              <w:rPr>
                <w:sz w:val="20"/>
                <w:szCs w:val="20"/>
              </w:rPr>
            </w:pPr>
            <w:r w:rsidRPr="00813978">
              <w:rPr>
                <w:sz w:val="20"/>
                <w:szCs w:val="20"/>
              </w:rPr>
              <w:t>3</w:t>
            </w:r>
          </w:p>
        </w:tc>
        <w:tc>
          <w:tcPr>
            <w:tcW w:w="1995" w:type="dxa"/>
          </w:tcPr>
          <w:p w14:paraId="526E6715" w14:textId="77777777" w:rsidR="006C4C93" w:rsidRPr="00813978" w:rsidRDefault="006C4C93" w:rsidP="00A377AC">
            <w:pPr>
              <w:ind w:firstLine="360"/>
              <w:rPr>
                <w:sz w:val="20"/>
                <w:szCs w:val="20"/>
              </w:rPr>
            </w:pPr>
            <w:r w:rsidRPr="00813978">
              <w:rPr>
                <w:sz w:val="20"/>
                <w:szCs w:val="20"/>
              </w:rPr>
              <w:t>1,000</w:t>
            </w:r>
          </w:p>
        </w:tc>
      </w:tr>
      <w:tr w:rsidR="006C4C93" w14:paraId="7764BCEA" w14:textId="77777777" w:rsidTr="0030470E">
        <w:tc>
          <w:tcPr>
            <w:tcW w:w="5464" w:type="dxa"/>
          </w:tcPr>
          <w:p w14:paraId="645705B2" w14:textId="77777777" w:rsidR="006C4C93" w:rsidRPr="00813978" w:rsidRDefault="006C4C93" w:rsidP="00A377AC">
            <w:pPr>
              <w:ind w:firstLine="360"/>
              <w:rPr>
                <w:sz w:val="20"/>
                <w:szCs w:val="20"/>
              </w:rPr>
            </w:pPr>
            <w:r w:rsidRPr="00813978">
              <w:rPr>
                <w:color w:val="000000"/>
                <w:sz w:val="20"/>
                <w:szCs w:val="20"/>
              </w:rPr>
              <w:t>Philadelphia-Wilmington-Atlantic City</w:t>
            </w:r>
          </w:p>
        </w:tc>
        <w:tc>
          <w:tcPr>
            <w:tcW w:w="931" w:type="dxa"/>
            <w:vAlign w:val="center"/>
          </w:tcPr>
          <w:p w14:paraId="79825900" w14:textId="77777777" w:rsidR="006C4C93" w:rsidRPr="00813978" w:rsidRDefault="006C4C93" w:rsidP="00A377AC">
            <w:pPr>
              <w:ind w:firstLine="360"/>
              <w:rPr>
                <w:sz w:val="20"/>
                <w:szCs w:val="20"/>
              </w:rPr>
            </w:pPr>
            <w:r w:rsidRPr="00813978">
              <w:rPr>
                <w:sz w:val="20"/>
                <w:szCs w:val="20"/>
              </w:rPr>
              <w:t>MD</w:t>
            </w:r>
          </w:p>
        </w:tc>
        <w:tc>
          <w:tcPr>
            <w:tcW w:w="960" w:type="dxa"/>
          </w:tcPr>
          <w:p w14:paraId="189D3EF4" w14:textId="77777777" w:rsidR="006C4C93" w:rsidRPr="00813978" w:rsidRDefault="006C4C93" w:rsidP="00A377AC">
            <w:pPr>
              <w:ind w:firstLine="360"/>
              <w:rPr>
                <w:sz w:val="20"/>
                <w:szCs w:val="20"/>
              </w:rPr>
            </w:pPr>
            <w:r w:rsidRPr="00813978">
              <w:rPr>
                <w:sz w:val="20"/>
                <w:szCs w:val="20"/>
              </w:rPr>
              <w:t>3</w:t>
            </w:r>
          </w:p>
        </w:tc>
        <w:tc>
          <w:tcPr>
            <w:tcW w:w="1995" w:type="dxa"/>
          </w:tcPr>
          <w:p w14:paraId="6384C41F" w14:textId="77777777" w:rsidR="006C4C93" w:rsidRPr="00813978" w:rsidRDefault="006C4C93" w:rsidP="00A377AC">
            <w:pPr>
              <w:ind w:firstLine="360"/>
              <w:rPr>
                <w:sz w:val="20"/>
                <w:szCs w:val="20"/>
              </w:rPr>
            </w:pPr>
            <w:r w:rsidRPr="00813978">
              <w:rPr>
                <w:sz w:val="20"/>
                <w:szCs w:val="20"/>
              </w:rPr>
              <w:t>1,000</w:t>
            </w:r>
          </w:p>
        </w:tc>
      </w:tr>
      <w:tr w:rsidR="006C4C93" w14:paraId="2CB2B2C9" w14:textId="77777777" w:rsidTr="0030470E">
        <w:tc>
          <w:tcPr>
            <w:tcW w:w="5464" w:type="dxa"/>
          </w:tcPr>
          <w:p w14:paraId="6EB04D2C" w14:textId="77777777" w:rsidR="006C4C93" w:rsidRPr="00813978" w:rsidRDefault="006C4C93" w:rsidP="00A377AC">
            <w:pPr>
              <w:ind w:firstLine="360"/>
              <w:rPr>
                <w:sz w:val="20"/>
                <w:szCs w:val="20"/>
              </w:rPr>
            </w:pPr>
            <w:r w:rsidRPr="00813978">
              <w:rPr>
                <w:color w:val="000000"/>
                <w:sz w:val="20"/>
                <w:szCs w:val="20"/>
              </w:rPr>
              <w:t>Philadelphia-Wilmington-Atlantic City</w:t>
            </w:r>
          </w:p>
        </w:tc>
        <w:tc>
          <w:tcPr>
            <w:tcW w:w="931" w:type="dxa"/>
            <w:vAlign w:val="center"/>
          </w:tcPr>
          <w:p w14:paraId="7C8D8E09" w14:textId="77777777" w:rsidR="006C4C93" w:rsidRPr="00813978" w:rsidRDefault="006C4C93" w:rsidP="00A377AC">
            <w:pPr>
              <w:ind w:firstLine="360"/>
              <w:rPr>
                <w:sz w:val="20"/>
                <w:szCs w:val="20"/>
              </w:rPr>
            </w:pPr>
            <w:r w:rsidRPr="00813978">
              <w:rPr>
                <w:sz w:val="20"/>
                <w:szCs w:val="20"/>
              </w:rPr>
              <w:t>NJ</w:t>
            </w:r>
          </w:p>
        </w:tc>
        <w:tc>
          <w:tcPr>
            <w:tcW w:w="960" w:type="dxa"/>
          </w:tcPr>
          <w:p w14:paraId="5D8EF59D" w14:textId="77777777" w:rsidR="006C4C93" w:rsidRPr="00813978" w:rsidRDefault="006C4C93" w:rsidP="00A377AC">
            <w:pPr>
              <w:ind w:firstLine="360"/>
              <w:rPr>
                <w:sz w:val="20"/>
                <w:szCs w:val="20"/>
              </w:rPr>
            </w:pPr>
            <w:r w:rsidRPr="00813978">
              <w:rPr>
                <w:sz w:val="20"/>
                <w:szCs w:val="20"/>
              </w:rPr>
              <w:t>2</w:t>
            </w:r>
          </w:p>
        </w:tc>
        <w:tc>
          <w:tcPr>
            <w:tcW w:w="1995" w:type="dxa"/>
          </w:tcPr>
          <w:p w14:paraId="50717C19" w14:textId="77777777" w:rsidR="006C4C93" w:rsidRPr="00813978" w:rsidRDefault="006C4C93" w:rsidP="00A377AC">
            <w:pPr>
              <w:ind w:firstLine="360"/>
              <w:rPr>
                <w:sz w:val="20"/>
                <w:szCs w:val="20"/>
              </w:rPr>
            </w:pPr>
            <w:r w:rsidRPr="00813978">
              <w:rPr>
                <w:sz w:val="20"/>
                <w:szCs w:val="20"/>
              </w:rPr>
              <w:t>1,000</w:t>
            </w:r>
          </w:p>
        </w:tc>
      </w:tr>
      <w:tr w:rsidR="006C4C93" w14:paraId="462A4D2E" w14:textId="77777777" w:rsidTr="0030470E">
        <w:tc>
          <w:tcPr>
            <w:tcW w:w="5464" w:type="dxa"/>
          </w:tcPr>
          <w:p w14:paraId="5E818B7B" w14:textId="77777777" w:rsidR="006C4C93" w:rsidRPr="00813978" w:rsidRDefault="006C4C93" w:rsidP="00A377AC">
            <w:pPr>
              <w:ind w:firstLine="360"/>
              <w:rPr>
                <w:sz w:val="20"/>
                <w:szCs w:val="20"/>
              </w:rPr>
            </w:pPr>
            <w:r w:rsidRPr="00813978">
              <w:rPr>
                <w:color w:val="000000"/>
                <w:sz w:val="20"/>
                <w:szCs w:val="20"/>
              </w:rPr>
              <w:t>Philadelphia-Wilmington-Atlantic City</w:t>
            </w:r>
          </w:p>
        </w:tc>
        <w:tc>
          <w:tcPr>
            <w:tcW w:w="931" w:type="dxa"/>
            <w:vAlign w:val="center"/>
          </w:tcPr>
          <w:p w14:paraId="2AD0CBF2" w14:textId="77777777" w:rsidR="006C4C93" w:rsidRPr="00813978" w:rsidRDefault="006C4C93" w:rsidP="00A377AC">
            <w:pPr>
              <w:ind w:firstLine="360"/>
              <w:rPr>
                <w:sz w:val="20"/>
                <w:szCs w:val="20"/>
              </w:rPr>
            </w:pPr>
            <w:r w:rsidRPr="00813978">
              <w:rPr>
                <w:sz w:val="20"/>
                <w:szCs w:val="20"/>
              </w:rPr>
              <w:t>PA</w:t>
            </w:r>
          </w:p>
        </w:tc>
        <w:tc>
          <w:tcPr>
            <w:tcW w:w="960" w:type="dxa"/>
          </w:tcPr>
          <w:p w14:paraId="272CC9B9" w14:textId="77777777" w:rsidR="006C4C93" w:rsidRPr="00813978" w:rsidRDefault="006C4C93" w:rsidP="00A377AC">
            <w:pPr>
              <w:ind w:firstLine="360"/>
              <w:rPr>
                <w:sz w:val="20"/>
                <w:szCs w:val="20"/>
              </w:rPr>
            </w:pPr>
            <w:r w:rsidRPr="00813978">
              <w:rPr>
                <w:sz w:val="20"/>
                <w:szCs w:val="20"/>
              </w:rPr>
              <w:t>3</w:t>
            </w:r>
          </w:p>
        </w:tc>
        <w:tc>
          <w:tcPr>
            <w:tcW w:w="1995" w:type="dxa"/>
          </w:tcPr>
          <w:p w14:paraId="7C438AA1" w14:textId="77777777" w:rsidR="006C4C93" w:rsidRPr="00813978" w:rsidRDefault="006C4C93" w:rsidP="00A377AC">
            <w:pPr>
              <w:ind w:firstLine="360"/>
              <w:rPr>
                <w:sz w:val="20"/>
                <w:szCs w:val="20"/>
              </w:rPr>
            </w:pPr>
            <w:r w:rsidRPr="00813978">
              <w:rPr>
                <w:sz w:val="20"/>
                <w:szCs w:val="20"/>
              </w:rPr>
              <w:t>1,000</w:t>
            </w:r>
          </w:p>
        </w:tc>
      </w:tr>
      <w:tr w:rsidR="006C4C93" w14:paraId="3F511D24" w14:textId="77777777" w:rsidTr="0030470E">
        <w:tc>
          <w:tcPr>
            <w:tcW w:w="5464" w:type="dxa"/>
          </w:tcPr>
          <w:p w14:paraId="5FDFBFF1" w14:textId="77777777" w:rsidR="006C4C93" w:rsidRPr="00813978" w:rsidRDefault="006C4C93" w:rsidP="00A377AC">
            <w:pPr>
              <w:ind w:firstLine="360"/>
              <w:rPr>
                <w:sz w:val="20"/>
                <w:szCs w:val="20"/>
              </w:rPr>
            </w:pPr>
            <w:r w:rsidRPr="006C4C93">
              <w:rPr>
                <w:color w:val="000000"/>
                <w:sz w:val="20"/>
                <w:szCs w:val="20"/>
              </w:rPr>
              <w:t>Pittsburgh-Beaver Valley</w:t>
            </w:r>
          </w:p>
        </w:tc>
        <w:tc>
          <w:tcPr>
            <w:tcW w:w="931" w:type="dxa"/>
            <w:vAlign w:val="center"/>
          </w:tcPr>
          <w:p w14:paraId="25D35F69" w14:textId="77777777" w:rsidR="006C4C93" w:rsidRPr="00813978" w:rsidRDefault="006C4C93" w:rsidP="00A377AC">
            <w:pPr>
              <w:ind w:firstLine="360"/>
              <w:rPr>
                <w:sz w:val="20"/>
                <w:szCs w:val="20"/>
              </w:rPr>
            </w:pPr>
            <w:r w:rsidRPr="006C4C93">
              <w:rPr>
                <w:sz w:val="20"/>
                <w:szCs w:val="20"/>
              </w:rPr>
              <w:t>PA</w:t>
            </w:r>
          </w:p>
        </w:tc>
        <w:tc>
          <w:tcPr>
            <w:tcW w:w="960" w:type="dxa"/>
          </w:tcPr>
          <w:p w14:paraId="39001756" w14:textId="77777777" w:rsidR="006C4C93" w:rsidRPr="00813978" w:rsidRDefault="006C4C93" w:rsidP="00A377AC">
            <w:pPr>
              <w:ind w:firstLine="360"/>
              <w:rPr>
                <w:sz w:val="20"/>
                <w:szCs w:val="20"/>
              </w:rPr>
            </w:pPr>
            <w:r w:rsidRPr="00813978">
              <w:rPr>
                <w:sz w:val="20"/>
                <w:szCs w:val="20"/>
              </w:rPr>
              <w:t>3</w:t>
            </w:r>
          </w:p>
        </w:tc>
        <w:tc>
          <w:tcPr>
            <w:tcW w:w="1995" w:type="dxa"/>
          </w:tcPr>
          <w:p w14:paraId="538C1010" w14:textId="77777777" w:rsidR="006C4C93" w:rsidRPr="00813978" w:rsidRDefault="006C4C93" w:rsidP="00A377AC">
            <w:pPr>
              <w:ind w:firstLine="360"/>
              <w:rPr>
                <w:sz w:val="20"/>
                <w:szCs w:val="20"/>
              </w:rPr>
            </w:pPr>
            <w:r w:rsidRPr="00813978">
              <w:rPr>
                <w:sz w:val="20"/>
                <w:szCs w:val="20"/>
              </w:rPr>
              <w:t>1,000</w:t>
            </w:r>
          </w:p>
        </w:tc>
      </w:tr>
      <w:tr w:rsidR="006C4C93" w14:paraId="754F21D7" w14:textId="77777777" w:rsidTr="0030470E">
        <w:tc>
          <w:tcPr>
            <w:tcW w:w="5464" w:type="dxa"/>
          </w:tcPr>
          <w:p w14:paraId="25D7B410" w14:textId="77777777" w:rsidR="006C4C93" w:rsidRPr="00813978" w:rsidRDefault="006C4C93" w:rsidP="00A377AC">
            <w:pPr>
              <w:ind w:firstLine="360"/>
              <w:rPr>
                <w:sz w:val="20"/>
                <w:szCs w:val="20"/>
              </w:rPr>
            </w:pPr>
            <w:r w:rsidRPr="006C4C93">
              <w:rPr>
                <w:color w:val="000000"/>
                <w:sz w:val="20"/>
                <w:szCs w:val="20"/>
              </w:rPr>
              <w:t>Reading</w:t>
            </w:r>
          </w:p>
        </w:tc>
        <w:tc>
          <w:tcPr>
            <w:tcW w:w="931" w:type="dxa"/>
            <w:vAlign w:val="center"/>
          </w:tcPr>
          <w:p w14:paraId="5F239650" w14:textId="77777777" w:rsidR="006C4C93" w:rsidRPr="00813978" w:rsidRDefault="006C4C93" w:rsidP="00A377AC">
            <w:pPr>
              <w:ind w:firstLine="360"/>
              <w:rPr>
                <w:sz w:val="20"/>
                <w:szCs w:val="20"/>
              </w:rPr>
            </w:pPr>
            <w:r w:rsidRPr="006C4C93">
              <w:rPr>
                <w:sz w:val="20"/>
                <w:szCs w:val="20"/>
              </w:rPr>
              <w:t>PA</w:t>
            </w:r>
          </w:p>
        </w:tc>
        <w:tc>
          <w:tcPr>
            <w:tcW w:w="960" w:type="dxa"/>
          </w:tcPr>
          <w:p w14:paraId="734A665B" w14:textId="77777777" w:rsidR="006C4C93" w:rsidRPr="00813978" w:rsidRDefault="006C4C93" w:rsidP="00A377AC">
            <w:pPr>
              <w:ind w:firstLine="360"/>
              <w:rPr>
                <w:sz w:val="20"/>
                <w:szCs w:val="20"/>
              </w:rPr>
            </w:pPr>
            <w:r w:rsidRPr="00813978">
              <w:rPr>
                <w:sz w:val="20"/>
                <w:szCs w:val="20"/>
              </w:rPr>
              <w:t>3</w:t>
            </w:r>
          </w:p>
        </w:tc>
        <w:tc>
          <w:tcPr>
            <w:tcW w:w="1995" w:type="dxa"/>
          </w:tcPr>
          <w:p w14:paraId="0845B576" w14:textId="77777777" w:rsidR="006C4C93" w:rsidRPr="00813978" w:rsidRDefault="006C4C93" w:rsidP="00A377AC">
            <w:pPr>
              <w:ind w:firstLine="360"/>
              <w:rPr>
                <w:sz w:val="20"/>
                <w:szCs w:val="20"/>
              </w:rPr>
            </w:pPr>
            <w:r w:rsidRPr="00813978">
              <w:rPr>
                <w:sz w:val="20"/>
                <w:szCs w:val="20"/>
              </w:rPr>
              <w:t>1,000</w:t>
            </w:r>
          </w:p>
        </w:tc>
      </w:tr>
      <w:tr w:rsidR="006C4C93" w14:paraId="40461DCA" w14:textId="77777777" w:rsidTr="0030470E">
        <w:tc>
          <w:tcPr>
            <w:tcW w:w="5464" w:type="dxa"/>
          </w:tcPr>
          <w:p w14:paraId="77D23B39" w14:textId="77777777" w:rsidR="006C4C93" w:rsidRPr="00813978" w:rsidRDefault="006C4C93" w:rsidP="00A377AC">
            <w:pPr>
              <w:ind w:firstLine="360"/>
              <w:rPr>
                <w:sz w:val="20"/>
                <w:szCs w:val="20"/>
              </w:rPr>
            </w:pPr>
            <w:r w:rsidRPr="006C4C93">
              <w:rPr>
                <w:color w:val="000000"/>
                <w:sz w:val="20"/>
                <w:szCs w:val="20"/>
              </w:rPr>
              <w:t>San Francisco Bay</w:t>
            </w:r>
          </w:p>
        </w:tc>
        <w:tc>
          <w:tcPr>
            <w:tcW w:w="931" w:type="dxa"/>
            <w:vAlign w:val="center"/>
          </w:tcPr>
          <w:p w14:paraId="5736FF4E" w14:textId="77777777" w:rsidR="006C4C93" w:rsidRPr="00813978" w:rsidRDefault="006C4C93" w:rsidP="00A377AC">
            <w:pPr>
              <w:ind w:firstLine="360"/>
              <w:rPr>
                <w:sz w:val="20"/>
                <w:szCs w:val="20"/>
              </w:rPr>
            </w:pPr>
            <w:r w:rsidRPr="006C4C93">
              <w:rPr>
                <w:sz w:val="20"/>
                <w:szCs w:val="20"/>
              </w:rPr>
              <w:t>CA</w:t>
            </w:r>
          </w:p>
        </w:tc>
        <w:tc>
          <w:tcPr>
            <w:tcW w:w="960" w:type="dxa"/>
          </w:tcPr>
          <w:p w14:paraId="73ED2814" w14:textId="77777777" w:rsidR="006C4C93" w:rsidRPr="00813978" w:rsidRDefault="006C4C93" w:rsidP="00A377AC">
            <w:pPr>
              <w:ind w:firstLine="360"/>
              <w:rPr>
                <w:sz w:val="20"/>
                <w:szCs w:val="20"/>
              </w:rPr>
            </w:pPr>
            <w:r w:rsidRPr="00813978">
              <w:rPr>
                <w:sz w:val="20"/>
                <w:szCs w:val="20"/>
              </w:rPr>
              <w:t>9</w:t>
            </w:r>
          </w:p>
        </w:tc>
        <w:tc>
          <w:tcPr>
            <w:tcW w:w="1995" w:type="dxa"/>
          </w:tcPr>
          <w:p w14:paraId="6C2771D0" w14:textId="77777777" w:rsidR="006C4C93" w:rsidRPr="00813978" w:rsidRDefault="006C4C93" w:rsidP="00A377AC">
            <w:pPr>
              <w:ind w:firstLine="360"/>
              <w:rPr>
                <w:sz w:val="20"/>
                <w:szCs w:val="20"/>
              </w:rPr>
            </w:pPr>
            <w:r w:rsidRPr="00813978">
              <w:rPr>
                <w:sz w:val="20"/>
                <w:szCs w:val="20"/>
              </w:rPr>
              <w:t>1,000</w:t>
            </w:r>
          </w:p>
        </w:tc>
      </w:tr>
      <w:tr w:rsidR="006C4C93" w14:paraId="00193383" w14:textId="77777777" w:rsidTr="0030470E">
        <w:tc>
          <w:tcPr>
            <w:tcW w:w="5464" w:type="dxa"/>
          </w:tcPr>
          <w:p w14:paraId="5CF1B781" w14:textId="77777777" w:rsidR="006C4C93" w:rsidRPr="00813978" w:rsidRDefault="006C4C93" w:rsidP="00A377AC">
            <w:pPr>
              <w:ind w:firstLine="360"/>
              <w:rPr>
                <w:sz w:val="20"/>
                <w:szCs w:val="20"/>
              </w:rPr>
            </w:pPr>
            <w:r w:rsidRPr="006C4C93">
              <w:rPr>
                <w:color w:val="000000"/>
                <w:sz w:val="20"/>
                <w:szCs w:val="20"/>
              </w:rPr>
              <w:t>San Luis Obispo (Eastern San Luis Obispo)</w:t>
            </w:r>
          </w:p>
        </w:tc>
        <w:tc>
          <w:tcPr>
            <w:tcW w:w="931" w:type="dxa"/>
            <w:vAlign w:val="center"/>
          </w:tcPr>
          <w:p w14:paraId="4019C9FF" w14:textId="77777777" w:rsidR="006C4C93" w:rsidRPr="00813978" w:rsidRDefault="006C4C93" w:rsidP="00A377AC">
            <w:pPr>
              <w:ind w:firstLine="360"/>
              <w:rPr>
                <w:sz w:val="20"/>
                <w:szCs w:val="20"/>
              </w:rPr>
            </w:pPr>
            <w:r w:rsidRPr="006C4C93">
              <w:rPr>
                <w:sz w:val="20"/>
                <w:szCs w:val="20"/>
              </w:rPr>
              <w:t>CA</w:t>
            </w:r>
          </w:p>
        </w:tc>
        <w:tc>
          <w:tcPr>
            <w:tcW w:w="960" w:type="dxa"/>
          </w:tcPr>
          <w:p w14:paraId="38671853" w14:textId="77777777" w:rsidR="006C4C93" w:rsidRPr="00813978" w:rsidRDefault="006C4C93" w:rsidP="00A377AC">
            <w:pPr>
              <w:ind w:firstLine="360"/>
              <w:rPr>
                <w:sz w:val="20"/>
                <w:szCs w:val="20"/>
              </w:rPr>
            </w:pPr>
            <w:r w:rsidRPr="00813978">
              <w:rPr>
                <w:sz w:val="20"/>
                <w:szCs w:val="20"/>
              </w:rPr>
              <w:t>9</w:t>
            </w:r>
          </w:p>
        </w:tc>
        <w:tc>
          <w:tcPr>
            <w:tcW w:w="1995" w:type="dxa"/>
          </w:tcPr>
          <w:p w14:paraId="661CF613" w14:textId="77777777" w:rsidR="006C4C93" w:rsidRPr="00813978" w:rsidRDefault="006C4C93" w:rsidP="00A377AC">
            <w:pPr>
              <w:ind w:firstLine="360"/>
              <w:rPr>
                <w:sz w:val="20"/>
                <w:szCs w:val="20"/>
              </w:rPr>
            </w:pPr>
            <w:r w:rsidRPr="00813978">
              <w:rPr>
                <w:sz w:val="20"/>
                <w:szCs w:val="20"/>
              </w:rPr>
              <w:t>1,000</w:t>
            </w:r>
          </w:p>
        </w:tc>
      </w:tr>
      <w:tr w:rsidR="006C4C93" w14:paraId="1B6E4956" w14:textId="77777777" w:rsidTr="0030470E">
        <w:tc>
          <w:tcPr>
            <w:tcW w:w="5464" w:type="dxa"/>
          </w:tcPr>
          <w:p w14:paraId="61D9DEB0" w14:textId="77777777" w:rsidR="006C4C93" w:rsidRPr="00813978" w:rsidRDefault="006C4C93" w:rsidP="00A377AC">
            <w:pPr>
              <w:ind w:firstLine="360"/>
              <w:rPr>
                <w:sz w:val="20"/>
                <w:szCs w:val="20"/>
              </w:rPr>
            </w:pPr>
            <w:r w:rsidRPr="006C4C93">
              <w:rPr>
                <w:color w:val="000000"/>
                <w:sz w:val="20"/>
                <w:szCs w:val="20"/>
              </w:rPr>
              <w:t>Seaford</w:t>
            </w:r>
          </w:p>
        </w:tc>
        <w:tc>
          <w:tcPr>
            <w:tcW w:w="931" w:type="dxa"/>
            <w:vAlign w:val="center"/>
          </w:tcPr>
          <w:p w14:paraId="7E40E552" w14:textId="77777777" w:rsidR="006C4C93" w:rsidRPr="00813978" w:rsidRDefault="006C4C93" w:rsidP="00A377AC">
            <w:pPr>
              <w:ind w:firstLine="360"/>
              <w:rPr>
                <w:sz w:val="20"/>
                <w:szCs w:val="20"/>
              </w:rPr>
            </w:pPr>
            <w:r w:rsidRPr="006C4C93">
              <w:rPr>
                <w:sz w:val="20"/>
                <w:szCs w:val="20"/>
              </w:rPr>
              <w:t>DE</w:t>
            </w:r>
          </w:p>
        </w:tc>
        <w:tc>
          <w:tcPr>
            <w:tcW w:w="960" w:type="dxa"/>
          </w:tcPr>
          <w:p w14:paraId="1AAA6B09" w14:textId="77777777" w:rsidR="006C4C93" w:rsidRPr="00813978" w:rsidRDefault="006C4C93" w:rsidP="00A377AC">
            <w:pPr>
              <w:ind w:firstLine="360"/>
              <w:rPr>
                <w:sz w:val="20"/>
                <w:szCs w:val="20"/>
              </w:rPr>
            </w:pPr>
            <w:r w:rsidRPr="00813978">
              <w:rPr>
                <w:sz w:val="20"/>
                <w:szCs w:val="20"/>
              </w:rPr>
              <w:t>3</w:t>
            </w:r>
          </w:p>
        </w:tc>
        <w:tc>
          <w:tcPr>
            <w:tcW w:w="1995" w:type="dxa"/>
          </w:tcPr>
          <w:p w14:paraId="16D8EFA5" w14:textId="77777777" w:rsidR="006C4C93" w:rsidRPr="00813978" w:rsidRDefault="006C4C93" w:rsidP="00A377AC">
            <w:pPr>
              <w:ind w:firstLine="360"/>
              <w:rPr>
                <w:sz w:val="20"/>
                <w:szCs w:val="20"/>
              </w:rPr>
            </w:pPr>
            <w:r w:rsidRPr="00813978">
              <w:rPr>
                <w:sz w:val="20"/>
                <w:szCs w:val="20"/>
              </w:rPr>
              <w:t>1,000</w:t>
            </w:r>
          </w:p>
        </w:tc>
      </w:tr>
      <w:tr w:rsidR="006C4C93" w14:paraId="54FF45EE" w14:textId="77777777" w:rsidTr="0030470E">
        <w:tc>
          <w:tcPr>
            <w:tcW w:w="5464" w:type="dxa"/>
          </w:tcPr>
          <w:p w14:paraId="71002B27" w14:textId="77777777" w:rsidR="006C4C93" w:rsidRPr="00813978" w:rsidRDefault="006C4C93" w:rsidP="00A377AC">
            <w:pPr>
              <w:ind w:firstLine="360"/>
              <w:rPr>
                <w:sz w:val="20"/>
                <w:szCs w:val="20"/>
              </w:rPr>
            </w:pPr>
            <w:r w:rsidRPr="006C4C93">
              <w:rPr>
                <w:color w:val="000000"/>
                <w:sz w:val="20"/>
                <w:szCs w:val="20"/>
              </w:rPr>
              <w:t>Tuscan Buttes</w:t>
            </w:r>
          </w:p>
        </w:tc>
        <w:tc>
          <w:tcPr>
            <w:tcW w:w="931" w:type="dxa"/>
            <w:vAlign w:val="center"/>
          </w:tcPr>
          <w:p w14:paraId="2E8458E0" w14:textId="77777777" w:rsidR="006C4C93" w:rsidRPr="00813978" w:rsidRDefault="006C4C93" w:rsidP="00A377AC">
            <w:pPr>
              <w:ind w:firstLine="360"/>
              <w:rPr>
                <w:sz w:val="20"/>
                <w:szCs w:val="20"/>
              </w:rPr>
            </w:pPr>
            <w:r w:rsidRPr="006C4C93">
              <w:rPr>
                <w:sz w:val="20"/>
                <w:szCs w:val="20"/>
              </w:rPr>
              <w:t>CA</w:t>
            </w:r>
          </w:p>
        </w:tc>
        <w:tc>
          <w:tcPr>
            <w:tcW w:w="960" w:type="dxa"/>
          </w:tcPr>
          <w:p w14:paraId="26525DD2" w14:textId="77777777" w:rsidR="006C4C93" w:rsidRPr="00813978" w:rsidRDefault="006C4C93" w:rsidP="00A377AC">
            <w:pPr>
              <w:ind w:firstLine="360"/>
              <w:rPr>
                <w:sz w:val="20"/>
                <w:szCs w:val="20"/>
              </w:rPr>
            </w:pPr>
            <w:r w:rsidRPr="00813978">
              <w:rPr>
                <w:sz w:val="20"/>
                <w:szCs w:val="20"/>
              </w:rPr>
              <w:t>9</w:t>
            </w:r>
          </w:p>
        </w:tc>
        <w:tc>
          <w:tcPr>
            <w:tcW w:w="1995" w:type="dxa"/>
          </w:tcPr>
          <w:p w14:paraId="40E60FF7" w14:textId="77777777" w:rsidR="006C4C93" w:rsidRPr="00813978" w:rsidRDefault="006C4C93" w:rsidP="00A377AC">
            <w:pPr>
              <w:ind w:firstLine="360"/>
              <w:rPr>
                <w:sz w:val="20"/>
                <w:szCs w:val="20"/>
              </w:rPr>
            </w:pPr>
            <w:r w:rsidRPr="00813978">
              <w:rPr>
                <w:sz w:val="20"/>
                <w:szCs w:val="20"/>
              </w:rPr>
              <w:t>1,000</w:t>
            </w:r>
          </w:p>
        </w:tc>
      </w:tr>
      <w:tr w:rsidR="006C4C93" w14:paraId="3967A774" w14:textId="77777777" w:rsidTr="0030470E">
        <w:tc>
          <w:tcPr>
            <w:tcW w:w="5464" w:type="dxa"/>
          </w:tcPr>
          <w:p w14:paraId="602A9513" w14:textId="77777777" w:rsidR="006C4C93" w:rsidRPr="00813978" w:rsidRDefault="006C4C93" w:rsidP="00A377AC">
            <w:pPr>
              <w:ind w:firstLine="360"/>
              <w:rPr>
                <w:sz w:val="20"/>
                <w:szCs w:val="20"/>
              </w:rPr>
            </w:pPr>
            <w:r w:rsidRPr="006C4C93">
              <w:rPr>
                <w:color w:val="000000"/>
                <w:sz w:val="20"/>
                <w:szCs w:val="20"/>
              </w:rPr>
              <w:t>Upper Green River Basin Area</w:t>
            </w:r>
          </w:p>
        </w:tc>
        <w:tc>
          <w:tcPr>
            <w:tcW w:w="931" w:type="dxa"/>
            <w:vAlign w:val="center"/>
          </w:tcPr>
          <w:p w14:paraId="5CA5DD08" w14:textId="77777777" w:rsidR="006C4C93" w:rsidRPr="00813978" w:rsidRDefault="006C4C93" w:rsidP="00A377AC">
            <w:pPr>
              <w:ind w:firstLine="360"/>
              <w:rPr>
                <w:sz w:val="20"/>
                <w:szCs w:val="20"/>
              </w:rPr>
            </w:pPr>
            <w:r w:rsidRPr="006C4C93">
              <w:rPr>
                <w:sz w:val="20"/>
                <w:szCs w:val="20"/>
              </w:rPr>
              <w:t>WY</w:t>
            </w:r>
          </w:p>
        </w:tc>
        <w:tc>
          <w:tcPr>
            <w:tcW w:w="960" w:type="dxa"/>
          </w:tcPr>
          <w:p w14:paraId="621D61A8" w14:textId="77777777" w:rsidR="006C4C93" w:rsidRPr="00813978" w:rsidRDefault="006C4C93" w:rsidP="00A377AC">
            <w:pPr>
              <w:ind w:firstLine="360"/>
              <w:rPr>
                <w:sz w:val="20"/>
                <w:szCs w:val="20"/>
              </w:rPr>
            </w:pPr>
            <w:r w:rsidRPr="00813978">
              <w:rPr>
                <w:sz w:val="20"/>
                <w:szCs w:val="20"/>
              </w:rPr>
              <w:t>8</w:t>
            </w:r>
          </w:p>
        </w:tc>
        <w:tc>
          <w:tcPr>
            <w:tcW w:w="1995" w:type="dxa"/>
          </w:tcPr>
          <w:p w14:paraId="1C385D80" w14:textId="77777777" w:rsidR="006C4C93" w:rsidRPr="00813978" w:rsidRDefault="006C4C93" w:rsidP="00A377AC">
            <w:pPr>
              <w:ind w:firstLine="360"/>
              <w:rPr>
                <w:sz w:val="20"/>
                <w:szCs w:val="20"/>
              </w:rPr>
            </w:pPr>
            <w:r w:rsidRPr="00813978">
              <w:rPr>
                <w:sz w:val="20"/>
                <w:szCs w:val="20"/>
              </w:rPr>
              <w:t>1,000</w:t>
            </w:r>
          </w:p>
        </w:tc>
      </w:tr>
      <w:tr w:rsidR="006C4C93" w14:paraId="090A8DDA" w14:textId="77777777" w:rsidTr="0030470E">
        <w:tc>
          <w:tcPr>
            <w:tcW w:w="5464" w:type="dxa"/>
            <w:vAlign w:val="center"/>
          </w:tcPr>
          <w:p w14:paraId="588FF092" w14:textId="77777777" w:rsidR="006C4C93" w:rsidRPr="00813978" w:rsidRDefault="006C4C93" w:rsidP="00A377AC">
            <w:pPr>
              <w:ind w:firstLine="360"/>
              <w:rPr>
                <w:sz w:val="20"/>
                <w:szCs w:val="20"/>
              </w:rPr>
            </w:pPr>
            <w:r w:rsidRPr="006C4C93">
              <w:rPr>
                <w:color w:val="000000"/>
                <w:sz w:val="20"/>
                <w:szCs w:val="20"/>
              </w:rPr>
              <w:t>Washington</w:t>
            </w:r>
          </w:p>
        </w:tc>
        <w:tc>
          <w:tcPr>
            <w:tcW w:w="931" w:type="dxa"/>
            <w:vAlign w:val="center"/>
          </w:tcPr>
          <w:p w14:paraId="250CEC4E" w14:textId="77777777" w:rsidR="006C4C93" w:rsidRPr="00813978" w:rsidRDefault="006C4C93" w:rsidP="00A377AC">
            <w:pPr>
              <w:ind w:firstLine="360"/>
              <w:rPr>
                <w:sz w:val="20"/>
                <w:szCs w:val="20"/>
              </w:rPr>
            </w:pPr>
            <w:r w:rsidRPr="006C4C93">
              <w:rPr>
                <w:sz w:val="20"/>
                <w:szCs w:val="20"/>
              </w:rPr>
              <w:t>DC</w:t>
            </w:r>
          </w:p>
        </w:tc>
        <w:tc>
          <w:tcPr>
            <w:tcW w:w="960" w:type="dxa"/>
          </w:tcPr>
          <w:p w14:paraId="7BD228F3" w14:textId="77777777" w:rsidR="006C4C93" w:rsidRPr="00813978" w:rsidRDefault="006C4C93" w:rsidP="00A377AC">
            <w:pPr>
              <w:ind w:firstLine="360"/>
              <w:rPr>
                <w:sz w:val="20"/>
                <w:szCs w:val="20"/>
              </w:rPr>
            </w:pPr>
            <w:r w:rsidRPr="00813978">
              <w:rPr>
                <w:sz w:val="20"/>
                <w:szCs w:val="20"/>
              </w:rPr>
              <w:t>3</w:t>
            </w:r>
          </w:p>
        </w:tc>
        <w:tc>
          <w:tcPr>
            <w:tcW w:w="1995" w:type="dxa"/>
          </w:tcPr>
          <w:p w14:paraId="4879F075" w14:textId="7FA63F90" w:rsidR="006C4C93" w:rsidRPr="00813978" w:rsidRDefault="006C4C93" w:rsidP="00A377AC">
            <w:pPr>
              <w:tabs>
                <w:tab w:val="left" w:pos="195"/>
                <w:tab w:val="center" w:pos="429"/>
              </w:tabs>
              <w:ind w:firstLine="360"/>
              <w:rPr>
                <w:sz w:val="20"/>
                <w:szCs w:val="20"/>
              </w:rPr>
            </w:pPr>
            <w:r w:rsidRPr="00813978">
              <w:rPr>
                <w:sz w:val="20"/>
                <w:szCs w:val="20"/>
              </w:rPr>
              <w:t>1,000</w:t>
            </w:r>
          </w:p>
        </w:tc>
      </w:tr>
      <w:tr w:rsidR="006C4C93" w14:paraId="45BCCBFA" w14:textId="77777777" w:rsidTr="0030470E">
        <w:tc>
          <w:tcPr>
            <w:tcW w:w="5464" w:type="dxa"/>
            <w:vAlign w:val="center"/>
          </w:tcPr>
          <w:p w14:paraId="74F09366" w14:textId="77777777" w:rsidR="006C4C93" w:rsidRPr="00813978" w:rsidRDefault="006C4C93" w:rsidP="00A377AC">
            <w:pPr>
              <w:ind w:firstLine="360"/>
              <w:rPr>
                <w:sz w:val="20"/>
                <w:szCs w:val="20"/>
              </w:rPr>
            </w:pPr>
            <w:r w:rsidRPr="006C4C93">
              <w:rPr>
                <w:color w:val="000000"/>
                <w:sz w:val="20"/>
                <w:szCs w:val="20"/>
              </w:rPr>
              <w:t>Washington</w:t>
            </w:r>
          </w:p>
        </w:tc>
        <w:tc>
          <w:tcPr>
            <w:tcW w:w="931" w:type="dxa"/>
            <w:vAlign w:val="center"/>
          </w:tcPr>
          <w:p w14:paraId="4C539A87" w14:textId="77777777" w:rsidR="006C4C93" w:rsidRPr="00813978" w:rsidRDefault="006C4C93" w:rsidP="00A377AC">
            <w:pPr>
              <w:ind w:firstLine="360"/>
              <w:rPr>
                <w:sz w:val="20"/>
                <w:szCs w:val="20"/>
              </w:rPr>
            </w:pPr>
            <w:r w:rsidRPr="006C4C93">
              <w:rPr>
                <w:sz w:val="20"/>
                <w:szCs w:val="20"/>
              </w:rPr>
              <w:t>MD</w:t>
            </w:r>
          </w:p>
        </w:tc>
        <w:tc>
          <w:tcPr>
            <w:tcW w:w="960" w:type="dxa"/>
          </w:tcPr>
          <w:p w14:paraId="3E5C0B3A" w14:textId="77777777" w:rsidR="006C4C93" w:rsidRPr="00813978" w:rsidRDefault="006C4C93" w:rsidP="00A377AC">
            <w:pPr>
              <w:ind w:firstLine="360"/>
              <w:rPr>
                <w:sz w:val="20"/>
                <w:szCs w:val="20"/>
              </w:rPr>
            </w:pPr>
            <w:r w:rsidRPr="00813978">
              <w:rPr>
                <w:sz w:val="20"/>
                <w:szCs w:val="20"/>
              </w:rPr>
              <w:t>3</w:t>
            </w:r>
          </w:p>
        </w:tc>
        <w:tc>
          <w:tcPr>
            <w:tcW w:w="1995" w:type="dxa"/>
          </w:tcPr>
          <w:p w14:paraId="6C279645" w14:textId="77777777" w:rsidR="006C4C93" w:rsidRPr="00813978" w:rsidRDefault="006C4C93" w:rsidP="00A377AC">
            <w:pPr>
              <w:ind w:firstLine="360"/>
              <w:rPr>
                <w:sz w:val="20"/>
                <w:szCs w:val="20"/>
              </w:rPr>
            </w:pPr>
            <w:r w:rsidRPr="00813978">
              <w:rPr>
                <w:sz w:val="20"/>
                <w:szCs w:val="20"/>
              </w:rPr>
              <w:t>1,000</w:t>
            </w:r>
          </w:p>
        </w:tc>
      </w:tr>
      <w:tr w:rsidR="006C4C93" w14:paraId="655754A2" w14:textId="77777777" w:rsidTr="0030470E">
        <w:tc>
          <w:tcPr>
            <w:tcW w:w="5464" w:type="dxa"/>
            <w:vAlign w:val="center"/>
          </w:tcPr>
          <w:p w14:paraId="76EA19D9" w14:textId="77777777" w:rsidR="006C4C93" w:rsidRPr="00813978" w:rsidRDefault="006C4C93" w:rsidP="00A377AC">
            <w:pPr>
              <w:ind w:firstLine="360"/>
              <w:rPr>
                <w:sz w:val="20"/>
                <w:szCs w:val="20"/>
              </w:rPr>
            </w:pPr>
            <w:r w:rsidRPr="006C4C93">
              <w:rPr>
                <w:color w:val="000000"/>
                <w:sz w:val="20"/>
                <w:szCs w:val="20"/>
              </w:rPr>
              <w:t>Washington</w:t>
            </w:r>
          </w:p>
        </w:tc>
        <w:tc>
          <w:tcPr>
            <w:tcW w:w="931" w:type="dxa"/>
            <w:vAlign w:val="center"/>
          </w:tcPr>
          <w:p w14:paraId="0DEE867B" w14:textId="77777777" w:rsidR="006C4C93" w:rsidRPr="00813978" w:rsidRDefault="006C4C93" w:rsidP="00A377AC">
            <w:pPr>
              <w:ind w:firstLine="360"/>
              <w:rPr>
                <w:sz w:val="20"/>
                <w:szCs w:val="20"/>
              </w:rPr>
            </w:pPr>
            <w:r w:rsidRPr="006C4C93">
              <w:rPr>
                <w:sz w:val="20"/>
                <w:szCs w:val="20"/>
              </w:rPr>
              <w:t>VA</w:t>
            </w:r>
          </w:p>
        </w:tc>
        <w:tc>
          <w:tcPr>
            <w:tcW w:w="960" w:type="dxa"/>
          </w:tcPr>
          <w:p w14:paraId="12A9DED9" w14:textId="77777777" w:rsidR="006C4C93" w:rsidRPr="00813978" w:rsidRDefault="006C4C93" w:rsidP="00A377AC">
            <w:pPr>
              <w:ind w:firstLine="360"/>
              <w:rPr>
                <w:sz w:val="20"/>
                <w:szCs w:val="20"/>
              </w:rPr>
            </w:pPr>
            <w:r w:rsidRPr="00813978">
              <w:rPr>
                <w:sz w:val="20"/>
                <w:szCs w:val="20"/>
              </w:rPr>
              <w:t>3</w:t>
            </w:r>
          </w:p>
        </w:tc>
        <w:tc>
          <w:tcPr>
            <w:tcW w:w="1995" w:type="dxa"/>
          </w:tcPr>
          <w:p w14:paraId="19D6ED39" w14:textId="77777777" w:rsidR="006C4C93" w:rsidRPr="00813978" w:rsidRDefault="006C4C93" w:rsidP="00A377AC">
            <w:pPr>
              <w:ind w:firstLine="360"/>
              <w:rPr>
                <w:sz w:val="20"/>
                <w:szCs w:val="20"/>
              </w:rPr>
            </w:pPr>
            <w:r w:rsidRPr="00813978">
              <w:rPr>
                <w:sz w:val="20"/>
                <w:szCs w:val="20"/>
              </w:rPr>
              <w:t>1,000</w:t>
            </w:r>
          </w:p>
        </w:tc>
      </w:tr>
      <w:tr w:rsidR="0030470E" w14:paraId="6831D492" w14:textId="77777777" w:rsidTr="0030470E">
        <w:tc>
          <w:tcPr>
            <w:tcW w:w="7355" w:type="dxa"/>
            <w:gridSpan w:val="3"/>
            <w:vAlign w:val="center"/>
          </w:tcPr>
          <w:p w14:paraId="2CDD7345" w14:textId="0612C635" w:rsidR="0030470E" w:rsidRPr="00813978" w:rsidRDefault="0030470E" w:rsidP="00A377AC">
            <w:pPr>
              <w:ind w:firstLine="360"/>
              <w:rPr>
                <w:sz w:val="20"/>
                <w:szCs w:val="20"/>
              </w:rPr>
            </w:pPr>
            <w:r>
              <w:rPr>
                <w:sz w:val="20"/>
                <w:szCs w:val="20"/>
              </w:rPr>
              <w:t>Total</w:t>
            </w:r>
          </w:p>
        </w:tc>
        <w:tc>
          <w:tcPr>
            <w:tcW w:w="1995" w:type="dxa"/>
          </w:tcPr>
          <w:p w14:paraId="469BF5CF" w14:textId="2F0BB25C" w:rsidR="0030470E" w:rsidRPr="00813978" w:rsidRDefault="0030470E" w:rsidP="00A377AC">
            <w:pPr>
              <w:ind w:firstLine="360"/>
              <w:rPr>
                <w:sz w:val="20"/>
                <w:szCs w:val="20"/>
              </w:rPr>
            </w:pPr>
            <w:r>
              <w:rPr>
                <w:sz w:val="20"/>
                <w:szCs w:val="20"/>
              </w:rPr>
              <w:t>2</w:t>
            </w:r>
            <w:r w:rsidR="00021B7C">
              <w:rPr>
                <w:sz w:val="20"/>
                <w:szCs w:val="20"/>
              </w:rPr>
              <w:t>2</w:t>
            </w:r>
            <w:r>
              <w:rPr>
                <w:sz w:val="20"/>
                <w:szCs w:val="20"/>
              </w:rPr>
              <w:t>,000</w:t>
            </w:r>
          </w:p>
        </w:tc>
      </w:tr>
    </w:tbl>
    <w:p w14:paraId="6256BC24" w14:textId="31AE3B24" w:rsidR="006C4C93" w:rsidRDefault="006C4C93" w:rsidP="00A377AC">
      <w:pPr>
        <w:ind w:firstLine="360"/>
      </w:pPr>
    </w:p>
    <w:p w14:paraId="041FA2D5" w14:textId="77777777" w:rsidR="00EE481D" w:rsidRDefault="00EE481D" w:rsidP="00A377AC">
      <w:pPr>
        <w:ind w:firstLine="360"/>
      </w:pPr>
    </w:p>
    <w:p w14:paraId="41B46D39" w14:textId="5A7BDF38" w:rsidR="00904F7B" w:rsidRDefault="00574D6F" w:rsidP="00A377AC">
      <w:pPr>
        <w:ind w:firstLine="360"/>
      </w:pPr>
      <w:r>
        <w:rPr>
          <w:b/>
        </w:rPr>
        <w:t>Moderate</w:t>
      </w:r>
      <w:r w:rsidR="00904F7B">
        <w:t xml:space="preserve"> </w:t>
      </w:r>
      <w:r w:rsidR="00904F7B" w:rsidRPr="00F10219">
        <w:rPr>
          <w:b/>
        </w:rPr>
        <w:t>Nonattainment</w:t>
      </w:r>
      <w:r w:rsidR="00904F7B">
        <w:t xml:space="preserve"> </w:t>
      </w:r>
      <w:r w:rsidR="00904F7B" w:rsidRPr="00F10219">
        <w:rPr>
          <w:b/>
        </w:rPr>
        <w:t>Areas</w:t>
      </w:r>
      <w:r w:rsidR="00904F7B">
        <w:t xml:space="preserve">. </w:t>
      </w:r>
      <w:r>
        <w:t>As of Ju</w:t>
      </w:r>
      <w:r w:rsidR="003E31A2">
        <w:t>ly</w:t>
      </w:r>
      <w:r>
        <w:t xml:space="preserve"> 2017, t</w:t>
      </w:r>
      <w:r w:rsidR="00460C1D">
        <w:t xml:space="preserve">here are </w:t>
      </w:r>
      <w:r w:rsidR="00C94BC0">
        <w:t>16</w:t>
      </w:r>
      <w:r>
        <w:t xml:space="preserve"> </w:t>
      </w:r>
      <w:r w:rsidR="00460C1D">
        <w:t xml:space="preserve">areas with a </w:t>
      </w:r>
      <w:r>
        <w:t>Moderate</w:t>
      </w:r>
      <w:r w:rsidR="00460C1D">
        <w:t xml:space="preserve"> classification. We </w:t>
      </w:r>
      <w:r w:rsidR="00726280">
        <w:t xml:space="preserve">currently </w:t>
      </w:r>
      <w:r w:rsidR="00460C1D">
        <w:t xml:space="preserve">anticipate that </w:t>
      </w:r>
      <w:r w:rsidR="00C94BC0">
        <w:t>13</w:t>
      </w:r>
      <w:r w:rsidR="003537A2">
        <w:t xml:space="preserve"> </w:t>
      </w:r>
      <w:r w:rsidR="00881C87">
        <w:t xml:space="preserve">of these </w:t>
      </w:r>
      <w:r w:rsidR="003537A2">
        <w:t>ar</w:t>
      </w:r>
      <w:r w:rsidR="00460C1D">
        <w:t>ea</w:t>
      </w:r>
      <w:r>
        <w:t>s</w:t>
      </w:r>
      <w:r w:rsidR="00460C1D">
        <w:t xml:space="preserve"> </w:t>
      </w:r>
      <w:r w:rsidR="00E1768C">
        <w:t xml:space="preserve">may </w:t>
      </w:r>
      <w:r w:rsidR="00460C1D">
        <w:t xml:space="preserve">fail to attain the </w:t>
      </w:r>
      <w:r>
        <w:t xml:space="preserve">2008 ozone </w:t>
      </w:r>
      <w:r w:rsidR="00460C1D">
        <w:t xml:space="preserve">standard by </w:t>
      </w:r>
      <w:r w:rsidR="003E31A2">
        <w:t xml:space="preserve">the </w:t>
      </w:r>
      <w:r w:rsidR="00460C1D">
        <w:t xml:space="preserve">Moderate area attainment date </w:t>
      </w:r>
      <w:r>
        <w:t xml:space="preserve">of July 20, 2018 </w:t>
      </w:r>
      <w:r w:rsidR="00460C1D">
        <w:t>and will be reclassified to Serious.</w:t>
      </w:r>
      <w:r w:rsidR="003537A2">
        <w:rPr>
          <w:rStyle w:val="FootnoteReference"/>
        </w:rPr>
        <w:footnoteReference w:id="8"/>
      </w:r>
      <w:r w:rsidR="00460C1D">
        <w:t xml:space="preserve"> </w:t>
      </w:r>
      <w:r w:rsidR="006C4C93">
        <w:t>Table 6.2 lists the</w:t>
      </w:r>
      <w:r w:rsidR="00E1768C">
        <w:t>se</w:t>
      </w:r>
      <w:r w:rsidR="006C4C93">
        <w:t xml:space="preserve"> areas</w:t>
      </w:r>
      <w:r w:rsidR="00E1768C">
        <w:t>, most of which</w:t>
      </w:r>
      <w:r w:rsidR="00460C1D">
        <w:t xml:space="preserve"> ha</w:t>
      </w:r>
      <w:r>
        <w:t>ve</w:t>
      </w:r>
      <w:r w:rsidR="00460C1D">
        <w:t xml:space="preserve"> been working for several years to improve </w:t>
      </w:r>
      <w:r>
        <w:t xml:space="preserve">ozone </w:t>
      </w:r>
      <w:r w:rsidR="00460C1D">
        <w:t xml:space="preserve">air quality through state-enforceable rules and non-regulatory air quality programs. Thus, the programs and regulations already in place </w:t>
      </w:r>
      <w:r>
        <w:t xml:space="preserve">may in some cases </w:t>
      </w:r>
      <w:r w:rsidR="00460C1D">
        <w:t>be sufficient</w:t>
      </w:r>
      <w:r>
        <w:t xml:space="preserve"> to meet</w:t>
      </w:r>
      <w:r w:rsidR="00460C1D">
        <w:t xml:space="preserve"> some Serious area requirements</w:t>
      </w:r>
      <w:r>
        <w:t>.</w:t>
      </w:r>
      <w:r w:rsidR="00460C1D">
        <w:t xml:space="preserve"> </w:t>
      </w:r>
      <w:r>
        <w:t>W</w:t>
      </w:r>
      <w:r w:rsidR="00460C1D">
        <w:t xml:space="preserve">e have </w:t>
      </w:r>
      <w:r>
        <w:t xml:space="preserve">estimated </w:t>
      </w:r>
      <w:r w:rsidR="00460C1D">
        <w:t xml:space="preserve">an additional </w:t>
      </w:r>
      <w:r>
        <w:t xml:space="preserve">state </w:t>
      </w:r>
      <w:r w:rsidR="00460C1D">
        <w:t>burden of 5</w:t>
      </w:r>
      <w:r w:rsidR="00B302D2">
        <w:t>,0</w:t>
      </w:r>
      <w:r w:rsidR="00460C1D">
        <w:t xml:space="preserve">00 </w:t>
      </w:r>
      <w:r>
        <w:t xml:space="preserve">hours per area (or state portion of each area) </w:t>
      </w:r>
      <w:r w:rsidR="00460C1D">
        <w:t>for th</w:t>
      </w:r>
      <w:r>
        <w:t>ese</w:t>
      </w:r>
      <w:r w:rsidR="00460C1D">
        <w:t xml:space="preserve"> area</w:t>
      </w:r>
      <w:r>
        <w:t>s</w:t>
      </w:r>
      <w:r w:rsidR="00460C1D">
        <w:t xml:space="preserve"> </w:t>
      </w:r>
      <w:r w:rsidR="00E1768C">
        <w:t xml:space="preserve">to </w:t>
      </w:r>
      <w:r>
        <w:t>meet</w:t>
      </w:r>
      <w:r w:rsidR="00460C1D">
        <w:t xml:space="preserve"> the </w:t>
      </w:r>
      <w:r>
        <w:t>additional Serious areas requirements</w:t>
      </w:r>
      <w:r w:rsidR="00460C1D">
        <w:t xml:space="preserve">. </w:t>
      </w:r>
    </w:p>
    <w:p w14:paraId="41CEFE4C" w14:textId="43FE43E6" w:rsidR="00BC7906" w:rsidRDefault="00BC7906" w:rsidP="00A377AC">
      <w:pPr>
        <w:tabs>
          <w:tab w:val="left" w:pos="2550"/>
        </w:tabs>
        <w:ind w:firstLine="360"/>
      </w:pPr>
    </w:p>
    <w:p w14:paraId="0C7FA481" w14:textId="77777777" w:rsidR="00EE481D" w:rsidRDefault="00EE481D" w:rsidP="00A377AC">
      <w:pPr>
        <w:tabs>
          <w:tab w:val="left" w:pos="2550"/>
        </w:tabs>
        <w:ind w:firstLine="360"/>
      </w:pPr>
    </w:p>
    <w:p w14:paraId="604A2FA7" w14:textId="14E5B958" w:rsidR="006C4C93" w:rsidRDefault="006C4C93" w:rsidP="00A377AC">
      <w:pPr>
        <w:keepLines/>
        <w:ind w:firstLine="360"/>
        <w:rPr>
          <w:b/>
          <w:sz w:val="20"/>
          <w:szCs w:val="20"/>
        </w:rPr>
      </w:pPr>
      <w:r w:rsidRPr="000E1835">
        <w:rPr>
          <w:b/>
          <w:sz w:val="20"/>
          <w:szCs w:val="20"/>
        </w:rPr>
        <w:t xml:space="preserve">Table </w:t>
      </w:r>
      <w:r>
        <w:rPr>
          <w:b/>
          <w:sz w:val="20"/>
          <w:szCs w:val="20"/>
        </w:rPr>
        <w:t>6.2</w:t>
      </w:r>
      <w:r w:rsidRPr="000E1835">
        <w:rPr>
          <w:b/>
          <w:sz w:val="20"/>
          <w:szCs w:val="20"/>
        </w:rPr>
        <w:t xml:space="preserve">. </w:t>
      </w:r>
      <w:r>
        <w:rPr>
          <w:b/>
          <w:sz w:val="20"/>
          <w:szCs w:val="20"/>
        </w:rPr>
        <w:t xml:space="preserve">Estimated </w:t>
      </w:r>
      <w:r w:rsidR="008C22BA">
        <w:rPr>
          <w:b/>
          <w:sz w:val="20"/>
          <w:szCs w:val="20"/>
        </w:rPr>
        <w:t xml:space="preserve">State </w:t>
      </w:r>
      <w:r>
        <w:rPr>
          <w:b/>
          <w:sz w:val="20"/>
          <w:szCs w:val="20"/>
        </w:rPr>
        <w:t xml:space="preserve">Burden for Moderate </w:t>
      </w:r>
      <w:r w:rsidRPr="000E1835">
        <w:rPr>
          <w:b/>
          <w:sz w:val="20"/>
          <w:szCs w:val="20"/>
        </w:rPr>
        <w:t>Nonattainment Areas</w:t>
      </w:r>
      <w:r>
        <w:rPr>
          <w:b/>
          <w:sz w:val="20"/>
          <w:szCs w:val="20"/>
        </w:rPr>
        <w:t xml:space="preserve"> Expected to be Reclassifi</w:t>
      </w:r>
      <w:r w:rsidR="00E1768C">
        <w:rPr>
          <w:b/>
          <w:sz w:val="20"/>
          <w:szCs w:val="20"/>
        </w:rPr>
        <w:t>ed to Serious</w:t>
      </w:r>
    </w:p>
    <w:p w14:paraId="2862E2B7" w14:textId="77777777" w:rsidR="003E31A2" w:rsidRPr="000E1835" w:rsidRDefault="003E31A2" w:rsidP="00A377AC">
      <w:pPr>
        <w:keepLines/>
        <w:ind w:firstLine="360"/>
        <w:rPr>
          <w:b/>
          <w:sz w:val="20"/>
          <w:szCs w:val="20"/>
        </w:rPr>
      </w:pPr>
    </w:p>
    <w:tbl>
      <w:tblPr>
        <w:tblStyle w:val="TableGrid"/>
        <w:tblW w:w="7985" w:type="dxa"/>
        <w:tblLook w:val="04A0" w:firstRow="1" w:lastRow="0" w:firstColumn="1" w:lastColumn="0" w:noHBand="0" w:noVBand="1"/>
      </w:tblPr>
      <w:tblGrid>
        <w:gridCol w:w="4064"/>
        <w:gridCol w:w="1010"/>
        <w:gridCol w:w="988"/>
        <w:gridCol w:w="1923"/>
      </w:tblGrid>
      <w:tr w:rsidR="00E1768C" w:rsidRPr="00674D0F" w14:paraId="513B42E9" w14:textId="77777777" w:rsidTr="00B302D2">
        <w:tc>
          <w:tcPr>
            <w:tcW w:w="4064" w:type="dxa"/>
          </w:tcPr>
          <w:p w14:paraId="19130B4D" w14:textId="77777777" w:rsidR="00E1768C" w:rsidRPr="000E1835" w:rsidRDefault="00E1768C" w:rsidP="00A377AC">
            <w:pPr>
              <w:keepLines/>
              <w:ind w:firstLine="360"/>
              <w:rPr>
                <w:b/>
                <w:sz w:val="20"/>
                <w:szCs w:val="20"/>
              </w:rPr>
            </w:pPr>
            <w:r w:rsidRPr="000E1835">
              <w:rPr>
                <w:b/>
                <w:sz w:val="20"/>
                <w:szCs w:val="20"/>
              </w:rPr>
              <w:t>Nonattainment Area</w:t>
            </w:r>
          </w:p>
        </w:tc>
        <w:tc>
          <w:tcPr>
            <w:tcW w:w="1010" w:type="dxa"/>
          </w:tcPr>
          <w:p w14:paraId="0AA53AE1" w14:textId="77777777" w:rsidR="00E1768C" w:rsidRPr="000E1835" w:rsidRDefault="00E1768C" w:rsidP="00A377AC">
            <w:pPr>
              <w:keepLines/>
              <w:ind w:firstLine="360"/>
              <w:rPr>
                <w:b/>
                <w:sz w:val="20"/>
                <w:szCs w:val="20"/>
              </w:rPr>
            </w:pPr>
            <w:r w:rsidRPr="000E1835">
              <w:rPr>
                <w:b/>
                <w:sz w:val="20"/>
                <w:szCs w:val="20"/>
              </w:rPr>
              <w:t>State</w:t>
            </w:r>
          </w:p>
        </w:tc>
        <w:tc>
          <w:tcPr>
            <w:tcW w:w="988" w:type="dxa"/>
          </w:tcPr>
          <w:p w14:paraId="7FD07C29" w14:textId="4E3267B6" w:rsidR="00E1768C" w:rsidRPr="000E1835" w:rsidRDefault="00082DBA" w:rsidP="00A377AC">
            <w:pPr>
              <w:keepLines/>
              <w:ind w:firstLine="360"/>
              <w:rPr>
                <w:b/>
                <w:sz w:val="20"/>
                <w:szCs w:val="20"/>
              </w:rPr>
            </w:pPr>
            <w:r>
              <w:rPr>
                <w:b/>
                <w:sz w:val="20"/>
                <w:szCs w:val="20"/>
              </w:rPr>
              <w:t xml:space="preserve">EPA </w:t>
            </w:r>
            <w:r w:rsidR="00E1768C">
              <w:rPr>
                <w:b/>
                <w:sz w:val="20"/>
                <w:szCs w:val="20"/>
              </w:rPr>
              <w:t>Region</w:t>
            </w:r>
          </w:p>
        </w:tc>
        <w:tc>
          <w:tcPr>
            <w:tcW w:w="1923" w:type="dxa"/>
          </w:tcPr>
          <w:p w14:paraId="1427AD97" w14:textId="4C040E8E" w:rsidR="00E1768C" w:rsidRPr="000E1835" w:rsidRDefault="00E1768C" w:rsidP="00A377AC">
            <w:pPr>
              <w:keepLines/>
              <w:ind w:firstLine="360"/>
              <w:rPr>
                <w:b/>
                <w:sz w:val="20"/>
                <w:szCs w:val="20"/>
              </w:rPr>
            </w:pPr>
            <w:r>
              <w:rPr>
                <w:b/>
                <w:sz w:val="20"/>
                <w:szCs w:val="20"/>
              </w:rPr>
              <w:t xml:space="preserve">Estimated </w:t>
            </w:r>
            <w:r w:rsidRPr="000E1835">
              <w:rPr>
                <w:b/>
                <w:sz w:val="20"/>
                <w:szCs w:val="20"/>
              </w:rPr>
              <w:t>Burden Hours</w:t>
            </w:r>
          </w:p>
        </w:tc>
      </w:tr>
      <w:tr w:rsidR="00E1768C" w14:paraId="6FF0B208" w14:textId="77777777" w:rsidTr="00B302D2">
        <w:tc>
          <w:tcPr>
            <w:tcW w:w="4064" w:type="dxa"/>
          </w:tcPr>
          <w:p w14:paraId="6982C24D" w14:textId="77777777" w:rsidR="00E1768C" w:rsidRPr="000E1835" w:rsidRDefault="00E1768C" w:rsidP="00A377AC">
            <w:pPr>
              <w:ind w:firstLine="360"/>
              <w:rPr>
                <w:sz w:val="20"/>
                <w:szCs w:val="20"/>
              </w:rPr>
            </w:pPr>
            <w:r>
              <w:rPr>
                <w:sz w:val="20"/>
                <w:szCs w:val="20"/>
              </w:rPr>
              <w:t>Chicago-Naperville</w:t>
            </w:r>
          </w:p>
        </w:tc>
        <w:tc>
          <w:tcPr>
            <w:tcW w:w="1010" w:type="dxa"/>
          </w:tcPr>
          <w:p w14:paraId="5865061F" w14:textId="77777777" w:rsidR="00E1768C" w:rsidRPr="000E1835" w:rsidRDefault="00E1768C" w:rsidP="00A377AC">
            <w:pPr>
              <w:ind w:firstLine="360"/>
              <w:rPr>
                <w:sz w:val="20"/>
                <w:szCs w:val="20"/>
              </w:rPr>
            </w:pPr>
            <w:r>
              <w:rPr>
                <w:sz w:val="20"/>
                <w:szCs w:val="20"/>
              </w:rPr>
              <w:t>IL</w:t>
            </w:r>
          </w:p>
        </w:tc>
        <w:tc>
          <w:tcPr>
            <w:tcW w:w="988" w:type="dxa"/>
          </w:tcPr>
          <w:p w14:paraId="36A8C0A8" w14:textId="77777777" w:rsidR="00E1768C" w:rsidRPr="000E1835" w:rsidRDefault="00E1768C" w:rsidP="00A377AC">
            <w:pPr>
              <w:ind w:firstLine="360"/>
              <w:rPr>
                <w:sz w:val="20"/>
                <w:szCs w:val="20"/>
              </w:rPr>
            </w:pPr>
            <w:r>
              <w:rPr>
                <w:sz w:val="20"/>
                <w:szCs w:val="20"/>
              </w:rPr>
              <w:t>5</w:t>
            </w:r>
          </w:p>
        </w:tc>
        <w:tc>
          <w:tcPr>
            <w:tcW w:w="1923" w:type="dxa"/>
          </w:tcPr>
          <w:p w14:paraId="5E409DC0" w14:textId="2163E24A" w:rsidR="00E1768C" w:rsidRPr="000E1835" w:rsidRDefault="00E1768C" w:rsidP="00A377AC">
            <w:pPr>
              <w:ind w:firstLine="360"/>
              <w:rPr>
                <w:sz w:val="20"/>
                <w:szCs w:val="20"/>
              </w:rPr>
            </w:pPr>
            <w:r>
              <w:rPr>
                <w:sz w:val="20"/>
                <w:szCs w:val="20"/>
              </w:rPr>
              <w:t>5</w:t>
            </w:r>
            <w:r w:rsidR="00B302D2">
              <w:rPr>
                <w:sz w:val="20"/>
                <w:szCs w:val="20"/>
              </w:rPr>
              <w:t>,</w:t>
            </w:r>
            <w:r>
              <w:rPr>
                <w:sz w:val="20"/>
                <w:szCs w:val="20"/>
              </w:rPr>
              <w:t>0</w:t>
            </w:r>
            <w:r w:rsidR="00B302D2">
              <w:rPr>
                <w:sz w:val="20"/>
                <w:szCs w:val="20"/>
              </w:rPr>
              <w:t>0</w:t>
            </w:r>
            <w:r>
              <w:rPr>
                <w:sz w:val="20"/>
                <w:szCs w:val="20"/>
              </w:rPr>
              <w:t>0</w:t>
            </w:r>
          </w:p>
        </w:tc>
      </w:tr>
      <w:tr w:rsidR="00B302D2" w14:paraId="6CD07010" w14:textId="77777777" w:rsidTr="00B302D2">
        <w:tc>
          <w:tcPr>
            <w:tcW w:w="4064" w:type="dxa"/>
          </w:tcPr>
          <w:p w14:paraId="7FEAC13B" w14:textId="77777777" w:rsidR="00B302D2" w:rsidRPr="000E1835" w:rsidRDefault="00B302D2" w:rsidP="00B302D2">
            <w:pPr>
              <w:ind w:firstLine="360"/>
              <w:rPr>
                <w:sz w:val="20"/>
                <w:szCs w:val="20"/>
              </w:rPr>
            </w:pPr>
            <w:r>
              <w:rPr>
                <w:sz w:val="20"/>
                <w:szCs w:val="20"/>
              </w:rPr>
              <w:t>Chicago-Naperville</w:t>
            </w:r>
          </w:p>
        </w:tc>
        <w:tc>
          <w:tcPr>
            <w:tcW w:w="1010" w:type="dxa"/>
          </w:tcPr>
          <w:p w14:paraId="6C03FD07" w14:textId="77777777" w:rsidR="00B302D2" w:rsidRPr="000E1835" w:rsidRDefault="00B302D2" w:rsidP="00B302D2">
            <w:pPr>
              <w:ind w:firstLine="360"/>
              <w:rPr>
                <w:sz w:val="20"/>
                <w:szCs w:val="20"/>
              </w:rPr>
            </w:pPr>
            <w:r>
              <w:rPr>
                <w:sz w:val="20"/>
                <w:szCs w:val="20"/>
              </w:rPr>
              <w:t>IN</w:t>
            </w:r>
          </w:p>
        </w:tc>
        <w:tc>
          <w:tcPr>
            <w:tcW w:w="988" w:type="dxa"/>
          </w:tcPr>
          <w:p w14:paraId="700ED479" w14:textId="77777777" w:rsidR="00B302D2" w:rsidRPr="000E1835" w:rsidRDefault="00B302D2" w:rsidP="00B302D2">
            <w:pPr>
              <w:ind w:firstLine="360"/>
              <w:rPr>
                <w:sz w:val="20"/>
                <w:szCs w:val="20"/>
              </w:rPr>
            </w:pPr>
            <w:r>
              <w:rPr>
                <w:sz w:val="20"/>
                <w:szCs w:val="20"/>
              </w:rPr>
              <w:t>5</w:t>
            </w:r>
          </w:p>
        </w:tc>
        <w:tc>
          <w:tcPr>
            <w:tcW w:w="1923" w:type="dxa"/>
          </w:tcPr>
          <w:p w14:paraId="2F65BB55" w14:textId="3E9BB66B" w:rsidR="00B302D2" w:rsidRPr="000E1835" w:rsidRDefault="00B302D2" w:rsidP="00B302D2">
            <w:pPr>
              <w:ind w:firstLine="360"/>
              <w:rPr>
                <w:sz w:val="20"/>
                <w:szCs w:val="20"/>
              </w:rPr>
            </w:pPr>
            <w:r w:rsidRPr="00C839AB">
              <w:rPr>
                <w:sz w:val="20"/>
                <w:szCs w:val="20"/>
              </w:rPr>
              <w:t>5,000</w:t>
            </w:r>
          </w:p>
        </w:tc>
      </w:tr>
      <w:tr w:rsidR="00B302D2" w14:paraId="65A461D0" w14:textId="77777777" w:rsidTr="00B302D2">
        <w:tc>
          <w:tcPr>
            <w:tcW w:w="4064" w:type="dxa"/>
          </w:tcPr>
          <w:p w14:paraId="1367FAE5" w14:textId="77777777" w:rsidR="00B302D2" w:rsidRPr="000E1835" w:rsidRDefault="00B302D2" w:rsidP="00B302D2">
            <w:pPr>
              <w:ind w:firstLine="360"/>
              <w:rPr>
                <w:sz w:val="20"/>
                <w:szCs w:val="20"/>
              </w:rPr>
            </w:pPr>
            <w:r>
              <w:rPr>
                <w:sz w:val="20"/>
                <w:szCs w:val="20"/>
              </w:rPr>
              <w:t>Chicago-Naperville</w:t>
            </w:r>
          </w:p>
        </w:tc>
        <w:tc>
          <w:tcPr>
            <w:tcW w:w="1010" w:type="dxa"/>
          </w:tcPr>
          <w:p w14:paraId="1710D805" w14:textId="77777777" w:rsidR="00B302D2" w:rsidRPr="000E1835" w:rsidRDefault="00B302D2" w:rsidP="00B302D2">
            <w:pPr>
              <w:ind w:firstLine="360"/>
              <w:rPr>
                <w:sz w:val="20"/>
                <w:szCs w:val="20"/>
              </w:rPr>
            </w:pPr>
            <w:r>
              <w:rPr>
                <w:sz w:val="20"/>
                <w:szCs w:val="20"/>
              </w:rPr>
              <w:t>WI</w:t>
            </w:r>
          </w:p>
        </w:tc>
        <w:tc>
          <w:tcPr>
            <w:tcW w:w="988" w:type="dxa"/>
          </w:tcPr>
          <w:p w14:paraId="7C3BED76" w14:textId="77777777" w:rsidR="00B302D2" w:rsidRPr="000E1835" w:rsidRDefault="00B302D2" w:rsidP="00B302D2">
            <w:pPr>
              <w:ind w:firstLine="360"/>
              <w:rPr>
                <w:sz w:val="20"/>
                <w:szCs w:val="20"/>
              </w:rPr>
            </w:pPr>
            <w:r>
              <w:rPr>
                <w:sz w:val="20"/>
                <w:szCs w:val="20"/>
              </w:rPr>
              <w:t>5</w:t>
            </w:r>
          </w:p>
        </w:tc>
        <w:tc>
          <w:tcPr>
            <w:tcW w:w="1923" w:type="dxa"/>
          </w:tcPr>
          <w:p w14:paraId="1F85A8AB" w14:textId="2789E401" w:rsidR="00B302D2" w:rsidRPr="000E1835" w:rsidRDefault="00B302D2" w:rsidP="00B302D2">
            <w:pPr>
              <w:ind w:firstLine="360"/>
              <w:rPr>
                <w:sz w:val="20"/>
                <w:szCs w:val="20"/>
              </w:rPr>
            </w:pPr>
            <w:r w:rsidRPr="00C839AB">
              <w:rPr>
                <w:sz w:val="20"/>
                <w:szCs w:val="20"/>
              </w:rPr>
              <w:t>5,000</w:t>
            </w:r>
          </w:p>
        </w:tc>
      </w:tr>
      <w:tr w:rsidR="00B302D2" w14:paraId="0D8956D4" w14:textId="77777777" w:rsidTr="00B302D2">
        <w:tc>
          <w:tcPr>
            <w:tcW w:w="4064" w:type="dxa"/>
          </w:tcPr>
          <w:p w14:paraId="6E496384" w14:textId="77777777" w:rsidR="00B302D2" w:rsidRPr="000E1835" w:rsidRDefault="00B302D2" w:rsidP="00B302D2">
            <w:pPr>
              <w:ind w:firstLine="360"/>
              <w:rPr>
                <w:sz w:val="20"/>
                <w:szCs w:val="20"/>
              </w:rPr>
            </w:pPr>
            <w:r w:rsidRPr="000E1835">
              <w:rPr>
                <w:sz w:val="20"/>
                <w:szCs w:val="20"/>
              </w:rPr>
              <w:t>Dallas-Fort Worth</w:t>
            </w:r>
          </w:p>
        </w:tc>
        <w:tc>
          <w:tcPr>
            <w:tcW w:w="1010" w:type="dxa"/>
          </w:tcPr>
          <w:p w14:paraId="107BC1EE" w14:textId="77777777" w:rsidR="00B302D2" w:rsidRPr="000E1835" w:rsidRDefault="00B302D2" w:rsidP="00B302D2">
            <w:pPr>
              <w:ind w:firstLine="360"/>
              <w:rPr>
                <w:sz w:val="20"/>
                <w:szCs w:val="20"/>
              </w:rPr>
            </w:pPr>
            <w:r w:rsidRPr="000E1835">
              <w:rPr>
                <w:sz w:val="20"/>
                <w:szCs w:val="20"/>
              </w:rPr>
              <w:t>TX</w:t>
            </w:r>
          </w:p>
        </w:tc>
        <w:tc>
          <w:tcPr>
            <w:tcW w:w="988" w:type="dxa"/>
          </w:tcPr>
          <w:p w14:paraId="76CB8E6A" w14:textId="77777777" w:rsidR="00B302D2" w:rsidRPr="000E1835" w:rsidRDefault="00B302D2" w:rsidP="00B302D2">
            <w:pPr>
              <w:ind w:firstLine="360"/>
              <w:rPr>
                <w:sz w:val="20"/>
                <w:szCs w:val="20"/>
              </w:rPr>
            </w:pPr>
            <w:r w:rsidRPr="000E1835">
              <w:rPr>
                <w:sz w:val="20"/>
                <w:szCs w:val="20"/>
              </w:rPr>
              <w:t>6</w:t>
            </w:r>
          </w:p>
        </w:tc>
        <w:tc>
          <w:tcPr>
            <w:tcW w:w="1923" w:type="dxa"/>
          </w:tcPr>
          <w:p w14:paraId="3DEECF09" w14:textId="4ED63E0C" w:rsidR="00B302D2" w:rsidRPr="000E1835" w:rsidRDefault="00B302D2" w:rsidP="00B302D2">
            <w:pPr>
              <w:ind w:firstLine="360"/>
              <w:rPr>
                <w:sz w:val="20"/>
                <w:szCs w:val="20"/>
              </w:rPr>
            </w:pPr>
            <w:r w:rsidRPr="00C839AB">
              <w:rPr>
                <w:sz w:val="20"/>
                <w:szCs w:val="20"/>
              </w:rPr>
              <w:t>5,000</w:t>
            </w:r>
          </w:p>
        </w:tc>
      </w:tr>
      <w:tr w:rsidR="00B302D2" w14:paraId="6937A178" w14:textId="77777777" w:rsidTr="00B302D2">
        <w:tc>
          <w:tcPr>
            <w:tcW w:w="4064" w:type="dxa"/>
          </w:tcPr>
          <w:p w14:paraId="68D4AC39" w14:textId="77777777" w:rsidR="00B302D2" w:rsidRPr="000E1835" w:rsidRDefault="00B302D2" w:rsidP="00B302D2">
            <w:pPr>
              <w:ind w:firstLine="360"/>
              <w:rPr>
                <w:sz w:val="20"/>
                <w:szCs w:val="20"/>
              </w:rPr>
            </w:pPr>
            <w:r>
              <w:rPr>
                <w:sz w:val="20"/>
                <w:szCs w:val="20"/>
              </w:rPr>
              <w:t>Denver-Boulder-Greeley-Ft. Collins-Loveland</w:t>
            </w:r>
          </w:p>
        </w:tc>
        <w:tc>
          <w:tcPr>
            <w:tcW w:w="1010" w:type="dxa"/>
          </w:tcPr>
          <w:p w14:paraId="41E0032A" w14:textId="77777777" w:rsidR="00B302D2" w:rsidRPr="000E1835" w:rsidRDefault="00B302D2" w:rsidP="00B302D2">
            <w:pPr>
              <w:ind w:firstLine="360"/>
              <w:rPr>
                <w:sz w:val="20"/>
                <w:szCs w:val="20"/>
              </w:rPr>
            </w:pPr>
            <w:r>
              <w:rPr>
                <w:sz w:val="20"/>
                <w:szCs w:val="20"/>
              </w:rPr>
              <w:t>CO</w:t>
            </w:r>
          </w:p>
        </w:tc>
        <w:tc>
          <w:tcPr>
            <w:tcW w:w="988" w:type="dxa"/>
          </w:tcPr>
          <w:p w14:paraId="49E630C8" w14:textId="77777777" w:rsidR="00B302D2" w:rsidRPr="000E1835" w:rsidRDefault="00B302D2" w:rsidP="00B302D2">
            <w:pPr>
              <w:ind w:firstLine="360"/>
              <w:rPr>
                <w:sz w:val="20"/>
                <w:szCs w:val="20"/>
              </w:rPr>
            </w:pPr>
            <w:r>
              <w:rPr>
                <w:sz w:val="20"/>
                <w:szCs w:val="20"/>
              </w:rPr>
              <w:t>8</w:t>
            </w:r>
          </w:p>
        </w:tc>
        <w:tc>
          <w:tcPr>
            <w:tcW w:w="1923" w:type="dxa"/>
          </w:tcPr>
          <w:p w14:paraId="1E16BC04" w14:textId="72D05220" w:rsidR="00B302D2" w:rsidRPr="000E1835" w:rsidRDefault="00B302D2" w:rsidP="00B302D2">
            <w:pPr>
              <w:ind w:firstLine="360"/>
              <w:rPr>
                <w:sz w:val="20"/>
                <w:szCs w:val="20"/>
              </w:rPr>
            </w:pPr>
            <w:r w:rsidRPr="00C839AB">
              <w:rPr>
                <w:sz w:val="20"/>
                <w:szCs w:val="20"/>
              </w:rPr>
              <w:t>5,000</w:t>
            </w:r>
          </w:p>
        </w:tc>
      </w:tr>
      <w:tr w:rsidR="00B302D2" w14:paraId="0968C8F8" w14:textId="77777777" w:rsidTr="00B302D2">
        <w:tc>
          <w:tcPr>
            <w:tcW w:w="4064" w:type="dxa"/>
          </w:tcPr>
          <w:p w14:paraId="163A6564" w14:textId="77777777" w:rsidR="00B302D2" w:rsidRPr="000E1835" w:rsidRDefault="00B302D2" w:rsidP="00B302D2">
            <w:pPr>
              <w:ind w:firstLine="360"/>
              <w:rPr>
                <w:sz w:val="20"/>
                <w:szCs w:val="20"/>
              </w:rPr>
            </w:pPr>
            <w:r>
              <w:rPr>
                <w:sz w:val="20"/>
                <w:szCs w:val="20"/>
              </w:rPr>
              <w:t>Houston-Galveston-Brazoria</w:t>
            </w:r>
          </w:p>
        </w:tc>
        <w:tc>
          <w:tcPr>
            <w:tcW w:w="1010" w:type="dxa"/>
          </w:tcPr>
          <w:p w14:paraId="59507D47" w14:textId="77777777" w:rsidR="00B302D2" w:rsidRPr="000E1835" w:rsidRDefault="00B302D2" w:rsidP="00B302D2">
            <w:pPr>
              <w:ind w:firstLine="360"/>
              <w:rPr>
                <w:sz w:val="20"/>
                <w:szCs w:val="20"/>
              </w:rPr>
            </w:pPr>
            <w:r>
              <w:rPr>
                <w:sz w:val="20"/>
                <w:szCs w:val="20"/>
              </w:rPr>
              <w:t>TX</w:t>
            </w:r>
          </w:p>
        </w:tc>
        <w:tc>
          <w:tcPr>
            <w:tcW w:w="988" w:type="dxa"/>
          </w:tcPr>
          <w:p w14:paraId="7FE2DF5C" w14:textId="77777777" w:rsidR="00B302D2" w:rsidRPr="000E1835" w:rsidRDefault="00B302D2" w:rsidP="00B302D2">
            <w:pPr>
              <w:ind w:firstLine="360"/>
              <w:rPr>
                <w:sz w:val="20"/>
                <w:szCs w:val="20"/>
              </w:rPr>
            </w:pPr>
            <w:r>
              <w:rPr>
                <w:sz w:val="20"/>
                <w:szCs w:val="20"/>
              </w:rPr>
              <w:t>6</w:t>
            </w:r>
          </w:p>
        </w:tc>
        <w:tc>
          <w:tcPr>
            <w:tcW w:w="1923" w:type="dxa"/>
          </w:tcPr>
          <w:p w14:paraId="37711CC0" w14:textId="311FA2F5" w:rsidR="00B302D2" w:rsidRPr="000E1835" w:rsidRDefault="00B302D2" w:rsidP="00B302D2">
            <w:pPr>
              <w:ind w:firstLine="360"/>
              <w:rPr>
                <w:sz w:val="20"/>
                <w:szCs w:val="20"/>
              </w:rPr>
            </w:pPr>
            <w:r w:rsidRPr="00C839AB">
              <w:rPr>
                <w:sz w:val="20"/>
                <w:szCs w:val="20"/>
              </w:rPr>
              <w:t>5,000</w:t>
            </w:r>
          </w:p>
        </w:tc>
      </w:tr>
      <w:tr w:rsidR="00B302D2" w14:paraId="021654AA" w14:textId="77777777" w:rsidTr="00B302D2">
        <w:tc>
          <w:tcPr>
            <w:tcW w:w="4064" w:type="dxa"/>
          </w:tcPr>
          <w:p w14:paraId="13F2960F" w14:textId="77777777" w:rsidR="00B302D2" w:rsidRPr="000E1835" w:rsidRDefault="00B302D2" w:rsidP="00B302D2">
            <w:pPr>
              <w:ind w:firstLine="360"/>
              <w:rPr>
                <w:sz w:val="20"/>
                <w:szCs w:val="20"/>
              </w:rPr>
            </w:pPr>
            <w:r>
              <w:rPr>
                <w:sz w:val="20"/>
                <w:szCs w:val="20"/>
              </w:rPr>
              <w:t>Imperial County</w:t>
            </w:r>
          </w:p>
        </w:tc>
        <w:tc>
          <w:tcPr>
            <w:tcW w:w="1010" w:type="dxa"/>
          </w:tcPr>
          <w:p w14:paraId="5C736742" w14:textId="77777777" w:rsidR="00B302D2" w:rsidRPr="000E1835" w:rsidRDefault="00B302D2" w:rsidP="00B302D2">
            <w:pPr>
              <w:ind w:firstLine="360"/>
              <w:rPr>
                <w:sz w:val="20"/>
                <w:szCs w:val="20"/>
              </w:rPr>
            </w:pPr>
            <w:r>
              <w:rPr>
                <w:sz w:val="20"/>
                <w:szCs w:val="20"/>
              </w:rPr>
              <w:t>CA</w:t>
            </w:r>
          </w:p>
        </w:tc>
        <w:tc>
          <w:tcPr>
            <w:tcW w:w="988" w:type="dxa"/>
          </w:tcPr>
          <w:p w14:paraId="524D3674" w14:textId="77777777" w:rsidR="00B302D2" w:rsidRPr="000E1835" w:rsidRDefault="00B302D2" w:rsidP="00B302D2">
            <w:pPr>
              <w:ind w:firstLine="360"/>
              <w:rPr>
                <w:sz w:val="20"/>
                <w:szCs w:val="20"/>
              </w:rPr>
            </w:pPr>
            <w:r>
              <w:rPr>
                <w:sz w:val="20"/>
                <w:szCs w:val="20"/>
              </w:rPr>
              <w:t>9</w:t>
            </w:r>
          </w:p>
        </w:tc>
        <w:tc>
          <w:tcPr>
            <w:tcW w:w="1923" w:type="dxa"/>
          </w:tcPr>
          <w:p w14:paraId="5A8A2E12" w14:textId="22468EE9" w:rsidR="00B302D2" w:rsidRPr="000E1835" w:rsidRDefault="00B302D2" w:rsidP="00B302D2">
            <w:pPr>
              <w:ind w:firstLine="360"/>
              <w:rPr>
                <w:sz w:val="20"/>
                <w:szCs w:val="20"/>
              </w:rPr>
            </w:pPr>
            <w:r w:rsidRPr="00C839AB">
              <w:rPr>
                <w:sz w:val="20"/>
                <w:szCs w:val="20"/>
              </w:rPr>
              <w:t>5,000</w:t>
            </w:r>
          </w:p>
        </w:tc>
      </w:tr>
      <w:tr w:rsidR="00B302D2" w14:paraId="70E5118B" w14:textId="77777777" w:rsidTr="00B302D2">
        <w:tc>
          <w:tcPr>
            <w:tcW w:w="4064" w:type="dxa"/>
          </w:tcPr>
          <w:p w14:paraId="2DBAB55B" w14:textId="77777777" w:rsidR="00B302D2" w:rsidRPr="000E1835" w:rsidRDefault="00B302D2" w:rsidP="00B302D2">
            <w:pPr>
              <w:ind w:firstLine="360"/>
              <w:rPr>
                <w:sz w:val="20"/>
                <w:szCs w:val="20"/>
              </w:rPr>
            </w:pPr>
            <w:r>
              <w:rPr>
                <w:sz w:val="20"/>
                <w:szCs w:val="20"/>
              </w:rPr>
              <w:t>Kern County (Eastern Kern)</w:t>
            </w:r>
          </w:p>
        </w:tc>
        <w:tc>
          <w:tcPr>
            <w:tcW w:w="1010" w:type="dxa"/>
          </w:tcPr>
          <w:p w14:paraId="6ECC355B" w14:textId="77777777" w:rsidR="00B302D2" w:rsidRPr="000E1835" w:rsidRDefault="00B302D2" w:rsidP="00B302D2">
            <w:pPr>
              <w:ind w:firstLine="360"/>
              <w:rPr>
                <w:sz w:val="20"/>
                <w:szCs w:val="20"/>
              </w:rPr>
            </w:pPr>
            <w:r>
              <w:rPr>
                <w:sz w:val="20"/>
                <w:szCs w:val="20"/>
              </w:rPr>
              <w:t>CA</w:t>
            </w:r>
          </w:p>
        </w:tc>
        <w:tc>
          <w:tcPr>
            <w:tcW w:w="988" w:type="dxa"/>
          </w:tcPr>
          <w:p w14:paraId="2B27D7F9" w14:textId="77777777" w:rsidR="00B302D2" w:rsidRPr="000E1835" w:rsidRDefault="00B302D2" w:rsidP="00B302D2">
            <w:pPr>
              <w:ind w:firstLine="360"/>
              <w:rPr>
                <w:sz w:val="20"/>
                <w:szCs w:val="20"/>
              </w:rPr>
            </w:pPr>
            <w:r>
              <w:rPr>
                <w:sz w:val="20"/>
                <w:szCs w:val="20"/>
              </w:rPr>
              <w:t>9</w:t>
            </w:r>
          </w:p>
        </w:tc>
        <w:tc>
          <w:tcPr>
            <w:tcW w:w="1923" w:type="dxa"/>
          </w:tcPr>
          <w:p w14:paraId="23904649" w14:textId="00CAE6E4" w:rsidR="00B302D2" w:rsidRPr="000E1835" w:rsidRDefault="00B302D2" w:rsidP="00B302D2">
            <w:pPr>
              <w:ind w:firstLine="360"/>
              <w:rPr>
                <w:sz w:val="20"/>
                <w:szCs w:val="20"/>
              </w:rPr>
            </w:pPr>
            <w:r w:rsidRPr="00C839AB">
              <w:rPr>
                <w:sz w:val="20"/>
                <w:szCs w:val="20"/>
              </w:rPr>
              <w:t>5,000</w:t>
            </w:r>
          </w:p>
        </w:tc>
      </w:tr>
      <w:tr w:rsidR="00B302D2" w14:paraId="7BCF7938" w14:textId="77777777" w:rsidTr="00B302D2">
        <w:tc>
          <w:tcPr>
            <w:tcW w:w="4064" w:type="dxa"/>
          </w:tcPr>
          <w:p w14:paraId="1EDEF616" w14:textId="77777777" w:rsidR="00B302D2" w:rsidRPr="000E1835" w:rsidRDefault="00B302D2" w:rsidP="00B302D2">
            <w:pPr>
              <w:ind w:firstLine="360"/>
              <w:rPr>
                <w:sz w:val="20"/>
                <w:szCs w:val="20"/>
              </w:rPr>
            </w:pPr>
            <w:r>
              <w:rPr>
                <w:sz w:val="20"/>
                <w:szCs w:val="20"/>
              </w:rPr>
              <w:t>Nevada County</w:t>
            </w:r>
          </w:p>
        </w:tc>
        <w:tc>
          <w:tcPr>
            <w:tcW w:w="1010" w:type="dxa"/>
          </w:tcPr>
          <w:p w14:paraId="6A9375BE" w14:textId="77777777" w:rsidR="00B302D2" w:rsidRPr="000E1835" w:rsidRDefault="00B302D2" w:rsidP="00B302D2">
            <w:pPr>
              <w:ind w:firstLine="360"/>
              <w:rPr>
                <w:sz w:val="20"/>
                <w:szCs w:val="20"/>
              </w:rPr>
            </w:pPr>
            <w:r>
              <w:rPr>
                <w:sz w:val="20"/>
                <w:szCs w:val="20"/>
              </w:rPr>
              <w:t>CA</w:t>
            </w:r>
          </w:p>
        </w:tc>
        <w:tc>
          <w:tcPr>
            <w:tcW w:w="988" w:type="dxa"/>
          </w:tcPr>
          <w:p w14:paraId="3618EC5D" w14:textId="77777777" w:rsidR="00B302D2" w:rsidRPr="000E1835" w:rsidRDefault="00B302D2" w:rsidP="00B302D2">
            <w:pPr>
              <w:ind w:firstLine="360"/>
              <w:rPr>
                <w:sz w:val="20"/>
                <w:szCs w:val="20"/>
              </w:rPr>
            </w:pPr>
            <w:r>
              <w:rPr>
                <w:sz w:val="20"/>
                <w:szCs w:val="20"/>
              </w:rPr>
              <w:t>9</w:t>
            </w:r>
          </w:p>
        </w:tc>
        <w:tc>
          <w:tcPr>
            <w:tcW w:w="1923" w:type="dxa"/>
          </w:tcPr>
          <w:p w14:paraId="629150A3" w14:textId="772107A2" w:rsidR="00B302D2" w:rsidRPr="000E1835" w:rsidRDefault="00B302D2" w:rsidP="00B302D2">
            <w:pPr>
              <w:ind w:firstLine="360"/>
              <w:rPr>
                <w:sz w:val="20"/>
                <w:szCs w:val="20"/>
              </w:rPr>
            </w:pPr>
            <w:r w:rsidRPr="00C839AB">
              <w:rPr>
                <w:sz w:val="20"/>
                <w:szCs w:val="20"/>
              </w:rPr>
              <w:t>5,000</w:t>
            </w:r>
          </w:p>
        </w:tc>
      </w:tr>
      <w:tr w:rsidR="00B302D2" w14:paraId="664BDDC8" w14:textId="77777777" w:rsidTr="00B302D2">
        <w:tc>
          <w:tcPr>
            <w:tcW w:w="4064" w:type="dxa"/>
          </w:tcPr>
          <w:p w14:paraId="616A4AC9" w14:textId="77777777" w:rsidR="00B302D2" w:rsidRPr="000E1835" w:rsidRDefault="00B302D2" w:rsidP="00B302D2">
            <w:pPr>
              <w:ind w:firstLine="360"/>
              <w:rPr>
                <w:sz w:val="20"/>
                <w:szCs w:val="20"/>
              </w:rPr>
            </w:pPr>
            <w:r>
              <w:rPr>
                <w:sz w:val="20"/>
                <w:szCs w:val="20"/>
              </w:rPr>
              <w:t>New York-N. New Jersey-Long Island</w:t>
            </w:r>
          </w:p>
        </w:tc>
        <w:tc>
          <w:tcPr>
            <w:tcW w:w="1010" w:type="dxa"/>
          </w:tcPr>
          <w:p w14:paraId="45C3DB29" w14:textId="77777777" w:rsidR="00B302D2" w:rsidRPr="000E1835" w:rsidRDefault="00B302D2" w:rsidP="00B302D2">
            <w:pPr>
              <w:ind w:firstLine="360"/>
              <w:rPr>
                <w:sz w:val="20"/>
                <w:szCs w:val="20"/>
              </w:rPr>
            </w:pPr>
            <w:r>
              <w:rPr>
                <w:sz w:val="20"/>
                <w:szCs w:val="20"/>
              </w:rPr>
              <w:t>NY</w:t>
            </w:r>
          </w:p>
        </w:tc>
        <w:tc>
          <w:tcPr>
            <w:tcW w:w="988" w:type="dxa"/>
          </w:tcPr>
          <w:p w14:paraId="05BB7B15" w14:textId="77777777" w:rsidR="00B302D2" w:rsidRPr="000E1835" w:rsidRDefault="00B302D2" w:rsidP="00B302D2">
            <w:pPr>
              <w:ind w:firstLine="360"/>
              <w:rPr>
                <w:sz w:val="20"/>
                <w:szCs w:val="20"/>
              </w:rPr>
            </w:pPr>
            <w:r>
              <w:rPr>
                <w:sz w:val="20"/>
                <w:szCs w:val="20"/>
              </w:rPr>
              <w:t>2</w:t>
            </w:r>
          </w:p>
        </w:tc>
        <w:tc>
          <w:tcPr>
            <w:tcW w:w="1923" w:type="dxa"/>
          </w:tcPr>
          <w:p w14:paraId="7681A2B4" w14:textId="2289A176" w:rsidR="00B302D2" w:rsidRPr="000E1835" w:rsidRDefault="00B302D2" w:rsidP="00B302D2">
            <w:pPr>
              <w:ind w:firstLine="360"/>
              <w:rPr>
                <w:sz w:val="20"/>
                <w:szCs w:val="20"/>
              </w:rPr>
            </w:pPr>
            <w:r w:rsidRPr="00C839AB">
              <w:rPr>
                <w:sz w:val="20"/>
                <w:szCs w:val="20"/>
              </w:rPr>
              <w:t>5,000</w:t>
            </w:r>
          </w:p>
        </w:tc>
      </w:tr>
      <w:tr w:rsidR="00B302D2" w14:paraId="7E8A8A00" w14:textId="77777777" w:rsidTr="00B302D2">
        <w:tc>
          <w:tcPr>
            <w:tcW w:w="4064" w:type="dxa"/>
          </w:tcPr>
          <w:p w14:paraId="07882E62" w14:textId="77777777" w:rsidR="00B302D2" w:rsidRPr="000E1835" w:rsidRDefault="00B302D2" w:rsidP="00B302D2">
            <w:pPr>
              <w:ind w:firstLine="360"/>
              <w:rPr>
                <w:sz w:val="20"/>
                <w:szCs w:val="20"/>
              </w:rPr>
            </w:pPr>
            <w:r>
              <w:rPr>
                <w:sz w:val="20"/>
                <w:szCs w:val="20"/>
              </w:rPr>
              <w:t>New York-N. New Jersey-Long Island</w:t>
            </w:r>
          </w:p>
        </w:tc>
        <w:tc>
          <w:tcPr>
            <w:tcW w:w="1010" w:type="dxa"/>
          </w:tcPr>
          <w:p w14:paraId="0E680839" w14:textId="77777777" w:rsidR="00B302D2" w:rsidRPr="000E1835" w:rsidRDefault="00B302D2" w:rsidP="00B302D2">
            <w:pPr>
              <w:ind w:firstLine="360"/>
              <w:rPr>
                <w:sz w:val="20"/>
                <w:szCs w:val="20"/>
              </w:rPr>
            </w:pPr>
            <w:r>
              <w:rPr>
                <w:sz w:val="20"/>
                <w:szCs w:val="20"/>
              </w:rPr>
              <w:t>NJ</w:t>
            </w:r>
          </w:p>
        </w:tc>
        <w:tc>
          <w:tcPr>
            <w:tcW w:w="988" w:type="dxa"/>
          </w:tcPr>
          <w:p w14:paraId="48102309" w14:textId="77777777" w:rsidR="00B302D2" w:rsidRPr="000E1835" w:rsidRDefault="00B302D2" w:rsidP="00B302D2">
            <w:pPr>
              <w:ind w:firstLine="360"/>
              <w:rPr>
                <w:sz w:val="20"/>
                <w:szCs w:val="20"/>
              </w:rPr>
            </w:pPr>
            <w:r>
              <w:rPr>
                <w:sz w:val="20"/>
                <w:szCs w:val="20"/>
              </w:rPr>
              <w:t>2</w:t>
            </w:r>
          </w:p>
        </w:tc>
        <w:tc>
          <w:tcPr>
            <w:tcW w:w="1923" w:type="dxa"/>
          </w:tcPr>
          <w:p w14:paraId="2736DB5F" w14:textId="550B718E" w:rsidR="00B302D2" w:rsidRPr="000E1835" w:rsidRDefault="00B302D2" w:rsidP="00B302D2">
            <w:pPr>
              <w:ind w:firstLine="360"/>
              <w:rPr>
                <w:sz w:val="20"/>
                <w:szCs w:val="20"/>
              </w:rPr>
            </w:pPr>
            <w:r w:rsidRPr="00C839AB">
              <w:rPr>
                <w:sz w:val="20"/>
                <w:szCs w:val="20"/>
              </w:rPr>
              <w:t>5,000</w:t>
            </w:r>
          </w:p>
        </w:tc>
      </w:tr>
      <w:tr w:rsidR="00B302D2" w14:paraId="57860CF9" w14:textId="77777777" w:rsidTr="00B302D2">
        <w:tc>
          <w:tcPr>
            <w:tcW w:w="4064" w:type="dxa"/>
          </w:tcPr>
          <w:p w14:paraId="23DD0E93" w14:textId="77777777" w:rsidR="00B302D2" w:rsidRPr="000E1835" w:rsidRDefault="00B302D2" w:rsidP="00B302D2">
            <w:pPr>
              <w:ind w:firstLine="360"/>
              <w:rPr>
                <w:sz w:val="20"/>
                <w:szCs w:val="20"/>
              </w:rPr>
            </w:pPr>
            <w:r>
              <w:rPr>
                <w:sz w:val="20"/>
                <w:szCs w:val="20"/>
              </w:rPr>
              <w:t>New York-N. New Jersey-Long Island</w:t>
            </w:r>
          </w:p>
        </w:tc>
        <w:tc>
          <w:tcPr>
            <w:tcW w:w="1010" w:type="dxa"/>
          </w:tcPr>
          <w:p w14:paraId="7284D885" w14:textId="77777777" w:rsidR="00B302D2" w:rsidRPr="000E1835" w:rsidRDefault="00B302D2" w:rsidP="00B302D2">
            <w:pPr>
              <w:ind w:firstLine="360"/>
              <w:rPr>
                <w:sz w:val="20"/>
                <w:szCs w:val="20"/>
              </w:rPr>
            </w:pPr>
            <w:r>
              <w:rPr>
                <w:sz w:val="20"/>
                <w:szCs w:val="20"/>
              </w:rPr>
              <w:t>CT</w:t>
            </w:r>
          </w:p>
        </w:tc>
        <w:tc>
          <w:tcPr>
            <w:tcW w:w="988" w:type="dxa"/>
          </w:tcPr>
          <w:p w14:paraId="6D734C37" w14:textId="77777777" w:rsidR="00B302D2" w:rsidRPr="000E1835" w:rsidRDefault="00B302D2" w:rsidP="00B302D2">
            <w:pPr>
              <w:ind w:firstLine="360"/>
              <w:rPr>
                <w:sz w:val="20"/>
                <w:szCs w:val="20"/>
              </w:rPr>
            </w:pPr>
            <w:r>
              <w:rPr>
                <w:sz w:val="20"/>
                <w:szCs w:val="20"/>
              </w:rPr>
              <w:t>1</w:t>
            </w:r>
          </w:p>
        </w:tc>
        <w:tc>
          <w:tcPr>
            <w:tcW w:w="1923" w:type="dxa"/>
          </w:tcPr>
          <w:p w14:paraId="5BD00CC0" w14:textId="1205186A" w:rsidR="00B302D2" w:rsidRPr="000E1835" w:rsidRDefault="00B302D2" w:rsidP="00B302D2">
            <w:pPr>
              <w:ind w:firstLine="360"/>
              <w:rPr>
                <w:sz w:val="20"/>
                <w:szCs w:val="20"/>
              </w:rPr>
            </w:pPr>
            <w:r w:rsidRPr="00C839AB">
              <w:rPr>
                <w:sz w:val="20"/>
                <w:szCs w:val="20"/>
              </w:rPr>
              <w:t>5,000</w:t>
            </w:r>
          </w:p>
        </w:tc>
      </w:tr>
      <w:tr w:rsidR="00B302D2" w14:paraId="28946DD4" w14:textId="77777777" w:rsidTr="00B302D2">
        <w:tc>
          <w:tcPr>
            <w:tcW w:w="4064" w:type="dxa"/>
          </w:tcPr>
          <w:p w14:paraId="4CAC8386" w14:textId="77777777" w:rsidR="00B302D2" w:rsidRPr="000E1835" w:rsidRDefault="00B302D2" w:rsidP="00B302D2">
            <w:pPr>
              <w:ind w:firstLine="360"/>
              <w:rPr>
                <w:sz w:val="20"/>
                <w:szCs w:val="20"/>
              </w:rPr>
            </w:pPr>
            <w:r>
              <w:rPr>
                <w:sz w:val="20"/>
                <w:szCs w:val="20"/>
              </w:rPr>
              <w:t>Pechanga Reservation</w:t>
            </w:r>
          </w:p>
        </w:tc>
        <w:tc>
          <w:tcPr>
            <w:tcW w:w="1010" w:type="dxa"/>
          </w:tcPr>
          <w:p w14:paraId="113E8812" w14:textId="77777777" w:rsidR="00B302D2" w:rsidRPr="000E1835" w:rsidRDefault="00B302D2" w:rsidP="00B302D2">
            <w:pPr>
              <w:ind w:firstLine="360"/>
              <w:rPr>
                <w:sz w:val="20"/>
                <w:szCs w:val="20"/>
              </w:rPr>
            </w:pPr>
            <w:r>
              <w:rPr>
                <w:sz w:val="20"/>
                <w:szCs w:val="20"/>
              </w:rPr>
              <w:t>CA</w:t>
            </w:r>
          </w:p>
        </w:tc>
        <w:tc>
          <w:tcPr>
            <w:tcW w:w="988" w:type="dxa"/>
          </w:tcPr>
          <w:p w14:paraId="26F6CC98" w14:textId="77777777" w:rsidR="00B302D2" w:rsidRPr="000E1835" w:rsidRDefault="00B302D2" w:rsidP="00B302D2">
            <w:pPr>
              <w:ind w:firstLine="360"/>
              <w:rPr>
                <w:sz w:val="20"/>
                <w:szCs w:val="20"/>
              </w:rPr>
            </w:pPr>
            <w:r>
              <w:rPr>
                <w:sz w:val="20"/>
                <w:szCs w:val="20"/>
              </w:rPr>
              <w:t>9</w:t>
            </w:r>
          </w:p>
        </w:tc>
        <w:tc>
          <w:tcPr>
            <w:tcW w:w="1923" w:type="dxa"/>
          </w:tcPr>
          <w:p w14:paraId="3D776618" w14:textId="058F9585" w:rsidR="00B302D2" w:rsidRPr="000E1835" w:rsidRDefault="00B302D2" w:rsidP="00B302D2">
            <w:pPr>
              <w:ind w:firstLine="360"/>
              <w:rPr>
                <w:sz w:val="20"/>
                <w:szCs w:val="20"/>
              </w:rPr>
            </w:pPr>
            <w:r w:rsidRPr="00C839AB">
              <w:rPr>
                <w:sz w:val="20"/>
                <w:szCs w:val="20"/>
              </w:rPr>
              <w:t>5,000</w:t>
            </w:r>
          </w:p>
        </w:tc>
      </w:tr>
      <w:tr w:rsidR="00B302D2" w14:paraId="56CF1F98" w14:textId="77777777" w:rsidTr="00B302D2">
        <w:tc>
          <w:tcPr>
            <w:tcW w:w="4064" w:type="dxa"/>
          </w:tcPr>
          <w:p w14:paraId="61461FF3" w14:textId="77777777" w:rsidR="00B302D2" w:rsidRDefault="00B302D2" w:rsidP="00B302D2">
            <w:pPr>
              <w:ind w:firstLine="360"/>
              <w:rPr>
                <w:sz w:val="20"/>
                <w:szCs w:val="20"/>
              </w:rPr>
            </w:pPr>
            <w:r>
              <w:rPr>
                <w:sz w:val="20"/>
                <w:szCs w:val="20"/>
              </w:rPr>
              <w:t>Phoenix-Mesa</w:t>
            </w:r>
          </w:p>
        </w:tc>
        <w:tc>
          <w:tcPr>
            <w:tcW w:w="1010" w:type="dxa"/>
          </w:tcPr>
          <w:p w14:paraId="5A44A77C" w14:textId="77777777" w:rsidR="00B302D2" w:rsidRDefault="00B302D2" w:rsidP="00B302D2">
            <w:pPr>
              <w:ind w:firstLine="360"/>
              <w:rPr>
                <w:sz w:val="20"/>
                <w:szCs w:val="20"/>
              </w:rPr>
            </w:pPr>
            <w:r>
              <w:rPr>
                <w:sz w:val="20"/>
                <w:szCs w:val="20"/>
              </w:rPr>
              <w:t>AZ</w:t>
            </w:r>
          </w:p>
        </w:tc>
        <w:tc>
          <w:tcPr>
            <w:tcW w:w="988" w:type="dxa"/>
          </w:tcPr>
          <w:p w14:paraId="16DA23B4" w14:textId="77777777" w:rsidR="00B302D2" w:rsidRDefault="00B302D2" w:rsidP="00B302D2">
            <w:pPr>
              <w:ind w:firstLine="360"/>
              <w:rPr>
                <w:sz w:val="20"/>
                <w:szCs w:val="20"/>
              </w:rPr>
            </w:pPr>
            <w:r>
              <w:rPr>
                <w:sz w:val="20"/>
                <w:szCs w:val="20"/>
              </w:rPr>
              <w:t>9</w:t>
            </w:r>
          </w:p>
        </w:tc>
        <w:tc>
          <w:tcPr>
            <w:tcW w:w="1923" w:type="dxa"/>
          </w:tcPr>
          <w:p w14:paraId="7994A6C7" w14:textId="5A5D7840" w:rsidR="00B302D2" w:rsidRDefault="00B302D2" w:rsidP="00B302D2">
            <w:pPr>
              <w:ind w:firstLine="360"/>
              <w:rPr>
                <w:sz w:val="20"/>
                <w:szCs w:val="20"/>
              </w:rPr>
            </w:pPr>
            <w:r w:rsidRPr="00C839AB">
              <w:rPr>
                <w:sz w:val="20"/>
                <w:szCs w:val="20"/>
              </w:rPr>
              <w:t>5,000</w:t>
            </w:r>
          </w:p>
        </w:tc>
      </w:tr>
      <w:tr w:rsidR="00B302D2" w14:paraId="78230F97" w14:textId="77777777" w:rsidTr="00B302D2">
        <w:tc>
          <w:tcPr>
            <w:tcW w:w="4064" w:type="dxa"/>
          </w:tcPr>
          <w:p w14:paraId="62FBFB6F" w14:textId="77777777" w:rsidR="00B302D2" w:rsidRPr="000E1835" w:rsidRDefault="00B302D2" w:rsidP="00B302D2">
            <w:pPr>
              <w:ind w:firstLine="360"/>
              <w:rPr>
                <w:sz w:val="20"/>
                <w:szCs w:val="20"/>
              </w:rPr>
            </w:pPr>
            <w:r>
              <w:rPr>
                <w:sz w:val="20"/>
                <w:szCs w:val="20"/>
              </w:rPr>
              <w:t>San Diego County</w:t>
            </w:r>
          </w:p>
        </w:tc>
        <w:tc>
          <w:tcPr>
            <w:tcW w:w="1010" w:type="dxa"/>
          </w:tcPr>
          <w:p w14:paraId="77E9BCC5" w14:textId="77777777" w:rsidR="00B302D2" w:rsidRPr="000E1835" w:rsidRDefault="00B302D2" w:rsidP="00B302D2">
            <w:pPr>
              <w:ind w:firstLine="360"/>
              <w:rPr>
                <w:sz w:val="20"/>
                <w:szCs w:val="20"/>
              </w:rPr>
            </w:pPr>
            <w:r>
              <w:rPr>
                <w:sz w:val="20"/>
                <w:szCs w:val="20"/>
              </w:rPr>
              <w:t>CA</w:t>
            </w:r>
          </w:p>
        </w:tc>
        <w:tc>
          <w:tcPr>
            <w:tcW w:w="988" w:type="dxa"/>
          </w:tcPr>
          <w:p w14:paraId="5CFBBD89" w14:textId="77777777" w:rsidR="00B302D2" w:rsidRPr="000E1835" w:rsidRDefault="00B302D2" w:rsidP="00B302D2">
            <w:pPr>
              <w:ind w:firstLine="360"/>
              <w:rPr>
                <w:sz w:val="20"/>
                <w:szCs w:val="20"/>
              </w:rPr>
            </w:pPr>
            <w:r>
              <w:rPr>
                <w:sz w:val="20"/>
                <w:szCs w:val="20"/>
              </w:rPr>
              <w:t>9</w:t>
            </w:r>
          </w:p>
        </w:tc>
        <w:tc>
          <w:tcPr>
            <w:tcW w:w="1923" w:type="dxa"/>
          </w:tcPr>
          <w:p w14:paraId="4E24E2F1" w14:textId="448E024D" w:rsidR="00B302D2" w:rsidRPr="000E1835" w:rsidRDefault="00B302D2" w:rsidP="00B302D2">
            <w:pPr>
              <w:ind w:firstLine="360"/>
              <w:rPr>
                <w:sz w:val="20"/>
                <w:szCs w:val="20"/>
              </w:rPr>
            </w:pPr>
            <w:r w:rsidRPr="00C839AB">
              <w:rPr>
                <w:sz w:val="20"/>
                <w:szCs w:val="20"/>
              </w:rPr>
              <w:t>5,000</w:t>
            </w:r>
          </w:p>
        </w:tc>
      </w:tr>
      <w:tr w:rsidR="00B302D2" w14:paraId="24F0F63F" w14:textId="77777777" w:rsidTr="00B302D2">
        <w:tc>
          <w:tcPr>
            <w:tcW w:w="4064" w:type="dxa"/>
          </w:tcPr>
          <w:p w14:paraId="7419FE1A" w14:textId="77777777" w:rsidR="00B302D2" w:rsidRPr="000E1835" w:rsidRDefault="00B302D2" w:rsidP="00B302D2">
            <w:pPr>
              <w:ind w:firstLine="360"/>
              <w:rPr>
                <w:sz w:val="20"/>
                <w:szCs w:val="20"/>
              </w:rPr>
            </w:pPr>
            <w:r>
              <w:rPr>
                <w:sz w:val="20"/>
                <w:szCs w:val="20"/>
              </w:rPr>
              <w:t>Sheboygan</w:t>
            </w:r>
          </w:p>
        </w:tc>
        <w:tc>
          <w:tcPr>
            <w:tcW w:w="1010" w:type="dxa"/>
          </w:tcPr>
          <w:p w14:paraId="24361B2A" w14:textId="77777777" w:rsidR="00B302D2" w:rsidRPr="000E1835" w:rsidRDefault="00B302D2" w:rsidP="00B302D2">
            <w:pPr>
              <w:ind w:firstLine="360"/>
              <w:rPr>
                <w:sz w:val="20"/>
                <w:szCs w:val="20"/>
              </w:rPr>
            </w:pPr>
            <w:r>
              <w:rPr>
                <w:sz w:val="20"/>
                <w:szCs w:val="20"/>
              </w:rPr>
              <w:t>WI</w:t>
            </w:r>
          </w:p>
        </w:tc>
        <w:tc>
          <w:tcPr>
            <w:tcW w:w="988" w:type="dxa"/>
          </w:tcPr>
          <w:p w14:paraId="4ABCED81" w14:textId="77777777" w:rsidR="00B302D2" w:rsidRPr="000E1835" w:rsidRDefault="00B302D2" w:rsidP="00B302D2">
            <w:pPr>
              <w:ind w:firstLine="360"/>
              <w:rPr>
                <w:sz w:val="20"/>
                <w:szCs w:val="20"/>
              </w:rPr>
            </w:pPr>
            <w:r>
              <w:rPr>
                <w:sz w:val="20"/>
                <w:szCs w:val="20"/>
              </w:rPr>
              <w:t>5</w:t>
            </w:r>
          </w:p>
        </w:tc>
        <w:tc>
          <w:tcPr>
            <w:tcW w:w="1923" w:type="dxa"/>
          </w:tcPr>
          <w:p w14:paraId="37D94320" w14:textId="3D03AB98" w:rsidR="00B302D2" w:rsidRPr="000E1835" w:rsidRDefault="00B302D2" w:rsidP="00B302D2">
            <w:pPr>
              <w:ind w:firstLine="360"/>
              <w:rPr>
                <w:sz w:val="20"/>
                <w:szCs w:val="20"/>
              </w:rPr>
            </w:pPr>
            <w:r w:rsidRPr="00C839AB">
              <w:rPr>
                <w:sz w:val="20"/>
                <w:szCs w:val="20"/>
              </w:rPr>
              <w:t>5,000</w:t>
            </w:r>
          </w:p>
        </w:tc>
      </w:tr>
      <w:tr w:rsidR="008C22BA" w14:paraId="65A4CC15" w14:textId="77777777" w:rsidTr="00B302D2">
        <w:tc>
          <w:tcPr>
            <w:tcW w:w="6062" w:type="dxa"/>
            <w:gridSpan w:val="3"/>
          </w:tcPr>
          <w:p w14:paraId="338566C9" w14:textId="0DB4213D" w:rsidR="008C22BA" w:rsidRDefault="008C22BA" w:rsidP="00A377AC">
            <w:pPr>
              <w:ind w:firstLine="360"/>
              <w:rPr>
                <w:sz w:val="20"/>
                <w:szCs w:val="20"/>
              </w:rPr>
            </w:pPr>
            <w:r>
              <w:rPr>
                <w:sz w:val="20"/>
                <w:szCs w:val="20"/>
              </w:rPr>
              <w:t>Total</w:t>
            </w:r>
          </w:p>
        </w:tc>
        <w:tc>
          <w:tcPr>
            <w:tcW w:w="1923" w:type="dxa"/>
          </w:tcPr>
          <w:p w14:paraId="1FC50D88" w14:textId="6CE0901A" w:rsidR="008C22BA" w:rsidRDefault="00B302D2" w:rsidP="00A377AC">
            <w:pPr>
              <w:ind w:firstLine="360"/>
              <w:rPr>
                <w:sz w:val="20"/>
                <w:szCs w:val="20"/>
              </w:rPr>
            </w:pPr>
            <w:r>
              <w:rPr>
                <w:sz w:val="20"/>
                <w:szCs w:val="20"/>
              </w:rPr>
              <w:t>8</w:t>
            </w:r>
            <w:r w:rsidR="008C22BA">
              <w:rPr>
                <w:sz w:val="20"/>
                <w:szCs w:val="20"/>
              </w:rPr>
              <w:t>0,000</w:t>
            </w:r>
          </w:p>
        </w:tc>
      </w:tr>
    </w:tbl>
    <w:p w14:paraId="4B239DA3" w14:textId="77777777" w:rsidR="006C4C93" w:rsidRDefault="006C4C93" w:rsidP="00A377AC">
      <w:pPr>
        <w:ind w:firstLine="360"/>
      </w:pPr>
    </w:p>
    <w:p w14:paraId="4D782237" w14:textId="77777777" w:rsidR="00CB3528" w:rsidRDefault="00CB3528" w:rsidP="00A377AC">
      <w:pPr>
        <w:ind w:firstLine="360"/>
      </w:pPr>
    </w:p>
    <w:p w14:paraId="14C5684E" w14:textId="77777777" w:rsidR="00CB3528" w:rsidRPr="00E1056D" w:rsidRDefault="00CB3528" w:rsidP="00A377AC">
      <w:pPr>
        <w:keepNext/>
        <w:ind w:firstLine="360"/>
        <w:rPr>
          <w:b/>
        </w:rPr>
      </w:pPr>
      <w:r w:rsidRPr="00E1056D">
        <w:rPr>
          <w:b/>
        </w:rPr>
        <w:t>6(b)</w:t>
      </w:r>
      <w:r w:rsidRPr="00E1056D">
        <w:rPr>
          <w:b/>
        </w:rPr>
        <w:tab/>
        <w:t>Estimating Respondent Cost</w:t>
      </w:r>
    </w:p>
    <w:p w14:paraId="743F4762" w14:textId="77777777" w:rsidR="00CB3528" w:rsidRDefault="00CB3528" w:rsidP="00A377AC">
      <w:pPr>
        <w:keepNext/>
        <w:ind w:firstLine="360"/>
      </w:pPr>
    </w:p>
    <w:p w14:paraId="27606A7D" w14:textId="58B86811" w:rsidR="004B51DA" w:rsidRDefault="00CB3528" w:rsidP="00A377AC">
      <w:pPr>
        <w:ind w:firstLine="360"/>
      </w:pPr>
      <w:r>
        <w:t xml:space="preserve">Labor costs are estimated for state governments using the total of </w:t>
      </w:r>
      <w:r w:rsidR="000C4291">
        <w:t xml:space="preserve">estimated burden </w:t>
      </w:r>
      <w:r>
        <w:t xml:space="preserve">hours for </w:t>
      </w:r>
      <w:r w:rsidR="009F5FF4">
        <w:t>2008 ozone NAAQS nonattainment</w:t>
      </w:r>
      <w:r>
        <w:t xml:space="preserve"> </w:t>
      </w:r>
      <w:r w:rsidR="00E1056D">
        <w:t>a</w:t>
      </w:r>
      <w:r>
        <w:t>reas.</w:t>
      </w:r>
      <w:r w:rsidR="00FA5F1B">
        <w:t xml:space="preserve"> </w:t>
      </w:r>
      <w:r>
        <w:t xml:space="preserve">These estimates do not reflect staff experience </w:t>
      </w:r>
      <w:r w:rsidR="000C4291">
        <w:t xml:space="preserve">or </w:t>
      </w:r>
      <w:r>
        <w:t>eco</w:t>
      </w:r>
      <w:r w:rsidR="00A41FB0">
        <w:t>nomies</w:t>
      </w:r>
      <w:r>
        <w:t xml:space="preserve"> of scale</w:t>
      </w:r>
      <w:r w:rsidR="00B33779">
        <w:t xml:space="preserve"> that could lower the overall cost for states</w:t>
      </w:r>
      <w:r>
        <w:t>.</w:t>
      </w:r>
      <w:r w:rsidR="00FA5F1B">
        <w:t xml:space="preserve"> </w:t>
      </w:r>
      <w:r>
        <w:t>The hourly rates are the result of estimated direct and indirect cost</w:t>
      </w:r>
      <w:r w:rsidR="00746F5A">
        <w:t>s</w:t>
      </w:r>
      <w:r>
        <w:t xml:space="preserve"> </w:t>
      </w:r>
      <w:r w:rsidR="00746F5A">
        <w:t>for labor</w:t>
      </w:r>
      <w:r>
        <w:t>.</w:t>
      </w:r>
      <w:r w:rsidR="00FA5F1B">
        <w:t xml:space="preserve"> </w:t>
      </w:r>
      <w:r>
        <w:t xml:space="preserve">The main source of the information is </w:t>
      </w:r>
      <w:r w:rsidR="004B51DA">
        <w:t xml:space="preserve">the federal Office of Personnel Management (OPM) general schedule 2017 pay tables at </w:t>
      </w:r>
      <w:r w:rsidR="004B51DA" w:rsidRPr="00275B3E">
        <w:rPr>
          <w:rStyle w:val="Hyperlink"/>
          <w:i/>
          <w:color w:val="auto"/>
          <w:u w:val="none"/>
        </w:rPr>
        <w:t xml:space="preserve">https://www.opm.gov/policy-data-oversight/pay-leave/salaries-wages/. </w:t>
      </w:r>
      <w:r w:rsidR="004B51DA" w:rsidRPr="00275B3E">
        <w:rPr>
          <w:rStyle w:val="Hyperlink"/>
          <w:color w:val="auto"/>
          <w:u w:val="none"/>
        </w:rPr>
        <w:t>T</w:t>
      </w:r>
      <w:r w:rsidR="004B51DA">
        <w:t>here are no estimated capital/start-up costs, or operating and maintenance costs associated with this ICR renewal.</w:t>
      </w:r>
    </w:p>
    <w:p w14:paraId="357D325D" w14:textId="77777777" w:rsidR="00275B3E" w:rsidRDefault="00275B3E" w:rsidP="00A377AC">
      <w:pPr>
        <w:ind w:firstLine="360"/>
      </w:pPr>
    </w:p>
    <w:p w14:paraId="0FCCA106" w14:textId="376B74AE" w:rsidR="00911BF1" w:rsidRDefault="00911BF1" w:rsidP="00A377AC">
      <w:pPr>
        <w:ind w:firstLine="360"/>
      </w:pPr>
      <w:r>
        <w:t xml:space="preserve">The estimated weighted direct </w:t>
      </w:r>
      <w:r w:rsidR="00746F5A">
        <w:t xml:space="preserve">hourly labor </w:t>
      </w:r>
      <w:r>
        <w:t>cost is $</w:t>
      </w:r>
      <w:r w:rsidRPr="001C36AA">
        <w:t>4</w:t>
      </w:r>
      <w:r w:rsidR="00D66B48">
        <w:t>3</w:t>
      </w:r>
      <w:r w:rsidRPr="001C36AA">
        <w:t>.</w:t>
      </w:r>
      <w:r w:rsidR="00AC64AD">
        <w:t>02</w:t>
      </w:r>
      <w:r>
        <w:t xml:space="preserve"> per hour</w:t>
      </w:r>
      <w:r w:rsidR="00112E35">
        <w:t xml:space="preserve"> in 2017 dollars</w:t>
      </w:r>
      <w:r>
        <w:t>. This results from a summation of the professional, managerial, and support staff components</w:t>
      </w:r>
      <w:r w:rsidR="00AC64AD">
        <w:t xml:space="preserve"> ($35.47+$4.60+$2.95)</w:t>
      </w:r>
      <w:r w:rsidR="000C4291">
        <w:t xml:space="preserve"> as explained more fully below</w:t>
      </w:r>
      <w:r>
        <w:t>.</w:t>
      </w:r>
    </w:p>
    <w:p w14:paraId="384A2F15" w14:textId="77777777" w:rsidR="00911BF1" w:rsidRDefault="00911BF1" w:rsidP="00A377AC">
      <w:pPr>
        <w:ind w:firstLine="360"/>
      </w:pPr>
    </w:p>
    <w:p w14:paraId="10FD128C" w14:textId="6EFCB6AD" w:rsidR="006D0802" w:rsidRDefault="006D0802" w:rsidP="00A377AC">
      <w:pPr>
        <w:numPr>
          <w:ilvl w:val="0"/>
          <w:numId w:val="22"/>
        </w:numPr>
        <w:tabs>
          <w:tab w:val="clear" w:pos="630"/>
          <w:tab w:val="num" w:pos="720"/>
        </w:tabs>
        <w:ind w:firstLine="360"/>
      </w:pPr>
      <w:r>
        <w:t>Hourly equivalent 20</w:t>
      </w:r>
      <w:r w:rsidR="003C7AFE">
        <w:t>17</w:t>
      </w:r>
      <w:r>
        <w:t xml:space="preserve"> </w:t>
      </w:r>
      <w:r w:rsidR="000C4291">
        <w:t>s</w:t>
      </w:r>
      <w:r>
        <w:t xml:space="preserve">alary of </w:t>
      </w:r>
      <w:r w:rsidR="000C4291">
        <w:t>p</w:t>
      </w:r>
      <w:r>
        <w:t xml:space="preserve">ermanent </w:t>
      </w:r>
      <w:r w:rsidR="000C4291">
        <w:t>p</w:t>
      </w:r>
      <w:r>
        <w:t xml:space="preserve">rofessional </w:t>
      </w:r>
      <w:r w:rsidR="000C4291">
        <w:t>s</w:t>
      </w:r>
      <w:r>
        <w:t xml:space="preserve">taff at </w:t>
      </w:r>
      <w:r w:rsidR="00B33779">
        <w:t xml:space="preserve">federal scale </w:t>
      </w:r>
      <w:r>
        <w:t>GS</w:t>
      </w:r>
      <w:r w:rsidR="006C422E">
        <w:t>-</w:t>
      </w:r>
      <w:r>
        <w:t xml:space="preserve">11, Step 3 is </w:t>
      </w:r>
      <w:r w:rsidRPr="00A0652B">
        <w:t>$</w:t>
      </w:r>
      <w:r>
        <w:t>3</w:t>
      </w:r>
      <w:r w:rsidR="003C7AFE">
        <w:t>5</w:t>
      </w:r>
      <w:r>
        <w:t>.</w:t>
      </w:r>
      <w:r w:rsidR="003C7AFE">
        <w:t>47</w:t>
      </w:r>
      <w:r w:rsidRPr="00A0652B">
        <w:t>.</w:t>
      </w:r>
      <w:r w:rsidR="00FA5F1B">
        <w:t xml:space="preserve"> </w:t>
      </w:r>
      <w:r>
        <w:t>This is the average of hourly equivalent rates for the San Francisco, CA</w:t>
      </w:r>
      <w:r w:rsidR="00AC64AD">
        <w:t xml:space="preserve"> ($36.95)</w:t>
      </w:r>
      <w:r w:rsidR="006C422E">
        <w:t>,</w:t>
      </w:r>
      <w:r>
        <w:t xml:space="preserve"> and Washington, D.C.</w:t>
      </w:r>
      <w:r w:rsidR="00AC64AD">
        <w:t xml:space="preserve"> ($33.99)</w:t>
      </w:r>
      <w:r w:rsidR="006C422E">
        <w:t>,</w:t>
      </w:r>
      <w:r>
        <w:t xml:space="preserve"> areas.</w:t>
      </w:r>
    </w:p>
    <w:p w14:paraId="57BD3723" w14:textId="49F0817F" w:rsidR="006D0802" w:rsidRDefault="006D0802" w:rsidP="00A377AC">
      <w:pPr>
        <w:numPr>
          <w:ilvl w:val="0"/>
          <w:numId w:val="22"/>
        </w:numPr>
        <w:ind w:firstLine="360"/>
      </w:pPr>
      <w:r>
        <w:t>To account for permanent managerial staff</w:t>
      </w:r>
      <w:r w:rsidR="00B33779">
        <w:t>, we</w:t>
      </w:r>
      <w:r w:rsidR="003571EF">
        <w:t xml:space="preserve"> apply </w:t>
      </w:r>
      <w:r w:rsidR="00B33779">
        <w:t>a typical federal target</w:t>
      </w:r>
      <w:r w:rsidR="003571EF">
        <w:t xml:space="preserve"> of 11 staff to 1 supervisor</w:t>
      </w:r>
      <w:r w:rsidR="00B33779">
        <w:t>.</w:t>
      </w:r>
      <w:r>
        <w:t xml:space="preserve"> </w:t>
      </w:r>
      <w:r w:rsidR="00B33779">
        <w:t xml:space="preserve">Thus, </w:t>
      </w:r>
      <w:r>
        <w:t>1/11</w:t>
      </w:r>
      <w:r w:rsidR="00AC64AD" w:rsidRPr="00AC64AD">
        <w:rPr>
          <w:vertAlign w:val="superscript"/>
        </w:rPr>
        <w:t>th</w:t>
      </w:r>
      <w:r>
        <w:t xml:space="preserve"> or 9</w:t>
      </w:r>
      <w:r w:rsidR="00AC64AD">
        <w:t>.1</w:t>
      </w:r>
      <w:r>
        <w:t xml:space="preserve">% of the hourly rate for </w:t>
      </w:r>
      <w:r w:rsidR="00B33779">
        <w:t xml:space="preserve">federal scale </w:t>
      </w:r>
      <w:r>
        <w:t>GS</w:t>
      </w:r>
      <w:r w:rsidR="006C422E">
        <w:t>-</w:t>
      </w:r>
      <w:r>
        <w:t xml:space="preserve">13 </w:t>
      </w:r>
      <w:r w:rsidR="00B33779">
        <w:t xml:space="preserve">supervisor </w:t>
      </w:r>
      <w:r>
        <w:t>is added to the professional staff hourly rates.</w:t>
      </w:r>
      <w:r w:rsidR="00FA5F1B">
        <w:t xml:space="preserve"> </w:t>
      </w:r>
      <w:r>
        <w:t>The average hourly equivalent rate for GS-13</w:t>
      </w:r>
      <w:r w:rsidR="00B33779">
        <w:t>, Step 3</w:t>
      </w:r>
      <w:r>
        <w:t xml:space="preserve"> using rates for San Francisco, CA</w:t>
      </w:r>
      <w:r w:rsidR="00AC64AD">
        <w:t xml:space="preserve"> ($52.67)</w:t>
      </w:r>
      <w:r w:rsidR="006C422E">
        <w:t>,</w:t>
      </w:r>
      <w:r>
        <w:t xml:space="preserve"> and Washington, D.C.</w:t>
      </w:r>
      <w:r w:rsidR="00AC64AD">
        <w:t xml:space="preserve"> ($48.45)</w:t>
      </w:r>
      <w:r w:rsidR="006C422E">
        <w:t>,</w:t>
      </w:r>
      <w:r>
        <w:t xml:space="preserve"> is $</w:t>
      </w:r>
      <w:r w:rsidR="003C7AFE">
        <w:t>50</w:t>
      </w:r>
      <w:r>
        <w:t>.5</w:t>
      </w:r>
      <w:r w:rsidR="003C7AFE">
        <w:t>6</w:t>
      </w:r>
      <w:r>
        <w:t>.</w:t>
      </w:r>
      <w:r w:rsidR="00FA5F1B">
        <w:t xml:space="preserve"> </w:t>
      </w:r>
      <w:r>
        <w:t xml:space="preserve">Nine </w:t>
      </w:r>
      <w:r w:rsidR="00AC64AD">
        <w:t>and 1/10</w:t>
      </w:r>
      <w:r w:rsidR="00AC64AD" w:rsidRPr="00AC64AD">
        <w:rPr>
          <w:vertAlign w:val="superscript"/>
        </w:rPr>
        <w:t>th</w:t>
      </w:r>
      <w:r w:rsidR="00AC64AD">
        <w:t xml:space="preserve"> </w:t>
      </w:r>
      <w:r>
        <w:t xml:space="preserve">percent of that </w:t>
      </w:r>
      <w:r w:rsidR="006C422E">
        <w:t xml:space="preserve">number </w:t>
      </w:r>
      <w:r>
        <w:t>is $4.</w:t>
      </w:r>
      <w:r w:rsidR="00AC64AD">
        <w:t>60</w:t>
      </w:r>
      <w:r w:rsidRPr="00A0652B">
        <w:t>.</w:t>
      </w:r>
    </w:p>
    <w:p w14:paraId="10F90EFD" w14:textId="0804F1C6" w:rsidR="003C7AFE" w:rsidRDefault="006D0802" w:rsidP="00A377AC">
      <w:pPr>
        <w:pStyle w:val="ListParagraph"/>
        <w:numPr>
          <w:ilvl w:val="0"/>
          <w:numId w:val="22"/>
        </w:numPr>
        <w:ind w:firstLine="360"/>
      </w:pPr>
      <w:r>
        <w:t>To account for permanent support staff</w:t>
      </w:r>
      <w:r w:rsidR="00AE6B7C">
        <w:t xml:space="preserve">, </w:t>
      </w:r>
      <w:r w:rsidR="00B33779">
        <w:t>we apply</w:t>
      </w:r>
      <w:r w:rsidR="00AE6B7C">
        <w:t xml:space="preserve"> a </w:t>
      </w:r>
      <w:r w:rsidR="00B33779">
        <w:t xml:space="preserve">typical federal target </w:t>
      </w:r>
      <w:r w:rsidR="00AE6B7C">
        <w:t xml:space="preserve">ratio of 1 administrative support </w:t>
      </w:r>
      <w:r w:rsidR="00B33779">
        <w:t xml:space="preserve">staff </w:t>
      </w:r>
      <w:r w:rsidR="00AE6B7C">
        <w:t xml:space="preserve">to </w:t>
      </w:r>
      <w:r w:rsidR="000830C4">
        <w:t>8</w:t>
      </w:r>
      <w:r w:rsidR="00AE6B7C">
        <w:t xml:space="preserve"> professional employees,</w:t>
      </w:r>
      <w:r>
        <w:t xml:space="preserve"> at </w:t>
      </w:r>
      <w:r w:rsidR="00B33779">
        <w:t xml:space="preserve">federal scale </w:t>
      </w:r>
      <w:r>
        <w:t>GS-6, Step 6</w:t>
      </w:r>
      <w:r w:rsidR="00B33779">
        <w:t>. Thus,</w:t>
      </w:r>
      <w:r>
        <w:t xml:space="preserve"> 1/8</w:t>
      </w:r>
      <w:r w:rsidR="00AC64AD" w:rsidRPr="00AC64AD">
        <w:rPr>
          <w:vertAlign w:val="superscript"/>
        </w:rPr>
        <w:t>th</w:t>
      </w:r>
      <w:r>
        <w:t xml:space="preserve"> or </w:t>
      </w:r>
      <w:r w:rsidR="00AC64AD">
        <w:t>12.5</w:t>
      </w:r>
      <w:r>
        <w:t>% of the hourly rate is added to the professional staff hourly rates.</w:t>
      </w:r>
      <w:r w:rsidR="00FA5F1B">
        <w:t xml:space="preserve"> </w:t>
      </w:r>
      <w:r>
        <w:t xml:space="preserve">The average hourly equivalent rate for </w:t>
      </w:r>
      <w:r w:rsidR="00B33779">
        <w:t xml:space="preserve">federal scale </w:t>
      </w:r>
      <w:r>
        <w:t>GS-6, Step 6 using rates for San Francisco, CA</w:t>
      </w:r>
      <w:r w:rsidR="00AC64AD">
        <w:t xml:space="preserve"> ($24.58)</w:t>
      </w:r>
      <w:r w:rsidR="006C422E">
        <w:t>,</w:t>
      </w:r>
      <w:r>
        <w:t xml:space="preserve"> and Washington, D.C.</w:t>
      </w:r>
      <w:r w:rsidR="00AC64AD">
        <w:t xml:space="preserve"> ($22.61)</w:t>
      </w:r>
      <w:r w:rsidR="006C422E">
        <w:t>,</w:t>
      </w:r>
      <w:r>
        <w:t xml:space="preserve"> is $2</w:t>
      </w:r>
      <w:r w:rsidR="003C7AFE">
        <w:t>3</w:t>
      </w:r>
      <w:r>
        <w:t>.</w:t>
      </w:r>
      <w:r w:rsidR="003C7AFE">
        <w:t>60</w:t>
      </w:r>
      <w:r>
        <w:t>.</w:t>
      </w:r>
      <w:r w:rsidR="00FA5F1B">
        <w:t xml:space="preserve"> </w:t>
      </w:r>
      <w:r w:rsidR="00AC64AD">
        <w:t>Twelve and 5/10</w:t>
      </w:r>
      <w:r w:rsidR="00AC64AD" w:rsidRPr="006B5C81">
        <w:rPr>
          <w:vertAlign w:val="superscript"/>
        </w:rPr>
        <w:t>th</w:t>
      </w:r>
      <w:r w:rsidR="00AC64AD">
        <w:t xml:space="preserve"> </w:t>
      </w:r>
      <w:r>
        <w:t xml:space="preserve">percent of that </w:t>
      </w:r>
      <w:r w:rsidR="006C422E">
        <w:t xml:space="preserve">number </w:t>
      </w:r>
      <w:r>
        <w:t>is $</w:t>
      </w:r>
      <w:r w:rsidR="00AC64AD">
        <w:t>2.95.</w:t>
      </w:r>
    </w:p>
    <w:p w14:paraId="3DC0A826" w14:textId="77777777" w:rsidR="000642B2" w:rsidRDefault="000642B2" w:rsidP="00A377AC">
      <w:pPr>
        <w:ind w:left="360" w:firstLine="360"/>
      </w:pPr>
    </w:p>
    <w:p w14:paraId="22FF820A" w14:textId="02F93403" w:rsidR="006D0802" w:rsidRDefault="004523F8" w:rsidP="00A377AC">
      <w:pPr>
        <w:ind w:left="360" w:firstLine="360"/>
      </w:pPr>
      <w:r>
        <w:t xml:space="preserve">Following EPA guidance for developing estimates for </w:t>
      </w:r>
      <w:r w:rsidR="006D0802">
        <w:t xml:space="preserve">indirect </w:t>
      </w:r>
      <w:r w:rsidR="00746F5A">
        <w:t xml:space="preserve">hourly labor </w:t>
      </w:r>
      <w:r w:rsidR="006D0802">
        <w:t>cost</w:t>
      </w:r>
      <w:r>
        <w:t>s yields</w:t>
      </w:r>
      <w:r w:rsidR="006D0802">
        <w:t xml:space="preserve"> </w:t>
      </w:r>
      <w:r>
        <w:t>an addition of 58 percent, or</w:t>
      </w:r>
      <w:r w:rsidR="006D0802">
        <w:t xml:space="preserve"> $</w:t>
      </w:r>
      <w:r w:rsidR="00E004F2">
        <w:t>24.95</w:t>
      </w:r>
      <w:r w:rsidR="006D0802">
        <w:t>. This amount is the sum of the following:</w:t>
      </w:r>
    </w:p>
    <w:p w14:paraId="3F2C7101" w14:textId="77777777" w:rsidR="006D0802" w:rsidRDefault="006D0802" w:rsidP="00A377AC">
      <w:pPr>
        <w:ind w:left="360" w:firstLine="360"/>
      </w:pPr>
    </w:p>
    <w:p w14:paraId="26F8161F" w14:textId="0F84BCA9" w:rsidR="006D0802" w:rsidRDefault="006D0802" w:rsidP="000A1FD1">
      <w:pPr>
        <w:numPr>
          <w:ilvl w:val="0"/>
          <w:numId w:val="23"/>
        </w:numPr>
        <w:tabs>
          <w:tab w:val="clear" w:pos="1080"/>
        </w:tabs>
        <w:ind w:hanging="90"/>
      </w:pPr>
      <w:r>
        <w:t xml:space="preserve">Benefits at 16% of the weighted direct hourly equivalent </w:t>
      </w:r>
      <w:r w:rsidR="00746F5A">
        <w:t xml:space="preserve">labor </w:t>
      </w:r>
      <w:r>
        <w:t>cost</w:t>
      </w:r>
      <w:r w:rsidR="006C422E">
        <w:t>,</w:t>
      </w:r>
      <w:r>
        <w:t xml:space="preserve"> or $</w:t>
      </w:r>
      <w:r w:rsidR="00AC64AD">
        <w:t>6.88</w:t>
      </w:r>
      <w:r>
        <w:t>.</w:t>
      </w:r>
    </w:p>
    <w:p w14:paraId="1675662D" w14:textId="00D828CB" w:rsidR="006D0802" w:rsidRDefault="006D0802" w:rsidP="000A1FD1">
      <w:pPr>
        <w:numPr>
          <w:ilvl w:val="0"/>
          <w:numId w:val="23"/>
        </w:numPr>
        <w:tabs>
          <w:tab w:val="clear" w:pos="1080"/>
        </w:tabs>
        <w:ind w:hanging="90"/>
      </w:pPr>
      <w:r>
        <w:t xml:space="preserve">Sick and annual leave at 10% of the weighted direct hourly equivalent </w:t>
      </w:r>
      <w:r w:rsidR="00746F5A">
        <w:t xml:space="preserve">labor </w:t>
      </w:r>
      <w:r>
        <w:t>cost</w:t>
      </w:r>
      <w:r w:rsidR="006C422E">
        <w:t>,</w:t>
      </w:r>
      <w:r>
        <w:t xml:space="preserve"> or $4.</w:t>
      </w:r>
      <w:r w:rsidR="00AC64AD">
        <w:t>30</w:t>
      </w:r>
      <w:r>
        <w:t>.</w:t>
      </w:r>
    </w:p>
    <w:p w14:paraId="30DD87B1" w14:textId="2B27C368" w:rsidR="006D0802" w:rsidRDefault="006D0802" w:rsidP="000A1FD1">
      <w:pPr>
        <w:numPr>
          <w:ilvl w:val="0"/>
          <w:numId w:val="23"/>
        </w:numPr>
        <w:tabs>
          <w:tab w:val="clear" w:pos="1080"/>
        </w:tabs>
        <w:ind w:hanging="90"/>
      </w:pPr>
      <w:r>
        <w:t xml:space="preserve">General overhead at 32% of the weighed direct hourly equivalent </w:t>
      </w:r>
      <w:r w:rsidR="00746F5A">
        <w:t xml:space="preserve">labor </w:t>
      </w:r>
      <w:r>
        <w:t>cost</w:t>
      </w:r>
      <w:r w:rsidR="006C422E">
        <w:t>,</w:t>
      </w:r>
      <w:r>
        <w:t xml:space="preserve"> or $</w:t>
      </w:r>
      <w:r w:rsidR="00AC64AD">
        <w:t>13.77</w:t>
      </w:r>
      <w:r>
        <w:t>.</w:t>
      </w:r>
    </w:p>
    <w:p w14:paraId="3DAB65BF" w14:textId="77777777" w:rsidR="006D0802" w:rsidRDefault="006D0802" w:rsidP="00A377AC">
      <w:pPr>
        <w:ind w:left="360" w:firstLine="360"/>
      </w:pPr>
      <w:r>
        <w:tab/>
      </w:r>
    </w:p>
    <w:p w14:paraId="736B1F0F" w14:textId="3C501E48" w:rsidR="006D0802" w:rsidRDefault="004523F8" w:rsidP="00A377AC">
      <w:pPr>
        <w:ind w:left="360" w:firstLine="360"/>
      </w:pPr>
      <w:r>
        <w:t>Accordingly, t</w:t>
      </w:r>
      <w:r w:rsidR="006D0802">
        <w:t xml:space="preserve">he estimated total weighted direct and indirect hourly equivalent </w:t>
      </w:r>
      <w:r w:rsidR="00746F5A">
        <w:t xml:space="preserve">labor </w:t>
      </w:r>
      <w:r w:rsidR="006D0802">
        <w:t>cost is $</w:t>
      </w:r>
      <w:r w:rsidR="00E004F2">
        <w:t>67.97</w:t>
      </w:r>
      <w:r w:rsidR="006D0802">
        <w:t xml:space="preserve">. The estimated total incremental respondent burden for </w:t>
      </w:r>
      <w:r w:rsidR="006C422E">
        <w:t>meeting 2008 ozone NAAQS requirements</w:t>
      </w:r>
      <w:r w:rsidR="006D0802">
        <w:t xml:space="preserve"> </w:t>
      </w:r>
      <w:r w:rsidR="00E004F2">
        <w:t xml:space="preserve">during the ICR renewal period </w:t>
      </w:r>
      <w:r w:rsidR="006D0802">
        <w:t xml:space="preserve">is provided in Table </w:t>
      </w:r>
      <w:r w:rsidR="00184DED">
        <w:t>6.</w:t>
      </w:r>
      <w:r w:rsidR="006C4C93">
        <w:t>3</w:t>
      </w:r>
      <w:r w:rsidR="006D0802">
        <w:t>.</w:t>
      </w:r>
    </w:p>
    <w:p w14:paraId="6F937802" w14:textId="448F72BC" w:rsidR="006D0802" w:rsidRDefault="006D0802" w:rsidP="00A377AC">
      <w:pPr>
        <w:ind w:left="720" w:firstLine="360"/>
      </w:pPr>
    </w:p>
    <w:p w14:paraId="4E317FDF" w14:textId="77777777" w:rsidR="00275B3E" w:rsidRDefault="00275B3E" w:rsidP="00A377AC">
      <w:pPr>
        <w:ind w:left="720" w:firstLine="360"/>
      </w:pPr>
    </w:p>
    <w:p w14:paraId="076FE4C8" w14:textId="3384EC38" w:rsidR="006D0802" w:rsidRDefault="006D0802" w:rsidP="00A377AC">
      <w:pPr>
        <w:keepLines/>
        <w:ind w:firstLine="360"/>
        <w:rPr>
          <w:b/>
          <w:sz w:val="20"/>
          <w:szCs w:val="20"/>
        </w:rPr>
      </w:pPr>
      <w:r>
        <w:rPr>
          <w:b/>
          <w:sz w:val="20"/>
          <w:szCs w:val="20"/>
        </w:rPr>
        <w:t xml:space="preserve">Table </w:t>
      </w:r>
      <w:r w:rsidR="00890EB3">
        <w:rPr>
          <w:b/>
          <w:sz w:val="20"/>
          <w:szCs w:val="20"/>
        </w:rPr>
        <w:t>6.</w:t>
      </w:r>
      <w:r w:rsidR="006C4C93">
        <w:rPr>
          <w:b/>
          <w:sz w:val="20"/>
          <w:szCs w:val="20"/>
        </w:rPr>
        <w:t>3</w:t>
      </w:r>
      <w:r>
        <w:rPr>
          <w:b/>
          <w:sz w:val="20"/>
          <w:szCs w:val="20"/>
        </w:rPr>
        <w:t>.</w:t>
      </w:r>
      <w:r w:rsidR="00821502">
        <w:rPr>
          <w:b/>
          <w:sz w:val="20"/>
          <w:szCs w:val="20"/>
        </w:rPr>
        <w:t xml:space="preserve"> </w:t>
      </w:r>
      <w:r>
        <w:rPr>
          <w:b/>
          <w:sz w:val="20"/>
          <w:szCs w:val="20"/>
        </w:rPr>
        <w:t xml:space="preserve">Estimated Total Incremental Cost and Hour Burden for the States (Respondents) to Fulfill the </w:t>
      </w:r>
      <w:r w:rsidR="00E227A3">
        <w:rPr>
          <w:b/>
          <w:sz w:val="20"/>
          <w:szCs w:val="20"/>
        </w:rPr>
        <w:t xml:space="preserve">Redesignation Request, </w:t>
      </w:r>
      <w:r>
        <w:rPr>
          <w:b/>
          <w:sz w:val="20"/>
          <w:szCs w:val="20"/>
        </w:rPr>
        <w:t xml:space="preserve">Attainment </w:t>
      </w:r>
      <w:r w:rsidR="00E004F2">
        <w:rPr>
          <w:b/>
          <w:sz w:val="20"/>
          <w:szCs w:val="20"/>
        </w:rPr>
        <w:t>Plan/</w:t>
      </w:r>
      <w:r>
        <w:rPr>
          <w:b/>
          <w:sz w:val="20"/>
          <w:szCs w:val="20"/>
        </w:rPr>
        <w:t>Demonstration</w:t>
      </w:r>
      <w:r w:rsidR="00E004F2">
        <w:rPr>
          <w:b/>
          <w:sz w:val="20"/>
          <w:szCs w:val="20"/>
        </w:rPr>
        <w:t xml:space="preserve"> SIP</w:t>
      </w:r>
      <w:r>
        <w:rPr>
          <w:b/>
          <w:sz w:val="20"/>
          <w:szCs w:val="20"/>
        </w:rPr>
        <w:t>, RACT SIP, and RFP SIP Submittal Requirements.</w:t>
      </w:r>
    </w:p>
    <w:p w14:paraId="6AA89077" w14:textId="77777777" w:rsidR="006D0802" w:rsidRDefault="006D0802" w:rsidP="00A377AC">
      <w:pPr>
        <w:keepLines/>
        <w:ind w:left="720" w:firstLine="360"/>
      </w:pPr>
    </w:p>
    <w:tbl>
      <w:tblPr>
        <w:tblW w:w="810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2340"/>
        <w:gridCol w:w="2700"/>
        <w:gridCol w:w="1620"/>
      </w:tblGrid>
      <w:tr w:rsidR="00893E51" w:rsidRPr="00FC625F" w14:paraId="77B8CD3C" w14:textId="77777777" w:rsidTr="006C4C93">
        <w:trPr>
          <w:trHeight w:val="467"/>
        </w:trPr>
        <w:tc>
          <w:tcPr>
            <w:tcW w:w="1443" w:type="dxa"/>
            <w:vAlign w:val="center"/>
          </w:tcPr>
          <w:p w14:paraId="5FBB0DD4" w14:textId="3032485A" w:rsidR="00893E51" w:rsidRPr="00813978" w:rsidRDefault="00893E51" w:rsidP="00A377AC">
            <w:pPr>
              <w:keepLines/>
              <w:ind w:firstLine="360"/>
              <w:rPr>
                <w:b/>
                <w:sz w:val="20"/>
                <w:szCs w:val="20"/>
              </w:rPr>
            </w:pPr>
          </w:p>
        </w:tc>
        <w:tc>
          <w:tcPr>
            <w:tcW w:w="2340" w:type="dxa"/>
            <w:vAlign w:val="center"/>
          </w:tcPr>
          <w:p w14:paraId="260E6DBC" w14:textId="7CE11234" w:rsidR="00893E51" w:rsidRPr="00813978" w:rsidRDefault="00893E51" w:rsidP="00A377AC">
            <w:pPr>
              <w:keepLines/>
              <w:ind w:firstLine="360"/>
              <w:rPr>
                <w:b/>
                <w:sz w:val="20"/>
                <w:szCs w:val="20"/>
              </w:rPr>
            </w:pPr>
            <w:r w:rsidRPr="00813978">
              <w:rPr>
                <w:b/>
                <w:sz w:val="20"/>
                <w:szCs w:val="20"/>
              </w:rPr>
              <w:t>Estimated Burden Hours</w:t>
            </w:r>
          </w:p>
        </w:tc>
        <w:tc>
          <w:tcPr>
            <w:tcW w:w="2700" w:type="dxa"/>
            <w:vAlign w:val="center"/>
          </w:tcPr>
          <w:p w14:paraId="12949878" w14:textId="1F1464A2" w:rsidR="00893E51" w:rsidRPr="00813978" w:rsidRDefault="00893E51" w:rsidP="00A377AC">
            <w:pPr>
              <w:keepLines/>
              <w:ind w:firstLine="360"/>
              <w:rPr>
                <w:b/>
                <w:sz w:val="20"/>
                <w:szCs w:val="20"/>
              </w:rPr>
            </w:pPr>
            <w:r w:rsidRPr="00813978">
              <w:rPr>
                <w:b/>
                <w:sz w:val="20"/>
                <w:szCs w:val="20"/>
              </w:rPr>
              <w:t>Estimated Weighted Hourly Labor Cost</w:t>
            </w:r>
          </w:p>
        </w:tc>
        <w:tc>
          <w:tcPr>
            <w:tcW w:w="1620" w:type="dxa"/>
            <w:vAlign w:val="center"/>
          </w:tcPr>
          <w:p w14:paraId="69A9FEE5" w14:textId="7E19FFAD" w:rsidR="00893E51" w:rsidRPr="00813978" w:rsidRDefault="0072651E" w:rsidP="00A377AC">
            <w:pPr>
              <w:keepLines/>
              <w:ind w:firstLine="360"/>
              <w:rPr>
                <w:b/>
                <w:sz w:val="20"/>
                <w:szCs w:val="20"/>
              </w:rPr>
            </w:pPr>
            <w:r>
              <w:rPr>
                <w:b/>
                <w:sz w:val="20"/>
                <w:szCs w:val="20"/>
              </w:rPr>
              <w:t xml:space="preserve">Total Estimated </w:t>
            </w:r>
            <w:r w:rsidR="00893E51" w:rsidRPr="00813978">
              <w:rPr>
                <w:b/>
                <w:sz w:val="20"/>
                <w:szCs w:val="20"/>
              </w:rPr>
              <w:t>Cost</w:t>
            </w:r>
            <w:r>
              <w:rPr>
                <w:b/>
                <w:sz w:val="20"/>
                <w:szCs w:val="20"/>
              </w:rPr>
              <w:t xml:space="preserve"> (in millions)</w:t>
            </w:r>
          </w:p>
        </w:tc>
      </w:tr>
      <w:tr w:rsidR="00893E51" w:rsidRPr="00011F7B" w14:paraId="10C56932" w14:textId="77777777" w:rsidTr="006C4C93">
        <w:trPr>
          <w:trHeight w:val="512"/>
        </w:trPr>
        <w:tc>
          <w:tcPr>
            <w:tcW w:w="1443" w:type="dxa"/>
            <w:vAlign w:val="center"/>
          </w:tcPr>
          <w:p w14:paraId="07A66F6F" w14:textId="77777777" w:rsidR="00893E51" w:rsidRPr="00813978" w:rsidRDefault="00893E51" w:rsidP="00A377AC">
            <w:pPr>
              <w:ind w:firstLine="360"/>
              <w:rPr>
                <w:b/>
                <w:sz w:val="20"/>
                <w:szCs w:val="20"/>
              </w:rPr>
            </w:pPr>
            <w:r w:rsidRPr="00813978">
              <w:rPr>
                <w:b/>
                <w:sz w:val="20"/>
                <w:szCs w:val="20"/>
              </w:rPr>
              <w:t>Total</w:t>
            </w:r>
          </w:p>
        </w:tc>
        <w:tc>
          <w:tcPr>
            <w:tcW w:w="2340" w:type="dxa"/>
            <w:vAlign w:val="center"/>
          </w:tcPr>
          <w:p w14:paraId="170DB9E3" w14:textId="6F7060C5" w:rsidR="00893E51" w:rsidRPr="00813978" w:rsidRDefault="00B302D2" w:rsidP="00A377AC">
            <w:pPr>
              <w:ind w:firstLine="360"/>
              <w:rPr>
                <w:sz w:val="20"/>
                <w:szCs w:val="20"/>
                <w:highlight w:val="yellow"/>
              </w:rPr>
            </w:pPr>
            <w:r>
              <w:rPr>
                <w:sz w:val="20"/>
                <w:szCs w:val="20"/>
              </w:rPr>
              <w:t>10</w:t>
            </w:r>
            <w:r w:rsidR="00C94BC0" w:rsidRPr="00813978">
              <w:rPr>
                <w:sz w:val="20"/>
                <w:szCs w:val="20"/>
              </w:rPr>
              <w:t>2</w:t>
            </w:r>
            <w:r w:rsidR="0009050F" w:rsidRPr="00813978">
              <w:rPr>
                <w:sz w:val="20"/>
                <w:szCs w:val="20"/>
              </w:rPr>
              <w:t>,</w:t>
            </w:r>
            <w:r w:rsidR="00595893" w:rsidRPr="00813978">
              <w:rPr>
                <w:sz w:val="20"/>
                <w:szCs w:val="20"/>
              </w:rPr>
              <w:t>0</w:t>
            </w:r>
            <w:r w:rsidR="00893E51" w:rsidRPr="00813978">
              <w:rPr>
                <w:sz w:val="20"/>
                <w:szCs w:val="20"/>
              </w:rPr>
              <w:t>00</w:t>
            </w:r>
          </w:p>
        </w:tc>
        <w:tc>
          <w:tcPr>
            <w:tcW w:w="2700" w:type="dxa"/>
            <w:vAlign w:val="center"/>
          </w:tcPr>
          <w:p w14:paraId="04A0F4AA" w14:textId="183BC452" w:rsidR="00893E51" w:rsidRPr="00813978" w:rsidRDefault="00893E51" w:rsidP="00A377AC">
            <w:pPr>
              <w:ind w:firstLine="360"/>
              <w:rPr>
                <w:sz w:val="20"/>
                <w:szCs w:val="20"/>
                <w:highlight w:val="yellow"/>
              </w:rPr>
            </w:pPr>
            <w:r w:rsidRPr="00813978">
              <w:rPr>
                <w:sz w:val="20"/>
                <w:szCs w:val="20"/>
              </w:rPr>
              <w:t>$67.97</w:t>
            </w:r>
          </w:p>
        </w:tc>
        <w:tc>
          <w:tcPr>
            <w:tcW w:w="1620" w:type="dxa"/>
            <w:vAlign w:val="center"/>
          </w:tcPr>
          <w:p w14:paraId="2DD6BDE7" w14:textId="115BB70D" w:rsidR="00893E51" w:rsidRPr="00813978" w:rsidRDefault="00893E51" w:rsidP="00A377AC">
            <w:pPr>
              <w:ind w:firstLine="360"/>
              <w:rPr>
                <w:sz w:val="20"/>
                <w:szCs w:val="20"/>
                <w:highlight w:val="yellow"/>
              </w:rPr>
            </w:pPr>
            <w:r w:rsidRPr="00813978">
              <w:rPr>
                <w:sz w:val="20"/>
                <w:szCs w:val="20"/>
              </w:rPr>
              <w:t>$</w:t>
            </w:r>
            <w:r w:rsidR="00B302D2">
              <w:rPr>
                <w:sz w:val="20"/>
                <w:szCs w:val="20"/>
              </w:rPr>
              <w:t>6.9</w:t>
            </w:r>
          </w:p>
        </w:tc>
      </w:tr>
      <w:tr w:rsidR="00893E51" w:rsidRPr="00011F7B" w14:paraId="6C8C918B" w14:textId="77777777" w:rsidTr="006C4C93">
        <w:trPr>
          <w:trHeight w:val="512"/>
        </w:trPr>
        <w:tc>
          <w:tcPr>
            <w:tcW w:w="1443" w:type="dxa"/>
            <w:vAlign w:val="center"/>
          </w:tcPr>
          <w:p w14:paraId="72A76FBB" w14:textId="21BB3E0C" w:rsidR="00893E51" w:rsidRPr="00813978" w:rsidRDefault="00893E51" w:rsidP="00A377AC">
            <w:pPr>
              <w:ind w:firstLine="360"/>
              <w:rPr>
                <w:b/>
                <w:sz w:val="20"/>
                <w:szCs w:val="20"/>
              </w:rPr>
            </w:pPr>
            <w:r w:rsidRPr="00813978">
              <w:rPr>
                <w:b/>
                <w:sz w:val="20"/>
                <w:szCs w:val="20"/>
              </w:rPr>
              <w:t>Annual</w:t>
            </w:r>
          </w:p>
        </w:tc>
        <w:tc>
          <w:tcPr>
            <w:tcW w:w="2340" w:type="dxa"/>
            <w:vAlign w:val="center"/>
          </w:tcPr>
          <w:p w14:paraId="1C764342" w14:textId="2C4304E7" w:rsidR="00893E51" w:rsidRPr="00813978" w:rsidDel="00D95EB1" w:rsidRDefault="00B302D2" w:rsidP="00A377AC">
            <w:pPr>
              <w:ind w:firstLine="360"/>
              <w:rPr>
                <w:sz w:val="20"/>
                <w:szCs w:val="20"/>
              </w:rPr>
            </w:pPr>
            <w:r>
              <w:rPr>
                <w:sz w:val="20"/>
                <w:szCs w:val="20"/>
              </w:rPr>
              <w:t>30</w:t>
            </w:r>
            <w:r w:rsidR="00C94BC0" w:rsidRPr="00813978">
              <w:rPr>
                <w:sz w:val="20"/>
                <w:szCs w:val="20"/>
              </w:rPr>
              <w:t>,</w:t>
            </w:r>
            <w:r>
              <w:rPr>
                <w:sz w:val="20"/>
                <w:szCs w:val="20"/>
              </w:rPr>
              <w:t>480</w:t>
            </w:r>
            <w:r w:rsidR="00893E51" w:rsidRPr="00813978">
              <w:rPr>
                <w:sz w:val="20"/>
                <w:szCs w:val="20"/>
              </w:rPr>
              <w:t xml:space="preserve"> hours</w:t>
            </w:r>
          </w:p>
        </w:tc>
        <w:tc>
          <w:tcPr>
            <w:tcW w:w="2700" w:type="dxa"/>
            <w:vAlign w:val="center"/>
          </w:tcPr>
          <w:p w14:paraId="7FFF0B39" w14:textId="6EB4319E" w:rsidR="00893E51" w:rsidRPr="00813978" w:rsidDel="00D95EB1" w:rsidRDefault="00E227A3" w:rsidP="00A377AC">
            <w:pPr>
              <w:ind w:firstLine="360"/>
              <w:rPr>
                <w:sz w:val="20"/>
                <w:szCs w:val="20"/>
              </w:rPr>
            </w:pPr>
            <w:r>
              <w:rPr>
                <w:sz w:val="20"/>
                <w:szCs w:val="20"/>
              </w:rPr>
              <w:t>$67.97</w:t>
            </w:r>
          </w:p>
        </w:tc>
        <w:tc>
          <w:tcPr>
            <w:tcW w:w="1620" w:type="dxa"/>
            <w:vAlign w:val="center"/>
          </w:tcPr>
          <w:p w14:paraId="765E7826" w14:textId="150592CA" w:rsidR="00893E51" w:rsidRPr="00813978" w:rsidRDefault="00893E51" w:rsidP="00A377AC">
            <w:pPr>
              <w:ind w:firstLine="360"/>
              <w:rPr>
                <w:sz w:val="20"/>
                <w:szCs w:val="20"/>
              </w:rPr>
            </w:pPr>
            <w:r w:rsidRPr="00813978">
              <w:rPr>
                <w:sz w:val="20"/>
                <w:szCs w:val="20"/>
              </w:rPr>
              <w:t>$</w:t>
            </w:r>
            <w:r w:rsidR="00B302D2">
              <w:rPr>
                <w:sz w:val="20"/>
                <w:szCs w:val="20"/>
              </w:rPr>
              <w:t>2.0</w:t>
            </w:r>
          </w:p>
        </w:tc>
      </w:tr>
    </w:tbl>
    <w:p w14:paraId="261C8789" w14:textId="77777777" w:rsidR="003F58EE" w:rsidRDefault="003F58EE" w:rsidP="00A377AC">
      <w:pPr>
        <w:ind w:left="720" w:firstLine="360"/>
      </w:pPr>
    </w:p>
    <w:p w14:paraId="324B377C" w14:textId="597F28B5" w:rsidR="00F13A11" w:rsidRDefault="00CE28E0" w:rsidP="00A377AC">
      <w:pPr>
        <w:ind w:firstLine="360"/>
      </w:pPr>
      <w:r>
        <w:t xml:space="preserve">The estimated additional annual public reporting and recordkeeping burden for this collection of information is estimated to average </w:t>
      </w:r>
      <w:r w:rsidR="00B302D2">
        <w:t>2</w:t>
      </w:r>
      <w:r w:rsidR="000830C4">
        <w:t>,</w:t>
      </w:r>
      <w:r w:rsidR="00B302D2">
        <w:t>000</w:t>
      </w:r>
      <w:r w:rsidR="0012136B">
        <w:t xml:space="preserve"> </w:t>
      </w:r>
      <w:r w:rsidR="000B036F">
        <w:t>hours</w:t>
      </w:r>
      <w:r>
        <w:t xml:space="preserve"> per respondent</w:t>
      </w:r>
      <w:r w:rsidR="0011719D">
        <w:t xml:space="preserve">, assuming </w:t>
      </w:r>
      <w:r w:rsidR="00424184">
        <w:t>1</w:t>
      </w:r>
      <w:r w:rsidR="000830C4">
        <w:t>7</w:t>
      </w:r>
      <w:r w:rsidR="0011719D">
        <w:t xml:space="preserve"> </w:t>
      </w:r>
      <w:r w:rsidR="004523F8">
        <w:t xml:space="preserve">state </w:t>
      </w:r>
      <w:r w:rsidR="0011719D">
        <w:t>respondent</w:t>
      </w:r>
      <w:r w:rsidR="00BE5948">
        <w:t>s</w:t>
      </w:r>
      <w:r w:rsidR="00E92808">
        <w:t>.</w:t>
      </w:r>
    </w:p>
    <w:p w14:paraId="0A9C4BB2" w14:textId="77777777" w:rsidR="00CE28E0" w:rsidRDefault="00CE28E0" w:rsidP="00A377AC">
      <w:pPr>
        <w:ind w:left="720" w:firstLine="360"/>
      </w:pPr>
    </w:p>
    <w:p w14:paraId="29109DA5" w14:textId="77777777" w:rsidR="00CB3528" w:rsidRDefault="00CB3528" w:rsidP="00A377AC">
      <w:pPr>
        <w:keepNext/>
        <w:ind w:firstLine="360"/>
        <w:rPr>
          <w:b/>
        </w:rPr>
      </w:pPr>
      <w:r>
        <w:rPr>
          <w:b/>
        </w:rPr>
        <w:t>6(c)</w:t>
      </w:r>
      <w:r>
        <w:rPr>
          <w:b/>
        </w:rPr>
        <w:tab/>
        <w:t xml:space="preserve">Estimating </w:t>
      </w:r>
      <w:r w:rsidR="009848FF">
        <w:rPr>
          <w:b/>
        </w:rPr>
        <w:t>Agency</w:t>
      </w:r>
      <w:r>
        <w:rPr>
          <w:b/>
        </w:rPr>
        <w:t xml:space="preserve"> Burden and Cost</w:t>
      </w:r>
    </w:p>
    <w:p w14:paraId="7D7C7C55" w14:textId="77777777" w:rsidR="00CB3528" w:rsidRDefault="00CB3528" w:rsidP="00A377AC">
      <w:pPr>
        <w:ind w:firstLine="360"/>
        <w:rPr>
          <w:b/>
        </w:rPr>
      </w:pPr>
    </w:p>
    <w:p w14:paraId="28DFC395" w14:textId="27A52C07" w:rsidR="00CB3528" w:rsidRDefault="00CB3528" w:rsidP="00A377AC">
      <w:pPr>
        <w:ind w:firstLine="360"/>
      </w:pPr>
      <w:r>
        <w:t xml:space="preserve">The estimated </w:t>
      </w:r>
      <w:r w:rsidR="00DA35E4">
        <w:t>EPA</w:t>
      </w:r>
      <w:r>
        <w:t xml:space="preserve"> burden is derived from the estimates for the respondents</w:t>
      </w:r>
      <w:r w:rsidR="00FA646D">
        <w:t>’ burden</w:t>
      </w:r>
      <w:r>
        <w:t>.</w:t>
      </w:r>
      <w:r w:rsidR="00FA5F1B">
        <w:t xml:space="preserve"> </w:t>
      </w:r>
      <w:r w:rsidR="005117ED">
        <w:t>T</w:t>
      </w:r>
      <w:r w:rsidR="00FA646D">
        <w:t xml:space="preserve">he </w:t>
      </w:r>
      <w:r w:rsidR="00A377AC">
        <w:t>a</w:t>
      </w:r>
      <w:r w:rsidR="00FA646D">
        <w:t>gency burden</w:t>
      </w:r>
      <w:r w:rsidR="005117ED">
        <w:t xml:space="preserve"> represents the sum of burden on EPA </w:t>
      </w:r>
      <w:r w:rsidR="00A377AC">
        <w:t>R</w:t>
      </w:r>
      <w:r w:rsidR="005117ED">
        <w:t xml:space="preserve">egional </w:t>
      </w:r>
      <w:r w:rsidR="00A377AC">
        <w:t>O</w:t>
      </w:r>
      <w:r w:rsidR="005117ED">
        <w:t xml:space="preserve">ffices and burden on EPA </w:t>
      </w:r>
      <w:r w:rsidR="00A377AC">
        <w:t>H</w:t>
      </w:r>
      <w:r w:rsidR="005117ED">
        <w:t>eadquarters offices</w:t>
      </w:r>
      <w:r w:rsidR="00AB78BB">
        <w:t xml:space="preserve"> to support states during development of their 2008 ozone NAAQS SIP revisions</w:t>
      </w:r>
      <w:r w:rsidR="00535D4E">
        <w:t>,</w:t>
      </w:r>
      <w:r w:rsidR="00AB78BB">
        <w:t xml:space="preserve"> and to propose and take final action</w:t>
      </w:r>
      <w:r w:rsidR="00535D4E">
        <w:t xml:space="preserve"> to approve or disapprove the submissions</w:t>
      </w:r>
      <w:r w:rsidR="00AB78BB">
        <w:t xml:space="preserve">. </w:t>
      </w:r>
    </w:p>
    <w:p w14:paraId="2B5EE919" w14:textId="77777777" w:rsidR="00CB3528" w:rsidRDefault="00CB3528" w:rsidP="00A377AC">
      <w:pPr>
        <w:ind w:firstLine="360"/>
      </w:pPr>
    </w:p>
    <w:p w14:paraId="58D0AC44" w14:textId="594BD0B1" w:rsidR="006E22A1" w:rsidRDefault="00DA35E4" w:rsidP="00A377AC">
      <w:pPr>
        <w:ind w:firstLine="360"/>
      </w:pPr>
      <w:r w:rsidRPr="00F3252C">
        <w:rPr>
          <w:b/>
        </w:rPr>
        <w:t>EPA</w:t>
      </w:r>
      <w:r w:rsidR="00CB3528" w:rsidRPr="00F3252C">
        <w:rPr>
          <w:b/>
        </w:rPr>
        <w:t xml:space="preserve"> </w:t>
      </w:r>
      <w:r w:rsidR="00CB3528">
        <w:rPr>
          <w:b/>
        </w:rPr>
        <w:t>Regional Office Burden.</w:t>
      </w:r>
      <w:r w:rsidR="00FA5F1B">
        <w:rPr>
          <w:b/>
        </w:rPr>
        <w:t xml:space="preserve"> </w:t>
      </w:r>
      <w:r w:rsidR="00AB78BB">
        <w:t xml:space="preserve">The total EPA </w:t>
      </w:r>
      <w:r w:rsidR="00A377AC">
        <w:t>R</w:t>
      </w:r>
      <w:r w:rsidR="00AB78BB">
        <w:t xml:space="preserve">egional </w:t>
      </w:r>
      <w:r w:rsidR="00A377AC">
        <w:t>O</w:t>
      </w:r>
      <w:r w:rsidR="00AB78BB">
        <w:t xml:space="preserve">ffice burden is estimated to be the equivalent of </w:t>
      </w:r>
      <w:r w:rsidR="000830C4">
        <w:t>twenty</w:t>
      </w:r>
      <w:r w:rsidR="00AB78BB">
        <w:t xml:space="preserve"> percent of the total respondent yearly burden, with the estimated burden for each </w:t>
      </w:r>
      <w:r w:rsidR="00A377AC">
        <w:t>R</w:t>
      </w:r>
      <w:r w:rsidR="00AB78BB">
        <w:t xml:space="preserve">egional </w:t>
      </w:r>
      <w:r w:rsidR="00A377AC">
        <w:t>O</w:t>
      </w:r>
      <w:r w:rsidR="00AB78BB">
        <w:t xml:space="preserve">ffice reflecting the relative level of their respective states’ burden. </w:t>
      </w:r>
      <w:r w:rsidR="000830C4">
        <w:t>Regional offices are the first line of communication and collaboration with states. The Regions are responsible for receiving state submissions</w:t>
      </w:r>
      <w:r w:rsidR="004523F8">
        <w:t>,</w:t>
      </w:r>
      <w:r w:rsidR="000830C4">
        <w:t xml:space="preserve"> and conducting reviews and approval actions. The Regions also </w:t>
      </w:r>
      <w:r w:rsidR="006C4C93">
        <w:t>originate proposals to receive public comment, review and respond to comments</w:t>
      </w:r>
      <w:r w:rsidR="004523F8">
        <w:t>,</w:t>
      </w:r>
      <w:r w:rsidR="006C4C93">
        <w:t xml:space="preserve"> and author final approvals published in the </w:t>
      </w:r>
      <w:r w:rsidR="006C4C93">
        <w:rPr>
          <w:i/>
        </w:rPr>
        <w:t>Federal Register.</w:t>
      </w:r>
      <w:r w:rsidR="000830C4">
        <w:t xml:space="preserve"> </w:t>
      </w:r>
      <w:r w:rsidR="00CB3528">
        <w:t xml:space="preserve">Table </w:t>
      </w:r>
      <w:r w:rsidR="00890EB3">
        <w:t>6.3</w:t>
      </w:r>
      <w:r w:rsidR="00CB3528">
        <w:t xml:space="preserve"> </w:t>
      </w:r>
      <w:r w:rsidR="00733DF4">
        <w:t xml:space="preserve">summarizes total incremental respondent burden by </w:t>
      </w:r>
      <w:r w:rsidR="00FE2A18">
        <w:t xml:space="preserve">EPA </w:t>
      </w:r>
      <w:r w:rsidR="00733DF4">
        <w:t xml:space="preserve">Regional Office </w:t>
      </w:r>
      <w:r w:rsidR="00FE2A18">
        <w:t>(</w:t>
      </w:r>
      <w:r w:rsidR="00B302D2">
        <w:t>10</w:t>
      </w:r>
      <w:r w:rsidR="00FE2A18">
        <w:t xml:space="preserve">2,000 hours total) </w:t>
      </w:r>
      <w:r w:rsidR="00733DF4">
        <w:t>and provides estimates of total incremental</w:t>
      </w:r>
      <w:r>
        <w:t xml:space="preserve"> </w:t>
      </w:r>
      <w:r w:rsidR="00AB78BB">
        <w:t>burden to each</w:t>
      </w:r>
      <w:r w:rsidR="00733DF4">
        <w:t xml:space="preserve"> </w:t>
      </w:r>
      <w:r w:rsidR="00FE2A18">
        <w:t>o</w:t>
      </w:r>
      <w:r w:rsidR="00733DF4">
        <w:t>ffice</w:t>
      </w:r>
      <w:r w:rsidR="00FE2A18">
        <w:t xml:space="preserve"> (</w:t>
      </w:r>
      <w:r w:rsidR="00B302D2">
        <w:t>25</w:t>
      </w:r>
      <w:r w:rsidR="00FE2A18">
        <w:t>,</w:t>
      </w:r>
      <w:r w:rsidR="00B302D2">
        <w:t>4</w:t>
      </w:r>
      <w:r w:rsidR="00FE2A18">
        <w:t>00 hours total)</w:t>
      </w:r>
      <w:r w:rsidR="00733DF4">
        <w:t xml:space="preserve">. The summary of total incremental respondent burden </w:t>
      </w:r>
      <w:r w:rsidR="00FE2A18">
        <w:t xml:space="preserve">derives </w:t>
      </w:r>
      <w:r w:rsidR="00733DF4">
        <w:t xml:space="preserve">from Tables </w:t>
      </w:r>
      <w:r w:rsidR="006C4C93">
        <w:t>6.1</w:t>
      </w:r>
      <w:r w:rsidR="00733DF4">
        <w:t xml:space="preserve"> and </w:t>
      </w:r>
      <w:r w:rsidR="006C4C93">
        <w:t>6.2</w:t>
      </w:r>
      <w:r w:rsidR="00733DF4">
        <w:t>.</w:t>
      </w:r>
      <w:r w:rsidR="00FA5F1B">
        <w:t xml:space="preserve"> </w:t>
      </w:r>
    </w:p>
    <w:p w14:paraId="1AD545A2" w14:textId="4166EE0A" w:rsidR="000E4E04" w:rsidRDefault="000E4E04" w:rsidP="00A377AC">
      <w:pPr>
        <w:ind w:firstLine="360"/>
      </w:pPr>
    </w:p>
    <w:p w14:paraId="24C6C210" w14:textId="77777777" w:rsidR="00275B3E" w:rsidRDefault="00275B3E" w:rsidP="00A377AC">
      <w:pPr>
        <w:ind w:firstLine="360"/>
      </w:pPr>
    </w:p>
    <w:p w14:paraId="1FF08750" w14:textId="7B7ADBAB" w:rsidR="000E4E04" w:rsidRPr="00E1056D" w:rsidRDefault="000E4E04" w:rsidP="00A377AC">
      <w:pPr>
        <w:keepLines/>
        <w:ind w:firstLine="360"/>
        <w:rPr>
          <w:b/>
          <w:sz w:val="20"/>
          <w:szCs w:val="20"/>
        </w:rPr>
      </w:pPr>
      <w:r w:rsidRPr="00E1056D">
        <w:rPr>
          <w:b/>
          <w:sz w:val="20"/>
          <w:szCs w:val="20"/>
        </w:rPr>
        <w:t xml:space="preserve">Table </w:t>
      </w:r>
      <w:r>
        <w:rPr>
          <w:b/>
          <w:sz w:val="20"/>
          <w:szCs w:val="20"/>
        </w:rPr>
        <w:t>6.4</w:t>
      </w:r>
      <w:r w:rsidRPr="00E1056D">
        <w:rPr>
          <w:b/>
          <w:sz w:val="20"/>
          <w:szCs w:val="20"/>
        </w:rPr>
        <w:t>.</w:t>
      </w:r>
      <w:r>
        <w:rPr>
          <w:b/>
          <w:sz w:val="20"/>
          <w:szCs w:val="20"/>
        </w:rPr>
        <w:t xml:space="preserve"> </w:t>
      </w:r>
      <w:r w:rsidRPr="00E1056D">
        <w:rPr>
          <w:b/>
          <w:sz w:val="20"/>
          <w:szCs w:val="20"/>
        </w:rPr>
        <w:t xml:space="preserve">Estimated </w:t>
      </w:r>
      <w:r>
        <w:rPr>
          <w:b/>
          <w:sz w:val="20"/>
          <w:szCs w:val="20"/>
        </w:rPr>
        <w:t>EP</w:t>
      </w:r>
      <w:r w:rsidRPr="00E1056D">
        <w:rPr>
          <w:b/>
          <w:sz w:val="20"/>
          <w:szCs w:val="20"/>
        </w:rPr>
        <w:t xml:space="preserve">A Regional Office Burden Derived </w:t>
      </w:r>
      <w:r w:rsidR="004523F8">
        <w:rPr>
          <w:b/>
          <w:sz w:val="20"/>
          <w:szCs w:val="20"/>
        </w:rPr>
        <w:t>as</w:t>
      </w:r>
      <w:r w:rsidRPr="00E1056D">
        <w:rPr>
          <w:b/>
          <w:sz w:val="20"/>
          <w:szCs w:val="20"/>
        </w:rPr>
        <w:t xml:space="preserve"> </w:t>
      </w:r>
      <w:r w:rsidR="00A12801">
        <w:rPr>
          <w:b/>
          <w:sz w:val="20"/>
          <w:szCs w:val="20"/>
        </w:rPr>
        <w:t>2</w:t>
      </w:r>
      <w:r w:rsidRPr="00E1056D">
        <w:rPr>
          <w:b/>
          <w:sz w:val="20"/>
          <w:szCs w:val="20"/>
        </w:rPr>
        <w:t>0</w:t>
      </w:r>
      <w:r w:rsidR="00A12801">
        <w:rPr>
          <w:b/>
          <w:sz w:val="20"/>
          <w:szCs w:val="20"/>
        </w:rPr>
        <w:t xml:space="preserve"> Percent</w:t>
      </w:r>
      <w:r w:rsidRPr="00E1056D">
        <w:rPr>
          <w:b/>
          <w:sz w:val="20"/>
          <w:szCs w:val="20"/>
        </w:rPr>
        <w:t xml:space="preserve"> of </w:t>
      </w:r>
      <w:r w:rsidR="004523F8">
        <w:rPr>
          <w:b/>
          <w:sz w:val="20"/>
          <w:szCs w:val="20"/>
        </w:rPr>
        <w:t>Affiliated State</w:t>
      </w:r>
      <w:r w:rsidR="004523F8" w:rsidRPr="00E1056D">
        <w:rPr>
          <w:b/>
          <w:sz w:val="20"/>
          <w:szCs w:val="20"/>
        </w:rPr>
        <w:t xml:space="preserve"> </w:t>
      </w:r>
      <w:r w:rsidRPr="00E1056D">
        <w:rPr>
          <w:b/>
          <w:sz w:val="20"/>
          <w:szCs w:val="20"/>
        </w:rPr>
        <w:t>Respondent Burden</w:t>
      </w:r>
    </w:p>
    <w:p w14:paraId="6983BAC9" w14:textId="77777777" w:rsidR="000E4E04" w:rsidRDefault="000E4E04" w:rsidP="00A377AC">
      <w:pPr>
        <w:keepLines/>
        <w:ind w:firstLine="360"/>
      </w:pPr>
    </w:p>
    <w:tbl>
      <w:tblPr>
        <w:tblW w:w="872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3150"/>
        <w:gridCol w:w="3240"/>
      </w:tblGrid>
      <w:tr w:rsidR="000E4E04" w:rsidRPr="0004692C" w14:paraId="294F668B" w14:textId="77777777" w:rsidTr="001D6BE5">
        <w:tc>
          <w:tcPr>
            <w:tcW w:w="2335" w:type="dxa"/>
            <w:vAlign w:val="center"/>
          </w:tcPr>
          <w:p w14:paraId="7DA1B018" w14:textId="78F33422" w:rsidR="000E4E04" w:rsidRPr="00A377AC" w:rsidRDefault="000E4E04" w:rsidP="000A1FD1">
            <w:pPr>
              <w:keepLines/>
              <w:ind w:firstLine="360"/>
              <w:jc w:val="center"/>
              <w:rPr>
                <w:b/>
                <w:sz w:val="20"/>
                <w:szCs w:val="20"/>
              </w:rPr>
            </w:pPr>
            <w:r w:rsidRPr="00A377AC">
              <w:rPr>
                <w:b/>
                <w:sz w:val="20"/>
                <w:szCs w:val="20"/>
              </w:rPr>
              <w:t>EPA Regional Office</w:t>
            </w:r>
          </w:p>
        </w:tc>
        <w:tc>
          <w:tcPr>
            <w:tcW w:w="3150" w:type="dxa"/>
            <w:vAlign w:val="center"/>
          </w:tcPr>
          <w:p w14:paraId="3EED8B52" w14:textId="77777777" w:rsidR="000E4E04" w:rsidRPr="00A377AC" w:rsidRDefault="000E4E04" w:rsidP="00A377AC">
            <w:pPr>
              <w:keepLines/>
              <w:ind w:firstLine="360"/>
              <w:rPr>
                <w:b/>
                <w:sz w:val="20"/>
                <w:szCs w:val="20"/>
              </w:rPr>
            </w:pPr>
            <w:r w:rsidRPr="00A377AC">
              <w:rPr>
                <w:b/>
                <w:sz w:val="20"/>
                <w:szCs w:val="20"/>
              </w:rPr>
              <w:t>Respondents’ Burden</w:t>
            </w:r>
          </w:p>
        </w:tc>
        <w:tc>
          <w:tcPr>
            <w:tcW w:w="3240" w:type="dxa"/>
            <w:vAlign w:val="center"/>
          </w:tcPr>
          <w:p w14:paraId="3A069358" w14:textId="334A3B9D" w:rsidR="000E4E04" w:rsidRPr="00A377AC" w:rsidRDefault="000E4E04" w:rsidP="00A377AC">
            <w:pPr>
              <w:keepLines/>
              <w:ind w:firstLine="360"/>
              <w:rPr>
                <w:b/>
                <w:sz w:val="20"/>
                <w:szCs w:val="20"/>
              </w:rPr>
            </w:pPr>
            <w:r w:rsidRPr="00A377AC">
              <w:rPr>
                <w:b/>
                <w:sz w:val="20"/>
                <w:szCs w:val="20"/>
              </w:rPr>
              <w:t>EPA Reg</w:t>
            </w:r>
            <w:r w:rsidR="00BD7123" w:rsidRPr="00A377AC">
              <w:rPr>
                <w:b/>
                <w:sz w:val="20"/>
                <w:szCs w:val="20"/>
              </w:rPr>
              <w:t>ional</w:t>
            </w:r>
            <w:r w:rsidRPr="00A377AC">
              <w:rPr>
                <w:b/>
                <w:sz w:val="20"/>
                <w:szCs w:val="20"/>
              </w:rPr>
              <w:t xml:space="preserve"> Office Burden</w:t>
            </w:r>
          </w:p>
        </w:tc>
      </w:tr>
      <w:tr w:rsidR="00BC1307" w:rsidRPr="0004692C" w14:paraId="2DDF6F25" w14:textId="77777777" w:rsidTr="00FA393F">
        <w:tc>
          <w:tcPr>
            <w:tcW w:w="2335" w:type="dxa"/>
            <w:vAlign w:val="center"/>
          </w:tcPr>
          <w:p w14:paraId="661DB896" w14:textId="4F4BF32D" w:rsidR="00BC1307" w:rsidRPr="00E1056D" w:rsidRDefault="00BC1307" w:rsidP="000A1FD1">
            <w:pPr>
              <w:ind w:firstLine="360"/>
              <w:jc w:val="center"/>
              <w:rPr>
                <w:sz w:val="20"/>
                <w:szCs w:val="20"/>
              </w:rPr>
            </w:pPr>
            <w:r w:rsidRPr="00E1056D">
              <w:rPr>
                <w:sz w:val="20"/>
                <w:szCs w:val="20"/>
              </w:rPr>
              <w:t>1</w:t>
            </w:r>
          </w:p>
        </w:tc>
        <w:tc>
          <w:tcPr>
            <w:tcW w:w="3150" w:type="dxa"/>
            <w:vAlign w:val="bottom"/>
          </w:tcPr>
          <w:p w14:paraId="1D3F4762" w14:textId="168351C3" w:rsidR="00BC1307" w:rsidRPr="00E1056D" w:rsidRDefault="00BC1307" w:rsidP="00BC1307">
            <w:pPr>
              <w:ind w:firstLine="360"/>
              <w:rPr>
                <w:sz w:val="20"/>
                <w:szCs w:val="20"/>
              </w:rPr>
            </w:pPr>
            <w:r w:rsidRPr="000A1FD1">
              <w:rPr>
                <w:sz w:val="20"/>
                <w:szCs w:val="20"/>
              </w:rPr>
              <w:t xml:space="preserve">       11,000 </w:t>
            </w:r>
          </w:p>
        </w:tc>
        <w:tc>
          <w:tcPr>
            <w:tcW w:w="3240" w:type="dxa"/>
            <w:vAlign w:val="center"/>
          </w:tcPr>
          <w:p w14:paraId="1FA23BDE" w14:textId="50EDD688" w:rsidR="00BC1307" w:rsidRPr="00E1056D" w:rsidRDefault="00BC1307" w:rsidP="00BC1307">
            <w:pPr>
              <w:ind w:firstLine="360"/>
              <w:rPr>
                <w:sz w:val="20"/>
                <w:szCs w:val="20"/>
              </w:rPr>
            </w:pPr>
            <w:r w:rsidRPr="000A1FD1">
              <w:rPr>
                <w:sz w:val="20"/>
                <w:szCs w:val="20"/>
              </w:rPr>
              <w:t xml:space="preserve">              2,200 </w:t>
            </w:r>
          </w:p>
        </w:tc>
      </w:tr>
      <w:tr w:rsidR="00BC1307" w:rsidRPr="0004692C" w14:paraId="2F6F6462" w14:textId="77777777" w:rsidTr="00FA393F">
        <w:tc>
          <w:tcPr>
            <w:tcW w:w="2335" w:type="dxa"/>
            <w:vAlign w:val="center"/>
          </w:tcPr>
          <w:p w14:paraId="6FB79A75" w14:textId="1D9DFC89" w:rsidR="00BC1307" w:rsidRPr="00E1056D" w:rsidRDefault="00BC1307" w:rsidP="000A1FD1">
            <w:pPr>
              <w:ind w:firstLine="360"/>
              <w:jc w:val="center"/>
              <w:rPr>
                <w:sz w:val="20"/>
                <w:szCs w:val="20"/>
              </w:rPr>
            </w:pPr>
            <w:r>
              <w:rPr>
                <w:sz w:val="20"/>
                <w:szCs w:val="20"/>
              </w:rPr>
              <w:t>2</w:t>
            </w:r>
          </w:p>
        </w:tc>
        <w:tc>
          <w:tcPr>
            <w:tcW w:w="3150" w:type="dxa"/>
            <w:vAlign w:val="bottom"/>
          </w:tcPr>
          <w:p w14:paraId="71AD674C" w14:textId="41EFC257" w:rsidR="00BC1307" w:rsidRPr="00E1056D" w:rsidRDefault="00BC1307" w:rsidP="00BC1307">
            <w:pPr>
              <w:ind w:firstLine="360"/>
              <w:rPr>
                <w:sz w:val="20"/>
                <w:szCs w:val="20"/>
              </w:rPr>
            </w:pPr>
            <w:r w:rsidRPr="000A1FD1">
              <w:rPr>
                <w:sz w:val="20"/>
                <w:szCs w:val="20"/>
              </w:rPr>
              <w:t xml:space="preserve">       12,000 </w:t>
            </w:r>
          </w:p>
        </w:tc>
        <w:tc>
          <w:tcPr>
            <w:tcW w:w="3240" w:type="dxa"/>
            <w:vAlign w:val="center"/>
          </w:tcPr>
          <w:p w14:paraId="2460C4EC" w14:textId="1EB19496" w:rsidR="00BC1307" w:rsidRPr="00E1056D" w:rsidRDefault="00BC1307" w:rsidP="00BC1307">
            <w:pPr>
              <w:ind w:firstLine="360"/>
              <w:rPr>
                <w:sz w:val="20"/>
                <w:szCs w:val="20"/>
              </w:rPr>
            </w:pPr>
            <w:r w:rsidRPr="000A1FD1">
              <w:rPr>
                <w:sz w:val="20"/>
                <w:szCs w:val="20"/>
              </w:rPr>
              <w:t xml:space="preserve">              2,400 </w:t>
            </w:r>
          </w:p>
        </w:tc>
      </w:tr>
      <w:tr w:rsidR="00BC1307" w:rsidRPr="0004692C" w14:paraId="36228349" w14:textId="77777777" w:rsidTr="00FA393F">
        <w:tc>
          <w:tcPr>
            <w:tcW w:w="2335" w:type="dxa"/>
            <w:vAlign w:val="center"/>
          </w:tcPr>
          <w:p w14:paraId="5F6AC47D" w14:textId="43D00737" w:rsidR="00BC1307" w:rsidRPr="00E1056D" w:rsidRDefault="00BC1307" w:rsidP="000A1FD1">
            <w:pPr>
              <w:ind w:firstLine="360"/>
              <w:jc w:val="center"/>
              <w:rPr>
                <w:sz w:val="20"/>
                <w:szCs w:val="20"/>
              </w:rPr>
            </w:pPr>
            <w:r>
              <w:rPr>
                <w:sz w:val="20"/>
                <w:szCs w:val="20"/>
              </w:rPr>
              <w:t>3</w:t>
            </w:r>
          </w:p>
        </w:tc>
        <w:tc>
          <w:tcPr>
            <w:tcW w:w="3150" w:type="dxa"/>
            <w:vAlign w:val="bottom"/>
          </w:tcPr>
          <w:p w14:paraId="1E00D4CA" w14:textId="4E100E59" w:rsidR="00BC1307" w:rsidRPr="00E1056D" w:rsidRDefault="00BC1307" w:rsidP="00BC1307">
            <w:pPr>
              <w:ind w:firstLine="360"/>
              <w:rPr>
                <w:sz w:val="20"/>
                <w:szCs w:val="20"/>
              </w:rPr>
            </w:pPr>
            <w:r w:rsidRPr="000A1FD1">
              <w:rPr>
                <w:sz w:val="20"/>
                <w:szCs w:val="20"/>
              </w:rPr>
              <w:t xml:space="preserve">       12,000 </w:t>
            </w:r>
          </w:p>
        </w:tc>
        <w:tc>
          <w:tcPr>
            <w:tcW w:w="3240" w:type="dxa"/>
            <w:vAlign w:val="center"/>
          </w:tcPr>
          <w:p w14:paraId="20F01A02" w14:textId="62111142" w:rsidR="00BC1307" w:rsidRPr="00E1056D" w:rsidRDefault="00BC1307" w:rsidP="00BC1307">
            <w:pPr>
              <w:ind w:firstLine="360"/>
              <w:rPr>
                <w:sz w:val="20"/>
                <w:szCs w:val="20"/>
              </w:rPr>
            </w:pPr>
            <w:r w:rsidRPr="000A1FD1">
              <w:rPr>
                <w:sz w:val="20"/>
                <w:szCs w:val="20"/>
              </w:rPr>
              <w:t xml:space="preserve">              2,400 </w:t>
            </w:r>
          </w:p>
        </w:tc>
      </w:tr>
      <w:tr w:rsidR="00BC1307" w:rsidRPr="0004692C" w14:paraId="56264748" w14:textId="77777777" w:rsidTr="00FA393F">
        <w:tc>
          <w:tcPr>
            <w:tcW w:w="2335" w:type="dxa"/>
            <w:vAlign w:val="center"/>
          </w:tcPr>
          <w:p w14:paraId="65136913" w14:textId="08DEAFF5" w:rsidR="00BC1307" w:rsidRPr="00E1056D" w:rsidRDefault="00BC1307" w:rsidP="000A1FD1">
            <w:pPr>
              <w:ind w:firstLine="360"/>
              <w:jc w:val="center"/>
              <w:rPr>
                <w:sz w:val="20"/>
                <w:szCs w:val="20"/>
              </w:rPr>
            </w:pPr>
            <w:r>
              <w:rPr>
                <w:sz w:val="20"/>
                <w:szCs w:val="20"/>
              </w:rPr>
              <w:t>4</w:t>
            </w:r>
          </w:p>
        </w:tc>
        <w:tc>
          <w:tcPr>
            <w:tcW w:w="3150" w:type="dxa"/>
            <w:vAlign w:val="bottom"/>
          </w:tcPr>
          <w:p w14:paraId="34B2EAC6" w14:textId="35F06D0E" w:rsidR="00BC1307" w:rsidRPr="00E1056D" w:rsidRDefault="00BC1307" w:rsidP="00BC1307">
            <w:pPr>
              <w:ind w:firstLine="360"/>
              <w:rPr>
                <w:sz w:val="20"/>
                <w:szCs w:val="20"/>
              </w:rPr>
            </w:pPr>
            <w:r w:rsidRPr="000A1FD1">
              <w:rPr>
                <w:sz w:val="20"/>
                <w:szCs w:val="20"/>
              </w:rPr>
              <w:t xml:space="preserve">        No areas   </w:t>
            </w:r>
          </w:p>
        </w:tc>
        <w:tc>
          <w:tcPr>
            <w:tcW w:w="3240" w:type="dxa"/>
            <w:vAlign w:val="center"/>
          </w:tcPr>
          <w:p w14:paraId="4EE584D9" w14:textId="6F180E04" w:rsidR="00BC1307" w:rsidRPr="00E1056D" w:rsidRDefault="00BC1307" w:rsidP="00BC1307">
            <w:pPr>
              <w:ind w:firstLine="360"/>
              <w:rPr>
                <w:sz w:val="20"/>
                <w:szCs w:val="20"/>
              </w:rPr>
            </w:pPr>
            <w:r w:rsidRPr="000A1FD1">
              <w:rPr>
                <w:sz w:val="20"/>
                <w:szCs w:val="20"/>
              </w:rPr>
              <w:t xml:space="preserve">                   -   </w:t>
            </w:r>
          </w:p>
        </w:tc>
      </w:tr>
      <w:tr w:rsidR="00BC1307" w:rsidRPr="0004692C" w14:paraId="3CE12108" w14:textId="77777777" w:rsidTr="00FA393F">
        <w:tc>
          <w:tcPr>
            <w:tcW w:w="2335" w:type="dxa"/>
            <w:vAlign w:val="center"/>
          </w:tcPr>
          <w:p w14:paraId="158975D1" w14:textId="66B5FF82" w:rsidR="00BC1307" w:rsidRPr="00E1056D" w:rsidRDefault="00BC1307" w:rsidP="000A1FD1">
            <w:pPr>
              <w:ind w:firstLine="360"/>
              <w:jc w:val="center"/>
              <w:rPr>
                <w:sz w:val="20"/>
                <w:szCs w:val="20"/>
              </w:rPr>
            </w:pPr>
            <w:r>
              <w:rPr>
                <w:sz w:val="20"/>
                <w:szCs w:val="20"/>
              </w:rPr>
              <w:t>5</w:t>
            </w:r>
          </w:p>
        </w:tc>
        <w:tc>
          <w:tcPr>
            <w:tcW w:w="3150" w:type="dxa"/>
            <w:vAlign w:val="bottom"/>
          </w:tcPr>
          <w:p w14:paraId="5579928A" w14:textId="5B680783" w:rsidR="00BC1307" w:rsidRPr="00E1056D" w:rsidRDefault="00BC1307" w:rsidP="00BC1307">
            <w:pPr>
              <w:ind w:firstLine="360"/>
              <w:rPr>
                <w:sz w:val="20"/>
                <w:szCs w:val="20"/>
              </w:rPr>
            </w:pPr>
            <w:r w:rsidRPr="000A1FD1">
              <w:rPr>
                <w:sz w:val="20"/>
                <w:szCs w:val="20"/>
              </w:rPr>
              <w:t xml:space="preserve">       20,000 </w:t>
            </w:r>
          </w:p>
        </w:tc>
        <w:tc>
          <w:tcPr>
            <w:tcW w:w="3240" w:type="dxa"/>
            <w:vAlign w:val="center"/>
          </w:tcPr>
          <w:p w14:paraId="33F79A24" w14:textId="328D02ED" w:rsidR="00BC1307" w:rsidRPr="00E1056D" w:rsidRDefault="00BC1307" w:rsidP="00BC1307">
            <w:pPr>
              <w:ind w:firstLine="360"/>
              <w:rPr>
                <w:sz w:val="20"/>
                <w:szCs w:val="20"/>
              </w:rPr>
            </w:pPr>
            <w:r w:rsidRPr="000A1FD1">
              <w:rPr>
                <w:sz w:val="20"/>
                <w:szCs w:val="20"/>
              </w:rPr>
              <w:t xml:space="preserve">              4,000 </w:t>
            </w:r>
          </w:p>
        </w:tc>
      </w:tr>
      <w:tr w:rsidR="00BC1307" w:rsidRPr="0004692C" w14:paraId="0C897154" w14:textId="77777777" w:rsidTr="00FA393F">
        <w:tc>
          <w:tcPr>
            <w:tcW w:w="2335" w:type="dxa"/>
            <w:vAlign w:val="center"/>
          </w:tcPr>
          <w:p w14:paraId="23BD1476" w14:textId="6DBE248C" w:rsidR="00BC1307" w:rsidRPr="00E1056D" w:rsidRDefault="00BC1307" w:rsidP="000A1FD1">
            <w:pPr>
              <w:ind w:firstLine="360"/>
              <w:jc w:val="center"/>
              <w:rPr>
                <w:sz w:val="20"/>
                <w:szCs w:val="20"/>
              </w:rPr>
            </w:pPr>
            <w:r>
              <w:rPr>
                <w:sz w:val="20"/>
                <w:szCs w:val="20"/>
              </w:rPr>
              <w:t>6</w:t>
            </w:r>
          </w:p>
        </w:tc>
        <w:tc>
          <w:tcPr>
            <w:tcW w:w="3150" w:type="dxa"/>
            <w:vAlign w:val="bottom"/>
          </w:tcPr>
          <w:p w14:paraId="27C6C391" w14:textId="12AE3F84" w:rsidR="00BC1307" w:rsidRPr="00E1056D" w:rsidRDefault="00BC1307" w:rsidP="00BC1307">
            <w:pPr>
              <w:ind w:firstLine="360"/>
              <w:rPr>
                <w:sz w:val="20"/>
                <w:szCs w:val="20"/>
              </w:rPr>
            </w:pPr>
            <w:r w:rsidRPr="000A1FD1">
              <w:rPr>
                <w:sz w:val="20"/>
                <w:szCs w:val="20"/>
              </w:rPr>
              <w:t xml:space="preserve">       10,000 </w:t>
            </w:r>
          </w:p>
        </w:tc>
        <w:tc>
          <w:tcPr>
            <w:tcW w:w="3240" w:type="dxa"/>
            <w:vAlign w:val="center"/>
          </w:tcPr>
          <w:p w14:paraId="0F495D35" w14:textId="1572BCB5" w:rsidR="00BC1307" w:rsidRPr="00E1056D" w:rsidRDefault="00BC1307" w:rsidP="00BC1307">
            <w:pPr>
              <w:ind w:firstLine="360"/>
              <w:rPr>
                <w:sz w:val="20"/>
                <w:szCs w:val="20"/>
              </w:rPr>
            </w:pPr>
            <w:r w:rsidRPr="000A1FD1">
              <w:rPr>
                <w:sz w:val="20"/>
                <w:szCs w:val="20"/>
              </w:rPr>
              <w:t xml:space="preserve">              2,000 </w:t>
            </w:r>
          </w:p>
        </w:tc>
      </w:tr>
      <w:tr w:rsidR="00BC1307" w:rsidRPr="0004692C" w14:paraId="02B58315" w14:textId="77777777" w:rsidTr="00FA393F">
        <w:tc>
          <w:tcPr>
            <w:tcW w:w="2335" w:type="dxa"/>
            <w:vAlign w:val="center"/>
          </w:tcPr>
          <w:p w14:paraId="0FCD6A67" w14:textId="5D154E89" w:rsidR="00BC1307" w:rsidRPr="00E1056D" w:rsidRDefault="00BC1307" w:rsidP="000A1FD1">
            <w:pPr>
              <w:ind w:firstLine="360"/>
              <w:jc w:val="center"/>
              <w:rPr>
                <w:sz w:val="20"/>
                <w:szCs w:val="20"/>
              </w:rPr>
            </w:pPr>
            <w:r>
              <w:rPr>
                <w:sz w:val="20"/>
                <w:szCs w:val="20"/>
              </w:rPr>
              <w:t>7</w:t>
            </w:r>
          </w:p>
        </w:tc>
        <w:tc>
          <w:tcPr>
            <w:tcW w:w="3150" w:type="dxa"/>
            <w:vAlign w:val="bottom"/>
          </w:tcPr>
          <w:p w14:paraId="56779E73" w14:textId="71024807" w:rsidR="00BC1307" w:rsidRPr="00E1056D" w:rsidRDefault="00BC1307" w:rsidP="00BC1307">
            <w:pPr>
              <w:ind w:firstLine="360"/>
              <w:rPr>
                <w:sz w:val="20"/>
                <w:szCs w:val="20"/>
              </w:rPr>
            </w:pPr>
            <w:r w:rsidRPr="000A1FD1">
              <w:rPr>
                <w:sz w:val="20"/>
                <w:szCs w:val="20"/>
              </w:rPr>
              <w:t xml:space="preserve">        No areas   </w:t>
            </w:r>
          </w:p>
        </w:tc>
        <w:tc>
          <w:tcPr>
            <w:tcW w:w="3240" w:type="dxa"/>
            <w:vAlign w:val="center"/>
          </w:tcPr>
          <w:p w14:paraId="460681FC" w14:textId="5A49D24A" w:rsidR="00BC1307" w:rsidRPr="00E1056D" w:rsidRDefault="00BC1307" w:rsidP="00BC1307">
            <w:pPr>
              <w:ind w:firstLine="360"/>
              <w:rPr>
                <w:sz w:val="20"/>
                <w:szCs w:val="20"/>
              </w:rPr>
            </w:pPr>
            <w:r w:rsidRPr="000A1FD1">
              <w:rPr>
                <w:sz w:val="20"/>
                <w:szCs w:val="20"/>
              </w:rPr>
              <w:t xml:space="preserve">                   -   </w:t>
            </w:r>
          </w:p>
        </w:tc>
      </w:tr>
      <w:tr w:rsidR="00BC1307" w:rsidRPr="0004692C" w14:paraId="24EEC1A6" w14:textId="77777777" w:rsidTr="00FA393F">
        <w:tc>
          <w:tcPr>
            <w:tcW w:w="2335" w:type="dxa"/>
            <w:vAlign w:val="center"/>
          </w:tcPr>
          <w:p w14:paraId="08726AA3" w14:textId="05F31A6F" w:rsidR="00BC1307" w:rsidRPr="00E1056D" w:rsidRDefault="00BC1307" w:rsidP="000A1FD1">
            <w:pPr>
              <w:ind w:firstLine="360"/>
              <w:jc w:val="center"/>
              <w:rPr>
                <w:sz w:val="20"/>
                <w:szCs w:val="20"/>
              </w:rPr>
            </w:pPr>
            <w:r>
              <w:rPr>
                <w:sz w:val="20"/>
                <w:szCs w:val="20"/>
              </w:rPr>
              <w:t>8</w:t>
            </w:r>
          </w:p>
        </w:tc>
        <w:tc>
          <w:tcPr>
            <w:tcW w:w="3150" w:type="dxa"/>
            <w:vAlign w:val="bottom"/>
          </w:tcPr>
          <w:p w14:paraId="2871B6ED" w14:textId="41B3D9A6" w:rsidR="00BC1307" w:rsidRPr="00E1056D" w:rsidRDefault="00BC1307" w:rsidP="00BC1307">
            <w:pPr>
              <w:ind w:firstLine="360"/>
              <w:rPr>
                <w:sz w:val="20"/>
                <w:szCs w:val="20"/>
              </w:rPr>
            </w:pPr>
            <w:r w:rsidRPr="000A1FD1">
              <w:rPr>
                <w:sz w:val="20"/>
                <w:szCs w:val="20"/>
              </w:rPr>
              <w:t xml:space="preserve">        6,000 </w:t>
            </w:r>
          </w:p>
        </w:tc>
        <w:tc>
          <w:tcPr>
            <w:tcW w:w="3240" w:type="dxa"/>
            <w:vAlign w:val="center"/>
          </w:tcPr>
          <w:p w14:paraId="2D83660D" w14:textId="01A083F6" w:rsidR="00BC1307" w:rsidRPr="00E1056D" w:rsidRDefault="00BC1307" w:rsidP="00BC1307">
            <w:pPr>
              <w:ind w:firstLine="360"/>
              <w:rPr>
                <w:sz w:val="20"/>
                <w:szCs w:val="20"/>
              </w:rPr>
            </w:pPr>
            <w:r w:rsidRPr="000A1FD1">
              <w:rPr>
                <w:sz w:val="20"/>
                <w:szCs w:val="20"/>
              </w:rPr>
              <w:t xml:space="preserve">              1,200 </w:t>
            </w:r>
          </w:p>
        </w:tc>
      </w:tr>
      <w:tr w:rsidR="00BC1307" w:rsidRPr="0004692C" w14:paraId="5F6143E0" w14:textId="77777777" w:rsidTr="00FA393F">
        <w:tc>
          <w:tcPr>
            <w:tcW w:w="2335" w:type="dxa"/>
            <w:vAlign w:val="center"/>
          </w:tcPr>
          <w:p w14:paraId="7687D2FB" w14:textId="4613D35D" w:rsidR="00BC1307" w:rsidRPr="00E1056D" w:rsidRDefault="00BC1307" w:rsidP="000A1FD1">
            <w:pPr>
              <w:ind w:firstLine="360"/>
              <w:jc w:val="center"/>
              <w:rPr>
                <w:sz w:val="20"/>
                <w:szCs w:val="20"/>
              </w:rPr>
            </w:pPr>
            <w:r>
              <w:rPr>
                <w:sz w:val="20"/>
                <w:szCs w:val="20"/>
              </w:rPr>
              <w:t>9</w:t>
            </w:r>
          </w:p>
        </w:tc>
        <w:tc>
          <w:tcPr>
            <w:tcW w:w="3150" w:type="dxa"/>
            <w:vAlign w:val="bottom"/>
          </w:tcPr>
          <w:p w14:paraId="53B5EF4A" w14:textId="542F62BC" w:rsidR="00BC1307" w:rsidRPr="00E1056D" w:rsidRDefault="00BC1307" w:rsidP="00BC1307">
            <w:pPr>
              <w:ind w:firstLine="360"/>
              <w:rPr>
                <w:sz w:val="20"/>
                <w:szCs w:val="20"/>
              </w:rPr>
            </w:pPr>
            <w:r w:rsidRPr="000A1FD1">
              <w:rPr>
                <w:sz w:val="20"/>
                <w:szCs w:val="20"/>
              </w:rPr>
              <w:t xml:space="preserve">       31,000 </w:t>
            </w:r>
          </w:p>
        </w:tc>
        <w:tc>
          <w:tcPr>
            <w:tcW w:w="3240" w:type="dxa"/>
            <w:vAlign w:val="center"/>
          </w:tcPr>
          <w:p w14:paraId="05A9D51C" w14:textId="5CFBE1D7" w:rsidR="00BC1307" w:rsidRPr="00E1056D" w:rsidRDefault="00BC1307" w:rsidP="00BC1307">
            <w:pPr>
              <w:ind w:firstLine="360"/>
              <w:rPr>
                <w:sz w:val="20"/>
                <w:szCs w:val="20"/>
              </w:rPr>
            </w:pPr>
            <w:r w:rsidRPr="000A1FD1">
              <w:rPr>
                <w:sz w:val="20"/>
                <w:szCs w:val="20"/>
              </w:rPr>
              <w:t xml:space="preserve">              6,200 </w:t>
            </w:r>
          </w:p>
        </w:tc>
      </w:tr>
      <w:tr w:rsidR="00BC1307" w:rsidRPr="0004692C" w14:paraId="64ACA591" w14:textId="77777777" w:rsidTr="00FA393F">
        <w:tc>
          <w:tcPr>
            <w:tcW w:w="2335" w:type="dxa"/>
            <w:vAlign w:val="center"/>
          </w:tcPr>
          <w:p w14:paraId="3175C4C3" w14:textId="0F30C4D5" w:rsidR="00BC1307" w:rsidRPr="00E1056D" w:rsidDel="00D66B48" w:rsidRDefault="00BC1307" w:rsidP="000A1FD1">
            <w:pPr>
              <w:ind w:firstLine="360"/>
              <w:jc w:val="center"/>
              <w:rPr>
                <w:sz w:val="20"/>
                <w:szCs w:val="20"/>
              </w:rPr>
            </w:pPr>
            <w:r>
              <w:rPr>
                <w:sz w:val="20"/>
                <w:szCs w:val="20"/>
              </w:rPr>
              <w:t>10</w:t>
            </w:r>
          </w:p>
        </w:tc>
        <w:tc>
          <w:tcPr>
            <w:tcW w:w="3150" w:type="dxa"/>
            <w:vAlign w:val="bottom"/>
          </w:tcPr>
          <w:p w14:paraId="0E0A4542" w14:textId="7513380A" w:rsidR="00BC1307" w:rsidDel="00D66B48" w:rsidRDefault="00BC1307" w:rsidP="00BC1307">
            <w:pPr>
              <w:ind w:firstLine="360"/>
              <w:rPr>
                <w:sz w:val="20"/>
                <w:szCs w:val="20"/>
              </w:rPr>
            </w:pPr>
            <w:r w:rsidRPr="000A1FD1">
              <w:rPr>
                <w:sz w:val="20"/>
                <w:szCs w:val="20"/>
              </w:rPr>
              <w:t xml:space="preserve">        No areas   </w:t>
            </w:r>
          </w:p>
        </w:tc>
        <w:tc>
          <w:tcPr>
            <w:tcW w:w="3240" w:type="dxa"/>
            <w:vAlign w:val="center"/>
          </w:tcPr>
          <w:p w14:paraId="3B0FB557" w14:textId="29391D96" w:rsidR="00BC1307" w:rsidDel="00D66B48" w:rsidRDefault="00BC1307" w:rsidP="00BC1307">
            <w:pPr>
              <w:ind w:firstLine="360"/>
              <w:rPr>
                <w:sz w:val="20"/>
                <w:szCs w:val="20"/>
              </w:rPr>
            </w:pPr>
            <w:r w:rsidRPr="000A1FD1">
              <w:rPr>
                <w:sz w:val="20"/>
                <w:szCs w:val="20"/>
              </w:rPr>
              <w:t xml:space="preserve">                   -   </w:t>
            </w:r>
          </w:p>
        </w:tc>
      </w:tr>
      <w:tr w:rsidR="00BC1307" w:rsidRPr="0004692C" w14:paraId="221D0C4E" w14:textId="77777777" w:rsidTr="00FA393F">
        <w:tc>
          <w:tcPr>
            <w:tcW w:w="2335" w:type="dxa"/>
            <w:vAlign w:val="center"/>
          </w:tcPr>
          <w:p w14:paraId="4E589925" w14:textId="4D008D4A" w:rsidR="00BC1307" w:rsidRDefault="00BC1307" w:rsidP="000A1FD1">
            <w:pPr>
              <w:ind w:firstLine="360"/>
              <w:jc w:val="center"/>
              <w:rPr>
                <w:sz w:val="20"/>
                <w:szCs w:val="20"/>
              </w:rPr>
            </w:pPr>
            <w:r>
              <w:rPr>
                <w:sz w:val="20"/>
                <w:szCs w:val="20"/>
              </w:rPr>
              <w:t>Tribal Area</w:t>
            </w:r>
          </w:p>
        </w:tc>
        <w:tc>
          <w:tcPr>
            <w:tcW w:w="3150" w:type="dxa"/>
            <w:vAlign w:val="bottom"/>
          </w:tcPr>
          <w:p w14:paraId="37F808BE" w14:textId="2C7D03BC" w:rsidR="00BC1307" w:rsidRDefault="00BC1307" w:rsidP="00BC1307">
            <w:pPr>
              <w:ind w:firstLine="360"/>
              <w:rPr>
                <w:sz w:val="20"/>
                <w:szCs w:val="20"/>
              </w:rPr>
            </w:pPr>
            <w:r w:rsidRPr="000A1FD1">
              <w:rPr>
                <w:sz w:val="20"/>
                <w:szCs w:val="20"/>
              </w:rPr>
              <w:t xml:space="preserve">   </w:t>
            </w:r>
          </w:p>
        </w:tc>
        <w:tc>
          <w:tcPr>
            <w:tcW w:w="3240" w:type="dxa"/>
            <w:vAlign w:val="center"/>
          </w:tcPr>
          <w:p w14:paraId="417434DE" w14:textId="69892295" w:rsidR="00BC1307" w:rsidRDefault="00BC1307" w:rsidP="00BC1307">
            <w:pPr>
              <w:ind w:firstLine="360"/>
              <w:rPr>
                <w:sz w:val="20"/>
                <w:szCs w:val="20"/>
              </w:rPr>
            </w:pPr>
            <w:r w:rsidRPr="000A1FD1">
              <w:rPr>
                <w:sz w:val="20"/>
                <w:szCs w:val="20"/>
              </w:rPr>
              <w:t xml:space="preserve">              5,000 </w:t>
            </w:r>
          </w:p>
        </w:tc>
      </w:tr>
      <w:tr w:rsidR="00BC1307" w:rsidRPr="0004692C" w14:paraId="5071D716" w14:textId="77777777" w:rsidTr="00FA393F">
        <w:tc>
          <w:tcPr>
            <w:tcW w:w="2335" w:type="dxa"/>
            <w:vAlign w:val="center"/>
          </w:tcPr>
          <w:p w14:paraId="4F6DD624" w14:textId="2A390BDF" w:rsidR="00BC1307" w:rsidRPr="00E1056D" w:rsidRDefault="00BC1307" w:rsidP="000A1FD1">
            <w:pPr>
              <w:ind w:firstLine="360"/>
              <w:jc w:val="center"/>
              <w:rPr>
                <w:b/>
                <w:sz w:val="20"/>
                <w:szCs w:val="20"/>
              </w:rPr>
            </w:pPr>
            <w:r w:rsidRPr="00E1056D">
              <w:rPr>
                <w:b/>
                <w:sz w:val="20"/>
                <w:szCs w:val="20"/>
              </w:rPr>
              <w:t>Total</w:t>
            </w:r>
          </w:p>
        </w:tc>
        <w:tc>
          <w:tcPr>
            <w:tcW w:w="3150" w:type="dxa"/>
            <w:vAlign w:val="bottom"/>
          </w:tcPr>
          <w:p w14:paraId="43BCF9B2" w14:textId="0161D142" w:rsidR="00BC1307" w:rsidRPr="00E1056D" w:rsidRDefault="00BC1307" w:rsidP="00BC1307">
            <w:pPr>
              <w:ind w:firstLine="360"/>
              <w:rPr>
                <w:b/>
                <w:sz w:val="20"/>
                <w:szCs w:val="20"/>
              </w:rPr>
            </w:pPr>
            <w:r w:rsidRPr="000A1FD1">
              <w:rPr>
                <w:b/>
                <w:sz w:val="20"/>
                <w:szCs w:val="20"/>
              </w:rPr>
              <w:t xml:space="preserve">     102,000 </w:t>
            </w:r>
          </w:p>
        </w:tc>
        <w:tc>
          <w:tcPr>
            <w:tcW w:w="3240" w:type="dxa"/>
            <w:vAlign w:val="center"/>
          </w:tcPr>
          <w:p w14:paraId="43C3FA9B" w14:textId="39A280EE" w:rsidR="00BC1307" w:rsidRPr="00E1056D" w:rsidRDefault="00BC1307" w:rsidP="00BC1307">
            <w:pPr>
              <w:ind w:firstLine="360"/>
              <w:rPr>
                <w:b/>
                <w:sz w:val="20"/>
                <w:szCs w:val="20"/>
              </w:rPr>
            </w:pPr>
            <w:r w:rsidRPr="000A1FD1">
              <w:rPr>
                <w:b/>
                <w:sz w:val="20"/>
                <w:szCs w:val="20"/>
              </w:rPr>
              <w:t xml:space="preserve">            25,400 </w:t>
            </w:r>
          </w:p>
        </w:tc>
      </w:tr>
    </w:tbl>
    <w:p w14:paraId="3A554B79" w14:textId="77777777" w:rsidR="000E4E04" w:rsidRDefault="000E4E04" w:rsidP="00A377AC">
      <w:pPr>
        <w:ind w:firstLine="360"/>
      </w:pPr>
    </w:p>
    <w:p w14:paraId="745C949D" w14:textId="7CB5E5F1" w:rsidR="00CB3528" w:rsidRDefault="00CB3528" w:rsidP="00A377AC">
      <w:pPr>
        <w:ind w:firstLine="360"/>
      </w:pPr>
    </w:p>
    <w:p w14:paraId="1EBE42A0" w14:textId="73E4FD06" w:rsidR="00CB3528" w:rsidRDefault="00DA35E4" w:rsidP="00A377AC">
      <w:pPr>
        <w:ind w:firstLine="360"/>
      </w:pPr>
      <w:r w:rsidRPr="00F3252C">
        <w:rPr>
          <w:b/>
        </w:rPr>
        <w:t>EP</w:t>
      </w:r>
      <w:r w:rsidR="00CB3528" w:rsidRPr="00F3252C">
        <w:rPr>
          <w:b/>
        </w:rPr>
        <w:t xml:space="preserve">A </w:t>
      </w:r>
      <w:r w:rsidR="00CB3528" w:rsidRPr="00E1056D">
        <w:rPr>
          <w:b/>
        </w:rPr>
        <w:t>Headquarters Burden</w:t>
      </w:r>
      <w:r w:rsidR="00CB3528">
        <w:t>.</w:t>
      </w:r>
      <w:r w:rsidR="00FA5F1B">
        <w:t xml:space="preserve"> </w:t>
      </w:r>
      <w:r w:rsidR="00CB3528">
        <w:t xml:space="preserve">The Regional Office burden estimates are multiplied by </w:t>
      </w:r>
      <w:r w:rsidR="000830C4">
        <w:t>2</w:t>
      </w:r>
      <w:r w:rsidR="00CB3528">
        <w:t>0</w:t>
      </w:r>
      <w:r w:rsidR="00BD7123">
        <w:t xml:space="preserve"> percent </w:t>
      </w:r>
      <w:r w:rsidR="00CB3528">
        <w:t xml:space="preserve">to arrive at an estimate for </w:t>
      </w:r>
      <w:r w:rsidR="00FE2A18">
        <w:t>h</w:t>
      </w:r>
      <w:r w:rsidR="00CB3528">
        <w:t>eadquarters burden.</w:t>
      </w:r>
      <w:r w:rsidR="00F626D7">
        <w:t xml:space="preserve"> EPA Headquarters is generally responsible </w:t>
      </w:r>
      <w:r w:rsidR="00FE2A18">
        <w:t xml:space="preserve">for </w:t>
      </w:r>
      <w:r w:rsidR="00F626D7">
        <w:t>assist</w:t>
      </w:r>
      <w:r w:rsidR="00FE2A18">
        <w:t>ing</w:t>
      </w:r>
      <w:r w:rsidR="00F626D7">
        <w:t xml:space="preserve"> the Regions</w:t>
      </w:r>
      <w:r w:rsidR="00371EB9">
        <w:t>’</w:t>
      </w:r>
      <w:r w:rsidR="00F626D7">
        <w:t xml:space="preserve"> review </w:t>
      </w:r>
      <w:r w:rsidR="004523F8">
        <w:t xml:space="preserve">of </w:t>
      </w:r>
      <w:r w:rsidR="00F626D7">
        <w:t xml:space="preserve">submissions and </w:t>
      </w:r>
      <w:r w:rsidR="00FE2A18">
        <w:t>develop</w:t>
      </w:r>
      <w:r w:rsidR="00371EB9">
        <w:t>ing</w:t>
      </w:r>
      <w:r w:rsidR="00FE2A18">
        <w:t xml:space="preserve"> </w:t>
      </w:r>
      <w:r w:rsidR="00F626D7">
        <w:t xml:space="preserve">proposed </w:t>
      </w:r>
      <w:r w:rsidR="00FE2A18">
        <w:t xml:space="preserve">and final </w:t>
      </w:r>
      <w:r w:rsidR="00F626D7">
        <w:t>actions</w:t>
      </w:r>
      <w:r w:rsidR="00FE2A18">
        <w:t>, as well as respond</w:t>
      </w:r>
      <w:r w:rsidR="00371EB9">
        <w:t>ing</w:t>
      </w:r>
      <w:r w:rsidR="00FE2A18">
        <w:t xml:space="preserve"> to comments</w:t>
      </w:r>
      <w:r w:rsidR="00F626D7">
        <w:t>.</w:t>
      </w:r>
      <w:r w:rsidR="00C94BC0">
        <w:t xml:space="preserve"> The hours expended communicating with the Region</w:t>
      </w:r>
      <w:r w:rsidR="00330E31">
        <w:t>s,</w:t>
      </w:r>
      <w:r w:rsidR="00C94BC0">
        <w:t xml:space="preserve"> completing document review</w:t>
      </w:r>
      <w:r w:rsidR="00891073">
        <w:t xml:space="preserve"> and addressing significant issues</w:t>
      </w:r>
      <w:r w:rsidR="00C94BC0">
        <w:t xml:space="preserve"> </w:t>
      </w:r>
      <w:r w:rsidR="00FE2A18">
        <w:t xml:space="preserve">are </w:t>
      </w:r>
      <w:r w:rsidR="00C94BC0">
        <w:t xml:space="preserve">not </w:t>
      </w:r>
      <w:r w:rsidR="00FE2A18">
        <w:t>expected to</w:t>
      </w:r>
      <w:r w:rsidR="00891073">
        <w:t xml:space="preserve"> </w:t>
      </w:r>
      <w:r w:rsidR="00C94BC0">
        <w:t xml:space="preserve">exceed </w:t>
      </w:r>
      <w:r w:rsidR="00891073">
        <w:t>20</w:t>
      </w:r>
      <w:r w:rsidR="00BD7123">
        <w:t xml:space="preserve"> percent</w:t>
      </w:r>
      <w:r w:rsidR="00891073">
        <w:t xml:space="preserve"> of the Regions’ estimated hours.</w:t>
      </w:r>
      <w:r w:rsidR="00C94BC0">
        <w:t xml:space="preserve"> </w:t>
      </w:r>
      <w:r w:rsidR="00535D4E">
        <w:t>The r</w:t>
      </w:r>
      <w:r w:rsidR="00CB3528">
        <w:t xml:space="preserve">esulting </w:t>
      </w:r>
      <w:r w:rsidR="00535D4E">
        <w:t>total</w:t>
      </w:r>
      <w:r w:rsidR="00891073">
        <w:t xml:space="preserve"> burden</w:t>
      </w:r>
      <w:r w:rsidR="00535D4E">
        <w:t xml:space="preserve"> </w:t>
      </w:r>
      <w:r w:rsidR="00CB3528">
        <w:t>hours</w:t>
      </w:r>
      <w:r w:rsidR="00891073">
        <w:t xml:space="preserve"> estimated for </w:t>
      </w:r>
      <w:r w:rsidR="00FE2A18">
        <w:t>h</w:t>
      </w:r>
      <w:r w:rsidR="00891073">
        <w:t>eadquarters</w:t>
      </w:r>
      <w:r w:rsidR="00CB3528">
        <w:t xml:space="preserve"> </w:t>
      </w:r>
      <w:r w:rsidR="00535D4E">
        <w:t xml:space="preserve">is </w:t>
      </w:r>
      <w:r w:rsidR="00BC1307">
        <w:t>5</w:t>
      </w:r>
      <w:r w:rsidR="00C94BC0">
        <w:t>,</w:t>
      </w:r>
      <w:r w:rsidR="00BC1307">
        <w:t>0</w:t>
      </w:r>
      <w:r w:rsidR="00C94BC0">
        <w:t>80</w:t>
      </w:r>
      <w:r w:rsidR="00CB3528">
        <w:t>.</w:t>
      </w:r>
      <w:r w:rsidR="00821502">
        <w:t xml:space="preserve"> </w:t>
      </w:r>
    </w:p>
    <w:p w14:paraId="040EA3B5" w14:textId="77777777" w:rsidR="00CB3528" w:rsidRDefault="00CB3528" w:rsidP="00A377AC">
      <w:pPr>
        <w:ind w:firstLine="360"/>
      </w:pPr>
    </w:p>
    <w:p w14:paraId="40AB1758" w14:textId="74F98764" w:rsidR="00CB3528" w:rsidRDefault="00CB3528" w:rsidP="00A377AC">
      <w:pPr>
        <w:ind w:firstLine="360"/>
      </w:pPr>
      <w:r w:rsidRPr="00E1056D">
        <w:rPr>
          <w:b/>
        </w:rPr>
        <w:t xml:space="preserve">Total Incremental Burden for the </w:t>
      </w:r>
      <w:r w:rsidR="00DA35E4">
        <w:rPr>
          <w:b/>
        </w:rPr>
        <w:t>EP</w:t>
      </w:r>
      <w:r w:rsidRPr="00E1056D">
        <w:rPr>
          <w:b/>
        </w:rPr>
        <w:t>A</w:t>
      </w:r>
      <w:r>
        <w:t xml:space="preserve">. </w:t>
      </w:r>
      <w:r w:rsidR="00CD1CC4">
        <w:t xml:space="preserve">The total incremental burden for EPA’s Regional and Headquarters Offices is the sum of </w:t>
      </w:r>
      <w:r w:rsidR="00BC1307">
        <w:t>25,400</w:t>
      </w:r>
      <w:r w:rsidR="00CD1CC4">
        <w:t xml:space="preserve"> hours (for Regional Offices) and </w:t>
      </w:r>
      <w:r w:rsidR="00BC1307">
        <w:t>5</w:t>
      </w:r>
      <w:r w:rsidR="00CD1CC4">
        <w:t>,</w:t>
      </w:r>
      <w:r w:rsidR="00BC1307">
        <w:t>0</w:t>
      </w:r>
      <w:r w:rsidR="00CD1CC4">
        <w:t xml:space="preserve">80 </w:t>
      </w:r>
      <w:r w:rsidR="003A60B8">
        <w:t xml:space="preserve">hours </w:t>
      </w:r>
      <w:r w:rsidR="00CD1CC4">
        <w:t xml:space="preserve">(for </w:t>
      </w:r>
      <w:r w:rsidR="00445741">
        <w:t>H</w:t>
      </w:r>
      <w:r w:rsidR="00CD1CC4">
        <w:t xml:space="preserve">eadquarters), or </w:t>
      </w:r>
      <w:r w:rsidR="00BC1307">
        <w:t>30,480</w:t>
      </w:r>
      <w:r w:rsidR="003A60B8">
        <w:t xml:space="preserve"> hours</w:t>
      </w:r>
      <w:r w:rsidR="00CD1CC4">
        <w:t>. For the 3 years covered by this ICR renewal, t</w:t>
      </w:r>
      <w:r>
        <w:t xml:space="preserve">he </w:t>
      </w:r>
      <w:r w:rsidR="00280475">
        <w:t xml:space="preserve">average yearly burden is </w:t>
      </w:r>
      <w:r w:rsidR="00BC1307">
        <w:t>10</w:t>
      </w:r>
      <w:r w:rsidR="00F626D7">
        <w:t>,</w:t>
      </w:r>
      <w:r w:rsidR="00BC1307">
        <w:t>1</w:t>
      </w:r>
      <w:r w:rsidR="00C94BC0">
        <w:t>60</w:t>
      </w:r>
      <w:r w:rsidR="008B5890">
        <w:t xml:space="preserve"> hours</w:t>
      </w:r>
      <w:r w:rsidR="00280475">
        <w:t xml:space="preserve">. </w:t>
      </w:r>
    </w:p>
    <w:p w14:paraId="7EAB5478" w14:textId="77777777" w:rsidR="00CB3528" w:rsidRDefault="00CB3528" w:rsidP="00A377AC">
      <w:pPr>
        <w:ind w:firstLine="360"/>
      </w:pPr>
    </w:p>
    <w:p w14:paraId="0DD48711" w14:textId="28688C68" w:rsidR="00CB3528" w:rsidRDefault="00CB3528" w:rsidP="00A377AC">
      <w:pPr>
        <w:ind w:firstLine="360"/>
      </w:pPr>
      <w:r w:rsidRPr="00E1056D">
        <w:rPr>
          <w:b/>
        </w:rPr>
        <w:t xml:space="preserve">Total Cost for the </w:t>
      </w:r>
      <w:r w:rsidR="00DA35E4">
        <w:rPr>
          <w:b/>
        </w:rPr>
        <w:t>EP</w:t>
      </w:r>
      <w:r w:rsidRPr="00E1056D">
        <w:rPr>
          <w:b/>
        </w:rPr>
        <w:t>A</w:t>
      </w:r>
      <w:r>
        <w:t>.</w:t>
      </w:r>
      <w:r w:rsidR="00FA5F1B">
        <w:t xml:space="preserve"> </w:t>
      </w:r>
      <w:r>
        <w:t>Using the weighted direct and indirect equivalent hour</w:t>
      </w:r>
      <w:r w:rsidR="00535D4E">
        <w:t>ly labor</w:t>
      </w:r>
      <w:r>
        <w:t xml:space="preserve"> rate derived in section 6(b), the total incremental burden hours are multiplied by that rate. The result is the total cost estimate for the </w:t>
      </w:r>
      <w:r w:rsidR="00DA35E4">
        <w:t>EPA</w:t>
      </w:r>
      <w:r w:rsidR="00FA00CD">
        <w:t xml:space="preserve"> of $</w:t>
      </w:r>
      <w:r w:rsidR="00BC1307">
        <w:t>2.0</w:t>
      </w:r>
      <w:r w:rsidR="00FA00CD">
        <w:t xml:space="preserve"> million</w:t>
      </w:r>
      <w:r>
        <w:t xml:space="preserve"> </w:t>
      </w:r>
      <w:r w:rsidR="007C09DA">
        <w:t>(</w:t>
      </w:r>
      <w:r>
        <w:t xml:space="preserve">see Table </w:t>
      </w:r>
      <w:r w:rsidR="00C20EA2">
        <w:t>6</w:t>
      </w:r>
      <w:r w:rsidR="00890EB3">
        <w:t>.</w:t>
      </w:r>
      <w:r w:rsidR="006C4C93">
        <w:t>5</w:t>
      </w:r>
      <w:r w:rsidR="007C09DA">
        <w:t>)</w:t>
      </w:r>
      <w:r>
        <w:t>.</w:t>
      </w:r>
    </w:p>
    <w:p w14:paraId="2D4E5A3D" w14:textId="77777777" w:rsidR="002F3E3E" w:rsidRDefault="002F3E3E" w:rsidP="00A377AC">
      <w:pPr>
        <w:ind w:firstLine="360"/>
      </w:pPr>
    </w:p>
    <w:p w14:paraId="31E89F71" w14:textId="77777777" w:rsidR="00597B08" w:rsidRDefault="00597B08" w:rsidP="00A377AC">
      <w:pPr>
        <w:ind w:firstLine="360"/>
      </w:pPr>
    </w:p>
    <w:p w14:paraId="44397E41" w14:textId="1D5D9FEF" w:rsidR="00CB3528" w:rsidRPr="000D1AA0" w:rsidRDefault="00CB3528" w:rsidP="00A377AC">
      <w:pPr>
        <w:ind w:firstLine="360"/>
        <w:rPr>
          <w:b/>
          <w:sz w:val="20"/>
          <w:szCs w:val="20"/>
        </w:rPr>
      </w:pPr>
      <w:r w:rsidRPr="000D1AA0">
        <w:rPr>
          <w:b/>
          <w:sz w:val="20"/>
          <w:szCs w:val="20"/>
        </w:rPr>
        <w:t xml:space="preserve">Table </w:t>
      </w:r>
      <w:r w:rsidR="00C20EA2" w:rsidRPr="000D1AA0">
        <w:rPr>
          <w:b/>
          <w:sz w:val="20"/>
          <w:szCs w:val="20"/>
        </w:rPr>
        <w:t>6</w:t>
      </w:r>
      <w:r w:rsidR="00890EB3">
        <w:rPr>
          <w:b/>
          <w:sz w:val="20"/>
          <w:szCs w:val="20"/>
        </w:rPr>
        <w:t>.</w:t>
      </w:r>
      <w:r w:rsidR="006C4C93">
        <w:rPr>
          <w:b/>
          <w:sz w:val="20"/>
          <w:szCs w:val="20"/>
        </w:rPr>
        <w:t>5</w:t>
      </w:r>
      <w:r w:rsidRPr="000D1AA0">
        <w:rPr>
          <w:b/>
          <w:sz w:val="20"/>
          <w:szCs w:val="20"/>
        </w:rPr>
        <w:t>.</w:t>
      </w:r>
      <w:r w:rsidR="00821502">
        <w:rPr>
          <w:b/>
          <w:sz w:val="20"/>
          <w:szCs w:val="20"/>
        </w:rPr>
        <w:t xml:space="preserve"> </w:t>
      </w:r>
      <w:r w:rsidRPr="000D1AA0">
        <w:rPr>
          <w:b/>
          <w:sz w:val="20"/>
          <w:szCs w:val="20"/>
        </w:rPr>
        <w:t xml:space="preserve">Total Cost Estimate for the </w:t>
      </w:r>
      <w:r w:rsidR="00DA35E4">
        <w:rPr>
          <w:b/>
          <w:sz w:val="20"/>
          <w:szCs w:val="20"/>
        </w:rPr>
        <w:t>EP</w:t>
      </w:r>
      <w:r w:rsidRPr="000D1AA0">
        <w:rPr>
          <w:b/>
          <w:sz w:val="20"/>
          <w:szCs w:val="20"/>
        </w:rPr>
        <w:t>A</w:t>
      </w:r>
    </w:p>
    <w:p w14:paraId="6CAD5309" w14:textId="77777777" w:rsidR="00E1056D" w:rsidRPr="00E1056D" w:rsidRDefault="00E1056D" w:rsidP="00A377AC">
      <w:pPr>
        <w:ind w:firstLine="360"/>
        <w:rPr>
          <w:b/>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980"/>
        <w:gridCol w:w="2160"/>
        <w:gridCol w:w="2160"/>
      </w:tblGrid>
      <w:tr w:rsidR="00CB3528" w14:paraId="771AA59A" w14:textId="77777777" w:rsidTr="00C94BC0">
        <w:tc>
          <w:tcPr>
            <w:tcW w:w="2430" w:type="dxa"/>
          </w:tcPr>
          <w:p w14:paraId="50576ECA" w14:textId="77777777" w:rsidR="00CB3528" w:rsidRPr="00A377AC" w:rsidRDefault="00CB3528" w:rsidP="00A377AC">
            <w:pPr>
              <w:ind w:firstLine="360"/>
              <w:rPr>
                <w:b/>
                <w:sz w:val="20"/>
                <w:szCs w:val="20"/>
              </w:rPr>
            </w:pPr>
            <w:r w:rsidRPr="00A377AC">
              <w:rPr>
                <w:b/>
                <w:sz w:val="20"/>
                <w:szCs w:val="20"/>
              </w:rPr>
              <w:t>Entity</w:t>
            </w:r>
          </w:p>
        </w:tc>
        <w:tc>
          <w:tcPr>
            <w:tcW w:w="1980" w:type="dxa"/>
            <w:vAlign w:val="center"/>
          </w:tcPr>
          <w:p w14:paraId="4542123A" w14:textId="3507307A" w:rsidR="00CB3528" w:rsidRPr="00A377AC" w:rsidRDefault="00ED0030" w:rsidP="00A377AC">
            <w:pPr>
              <w:ind w:firstLine="360"/>
              <w:rPr>
                <w:b/>
                <w:sz w:val="20"/>
                <w:szCs w:val="20"/>
              </w:rPr>
            </w:pPr>
            <w:r w:rsidRPr="00A377AC">
              <w:rPr>
                <w:b/>
                <w:sz w:val="20"/>
                <w:szCs w:val="20"/>
              </w:rPr>
              <w:t xml:space="preserve">Estimated </w:t>
            </w:r>
            <w:r w:rsidR="00535D4E" w:rsidRPr="00A377AC">
              <w:rPr>
                <w:b/>
                <w:sz w:val="20"/>
                <w:szCs w:val="20"/>
              </w:rPr>
              <w:t>Burden Hours</w:t>
            </w:r>
          </w:p>
        </w:tc>
        <w:tc>
          <w:tcPr>
            <w:tcW w:w="2160" w:type="dxa"/>
            <w:vAlign w:val="center"/>
          </w:tcPr>
          <w:p w14:paraId="12C2028E" w14:textId="43D1B4AB" w:rsidR="00CB3528" w:rsidRPr="00A377AC" w:rsidRDefault="00ED0030" w:rsidP="00A377AC">
            <w:pPr>
              <w:ind w:firstLine="360"/>
              <w:rPr>
                <w:b/>
                <w:sz w:val="20"/>
                <w:szCs w:val="20"/>
              </w:rPr>
            </w:pPr>
            <w:r w:rsidRPr="00A377AC">
              <w:rPr>
                <w:b/>
                <w:sz w:val="20"/>
                <w:szCs w:val="20"/>
              </w:rPr>
              <w:t xml:space="preserve">Weighted </w:t>
            </w:r>
            <w:r w:rsidR="00535D4E" w:rsidRPr="00A377AC">
              <w:rPr>
                <w:b/>
                <w:sz w:val="20"/>
                <w:szCs w:val="20"/>
              </w:rPr>
              <w:t>Hourly Labor Rate</w:t>
            </w:r>
          </w:p>
        </w:tc>
        <w:tc>
          <w:tcPr>
            <w:tcW w:w="2160" w:type="dxa"/>
            <w:vAlign w:val="center"/>
          </w:tcPr>
          <w:p w14:paraId="37E8C001" w14:textId="1CB5D2DF" w:rsidR="00CB3528" w:rsidRPr="00A377AC" w:rsidRDefault="00535D4E" w:rsidP="00A377AC">
            <w:pPr>
              <w:ind w:firstLine="360"/>
              <w:rPr>
                <w:b/>
                <w:sz w:val="20"/>
                <w:szCs w:val="20"/>
              </w:rPr>
            </w:pPr>
            <w:r w:rsidRPr="00A377AC">
              <w:rPr>
                <w:b/>
                <w:sz w:val="20"/>
                <w:szCs w:val="20"/>
              </w:rPr>
              <w:t xml:space="preserve">Total </w:t>
            </w:r>
            <w:r w:rsidR="003A60B8" w:rsidRPr="00A377AC">
              <w:rPr>
                <w:b/>
                <w:sz w:val="20"/>
                <w:szCs w:val="20"/>
              </w:rPr>
              <w:t xml:space="preserve">Estimated </w:t>
            </w:r>
            <w:r w:rsidRPr="00A377AC">
              <w:rPr>
                <w:b/>
                <w:sz w:val="20"/>
                <w:szCs w:val="20"/>
              </w:rPr>
              <w:t>Cost</w:t>
            </w:r>
            <w:r w:rsidR="003A60B8" w:rsidRPr="00A377AC">
              <w:rPr>
                <w:b/>
                <w:sz w:val="20"/>
                <w:szCs w:val="20"/>
              </w:rPr>
              <w:t xml:space="preserve"> (in millions)</w:t>
            </w:r>
          </w:p>
        </w:tc>
      </w:tr>
      <w:tr w:rsidR="002E6806" w14:paraId="3B1B9D90" w14:textId="77777777" w:rsidTr="00C94BC0">
        <w:tc>
          <w:tcPr>
            <w:tcW w:w="2430" w:type="dxa"/>
          </w:tcPr>
          <w:p w14:paraId="544FEA79" w14:textId="77777777" w:rsidR="002E6806" w:rsidRPr="00E1056D" w:rsidRDefault="002E6806" w:rsidP="00A377AC">
            <w:pPr>
              <w:ind w:firstLine="360"/>
              <w:rPr>
                <w:sz w:val="20"/>
                <w:szCs w:val="20"/>
              </w:rPr>
            </w:pPr>
            <w:r w:rsidRPr="00E1056D">
              <w:rPr>
                <w:sz w:val="20"/>
                <w:szCs w:val="20"/>
              </w:rPr>
              <w:t>Regional Office</w:t>
            </w:r>
          </w:p>
        </w:tc>
        <w:tc>
          <w:tcPr>
            <w:tcW w:w="1980" w:type="dxa"/>
            <w:vAlign w:val="center"/>
          </w:tcPr>
          <w:p w14:paraId="18E30298" w14:textId="7DB5289A" w:rsidR="002E6806" w:rsidRPr="00E1056D" w:rsidRDefault="00BC1307" w:rsidP="00A377AC">
            <w:pPr>
              <w:ind w:firstLine="360"/>
              <w:rPr>
                <w:sz w:val="20"/>
                <w:szCs w:val="20"/>
              </w:rPr>
            </w:pPr>
            <w:r w:rsidRPr="00BC1307">
              <w:rPr>
                <w:sz w:val="20"/>
                <w:szCs w:val="20"/>
              </w:rPr>
              <w:t>25,400</w:t>
            </w:r>
          </w:p>
        </w:tc>
        <w:tc>
          <w:tcPr>
            <w:tcW w:w="2160" w:type="dxa"/>
            <w:vAlign w:val="center"/>
          </w:tcPr>
          <w:p w14:paraId="57E74481" w14:textId="586E8A07" w:rsidR="002E6806" w:rsidRPr="00E1056D" w:rsidRDefault="00643A62" w:rsidP="00A377AC">
            <w:pPr>
              <w:ind w:firstLine="360"/>
              <w:rPr>
                <w:sz w:val="20"/>
                <w:szCs w:val="20"/>
              </w:rPr>
            </w:pPr>
            <w:r>
              <w:rPr>
                <w:sz w:val="20"/>
                <w:szCs w:val="20"/>
              </w:rPr>
              <w:t>$67.97</w:t>
            </w:r>
          </w:p>
        </w:tc>
        <w:tc>
          <w:tcPr>
            <w:tcW w:w="2160" w:type="dxa"/>
            <w:vAlign w:val="center"/>
          </w:tcPr>
          <w:p w14:paraId="5E3BE70C" w14:textId="28A0BCF4" w:rsidR="002E6806" w:rsidRPr="00E1056D" w:rsidRDefault="00643A62" w:rsidP="00A377AC">
            <w:pPr>
              <w:ind w:firstLine="360"/>
              <w:rPr>
                <w:sz w:val="20"/>
                <w:szCs w:val="20"/>
              </w:rPr>
            </w:pPr>
            <w:r>
              <w:rPr>
                <w:sz w:val="20"/>
                <w:szCs w:val="20"/>
              </w:rPr>
              <w:t>$</w:t>
            </w:r>
            <w:r w:rsidR="002D3205">
              <w:rPr>
                <w:sz w:val="20"/>
                <w:szCs w:val="20"/>
              </w:rPr>
              <w:t>1</w:t>
            </w:r>
            <w:r w:rsidR="003A60B8">
              <w:rPr>
                <w:sz w:val="20"/>
                <w:szCs w:val="20"/>
              </w:rPr>
              <w:t>.</w:t>
            </w:r>
            <w:r w:rsidR="00BC1307">
              <w:rPr>
                <w:sz w:val="20"/>
                <w:szCs w:val="20"/>
              </w:rPr>
              <w:t>7</w:t>
            </w:r>
          </w:p>
        </w:tc>
      </w:tr>
      <w:tr w:rsidR="002E6806" w14:paraId="2216032C" w14:textId="77777777" w:rsidTr="00C94BC0">
        <w:tc>
          <w:tcPr>
            <w:tcW w:w="2430" w:type="dxa"/>
          </w:tcPr>
          <w:p w14:paraId="2D786DDD" w14:textId="77777777" w:rsidR="002E6806" w:rsidRPr="00E1056D" w:rsidRDefault="002E6806" w:rsidP="00A377AC">
            <w:pPr>
              <w:ind w:firstLine="360"/>
              <w:rPr>
                <w:sz w:val="20"/>
                <w:szCs w:val="20"/>
              </w:rPr>
            </w:pPr>
            <w:r w:rsidRPr="00E1056D">
              <w:rPr>
                <w:sz w:val="20"/>
                <w:szCs w:val="20"/>
              </w:rPr>
              <w:t>Headquarters Office</w:t>
            </w:r>
          </w:p>
        </w:tc>
        <w:tc>
          <w:tcPr>
            <w:tcW w:w="1980" w:type="dxa"/>
            <w:vAlign w:val="center"/>
          </w:tcPr>
          <w:p w14:paraId="001B74E1" w14:textId="5D0E8AA9" w:rsidR="002E6806" w:rsidRPr="00E1056D" w:rsidRDefault="00BC1307" w:rsidP="00A377AC">
            <w:pPr>
              <w:ind w:firstLine="360"/>
              <w:rPr>
                <w:sz w:val="20"/>
                <w:szCs w:val="20"/>
              </w:rPr>
            </w:pPr>
            <w:r w:rsidRPr="00BC1307">
              <w:rPr>
                <w:sz w:val="20"/>
                <w:szCs w:val="20"/>
              </w:rPr>
              <w:t>5,080</w:t>
            </w:r>
          </w:p>
        </w:tc>
        <w:tc>
          <w:tcPr>
            <w:tcW w:w="2160" w:type="dxa"/>
            <w:vAlign w:val="center"/>
          </w:tcPr>
          <w:p w14:paraId="385F9B0E" w14:textId="2CFC7EDC" w:rsidR="002E6806" w:rsidRPr="00E1056D" w:rsidRDefault="00643A62" w:rsidP="00A377AC">
            <w:pPr>
              <w:ind w:firstLine="360"/>
              <w:rPr>
                <w:sz w:val="20"/>
                <w:szCs w:val="20"/>
              </w:rPr>
            </w:pPr>
            <w:r>
              <w:rPr>
                <w:sz w:val="20"/>
                <w:szCs w:val="20"/>
              </w:rPr>
              <w:t>$67.97</w:t>
            </w:r>
          </w:p>
        </w:tc>
        <w:tc>
          <w:tcPr>
            <w:tcW w:w="2160" w:type="dxa"/>
            <w:vAlign w:val="center"/>
          </w:tcPr>
          <w:p w14:paraId="46CC2E38" w14:textId="01F6B5A4" w:rsidR="002E6806" w:rsidRPr="00E1056D" w:rsidRDefault="00643A62" w:rsidP="00A377AC">
            <w:pPr>
              <w:ind w:firstLine="360"/>
              <w:rPr>
                <w:sz w:val="20"/>
                <w:szCs w:val="20"/>
              </w:rPr>
            </w:pPr>
            <w:r>
              <w:rPr>
                <w:sz w:val="20"/>
                <w:szCs w:val="20"/>
              </w:rPr>
              <w:t>$</w:t>
            </w:r>
            <w:r w:rsidR="003A60B8">
              <w:rPr>
                <w:sz w:val="20"/>
                <w:szCs w:val="20"/>
              </w:rPr>
              <w:t>0.</w:t>
            </w:r>
            <w:r w:rsidR="00BC1307">
              <w:rPr>
                <w:sz w:val="20"/>
                <w:szCs w:val="20"/>
              </w:rPr>
              <w:t>3</w:t>
            </w:r>
          </w:p>
        </w:tc>
      </w:tr>
      <w:tr w:rsidR="002E6806" w14:paraId="01D7CDCF" w14:textId="77777777" w:rsidTr="00C94BC0">
        <w:tc>
          <w:tcPr>
            <w:tcW w:w="2430" w:type="dxa"/>
          </w:tcPr>
          <w:p w14:paraId="418466E2" w14:textId="542DE36F" w:rsidR="002E6806" w:rsidRPr="00E1056D" w:rsidRDefault="002E6806" w:rsidP="00BC1307">
            <w:pPr>
              <w:ind w:firstLine="360"/>
              <w:jc w:val="center"/>
              <w:rPr>
                <w:b/>
                <w:sz w:val="20"/>
                <w:szCs w:val="20"/>
              </w:rPr>
            </w:pPr>
            <w:r w:rsidRPr="00E1056D">
              <w:rPr>
                <w:b/>
                <w:sz w:val="20"/>
                <w:szCs w:val="20"/>
              </w:rPr>
              <w:t xml:space="preserve">Total </w:t>
            </w:r>
            <w:r w:rsidR="00DA35E4">
              <w:rPr>
                <w:b/>
                <w:sz w:val="20"/>
                <w:szCs w:val="20"/>
              </w:rPr>
              <w:t>EP</w:t>
            </w:r>
            <w:r w:rsidRPr="00E1056D">
              <w:rPr>
                <w:b/>
                <w:sz w:val="20"/>
                <w:szCs w:val="20"/>
              </w:rPr>
              <w:t xml:space="preserve">A </w:t>
            </w:r>
            <w:r w:rsidR="00643A62">
              <w:rPr>
                <w:b/>
                <w:sz w:val="20"/>
                <w:szCs w:val="20"/>
              </w:rPr>
              <w:t xml:space="preserve">Hours &amp; </w:t>
            </w:r>
            <w:r w:rsidRPr="00E1056D">
              <w:rPr>
                <w:b/>
                <w:sz w:val="20"/>
                <w:szCs w:val="20"/>
              </w:rPr>
              <w:t>Cost</w:t>
            </w:r>
          </w:p>
        </w:tc>
        <w:tc>
          <w:tcPr>
            <w:tcW w:w="1980" w:type="dxa"/>
            <w:vAlign w:val="center"/>
          </w:tcPr>
          <w:p w14:paraId="0F6BB2E9" w14:textId="17D571B9" w:rsidR="002E6806" w:rsidRPr="00E1056D" w:rsidRDefault="00BC1307" w:rsidP="00A377AC">
            <w:pPr>
              <w:ind w:firstLine="360"/>
              <w:rPr>
                <w:b/>
                <w:sz w:val="20"/>
                <w:szCs w:val="20"/>
              </w:rPr>
            </w:pPr>
            <w:r w:rsidRPr="00BC1307">
              <w:rPr>
                <w:b/>
                <w:sz w:val="20"/>
                <w:szCs w:val="20"/>
              </w:rPr>
              <w:t>30,480</w:t>
            </w:r>
          </w:p>
        </w:tc>
        <w:tc>
          <w:tcPr>
            <w:tcW w:w="2160" w:type="dxa"/>
            <w:vAlign w:val="center"/>
          </w:tcPr>
          <w:p w14:paraId="31BB6113" w14:textId="54041B94" w:rsidR="002E6806" w:rsidRPr="00E1056D" w:rsidRDefault="006C4C93" w:rsidP="00A377AC">
            <w:pPr>
              <w:ind w:firstLine="360"/>
              <w:rPr>
                <w:b/>
                <w:sz w:val="20"/>
                <w:szCs w:val="20"/>
              </w:rPr>
            </w:pPr>
            <w:r>
              <w:rPr>
                <w:b/>
                <w:sz w:val="20"/>
                <w:szCs w:val="20"/>
              </w:rPr>
              <w:t>n/a</w:t>
            </w:r>
          </w:p>
        </w:tc>
        <w:tc>
          <w:tcPr>
            <w:tcW w:w="2160" w:type="dxa"/>
            <w:vAlign w:val="center"/>
          </w:tcPr>
          <w:p w14:paraId="7C87D3DD" w14:textId="0ED3C777" w:rsidR="002E6806" w:rsidRPr="00E1056D" w:rsidRDefault="002D3205" w:rsidP="00A377AC">
            <w:pPr>
              <w:ind w:firstLine="360"/>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w:t>
            </w:r>
            <w:r w:rsidR="003A60B8">
              <w:rPr>
                <w:b/>
                <w:noProof/>
                <w:sz w:val="20"/>
                <w:szCs w:val="20"/>
              </w:rPr>
              <w:t>2</w:t>
            </w:r>
            <w:r>
              <w:rPr>
                <w:b/>
                <w:sz w:val="20"/>
                <w:szCs w:val="20"/>
              </w:rPr>
              <w:fldChar w:fldCharType="end"/>
            </w:r>
            <w:r w:rsidR="00BC1307">
              <w:rPr>
                <w:b/>
                <w:sz w:val="20"/>
                <w:szCs w:val="20"/>
              </w:rPr>
              <w:t>.0</w:t>
            </w:r>
          </w:p>
        </w:tc>
      </w:tr>
    </w:tbl>
    <w:p w14:paraId="4EFF2FE0" w14:textId="77777777" w:rsidR="000D1AA0" w:rsidRDefault="000D1AA0" w:rsidP="00A377AC">
      <w:pPr>
        <w:ind w:firstLine="360"/>
        <w:rPr>
          <w:b/>
        </w:rPr>
      </w:pPr>
    </w:p>
    <w:p w14:paraId="2EDC8EA1" w14:textId="77777777" w:rsidR="00CB3528" w:rsidRPr="00E1056D" w:rsidRDefault="00CB3528" w:rsidP="00A377AC">
      <w:pPr>
        <w:ind w:firstLine="360"/>
        <w:rPr>
          <w:b/>
        </w:rPr>
      </w:pPr>
      <w:r w:rsidRPr="00E1056D">
        <w:rPr>
          <w:b/>
        </w:rPr>
        <w:t>6(d)</w:t>
      </w:r>
      <w:r w:rsidRPr="00E1056D">
        <w:rPr>
          <w:b/>
        </w:rPr>
        <w:tab/>
        <w:t>Estimating the Respondent Universe and Total Additional Burden and Costs</w:t>
      </w:r>
    </w:p>
    <w:p w14:paraId="5E587055" w14:textId="77777777" w:rsidR="00CB3528" w:rsidRDefault="00CB3528" w:rsidP="00A377AC">
      <w:pPr>
        <w:ind w:firstLine="360"/>
      </w:pPr>
    </w:p>
    <w:p w14:paraId="439BE6A9" w14:textId="0B3E027A" w:rsidR="00CB3528" w:rsidRDefault="00CB3528" w:rsidP="00A377AC">
      <w:pPr>
        <w:ind w:firstLine="360"/>
      </w:pPr>
      <w:r>
        <w:t xml:space="preserve">The </w:t>
      </w:r>
      <w:r w:rsidR="00F60CE0">
        <w:t>primary</w:t>
      </w:r>
      <w:r>
        <w:t xml:space="preserve"> respondents </w:t>
      </w:r>
      <w:r w:rsidR="007601C1">
        <w:t xml:space="preserve">to this ICR </w:t>
      </w:r>
      <w:r w:rsidR="00F60CE0">
        <w:t xml:space="preserve">are </w:t>
      </w:r>
      <w:r>
        <w:t xml:space="preserve">the states, as they have </w:t>
      </w:r>
      <w:r w:rsidR="00891073">
        <w:t>nearly</w:t>
      </w:r>
      <w:r>
        <w:t xml:space="preserve"> </w:t>
      </w:r>
      <w:r w:rsidR="00891073">
        <w:t>8</w:t>
      </w:r>
      <w:r>
        <w:t>0</w:t>
      </w:r>
      <w:r w:rsidR="00BD7123">
        <w:t xml:space="preserve"> percent</w:t>
      </w:r>
      <w:r>
        <w:t xml:space="preserve"> of the estimated additional burden. The</w:t>
      </w:r>
      <w:r w:rsidR="00ED0030">
        <w:t xml:space="preserve"> </w:t>
      </w:r>
      <w:r>
        <w:t>re</w:t>
      </w:r>
      <w:r w:rsidR="00ED0030">
        <w:t>maining</w:t>
      </w:r>
      <w:r>
        <w:t xml:space="preserve"> burden </w:t>
      </w:r>
      <w:r w:rsidR="00ED0030">
        <w:t xml:space="preserve">is </w:t>
      </w:r>
      <w:r>
        <w:t xml:space="preserve">imposed on </w:t>
      </w:r>
      <w:r w:rsidR="007601C1">
        <w:t xml:space="preserve">EPA </w:t>
      </w:r>
      <w:r>
        <w:t xml:space="preserve">Regional and Headquarters Offices. </w:t>
      </w:r>
    </w:p>
    <w:p w14:paraId="4EECCBB8" w14:textId="77777777" w:rsidR="00CB3528" w:rsidRDefault="00CB3528" w:rsidP="00A377AC">
      <w:pPr>
        <w:ind w:firstLine="360"/>
      </w:pPr>
    </w:p>
    <w:p w14:paraId="6D502204" w14:textId="4EB65E6C" w:rsidR="00CB3528" w:rsidRDefault="00CB3528" w:rsidP="00A377AC">
      <w:pPr>
        <w:ind w:firstLine="360"/>
      </w:pPr>
      <w:r>
        <w:t xml:space="preserve">The total incremental respondent burden and cost estimates are presented in Table </w:t>
      </w:r>
      <w:r w:rsidR="00890EB3">
        <w:t>6.</w:t>
      </w:r>
      <w:r w:rsidR="006C4C93">
        <w:t>6</w:t>
      </w:r>
      <w:r>
        <w:t>.</w:t>
      </w:r>
    </w:p>
    <w:p w14:paraId="4B1CB075" w14:textId="405BEBFF" w:rsidR="00F13A11" w:rsidRDefault="00F13A11" w:rsidP="00A377AC">
      <w:pPr>
        <w:ind w:firstLine="360"/>
      </w:pPr>
    </w:p>
    <w:p w14:paraId="217978E0" w14:textId="77777777" w:rsidR="00275B3E" w:rsidRDefault="00275B3E" w:rsidP="00A377AC">
      <w:pPr>
        <w:ind w:firstLine="360"/>
      </w:pPr>
    </w:p>
    <w:p w14:paraId="26AA43BC" w14:textId="3759F0EC" w:rsidR="00CB3528" w:rsidRDefault="00CB3528" w:rsidP="00A377AC">
      <w:pPr>
        <w:ind w:firstLine="360"/>
        <w:rPr>
          <w:b/>
          <w:sz w:val="20"/>
          <w:szCs w:val="20"/>
        </w:rPr>
      </w:pPr>
      <w:r w:rsidRPr="00E1056D">
        <w:rPr>
          <w:b/>
          <w:sz w:val="20"/>
          <w:szCs w:val="20"/>
        </w:rPr>
        <w:t xml:space="preserve">Table </w:t>
      </w:r>
      <w:r w:rsidR="00890EB3">
        <w:rPr>
          <w:b/>
          <w:sz w:val="20"/>
          <w:szCs w:val="20"/>
        </w:rPr>
        <w:t>6.</w:t>
      </w:r>
      <w:r w:rsidR="006C4C93">
        <w:rPr>
          <w:b/>
          <w:sz w:val="20"/>
          <w:szCs w:val="20"/>
        </w:rPr>
        <w:t>6</w:t>
      </w:r>
      <w:r w:rsidRPr="00E1056D">
        <w:rPr>
          <w:b/>
          <w:sz w:val="20"/>
          <w:szCs w:val="20"/>
        </w:rPr>
        <w:t>.</w:t>
      </w:r>
      <w:r w:rsidR="00821502">
        <w:rPr>
          <w:b/>
          <w:sz w:val="20"/>
          <w:szCs w:val="20"/>
        </w:rPr>
        <w:t xml:space="preserve"> </w:t>
      </w:r>
      <w:r w:rsidRPr="00E1056D">
        <w:rPr>
          <w:b/>
          <w:sz w:val="20"/>
          <w:szCs w:val="20"/>
        </w:rPr>
        <w:t xml:space="preserve">Total Incremental Respondent &amp; </w:t>
      </w:r>
      <w:r w:rsidR="00DA35E4">
        <w:rPr>
          <w:b/>
          <w:sz w:val="20"/>
          <w:szCs w:val="20"/>
        </w:rPr>
        <w:t>EP</w:t>
      </w:r>
      <w:r w:rsidRPr="00E1056D">
        <w:rPr>
          <w:b/>
          <w:sz w:val="20"/>
          <w:szCs w:val="20"/>
        </w:rPr>
        <w:t xml:space="preserve">A Burden and Cost Estimates </w:t>
      </w:r>
    </w:p>
    <w:p w14:paraId="6CF544DB" w14:textId="77777777" w:rsidR="00E1056D" w:rsidRPr="00E1056D" w:rsidRDefault="00E1056D" w:rsidP="00A377AC">
      <w:pPr>
        <w:ind w:firstLine="36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728"/>
        <w:gridCol w:w="1153"/>
        <w:gridCol w:w="1620"/>
        <w:gridCol w:w="2116"/>
        <w:gridCol w:w="1733"/>
      </w:tblGrid>
      <w:tr w:rsidR="00470503" w:rsidRPr="00477D86" w14:paraId="02DED521" w14:textId="6AE27C96" w:rsidTr="00C94BC0">
        <w:trPr>
          <w:trHeight w:val="548"/>
          <w:jc w:val="center"/>
        </w:trPr>
        <w:tc>
          <w:tcPr>
            <w:tcW w:w="1000" w:type="dxa"/>
          </w:tcPr>
          <w:p w14:paraId="185F834B" w14:textId="77777777" w:rsidR="00470503" w:rsidRPr="00A377AC" w:rsidRDefault="00470503" w:rsidP="00A377AC">
            <w:pPr>
              <w:ind w:firstLine="360"/>
              <w:rPr>
                <w:sz w:val="20"/>
                <w:szCs w:val="20"/>
              </w:rPr>
            </w:pPr>
            <w:r w:rsidRPr="00A377AC">
              <w:rPr>
                <w:sz w:val="20"/>
                <w:szCs w:val="20"/>
              </w:rPr>
              <w:t>Entity</w:t>
            </w:r>
          </w:p>
        </w:tc>
        <w:tc>
          <w:tcPr>
            <w:tcW w:w="1728" w:type="dxa"/>
          </w:tcPr>
          <w:p w14:paraId="233C7FEE" w14:textId="022D119F" w:rsidR="00470503" w:rsidRPr="00A377AC" w:rsidRDefault="00470503" w:rsidP="00A377AC">
            <w:pPr>
              <w:ind w:firstLine="360"/>
              <w:rPr>
                <w:sz w:val="20"/>
                <w:szCs w:val="20"/>
              </w:rPr>
            </w:pPr>
            <w:r w:rsidRPr="00A377AC">
              <w:rPr>
                <w:sz w:val="20"/>
                <w:szCs w:val="20"/>
              </w:rPr>
              <w:t>Estimated Total Burden Hours</w:t>
            </w:r>
          </w:p>
        </w:tc>
        <w:tc>
          <w:tcPr>
            <w:tcW w:w="1153" w:type="dxa"/>
          </w:tcPr>
          <w:p w14:paraId="77AEA8D6" w14:textId="291AC461" w:rsidR="00470503" w:rsidRPr="00A377AC" w:rsidDel="00535D4E" w:rsidRDefault="00470503" w:rsidP="00A377AC">
            <w:pPr>
              <w:ind w:firstLine="360"/>
              <w:rPr>
                <w:sz w:val="20"/>
                <w:szCs w:val="20"/>
              </w:rPr>
            </w:pPr>
            <w:r w:rsidRPr="00A377AC">
              <w:rPr>
                <w:sz w:val="20"/>
                <w:szCs w:val="20"/>
              </w:rPr>
              <w:t>Annual Average Total Burden</w:t>
            </w:r>
          </w:p>
        </w:tc>
        <w:tc>
          <w:tcPr>
            <w:tcW w:w="1620" w:type="dxa"/>
          </w:tcPr>
          <w:p w14:paraId="6304A354" w14:textId="5895D1A3" w:rsidR="00470503" w:rsidRPr="00A377AC" w:rsidRDefault="00470503" w:rsidP="00A377AC">
            <w:pPr>
              <w:ind w:firstLine="360"/>
              <w:rPr>
                <w:sz w:val="20"/>
                <w:szCs w:val="20"/>
              </w:rPr>
            </w:pPr>
            <w:r w:rsidRPr="00A377AC">
              <w:rPr>
                <w:sz w:val="20"/>
                <w:szCs w:val="20"/>
              </w:rPr>
              <w:t>Weighted Hourly Labor Rate</w:t>
            </w:r>
          </w:p>
        </w:tc>
        <w:tc>
          <w:tcPr>
            <w:tcW w:w="2116" w:type="dxa"/>
          </w:tcPr>
          <w:p w14:paraId="43FAAD80" w14:textId="629127C0" w:rsidR="00470503" w:rsidRPr="00A377AC" w:rsidRDefault="00470503" w:rsidP="00A377AC">
            <w:pPr>
              <w:ind w:firstLine="360"/>
              <w:rPr>
                <w:sz w:val="20"/>
                <w:szCs w:val="20"/>
              </w:rPr>
            </w:pPr>
            <w:r w:rsidRPr="00A377AC">
              <w:rPr>
                <w:sz w:val="20"/>
                <w:szCs w:val="20"/>
              </w:rPr>
              <w:t>Total Cost Estimate</w:t>
            </w:r>
            <w:r w:rsidR="003A60B8" w:rsidRPr="00A377AC">
              <w:rPr>
                <w:sz w:val="20"/>
                <w:szCs w:val="20"/>
              </w:rPr>
              <w:t xml:space="preserve"> (in millions)</w:t>
            </w:r>
          </w:p>
        </w:tc>
        <w:tc>
          <w:tcPr>
            <w:tcW w:w="1733" w:type="dxa"/>
          </w:tcPr>
          <w:p w14:paraId="0DD26B20" w14:textId="00205EB0" w:rsidR="00470503" w:rsidRPr="00A377AC" w:rsidDel="00535D4E" w:rsidRDefault="00470503" w:rsidP="00A377AC">
            <w:pPr>
              <w:ind w:firstLine="360"/>
              <w:rPr>
                <w:sz w:val="20"/>
                <w:szCs w:val="20"/>
              </w:rPr>
            </w:pPr>
            <w:r w:rsidRPr="00A377AC">
              <w:rPr>
                <w:sz w:val="20"/>
                <w:szCs w:val="20"/>
              </w:rPr>
              <w:t>Annual Average Total Cost Estimate</w:t>
            </w:r>
            <w:r w:rsidR="003A60B8" w:rsidRPr="00A377AC">
              <w:rPr>
                <w:sz w:val="20"/>
                <w:szCs w:val="20"/>
              </w:rPr>
              <w:t xml:space="preserve"> (in millions)</w:t>
            </w:r>
          </w:p>
        </w:tc>
      </w:tr>
      <w:tr w:rsidR="00470503" w:rsidRPr="00477D86" w14:paraId="18A4D93C" w14:textId="5C645C00" w:rsidTr="00C94BC0">
        <w:trPr>
          <w:jc w:val="center"/>
        </w:trPr>
        <w:tc>
          <w:tcPr>
            <w:tcW w:w="1000" w:type="dxa"/>
          </w:tcPr>
          <w:p w14:paraId="39A30D5C" w14:textId="77777777" w:rsidR="00470503" w:rsidRPr="00E1056D" w:rsidRDefault="00470503" w:rsidP="00A377AC">
            <w:pPr>
              <w:ind w:firstLine="360"/>
              <w:rPr>
                <w:sz w:val="20"/>
                <w:szCs w:val="20"/>
              </w:rPr>
            </w:pPr>
            <w:r w:rsidRPr="00E1056D">
              <w:rPr>
                <w:sz w:val="20"/>
                <w:szCs w:val="20"/>
              </w:rPr>
              <w:t>States</w:t>
            </w:r>
          </w:p>
        </w:tc>
        <w:tc>
          <w:tcPr>
            <w:tcW w:w="1728" w:type="dxa"/>
            <w:vAlign w:val="center"/>
          </w:tcPr>
          <w:p w14:paraId="3F444902" w14:textId="750C962A" w:rsidR="00470503" w:rsidRPr="00E1056D" w:rsidRDefault="007A502F" w:rsidP="00A377AC">
            <w:pPr>
              <w:ind w:firstLine="360"/>
              <w:rPr>
                <w:sz w:val="20"/>
                <w:szCs w:val="20"/>
              </w:rPr>
            </w:pPr>
            <w:r>
              <w:rPr>
                <w:sz w:val="20"/>
                <w:szCs w:val="20"/>
              </w:rPr>
              <w:t>10</w:t>
            </w:r>
            <w:r w:rsidR="00C94BC0">
              <w:rPr>
                <w:sz w:val="20"/>
                <w:szCs w:val="20"/>
              </w:rPr>
              <w:t>2</w:t>
            </w:r>
            <w:r w:rsidR="00470503">
              <w:rPr>
                <w:sz w:val="20"/>
                <w:szCs w:val="20"/>
              </w:rPr>
              <w:t>,000</w:t>
            </w:r>
          </w:p>
        </w:tc>
        <w:tc>
          <w:tcPr>
            <w:tcW w:w="1153" w:type="dxa"/>
          </w:tcPr>
          <w:p w14:paraId="6D208C02" w14:textId="03225C6B" w:rsidR="00470503" w:rsidRDefault="006C5DA6" w:rsidP="00A377AC">
            <w:pPr>
              <w:ind w:firstLine="360"/>
              <w:rPr>
                <w:sz w:val="20"/>
                <w:szCs w:val="20"/>
              </w:rPr>
            </w:pPr>
            <w:r>
              <w:rPr>
                <w:sz w:val="20"/>
                <w:szCs w:val="20"/>
              </w:rPr>
              <w:t>34,000</w:t>
            </w:r>
          </w:p>
        </w:tc>
        <w:tc>
          <w:tcPr>
            <w:tcW w:w="1620" w:type="dxa"/>
            <w:vAlign w:val="center"/>
          </w:tcPr>
          <w:p w14:paraId="39B1A041" w14:textId="596D07C5" w:rsidR="00470503" w:rsidRPr="00E1056D" w:rsidRDefault="00470503" w:rsidP="00A377AC">
            <w:pPr>
              <w:ind w:firstLine="360"/>
              <w:rPr>
                <w:sz w:val="20"/>
                <w:szCs w:val="20"/>
              </w:rPr>
            </w:pPr>
            <w:r>
              <w:rPr>
                <w:sz w:val="20"/>
                <w:szCs w:val="20"/>
              </w:rPr>
              <w:t>$67.97</w:t>
            </w:r>
          </w:p>
        </w:tc>
        <w:tc>
          <w:tcPr>
            <w:tcW w:w="2116" w:type="dxa"/>
            <w:vAlign w:val="center"/>
          </w:tcPr>
          <w:p w14:paraId="6E5D9EE0" w14:textId="6846690F" w:rsidR="00470503" w:rsidRPr="00E1056D" w:rsidRDefault="00470503" w:rsidP="00A377AC">
            <w:pPr>
              <w:ind w:firstLine="360"/>
              <w:rPr>
                <w:sz w:val="20"/>
                <w:szCs w:val="20"/>
              </w:rPr>
            </w:pPr>
            <w:r>
              <w:rPr>
                <w:sz w:val="20"/>
                <w:szCs w:val="20"/>
              </w:rPr>
              <w:t>$</w:t>
            </w:r>
            <w:r w:rsidR="006C5DA6">
              <w:rPr>
                <w:sz w:val="20"/>
                <w:szCs w:val="20"/>
              </w:rPr>
              <w:t>6.9</w:t>
            </w:r>
          </w:p>
        </w:tc>
        <w:tc>
          <w:tcPr>
            <w:tcW w:w="1733" w:type="dxa"/>
          </w:tcPr>
          <w:p w14:paraId="112A60BE" w14:textId="6D0397A0" w:rsidR="00470503" w:rsidRPr="00E1056D" w:rsidRDefault="00470503" w:rsidP="00A377AC">
            <w:pPr>
              <w:ind w:firstLine="360"/>
              <w:rPr>
                <w:sz w:val="20"/>
                <w:szCs w:val="20"/>
              </w:rPr>
            </w:pPr>
            <w:r>
              <w:rPr>
                <w:sz w:val="20"/>
                <w:szCs w:val="20"/>
              </w:rPr>
              <w:t>$</w:t>
            </w:r>
            <w:r w:rsidR="006C5DA6">
              <w:rPr>
                <w:sz w:val="20"/>
                <w:szCs w:val="20"/>
              </w:rPr>
              <w:t>2.3</w:t>
            </w:r>
          </w:p>
        </w:tc>
      </w:tr>
      <w:tr w:rsidR="00470503" w:rsidRPr="00477D86" w14:paraId="31F7AEA7" w14:textId="21CE0C5A" w:rsidTr="00C94BC0">
        <w:trPr>
          <w:jc w:val="center"/>
        </w:trPr>
        <w:tc>
          <w:tcPr>
            <w:tcW w:w="1000" w:type="dxa"/>
          </w:tcPr>
          <w:p w14:paraId="072E8EF8" w14:textId="77777777" w:rsidR="00470503" w:rsidRPr="00E1056D" w:rsidRDefault="00470503" w:rsidP="00A377AC">
            <w:pPr>
              <w:ind w:firstLine="360"/>
              <w:rPr>
                <w:sz w:val="20"/>
                <w:szCs w:val="20"/>
              </w:rPr>
            </w:pPr>
            <w:r>
              <w:rPr>
                <w:sz w:val="20"/>
                <w:szCs w:val="20"/>
              </w:rPr>
              <w:t>EP</w:t>
            </w:r>
            <w:r w:rsidRPr="00E1056D">
              <w:rPr>
                <w:sz w:val="20"/>
                <w:szCs w:val="20"/>
              </w:rPr>
              <w:t>A</w:t>
            </w:r>
          </w:p>
        </w:tc>
        <w:tc>
          <w:tcPr>
            <w:tcW w:w="1728" w:type="dxa"/>
            <w:vAlign w:val="center"/>
          </w:tcPr>
          <w:p w14:paraId="202F6E1A" w14:textId="61A4C06D" w:rsidR="00470503" w:rsidRPr="00E1056D" w:rsidRDefault="006C5DA6" w:rsidP="00A377AC">
            <w:pPr>
              <w:ind w:firstLine="360"/>
              <w:rPr>
                <w:sz w:val="20"/>
                <w:szCs w:val="20"/>
              </w:rPr>
            </w:pPr>
            <w:r>
              <w:rPr>
                <w:sz w:val="20"/>
                <w:szCs w:val="20"/>
              </w:rPr>
              <w:t>30</w:t>
            </w:r>
            <w:r w:rsidR="00470503">
              <w:rPr>
                <w:sz w:val="20"/>
                <w:szCs w:val="20"/>
              </w:rPr>
              <w:t>,</w:t>
            </w:r>
            <w:r>
              <w:rPr>
                <w:sz w:val="20"/>
                <w:szCs w:val="20"/>
              </w:rPr>
              <w:t>4</w:t>
            </w:r>
            <w:r w:rsidR="00C94BC0">
              <w:rPr>
                <w:sz w:val="20"/>
                <w:szCs w:val="20"/>
              </w:rPr>
              <w:t>80</w:t>
            </w:r>
          </w:p>
        </w:tc>
        <w:tc>
          <w:tcPr>
            <w:tcW w:w="1153" w:type="dxa"/>
          </w:tcPr>
          <w:p w14:paraId="0D71722D" w14:textId="2BB385C5" w:rsidR="00470503" w:rsidRDefault="006C5DA6" w:rsidP="00A377AC">
            <w:pPr>
              <w:ind w:firstLine="360"/>
              <w:rPr>
                <w:sz w:val="20"/>
                <w:szCs w:val="20"/>
              </w:rPr>
            </w:pPr>
            <w:r>
              <w:rPr>
                <w:sz w:val="20"/>
                <w:szCs w:val="20"/>
              </w:rPr>
              <w:t>10,160</w:t>
            </w:r>
          </w:p>
        </w:tc>
        <w:tc>
          <w:tcPr>
            <w:tcW w:w="1620" w:type="dxa"/>
            <w:vAlign w:val="center"/>
          </w:tcPr>
          <w:p w14:paraId="569FA327" w14:textId="200DA660" w:rsidR="00470503" w:rsidRPr="00E1056D" w:rsidRDefault="00470503" w:rsidP="00A377AC">
            <w:pPr>
              <w:ind w:firstLine="360"/>
              <w:rPr>
                <w:sz w:val="20"/>
                <w:szCs w:val="20"/>
              </w:rPr>
            </w:pPr>
            <w:r>
              <w:rPr>
                <w:sz w:val="20"/>
                <w:szCs w:val="20"/>
              </w:rPr>
              <w:t>$67.97</w:t>
            </w:r>
          </w:p>
        </w:tc>
        <w:tc>
          <w:tcPr>
            <w:tcW w:w="2116" w:type="dxa"/>
            <w:vAlign w:val="center"/>
          </w:tcPr>
          <w:p w14:paraId="4542E27D" w14:textId="33DDD8DC" w:rsidR="00470503" w:rsidRPr="00E1056D" w:rsidRDefault="00470503" w:rsidP="00A377AC">
            <w:pPr>
              <w:ind w:firstLine="360"/>
              <w:rPr>
                <w:sz w:val="20"/>
                <w:szCs w:val="20"/>
              </w:rPr>
            </w:pPr>
            <w:r>
              <w:rPr>
                <w:sz w:val="20"/>
                <w:szCs w:val="20"/>
              </w:rPr>
              <w:t>$</w:t>
            </w:r>
            <w:r w:rsidR="006C5DA6">
              <w:rPr>
                <w:sz w:val="20"/>
                <w:szCs w:val="20"/>
              </w:rPr>
              <w:t>2.0</w:t>
            </w:r>
          </w:p>
        </w:tc>
        <w:tc>
          <w:tcPr>
            <w:tcW w:w="1733" w:type="dxa"/>
          </w:tcPr>
          <w:p w14:paraId="78BC9C6D" w14:textId="1DEE44E0" w:rsidR="00470503" w:rsidRPr="00E1056D" w:rsidRDefault="00470503" w:rsidP="00A377AC">
            <w:pPr>
              <w:ind w:firstLine="360"/>
              <w:rPr>
                <w:sz w:val="20"/>
                <w:szCs w:val="20"/>
              </w:rPr>
            </w:pPr>
            <w:r>
              <w:rPr>
                <w:sz w:val="20"/>
                <w:szCs w:val="20"/>
              </w:rPr>
              <w:t>$</w:t>
            </w:r>
            <w:r w:rsidR="003A60B8">
              <w:rPr>
                <w:sz w:val="20"/>
                <w:szCs w:val="20"/>
              </w:rPr>
              <w:t>0.</w:t>
            </w:r>
            <w:r w:rsidR="006C5DA6">
              <w:rPr>
                <w:sz w:val="20"/>
                <w:szCs w:val="20"/>
              </w:rPr>
              <w:t>7</w:t>
            </w:r>
          </w:p>
        </w:tc>
      </w:tr>
      <w:tr w:rsidR="00470503" w:rsidRPr="00E1056D" w14:paraId="1EAA1C01" w14:textId="76CA0997" w:rsidTr="006C4C93">
        <w:trPr>
          <w:jc w:val="center"/>
        </w:trPr>
        <w:tc>
          <w:tcPr>
            <w:tcW w:w="1000" w:type="dxa"/>
          </w:tcPr>
          <w:p w14:paraId="05F3FCF6" w14:textId="77777777" w:rsidR="00470503" w:rsidRPr="00E1056D" w:rsidRDefault="00470503" w:rsidP="00A377AC">
            <w:pPr>
              <w:ind w:firstLine="360"/>
              <w:rPr>
                <w:b/>
                <w:sz w:val="20"/>
                <w:szCs w:val="20"/>
              </w:rPr>
            </w:pPr>
            <w:r w:rsidRPr="00E1056D">
              <w:rPr>
                <w:b/>
                <w:sz w:val="20"/>
                <w:szCs w:val="20"/>
              </w:rPr>
              <w:t>Total</w:t>
            </w:r>
          </w:p>
        </w:tc>
        <w:tc>
          <w:tcPr>
            <w:tcW w:w="1728" w:type="dxa"/>
            <w:vAlign w:val="center"/>
          </w:tcPr>
          <w:p w14:paraId="7C3C16FF" w14:textId="4BF08E16" w:rsidR="00470503" w:rsidRPr="00E1056D" w:rsidRDefault="00C94BC0" w:rsidP="00A377AC">
            <w:pPr>
              <w:ind w:firstLine="360"/>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sidR="006C5DA6">
              <w:rPr>
                <w:b/>
                <w:noProof/>
                <w:sz w:val="20"/>
                <w:szCs w:val="20"/>
              </w:rPr>
              <w:t>132</w:t>
            </w:r>
            <w:r>
              <w:rPr>
                <w:b/>
                <w:noProof/>
                <w:sz w:val="20"/>
                <w:szCs w:val="20"/>
              </w:rPr>
              <w:t>,</w:t>
            </w:r>
            <w:r w:rsidR="006C5DA6">
              <w:rPr>
                <w:b/>
                <w:noProof/>
                <w:sz w:val="20"/>
                <w:szCs w:val="20"/>
              </w:rPr>
              <w:t>4</w:t>
            </w:r>
            <w:r>
              <w:rPr>
                <w:b/>
                <w:noProof/>
                <w:sz w:val="20"/>
                <w:szCs w:val="20"/>
              </w:rPr>
              <w:t>80</w:t>
            </w:r>
            <w:r>
              <w:rPr>
                <w:b/>
                <w:sz w:val="20"/>
                <w:szCs w:val="20"/>
              </w:rPr>
              <w:fldChar w:fldCharType="end"/>
            </w:r>
          </w:p>
        </w:tc>
        <w:tc>
          <w:tcPr>
            <w:tcW w:w="1153" w:type="dxa"/>
            <w:vAlign w:val="center"/>
          </w:tcPr>
          <w:p w14:paraId="34A03866" w14:textId="1869BD86" w:rsidR="00470503" w:rsidDel="00ED0030" w:rsidRDefault="006C5DA6" w:rsidP="00A377AC">
            <w:pPr>
              <w:ind w:firstLine="360"/>
              <w:rPr>
                <w:b/>
                <w:sz w:val="20"/>
                <w:szCs w:val="20"/>
              </w:rPr>
            </w:pPr>
            <w:r>
              <w:rPr>
                <w:b/>
                <w:sz w:val="20"/>
                <w:szCs w:val="20"/>
              </w:rPr>
              <w:t>44,160</w:t>
            </w:r>
          </w:p>
        </w:tc>
        <w:tc>
          <w:tcPr>
            <w:tcW w:w="1620" w:type="dxa"/>
            <w:vAlign w:val="center"/>
          </w:tcPr>
          <w:p w14:paraId="284B263B" w14:textId="03BFFAC5" w:rsidR="00470503" w:rsidRPr="006C4C93" w:rsidRDefault="006C4C93" w:rsidP="00A377AC">
            <w:pPr>
              <w:ind w:firstLine="360"/>
              <w:rPr>
                <w:b/>
                <w:sz w:val="20"/>
                <w:szCs w:val="20"/>
              </w:rPr>
            </w:pPr>
            <w:r>
              <w:rPr>
                <w:b/>
                <w:sz w:val="20"/>
                <w:szCs w:val="20"/>
              </w:rPr>
              <w:t>n/a</w:t>
            </w:r>
          </w:p>
        </w:tc>
        <w:tc>
          <w:tcPr>
            <w:tcW w:w="2116" w:type="dxa"/>
            <w:vAlign w:val="center"/>
          </w:tcPr>
          <w:p w14:paraId="660666FE" w14:textId="7C8EB3A3" w:rsidR="00470503" w:rsidRPr="00E1056D" w:rsidRDefault="002D3205" w:rsidP="00A377AC">
            <w:pPr>
              <w:ind w:firstLine="360"/>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w:t>
            </w:r>
            <w:r w:rsidR="006C5DA6">
              <w:rPr>
                <w:b/>
                <w:noProof/>
                <w:sz w:val="20"/>
                <w:szCs w:val="20"/>
              </w:rPr>
              <w:t>8.0</w:t>
            </w:r>
            <w:r>
              <w:rPr>
                <w:b/>
                <w:sz w:val="20"/>
                <w:szCs w:val="20"/>
              </w:rPr>
              <w:fldChar w:fldCharType="end"/>
            </w:r>
          </w:p>
        </w:tc>
        <w:tc>
          <w:tcPr>
            <w:tcW w:w="1733" w:type="dxa"/>
            <w:vAlign w:val="center"/>
          </w:tcPr>
          <w:p w14:paraId="3FDED9C5" w14:textId="1A5702A1" w:rsidR="00470503" w:rsidRDefault="00470503" w:rsidP="00A377AC">
            <w:pPr>
              <w:ind w:firstLine="360"/>
              <w:rPr>
                <w:b/>
                <w:sz w:val="20"/>
                <w:szCs w:val="20"/>
              </w:rPr>
            </w:pPr>
            <w:r>
              <w:rPr>
                <w:b/>
                <w:sz w:val="20"/>
                <w:szCs w:val="20"/>
              </w:rPr>
              <w:fldChar w:fldCharType="begin"/>
            </w:r>
            <w:r>
              <w:rPr>
                <w:b/>
                <w:sz w:val="20"/>
                <w:szCs w:val="20"/>
              </w:rPr>
              <w:instrText xml:space="preserve"> =SUM(ABOVE) </w:instrText>
            </w:r>
            <w:r>
              <w:rPr>
                <w:b/>
                <w:sz w:val="20"/>
                <w:szCs w:val="20"/>
              </w:rPr>
              <w:fldChar w:fldCharType="end"/>
            </w:r>
            <w:r w:rsidR="002D3205">
              <w:rPr>
                <w:b/>
                <w:sz w:val="20"/>
                <w:szCs w:val="20"/>
              </w:rPr>
              <w:fldChar w:fldCharType="begin"/>
            </w:r>
            <w:r w:rsidR="002D3205">
              <w:rPr>
                <w:b/>
                <w:sz w:val="20"/>
                <w:szCs w:val="20"/>
              </w:rPr>
              <w:instrText xml:space="preserve"> =SUM(ABOVE) </w:instrText>
            </w:r>
            <w:r w:rsidR="002D3205">
              <w:rPr>
                <w:b/>
                <w:sz w:val="20"/>
                <w:szCs w:val="20"/>
              </w:rPr>
              <w:fldChar w:fldCharType="separate"/>
            </w:r>
            <w:r w:rsidR="002D3205">
              <w:rPr>
                <w:b/>
                <w:noProof/>
                <w:sz w:val="20"/>
                <w:szCs w:val="20"/>
              </w:rPr>
              <w:t>$</w:t>
            </w:r>
            <w:r w:rsidR="006C5DA6">
              <w:rPr>
                <w:b/>
                <w:noProof/>
                <w:sz w:val="20"/>
                <w:szCs w:val="20"/>
              </w:rPr>
              <w:t>3.0</w:t>
            </w:r>
            <w:r w:rsidR="002D3205">
              <w:rPr>
                <w:b/>
                <w:sz w:val="20"/>
                <w:szCs w:val="20"/>
              </w:rPr>
              <w:fldChar w:fldCharType="end"/>
            </w:r>
          </w:p>
        </w:tc>
      </w:tr>
    </w:tbl>
    <w:p w14:paraId="7F012442" w14:textId="3A29B35C" w:rsidR="00CB3528" w:rsidRPr="00E1056D" w:rsidRDefault="00CB3528" w:rsidP="00A377AC">
      <w:pPr>
        <w:ind w:firstLine="360"/>
        <w:rPr>
          <w:b/>
          <w:sz w:val="16"/>
          <w:szCs w:val="16"/>
        </w:rPr>
      </w:pPr>
    </w:p>
    <w:p w14:paraId="4106CD4B" w14:textId="7034162F" w:rsidR="005C7470" w:rsidDel="007601C1" w:rsidRDefault="005C7470" w:rsidP="00A377AC">
      <w:pPr>
        <w:tabs>
          <w:tab w:val="left" w:pos="5310"/>
        </w:tabs>
        <w:ind w:firstLine="360"/>
        <w:rPr>
          <w:b/>
        </w:rPr>
      </w:pPr>
    </w:p>
    <w:p w14:paraId="3CFE831F" w14:textId="77777777" w:rsidR="000D1AA0" w:rsidRDefault="000D1AA0" w:rsidP="00A377AC">
      <w:pPr>
        <w:ind w:firstLine="360"/>
        <w:rPr>
          <w:b/>
        </w:rPr>
      </w:pPr>
      <w:r>
        <w:rPr>
          <w:b/>
        </w:rPr>
        <w:t>6(</w:t>
      </w:r>
      <w:r w:rsidR="0075023C">
        <w:rPr>
          <w:b/>
        </w:rPr>
        <w:t>e</w:t>
      </w:r>
      <w:r>
        <w:rPr>
          <w:b/>
        </w:rPr>
        <w:t>)</w:t>
      </w:r>
      <w:r>
        <w:rPr>
          <w:b/>
        </w:rPr>
        <w:tab/>
      </w:r>
      <w:r w:rsidR="009848FF">
        <w:rPr>
          <w:b/>
        </w:rPr>
        <w:t>Bottom Line Burden Hours and Cost Tables</w:t>
      </w:r>
    </w:p>
    <w:p w14:paraId="0AF9240A" w14:textId="77777777" w:rsidR="000D1AA0" w:rsidRDefault="000D1AA0" w:rsidP="00A377AC">
      <w:pPr>
        <w:ind w:firstLine="360"/>
        <w:rPr>
          <w:b/>
        </w:rPr>
      </w:pPr>
    </w:p>
    <w:p w14:paraId="12E85D11" w14:textId="77777777" w:rsidR="009848FF" w:rsidRPr="00D16865" w:rsidRDefault="009848FF" w:rsidP="00A377AC">
      <w:pPr>
        <w:numPr>
          <w:ilvl w:val="0"/>
          <w:numId w:val="32"/>
        </w:numPr>
        <w:ind w:firstLine="360"/>
      </w:pPr>
      <w:r w:rsidRPr="00D16865">
        <w:t>Respondent Tally</w:t>
      </w:r>
    </w:p>
    <w:p w14:paraId="59CAA667" w14:textId="37EEE5D6" w:rsidR="00275B3E" w:rsidRDefault="009848FF" w:rsidP="00B815DE">
      <w:pPr>
        <w:ind w:left="1080" w:firstLine="360"/>
      </w:pPr>
      <w:r w:rsidRPr="00D16865">
        <w:t xml:space="preserve">As indicated in Table </w:t>
      </w:r>
      <w:r w:rsidR="00890EB3">
        <w:t>6.</w:t>
      </w:r>
      <w:r w:rsidR="00470503">
        <w:t>2</w:t>
      </w:r>
      <w:r w:rsidRPr="00D16865">
        <w:t>, the states</w:t>
      </w:r>
      <w:r w:rsidR="007601C1">
        <w:t>’ estimated</w:t>
      </w:r>
      <w:r w:rsidRPr="00D16865">
        <w:t xml:space="preserve"> average burden is </w:t>
      </w:r>
      <w:r w:rsidR="006C5DA6">
        <w:t>34,000</w:t>
      </w:r>
      <w:r w:rsidRPr="00D16865">
        <w:t xml:space="preserve"> hours annually with a 3-year burden of </w:t>
      </w:r>
      <w:r w:rsidR="006C5DA6">
        <w:t>10</w:t>
      </w:r>
      <w:r w:rsidR="00C94BC0">
        <w:t>2</w:t>
      </w:r>
      <w:r w:rsidR="00403144">
        <w:t>,0</w:t>
      </w:r>
      <w:r w:rsidR="00470503">
        <w:t>00</w:t>
      </w:r>
      <w:r w:rsidR="00891073">
        <w:t xml:space="preserve"> </w:t>
      </w:r>
      <w:r w:rsidRPr="00D16865">
        <w:t>hours</w:t>
      </w:r>
      <w:r w:rsidR="00F13218">
        <w:t>,</w:t>
      </w:r>
      <w:r w:rsidRPr="00D16865">
        <w:t xml:space="preserve"> </w:t>
      </w:r>
      <w:r w:rsidR="00282223">
        <w:t>and</w:t>
      </w:r>
      <w:r w:rsidR="00282223" w:rsidRPr="00D16865">
        <w:t xml:space="preserve"> </w:t>
      </w:r>
      <w:r w:rsidR="007601C1">
        <w:t xml:space="preserve">estimated </w:t>
      </w:r>
      <w:r w:rsidRPr="00D16865">
        <w:t xml:space="preserve">costs of </w:t>
      </w:r>
      <w:r w:rsidR="00E55C3A">
        <w:t>$</w:t>
      </w:r>
      <w:r w:rsidR="006C5DA6">
        <w:t>6.9</w:t>
      </w:r>
      <w:r w:rsidR="003A60B8">
        <w:t xml:space="preserve"> million</w:t>
      </w:r>
      <w:r w:rsidRPr="00D16865">
        <w:t xml:space="preserve"> for the 3-year burden.</w:t>
      </w:r>
    </w:p>
    <w:p w14:paraId="0EBD5E97" w14:textId="77777777" w:rsidR="00275B3E" w:rsidRPr="00D16865" w:rsidRDefault="00275B3E" w:rsidP="00A377AC">
      <w:pPr>
        <w:ind w:left="1080" w:firstLine="360"/>
      </w:pPr>
    </w:p>
    <w:p w14:paraId="5EB04AB5" w14:textId="6EE380B9" w:rsidR="009848FF" w:rsidRPr="00D16865" w:rsidRDefault="009848FF" w:rsidP="00A377AC">
      <w:pPr>
        <w:numPr>
          <w:ilvl w:val="0"/>
          <w:numId w:val="32"/>
        </w:numPr>
        <w:ind w:firstLine="360"/>
      </w:pPr>
      <w:r w:rsidRPr="00D16865">
        <w:t>Agency Tally</w:t>
      </w:r>
    </w:p>
    <w:p w14:paraId="2C2EDF7E" w14:textId="24445CC1" w:rsidR="009848FF" w:rsidRPr="00D16865" w:rsidRDefault="009848FF" w:rsidP="00A377AC">
      <w:pPr>
        <w:ind w:left="1080" w:firstLine="360"/>
      </w:pPr>
      <w:r w:rsidRPr="00D16865">
        <w:t xml:space="preserve">As indicated in Table </w:t>
      </w:r>
      <w:r w:rsidR="00890EB3">
        <w:t>6.5</w:t>
      </w:r>
      <w:r w:rsidRPr="00D16865">
        <w:t xml:space="preserve">, the </w:t>
      </w:r>
      <w:r w:rsidR="00282223">
        <w:t>EPA</w:t>
      </w:r>
      <w:r w:rsidR="00282223" w:rsidRPr="00D16865">
        <w:t xml:space="preserve">’s </w:t>
      </w:r>
      <w:r w:rsidR="007601C1">
        <w:t xml:space="preserve">estimated </w:t>
      </w:r>
      <w:r w:rsidRPr="00D16865">
        <w:t xml:space="preserve">average burden is </w:t>
      </w:r>
      <w:r w:rsidR="006C5DA6">
        <w:t>10,160</w:t>
      </w:r>
      <w:r w:rsidRPr="00D16865">
        <w:t xml:space="preserve"> hours annually with a 3-year burden of </w:t>
      </w:r>
      <w:r w:rsidR="006C5DA6">
        <w:t>30,480</w:t>
      </w:r>
      <w:r w:rsidR="003A60B8">
        <w:t xml:space="preserve"> </w:t>
      </w:r>
      <w:r w:rsidRPr="00D16865">
        <w:t>hours</w:t>
      </w:r>
      <w:r w:rsidR="00282223">
        <w:t>,</w:t>
      </w:r>
      <w:r w:rsidRPr="00D16865">
        <w:t xml:space="preserve"> </w:t>
      </w:r>
      <w:r w:rsidR="00282223">
        <w:t>and</w:t>
      </w:r>
      <w:r w:rsidR="00282223" w:rsidRPr="00D16865">
        <w:t xml:space="preserve"> </w:t>
      </w:r>
      <w:r w:rsidR="007601C1">
        <w:t xml:space="preserve">estimated </w:t>
      </w:r>
      <w:r w:rsidRPr="00D16865">
        <w:t xml:space="preserve">costs of </w:t>
      </w:r>
      <w:r w:rsidR="00E9188A" w:rsidRPr="00D16865">
        <w:t>$</w:t>
      </w:r>
      <w:r w:rsidR="003A60B8">
        <w:t>2</w:t>
      </w:r>
      <w:r w:rsidR="006C5DA6">
        <w:t>.0</w:t>
      </w:r>
      <w:r w:rsidR="003A60B8">
        <w:t xml:space="preserve"> million</w:t>
      </w:r>
      <w:r w:rsidRPr="00D16865">
        <w:t xml:space="preserve"> for the 3-year burden.</w:t>
      </w:r>
    </w:p>
    <w:p w14:paraId="1D40A12B" w14:textId="77777777" w:rsidR="009848FF" w:rsidRPr="00D16865" w:rsidRDefault="009848FF" w:rsidP="00A377AC">
      <w:pPr>
        <w:ind w:firstLine="360"/>
      </w:pPr>
    </w:p>
    <w:p w14:paraId="5373B188" w14:textId="11676ECF" w:rsidR="009848FF" w:rsidRPr="00D16865" w:rsidRDefault="009848FF" w:rsidP="00A377AC">
      <w:pPr>
        <w:numPr>
          <w:ilvl w:val="0"/>
          <w:numId w:val="32"/>
        </w:numPr>
        <w:ind w:firstLine="360"/>
      </w:pPr>
      <w:r w:rsidRPr="00D16865">
        <w:t xml:space="preserve">Variations in the Annual </w:t>
      </w:r>
      <w:r w:rsidR="007601C1">
        <w:t>B</w:t>
      </w:r>
      <w:r w:rsidRPr="00D16865">
        <w:t>ottom Line</w:t>
      </w:r>
    </w:p>
    <w:p w14:paraId="649B7CFA" w14:textId="4DFE9031" w:rsidR="00505968" w:rsidRDefault="009848FF" w:rsidP="00275B3E">
      <w:pPr>
        <w:ind w:left="1080" w:firstLine="360"/>
      </w:pPr>
      <w:r w:rsidRPr="00D16865">
        <w:t xml:space="preserve">There </w:t>
      </w:r>
      <w:r w:rsidR="007601C1">
        <w:t>are</w:t>
      </w:r>
      <w:r w:rsidR="007601C1" w:rsidRPr="00D16865">
        <w:t xml:space="preserve"> </w:t>
      </w:r>
      <w:r w:rsidRPr="00D16865">
        <w:t>no variations in the bottom line.</w:t>
      </w:r>
    </w:p>
    <w:p w14:paraId="3C1677DC" w14:textId="28C5129E" w:rsidR="009848FF" w:rsidRDefault="000E4E04" w:rsidP="00A377AC">
      <w:pPr>
        <w:keepNext/>
        <w:ind w:firstLine="360"/>
      </w:pPr>
      <w:r>
        <w:rPr>
          <w:b/>
        </w:rPr>
        <w:br/>
      </w:r>
      <w:r w:rsidR="009848FF">
        <w:rPr>
          <w:b/>
        </w:rPr>
        <w:t>6(f)</w:t>
      </w:r>
      <w:r w:rsidR="009848FF">
        <w:rPr>
          <w:b/>
        </w:rPr>
        <w:tab/>
        <w:t>Reasons for Change in Burden</w:t>
      </w:r>
    </w:p>
    <w:p w14:paraId="4501021F" w14:textId="77777777" w:rsidR="009848FF" w:rsidRDefault="009848FF" w:rsidP="00A377AC">
      <w:pPr>
        <w:ind w:firstLine="360"/>
      </w:pPr>
    </w:p>
    <w:p w14:paraId="52BB38E0" w14:textId="70B5CF8B" w:rsidR="000D1AA0" w:rsidRDefault="00D112AC" w:rsidP="00A377AC">
      <w:pPr>
        <w:ind w:firstLine="360"/>
      </w:pPr>
      <w:r w:rsidRPr="001449E2">
        <w:t xml:space="preserve">The </w:t>
      </w:r>
      <w:r w:rsidR="00B3548C">
        <w:t xml:space="preserve">estimated </w:t>
      </w:r>
      <w:r w:rsidR="00F13218">
        <w:t>burden for the ICR renewal period reflects the activities expected to occur during this period</w:t>
      </w:r>
      <w:r w:rsidR="005F48ED">
        <w:t xml:space="preserve">, which are similar but not identical to the </w:t>
      </w:r>
      <w:r w:rsidR="00F13218">
        <w:t>SIP planning and submission activities in the original ICR period</w:t>
      </w:r>
      <w:r w:rsidR="005F48ED">
        <w:t>. Factors contributing to the variation include the stage of the ozone implementation program that various nonattainment areas are in, and states’ relative success in attaining the 2008 ozone NAAQS during the original ICR period. More specifically, the reasons the</w:t>
      </w:r>
      <w:r w:rsidR="00C94BC0">
        <w:t xml:space="preserve"> </w:t>
      </w:r>
      <w:r w:rsidR="00B3548C">
        <w:t xml:space="preserve">total </w:t>
      </w:r>
      <w:r w:rsidR="005F48ED">
        <w:t xml:space="preserve">estimated </w:t>
      </w:r>
      <w:r w:rsidRPr="001449E2">
        <w:t xml:space="preserve">burden </w:t>
      </w:r>
      <w:r w:rsidR="005F48ED">
        <w:t xml:space="preserve">of </w:t>
      </w:r>
      <w:r w:rsidR="009E69CF">
        <w:t>10</w:t>
      </w:r>
      <w:r w:rsidR="00C94BC0">
        <w:t>2</w:t>
      </w:r>
      <w:r w:rsidR="00470503">
        <w:t>,000</w:t>
      </w:r>
      <w:r w:rsidR="005F48ED">
        <w:t xml:space="preserve"> hours in this ICR renewal is different than</w:t>
      </w:r>
      <w:r w:rsidR="004B630E" w:rsidRPr="001449E2">
        <w:t xml:space="preserve"> </w:t>
      </w:r>
      <w:r w:rsidR="005F48ED">
        <w:t xml:space="preserve">the total estimated burden of </w:t>
      </w:r>
      <w:r w:rsidR="00470503">
        <w:t xml:space="preserve">120,000 hours </w:t>
      </w:r>
      <w:r w:rsidR="00371EB9">
        <w:t>during</w:t>
      </w:r>
      <w:r w:rsidR="004B630E" w:rsidRPr="001449E2">
        <w:t xml:space="preserve"> the </w:t>
      </w:r>
      <w:r w:rsidR="00371EB9">
        <w:t xml:space="preserve">period of the </w:t>
      </w:r>
      <w:r w:rsidR="00B3548C">
        <w:t xml:space="preserve">original </w:t>
      </w:r>
      <w:r w:rsidR="002A1757" w:rsidRPr="001449E2">
        <w:t>20</w:t>
      </w:r>
      <w:r w:rsidR="001449E2" w:rsidRPr="001449E2">
        <w:t>08 ozone NAAQS</w:t>
      </w:r>
      <w:r w:rsidR="002A1757" w:rsidRPr="001449E2">
        <w:t xml:space="preserve"> </w:t>
      </w:r>
      <w:r w:rsidR="004B630E" w:rsidRPr="001449E2">
        <w:t>ICR currently approved by OMB</w:t>
      </w:r>
      <w:r w:rsidR="00176322" w:rsidRPr="001449E2">
        <w:t xml:space="preserve"> (EPA ICR #22</w:t>
      </w:r>
      <w:r w:rsidR="0089114C" w:rsidRPr="001449E2">
        <w:t>47</w:t>
      </w:r>
      <w:r w:rsidR="00176322" w:rsidRPr="001449E2">
        <w:t>.0</w:t>
      </w:r>
      <w:r w:rsidR="001449E2" w:rsidRPr="001449E2">
        <w:t>2</w:t>
      </w:r>
      <w:r w:rsidR="00176322" w:rsidRPr="001449E2">
        <w:t>)</w:t>
      </w:r>
      <w:r w:rsidR="005F48ED">
        <w:t>,</w:t>
      </w:r>
      <w:r w:rsidR="000D1AA0" w:rsidRPr="001449E2">
        <w:t xml:space="preserve"> </w:t>
      </w:r>
      <w:r w:rsidR="00403782">
        <w:t>includ</w:t>
      </w:r>
      <w:r w:rsidR="005F48ED">
        <w:t>e</w:t>
      </w:r>
      <w:r w:rsidR="000D1AA0" w:rsidRPr="001449E2">
        <w:t>:</w:t>
      </w:r>
    </w:p>
    <w:p w14:paraId="116DA767" w14:textId="77777777" w:rsidR="00275B3E" w:rsidRPr="001449E2" w:rsidRDefault="00275B3E" w:rsidP="00A377AC">
      <w:pPr>
        <w:ind w:firstLine="360"/>
      </w:pPr>
    </w:p>
    <w:p w14:paraId="2C22EEC1" w14:textId="7AE67D60" w:rsidR="00B3548C" w:rsidRPr="001E00B8" w:rsidRDefault="005F48ED" w:rsidP="00A377AC">
      <w:pPr>
        <w:numPr>
          <w:ilvl w:val="0"/>
          <w:numId w:val="30"/>
        </w:numPr>
        <w:ind w:firstLine="360"/>
      </w:pPr>
      <w:r>
        <w:rPr>
          <w:color w:val="000000"/>
        </w:rPr>
        <w:t>Many areas that have successfully attained the 2008 ozone NAAQS are now eligible to request redesignation to attainment.</w:t>
      </w:r>
      <w:r w:rsidR="00340814">
        <w:rPr>
          <w:color w:val="000000"/>
        </w:rPr>
        <w:t xml:space="preserve"> </w:t>
      </w:r>
    </w:p>
    <w:p w14:paraId="612BE9F8" w14:textId="50232F15" w:rsidR="00C94BC0" w:rsidRDefault="005F48ED" w:rsidP="00A377AC">
      <w:pPr>
        <w:numPr>
          <w:ilvl w:val="0"/>
          <w:numId w:val="30"/>
        </w:numPr>
        <w:ind w:firstLine="360"/>
      </w:pPr>
      <w:r>
        <w:rPr>
          <w:color w:val="000000"/>
        </w:rPr>
        <w:t xml:space="preserve">As many as </w:t>
      </w:r>
      <w:r w:rsidR="00C94BC0">
        <w:rPr>
          <w:color w:val="000000"/>
        </w:rPr>
        <w:t>13</w:t>
      </w:r>
      <w:r>
        <w:rPr>
          <w:color w:val="000000"/>
        </w:rPr>
        <w:t xml:space="preserve"> nonattainment areas are </w:t>
      </w:r>
      <w:r w:rsidR="00371EB9">
        <w:rPr>
          <w:color w:val="000000"/>
        </w:rPr>
        <w:t xml:space="preserve">likely </w:t>
      </w:r>
      <w:r>
        <w:rPr>
          <w:color w:val="000000"/>
        </w:rPr>
        <w:t xml:space="preserve">subject to the additional air quality planning and emissions control requirements of the Serious classification because they are predicted not to attain the 2008 NAAQS by the Moderate area attainment deadline. For these areas, states must take further steps to ensure air quality standards are </w:t>
      </w:r>
      <w:r w:rsidR="00591F37">
        <w:rPr>
          <w:color w:val="000000"/>
        </w:rPr>
        <w:t>achieved by the next attainment deadline</w:t>
      </w:r>
      <w:r w:rsidR="00B3548C" w:rsidRPr="001449E2">
        <w:rPr>
          <w:color w:val="000000"/>
        </w:rPr>
        <w:t>.</w:t>
      </w:r>
      <w:r w:rsidR="00591F37">
        <w:t xml:space="preserve"> </w:t>
      </w:r>
    </w:p>
    <w:p w14:paraId="298A5E4A" w14:textId="1587CC8A" w:rsidR="00112E35" w:rsidRDefault="000D1AA0" w:rsidP="00A377AC">
      <w:pPr>
        <w:numPr>
          <w:ilvl w:val="0"/>
          <w:numId w:val="30"/>
        </w:numPr>
        <w:ind w:firstLine="360"/>
      </w:pPr>
      <w:r w:rsidRPr="001449E2">
        <w:t>The estimates have been calculated using 20</w:t>
      </w:r>
      <w:r w:rsidR="00125A9D" w:rsidRPr="001449E2">
        <w:t>1</w:t>
      </w:r>
      <w:r w:rsidR="0089114C" w:rsidRPr="001449E2">
        <w:t>7</w:t>
      </w:r>
      <w:r w:rsidRPr="001449E2">
        <w:t xml:space="preserve"> dollars.</w:t>
      </w:r>
      <w:r w:rsidR="00112E35">
        <w:t xml:space="preserve"> The adjustments to the cost assumptions are </w:t>
      </w:r>
      <w:r w:rsidR="00591F37">
        <w:t>summarized in sections 6(b) and 6(c) above, and fully detailed</w:t>
      </w:r>
      <w:r w:rsidR="00112E35">
        <w:t xml:space="preserve"> in a background spreadsheet titled “Estimate of Burden for 2008 O</w:t>
      </w:r>
      <w:r w:rsidR="00191210">
        <w:t>3</w:t>
      </w:r>
      <w:r w:rsidR="00112E35">
        <w:t xml:space="preserve"> </w:t>
      </w:r>
      <w:r w:rsidR="00191210">
        <w:t>SIP Rule 1</w:t>
      </w:r>
      <w:r w:rsidR="00191210" w:rsidRPr="00A377AC">
        <w:rPr>
          <w:vertAlign w:val="superscript"/>
        </w:rPr>
        <w:t>st</w:t>
      </w:r>
      <w:r w:rsidR="00191210">
        <w:t xml:space="preserve"> </w:t>
      </w:r>
      <w:r w:rsidR="00112E35">
        <w:t>Renewal ICR Worksheet, 2017.” This spreadsheet is available in the docket.</w:t>
      </w:r>
    </w:p>
    <w:p w14:paraId="66E66FFD" w14:textId="77777777" w:rsidR="009848FF" w:rsidRDefault="009848FF" w:rsidP="00A377AC">
      <w:pPr>
        <w:ind w:firstLine="360"/>
        <w:rPr>
          <w:b/>
        </w:rPr>
      </w:pPr>
    </w:p>
    <w:p w14:paraId="31633924" w14:textId="77777777" w:rsidR="006A1F40" w:rsidRDefault="006A1F40" w:rsidP="00A377AC">
      <w:pPr>
        <w:keepNext/>
        <w:ind w:firstLine="360"/>
        <w:rPr>
          <w:b/>
        </w:rPr>
      </w:pPr>
      <w:r>
        <w:rPr>
          <w:b/>
        </w:rPr>
        <w:t>6(</w:t>
      </w:r>
      <w:r w:rsidR="009848FF">
        <w:rPr>
          <w:b/>
        </w:rPr>
        <w:t>g</w:t>
      </w:r>
      <w:r>
        <w:rPr>
          <w:b/>
        </w:rPr>
        <w:t>)</w:t>
      </w:r>
      <w:r>
        <w:rPr>
          <w:b/>
        </w:rPr>
        <w:tab/>
        <w:t>Burden Statement</w:t>
      </w:r>
    </w:p>
    <w:p w14:paraId="4693FA10" w14:textId="77777777" w:rsidR="006A1F40" w:rsidRDefault="006A1F40" w:rsidP="00A377AC">
      <w:pPr>
        <w:ind w:firstLine="360"/>
        <w:rPr>
          <w:b/>
        </w:rPr>
      </w:pPr>
    </w:p>
    <w:p w14:paraId="35ED0570" w14:textId="7A1DFB6E" w:rsidR="006A1F40" w:rsidRPr="00D16865" w:rsidRDefault="001449E2" w:rsidP="00A377AC">
      <w:pPr>
        <w:ind w:firstLine="360"/>
      </w:pPr>
      <w:r w:rsidRPr="00110EEC">
        <w:t xml:space="preserve">The </w:t>
      </w:r>
      <w:r w:rsidR="006A1F40" w:rsidRPr="00D16865">
        <w:t xml:space="preserve">annual public reporting and recordkeeping burden for this collection of information is estimated to average </w:t>
      </w:r>
      <w:r w:rsidR="009E69CF">
        <w:t>34,000</w:t>
      </w:r>
      <w:r w:rsidR="006A1F40" w:rsidRPr="00D16865">
        <w:t xml:space="preserve"> hours </w:t>
      </w:r>
      <w:r w:rsidR="00004AC6">
        <w:t>(Table 6.</w:t>
      </w:r>
      <w:r w:rsidR="006C4C93">
        <w:t>6</w:t>
      </w:r>
      <w:r w:rsidR="00004AC6">
        <w:t xml:space="preserve">) </w:t>
      </w:r>
      <w:r w:rsidR="006A1F40" w:rsidRPr="00D16865">
        <w:t xml:space="preserve">for this reporting period. </w:t>
      </w:r>
      <w:r w:rsidR="007E7DCE" w:rsidRPr="00D16865">
        <w:rPr>
          <w:color w:val="000000"/>
        </w:rPr>
        <w:t xml:space="preserve">Burden means the total time, effort, or financial resources expended by persons to generate, maintain, retain, or disclose or provide information to or for a </w:t>
      </w:r>
      <w:r w:rsidR="00A377AC">
        <w:rPr>
          <w:color w:val="000000"/>
        </w:rPr>
        <w:t>f</w:t>
      </w:r>
      <w:r w:rsidR="007E7DCE" w:rsidRPr="00D16865">
        <w:rPr>
          <w:color w:val="000000"/>
        </w:rPr>
        <w:t xml:space="preserve">ederal agency. This includes the time needed to review instructions; </w:t>
      </w:r>
      <w:r w:rsidR="007678C8">
        <w:rPr>
          <w:color w:val="000000"/>
        </w:rPr>
        <w:t xml:space="preserve">to </w:t>
      </w:r>
      <w:r w:rsidR="007E7DCE" w:rsidRPr="00D16865">
        <w:rPr>
          <w:color w:val="000000"/>
        </w:rPr>
        <w:t xml:space="preserve">develop, acquire, install, and utilize technology and systems for the purposes of collecting, validating, and verifying information, processing and maintaining information, and disclosing and providing information; </w:t>
      </w:r>
      <w:r w:rsidR="007678C8">
        <w:rPr>
          <w:color w:val="000000"/>
        </w:rPr>
        <w:t xml:space="preserve">to </w:t>
      </w:r>
      <w:r w:rsidR="007E7DCE" w:rsidRPr="00D16865">
        <w:rPr>
          <w:color w:val="000000"/>
        </w:rPr>
        <w:t>adjust the existing ways to comply with any previously applicable instructions and requirements;</w:t>
      </w:r>
      <w:r w:rsidR="007678C8">
        <w:rPr>
          <w:color w:val="000000"/>
        </w:rPr>
        <w:t xml:space="preserve"> to </w:t>
      </w:r>
      <w:r w:rsidR="007E7DCE" w:rsidRPr="00D16865">
        <w:rPr>
          <w:color w:val="000000"/>
        </w:rPr>
        <w:t>train personnel to be able to respond to a collection of information;</w:t>
      </w:r>
      <w:r w:rsidR="007678C8">
        <w:rPr>
          <w:color w:val="000000"/>
        </w:rPr>
        <w:t xml:space="preserve"> to</w:t>
      </w:r>
      <w:r w:rsidR="007E7DCE" w:rsidRPr="00D16865">
        <w:rPr>
          <w:color w:val="000000"/>
        </w:rPr>
        <w:t xml:space="preserve"> search data sources; </w:t>
      </w:r>
      <w:r w:rsidR="007678C8">
        <w:rPr>
          <w:color w:val="000000"/>
        </w:rPr>
        <w:t xml:space="preserve">to </w:t>
      </w:r>
      <w:r w:rsidR="007E7DCE" w:rsidRPr="00D16865">
        <w:rPr>
          <w:color w:val="000000"/>
        </w:rPr>
        <w:t>complete and review the collection of information; and</w:t>
      </w:r>
      <w:r w:rsidR="007678C8">
        <w:rPr>
          <w:color w:val="000000"/>
        </w:rPr>
        <w:t>, to</w:t>
      </w:r>
      <w:r w:rsidR="007E7DCE" w:rsidRPr="00D16865">
        <w:rPr>
          <w:color w:val="000000"/>
        </w:rPr>
        <w:t xml:space="preserve"> transmit or otherwise disclose the information. </w:t>
      </w:r>
      <w:r w:rsidR="009A6AC7" w:rsidRPr="00D16865">
        <w:t>This estimate includes the time and burden needed to conduct the tasks associated with</w:t>
      </w:r>
      <w:r w:rsidR="0089114C" w:rsidRPr="00D16865">
        <w:t xml:space="preserve"> requesting a redesignation to attainment and</w:t>
      </w:r>
      <w:r w:rsidR="009A6AC7" w:rsidRPr="00D16865">
        <w:t xml:space="preserve"> </w:t>
      </w:r>
      <w:r w:rsidR="009D6F15">
        <w:t xml:space="preserve">meeting particular </w:t>
      </w:r>
      <w:r w:rsidR="00F1422B">
        <w:t>SIP requirements</w:t>
      </w:r>
      <w:r w:rsidR="009A6AC7" w:rsidRPr="00D16865">
        <w:t xml:space="preserve"> </w:t>
      </w:r>
      <w:r w:rsidR="0089114C" w:rsidRPr="00D16865">
        <w:t>for reclassified areas</w:t>
      </w:r>
      <w:r w:rsidR="009A6AC7" w:rsidRPr="00D16865">
        <w:t xml:space="preserve">. Those </w:t>
      </w:r>
      <w:r w:rsidR="00F1422B">
        <w:t>requirements</w:t>
      </w:r>
      <w:r w:rsidR="009A6AC7" w:rsidRPr="00D16865">
        <w:t xml:space="preserve"> </w:t>
      </w:r>
      <w:r w:rsidR="009D6F15">
        <w:t>include developing and submitting</w:t>
      </w:r>
      <w:r w:rsidR="009D6F15" w:rsidRPr="00D16865">
        <w:t xml:space="preserve"> </w:t>
      </w:r>
      <w:r w:rsidR="009A6AC7" w:rsidRPr="00D16865">
        <w:t xml:space="preserve">the RACT SIP, RFP SIP, and the attainment </w:t>
      </w:r>
      <w:r w:rsidR="004C0A13">
        <w:t>plan/</w:t>
      </w:r>
      <w:r w:rsidR="009A6AC7" w:rsidRPr="00D16865">
        <w:t>demonstration.</w:t>
      </w:r>
      <w:r w:rsidR="00FA5F1B" w:rsidRPr="00D16865">
        <w:t xml:space="preserve"> </w:t>
      </w:r>
      <w:r w:rsidR="009A6AC7" w:rsidRPr="00D16865">
        <w:t xml:space="preserve">In meeting these </w:t>
      </w:r>
      <w:r w:rsidR="00F1422B">
        <w:t>requirements</w:t>
      </w:r>
      <w:r w:rsidR="00D662CA" w:rsidRPr="00D16865">
        <w:t>,</w:t>
      </w:r>
      <w:r w:rsidR="009A6AC7" w:rsidRPr="00D16865">
        <w:t xml:space="preserve"> such incremental efforts may include reviewing instructions as well as verifying, processing, maintaining, and disclosing information. Such efforts may require incremental development, acquisition, installation, and/or utilization of technological systems</w:t>
      </w:r>
      <w:r w:rsidR="006A1F40" w:rsidRPr="00D16865">
        <w:t xml:space="preserve"> </w:t>
      </w:r>
      <w:r w:rsidR="009A6AC7" w:rsidRPr="00D16865">
        <w:t>for several purposes.</w:t>
      </w:r>
      <w:r w:rsidR="00FA5F1B" w:rsidRPr="00D16865">
        <w:t xml:space="preserve"> </w:t>
      </w:r>
      <w:r w:rsidR="009A6AC7" w:rsidRPr="00D16865">
        <w:t>These purposes include collecting, verifying, validating, processing, maintaining and disclosing information</w:t>
      </w:r>
      <w:r w:rsidR="001A7FE1" w:rsidRPr="00D16865">
        <w:t xml:space="preserve"> associated with</w:t>
      </w:r>
      <w:r w:rsidR="009D6F15">
        <w:t xml:space="preserve"> meeting</w:t>
      </w:r>
      <w:r w:rsidR="001A7FE1" w:rsidRPr="00D16865">
        <w:t xml:space="preserve"> the </w:t>
      </w:r>
      <w:r w:rsidR="009D6F15">
        <w:t>SIP requirements</w:t>
      </w:r>
      <w:r w:rsidR="009A6AC7" w:rsidRPr="00D16865">
        <w:t xml:space="preserve">. The incremental efforts may </w:t>
      </w:r>
      <w:r w:rsidR="001A7FE1" w:rsidRPr="00D16865">
        <w:t xml:space="preserve">result from adjusting the ways to comply with the previously applicable instructions associated with the </w:t>
      </w:r>
      <w:r w:rsidR="0089114C" w:rsidRPr="00D16865">
        <w:t xml:space="preserve">2008 </w:t>
      </w:r>
      <w:r w:rsidR="009D6F15">
        <w:t>o</w:t>
      </w:r>
      <w:r w:rsidR="001A7FE1" w:rsidRPr="00D16865">
        <w:t xml:space="preserve">zone NAAQS. Consequently, in meeting the </w:t>
      </w:r>
      <w:r w:rsidR="009D6F15">
        <w:t xml:space="preserve">SIP </w:t>
      </w:r>
      <w:r w:rsidR="00F1422B">
        <w:t>requirements</w:t>
      </w:r>
      <w:r w:rsidR="001A7FE1" w:rsidRPr="00D16865">
        <w:t xml:space="preserve">, there could be some incremental </w:t>
      </w:r>
      <w:r w:rsidR="008054CA" w:rsidRPr="00D16865">
        <w:t xml:space="preserve">burden associated with </w:t>
      </w:r>
      <w:r w:rsidR="001A7FE1" w:rsidRPr="00D16865">
        <w:t>learning/training, searching data sources, and transmitting the deliverables.</w:t>
      </w:r>
      <w:r w:rsidR="00F1422B">
        <w:t xml:space="preserve"> </w:t>
      </w:r>
      <w:r w:rsidR="00F60CE0">
        <w:t>R</w:t>
      </w:r>
      <w:r w:rsidR="00F1422B">
        <w:t xml:space="preserve">edesignation requests are submitted at the discretion of states who have areas that </w:t>
      </w:r>
      <w:r w:rsidR="00F60CE0">
        <w:t>are eligible for redesignation; developing such requests includes the burden of developing an approvable maintenance plan for the area to ensure the NAAQS, once attained, is also maintained into the future</w:t>
      </w:r>
      <w:r w:rsidR="00F1422B">
        <w:t xml:space="preserve">. </w:t>
      </w:r>
    </w:p>
    <w:p w14:paraId="60F67A6B" w14:textId="77777777" w:rsidR="001A7FE1" w:rsidRPr="00D16865" w:rsidRDefault="001A7FE1" w:rsidP="00A377AC">
      <w:pPr>
        <w:ind w:firstLine="360"/>
      </w:pPr>
    </w:p>
    <w:p w14:paraId="6AC347D1" w14:textId="703163D6" w:rsidR="00E369AB" w:rsidRPr="00D16865" w:rsidRDefault="001A7FE1" w:rsidP="00A377AC">
      <w:pPr>
        <w:ind w:firstLine="360"/>
      </w:pPr>
      <w:r w:rsidRPr="00D16865">
        <w:t xml:space="preserve">An </w:t>
      </w:r>
      <w:r w:rsidR="00A377AC">
        <w:t>a</w:t>
      </w:r>
      <w:r w:rsidRPr="00D16865">
        <w:t>gency may not conduct or sponsor, and a person is not required to respond to</w:t>
      </w:r>
      <w:r w:rsidR="009D6F15">
        <w:t>,</w:t>
      </w:r>
      <w:r w:rsidRPr="00D16865">
        <w:t xml:space="preserve"> a collection of information unless it displays a currently valid OMB control number. The OMB control numbers for </w:t>
      </w:r>
      <w:r w:rsidR="00242EAD" w:rsidRPr="00D16865">
        <w:t xml:space="preserve">the </w:t>
      </w:r>
      <w:r w:rsidRPr="00D16865">
        <w:t>EPA’s regulations are listed in 40 CFR part 9 and 48 CFR chapter 15.</w:t>
      </w:r>
      <w:r w:rsidR="007E7DCE" w:rsidRPr="00D16865">
        <w:t xml:space="preserve"> </w:t>
      </w:r>
      <w:r w:rsidR="00110EEC" w:rsidRPr="00D16865">
        <w:t xml:space="preserve">The EPA notes that the </w:t>
      </w:r>
      <w:r w:rsidR="00E369AB" w:rsidRPr="00D16865">
        <w:t>failure to have an approved ICR for th</w:t>
      </w:r>
      <w:r w:rsidR="009D6F15">
        <w:t>e 2008 ozone NAAQS SIP Requirements Rule</w:t>
      </w:r>
      <w:r w:rsidR="00E369AB" w:rsidRPr="00D16865">
        <w:t xml:space="preserve"> does not affect the statutory obligation for </w:t>
      </w:r>
      <w:r w:rsidR="009D6F15">
        <w:t>s</w:t>
      </w:r>
      <w:r w:rsidR="00E369AB" w:rsidRPr="00D16865">
        <w:t>tates</w:t>
      </w:r>
      <w:r w:rsidR="009D6F15">
        <w:t xml:space="preserve"> with nonattainment areas</w:t>
      </w:r>
      <w:r w:rsidR="00E369AB" w:rsidRPr="00D16865">
        <w:t xml:space="preserve"> to </w:t>
      </w:r>
      <w:r w:rsidR="004C0A13">
        <w:t xml:space="preserve">develop and </w:t>
      </w:r>
      <w:r w:rsidR="00E369AB" w:rsidRPr="00D16865">
        <w:t>submit SIPs as required under part D of the CAA.</w:t>
      </w:r>
    </w:p>
    <w:p w14:paraId="60A6FACF" w14:textId="77777777" w:rsidR="00E369AB" w:rsidRPr="001449E2" w:rsidRDefault="00E369AB" w:rsidP="00A377AC">
      <w:pPr>
        <w:ind w:firstLine="360"/>
        <w:rPr>
          <w:highlight w:val="yellow"/>
        </w:rPr>
      </w:pPr>
    </w:p>
    <w:p w14:paraId="00F0C7E5" w14:textId="575FA8FB" w:rsidR="007E7DCE" w:rsidRDefault="007E7DCE" w:rsidP="00A377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ind w:firstLine="360"/>
      </w:pPr>
      <w:r w:rsidRPr="00D16865">
        <w:rPr>
          <w:color w:val="0F0F0F"/>
        </w:rPr>
        <w:t xml:space="preserve">To comment on the </w:t>
      </w:r>
      <w:r w:rsidR="00A377AC">
        <w:rPr>
          <w:color w:val="0F0F0F"/>
        </w:rPr>
        <w:t>a</w:t>
      </w:r>
      <w:r w:rsidRPr="00D16865">
        <w:rPr>
          <w:color w:val="0F0F0F"/>
        </w:rPr>
        <w:t xml:space="preserve">gency's need for this information, the accuracy of the provided burden estimates, and any suggested methods for minimizing respondent burden, including the use of automated collection techniques, </w:t>
      </w:r>
      <w:r w:rsidR="00A377AC">
        <w:rPr>
          <w:color w:val="0F0F0F"/>
        </w:rPr>
        <w:t xml:space="preserve">the </w:t>
      </w:r>
      <w:r w:rsidRPr="00D16865">
        <w:rPr>
          <w:color w:val="0F0F0F"/>
        </w:rPr>
        <w:t xml:space="preserve">EPA has established a public docket for this ICR under Docket ID Number </w:t>
      </w:r>
      <w:r w:rsidRPr="00F60CE0">
        <w:rPr>
          <w:color w:val="0F0F0F"/>
        </w:rPr>
        <w:t>EPA-HQ-OAR-</w:t>
      </w:r>
      <w:r w:rsidR="000C4A77" w:rsidRPr="00F60CE0">
        <w:rPr>
          <w:color w:val="0F0F0F"/>
        </w:rPr>
        <w:t>201</w:t>
      </w:r>
      <w:r w:rsidR="00110EEC" w:rsidRPr="00F60CE0">
        <w:rPr>
          <w:color w:val="0F0F0F"/>
        </w:rPr>
        <w:t>0</w:t>
      </w:r>
      <w:r w:rsidR="000C4A77" w:rsidRPr="00F60CE0">
        <w:rPr>
          <w:color w:val="0F0F0F"/>
        </w:rPr>
        <w:t>-0</w:t>
      </w:r>
      <w:r w:rsidR="00110EEC" w:rsidRPr="00F60CE0">
        <w:rPr>
          <w:color w:val="0F0F0F"/>
        </w:rPr>
        <w:t>885</w:t>
      </w:r>
      <w:r w:rsidRPr="00110EEC">
        <w:rPr>
          <w:color w:val="0F0F0F"/>
        </w:rPr>
        <w:t xml:space="preserve">, which is available for online viewing at </w:t>
      </w:r>
      <w:r w:rsidR="00A377AC" w:rsidRPr="00A377AC">
        <w:rPr>
          <w:i/>
          <w:color w:val="0F0F0F"/>
        </w:rPr>
        <w:t>https://</w:t>
      </w:r>
      <w:r w:rsidR="00A377AC" w:rsidRPr="00A377AC">
        <w:rPr>
          <w:i/>
        </w:rPr>
        <w:t>www.regulations.gov</w:t>
      </w:r>
      <w:r w:rsidRPr="00110EEC">
        <w:rPr>
          <w:color w:val="0F0F0F"/>
        </w:rPr>
        <w:t>, or in person viewing at the Air and Radiation Docket in the EPA Docket Center (EPA/DC), WCJ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w:t>
      </w:r>
      <w:r w:rsidRPr="00D16865">
        <w:rPr>
          <w:color w:val="0F0F0F"/>
        </w:rPr>
        <w:t xml:space="preserve">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16865">
            <w:rPr>
              <w:color w:val="0F0F0F"/>
            </w:rPr>
            <w:t>725 17th Street, NW</w:t>
          </w:r>
        </w:smartTag>
        <w:r w:rsidRPr="00D16865">
          <w:rPr>
            <w:color w:val="0F0F0F"/>
          </w:rPr>
          <w:t xml:space="preserve">, </w:t>
        </w:r>
        <w:smartTag w:uri="urn:schemas-microsoft-com:office:smarttags" w:element="City">
          <w:r w:rsidRPr="00D16865">
            <w:rPr>
              <w:color w:val="0F0F0F"/>
            </w:rPr>
            <w:t>Washington</w:t>
          </w:r>
        </w:smartTag>
        <w:r w:rsidRPr="00D16865">
          <w:rPr>
            <w:color w:val="0F0F0F"/>
          </w:rPr>
          <w:t xml:space="preserve">, </w:t>
        </w:r>
        <w:smartTag w:uri="urn:schemas-microsoft-com:office:smarttags" w:element="State">
          <w:r w:rsidRPr="00D16865">
            <w:rPr>
              <w:color w:val="0F0F0F"/>
            </w:rPr>
            <w:t>D.C.</w:t>
          </w:r>
        </w:smartTag>
        <w:r w:rsidRPr="00D16865">
          <w:rPr>
            <w:color w:val="0F0F0F"/>
          </w:rPr>
          <w:t xml:space="preserve"> </w:t>
        </w:r>
        <w:smartTag w:uri="urn:schemas-microsoft-com:office:smarttags" w:element="PostalCode">
          <w:r w:rsidRPr="00D16865">
            <w:rPr>
              <w:color w:val="0F0F0F"/>
            </w:rPr>
            <w:t>20503</w:t>
          </w:r>
        </w:smartTag>
      </w:smartTag>
      <w:r w:rsidRPr="00D16865">
        <w:rPr>
          <w:color w:val="0F0F0F"/>
        </w:rPr>
        <w:t>, Attention: Desk Officer for EPA. Please include the EPA Docket ID</w:t>
      </w:r>
      <w:r w:rsidR="004C0A13">
        <w:rPr>
          <w:color w:val="0F0F0F"/>
        </w:rPr>
        <w:t xml:space="preserve"> </w:t>
      </w:r>
      <w:r w:rsidRPr="00D16865">
        <w:rPr>
          <w:color w:val="0F0F0F"/>
        </w:rPr>
        <w:t>Number EPA-HQ-OAR-</w:t>
      </w:r>
      <w:r w:rsidR="00110EEC" w:rsidRPr="00D16865">
        <w:rPr>
          <w:color w:val="0F0F0F"/>
        </w:rPr>
        <w:t>2010</w:t>
      </w:r>
      <w:r w:rsidRPr="00110EEC">
        <w:rPr>
          <w:color w:val="0F0F0F"/>
        </w:rPr>
        <w:t>-</w:t>
      </w:r>
      <w:r w:rsidR="00110EEC" w:rsidRPr="00D16865">
        <w:rPr>
          <w:color w:val="0F0F0F"/>
        </w:rPr>
        <w:t>0885</w:t>
      </w:r>
      <w:r w:rsidRPr="00110EEC">
        <w:rPr>
          <w:color w:val="0F0F0F"/>
        </w:rPr>
        <w:t xml:space="preserve"> and OMB Control Number 2060-0</w:t>
      </w:r>
      <w:r w:rsidR="00567396" w:rsidRPr="00110EEC">
        <w:rPr>
          <w:color w:val="0F0F0F"/>
        </w:rPr>
        <w:t>6</w:t>
      </w:r>
      <w:r w:rsidRPr="00110EEC">
        <w:rPr>
          <w:color w:val="0F0F0F"/>
        </w:rPr>
        <w:t>9</w:t>
      </w:r>
      <w:r w:rsidR="00567396" w:rsidRPr="00110EEC">
        <w:rPr>
          <w:color w:val="0F0F0F"/>
        </w:rPr>
        <w:t>5</w:t>
      </w:r>
      <w:r w:rsidRPr="00D16865">
        <w:rPr>
          <w:color w:val="0F0F0F"/>
        </w:rPr>
        <w:t xml:space="preserve"> in any correspondence.</w:t>
      </w:r>
    </w:p>
    <w:p w14:paraId="303156DD" w14:textId="77777777" w:rsidR="007E7DCE" w:rsidRDefault="007E7DCE" w:rsidP="00A377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color w:val="000000"/>
        </w:rPr>
      </w:pPr>
      <w:r>
        <w:rPr>
          <w:color w:val="000000"/>
        </w:rPr>
        <w:t xml:space="preserve"> </w:t>
      </w:r>
    </w:p>
    <w:p w14:paraId="6FDE1860" w14:textId="77777777" w:rsidR="000D1AA0" w:rsidRDefault="000D1AA0" w:rsidP="00A377AC">
      <w:pPr>
        <w:ind w:firstLine="360"/>
        <w:rPr>
          <w:b/>
        </w:rPr>
      </w:pPr>
      <w:r w:rsidRPr="00A83140">
        <w:rPr>
          <w:b/>
        </w:rPr>
        <w:t>PART B</w:t>
      </w:r>
    </w:p>
    <w:p w14:paraId="365A1A24" w14:textId="77777777" w:rsidR="000D1AA0" w:rsidRPr="00A83140" w:rsidRDefault="000D1AA0" w:rsidP="00A377AC">
      <w:pPr>
        <w:ind w:firstLine="360"/>
        <w:rPr>
          <w:b/>
        </w:rPr>
      </w:pPr>
    </w:p>
    <w:p w14:paraId="39A9B1AB" w14:textId="1BB7B4FF" w:rsidR="000D1AA0" w:rsidRDefault="000D1AA0" w:rsidP="00A377AC">
      <w:pPr>
        <w:ind w:firstLine="360"/>
      </w:pPr>
      <w:r>
        <w:t>This section is not applicable because statistical methods are not used in data collection associated with th</w:t>
      </w:r>
      <w:r w:rsidR="00E76050">
        <w:t>is</w:t>
      </w:r>
      <w:r>
        <w:t xml:space="preserve"> proposed </w:t>
      </w:r>
      <w:r w:rsidR="00E76050">
        <w:t>ICR renewal notice</w:t>
      </w:r>
      <w:r>
        <w:t>.</w:t>
      </w:r>
    </w:p>
    <w:p w14:paraId="3E11B7C0" w14:textId="77777777" w:rsidR="000D1AA0" w:rsidRPr="002C22DF" w:rsidRDefault="000D1AA0" w:rsidP="00A377AC">
      <w:pPr>
        <w:ind w:firstLine="360"/>
        <w:rPr>
          <w:b/>
        </w:rPr>
      </w:pPr>
    </w:p>
    <w:sectPr w:rsidR="000D1AA0" w:rsidRPr="002C22DF" w:rsidSect="009E2F0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9EFF9" w14:textId="77777777" w:rsidR="00B87BFA" w:rsidRDefault="00B87BFA">
      <w:r>
        <w:separator/>
      </w:r>
    </w:p>
  </w:endnote>
  <w:endnote w:type="continuationSeparator" w:id="0">
    <w:p w14:paraId="5F10E841" w14:textId="77777777" w:rsidR="00B87BFA" w:rsidRDefault="00B87BFA">
      <w:r>
        <w:continuationSeparator/>
      </w:r>
    </w:p>
  </w:endnote>
  <w:endnote w:type="continuationNotice" w:id="1">
    <w:p w14:paraId="06C95A1B" w14:textId="77777777" w:rsidR="00B87BFA" w:rsidRDefault="00B8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9B52" w14:textId="77777777" w:rsidR="00B815DE" w:rsidRDefault="00B815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2E5243" w14:textId="77777777" w:rsidR="00B815DE" w:rsidRDefault="00B81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B984" w14:textId="77777777" w:rsidR="00B815DE" w:rsidRDefault="00B815DE">
    <w:pPr>
      <w:pStyle w:val="Footer"/>
      <w:jc w:val="center"/>
    </w:pPr>
  </w:p>
  <w:p w14:paraId="4D8EE926" w14:textId="77777777" w:rsidR="00B815DE" w:rsidRDefault="00B81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76878" w14:textId="41A79FB1" w:rsidR="00B815DE" w:rsidRDefault="00B815DE">
    <w:pPr>
      <w:pStyle w:val="Footer"/>
      <w:jc w:val="center"/>
    </w:pPr>
    <w:r>
      <w:fldChar w:fldCharType="begin"/>
    </w:r>
    <w:r>
      <w:instrText xml:space="preserve"> PAGE   \* MERGEFORMAT </w:instrText>
    </w:r>
    <w:r>
      <w:fldChar w:fldCharType="separate"/>
    </w:r>
    <w:r w:rsidR="00B466AA">
      <w:rPr>
        <w:noProof/>
      </w:rPr>
      <w:t>21</w:t>
    </w:r>
    <w:r>
      <w:rPr>
        <w:noProof/>
      </w:rPr>
      <w:fldChar w:fldCharType="end"/>
    </w:r>
  </w:p>
  <w:p w14:paraId="271FC765" w14:textId="77777777" w:rsidR="00B815DE" w:rsidRDefault="00B81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A7F0B" w14:textId="77777777" w:rsidR="00B87BFA" w:rsidRDefault="00B87BFA">
      <w:r>
        <w:separator/>
      </w:r>
    </w:p>
  </w:footnote>
  <w:footnote w:type="continuationSeparator" w:id="0">
    <w:p w14:paraId="39257511" w14:textId="77777777" w:rsidR="00B87BFA" w:rsidRDefault="00B87BFA">
      <w:r>
        <w:continuationSeparator/>
      </w:r>
    </w:p>
  </w:footnote>
  <w:footnote w:type="continuationNotice" w:id="1">
    <w:p w14:paraId="09A77539" w14:textId="77777777" w:rsidR="00B87BFA" w:rsidRDefault="00B87BFA"/>
  </w:footnote>
  <w:footnote w:id="2">
    <w:p w14:paraId="6B386DE7" w14:textId="29C33C42" w:rsidR="00B815DE" w:rsidRDefault="00B815DE">
      <w:pPr>
        <w:pStyle w:val="FootnoteText"/>
      </w:pPr>
      <w:r>
        <w:rPr>
          <w:rStyle w:val="FootnoteReference"/>
        </w:rPr>
        <w:footnoteRef/>
      </w:r>
      <w:r>
        <w:t xml:space="preserve"> As of July 1, 2017, during the period covered by the original ICR (February 1, 2015 – January 31, 2018), several states submitted redesignation requests covering 9 nonattainment areas.</w:t>
      </w:r>
    </w:p>
  </w:footnote>
  <w:footnote w:id="3">
    <w:p w14:paraId="687CE235" w14:textId="41EB8612" w:rsidR="00B815DE" w:rsidRDefault="00B815DE">
      <w:pPr>
        <w:pStyle w:val="FootnoteText"/>
      </w:pPr>
      <w:r>
        <w:rPr>
          <w:rStyle w:val="FootnoteReference"/>
        </w:rPr>
        <w:footnoteRef/>
      </w:r>
      <w:r>
        <w:t xml:space="preserve"> In the context of the PRA, the attainment plan, RFP plan, and RACT SIP submissions, as well as redesignation requests, are considered data.</w:t>
      </w:r>
    </w:p>
  </w:footnote>
  <w:footnote w:id="4">
    <w:p w14:paraId="19FEEE29" w14:textId="77777777" w:rsidR="00B815DE" w:rsidRDefault="00B815DE">
      <w:pPr>
        <w:pStyle w:val="FootnoteText"/>
      </w:pPr>
      <w:r>
        <w:rPr>
          <w:rStyle w:val="FootnoteReference"/>
        </w:rPr>
        <w:footnoteRef/>
      </w:r>
      <w:r>
        <w:t xml:space="preserve"> However, the states may choose to retain the information for more than 3 years.</w:t>
      </w:r>
    </w:p>
  </w:footnote>
  <w:footnote w:id="5">
    <w:p w14:paraId="64036BBE" w14:textId="507530B1" w:rsidR="00B815DE" w:rsidRDefault="00B815DE">
      <w:pPr>
        <w:pStyle w:val="FootnoteText"/>
      </w:pPr>
      <w:r>
        <w:rPr>
          <w:rStyle w:val="FootnoteReference"/>
        </w:rPr>
        <w:footnoteRef/>
      </w:r>
      <w:r>
        <w:t xml:space="preserve"> However, the states must nonetheless submit their attainment demonstration, RFP SIP, and RACT SIP as applicable.</w:t>
      </w:r>
    </w:p>
  </w:footnote>
  <w:footnote w:id="6">
    <w:p w14:paraId="7249317C" w14:textId="5AB16070" w:rsidR="00B815DE" w:rsidRDefault="00B815DE">
      <w:pPr>
        <w:pStyle w:val="FootnoteText"/>
      </w:pPr>
      <w:r w:rsidRPr="00A377AC">
        <w:rPr>
          <w:rStyle w:val="FootnoteReference"/>
          <w:i/>
        </w:rPr>
        <w:footnoteRef/>
      </w:r>
      <w:r w:rsidRPr="00A377AC">
        <w:rPr>
          <w:i/>
        </w:rPr>
        <w:t xml:space="preserve"> http://www.census.gov/naics</w:t>
      </w:r>
      <w:r>
        <w:rPr>
          <w:rStyle w:val="Hyperlink"/>
        </w:rPr>
        <w:t>.</w:t>
      </w:r>
      <w:r>
        <w:t xml:space="preserve"> Code number 924110 includes “administration of air &amp; water resources &amp; solid waste management programs.”</w:t>
      </w:r>
    </w:p>
  </w:footnote>
  <w:footnote w:id="7">
    <w:p w14:paraId="7CFC5D9A" w14:textId="0E7A0449" w:rsidR="00B815DE" w:rsidRDefault="00B815DE">
      <w:pPr>
        <w:pStyle w:val="FootnoteText"/>
      </w:pPr>
      <w:r>
        <w:rPr>
          <w:rStyle w:val="FootnoteReference"/>
        </w:rPr>
        <w:footnoteRef/>
      </w:r>
      <w:r>
        <w:t xml:space="preserve">  In some states, air quality management activities are delegated to local air pollution control districts. These local air agencies work with the states to accomplish the listed activities. </w:t>
      </w:r>
    </w:p>
  </w:footnote>
  <w:footnote w:id="8">
    <w:p w14:paraId="2A80583A" w14:textId="64719106" w:rsidR="00B815DE" w:rsidRDefault="00B815DE">
      <w:pPr>
        <w:pStyle w:val="FootnoteText"/>
      </w:pPr>
      <w:r>
        <w:rPr>
          <w:rStyle w:val="FootnoteReference"/>
        </w:rPr>
        <w:footnoteRef/>
      </w:r>
      <w:r>
        <w:t xml:space="preserve"> The EPA expects 11 Moderate areas that had a 2017 Critical Design Value higher than their 2016 Design Value will not meet their 2008 ozone NAAQS Moderate attainment date of July 20, 2018. Also, the preliminary 2017 data as of June 27, 2017, indicate that 2 additional areas are currently not attaining the 2008 ozone NAAQS, therefore, we include these areas to complete a conservative estimate of anticipated burden hours for areas that may become subject to reclassification to Serious.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33975"/>
    <w:multiLevelType w:val="hybridMultilevel"/>
    <w:tmpl w:val="3356B0E4"/>
    <w:lvl w:ilvl="0" w:tplc="2B70AB5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807559"/>
    <w:multiLevelType w:val="hybridMultilevel"/>
    <w:tmpl w:val="32F65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6">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8424CF"/>
    <w:multiLevelType w:val="hybridMultilevel"/>
    <w:tmpl w:val="8828F9E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0C25"/>
    <w:multiLevelType w:val="hybridMultilevel"/>
    <w:tmpl w:val="2698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995379"/>
    <w:multiLevelType w:val="hybridMultilevel"/>
    <w:tmpl w:val="0D6C23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C676DE"/>
    <w:multiLevelType w:val="hybridMultilevel"/>
    <w:tmpl w:val="DEE808CE"/>
    <w:lvl w:ilvl="0" w:tplc="72DA90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1722D6"/>
    <w:multiLevelType w:val="hybridMultilevel"/>
    <w:tmpl w:val="50E8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E74E7"/>
    <w:multiLevelType w:val="hybridMultilevel"/>
    <w:tmpl w:val="31528E62"/>
    <w:lvl w:ilvl="0" w:tplc="AB3A56D8">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8">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9">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E21162D"/>
    <w:multiLevelType w:val="hybridMultilevel"/>
    <w:tmpl w:val="86586528"/>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2">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31327CC"/>
    <w:multiLevelType w:val="hybridMultilevel"/>
    <w:tmpl w:val="FACAD0A0"/>
    <w:lvl w:ilvl="0" w:tplc="04090001">
      <w:start w:val="1"/>
      <w:numFmt w:val="bullet"/>
      <w:lvlText w:val=""/>
      <w:lvlJc w:val="left"/>
      <w:pPr>
        <w:tabs>
          <w:tab w:val="num" w:pos="1170"/>
        </w:tabs>
        <w:ind w:left="1170" w:hanging="360"/>
      </w:pPr>
      <w:rPr>
        <w:rFonts w:ascii="Symbol" w:hAnsi="Symbol" w:hint="default"/>
      </w:rPr>
    </w:lvl>
    <w:lvl w:ilvl="1" w:tplc="0409000F">
      <w:start w:val="1"/>
      <w:numFmt w:val="decimal"/>
      <w:lvlText w:val="%2."/>
      <w:lvlJc w:val="left"/>
      <w:pPr>
        <w:tabs>
          <w:tab w:val="num" w:pos="1890"/>
        </w:tabs>
        <w:ind w:left="1890" w:hanging="360"/>
      </w:pPr>
      <w:rPr>
        <w:rFonts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7">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E050F7F"/>
    <w:multiLevelType w:val="hybridMultilevel"/>
    <w:tmpl w:val="774AE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09027E"/>
    <w:multiLevelType w:val="hybridMultilevel"/>
    <w:tmpl w:val="614CFDE4"/>
    <w:lvl w:ilvl="0" w:tplc="0B2ACD3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2">
    <w:nsid w:val="72487E4C"/>
    <w:multiLevelType w:val="hybridMultilevel"/>
    <w:tmpl w:val="1CD22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68B7798"/>
    <w:multiLevelType w:val="hybridMultilevel"/>
    <w:tmpl w:val="56CC6396"/>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33"/>
  </w:num>
  <w:num w:numId="3">
    <w:abstractNumId w:val="13"/>
  </w:num>
  <w:num w:numId="4">
    <w:abstractNumId w:val="35"/>
  </w:num>
  <w:num w:numId="5">
    <w:abstractNumId w:val="21"/>
  </w:num>
  <w:num w:numId="6">
    <w:abstractNumId w:val="34"/>
  </w:num>
  <w:num w:numId="7">
    <w:abstractNumId w:val="18"/>
  </w:num>
  <w:num w:numId="8">
    <w:abstractNumId w:val="19"/>
  </w:num>
  <w:num w:numId="9">
    <w:abstractNumId w:val="20"/>
  </w:num>
  <w:num w:numId="10">
    <w:abstractNumId w:val="24"/>
  </w:num>
  <w:num w:numId="11">
    <w:abstractNumId w:val="23"/>
  </w:num>
  <w:num w:numId="12">
    <w:abstractNumId w:val="1"/>
  </w:num>
  <w:num w:numId="13">
    <w:abstractNumId w:val="25"/>
  </w:num>
  <w:num w:numId="14">
    <w:abstractNumId w:val="36"/>
  </w:num>
  <w:num w:numId="15">
    <w:abstractNumId w:val="22"/>
  </w:num>
  <w:num w:numId="16">
    <w:abstractNumId w:val="31"/>
  </w:num>
  <w:num w:numId="17">
    <w:abstractNumId w:val="5"/>
  </w:num>
  <w:num w:numId="18">
    <w:abstractNumId w:val="27"/>
  </w:num>
  <w:num w:numId="19">
    <w:abstractNumId w:val="4"/>
  </w:num>
  <w:num w:numId="20">
    <w:abstractNumId w:val="17"/>
  </w:num>
  <w:num w:numId="21">
    <w:abstractNumId w:val="2"/>
  </w:num>
  <w:num w:numId="22">
    <w:abstractNumId w:val="7"/>
  </w:num>
  <w:num w:numId="23">
    <w:abstractNumId w:val="6"/>
  </w:num>
  <w:num w:numId="2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4"/>
  </w:num>
  <w:num w:numId="28">
    <w:abstractNumId w:val="8"/>
  </w:num>
  <w:num w:numId="29">
    <w:abstractNumId w:val="0"/>
  </w:num>
  <w:num w:numId="30">
    <w:abstractNumId w:val="10"/>
  </w:num>
  <w:num w:numId="31">
    <w:abstractNumId w:val="11"/>
  </w:num>
  <w:num w:numId="32">
    <w:abstractNumId w:val="30"/>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96"/>
    <w:rsid w:val="0000136B"/>
    <w:rsid w:val="0000175A"/>
    <w:rsid w:val="00002DA8"/>
    <w:rsid w:val="00002E53"/>
    <w:rsid w:val="00003657"/>
    <w:rsid w:val="00004AC6"/>
    <w:rsid w:val="0000532C"/>
    <w:rsid w:val="00010663"/>
    <w:rsid w:val="00010FB8"/>
    <w:rsid w:val="00012298"/>
    <w:rsid w:val="000150D3"/>
    <w:rsid w:val="00015276"/>
    <w:rsid w:val="00015B1E"/>
    <w:rsid w:val="00021B7C"/>
    <w:rsid w:val="000228FD"/>
    <w:rsid w:val="00023013"/>
    <w:rsid w:val="00025658"/>
    <w:rsid w:val="00026E0D"/>
    <w:rsid w:val="000274A8"/>
    <w:rsid w:val="00031506"/>
    <w:rsid w:val="0003200D"/>
    <w:rsid w:val="00033F77"/>
    <w:rsid w:val="000372BF"/>
    <w:rsid w:val="00042C64"/>
    <w:rsid w:val="00042E96"/>
    <w:rsid w:val="0004692C"/>
    <w:rsid w:val="00053B93"/>
    <w:rsid w:val="00053F4F"/>
    <w:rsid w:val="000554C6"/>
    <w:rsid w:val="000560BE"/>
    <w:rsid w:val="000565FF"/>
    <w:rsid w:val="00056632"/>
    <w:rsid w:val="00060DE2"/>
    <w:rsid w:val="0006111D"/>
    <w:rsid w:val="00061D10"/>
    <w:rsid w:val="00063CDA"/>
    <w:rsid w:val="000642B2"/>
    <w:rsid w:val="0007428E"/>
    <w:rsid w:val="000826D3"/>
    <w:rsid w:val="00082DBA"/>
    <w:rsid w:val="00082EE5"/>
    <w:rsid w:val="000830C4"/>
    <w:rsid w:val="000841F8"/>
    <w:rsid w:val="00084D70"/>
    <w:rsid w:val="00084DC6"/>
    <w:rsid w:val="000869CC"/>
    <w:rsid w:val="0009050F"/>
    <w:rsid w:val="00092485"/>
    <w:rsid w:val="000953EC"/>
    <w:rsid w:val="00095CF7"/>
    <w:rsid w:val="000971ED"/>
    <w:rsid w:val="00097C93"/>
    <w:rsid w:val="000A1FD1"/>
    <w:rsid w:val="000A20EE"/>
    <w:rsid w:val="000A23B9"/>
    <w:rsid w:val="000A4D9C"/>
    <w:rsid w:val="000A6240"/>
    <w:rsid w:val="000B036F"/>
    <w:rsid w:val="000B3DCA"/>
    <w:rsid w:val="000B4541"/>
    <w:rsid w:val="000B7681"/>
    <w:rsid w:val="000B7824"/>
    <w:rsid w:val="000C0FDC"/>
    <w:rsid w:val="000C4291"/>
    <w:rsid w:val="000C4A77"/>
    <w:rsid w:val="000D027A"/>
    <w:rsid w:val="000D0356"/>
    <w:rsid w:val="000D1AA0"/>
    <w:rsid w:val="000D2B9D"/>
    <w:rsid w:val="000D3B2F"/>
    <w:rsid w:val="000D4153"/>
    <w:rsid w:val="000D5639"/>
    <w:rsid w:val="000E1835"/>
    <w:rsid w:val="000E2E09"/>
    <w:rsid w:val="000E4E04"/>
    <w:rsid w:val="000E64D8"/>
    <w:rsid w:val="000E78F5"/>
    <w:rsid w:val="000E7FF7"/>
    <w:rsid w:val="000F3B6E"/>
    <w:rsid w:val="000F5A5E"/>
    <w:rsid w:val="000F5D2C"/>
    <w:rsid w:val="000F6A4C"/>
    <w:rsid w:val="001024CB"/>
    <w:rsid w:val="00110EEC"/>
    <w:rsid w:val="00112E35"/>
    <w:rsid w:val="00113174"/>
    <w:rsid w:val="001135E7"/>
    <w:rsid w:val="0011719D"/>
    <w:rsid w:val="00117A82"/>
    <w:rsid w:val="0012136B"/>
    <w:rsid w:val="00125A9D"/>
    <w:rsid w:val="00131F21"/>
    <w:rsid w:val="0013652E"/>
    <w:rsid w:val="00137225"/>
    <w:rsid w:val="00141774"/>
    <w:rsid w:val="001425BF"/>
    <w:rsid w:val="001440B5"/>
    <w:rsid w:val="001449AF"/>
    <w:rsid w:val="001449E2"/>
    <w:rsid w:val="00145E24"/>
    <w:rsid w:val="001478CF"/>
    <w:rsid w:val="00147F0E"/>
    <w:rsid w:val="001503E8"/>
    <w:rsid w:val="00155672"/>
    <w:rsid w:val="001607FC"/>
    <w:rsid w:val="00166A52"/>
    <w:rsid w:val="001674F9"/>
    <w:rsid w:val="00170696"/>
    <w:rsid w:val="00171AC8"/>
    <w:rsid w:val="001728F5"/>
    <w:rsid w:val="00173DDD"/>
    <w:rsid w:val="00176322"/>
    <w:rsid w:val="0018277A"/>
    <w:rsid w:val="00183728"/>
    <w:rsid w:val="00184DED"/>
    <w:rsid w:val="0018788B"/>
    <w:rsid w:val="00191210"/>
    <w:rsid w:val="00191AC6"/>
    <w:rsid w:val="001944AB"/>
    <w:rsid w:val="00194B1C"/>
    <w:rsid w:val="00196271"/>
    <w:rsid w:val="001976E8"/>
    <w:rsid w:val="001A088E"/>
    <w:rsid w:val="001A0C28"/>
    <w:rsid w:val="001A0FB2"/>
    <w:rsid w:val="001A1FD9"/>
    <w:rsid w:val="001A3018"/>
    <w:rsid w:val="001A3469"/>
    <w:rsid w:val="001A3E80"/>
    <w:rsid w:val="001A3F32"/>
    <w:rsid w:val="001A6079"/>
    <w:rsid w:val="001A7FE1"/>
    <w:rsid w:val="001B4346"/>
    <w:rsid w:val="001C174C"/>
    <w:rsid w:val="001C36AA"/>
    <w:rsid w:val="001C3D3C"/>
    <w:rsid w:val="001C6A34"/>
    <w:rsid w:val="001D2416"/>
    <w:rsid w:val="001D61E0"/>
    <w:rsid w:val="001D6BE5"/>
    <w:rsid w:val="001D6E72"/>
    <w:rsid w:val="001E00B8"/>
    <w:rsid w:val="001E0189"/>
    <w:rsid w:val="001E1F2B"/>
    <w:rsid w:val="001E3008"/>
    <w:rsid w:val="001E31EA"/>
    <w:rsid w:val="001E777A"/>
    <w:rsid w:val="001E7C3A"/>
    <w:rsid w:val="001F0483"/>
    <w:rsid w:val="001F1142"/>
    <w:rsid w:val="001F207E"/>
    <w:rsid w:val="001F40D7"/>
    <w:rsid w:val="001F6447"/>
    <w:rsid w:val="001F7DEE"/>
    <w:rsid w:val="00200C33"/>
    <w:rsid w:val="00202007"/>
    <w:rsid w:val="00203C0C"/>
    <w:rsid w:val="002044DE"/>
    <w:rsid w:val="00204899"/>
    <w:rsid w:val="00204BE1"/>
    <w:rsid w:val="00204FB5"/>
    <w:rsid w:val="00207D4B"/>
    <w:rsid w:val="002108F4"/>
    <w:rsid w:val="002111A0"/>
    <w:rsid w:val="00212225"/>
    <w:rsid w:val="00212F76"/>
    <w:rsid w:val="00214928"/>
    <w:rsid w:val="00216D6F"/>
    <w:rsid w:val="0021779A"/>
    <w:rsid w:val="00224994"/>
    <w:rsid w:val="00233370"/>
    <w:rsid w:val="00233B93"/>
    <w:rsid w:val="0023654B"/>
    <w:rsid w:val="00242EAD"/>
    <w:rsid w:val="00244943"/>
    <w:rsid w:val="00246740"/>
    <w:rsid w:val="002535E4"/>
    <w:rsid w:val="00253967"/>
    <w:rsid w:val="002567A7"/>
    <w:rsid w:val="002571B2"/>
    <w:rsid w:val="0026025B"/>
    <w:rsid w:val="00262005"/>
    <w:rsid w:val="002626E7"/>
    <w:rsid w:val="002644E6"/>
    <w:rsid w:val="00264589"/>
    <w:rsid w:val="0026707C"/>
    <w:rsid w:val="0027018F"/>
    <w:rsid w:val="00275313"/>
    <w:rsid w:val="00275B3E"/>
    <w:rsid w:val="00275F05"/>
    <w:rsid w:val="00280475"/>
    <w:rsid w:val="00280588"/>
    <w:rsid w:val="00281B78"/>
    <w:rsid w:val="00282223"/>
    <w:rsid w:val="00282F62"/>
    <w:rsid w:val="00284F56"/>
    <w:rsid w:val="00285D92"/>
    <w:rsid w:val="00286533"/>
    <w:rsid w:val="002901A0"/>
    <w:rsid w:val="00290247"/>
    <w:rsid w:val="002913F3"/>
    <w:rsid w:val="0029211B"/>
    <w:rsid w:val="00292CD5"/>
    <w:rsid w:val="00293BD4"/>
    <w:rsid w:val="002A011B"/>
    <w:rsid w:val="002A1757"/>
    <w:rsid w:val="002A2749"/>
    <w:rsid w:val="002A32E6"/>
    <w:rsid w:val="002A3EA3"/>
    <w:rsid w:val="002A5DB6"/>
    <w:rsid w:val="002A6179"/>
    <w:rsid w:val="002A7DB5"/>
    <w:rsid w:val="002B023C"/>
    <w:rsid w:val="002B2534"/>
    <w:rsid w:val="002B3E15"/>
    <w:rsid w:val="002B44AD"/>
    <w:rsid w:val="002B5CE4"/>
    <w:rsid w:val="002C0CF6"/>
    <w:rsid w:val="002C22DF"/>
    <w:rsid w:val="002C32CC"/>
    <w:rsid w:val="002C43A1"/>
    <w:rsid w:val="002C5AE7"/>
    <w:rsid w:val="002D141F"/>
    <w:rsid w:val="002D2071"/>
    <w:rsid w:val="002D2384"/>
    <w:rsid w:val="002D2D4A"/>
    <w:rsid w:val="002D3205"/>
    <w:rsid w:val="002E641D"/>
    <w:rsid w:val="002E6806"/>
    <w:rsid w:val="002E6BA6"/>
    <w:rsid w:val="002F104B"/>
    <w:rsid w:val="002F3235"/>
    <w:rsid w:val="002F3E3E"/>
    <w:rsid w:val="002F5A5E"/>
    <w:rsid w:val="002F7E64"/>
    <w:rsid w:val="00301F94"/>
    <w:rsid w:val="00303F73"/>
    <w:rsid w:val="0030470E"/>
    <w:rsid w:val="00307E42"/>
    <w:rsid w:val="00310AA5"/>
    <w:rsid w:val="0031374A"/>
    <w:rsid w:val="00316311"/>
    <w:rsid w:val="00316C25"/>
    <w:rsid w:val="0031717D"/>
    <w:rsid w:val="00324A5B"/>
    <w:rsid w:val="00325591"/>
    <w:rsid w:val="00325747"/>
    <w:rsid w:val="00325D80"/>
    <w:rsid w:val="00327683"/>
    <w:rsid w:val="003300C0"/>
    <w:rsid w:val="00330E31"/>
    <w:rsid w:val="00333398"/>
    <w:rsid w:val="00340814"/>
    <w:rsid w:val="00343DC6"/>
    <w:rsid w:val="00343E45"/>
    <w:rsid w:val="003448C5"/>
    <w:rsid w:val="00345D20"/>
    <w:rsid w:val="003460D9"/>
    <w:rsid w:val="003461C6"/>
    <w:rsid w:val="00346567"/>
    <w:rsid w:val="00350C53"/>
    <w:rsid w:val="003515DF"/>
    <w:rsid w:val="0035220B"/>
    <w:rsid w:val="00352EC7"/>
    <w:rsid w:val="003537A2"/>
    <w:rsid w:val="0035711E"/>
    <w:rsid w:val="003571EF"/>
    <w:rsid w:val="00357C83"/>
    <w:rsid w:val="00360BDC"/>
    <w:rsid w:val="0036266C"/>
    <w:rsid w:val="00364E4E"/>
    <w:rsid w:val="00365533"/>
    <w:rsid w:val="00366196"/>
    <w:rsid w:val="00367F28"/>
    <w:rsid w:val="00371EB9"/>
    <w:rsid w:val="00372FFE"/>
    <w:rsid w:val="00375C32"/>
    <w:rsid w:val="00380970"/>
    <w:rsid w:val="00382403"/>
    <w:rsid w:val="003867E8"/>
    <w:rsid w:val="0039083B"/>
    <w:rsid w:val="0039280B"/>
    <w:rsid w:val="00395668"/>
    <w:rsid w:val="003A0740"/>
    <w:rsid w:val="003A12AC"/>
    <w:rsid w:val="003A31B7"/>
    <w:rsid w:val="003A3696"/>
    <w:rsid w:val="003A60B8"/>
    <w:rsid w:val="003A71B2"/>
    <w:rsid w:val="003B22E0"/>
    <w:rsid w:val="003B2695"/>
    <w:rsid w:val="003B5801"/>
    <w:rsid w:val="003B7EF2"/>
    <w:rsid w:val="003C1FAC"/>
    <w:rsid w:val="003C20A6"/>
    <w:rsid w:val="003C2E16"/>
    <w:rsid w:val="003C51BE"/>
    <w:rsid w:val="003C7AFE"/>
    <w:rsid w:val="003D4F60"/>
    <w:rsid w:val="003D6BCB"/>
    <w:rsid w:val="003D7671"/>
    <w:rsid w:val="003E0FBF"/>
    <w:rsid w:val="003E1DDE"/>
    <w:rsid w:val="003E31A2"/>
    <w:rsid w:val="003F1842"/>
    <w:rsid w:val="003F3FFB"/>
    <w:rsid w:val="003F58EE"/>
    <w:rsid w:val="003F7942"/>
    <w:rsid w:val="003F7D9F"/>
    <w:rsid w:val="0040169B"/>
    <w:rsid w:val="00401F6B"/>
    <w:rsid w:val="00402966"/>
    <w:rsid w:val="00402EA4"/>
    <w:rsid w:val="00403144"/>
    <w:rsid w:val="00403782"/>
    <w:rsid w:val="00410F86"/>
    <w:rsid w:val="00411F86"/>
    <w:rsid w:val="004136A0"/>
    <w:rsid w:val="004155B1"/>
    <w:rsid w:val="00416AFF"/>
    <w:rsid w:val="00416F2D"/>
    <w:rsid w:val="00420045"/>
    <w:rsid w:val="00423C5A"/>
    <w:rsid w:val="00424184"/>
    <w:rsid w:val="00425578"/>
    <w:rsid w:val="00425B03"/>
    <w:rsid w:val="00426630"/>
    <w:rsid w:val="00427452"/>
    <w:rsid w:val="00427BA5"/>
    <w:rsid w:val="00427D1C"/>
    <w:rsid w:val="004316CF"/>
    <w:rsid w:val="00431F9C"/>
    <w:rsid w:val="00432F8C"/>
    <w:rsid w:val="00435478"/>
    <w:rsid w:val="00435D38"/>
    <w:rsid w:val="00437626"/>
    <w:rsid w:val="00437B6B"/>
    <w:rsid w:val="0044227C"/>
    <w:rsid w:val="00442CCD"/>
    <w:rsid w:val="004448B5"/>
    <w:rsid w:val="00445741"/>
    <w:rsid w:val="00447B99"/>
    <w:rsid w:val="00447E81"/>
    <w:rsid w:val="00450813"/>
    <w:rsid w:val="00451807"/>
    <w:rsid w:val="004523F8"/>
    <w:rsid w:val="004537E0"/>
    <w:rsid w:val="0045558A"/>
    <w:rsid w:val="00460C1D"/>
    <w:rsid w:val="00462ED5"/>
    <w:rsid w:val="004633AB"/>
    <w:rsid w:val="00467D9F"/>
    <w:rsid w:val="00470503"/>
    <w:rsid w:val="00470529"/>
    <w:rsid w:val="004708A8"/>
    <w:rsid w:val="00473E4B"/>
    <w:rsid w:val="004747B1"/>
    <w:rsid w:val="004762FA"/>
    <w:rsid w:val="00477D86"/>
    <w:rsid w:val="00481C25"/>
    <w:rsid w:val="00484311"/>
    <w:rsid w:val="00484C8C"/>
    <w:rsid w:val="00485FA9"/>
    <w:rsid w:val="004864B0"/>
    <w:rsid w:val="004924EA"/>
    <w:rsid w:val="00493E3D"/>
    <w:rsid w:val="004975FF"/>
    <w:rsid w:val="004A2216"/>
    <w:rsid w:val="004A2B15"/>
    <w:rsid w:val="004A40E5"/>
    <w:rsid w:val="004A45EA"/>
    <w:rsid w:val="004A638B"/>
    <w:rsid w:val="004A7E00"/>
    <w:rsid w:val="004B0C6D"/>
    <w:rsid w:val="004B20AA"/>
    <w:rsid w:val="004B2DDC"/>
    <w:rsid w:val="004B344C"/>
    <w:rsid w:val="004B3E73"/>
    <w:rsid w:val="004B51DA"/>
    <w:rsid w:val="004B630E"/>
    <w:rsid w:val="004B6B57"/>
    <w:rsid w:val="004C0A13"/>
    <w:rsid w:val="004C5322"/>
    <w:rsid w:val="004C53C9"/>
    <w:rsid w:val="004D18F9"/>
    <w:rsid w:val="004D3FCA"/>
    <w:rsid w:val="004D5384"/>
    <w:rsid w:val="004D5995"/>
    <w:rsid w:val="004E2D5E"/>
    <w:rsid w:val="004E2FF6"/>
    <w:rsid w:val="004E3DE7"/>
    <w:rsid w:val="004E4021"/>
    <w:rsid w:val="004E664F"/>
    <w:rsid w:val="004E6BAC"/>
    <w:rsid w:val="004F2BCD"/>
    <w:rsid w:val="004F3BF0"/>
    <w:rsid w:val="004F4EE9"/>
    <w:rsid w:val="004F7A1C"/>
    <w:rsid w:val="00501D79"/>
    <w:rsid w:val="0050221A"/>
    <w:rsid w:val="005040F6"/>
    <w:rsid w:val="00504831"/>
    <w:rsid w:val="00505278"/>
    <w:rsid w:val="00505403"/>
    <w:rsid w:val="0050542D"/>
    <w:rsid w:val="005054B5"/>
    <w:rsid w:val="00505968"/>
    <w:rsid w:val="00507909"/>
    <w:rsid w:val="0051032A"/>
    <w:rsid w:val="005117ED"/>
    <w:rsid w:val="00513F99"/>
    <w:rsid w:val="00514D03"/>
    <w:rsid w:val="00520878"/>
    <w:rsid w:val="00525BB5"/>
    <w:rsid w:val="00534ADE"/>
    <w:rsid w:val="00535211"/>
    <w:rsid w:val="00535294"/>
    <w:rsid w:val="00535D4E"/>
    <w:rsid w:val="005374BA"/>
    <w:rsid w:val="00537F8F"/>
    <w:rsid w:val="00542C34"/>
    <w:rsid w:val="00543438"/>
    <w:rsid w:val="00543914"/>
    <w:rsid w:val="005454D9"/>
    <w:rsid w:val="005466BD"/>
    <w:rsid w:val="00561595"/>
    <w:rsid w:val="0056258B"/>
    <w:rsid w:val="005670A1"/>
    <w:rsid w:val="00567396"/>
    <w:rsid w:val="00572314"/>
    <w:rsid w:val="00572E75"/>
    <w:rsid w:val="00574D6F"/>
    <w:rsid w:val="005808D7"/>
    <w:rsid w:val="00583E5E"/>
    <w:rsid w:val="0058538F"/>
    <w:rsid w:val="00585A42"/>
    <w:rsid w:val="005866D8"/>
    <w:rsid w:val="005912BB"/>
    <w:rsid w:val="00591F37"/>
    <w:rsid w:val="00592D8F"/>
    <w:rsid w:val="0059485F"/>
    <w:rsid w:val="00595893"/>
    <w:rsid w:val="00597B08"/>
    <w:rsid w:val="005A007C"/>
    <w:rsid w:val="005A1E20"/>
    <w:rsid w:val="005A3C08"/>
    <w:rsid w:val="005A526A"/>
    <w:rsid w:val="005B04C4"/>
    <w:rsid w:val="005B08E2"/>
    <w:rsid w:val="005B0D4E"/>
    <w:rsid w:val="005B411E"/>
    <w:rsid w:val="005B5A5B"/>
    <w:rsid w:val="005C0110"/>
    <w:rsid w:val="005C141E"/>
    <w:rsid w:val="005C15A8"/>
    <w:rsid w:val="005C2A5E"/>
    <w:rsid w:val="005C7470"/>
    <w:rsid w:val="005D1FE4"/>
    <w:rsid w:val="005D309F"/>
    <w:rsid w:val="005D6720"/>
    <w:rsid w:val="005D6A5F"/>
    <w:rsid w:val="005E0CED"/>
    <w:rsid w:val="005E2192"/>
    <w:rsid w:val="005E4C7F"/>
    <w:rsid w:val="005E74AD"/>
    <w:rsid w:val="005E79A4"/>
    <w:rsid w:val="005F0C46"/>
    <w:rsid w:val="005F48ED"/>
    <w:rsid w:val="005F505E"/>
    <w:rsid w:val="005F52A4"/>
    <w:rsid w:val="005F5612"/>
    <w:rsid w:val="005F6257"/>
    <w:rsid w:val="0060279E"/>
    <w:rsid w:val="006041B1"/>
    <w:rsid w:val="006074B3"/>
    <w:rsid w:val="00612644"/>
    <w:rsid w:val="00612C92"/>
    <w:rsid w:val="006139D1"/>
    <w:rsid w:val="006203E9"/>
    <w:rsid w:val="00620CDC"/>
    <w:rsid w:val="00621E6E"/>
    <w:rsid w:val="00622738"/>
    <w:rsid w:val="00625172"/>
    <w:rsid w:val="006258E2"/>
    <w:rsid w:val="00627E9F"/>
    <w:rsid w:val="0063052B"/>
    <w:rsid w:val="00630C3B"/>
    <w:rsid w:val="006325AA"/>
    <w:rsid w:val="0063648B"/>
    <w:rsid w:val="00640107"/>
    <w:rsid w:val="00640E17"/>
    <w:rsid w:val="00641FE9"/>
    <w:rsid w:val="006429BA"/>
    <w:rsid w:val="00643A62"/>
    <w:rsid w:val="0064637A"/>
    <w:rsid w:val="00647CC5"/>
    <w:rsid w:val="00650854"/>
    <w:rsid w:val="00651A4E"/>
    <w:rsid w:val="00651B5E"/>
    <w:rsid w:val="00652617"/>
    <w:rsid w:val="00653DEF"/>
    <w:rsid w:val="00655332"/>
    <w:rsid w:val="0065554D"/>
    <w:rsid w:val="00657EF2"/>
    <w:rsid w:val="006603F1"/>
    <w:rsid w:val="0066094D"/>
    <w:rsid w:val="00662731"/>
    <w:rsid w:val="00666436"/>
    <w:rsid w:val="0067123D"/>
    <w:rsid w:val="00674D0F"/>
    <w:rsid w:val="00680710"/>
    <w:rsid w:val="00680881"/>
    <w:rsid w:val="00682CC4"/>
    <w:rsid w:val="0068556D"/>
    <w:rsid w:val="00687C6F"/>
    <w:rsid w:val="00690298"/>
    <w:rsid w:val="0069077F"/>
    <w:rsid w:val="00691F4C"/>
    <w:rsid w:val="00694352"/>
    <w:rsid w:val="00694A1B"/>
    <w:rsid w:val="00694A9A"/>
    <w:rsid w:val="006A1F40"/>
    <w:rsid w:val="006A3291"/>
    <w:rsid w:val="006A4C67"/>
    <w:rsid w:val="006B1192"/>
    <w:rsid w:val="006B2029"/>
    <w:rsid w:val="006B3421"/>
    <w:rsid w:val="006B5C81"/>
    <w:rsid w:val="006B6696"/>
    <w:rsid w:val="006B6FA7"/>
    <w:rsid w:val="006C107A"/>
    <w:rsid w:val="006C2294"/>
    <w:rsid w:val="006C403A"/>
    <w:rsid w:val="006C422E"/>
    <w:rsid w:val="006C4C93"/>
    <w:rsid w:val="006C4DE8"/>
    <w:rsid w:val="006C5DA6"/>
    <w:rsid w:val="006C6906"/>
    <w:rsid w:val="006C7D8C"/>
    <w:rsid w:val="006D0802"/>
    <w:rsid w:val="006D2057"/>
    <w:rsid w:val="006D3F15"/>
    <w:rsid w:val="006D74AF"/>
    <w:rsid w:val="006E22A1"/>
    <w:rsid w:val="006E27A9"/>
    <w:rsid w:val="006E579C"/>
    <w:rsid w:val="006E6B22"/>
    <w:rsid w:val="006E75E0"/>
    <w:rsid w:val="006E7C7D"/>
    <w:rsid w:val="006F16C4"/>
    <w:rsid w:val="006F3568"/>
    <w:rsid w:val="006F478B"/>
    <w:rsid w:val="00701DE3"/>
    <w:rsid w:val="00705C2B"/>
    <w:rsid w:val="0071139A"/>
    <w:rsid w:val="007120BE"/>
    <w:rsid w:val="0071400D"/>
    <w:rsid w:val="00725248"/>
    <w:rsid w:val="0072544D"/>
    <w:rsid w:val="00726280"/>
    <w:rsid w:val="0072651E"/>
    <w:rsid w:val="0072708A"/>
    <w:rsid w:val="007270AD"/>
    <w:rsid w:val="007272AC"/>
    <w:rsid w:val="007312F2"/>
    <w:rsid w:val="00733DF4"/>
    <w:rsid w:val="00735DD1"/>
    <w:rsid w:val="00736B9A"/>
    <w:rsid w:val="00736BA6"/>
    <w:rsid w:val="00741AEF"/>
    <w:rsid w:val="00746F5A"/>
    <w:rsid w:val="0075023C"/>
    <w:rsid w:val="00750286"/>
    <w:rsid w:val="00752E1F"/>
    <w:rsid w:val="0075369D"/>
    <w:rsid w:val="007566EF"/>
    <w:rsid w:val="00756E81"/>
    <w:rsid w:val="007601C1"/>
    <w:rsid w:val="00760514"/>
    <w:rsid w:val="00760A60"/>
    <w:rsid w:val="00760D9C"/>
    <w:rsid w:val="00764F81"/>
    <w:rsid w:val="007678C8"/>
    <w:rsid w:val="00772263"/>
    <w:rsid w:val="00776BA5"/>
    <w:rsid w:val="00777073"/>
    <w:rsid w:val="00781C1D"/>
    <w:rsid w:val="007840DE"/>
    <w:rsid w:val="00786F28"/>
    <w:rsid w:val="0079034D"/>
    <w:rsid w:val="007925BB"/>
    <w:rsid w:val="00792E2A"/>
    <w:rsid w:val="00797A82"/>
    <w:rsid w:val="007A1426"/>
    <w:rsid w:val="007A2D0E"/>
    <w:rsid w:val="007A3314"/>
    <w:rsid w:val="007A502F"/>
    <w:rsid w:val="007A6914"/>
    <w:rsid w:val="007B1EF0"/>
    <w:rsid w:val="007B5782"/>
    <w:rsid w:val="007C09DA"/>
    <w:rsid w:val="007C0A83"/>
    <w:rsid w:val="007C14F2"/>
    <w:rsid w:val="007C1B5A"/>
    <w:rsid w:val="007C2CA9"/>
    <w:rsid w:val="007C31DF"/>
    <w:rsid w:val="007C4EC3"/>
    <w:rsid w:val="007C7639"/>
    <w:rsid w:val="007D0370"/>
    <w:rsid w:val="007D2EA6"/>
    <w:rsid w:val="007D3292"/>
    <w:rsid w:val="007E681E"/>
    <w:rsid w:val="007E7DCE"/>
    <w:rsid w:val="007F2B99"/>
    <w:rsid w:val="007F2BF5"/>
    <w:rsid w:val="007F4723"/>
    <w:rsid w:val="007F511B"/>
    <w:rsid w:val="007F69FF"/>
    <w:rsid w:val="007F7F11"/>
    <w:rsid w:val="00800C90"/>
    <w:rsid w:val="00802718"/>
    <w:rsid w:val="0080440C"/>
    <w:rsid w:val="00805057"/>
    <w:rsid w:val="008052F7"/>
    <w:rsid w:val="008054CA"/>
    <w:rsid w:val="008060BB"/>
    <w:rsid w:val="008064E7"/>
    <w:rsid w:val="00806AC9"/>
    <w:rsid w:val="00806DB9"/>
    <w:rsid w:val="00807AC0"/>
    <w:rsid w:val="00810535"/>
    <w:rsid w:val="00812BAF"/>
    <w:rsid w:val="00813978"/>
    <w:rsid w:val="00814C1B"/>
    <w:rsid w:val="00815F91"/>
    <w:rsid w:val="00817608"/>
    <w:rsid w:val="00821502"/>
    <w:rsid w:val="00822957"/>
    <w:rsid w:val="00824779"/>
    <w:rsid w:val="0082535C"/>
    <w:rsid w:val="0082571F"/>
    <w:rsid w:val="00825EBE"/>
    <w:rsid w:val="00826217"/>
    <w:rsid w:val="00826980"/>
    <w:rsid w:val="00831AF0"/>
    <w:rsid w:val="00835483"/>
    <w:rsid w:val="008356E0"/>
    <w:rsid w:val="00841272"/>
    <w:rsid w:val="00842E43"/>
    <w:rsid w:val="00852B6A"/>
    <w:rsid w:val="00852CB8"/>
    <w:rsid w:val="008553D2"/>
    <w:rsid w:val="00856536"/>
    <w:rsid w:val="00856B6D"/>
    <w:rsid w:val="00857704"/>
    <w:rsid w:val="00860B97"/>
    <w:rsid w:val="008618A8"/>
    <w:rsid w:val="00867656"/>
    <w:rsid w:val="00867B0F"/>
    <w:rsid w:val="00870218"/>
    <w:rsid w:val="00872C0F"/>
    <w:rsid w:val="00874354"/>
    <w:rsid w:val="00874BCA"/>
    <w:rsid w:val="00875E46"/>
    <w:rsid w:val="008762D5"/>
    <w:rsid w:val="008809F9"/>
    <w:rsid w:val="008812CC"/>
    <w:rsid w:val="00881C87"/>
    <w:rsid w:val="00885B9F"/>
    <w:rsid w:val="0088613E"/>
    <w:rsid w:val="008875A2"/>
    <w:rsid w:val="008877F9"/>
    <w:rsid w:val="00890EB3"/>
    <w:rsid w:val="00891073"/>
    <w:rsid w:val="0089114C"/>
    <w:rsid w:val="008938CA"/>
    <w:rsid w:val="00893E51"/>
    <w:rsid w:val="008948E0"/>
    <w:rsid w:val="008A0FA4"/>
    <w:rsid w:val="008A22BE"/>
    <w:rsid w:val="008A35B7"/>
    <w:rsid w:val="008A5BD7"/>
    <w:rsid w:val="008A77C7"/>
    <w:rsid w:val="008B052B"/>
    <w:rsid w:val="008B22D6"/>
    <w:rsid w:val="008B5439"/>
    <w:rsid w:val="008B5890"/>
    <w:rsid w:val="008C0191"/>
    <w:rsid w:val="008C22BA"/>
    <w:rsid w:val="008C5E56"/>
    <w:rsid w:val="008C634D"/>
    <w:rsid w:val="008C7B81"/>
    <w:rsid w:val="008D1C2A"/>
    <w:rsid w:val="008D3470"/>
    <w:rsid w:val="008D5473"/>
    <w:rsid w:val="008D703B"/>
    <w:rsid w:val="008D7790"/>
    <w:rsid w:val="008E0ACE"/>
    <w:rsid w:val="008E2FB4"/>
    <w:rsid w:val="008E4714"/>
    <w:rsid w:val="008E5D7F"/>
    <w:rsid w:val="008E74A1"/>
    <w:rsid w:val="008F2537"/>
    <w:rsid w:val="008F49F1"/>
    <w:rsid w:val="008F522B"/>
    <w:rsid w:val="008F6C01"/>
    <w:rsid w:val="009009C7"/>
    <w:rsid w:val="009027E2"/>
    <w:rsid w:val="00904F7B"/>
    <w:rsid w:val="00906861"/>
    <w:rsid w:val="00911BF1"/>
    <w:rsid w:val="00915804"/>
    <w:rsid w:val="00915837"/>
    <w:rsid w:val="00921DE7"/>
    <w:rsid w:val="00922CF2"/>
    <w:rsid w:val="00923D31"/>
    <w:rsid w:val="009275B2"/>
    <w:rsid w:val="00930776"/>
    <w:rsid w:val="00934792"/>
    <w:rsid w:val="009352CA"/>
    <w:rsid w:val="0093748C"/>
    <w:rsid w:val="009405A8"/>
    <w:rsid w:val="00940BCE"/>
    <w:rsid w:val="00940CE0"/>
    <w:rsid w:val="00940FEA"/>
    <w:rsid w:val="00941153"/>
    <w:rsid w:val="00944F12"/>
    <w:rsid w:val="00946584"/>
    <w:rsid w:val="009533AD"/>
    <w:rsid w:val="00957036"/>
    <w:rsid w:val="00960771"/>
    <w:rsid w:val="009656F6"/>
    <w:rsid w:val="00967092"/>
    <w:rsid w:val="009679E2"/>
    <w:rsid w:val="00970C2D"/>
    <w:rsid w:val="00971634"/>
    <w:rsid w:val="009750EF"/>
    <w:rsid w:val="009768E6"/>
    <w:rsid w:val="00976E1C"/>
    <w:rsid w:val="009777F2"/>
    <w:rsid w:val="00980888"/>
    <w:rsid w:val="00982D20"/>
    <w:rsid w:val="009842B8"/>
    <w:rsid w:val="009848FF"/>
    <w:rsid w:val="009861B9"/>
    <w:rsid w:val="009938D6"/>
    <w:rsid w:val="009959B0"/>
    <w:rsid w:val="00995C40"/>
    <w:rsid w:val="009A2291"/>
    <w:rsid w:val="009A242F"/>
    <w:rsid w:val="009A279B"/>
    <w:rsid w:val="009A2DBE"/>
    <w:rsid w:val="009A33B0"/>
    <w:rsid w:val="009A446D"/>
    <w:rsid w:val="009A5FCB"/>
    <w:rsid w:val="009A6AC7"/>
    <w:rsid w:val="009B5F97"/>
    <w:rsid w:val="009C0109"/>
    <w:rsid w:val="009C4C28"/>
    <w:rsid w:val="009C54F9"/>
    <w:rsid w:val="009C6833"/>
    <w:rsid w:val="009D0A7F"/>
    <w:rsid w:val="009D3876"/>
    <w:rsid w:val="009D4303"/>
    <w:rsid w:val="009D5B72"/>
    <w:rsid w:val="009D6F15"/>
    <w:rsid w:val="009D70E1"/>
    <w:rsid w:val="009E1E29"/>
    <w:rsid w:val="009E2F0A"/>
    <w:rsid w:val="009E4EA0"/>
    <w:rsid w:val="009E4F06"/>
    <w:rsid w:val="009E69CF"/>
    <w:rsid w:val="009E7853"/>
    <w:rsid w:val="009F3B44"/>
    <w:rsid w:val="009F3D28"/>
    <w:rsid w:val="009F4678"/>
    <w:rsid w:val="009F5FF4"/>
    <w:rsid w:val="009F652A"/>
    <w:rsid w:val="009F751D"/>
    <w:rsid w:val="009F7785"/>
    <w:rsid w:val="00A0025E"/>
    <w:rsid w:val="00A00276"/>
    <w:rsid w:val="00A01546"/>
    <w:rsid w:val="00A01885"/>
    <w:rsid w:val="00A03603"/>
    <w:rsid w:val="00A0445E"/>
    <w:rsid w:val="00A05423"/>
    <w:rsid w:val="00A05C06"/>
    <w:rsid w:val="00A05C57"/>
    <w:rsid w:val="00A079DD"/>
    <w:rsid w:val="00A12801"/>
    <w:rsid w:val="00A23808"/>
    <w:rsid w:val="00A26988"/>
    <w:rsid w:val="00A31F6B"/>
    <w:rsid w:val="00A34C3E"/>
    <w:rsid w:val="00A35EC9"/>
    <w:rsid w:val="00A377AC"/>
    <w:rsid w:val="00A41FB0"/>
    <w:rsid w:val="00A44B4C"/>
    <w:rsid w:val="00A44CBD"/>
    <w:rsid w:val="00A50E3A"/>
    <w:rsid w:val="00A50EB6"/>
    <w:rsid w:val="00A530BD"/>
    <w:rsid w:val="00A55A53"/>
    <w:rsid w:val="00A55B50"/>
    <w:rsid w:val="00A619C0"/>
    <w:rsid w:val="00A6413A"/>
    <w:rsid w:val="00A64258"/>
    <w:rsid w:val="00A6548A"/>
    <w:rsid w:val="00A76630"/>
    <w:rsid w:val="00A76706"/>
    <w:rsid w:val="00A80A5F"/>
    <w:rsid w:val="00A82CC9"/>
    <w:rsid w:val="00A83F9D"/>
    <w:rsid w:val="00A84027"/>
    <w:rsid w:val="00A84A91"/>
    <w:rsid w:val="00AA1CDF"/>
    <w:rsid w:val="00AA20E8"/>
    <w:rsid w:val="00AA3144"/>
    <w:rsid w:val="00AA54BF"/>
    <w:rsid w:val="00AB03DB"/>
    <w:rsid w:val="00AB1732"/>
    <w:rsid w:val="00AB5873"/>
    <w:rsid w:val="00AB5F1B"/>
    <w:rsid w:val="00AB640D"/>
    <w:rsid w:val="00AB78BB"/>
    <w:rsid w:val="00AB7A5A"/>
    <w:rsid w:val="00AC0BD1"/>
    <w:rsid w:val="00AC1243"/>
    <w:rsid w:val="00AC2931"/>
    <w:rsid w:val="00AC607B"/>
    <w:rsid w:val="00AC64AD"/>
    <w:rsid w:val="00AC65CF"/>
    <w:rsid w:val="00AC71E6"/>
    <w:rsid w:val="00AD2FED"/>
    <w:rsid w:val="00AD7528"/>
    <w:rsid w:val="00AD7CE5"/>
    <w:rsid w:val="00AE2E49"/>
    <w:rsid w:val="00AE525C"/>
    <w:rsid w:val="00AE552B"/>
    <w:rsid w:val="00AE6B7C"/>
    <w:rsid w:val="00AF1B00"/>
    <w:rsid w:val="00AF2D24"/>
    <w:rsid w:val="00AF3B4B"/>
    <w:rsid w:val="00AF3DDD"/>
    <w:rsid w:val="00AF4C6D"/>
    <w:rsid w:val="00AF67CE"/>
    <w:rsid w:val="00B021A0"/>
    <w:rsid w:val="00B025BE"/>
    <w:rsid w:val="00B05720"/>
    <w:rsid w:val="00B0645D"/>
    <w:rsid w:val="00B10E0D"/>
    <w:rsid w:val="00B11077"/>
    <w:rsid w:val="00B12A44"/>
    <w:rsid w:val="00B15AFA"/>
    <w:rsid w:val="00B15E2C"/>
    <w:rsid w:val="00B1772D"/>
    <w:rsid w:val="00B22191"/>
    <w:rsid w:val="00B234B2"/>
    <w:rsid w:val="00B23CFA"/>
    <w:rsid w:val="00B24A9D"/>
    <w:rsid w:val="00B2591C"/>
    <w:rsid w:val="00B302D2"/>
    <w:rsid w:val="00B3280E"/>
    <w:rsid w:val="00B332CA"/>
    <w:rsid w:val="00B33751"/>
    <w:rsid w:val="00B33779"/>
    <w:rsid w:val="00B3548C"/>
    <w:rsid w:val="00B35E91"/>
    <w:rsid w:val="00B362B6"/>
    <w:rsid w:val="00B36F6A"/>
    <w:rsid w:val="00B4487A"/>
    <w:rsid w:val="00B45DF2"/>
    <w:rsid w:val="00B466AA"/>
    <w:rsid w:val="00B46D71"/>
    <w:rsid w:val="00B521F4"/>
    <w:rsid w:val="00B57786"/>
    <w:rsid w:val="00B57E24"/>
    <w:rsid w:val="00B60F94"/>
    <w:rsid w:val="00B623B6"/>
    <w:rsid w:val="00B62F45"/>
    <w:rsid w:val="00B648E7"/>
    <w:rsid w:val="00B700AE"/>
    <w:rsid w:val="00B70F25"/>
    <w:rsid w:val="00B719C9"/>
    <w:rsid w:val="00B8055C"/>
    <w:rsid w:val="00B8098C"/>
    <w:rsid w:val="00B815DE"/>
    <w:rsid w:val="00B83AD6"/>
    <w:rsid w:val="00B8569B"/>
    <w:rsid w:val="00B87BFA"/>
    <w:rsid w:val="00B91C92"/>
    <w:rsid w:val="00B9435B"/>
    <w:rsid w:val="00B95784"/>
    <w:rsid w:val="00B9639C"/>
    <w:rsid w:val="00BA1885"/>
    <w:rsid w:val="00BA2A22"/>
    <w:rsid w:val="00BA3462"/>
    <w:rsid w:val="00BA57AC"/>
    <w:rsid w:val="00BA5CAE"/>
    <w:rsid w:val="00BA61E6"/>
    <w:rsid w:val="00BA705E"/>
    <w:rsid w:val="00BA7FD9"/>
    <w:rsid w:val="00BB1B43"/>
    <w:rsid w:val="00BB2AC8"/>
    <w:rsid w:val="00BB3641"/>
    <w:rsid w:val="00BB43C5"/>
    <w:rsid w:val="00BC068F"/>
    <w:rsid w:val="00BC1307"/>
    <w:rsid w:val="00BC186F"/>
    <w:rsid w:val="00BC349A"/>
    <w:rsid w:val="00BC4B81"/>
    <w:rsid w:val="00BC5B05"/>
    <w:rsid w:val="00BC7906"/>
    <w:rsid w:val="00BD0342"/>
    <w:rsid w:val="00BD0827"/>
    <w:rsid w:val="00BD10CD"/>
    <w:rsid w:val="00BD7123"/>
    <w:rsid w:val="00BE1787"/>
    <w:rsid w:val="00BE32D5"/>
    <w:rsid w:val="00BE4233"/>
    <w:rsid w:val="00BE5948"/>
    <w:rsid w:val="00BF24F0"/>
    <w:rsid w:val="00BF2AA2"/>
    <w:rsid w:val="00BF43D9"/>
    <w:rsid w:val="00BF5AF7"/>
    <w:rsid w:val="00C004A1"/>
    <w:rsid w:val="00C004C2"/>
    <w:rsid w:val="00C01871"/>
    <w:rsid w:val="00C0189F"/>
    <w:rsid w:val="00C07001"/>
    <w:rsid w:val="00C07AC1"/>
    <w:rsid w:val="00C07D23"/>
    <w:rsid w:val="00C109F3"/>
    <w:rsid w:val="00C122E7"/>
    <w:rsid w:val="00C1343E"/>
    <w:rsid w:val="00C14167"/>
    <w:rsid w:val="00C16AC7"/>
    <w:rsid w:val="00C209CB"/>
    <w:rsid w:val="00C20EA2"/>
    <w:rsid w:val="00C26904"/>
    <w:rsid w:val="00C3051B"/>
    <w:rsid w:val="00C3197D"/>
    <w:rsid w:val="00C34430"/>
    <w:rsid w:val="00C3701A"/>
    <w:rsid w:val="00C41156"/>
    <w:rsid w:val="00C456A3"/>
    <w:rsid w:val="00C466B3"/>
    <w:rsid w:val="00C56687"/>
    <w:rsid w:val="00C57AED"/>
    <w:rsid w:val="00C60597"/>
    <w:rsid w:val="00C613E3"/>
    <w:rsid w:val="00C629BF"/>
    <w:rsid w:val="00C650F5"/>
    <w:rsid w:val="00C700CA"/>
    <w:rsid w:val="00C72CB0"/>
    <w:rsid w:val="00C74E98"/>
    <w:rsid w:val="00C76307"/>
    <w:rsid w:val="00C7725A"/>
    <w:rsid w:val="00C77A37"/>
    <w:rsid w:val="00C8060F"/>
    <w:rsid w:val="00C82F74"/>
    <w:rsid w:val="00C84AB4"/>
    <w:rsid w:val="00C92500"/>
    <w:rsid w:val="00C94BC0"/>
    <w:rsid w:val="00CA4CC6"/>
    <w:rsid w:val="00CA6A5F"/>
    <w:rsid w:val="00CB0137"/>
    <w:rsid w:val="00CB0D6F"/>
    <w:rsid w:val="00CB23BC"/>
    <w:rsid w:val="00CB3528"/>
    <w:rsid w:val="00CB74A5"/>
    <w:rsid w:val="00CC0DAE"/>
    <w:rsid w:val="00CC20D1"/>
    <w:rsid w:val="00CC2737"/>
    <w:rsid w:val="00CC5885"/>
    <w:rsid w:val="00CD1CC4"/>
    <w:rsid w:val="00CD252A"/>
    <w:rsid w:val="00CD6C7B"/>
    <w:rsid w:val="00CD6EC8"/>
    <w:rsid w:val="00CD76FA"/>
    <w:rsid w:val="00CE1AA5"/>
    <w:rsid w:val="00CE1C65"/>
    <w:rsid w:val="00CE28E0"/>
    <w:rsid w:val="00CE355D"/>
    <w:rsid w:val="00CE3C04"/>
    <w:rsid w:val="00CE4A98"/>
    <w:rsid w:val="00CE53CA"/>
    <w:rsid w:val="00CF0071"/>
    <w:rsid w:val="00CF19BF"/>
    <w:rsid w:val="00CF2062"/>
    <w:rsid w:val="00CF2F05"/>
    <w:rsid w:val="00CF359C"/>
    <w:rsid w:val="00CF3E40"/>
    <w:rsid w:val="00CF49FA"/>
    <w:rsid w:val="00CF5E8C"/>
    <w:rsid w:val="00CF66FB"/>
    <w:rsid w:val="00CF773B"/>
    <w:rsid w:val="00D01863"/>
    <w:rsid w:val="00D028A4"/>
    <w:rsid w:val="00D04F44"/>
    <w:rsid w:val="00D07D40"/>
    <w:rsid w:val="00D10B2B"/>
    <w:rsid w:val="00D112AC"/>
    <w:rsid w:val="00D12DE0"/>
    <w:rsid w:val="00D12F24"/>
    <w:rsid w:val="00D1320F"/>
    <w:rsid w:val="00D16865"/>
    <w:rsid w:val="00D17209"/>
    <w:rsid w:val="00D173BC"/>
    <w:rsid w:val="00D21B15"/>
    <w:rsid w:val="00D21B22"/>
    <w:rsid w:val="00D246B2"/>
    <w:rsid w:val="00D30980"/>
    <w:rsid w:val="00D3122C"/>
    <w:rsid w:val="00D3515D"/>
    <w:rsid w:val="00D41569"/>
    <w:rsid w:val="00D425E2"/>
    <w:rsid w:val="00D45B25"/>
    <w:rsid w:val="00D45BAD"/>
    <w:rsid w:val="00D52361"/>
    <w:rsid w:val="00D52996"/>
    <w:rsid w:val="00D55C77"/>
    <w:rsid w:val="00D61E08"/>
    <w:rsid w:val="00D62166"/>
    <w:rsid w:val="00D62ED0"/>
    <w:rsid w:val="00D64375"/>
    <w:rsid w:val="00D662CA"/>
    <w:rsid w:val="00D66B48"/>
    <w:rsid w:val="00D67378"/>
    <w:rsid w:val="00D6756F"/>
    <w:rsid w:val="00D70A81"/>
    <w:rsid w:val="00D71A1D"/>
    <w:rsid w:val="00D72761"/>
    <w:rsid w:val="00D7356D"/>
    <w:rsid w:val="00D753F4"/>
    <w:rsid w:val="00D80073"/>
    <w:rsid w:val="00D83D9B"/>
    <w:rsid w:val="00D84216"/>
    <w:rsid w:val="00D84A73"/>
    <w:rsid w:val="00D86C3A"/>
    <w:rsid w:val="00D91FAD"/>
    <w:rsid w:val="00D94D45"/>
    <w:rsid w:val="00D95019"/>
    <w:rsid w:val="00D95BF6"/>
    <w:rsid w:val="00D95EB1"/>
    <w:rsid w:val="00D964E8"/>
    <w:rsid w:val="00D97C54"/>
    <w:rsid w:val="00DA0B15"/>
    <w:rsid w:val="00DA211A"/>
    <w:rsid w:val="00DA35E4"/>
    <w:rsid w:val="00DA671D"/>
    <w:rsid w:val="00DB1C38"/>
    <w:rsid w:val="00DB2ED5"/>
    <w:rsid w:val="00DB74EC"/>
    <w:rsid w:val="00DB7D29"/>
    <w:rsid w:val="00DC0A17"/>
    <w:rsid w:val="00DC134E"/>
    <w:rsid w:val="00DC1814"/>
    <w:rsid w:val="00DC404D"/>
    <w:rsid w:val="00DC47E0"/>
    <w:rsid w:val="00DC509E"/>
    <w:rsid w:val="00DC6370"/>
    <w:rsid w:val="00DD1B73"/>
    <w:rsid w:val="00DD20A9"/>
    <w:rsid w:val="00DE095F"/>
    <w:rsid w:val="00DE2801"/>
    <w:rsid w:val="00DE3971"/>
    <w:rsid w:val="00DE424E"/>
    <w:rsid w:val="00DE56BB"/>
    <w:rsid w:val="00DE5C79"/>
    <w:rsid w:val="00DE7BF1"/>
    <w:rsid w:val="00DF16A7"/>
    <w:rsid w:val="00DF41C2"/>
    <w:rsid w:val="00DF5102"/>
    <w:rsid w:val="00DF555E"/>
    <w:rsid w:val="00DF77C7"/>
    <w:rsid w:val="00E004F2"/>
    <w:rsid w:val="00E02DFA"/>
    <w:rsid w:val="00E1056D"/>
    <w:rsid w:val="00E1143E"/>
    <w:rsid w:val="00E1146C"/>
    <w:rsid w:val="00E14FA5"/>
    <w:rsid w:val="00E15C3A"/>
    <w:rsid w:val="00E1661D"/>
    <w:rsid w:val="00E1768C"/>
    <w:rsid w:val="00E20A6F"/>
    <w:rsid w:val="00E22108"/>
    <w:rsid w:val="00E227A3"/>
    <w:rsid w:val="00E237B8"/>
    <w:rsid w:val="00E24446"/>
    <w:rsid w:val="00E3295D"/>
    <w:rsid w:val="00E36237"/>
    <w:rsid w:val="00E369AB"/>
    <w:rsid w:val="00E37D68"/>
    <w:rsid w:val="00E425CE"/>
    <w:rsid w:val="00E50990"/>
    <w:rsid w:val="00E5210D"/>
    <w:rsid w:val="00E53696"/>
    <w:rsid w:val="00E54CD8"/>
    <w:rsid w:val="00E55C3A"/>
    <w:rsid w:val="00E620C6"/>
    <w:rsid w:val="00E67F4E"/>
    <w:rsid w:val="00E711ED"/>
    <w:rsid w:val="00E71B66"/>
    <w:rsid w:val="00E73491"/>
    <w:rsid w:val="00E75A16"/>
    <w:rsid w:val="00E76050"/>
    <w:rsid w:val="00E76607"/>
    <w:rsid w:val="00E76EFE"/>
    <w:rsid w:val="00E76FC1"/>
    <w:rsid w:val="00E77452"/>
    <w:rsid w:val="00E80E33"/>
    <w:rsid w:val="00E81928"/>
    <w:rsid w:val="00E81955"/>
    <w:rsid w:val="00E81FD4"/>
    <w:rsid w:val="00E82343"/>
    <w:rsid w:val="00E831A1"/>
    <w:rsid w:val="00E83423"/>
    <w:rsid w:val="00E83DD6"/>
    <w:rsid w:val="00E841AF"/>
    <w:rsid w:val="00E9188A"/>
    <w:rsid w:val="00E91B26"/>
    <w:rsid w:val="00E92808"/>
    <w:rsid w:val="00E936A9"/>
    <w:rsid w:val="00E93D5D"/>
    <w:rsid w:val="00E9510A"/>
    <w:rsid w:val="00E9626C"/>
    <w:rsid w:val="00E97C99"/>
    <w:rsid w:val="00EA0AFC"/>
    <w:rsid w:val="00EA1D86"/>
    <w:rsid w:val="00EA1EC4"/>
    <w:rsid w:val="00EA41D4"/>
    <w:rsid w:val="00EA5238"/>
    <w:rsid w:val="00EA5A10"/>
    <w:rsid w:val="00EA74FD"/>
    <w:rsid w:val="00EA7534"/>
    <w:rsid w:val="00EA7E25"/>
    <w:rsid w:val="00EB0EA7"/>
    <w:rsid w:val="00EB459A"/>
    <w:rsid w:val="00EB727E"/>
    <w:rsid w:val="00EC014E"/>
    <w:rsid w:val="00EC0397"/>
    <w:rsid w:val="00EC0B27"/>
    <w:rsid w:val="00EC4356"/>
    <w:rsid w:val="00EC5A51"/>
    <w:rsid w:val="00EC5E36"/>
    <w:rsid w:val="00EC7571"/>
    <w:rsid w:val="00ED0030"/>
    <w:rsid w:val="00ED0B29"/>
    <w:rsid w:val="00ED304F"/>
    <w:rsid w:val="00ED4368"/>
    <w:rsid w:val="00ED74CF"/>
    <w:rsid w:val="00ED7E06"/>
    <w:rsid w:val="00EE0CD5"/>
    <w:rsid w:val="00EE3452"/>
    <w:rsid w:val="00EE481D"/>
    <w:rsid w:val="00EE51B7"/>
    <w:rsid w:val="00EF2EDA"/>
    <w:rsid w:val="00EF333C"/>
    <w:rsid w:val="00EF7E56"/>
    <w:rsid w:val="00F00C80"/>
    <w:rsid w:val="00F01EB8"/>
    <w:rsid w:val="00F022DC"/>
    <w:rsid w:val="00F04CD6"/>
    <w:rsid w:val="00F05148"/>
    <w:rsid w:val="00F066A3"/>
    <w:rsid w:val="00F10219"/>
    <w:rsid w:val="00F13218"/>
    <w:rsid w:val="00F13A11"/>
    <w:rsid w:val="00F1422B"/>
    <w:rsid w:val="00F1665F"/>
    <w:rsid w:val="00F20646"/>
    <w:rsid w:val="00F21505"/>
    <w:rsid w:val="00F21563"/>
    <w:rsid w:val="00F23930"/>
    <w:rsid w:val="00F23E6D"/>
    <w:rsid w:val="00F30A56"/>
    <w:rsid w:val="00F3252C"/>
    <w:rsid w:val="00F3319F"/>
    <w:rsid w:val="00F3556A"/>
    <w:rsid w:val="00F47898"/>
    <w:rsid w:val="00F51102"/>
    <w:rsid w:val="00F52EC2"/>
    <w:rsid w:val="00F531CB"/>
    <w:rsid w:val="00F53997"/>
    <w:rsid w:val="00F54278"/>
    <w:rsid w:val="00F5441B"/>
    <w:rsid w:val="00F56311"/>
    <w:rsid w:val="00F56D2B"/>
    <w:rsid w:val="00F6021C"/>
    <w:rsid w:val="00F60529"/>
    <w:rsid w:val="00F60CE0"/>
    <w:rsid w:val="00F623A6"/>
    <w:rsid w:val="00F626D7"/>
    <w:rsid w:val="00F64829"/>
    <w:rsid w:val="00F735E6"/>
    <w:rsid w:val="00F73BB3"/>
    <w:rsid w:val="00F73EB8"/>
    <w:rsid w:val="00F75BCF"/>
    <w:rsid w:val="00F75D75"/>
    <w:rsid w:val="00F8033D"/>
    <w:rsid w:val="00F80947"/>
    <w:rsid w:val="00F80C8C"/>
    <w:rsid w:val="00F82B71"/>
    <w:rsid w:val="00F87DBB"/>
    <w:rsid w:val="00F92937"/>
    <w:rsid w:val="00F92B37"/>
    <w:rsid w:val="00F94D5E"/>
    <w:rsid w:val="00F95262"/>
    <w:rsid w:val="00F95BB8"/>
    <w:rsid w:val="00F97E78"/>
    <w:rsid w:val="00FA00CD"/>
    <w:rsid w:val="00FA352F"/>
    <w:rsid w:val="00FA356D"/>
    <w:rsid w:val="00FA393F"/>
    <w:rsid w:val="00FA3EC7"/>
    <w:rsid w:val="00FA4A79"/>
    <w:rsid w:val="00FA5F1B"/>
    <w:rsid w:val="00FA646D"/>
    <w:rsid w:val="00FA6C88"/>
    <w:rsid w:val="00FB2492"/>
    <w:rsid w:val="00FB273E"/>
    <w:rsid w:val="00FB2A07"/>
    <w:rsid w:val="00FB4ADD"/>
    <w:rsid w:val="00FB652C"/>
    <w:rsid w:val="00FB7509"/>
    <w:rsid w:val="00FB794A"/>
    <w:rsid w:val="00FC05C1"/>
    <w:rsid w:val="00FC3DA9"/>
    <w:rsid w:val="00FC50C7"/>
    <w:rsid w:val="00FD3EF7"/>
    <w:rsid w:val="00FD5452"/>
    <w:rsid w:val="00FD54A6"/>
    <w:rsid w:val="00FD6E70"/>
    <w:rsid w:val="00FD744A"/>
    <w:rsid w:val="00FD748E"/>
    <w:rsid w:val="00FE1E69"/>
    <w:rsid w:val="00FE2365"/>
    <w:rsid w:val="00FE2A18"/>
    <w:rsid w:val="00FE5D4C"/>
    <w:rsid w:val="00FE603D"/>
    <w:rsid w:val="00FE6156"/>
    <w:rsid w:val="00FF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219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3E"/>
    <w:rPr>
      <w:sz w:val="24"/>
      <w:szCs w:val="24"/>
    </w:rPr>
  </w:style>
  <w:style w:type="paragraph" w:styleId="Heading1">
    <w:name w:val="heading 1"/>
    <w:basedOn w:val="Normal"/>
    <w:qFormat/>
    <w:rsid w:val="00C1343E"/>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343E"/>
    <w:rPr>
      <w:sz w:val="20"/>
      <w:szCs w:val="20"/>
    </w:rPr>
  </w:style>
  <w:style w:type="character" w:styleId="FootnoteReference">
    <w:name w:val="footnote reference"/>
    <w:basedOn w:val="DefaultParagraphFont"/>
    <w:semiHidden/>
    <w:rsid w:val="00C1343E"/>
    <w:rPr>
      <w:vertAlign w:val="superscript"/>
    </w:rPr>
  </w:style>
  <w:style w:type="character" w:styleId="Hyperlink">
    <w:name w:val="Hyperlink"/>
    <w:basedOn w:val="DefaultParagraphFont"/>
    <w:rsid w:val="00C1343E"/>
    <w:rPr>
      <w:color w:val="0000FF"/>
      <w:u w:val="single"/>
    </w:rPr>
  </w:style>
  <w:style w:type="paragraph" w:styleId="Footer">
    <w:name w:val="footer"/>
    <w:basedOn w:val="Normal"/>
    <w:link w:val="FooterChar"/>
    <w:uiPriority w:val="99"/>
    <w:rsid w:val="00C1343E"/>
    <w:pPr>
      <w:tabs>
        <w:tab w:val="center" w:pos="4320"/>
        <w:tab w:val="right" w:pos="8640"/>
      </w:tabs>
    </w:pPr>
  </w:style>
  <w:style w:type="character" w:styleId="PageNumber">
    <w:name w:val="page number"/>
    <w:basedOn w:val="DefaultParagraphFont"/>
    <w:rsid w:val="00C1343E"/>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link w:val="HeaderChar"/>
    <w:uiPriority w:val="99"/>
    <w:rsid w:val="00C1343E"/>
    <w:pPr>
      <w:tabs>
        <w:tab w:val="center" w:pos="4320"/>
        <w:tab w:val="right" w:pos="8640"/>
      </w:tabs>
    </w:pPr>
  </w:style>
  <w:style w:type="paragraph" w:styleId="HTMLPreformatted">
    <w:name w:val="HTML Preformatted"/>
    <w:basedOn w:val="Normal"/>
    <w:rsid w:val="00C1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FollowedHyperlink">
    <w:name w:val="FollowedHyperlink"/>
    <w:basedOn w:val="DefaultParagraphFont"/>
    <w:rsid w:val="0006111D"/>
    <w:rPr>
      <w:color w:val="800080"/>
      <w:u w:val="single"/>
    </w:rPr>
  </w:style>
  <w:style w:type="character" w:styleId="CommentReference">
    <w:name w:val="annotation reference"/>
    <w:basedOn w:val="DefaultParagraphFont"/>
    <w:rsid w:val="003D6BCB"/>
    <w:rPr>
      <w:sz w:val="16"/>
      <w:szCs w:val="16"/>
    </w:rPr>
  </w:style>
  <w:style w:type="paragraph" w:styleId="CommentText">
    <w:name w:val="annotation text"/>
    <w:basedOn w:val="Normal"/>
    <w:link w:val="CommentTextChar"/>
    <w:rsid w:val="003D6BCB"/>
    <w:rPr>
      <w:sz w:val="20"/>
      <w:szCs w:val="20"/>
    </w:rPr>
  </w:style>
  <w:style w:type="character" w:customStyle="1" w:styleId="CommentTextChar">
    <w:name w:val="Comment Text Char"/>
    <w:basedOn w:val="DefaultParagraphFont"/>
    <w:link w:val="CommentText"/>
    <w:rsid w:val="003D6BCB"/>
  </w:style>
  <w:style w:type="paragraph" w:styleId="CommentSubject">
    <w:name w:val="annotation subject"/>
    <w:basedOn w:val="CommentText"/>
    <w:next w:val="CommentText"/>
    <w:link w:val="CommentSubjectChar"/>
    <w:rsid w:val="003D6BCB"/>
    <w:rPr>
      <w:b/>
      <w:bCs/>
    </w:rPr>
  </w:style>
  <w:style w:type="character" w:customStyle="1" w:styleId="CommentSubjectChar">
    <w:name w:val="Comment Subject Char"/>
    <w:basedOn w:val="CommentTextChar"/>
    <w:link w:val="CommentSubject"/>
    <w:rsid w:val="003D6BCB"/>
    <w:rPr>
      <w:b/>
      <w:bCs/>
    </w:rPr>
  </w:style>
  <w:style w:type="character" w:customStyle="1" w:styleId="FooterChar">
    <w:name w:val="Footer Char"/>
    <w:basedOn w:val="DefaultParagraphFont"/>
    <w:link w:val="Footer"/>
    <w:uiPriority w:val="99"/>
    <w:rsid w:val="001E3008"/>
    <w:rPr>
      <w:sz w:val="24"/>
      <w:szCs w:val="24"/>
    </w:rPr>
  </w:style>
  <w:style w:type="character" w:styleId="Strong">
    <w:name w:val="Strong"/>
    <w:basedOn w:val="DefaultParagraphFont"/>
    <w:uiPriority w:val="22"/>
    <w:qFormat/>
    <w:rsid w:val="006429BA"/>
    <w:rPr>
      <w:b/>
      <w:bCs/>
    </w:rPr>
  </w:style>
  <w:style w:type="paragraph" w:styleId="ListParagraph">
    <w:name w:val="List Paragraph"/>
    <w:basedOn w:val="Normal"/>
    <w:uiPriority w:val="34"/>
    <w:qFormat/>
    <w:rsid w:val="00204BE1"/>
    <w:pPr>
      <w:ind w:left="720"/>
    </w:pPr>
  </w:style>
  <w:style w:type="character" w:customStyle="1" w:styleId="HeaderChar">
    <w:name w:val="Header Char"/>
    <w:basedOn w:val="DefaultParagraphFont"/>
    <w:link w:val="Header"/>
    <w:uiPriority w:val="99"/>
    <w:rsid w:val="00B10E0D"/>
    <w:rPr>
      <w:sz w:val="24"/>
      <w:szCs w:val="24"/>
    </w:rPr>
  </w:style>
  <w:style w:type="paragraph" w:styleId="Revision">
    <w:name w:val="Revision"/>
    <w:hidden/>
    <w:uiPriority w:val="99"/>
    <w:semiHidden/>
    <w:rsid w:val="003F58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3E"/>
    <w:rPr>
      <w:sz w:val="24"/>
      <w:szCs w:val="24"/>
    </w:rPr>
  </w:style>
  <w:style w:type="paragraph" w:styleId="Heading1">
    <w:name w:val="heading 1"/>
    <w:basedOn w:val="Normal"/>
    <w:qFormat/>
    <w:rsid w:val="00C1343E"/>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343E"/>
    <w:rPr>
      <w:sz w:val="20"/>
      <w:szCs w:val="20"/>
    </w:rPr>
  </w:style>
  <w:style w:type="character" w:styleId="FootnoteReference">
    <w:name w:val="footnote reference"/>
    <w:basedOn w:val="DefaultParagraphFont"/>
    <w:semiHidden/>
    <w:rsid w:val="00C1343E"/>
    <w:rPr>
      <w:vertAlign w:val="superscript"/>
    </w:rPr>
  </w:style>
  <w:style w:type="character" w:styleId="Hyperlink">
    <w:name w:val="Hyperlink"/>
    <w:basedOn w:val="DefaultParagraphFont"/>
    <w:rsid w:val="00C1343E"/>
    <w:rPr>
      <w:color w:val="0000FF"/>
      <w:u w:val="single"/>
    </w:rPr>
  </w:style>
  <w:style w:type="paragraph" w:styleId="Footer">
    <w:name w:val="footer"/>
    <w:basedOn w:val="Normal"/>
    <w:link w:val="FooterChar"/>
    <w:uiPriority w:val="99"/>
    <w:rsid w:val="00C1343E"/>
    <w:pPr>
      <w:tabs>
        <w:tab w:val="center" w:pos="4320"/>
        <w:tab w:val="right" w:pos="8640"/>
      </w:tabs>
    </w:pPr>
  </w:style>
  <w:style w:type="character" w:styleId="PageNumber">
    <w:name w:val="page number"/>
    <w:basedOn w:val="DefaultParagraphFont"/>
    <w:rsid w:val="00C1343E"/>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link w:val="HeaderChar"/>
    <w:uiPriority w:val="99"/>
    <w:rsid w:val="00C1343E"/>
    <w:pPr>
      <w:tabs>
        <w:tab w:val="center" w:pos="4320"/>
        <w:tab w:val="right" w:pos="8640"/>
      </w:tabs>
    </w:pPr>
  </w:style>
  <w:style w:type="paragraph" w:styleId="HTMLPreformatted">
    <w:name w:val="HTML Preformatted"/>
    <w:basedOn w:val="Normal"/>
    <w:rsid w:val="00C1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FollowedHyperlink">
    <w:name w:val="FollowedHyperlink"/>
    <w:basedOn w:val="DefaultParagraphFont"/>
    <w:rsid w:val="0006111D"/>
    <w:rPr>
      <w:color w:val="800080"/>
      <w:u w:val="single"/>
    </w:rPr>
  </w:style>
  <w:style w:type="character" w:styleId="CommentReference">
    <w:name w:val="annotation reference"/>
    <w:basedOn w:val="DefaultParagraphFont"/>
    <w:rsid w:val="003D6BCB"/>
    <w:rPr>
      <w:sz w:val="16"/>
      <w:szCs w:val="16"/>
    </w:rPr>
  </w:style>
  <w:style w:type="paragraph" w:styleId="CommentText">
    <w:name w:val="annotation text"/>
    <w:basedOn w:val="Normal"/>
    <w:link w:val="CommentTextChar"/>
    <w:rsid w:val="003D6BCB"/>
    <w:rPr>
      <w:sz w:val="20"/>
      <w:szCs w:val="20"/>
    </w:rPr>
  </w:style>
  <w:style w:type="character" w:customStyle="1" w:styleId="CommentTextChar">
    <w:name w:val="Comment Text Char"/>
    <w:basedOn w:val="DefaultParagraphFont"/>
    <w:link w:val="CommentText"/>
    <w:rsid w:val="003D6BCB"/>
  </w:style>
  <w:style w:type="paragraph" w:styleId="CommentSubject">
    <w:name w:val="annotation subject"/>
    <w:basedOn w:val="CommentText"/>
    <w:next w:val="CommentText"/>
    <w:link w:val="CommentSubjectChar"/>
    <w:rsid w:val="003D6BCB"/>
    <w:rPr>
      <w:b/>
      <w:bCs/>
    </w:rPr>
  </w:style>
  <w:style w:type="character" w:customStyle="1" w:styleId="CommentSubjectChar">
    <w:name w:val="Comment Subject Char"/>
    <w:basedOn w:val="CommentTextChar"/>
    <w:link w:val="CommentSubject"/>
    <w:rsid w:val="003D6BCB"/>
    <w:rPr>
      <w:b/>
      <w:bCs/>
    </w:rPr>
  </w:style>
  <w:style w:type="character" w:customStyle="1" w:styleId="FooterChar">
    <w:name w:val="Footer Char"/>
    <w:basedOn w:val="DefaultParagraphFont"/>
    <w:link w:val="Footer"/>
    <w:uiPriority w:val="99"/>
    <w:rsid w:val="001E3008"/>
    <w:rPr>
      <w:sz w:val="24"/>
      <w:szCs w:val="24"/>
    </w:rPr>
  </w:style>
  <w:style w:type="character" w:styleId="Strong">
    <w:name w:val="Strong"/>
    <w:basedOn w:val="DefaultParagraphFont"/>
    <w:uiPriority w:val="22"/>
    <w:qFormat/>
    <w:rsid w:val="006429BA"/>
    <w:rPr>
      <w:b/>
      <w:bCs/>
    </w:rPr>
  </w:style>
  <w:style w:type="paragraph" w:styleId="ListParagraph">
    <w:name w:val="List Paragraph"/>
    <w:basedOn w:val="Normal"/>
    <w:uiPriority w:val="34"/>
    <w:qFormat/>
    <w:rsid w:val="00204BE1"/>
    <w:pPr>
      <w:ind w:left="720"/>
    </w:pPr>
  </w:style>
  <w:style w:type="character" w:customStyle="1" w:styleId="HeaderChar">
    <w:name w:val="Header Char"/>
    <w:basedOn w:val="DefaultParagraphFont"/>
    <w:link w:val="Header"/>
    <w:uiPriority w:val="99"/>
    <w:rsid w:val="00B10E0D"/>
    <w:rPr>
      <w:sz w:val="24"/>
      <w:szCs w:val="24"/>
    </w:rPr>
  </w:style>
  <w:style w:type="paragraph" w:styleId="Revision">
    <w:name w:val="Revision"/>
    <w:hidden/>
    <w:uiPriority w:val="99"/>
    <w:semiHidden/>
    <w:rsid w:val="003F58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1814">
      <w:bodyDiv w:val="1"/>
      <w:marLeft w:val="0"/>
      <w:marRight w:val="0"/>
      <w:marTop w:val="0"/>
      <w:marBottom w:val="0"/>
      <w:divBdr>
        <w:top w:val="none" w:sz="0" w:space="0" w:color="auto"/>
        <w:left w:val="none" w:sz="0" w:space="0" w:color="auto"/>
        <w:bottom w:val="none" w:sz="0" w:space="0" w:color="auto"/>
        <w:right w:val="none" w:sz="0" w:space="0" w:color="auto"/>
      </w:divBdr>
      <w:divsChild>
        <w:div w:id="1840999131">
          <w:marLeft w:val="0"/>
          <w:marRight w:val="0"/>
          <w:marTop w:val="0"/>
          <w:marBottom w:val="0"/>
          <w:divBdr>
            <w:top w:val="none" w:sz="0" w:space="0" w:color="auto"/>
            <w:left w:val="none" w:sz="0" w:space="0" w:color="auto"/>
            <w:bottom w:val="none" w:sz="0" w:space="0" w:color="auto"/>
            <w:right w:val="none" w:sz="0" w:space="0" w:color="auto"/>
          </w:divBdr>
          <w:divsChild>
            <w:div w:id="1941525503">
              <w:marLeft w:val="0"/>
              <w:marRight w:val="0"/>
              <w:marTop w:val="0"/>
              <w:marBottom w:val="0"/>
              <w:divBdr>
                <w:top w:val="none" w:sz="0" w:space="0" w:color="auto"/>
                <w:left w:val="none" w:sz="0" w:space="0" w:color="auto"/>
                <w:bottom w:val="none" w:sz="0" w:space="0" w:color="auto"/>
                <w:right w:val="none" w:sz="0" w:space="0" w:color="auto"/>
              </w:divBdr>
              <w:divsChild>
                <w:div w:id="307176880">
                  <w:marLeft w:val="0"/>
                  <w:marRight w:val="0"/>
                  <w:marTop w:val="0"/>
                  <w:marBottom w:val="0"/>
                  <w:divBdr>
                    <w:top w:val="none" w:sz="0" w:space="0" w:color="auto"/>
                    <w:left w:val="none" w:sz="0" w:space="0" w:color="auto"/>
                    <w:bottom w:val="none" w:sz="0" w:space="0" w:color="auto"/>
                    <w:right w:val="none" w:sz="0" w:space="0" w:color="auto"/>
                  </w:divBdr>
                  <w:divsChild>
                    <w:div w:id="698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2160">
      <w:bodyDiv w:val="1"/>
      <w:marLeft w:val="0"/>
      <w:marRight w:val="0"/>
      <w:marTop w:val="0"/>
      <w:marBottom w:val="0"/>
      <w:divBdr>
        <w:top w:val="none" w:sz="0" w:space="0" w:color="auto"/>
        <w:left w:val="none" w:sz="0" w:space="0" w:color="auto"/>
        <w:bottom w:val="none" w:sz="0" w:space="0" w:color="auto"/>
        <w:right w:val="none" w:sz="0" w:space="0" w:color="auto"/>
      </w:divBdr>
    </w:div>
    <w:div w:id="311762630">
      <w:bodyDiv w:val="1"/>
      <w:marLeft w:val="0"/>
      <w:marRight w:val="0"/>
      <w:marTop w:val="0"/>
      <w:marBottom w:val="0"/>
      <w:divBdr>
        <w:top w:val="none" w:sz="0" w:space="0" w:color="auto"/>
        <w:left w:val="none" w:sz="0" w:space="0" w:color="auto"/>
        <w:bottom w:val="none" w:sz="0" w:space="0" w:color="auto"/>
        <w:right w:val="none" w:sz="0" w:space="0" w:color="auto"/>
      </w:divBdr>
    </w:div>
    <w:div w:id="466708943">
      <w:bodyDiv w:val="1"/>
      <w:marLeft w:val="0"/>
      <w:marRight w:val="0"/>
      <w:marTop w:val="0"/>
      <w:marBottom w:val="0"/>
      <w:divBdr>
        <w:top w:val="none" w:sz="0" w:space="0" w:color="auto"/>
        <w:left w:val="none" w:sz="0" w:space="0" w:color="auto"/>
        <w:bottom w:val="none" w:sz="0" w:space="0" w:color="auto"/>
        <w:right w:val="none" w:sz="0" w:space="0" w:color="auto"/>
      </w:divBdr>
    </w:div>
    <w:div w:id="776950921">
      <w:bodyDiv w:val="1"/>
      <w:marLeft w:val="0"/>
      <w:marRight w:val="0"/>
      <w:marTop w:val="0"/>
      <w:marBottom w:val="0"/>
      <w:divBdr>
        <w:top w:val="none" w:sz="0" w:space="0" w:color="auto"/>
        <w:left w:val="none" w:sz="0" w:space="0" w:color="auto"/>
        <w:bottom w:val="none" w:sz="0" w:space="0" w:color="auto"/>
        <w:right w:val="none" w:sz="0" w:space="0" w:color="auto"/>
      </w:divBdr>
    </w:div>
    <w:div w:id="1338266130">
      <w:bodyDiv w:val="1"/>
      <w:marLeft w:val="0"/>
      <w:marRight w:val="5"/>
      <w:marTop w:val="0"/>
      <w:marBottom w:val="600"/>
      <w:divBdr>
        <w:top w:val="none" w:sz="0" w:space="0" w:color="auto"/>
        <w:left w:val="none" w:sz="0" w:space="0" w:color="auto"/>
        <w:bottom w:val="none" w:sz="0" w:space="0" w:color="auto"/>
        <w:right w:val="none" w:sz="0" w:space="0" w:color="auto"/>
      </w:divBdr>
      <w:divsChild>
        <w:div w:id="1978800515">
          <w:marLeft w:val="2265"/>
          <w:marRight w:val="0"/>
          <w:marTop w:val="450"/>
          <w:marBottom w:val="300"/>
          <w:divBdr>
            <w:top w:val="none" w:sz="0" w:space="0" w:color="auto"/>
            <w:left w:val="none" w:sz="0" w:space="0" w:color="auto"/>
            <w:bottom w:val="none" w:sz="0" w:space="0" w:color="auto"/>
            <w:right w:val="none" w:sz="0" w:space="0" w:color="auto"/>
          </w:divBdr>
        </w:div>
      </w:divsChild>
    </w:div>
    <w:div w:id="1651591711">
      <w:bodyDiv w:val="1"/>
      <w:marLeft w:val="0"/>
      <w:marRight w:val="0"/>
      <w:marTop w:val="0"/>
      <w:marBottom w:val="0"/>
      <w:divBdr>
        <w:top w:val="none" w:sz="0" w:space="0" w:color="auto"/>
        <w:left w:val="none" w:sz="0" w:space="0" w:color="auto"/>
        <w:bottom w:val="none" w:sz="0" w:space="0" w:color="auto"/>
        <w:right w:val="none" w:sz="0" w:space="0" w:color="auto"/>
      </w:divBdr>
    </w:div>
    <w:div w:id="1756052145">
      <w:bodyDiv w:val="1"/>
      <w:marLeft w:val="0"/>
      <w:marRight w:val="0"/>
      <w:marTop w:val="0"/>
      <w:marBottom w:val="0"/>
      <w:divBdr>
        <w:top w:val="none" w:sz="0" w:space="0" w:color="auto"/>
        <w:left w:val="none" w:sz="0" w:space="0" w:color="auto"/>
        <w:bottom w:val="none" w:sz="0" w:space="0" w:color="auto"/>
        <w:right w:val="none" w:sz="0" w:space="0" w:color="auto"/>
      </w:divBdr>
    </w:div>
    <w:div w:id="1878277356">
      <w:bodyDiv w:val="1"/>
      <w:marLeft w:val="0"/>
      <w:marRight w:val="0"/>
      <w:marTop w:val="0"/>
      <w:marBottom w:val="0"/>
      <w:divBdr>
        <w:top w:val="none" w:sz="0" w:space="0" w:color="auto"/>
        <w:left w:val="none" w:sz="0" w:space="0" w:color="auto"/>
        <w:bottom w:val="none" w:sz="0" w:space="0" w:color="auto"/>
        <w:right w:val="none" w:sz="0" w:space="0" w:color="auto"/>
      </w:divBdr>
    </w:div>
    <w:div w:id="1884708109">
      <w:bodyDiv w:val="1"/>
      <w:marLeft w:val="0"/>
      <w:marRight w:val="0"/>
      <w:marTop w:val="0"/>
      <w:marBottom w:val="0"/>
      <w:divBdr>
        <w:top w:val="none" w:sz="0" w:space="0" w:color="auto"/>
        <w:left w:val="none" w:sz="0" w:space="0" w:color="auto"/>
        <w:bottom w:val="none" w:sz="0" w:space="0" w:color="auto"/>
        <w:right w:val="none" w:sz="0" w:space="0" w:color="auto"/>
      </w:divBdr>
      <w:divsChild>
        <w:div w:id="2006781445">
          <w:marLeft w:val="0"/>
          <w:marRight w:val="0"/>
          <w:marTop w:val="0"/>
          <w:marBottom w:val="0"/>
          <w:divBdr>
            <w:top w:val="none" w:sz="0" w:space="0" w:color="auto"/>
            <w:left w:val="none" w:sz="0" w:space="0" w:color="auto"/>
            <w:bottom w:val="none" w:sz="0" w:space="0" w:color="auto"/>
            <w:right w:val="none" w:sz="0" w:space="0" w:color="auto"/>
          </w:divBdr>
          <w:divsChild>
            <w:div w:id="2128617587">
              <w:marLeft w:val="0"/>
              <w:marRight w:val="0"/>
              <w:marTop w:val="0"/>
              <w:marBottom w:val="0"/>
              <w:divBdr>
                <w:top w:val="none" w:sz="0" w:space="0" w:color="auto"/>
                <w:left w:val="none" w:sz="0" w:space="0" w:color="auto"/>
                <w:bottom w:val="none" w:sz="0" w:space="0" w:color="auto"/>
                <w:right w:val="none" w:sz="0" w:space="0" w:color="auto"/>
              </w:divBdr>
              <w:divsChild>
                <w:div w:id="5977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ttn/chief/cerr/index.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17940-2758-4A3B-A0B9-1C4D016E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9302</Words>
  <Characters>53024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62202</CharactersWithSpaces>
  <SharedDoc>false</SharedDoc>
  <HLinks>
    <vt:vector size="36" baseType="variant">
      <vt:variant>
        <vt:i4>2818151</vt:i4>
      </vt:variant>
      <vt:variant>
        <vt:i4>69</vt:i4>
      </vt:variant>
      <vt:variant>
        <vt:i4>0</vt:i4>
      </vt:variant>
      <vt:variant>
        <vt:i4>5</vt:i4>
      </vt:variant>
      <vt:variant>
        <vt:lpwstr>http://www.regulations.gov/</vt:lpwstr>
      </vt:variant>
      <vt:variant>
        <vt:lpwstr/>
      </vt:variant>
      <vt:variant>
        <vt:i4>4521995</vt:i4>
      </vt:variant>
      <vt:variant>
        <vt:i4>39</vt:i4>
      </vt:variant>
      <vt:variant>
        <vt:i4>0</vt:i4>
      </vt:variant>
      <vt:variant>
        <vt:i4>5</vt:i4>
      </vt:variant>
      <vt:variant>
        <vt:lpwstr>http://www.opm.gov/oca/payrates/index.htm</vt:lpwstr>
      </vt:variant>
      <vt:variant>
        <vt:lpwstr/>
      </vt:variant>
      <vt:variant>
        <vt:i4>4915280</vt:i4>
      </vt:variant>
      <vt:variant>
        <vt:i4>24</vt:i4>
      </vt:variant>
      <vt:variant>
        <vt:i4>0</vt:i4>
      </vt:variant>
      <vt:variant>
        <vt:i4>5</vt:i4>
      </vt:variant>
      <vt:variant>
        <vt:lpwstr>http://www.epa.gov/ttn/chief/cerr/index.html</vt:lpwstr>
      </vt:variant>
      <vt:variant>
        <vt:lpwstr/>
      </vt:variant>
      <vt:variant>
        <vt:i4>7667828</vt:i4>
      </vt:variant>
      <vt:variant>
        <vt:i4>3</vt:i4>
      </vt:variant>
      <vt:variant>
        <vt:i4>0</vt:i4>
      </vt:variant>
      <vt:variant>
        <vt:i4>5</vt:i4>
      </vt:variant>
      <vt:variant>
        <vt:lpwstr>http://www.epa.gov/air/oaqps/greenbk/gncs.html</vt:lpwstr>
      </vt:variant>
      <vt:variant>
        <vt:lpwstr/>
      </vt:variant>
      <vt:variant>
        <vt:i4>4915280</vt:i4>
      </vt:variant>
      <vt:variant>
        <vt:i4>0</vt:i4>
      </vt:variant>
      <vt:variant>
        <vt:i4>0</vt:i4>
      </vt:variant>
      <vt:variant>
        <vt:i4>5</vt:i4>
      </vt:variant>
      <vt:variant>
        <vt:lpwstr>http://www.epa.gov/ttn/chief/cerr/index.html</vt:lpwstr>
      </vt:variant>
      <vt:variant>
        <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abasala</dc:creator>
  <cp:keywords/>
  <dc:description/>
  <cp:lastModifiedBy>SYSTEM</cp:lastModifiedBy>
  <cp:revision>2</cp:revision>
  <cp:lastPrinted>2017-12-20T22:49:00Z</cp:lastPrinted>
  <dcterms:created xsi:type="dcterms:W3CDTF">2018-01-16T23:55:00Z</dcterms:created>
  <dcterms:modified xsi:type="dcterms:W3CDTF">2018-01-16T23:55:00Z</dcterms:modified>
</cp:coreProperties>
</file>