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0D173" w14:textId="0EB2D061" w:rsidR="00A23119" w:rsidRDefault="00A23119" w:rsidP="0096771D">
      <w:pPr>
        <w:jc w:val="center"/>
      </w:pPr>
      <w:bookmarkStart w:id="0" w:name="_GoBack"/>
      <w:bookmarkEnd w:id="0"/>
      <w:r>
        <w:t>UNITED STATES OF AMERICA</w:t>
      </w:r>
    </w:p>
    <w:p w14:paraId="7FDFF7C0" w14:textId="77777777" w:rsidR="00A23119" w:rsidRDefault="00A23119">
      <w:pPr>
        <w:jc w:val="center"/>
      </w:pPr>
      <w:r>
        <w:t>FEDERAL ENERGY REGULATORY COMMISSION</w:t>
      </w:r>
    </w:p>
    <w:p w14:paraId="4E306BD2" w14:textId="77777777" w:rsidR="007F277B" w:rsidRDefault="007F277B" w:rsidP="0096771D"/>
    <w:p w14:paraId="588CB77F" w14:textId="0B6C193C" w:rsidR="008A5EF9" w:rsidRPr="008A5EF9" w:rsidRDefault="008A5EF9" w:rsidP="008A5EF9"/>
    <w:tbl>
      <w:tblPr>
        <w:tblW w:w="0" w:type="auto"/>
        <w:tblCellMar>
          <w:left w:w="0" w:type="dxa"/>
          <w:right w:w="0" w:type="dxa"/>
        </w:tblCellMar>
        <w:tblLook w:val="01E0" w:firstRow="1" w:lastRow="1" w:firstColumn="1" w:lastColumn="1" w:noHBand="0" w:noVBand="0"/>
      </w:tblPr>
      <w:tblGrid>
        <w:gridCol w:w="5932"/>
        <w:gridCol w:w="1535"/>
        <w:gridCol w:w="1893"/>
      </w:tblGrid>
      <w:tr w:rsidR="008A5EF9" w:rsidRPr="008A5EF9" w14:paraId="27C3AEE9" w14:textId="77777777" w:rsidTr="00F91919">
        <w:tc>
          <w:tcPr>
            <w:tcW w:w="5932" w:type="dxa"/>
            <w:shd w:val="clear" w:color="auto" w:fill="auto"/>
          </w:tcPr>
          <w:p w14:paraId="256A417C" w14:textId="77777777" w:rsidR="008A5EF9" w:rsidRPr="008A5EF9" w:rsidRDefault="008A5EF9" w:rsidP="008A5EF9"/>
          <w:p w14:paraId="702F82FE" w14:textId="46298E27" w:rsidR="0087799F" w:rsidRDefault="006428F4" w:rsidP="00F91919">
            <w:pPr>
              <w:ind w:firstLine="0"/>
            </w:pPr>
            <w:r>
              <w:t xml:space="preserve">Participation of Distributed Energy Resource Aggregations in </w:t>
            </w:r>
            <w:r w:rsidRPr="00253002">
              <w:rPr>
                <w:iCs/>
              </w:rPr>
              <w:t>Markets Operated by Regional Transmission Organizations and Independent System Operators</w:t>
            </w:r>
            <w:r>
              <w:t xml:space="preserve"> </w:t>
            </w:r>
          </w:p>
          <w:p w14:paraId="337348C3" w14:textId="77777777" w:rsidR="0087799F" w:rsidRDefault="0087799F" w:rsidP="00F91919">
            <w:pPr>
              <w:ind w:firstLine="0"/>
            </w:pPr>
          </w:p>
          <w:p w14:paraId="4380292D" w14:textId="73E71A83" w:rsidR="008A5EF9" w:rsidRPr="006C5181" w:rsidRDefault="00ED1149" w:rsidP="00F91919">
            <w:pPr>
              <w:ind w:firstLine="0"/>
              <w:rPr>
                <w:color w:val="auto"/>
              </w:rPr>
            </w:pPr>
            <w:r w:rsidRPr="006C5181">
              <w:rPr>
                <w:color w:val="auto"/>
              </w:rPr>
              <w:t>Distributed Energy Resources-Technical Considerations for the Bulk Power System</w:t>
            </w:r>
          </w:p>
          <w:p w14:paraId="785EED16" w14:textId="2B132DD3" w:rsidR="0087799F" w:rsidRPr="008A5EF9" w:rsidRDefault="0087799F" w:rsidP="00F91919">
            <w:pPr>
              <w:ind w:firstLine="0"/>
            </w:pPr>
          </w:p>
        </w:tc>
        <w:tc>
          <w:tcPr>
            <w:tcW w:w="1535" w:type="dxa"/>
            <w:shd w:val="clear" w:color="auto" w:fill="auto"/>
            <w:tcMar>
              <w:left w:w="72" w:type="dxa"/>
            </w:tcMar>
          </w:tcPr>
          <w:p w14:paraId="10DBA787" w14:textId="77777777" w:rsidR="006C7CCE" w:rsidRDefault="006C7CCE" w:rsidP="00F91919">
            <w:pPr>
              <w:ind w:firstLine="0"/>
            </w:pPr>
          </w:p>
          <w:p w14:paraId="6CBA6A4A" w14:textId="18914AC9" w:rsidR="0087799F" w:rsidRDefault="008A5EF9" w:rsidP="00F91919">
            <w:pPr>
              <w:ind w:firstLine="0"/>
            </w:pPr>
            <w:r w:rsidRPr="008A5EF9">
              <w:t>Docket No.</w:t>
            </w:r>
          </w:p>
          <w:p w14:paraId="47FECC34" w14:textId="77777777" w:rsidR="0087799F" w:rsidRPr="0087799F" w:rsidRDefault="0087799F" w:rsidP="006C5181"/>
          <w:p w14:paraId="5B1A870D" w14:textId="77777777" w:rsidR="0087799F" w:rsidRPr="0087799F" w:rsidRDefault="0087799F" w:rsidP="006C5181"/>
          <w:p w14:paraId="79A83134" w14:textId="77777777" w:rsidR="0087799F" w:rsidRPr="0087799F" w:rsidRDefault="0087799F" w:rsidP="006C5181"/>
          <w:p w14:paraId="18EEC069" w14:textId="44749399" w:rsidR="0087799F" w:rsidRDefault="0087799F" w:rsidP="0087799F"/>
          <w:p w14:paraId="474F2A3A" w14:textId="7E5DECA7" w:rsidR="008A5EF9" w:rsidRPr="0087799F" w:rsidRDefault="0087799F" w:rsidP="0087799F">
            <w:pPr>
              <w:ind w:firstLine="0"/>
            </w:pPr>
            <w:r>
              <w:t>Docket No.</w:t>
            </w:r>
          </w:p>
        </w:tc>
        <w:tc>
          <w:tcPr>
            <w:tcW w:w="1893" w:type="dxa"/>
            <w:shd w:val="clear" w:color="auto" w:fill="auto"/>
            <w:tcMar>
              <w:left w:w="144" w:type="dxa"/>
            </w:tcMar>
          </w:tcPr>
          <w:p w14:paraId="5AC1A2C1" w14:textId="77777777" w:rsidR="006C7CCE" w:rsidRDefault="006C7CCE" w:rsidP="00F91919">
            <w:pPr>
              <w:ind w:firstLine="0"/>
            </w:pPr>
          </w:p>
          <w:p w14:paraId="15E8EBA5" w14:textId="09FABE87" w:rsidR="008A5EF9" w:rsidRPr="008A5EF9" w:rsidRDefault="0087799F" w:rsidP="006C5181">
            <w:pPr>
              <w:ind w:firstLine="0"/>
            </w:pPr>
            <w:r>
              <w:t>RM18-</w:t>
            </w:r>
            <w:r w:rsidR="006C5181">
              <w:t>9</w:t>
            </w:r>
            <w:r w:rsidR="00F343CB">
              <w:t>-</w:t>
            </w:r>
            <w:r w:rsidR="006C5181">
              <w:t>000</w:t>
            </w:r>
          </w:p>
          <w:p w14:paraId="23A4DD21" w14:textId="77777777" w:rsidR="008A5EF9" w:rsidRPr="008A5EF9" w:rsidRDefault="008A5EF9" w:rsidP="008A5EF9"/>
          <w:p w14:paraId="06C3F9B5" w14:textId="77777777" w:rsidR="008A5EF9" w:rsidRPr="008A5EF9" w:rsidRDefault="008A5EF9" w:rsidP="008A5EF9"/>
          <w:p w14:paraId="5416EEF7" w14:textId="47478437" w:rsidR="008A5EF9" w:rsidRDefault="008A5EF9" w:rsidP="00F91919">
            <w:pPr>
              <w:ind w:firstLine="0"/>
            </w:pPr>
          </w:p>
          <w:p w14:paraId="66CBE5BF" w14:textId="77777777" w:rsidR="006C5181" w:rsidRDefault="006C5181" w:rsidP="00F91919">
            <w:pPr>
              <w:ind w:firstLine="0"/>
            </w:pPr>
          </w:p>
          <w:p w14:paraId="3206398A" w14:textId="629AC6DD" w:rsidR="008A5EF9" w:rsidRDefault="0087799F" w:rsidP="00F91919">
            <w:pPr>
              <w:ind w:firstLine="0"/>
            </w:pPr>
            <w:r>
              <w:t>AD18-</w:t>
            </w:r>
            <w:r w:rsidR="006C5181">
              <w:t>10</w:t>
            </w:r>
            <w:r w:rsidR="00F343CB">
              <w:t>-</w:t>
            </w:r>
            <w:r w:rsidR="006C5181">
              <w:t>000</w:t>
            </w:r>
          </w:p>
          <w:p w14:paraId="274F4981" w14:textId="56F5EEEC" w:rsidR="008A5EF9" w:rsidRPr="008A5EF9" w:rsidRDefault="008A5EF9" w:rsidP="00F91919">
            <w:pPr>
              <w:ind w:firstLine="0"/>
            </w:pPr>
          </w:p>
        </w:tc>
      </w:tr>
    </w:tbl>
    <w:p w14:paraId="1919DA58" w14:textId="77777777" w:rsidR="008A5EF9" w:rsidRPr="008A5EF9" w:rsidRDefault="008A5EF9" w:rsidP="008A5EF9"/>
    <w:p w14:paraId="42DEEE34" w14:textId="77777777" w:rsidR="00A23119" w:rsidRDefault="00A23119" w:rsidP="00FF2EFC"/>
    <w:p w14:paraId="2A82EC53" w14:textId="77777777" w:rsidR="007962A5" w:rsidRDefault="007962A5" w:rsidP="0096771D">
      <w:pPr>
        <w:jc w:val="center"/>
      </w:pPr>
      <w:r>
        <w:t>NOTICE OF TECHNICAL CONFERENCE</w:t>
      </w:r>
    </w:p>
    <w:p w14:paraId="7BB0E911" w14:textId="77777777" w:rsidR="00934E41" w:rsidRDefault="00934E41">
      <w:pPr>
        <w:jc w:val="center"/>
      </w:pPr>
    </w:p>
    <w:p w14:paraId="4CEA24DD" w14:textId="77777777" w:rsidR="007962A5" w:rsidRDefault="007962A5">
      <w:pPr>
        <w:jc w:val="center"/>
      </w:pPr>
      <w:r>
        <w:t>(</w:t>
      </w:r>
      <w:r w:rsidR="00934E41">
        <w:t>February 15</w:t>
      </w:r>
      <w:r>
        <w:t>, 201</w:t>
      </w:r>
      <w:r w:rsidR="0060578F">
        <w:t>8</w:t>
      </w:r>
      <w:r>
        <w:t>)</w:t>
      </w:r>
    </w:p>
    <w:p w14:paraId="4D951D82" w14:textId="77777777" w:rsidR="007962A5" w:rsidRDefault="007962A5" w:rsidP="00FF2EFC">
      <w:pPr>
        <w:jc w:val="center"/>
      </w:pPr>
    </w:p>
    <w:p w14:paraId="6C99DB4A" w14:textId="68082145" w:rsidR="007962A5" w:rsidRPr="0096771D" w:rsidRDefault="007962A5" w:rsidP="0096771D">
      <w:r w:rsidRPr="0096771D">
        <w:t>Take notice that Federal Energy Regulatory Commission (Commission)</w:t>
      </w:r>
      <w:r w:rsidR="00934E41" w:rsidRPr="0096771D">
        <w:t xml:space="preserve"> staff</w:t>
      </w:r>
      <w:r w:rsidRPr="0096771D">
        <w:t xml:space="preserve"> will </w:t>
      </w:r>
      <w:r w:rsidR="00934E41" w:rsidRPr="0096771D">
        <w:t>hold a</w:t>
      </w:r>
      <w:r w:rsidR="00FB208B" w:rsidRPr="0096771D">
        <w:t xml:space="preserve"> </w:t>
      </w:r>
      <w:r w:rsidRPr="0096771D">
        <w:t>technical conference</w:t>
      </w:r>
      <w:r w:rsidR="00160568" w:rsidRPr="0096771D">
        <w:t xml:space="preserve"> to discuss </w:t>
      </w:r>
      <w:r w:rsidR="0009002E">
        <w:t xml:space="preserve">the participation of </w:t>
      </w:r>
      <w:r w:rsidR="00160568" w:rsidRPr="0096771D">
        <w:t>distributed energy resource</w:t>
      </w:r>
      <w:r w:rsidR="000152F1" w:rsidRPr="0096771D">
        <w:t xml:space="preserve"> (DER)</w:t>
      </w:r>
      <w:r w:rsidR="00160568" w:rsidRPr="0096771D">
        <w:t xml:space="preserve"> aggregat</w:t>
      </w:r>
      <w:r w:rsidR="004D3B5B">
        <w:t>ions</w:t>
      </w:r>
      <w:r w:rsidR="0009002E">
        <w:t xml:space="preserve"> </w:t>
      </w:r>
      <w:r w:rsidR="00160568" w:rsidRPr="0096771D">
        <w:t xml:space="preserve">in </w:t>
      </w:r>
      <w:r w:rsidR="006C7FB1" w:rsidRPr="005C5ADD">
        <w:t>Reg</w:t>
      </w:r>
      <w:r w:rsidR="006C7FB1">
        <w:t>ional Transmission Organization (RTO</w:t>
      </w:r>
      <w:r w:rsidR="006C7FB1" w:rsidRPr="005C5ADD">
        <w:t xml:space="preserve">) </w:t>
      </w:r>
      <w:r w:rsidR="006C7FB1">
        <w:t>and Independent System Operator (ISO</w:t>
      </w:r>
      <w:r w:rsidR="006C7FB1" w:rsidRPr="005C5ADD">
        <w:t>)</w:t>
      </w:r>
      <w:r w:rsidR="00160568" w:rsidRPr="0096771D">
        <w:t xml:space="preserve"> markets</w:t>
      </w:r>
      <w:r w:rsidR="00F55314">
        <w:t>,</w:t>
      </w:r>
      <w:r w:rsidR="00160568" w:rsidRPr="0096771D">
        <w:t xml:space="preserve"> and </w:t>
      </w:r>
      <w:r w:rsidR="0009002E">
        <w:t>to more broadly discuss</w:t>
      </w:r>
      <w:r w:rsidR="00160568" w:rsidRPr="0096771D">
        <w:t xml:space="preserve"> the </w:t>
      </w:r>
      <w:r w:rsidR="00C05354">
        <w:t>potential effects</w:t>
      </w:r>
      <w:r w:rsidR="00C05354" w:rsidRPr="0096771D">
        <w:t xml:space="preserve"> </w:t>
      </w:r>
      <w:r w:rsidR="00160568" w:rsidRPr="0096771D">
        <w:t>of distributed energy resources on the bulk power system</w:t>
      </w:r>
      <w:r w:rsidR="000152F1" w:rsidRPr="0096771D">
        <w:t>.</w:t>
      </w:r>
      <w:r w:rsidR="000152F1" w:rsidRPr="00FF2EFC">
        <w:t xml:space="preserve"> </w:t>
      </w:r>
      <w:r w:rsidR="007F47C3" w:rsidRPr="0096771D">
        <w:t xml:space="preserve"> </w:t>
      </w:r>
      <w:r w:rsidR="00160568" w:rsidRPr="0096771D">
        <w:t xml:space="preserve">The technical conference will take place </w:t>
      </w:r>
      <w:r w:rsidRPr="0096771D">
        <w:t xml:space="preserve">on </w:t>
      </w:r>
      <w:r w:rsidR="0060578F" w:rsidRPr="0096771D">
        <w:t xml:space="preserve">April </w:t>
      </w:r>
      <w:r w:rsidR="009B0BA9">
        <w:t>10 and 11</w:t>
      </w:r>
      <w:r w:rsidR="00CE6159">
        <w:t>, 2018</w:t>
      </w:r>
      <w:r w:rsidR="009B0BA9">
        <w:t xml:space="preserve"> </w:t>
      </w:r>
      <w:r w:rsidR="006A337D" w:rsidRPr="0096771D">
        <w:t>at the Commission’s offices at 888 Fi</w:t>
      </w:r>
      <w:r w:rsidR="008030A4" w:rsidRPr="0096771D">
        <w:t>r</w:t>
      </w:r>
      <w:r w:rsidR="006A337D" w:rsidRPr="0096771D">
        <w:t xml:space="preserve">st Street, NE, Washington DC beginning at </w:t>
      </w:r>
      <w:r w:rsidRPr="0096771D">
        <w:t xml:space="preserve">9:30 am </w:t>
      </w:r>
      <w:r w:rsidR="006A337D" w:rsidRPr="0096771D">
        <w:t xml:space="preserve">and ending at </w:t>
      </w:r>
      <w:r w:rsidRPr="0096771D">
        <w:t>4:</w:t>
      </w:r>
      <w:r w:rsidR="005A19DD" w:rsidRPr="0096771D">
        <w:t>3</w:t>
      </w:r>
      <w:r w:rsidRPr="0096771D">
        <w:t>0 pm</w:t>
      </w:r>
      <w:r w:rsidR="009B0BA9">
        <w:t xml:space="preserve"> </w:t>
      </w:r>
      <w:r w:rsidRPr="0096771D">
        <w:t>(</w:t>
      </w:r>
      <w:r w:rsidR="006A337D" w:rsidRPr="0096771D">
        <w:t>Eastern Time</w:t>
      </w:r>
      <w:r w:rsidRPr="0096771D">
        <w:t>)</w:t>
      </w:r>
      <w:r w:rsidR="002A29C3" w:rsidRPr="0096771D">
        <w:t xml:space="preserve">.  </w:t>
      </w:r>
      <w:r w:rsidR="00665F16">
        <w:t xml:space="preserve">Commissioners will lead the </w:t>
      </w:r>
      <w:r w:rsidR="0061129D">
        <w:t xml:space="preserve">second </w:t>
      </w:r>
      <w:r w:rsidR="00665F16">
        <w:t xml:space="preserve">panel of the technical conference.  </w:t>
      </w:r>
      <w:r w:rsidR="006A337D" w:rsidRPr="0096771D">
        <w:t xml:space="preserve">Commission staff will lead the </w:t>
      </w:r>
      <w:r w:rsidR="0061129D">
        <w:t>other</w:t>
      </w:r>
      <w:r w:rsidR="00665F16">
        <w:t xml:space="preserve"> six panels</w:t>
      </w:r>
      <w:r w:rsidR="006A337D" w:rsidRPr="0096771D">
        <w:t xml:space="preserve">, and </w:t>
      </w:r>
      <w:r w:rsidR="002A29C3" w:rsidRPr="0096771D">
        <w:t>Commissioners may attend</w:t>
      </w:r>
      <w:r w:rsidR="0089274F" w:rsidRPr="0096771D">
        <w:t>.</w:t>
      </w:r>
    </w:p>
    <w:p w14:paraId="657EA8A1" w14:textId="77777777" w:rsidR="00B60ABE" w:rsidRDefault="00B60ABE"/>
    <w:p w14:paraId="761A253E" w14:textId="3104AC47" w:rsidR="0096771D" w:rsidRDefault="00FF2EFC" w:rsidP="009F368D">
      <w:r>
        <w:t>T</w:t>
      </w:r>
      <w:r w:rsidR="001D3874">
        <w:t>he technical conference w</w:t>
      </w:r>
      <w:r w:rsidR="00606684">
        <w:t xml:space="preserve">ill </w:t>
      </w:r>
      <w:r w:rsidR="001D3874">
        <w:t xml:space="preserve">address two </w:t>
      </w:r>
      <w:r w:rsidR="004E27EB">
        <w:t xml:space="preserve">broad set of </w:t>
      </w:r>
      <w:r w:rsidR="001D3874">
        <w:t>issues</w:t>
      </w:r>
      <w:r w:rsidR="005C5ADD">
        <w:t xml:space="preserve"> related to DER</w:t>
      </w:r>
      <w:r w:rsidR="000152F1">
        <w:t>s</w:t>
      </w:r>
      <w:r w:rsidR="001D3874">
        <w:t xml:space="preserve">.  First, the technical conference will </w:t>
      </w:r>
      <w:r w:rsidR="00CE07D2" w:rsidRPr="00CE07D2">
        <w:rPr>
          <w:color w:val="auto"/>
        </w:rPr>
        <w:t xml:space="preserve">gather additional information to help </w:t>
      </w:r>
      <w:r w:rsidR="00CE07D2">
        <w:rPr>
          <w:color w:val="auto"/>
        </w:rPr>
        <w:t>the Commission</w:t>
      </w:r>
      <w:r w:rsidR="00CE07D2" w:rsidRPr="00CE07D2">
        <w:rPr>
          <w:color w:val="auto"/>
        </w:rPr>
        <w:t xml:space="preserve"> determine what action to take on the distributed energy resource aggregation reforms </w:t>
      </w:r>
      <w:r w:rsidR="005C5ADD">
        <w:t xml:space="preserve">proposed in </w:t>
      </w:r>
      <w:r w:rsidR="00CE07D2">
        <w:t xml:space="preserve">its </w:t>
      </w:r>
      <w:r w:rsidR="005C5ADD" w:rsidRPr="005C5ADD">
        <w:t xml:space="preserve">Notice of Proposed Rulemaking on Electric Storage Participation in Markets Operated by Regional Transmission Organizations and Independent System Operators </w:t>
      </w:r>
      <w:r w:rsidR="00160568">
        <w:t>(NOPR)</w:t>
      </w:r>
      <w:r w:rsidR="005C5ADD" w:rsidRPr="005C5ADD">
        <w:t>.</w:t>
      </w:r>
      <w:r w:rsidR="005C5ADD" w:rsidRPr="006F23F0">
        <w:rPr>
          <w:b/>
          <w:vertAlign w:val="superscript"/>
        </w:rPr>
        <w:footnoteReference w:id="2"/>
      </w:r>
      <w:r w:rsidR="005C5ADD">
        <w:t xml:space="preserve">  </w:t>
      </w:r>
      <w:r w:rsidR="000A17A3">
        <w:t xml:space="preserve">In the NOPR, the Commission proposed to require each RTO/ISO to </w:t>
      </w:r>
      <w:r w:rsidR="00194097">
        <w:rPr>
          <w:color w:val="auto"/>
        </w:rPr>
        <w:t xml:space="preserve">define DER aggregators as a type of market participant that can participate in the RTO/ISO markets under the participation model that best accommodates the physical and </w:t>
      </w:r>
      <w:r w:rsidR="00194097">
        <w:rPr>
          <w:color w:val="auto"/>
        </w:rPr>
        <w:lastRenderedPageBreak/>
        <w:t>operational characteristics of its DER aggregation.</w:t>
      </w:r>
      <w:r w:rsidR="000A17A3" w:rsidRPr="006F23F0">
        <w:rPr>
          <w:rStyle w:val="FootnoteReference"/>
          <w:b/>
        </w:rPr>
        <w:footnoteReference w:id="3"/>
      </w:r>
      <w:r>
        <w:rPr>
          <w:color w:val="auto"/>
        </w:rPr>
        <w:t xml:space="preserve">  </w:t>
      </w:r>
      <w:r w:rsidR="0089059E">
        <w:rPr>
          <w:color w:val="auto"/>
        </w:rPr>
        <w:t xml:space="preserve">As discussed in the Final Rule issued concurrently with this </w:t>
      </w:r>
      <w:r w:rsidR="00323EBB">
        <w:rPr>
          <w:color w:val="auto"/>
        </w:rPr>
        <w:t>N</w:t>
      </w:r>
      <w:r w:rsidR="0089059E">
        <w:rPr>
          <w:color w:val="auto"/>
        </w:rPr>
        <w:t>otice, the Commission is taking no further action in Docket No. RM16-23-000 regarding the proposed DER aggregation reforms.</w:t>
      </w:r>
      <w:r w:rsidR="007C3696">
        <w:rPr>
          <w:rStyle w:val="FootnoteReference"/>
          <w:color w:val="auto"/>
        </w:rPr>
        <w:footnoteReference w:id="4"/>
      </w:r>
      <w:r w:rsidR="0089059E">
        <w:rPr>
          <w:color w:val="auto"/>
        </w:rPr>
        <w:t xml:space="preserve">  </w:t>
      </w:r>
      <w:r w:rsidR="00D153BF" w:rsidRPr="00E03D7B">
        <w:t xml:space="preserve">Instead, the Commission </w:t>
      </w:r>
      <w:r w:rsidR="00D153BF">
        <w:t>will continue to explore the proposed distributed energy resource aggregation reforms under Docket No. RM18-</w:t>
      </w:r>
      <w:r w:rsidR="00AB76C9">
        <w:t>9</w:t>
      </w:r>
      <w:r w:rsidR="00D153BF">
        <w:t>-</w:t>
      </w:r>
      <w:r w:rsidR="00AB76C9">
        <w:t>000</w:t>
      </w:r>
      <w:r w:rsidR="00D153BF">
        <w:t xml:space="preserve">.  </w:t>
      </w:r>
      <w:r w:rsidR="005229E2">
        <w:t>A</w:t>
      </w:r>
      <w:r w:rsidR="005229E2" w:rsidRPr="002218F6">
        <w:t>ll comments</w:t>
      </w:r>
      <w:r w:rsidR="00D153BF">
        <w:t xml:space="preserve"> previously</w:t>
      </w:r>
      <w:r w:rsidR="005229E2" w:rsidRPr="002218F6">
        <w:t xml:space="preserve"> filed in response to the </w:t>
      </w:r>
      <w:r w:rsidR="005229E2">
        <w:t xml:space="preserve">NOPR </w:t>
      </w:r>
      <w:r w:rsidR="00D153BF">
        <w:t>in Docket No. RM16-23-000 w</w:t>
      </w:r>
      <w:r w:rsidR="005229E2">
        <w:t xml:space="preserve">ill be incorporated by reference into </w:t>
      </w:r>
      <w:r w:rsidR="005229E2" w:rsidRPr="002218F6">
        <w:t>Docket No. RM</w:t>
      </w:r>
      <w:r w:rsidR="005229E2">
        <w:t>18-</w:t>
      </w:r>
      <w:r w:rsidR="00AB76C9">
        <w:t>9</w:t>
      </w:r>
      <w:r w:rsidR="005229E2">
        <w:t>-</w:t>
      </w:r>
      <w:r w:rsidR="00AB76C9">
        <w:t>000</w:t>
      </w:r>
      <w:r w:rsidR="005229E2">
        <w:t>, and any further comments regarding the proposed distributed energy</w:t>
      </w:r>
      <w:r w:rsidR="002179CE">
        <w:t xml:space="preserve"> resource</w:t>
      </w:r>
      <w:r w:rsidR="005229E2">
        <w:t xml:space="preserve"> aggregation refor</w:t>
      </w:r>
      <w:r w:rsidR="00945981">
        <w:t>ms, including discussion of those reforms during</w:t>
      </w:r>
      <w:r w:rsidR="005229E2">
        <w:t xml:space="preserve"> th</w:t>
      </w:r>
      <w:r w:rsidR="00D153BF">
        <w:t>is</w:t>
      </w:r>
      <w:r w:rsidR="005229E2">
        <w:t xml:space="preserve"> technical conference, should be filed </w:t>
      </w:r>
      <w:r w:rsidR="00D153BF">
        <w:t xml:space="preserve">henceforth </w:t>
      </w:r>
      <w:r w:rsidR="005229E2">
        <w:t>in Docket No. RM18-</w:t>
      </w:r>
      <w:r w:rsidR="00AB76C9">
        <w:t>9</w:t>
      </w:r>
      <w:r w:rsidR="005229E2">
        <w:t>-</w:t>
      </w:r>
      <w:r w:rsidR="00AB76C9">
        <w:t>000</w:t>
      </w:r>
      <w:r w:rsidR="005229E2">
        <w:t>.</w:t>
      </w:r>
      <w:r w:rsidR="005229E2">
        <w:rPr>
          <w:rStyle w:val="FootnoteReference"/>
        </w:rPr>
        <w:footnoteReference w:id="5"/>
      </w:r>
      <w:r w:rsidR="005229E2">
        <w:t xml:space="preserve">  </w:t>
      </w:r>
      <w:r w:rsidR="0096771D" w:rsidRPr="00123772">
        <w:t xml:space="preserve">Second, </w:t>
      </w:r>
      <w:r w:rsidR="007036B5">
        <w:t xml:space="preserve">the technical conference will explore issues </w:t>
      </w:r>
      <w:r w:rsidR="0096771D" w:rsidRPr="00123772">
        <w:t xml:space="preserve">related to the </w:t>
      </w:r>
      <w:r w:rsidR="00C05354" w:rsidRPr="00C05354">
        <w:t>potential effects</w:t>
      </w:r>
      <w:r w:rsidR="0096771D" w:rsidRPr="00123772">
        <w:t xml:space="preserve"> of DERs on the bulk power system</w:t>
      </w:r>
      <w:r w:rsidR="0096771D">
        <w:t>.</w:t>
      </w:r>
      <w:r w:rsidR="0096771D" w:rsidRPr="00123772">
        <w:t xml:space="preserve"> </w:t>
      </w:r>
      <w:r w:rsidR="00194097">
        <w:t xml:space="preserve"> </w:t>
      </w:r>
    </w:p>
    <w:p w14:paraId="073A0D69" w14:textId="77777777" w:rsidR="0096771D" w:rsidRDefault="0096771D"/>
    <w:p w14:paraId="5BAACB36" w14:textId="77F25CCB" w:rsidR="00FF2EFC" w:rsidRDefault="00757DF3" w:rsidP="00757DF3">
      <w:pPr>
        <w:rPr>
          <w:b/>
        </w:rPr>
      </w:pPr>
      <w:r>
        <w:t xml:space="preserve">Attached to this Notice </w:t>
      </w:r>
      <w:r w:rsidRPr="005A6AE4">
        <w:t>is</w:t>
      </w:r>
      <w:r>
        <w:t xml:space="preserve"> a description of the s</w:t>
      </w:r>
      <w:r w:rsidR="0059014B">
        <w:t>even</w:t>
      </w:r>
      <w:r>
        <w:t xml:space="preserve"> panels that will be conducted at the technical conference</w:t>
      </w:r>
      <w:r>
        <w:rPr>
          <w:b/>
        </w:rPr>
        <w:t xml:space="preserve">.  </w:t>
      </w:r>
    </w:p>
    <w:p w14:paraId="3751D77F" w14:textId="77777777" w:rsidR="00FF2EFC" w:rsidRDefault="00FF2EFC" w:rsidP="00757DF3"/>
    <w:p w14:paraId="46BE4EC0" w14:textId="14535D2B" w:rsidR="00A627C2" w:rsidRDefault="00CC196B">
      <w:r>
        <w:t xml:space="preserve">Further details of this </w:t>
      </w:r>
      <w:r w:rsidR="00A627C2" w:rsidRPr="003F17EE">
        <w:t xml:space="preserve">conference </w:t>
      </w:r>
      <w:r>
        <w:t xml:space="preserve">will be </w:t>
      </w:r>
      <w:r w:rsidR="0009002E">
        <w:t xml:space="preserve">provided </w:t>
      </w:r>
      <w:r>
        <w:t xml:space="preserve">in a </w:t>
      </w:r>
      <w:r w:rsidR="00A627C2" w:rsidRPr="003F17EE">
        <w:t>supplemental notice</w:t>
      </w:r>
      <w:r>
        <w:t>.</w:t>
      </w:r>
      <w:r w:rsidR="00A627C2">
        <w:t xml:space="preserve">  </w:t>
      </w:r>
    </w:p>
    <w:p w14:paraId="0DDFFA63" w14:textId="77777777" w:rsidR="00934E41" w:rsidRDefault="00934E41"/>
    <w:p w14:paraId="64956B40" w14:textId="450DFA52" w:rsidR="00934E41" w:rsidRPr="00A71FBB" w:rsidRDefault="00934E41" w:rsidP="00A71FBB">
      <w:pPr>
        <w:pStyle w:val="NormalWeb"/>
        <w:ind w:firstLine="720"/>
        <w:rPr>
          <w:sz w:val="26"/>
          <w:szCs w:val="26"/>
        </w:rPr>
      </w:pPr>
      <w:r w:rsidRPr="00A71FBB">
        <w:rPr>
          <w:sz w:val="26"/>
          <w:szCs w:val="26"/>
        </w:rPr>
        <w:t xml:space="preserve">Those wishing to participate in this conference should submit a nomination form online by 5:00 p.m. on </w:t>
      </w:r>
      <w:r w:rsidR="00901BF4" w:rsidRPr="00A71FBB">
        <w:rPr>
          <w:sz w:val="26"/>
          <w:szCs w:val="26"/>
        </w:rPr>
        <w:t xml:space="preserve">March </w:t>
      </w:r>
      <w:r w:rsidR="00402FE2">
        <w:rPr>
          <w:sz w:val="26"/>
          <w:szCs w:val="26"/>
        </w:rPr>
        <w:t>15</w:t>
      </w:r>
      <w:r w:rsidRPr="00A71FBB">
        <w:rPr>
          <w:sz w:val="26"/>
          <w:szCs w:val="26"/>
        </w:rPr>
        <w:t xml:space="preserve">, 2018 at: </w:t>
      </w:r>
      <w:hyperlink r:id="rId14" w:history="1">
        <w:r w:rsidR="00A71FBB" w:rsidRPr="00A71FBB">
          <w:rPr>
            <w:rStyle w:val="Hyperlink"/>
            <w:sz w:val="26"/>
            <w:szCs w:val="26"/>
          </w:rPr>
          <w:t>https://www.ferc.gov/whats-new/registration/04-10-18-speaker-form.asp</w:t>
        </w:r>
      </w:hyperlink>
      <w:r w:rsidR="00AB5AC3" w:rsidRPr="00A71FBB">
        <w:rPr>
          <w:sz w:val="26"/>
          <w:szCs w:val="26"/>
        </w:rPr>
        <w:t>.</w:t>
      </w:r>
      <w:r w:rsidR="001B605C" w:rsidRPr="00A71FBB">
        <w:rPr>
          <w:sz w:val="26"/>
          <w:szCs w:val="26"/>
        </w:rPr>
        <w:t xml:space="preserve"> </w:t>
      </w:r>
    </w:p>
    <w:p w14:paraId="5340546F" w14:textId="77777777" w:rsidR="00A627C2" w:rsidRDefault="00A627C2"/>
    <w:p w14:paraId="65F40C86" w14:textId="77A55440" w:rsidR="000456C5" w:rsidRDefault="00CC196B">
      <w:r>
        <w:t xml:space="preserve">All interested persons may attend the conference, and registration is not required.  </w:t>
      </w:r>
      <w:r w:rsidRPr="00152EBC">
        <w:t xml:space="preserve">However, in-person </w:t>
      </w:r>
      <w:r w:rsidR="002039AC" w:rsidRPr="00152EBC">
        <w:t xml:space="preserve">attendees </w:t>
      </w:r>
      <w:r w:rsidRPr="00152EBC">
        <w:t xml:space="preserve">are encouraged to register on-line </w:t>
      </w:r>
      <w:r w:rsidR="008C72A5" w:rsidRPr="00152EBC">
        <w:t xml:space="preserve">by </w:t>
      </w:r>
      <w:r w:rsidR="001B605C" w:rsidRPr="00152EBC">
        <w:t>April 3</w:t>
      </w:r>
      <w:r w:rsidR="008C72A5" w:rsidRPr="00152EBC">
        <w:t xml:space="preserve">, 2018 </w:t>
      </w:r>
      <w:r w:rsidRPr="00152EBC">
        <w:t xml:space="preserve">at: </w:t>
      </w:r>
      <w:hyperlink r:id="rId15" w:history="1">
        <w:r w:rsidR="00A71FBB" w:rsidRPr="00A71FBB">
          <w:rPr>
            <w:rStyle w:val="Hyperlink"/>
          </w:rPr>
          <w:t>https://www.ferc.gov/whats-new/registration/04-10-18-form.asp</w:t>
        </w:r>
      </w:hyperlink>
      <w:r w:rsidR="00AB5AC3" w:rsidRPr="00152EBC">
        <w:t>.</w:t>
      </w:r>
      <w:r w:rsidRPr="00152EBC">
        <w:t xml:space="preserve">  In-person attendees </w:t>
      </w:r>
      <w:r w:rsidR="002039AC" w:rsidRPr="00152EBC">
        <w:t>should allow time to pass through building security procedures before the 9:30</w:t>
      </w:r>
      <w:r w:rsidR="00CE07D2" w:rsidRPr="00152EBC">
        <w:t xml:space="preserve"> </w:t>
      </w:r>
      <w:r w:rsidR="002039AC" w:rsidRPr="00152EBC">
        <w:t>a</w:t>
      </w:r>
      <w:r w:rsidR="00CE07D2" w:rsidRPr="00152EBC">
        <w:t>.</w:t>
      </w:r>
      <w:r w:rsidR="002039AC" w:rsidRPr="00152EBC">
        <w:t>m</w:t>
      </w:r>
      <w:r w:rsidR="00CE07D2" w:rsidRPr="00152EBC">
        <w:t>.</w:t>
      </w:r>
      <w:r w:rsidR="002039AC" w:rsidRPr="00152EBC">
        <w:t xml:space="preserve"> start</w:t>
      </w:r>
      <w:r w:rsidR="002039AC" w:rsidRPr="006F23F0">
        <w:t xml:space="preserve"> time of the technical conference.</w:t>
      </w:r>
      <w:r w:rsidR="002039AC">
        <w:t xml:space="preserve"> </w:t>
      </w:r>
      <w:r w:rsidR="002039AC" w:rsidRPr="00282BCE">
        <w:rPr>
          <w:b/>
        </w:rPr>
        <w:t xml:space="preserve"> </w:t>
      </w:r>
      <w:r w:rsidR="0080142D">
        <w:t xml:space="preserve">  </w:t>
      </w:r>
    </w:p>
    <w:p w14:paraId="5E916797" w14:textId="77777777" w:rsidR="0073197E" w:rsidRDefault="0073197E"/>
    <w:p w14:paraId="0B3FEFD0" w14:textId="5465D38A" w:rsidR="000456C5" w:rsidRDefault="00FF2EFC">
      <w:r>
        <w:t xml:space="preserve">The Commission will transcribe and webcast this </w:t>
      </w:r>
      <w:r w:rsidR="000456C5">
        <w:t xml:space="preserve">conference. </w:t>
      </w:r>
      <w:r w:rsidR="00CC196B">
        <w:t xml:space="preserve"> </w:t>
      </w:r>
      <w:r w:rsidR="000456C5">
        <w:t xml:space="preserve">Transcripts will be available immediately for a fee from </w:t>
      </w:r>
      <w:r w:rsidR="00FB5E21">
        <w:t>Ace Reporting (202-347-3700)</w:t>
      </w:r>
      <w:r w:rsidR="000456C5">
        <w:t xml:space="preserve">.  A link to the webcast of this event will be available in the </w:t>
      </w:r>
      <w:r w:rsidR="00866EE6" w:rsidRPr="005D261E">
        <w:t>Commission</w:t>
      </w:r>
      <w:r w:rsidR="00866EE6">
        <w:t xml:space="preserve"> </w:t>
      </w:r>
      <w:r w:rsidR="000456C5">
        <w:t xml:space="preserve">Calendar of Events at </w:t>
      </w:r>
      <w:r w:rsidR="000456C5">
        <w:rPr>
          <w:color w:val="0000FF"/>
        </w:rPr>
        <w:t>www.ferc.gov</w:t>
      </w:r>
      <w:r w:rsidR="000456C5">
        <w:t xml:space="preserve">.  The Capitol Connection provides technical support for the webcasts and offers the option of listening to the conference via phone-bridge for a fee. </w:t>
      </w:r>
      <w:r w:rsidR="00CC196B">
        <w:t xml:space="preserve"> </w:t>
      </w:r>
      <w:r w:rsidR="0073197E">
        <w:t>For additional information</w:t>
      </w:r>
      <w:r w:rsidR="000456C5">
        <w:t>, visit www.CapitolConnection.org or call (703) 993-3100.</w:t>
      </w:r>
    </w:p>
    <w:p w14:paraId="6D446DBD" w14:textId="77777777" w:rsidR="00654950" w:rsidRDefault="00654950"/>
    <w:p w14:paraId="588426DF" w14:textId="77777777" w:rsidR="007962A5" w:rsidRDefault="00DA17AD">
      <w:r>
        <w:t>Commission</w:t>
      </w:r>
      <w:r w:rsidR="007962A5">
        <w:t xml:space="preserve"> conferences are accessible under section 508 of the Rehabilitation Act of</w:t>
      </w:r>
      <w:r>
        <w:t xml:space="preserve"> </w:t>
      </w:r>
      <w:r w:rsidR="007962A5">
        <w:t xml:space="preserve">1973. </w:t>
      </w:r>
      <w:r w:rsidR="00045E55">
        <w:t xml:space="preserve"> </w:t>
      </w:r>
      <w:r w:rsidR="007962A5">
        <w:t xml:space="preserve">For accessibility accommodations please send an email to </w:t>
      </w:r>
      <w:hyperlink r:id="rId16" w:history="1">
        <w:r w:rsidRPr="00A14A7B">
          <w:rPr>
            <w:rStyle w:val="Hyperlink"/>
          </w:rPr>
          <w:t>accessibility@ferc.gov</w:t>
        </w:r>
      </w:hyperlink>
      <w:r>
        <w:rPr>
          <w:color w:val="0000FF"/>
        </w:rPr>
        <w:t xml:space="preserve"> </w:t>
      </w:r>
      <w:r w:rsidR="007962A5">
        <w:t>or call toll free 1-866-208-3372 (voice) or 202-208-8659 (TTY), or send a fax to 202-208-2106 with the required accommodations.</w:t>
      </w:r>
    </w:p>
    <w:p w14:paraId="60D41373" w14:textId="77777777" w:rsidR="00013FFE" w:rsidRDefault="00013FFE"/>
    <w:p w14:paraId="42FB05D5" w14:textId="684A0462" w:rsidR="007962A5" w:rsidRDefault="007962A5">
      <w:r>
        <w:t xml:space="preserve">For </w:t>
      </w:r>
      <w:r w:rsidR="00DA17AD">
        <w:t xml:space="preserve">more </w:t>
      </w:r>
      <w:r>
        <w:t xml:space="preserve">information </w:t>
      </w:r>
      <w:r w:rsidR="00DA17AD">
        <w:t>about this technical conference</w:t>
      </w:r>
      <w:r>
        <w:t xml:space="preserve">, please contact </w:t>
      </w:r>
      <w:r w:rsidR="0060578F">
        <w:t>David Kathan</w:t>
      </w:r>
      <w:r w:rsidR="001B7355">
        <w:t xml:space="preserve"> at </w:t>
      </w:r>
      <w:r w:rsidR="00AB5AC3" w:rsidRPr="001B7355">
        <w:rPr>
          <w:rStyle w:val="Hyperlink"/>
          <w:color w:val="auto"/>
          <w:u w:val="none"/>
        </w:rPr>
        <w:t>(202) 502-6404</w:t>
      </w:r>
      <w:r w:rsidR="00AB5AC3">
        <w:rPr>
          <w:rStyle w:val="Hyperlink"/>
          <w:u w:val="none"/>
        </w:rPr>
        <w:t xml:space="preserve">, </w:t>
      </w:r>
      <w:hyperlink r:id="rId17" w:history="1">
        <w:r w:rsidR="00AB5AC3" w:rsidRPr="00AB5AC3">
          <w:rPr>
            <w:rStyle w:val="Hyperlink"/>
          </w:rPr>
          <w:t>david.kathan@ferc.gov</w:t>
        </w:r>
      </w:hyperlink>
      <w:r w:rsidR="00AB5AC3" w:rsidRPr="001B7355">
        <w:rPr>
          <w:rStyle w:val="Hyperlink"/>
          <w:color w:val="auto"/>
          <w:u w:val="none"/>
        </w:rPr>
        <w:t>, or Louise Nutter at (202) 502-8175,</w:t>
      </w:r>
      <w:r w:rsidR="00AB5AC3">
        <w:rPr>
          <w:rStyle w:val="Hyperlink"/>
          <w:u w:val="none"/>
        </w:rPr>
        <w:t xml:space="preserve"> </w:t>
      </w:r>
      <w:hyperlink r:id="rId18" w:history="1">
        <w:r w:rsidR="00AB5AC3" w:rsidRPr="00AB5AC3">
          <w:rPr>
            <w:rStyle w:val="Hyperlink"/>
          </w:rPr>
          <w:t>louise.nutter@ferc.gov</w:t>
        </w:r>
      </w:hyperlink>
      <w:r>
        <w:t xml:space="preserve">. </w:t>
      </w:r>
      <w:r w:rsidR="00045E55">
        <w:t xml:space="preserve"> F</w:t>
      </w:r>
      <w:r>
        <w:t>or information related to logistics, please</w:t>
      </w:r>
      <w:r w:rsidR="00DA17AD">
        <w:t xml:space="preserve"> </w:t>
      </w:r>
      <w:r>
        <w:t xml:space="preserve">contact Sarah McKinley at </w:t>
      </w:r>
      <w:r w:rsidR="00CC196B" w:rsidRPr="00CC196B">
        <w:t>(202) 502-8368</w:t>
      </w:r>
      <w:r w:rsidR="00CC196B">
        <w:t xml:space="preserve">, </w:t>
      </w:r>
      <w:hyperlink r:id="rId19" w:history="1">
        <w:r w:rsidR="00AB5AC3" w:rsidRPr="00AB5AC3">
          <w:rPr>
            <w:rStyle w:val="Hyperlink"/>
          </w:rPr>
          <w:t>sarah.mckinley@ferc.gov</w:t>
        </w:r>
      </w:hyperlink>
      <w:r>
        <w:t>.</w:t>
      </w:r>
    </w:p>
    <w:p w14:paraId="331B9B2A" w14:textId="77777777" w:rsidR="005576C0" w:rsidRDefault="005576C0">
      <w:pPr>
        <w:rPr>
          <w:color w:val="0000FF"/>
        </w:rPr>
      </w:pPr>
    </w:p>
    <w:p w14:paraId="451C6B7B" w14:textId="77777777" w:rsidR="005576C0" w:rsidRDefault="005576C0" w:rsidP="005576C0"/>
    <w:p w14:paraId="1CBAF46E" w14:textId="77777777" w:rsidR="00543874" w:rsidRDefault="00543874" w:rsidP="005576C0"/>
    <w:p w14:paraId="3B674375" w14:textId="75C9B10E" w:rsidR="00543874" w:rsidRPr="00543874" w:rsidRDefault="00543874" w:rsidP="00543874">
      <w:pPr>
        <w:ind w:firstLine="2606"/>
        <w:jc w:val="center"/>
      </w:pPr>
      <w:r w:rsidRPr="00543874">
        <w:t>Nathaniel J. Davis, Sr.,</w:t>
      </w:r>
    </w:p>
    <w:p w14:paraId="51ED1CA9" w14:textId="559A54FB" w:rsidR="00543874" w:rsidRPr="00543874" w:rsidRDefault="00543874" w:rsidP="00543874">
      <w:pPr>
        <w:ind w:firstLine="2606"/>
        <w:jc w:val="center"/>
      </w:pPr>
      <w:r w:rsidRPr="00543874">
        <w:t>Deputy Secretary.</w:t>
      </w:r>
    </w:p>
    <w:p w14:paraId="6AC07EB4" w14:textId="77777777" w:rsidR="00543874" w:rsidRPr="00030844" w:rsidRDefault="00543874">
      <w:pPr>
        <w:rPr>
          <w:color w:val="0000FF"/>
        </w:rPr>
      </w:pPr>
    </w:p>
    <w:p w14:paraId="7DA869AD" w14:textId="77777777" w:rsidR="007879BB" w:rsidRDefault="005575BD" w:rsidP="005576C0">
      <w:pPr>
        <w:ind w:firstLine="0"/>
        <w:sectPr w:rsidR="007879BB" w:rsidSect="0034139F">
          <w:headerReference w:type="default" r:id="rId20"/>
          <w:type w:val="continuous"/>
          <w:pgSz w:w="12240" w:h="15840" w:code="1"/>
          <w:pgMar w:top="1440" w:right="1440" w:bottom="1440" w:left="1440" w:header="720" w:footer="720" w:gutter="0"/>
          <w:pgNumType w:start="1"/>
          <w:cols w:space="720"/>
          <w:titlePg/>
          <w:docGrid w:linePitch="360"/>
        </w:sectPr>
      </w:pPr>
      <w:r>
        <w:br w:type="page"/>
      </w:r>
    </w:p>
    <w:p w14:paraId="249E4527" w14:textId="1B328F19" w:rsidR="005575BD" w:rsidRDefault="005575BD" w:rsidP="00FF2EFC"/>
    <w:p w14:paraId="66CFAAA7" w14:textId="77777777" w:rsidR="005575BD" w:rsidRDefault="005575BD" w:rsidP="005575BD">
      <w:pPr>
        <w:jc w:val="center"/>
        <w:rPr>
          <w:b/>
        </w:rPr>
      </w:pPr>
      <w:r>
        <w:rPr>
          <w:b/>
        </w:rPr>
        <w:t xml:space="preserve">Distributed Energy Resources </w:t>
      </w:r>
      <w:r w:rsidRPr="00DB2B5E">
        <w:rPr>
          <w:b/>
        </w:rPr>
        <w:t>Technical Conference</w:t>
      </w:r>
    </w:p>
    <w:p w14:paraId="47D2BF6E" w14:textId="77777777" w:rsidR="005575BD" w:rsidRPr="00DB2B5E" w:rsidRDefault="005575BD" w:rsidP="005575BD">
      <w:pPr>
        <w:jc w:val="center"/>
        <w:rPr>
          <w:b/>
        </w:rPr>
      </w:pPr>
    </w:p>
    <w:p w14:paraId="7B06B4FA" w14:textId="1C7445B0" w:rsidR="005575BD" w:rsidRPr="00DB2B5E" w:rsidRDefault="005575BD" w:rsidP="005575BD">
      <w:pPr>
        <w:jc w:val="center"/>
      </w:pPr>
      <w:r w:rsidRPr="00DB2B5E">
        <w:rPr>
          <w:b/>
          <w:bCs/>
        </w:rPr>
        <w:t>Docket No</w:t>
      </w:r>
      <w:r w:rsidR="00EB64FE">
        <w:rPr>
          <w:b/>
          <w:bCs/>
        </w:rPr>
        <w:t>s</w:t>
      </w:r>
      <w:r w:rsidRPr="00DB2B5E">
        <w:rPr>
          <w:b/>
          <w:bCs/>
        </w:rPr>
        <w:t xml:space="preserve">. </w:t>
      </w:r>
      <w:r w:rsidR="00EB64FE">
        <w:rPr>
          <w:b/>
          <w:bCs/>
        </w:rPr>
        <w:t xml:space="preserve">RM18-9-000 and </w:t>
      </w:r>
      <w:r w:rsidRPr="00DB2B5E">
        <w:rPr>
          <w:b/>
          <w:bCs/>
        </w:rPr>
        <w:t>AD</w:t>
      </w:r>
      <w:r w:rsidR="00F823D2">
        <w:rPr>
          <w:b/>
          <w:bCs/>
        </w:rPr>
        <w:t>1</w:t>
      </w:r>
      <w:r w:rsidR="007C345D">
        <w:rPr>
          <w:b/>
          <w:bCs/>
        </w:rPr>
        <w:t>8</w:t>
      </w:r>
      <w:r w:rsidRPr="00DB2B5E">
        <w:rPr>
          <w:b/>
          <w:bCs/>
        </w:rPr>
        <w:t>-</w:t>
      </w:r>
      <w:r w:rsidR="00EB64FE">
        <w:rPr>
          <w:b/>
          <w:bCs/>
        </w:rPr>
        <w:t>10</w:t>
      </w:r>
      <w:r w:rsidRPr="00DB2B5E">
        <w:rPr>
          <w:b/>
          <w:bCs/>
        </w:rPr>
        <w:t xml:space="preserve">-000 </w:t>
      </w:r>
    </w:p>
    <w:p w14:paraId="4B59C8BD" w14:textId="0FD3E734" w:rsidR="005575BD" w:rsidRPr="00DB2B5E" w:rsidRDefault="005575BD" w:rsidP="005575BD">
      <w:pPr>
        <w:jc w:val="center"/>
        <w:rPr>
          <w:b/>
          <w:bCs/>
        </w:rPr>
      </w:pPr>
      <w:r>
        <w:rPr>
          <w:b/>
          <w:bCs/>
        </w:rPr>
        <w:t xml:space="preserve">April </w:t>
      </w:r>
      <w:r w:rsidR="001A1ADB">
        <w:rPr>
          <w:b/>
          <w:bCs/>
        </w:rPr>
        <w:t>10 and 11</w:t>
      </w:r>
      <w:r>
        <w:rPr>
          <w:b/>
          <w:bCs/>
        </w:rPr>
        <w:t>, 2018</w:t>
      </w:r>
    </w:p>
    <w:p w14:paraId="4E76E67B" w14:textId="77777777" w:rsidR="005575BD" w:rsidRDefault="005575BD" w:rsidP="005575BD">
      <w:pPr>
        <w:jc w:val="center"/>
      </w:pPr>
      <w:r w:rsidRPr="00DB2B5E">
        <w:rPr>
          <w:b/>
          <w:bCs/>
        </w:rPr>
        <w:t xml:space="preserve"> </w:t>
      </w:r>
    </w:p>
    <w:p w14:paraId="02286BF3" w14:textId="1AADC219" w:rsidR="000D7C33" w:rsidRPr="000D7C33" w:rsidRDefault="000D7C33" w:rsidP="005575BD">
      <w:pPr>
        <w:jc w:val="center"/>
        <w:rPr>
          <w:b/>
        </w:rPr>
      </w:pPr>
      <w:r w:rsidRPr="000D7C33">
        <w:rPr>
          <w:b/>
        </w:rPr>
        <w:t>Tuesday, April 10, 2018</w:t>
      </w:r>
    </w:p>
    <w:p w14:paraId="19872B23" w14:textId="77777777" w:rsidR="005575BD" w:rsidRPr="00DB2B5E" w:rsidRDefault="005575BD" w:rsidP="005575BD">
      <w:pPr>
        <w:jc w:val="center"/>
        <w:rPr>
          <w:b/>
          <w:bCs/>
        </w:rPr>
      </w:pPr>
    </w:p>
    <w:p w14:paraId="66370057" w14:textId="4F630619" w:rsidR="000C1191" w:rsidRDefault="00A22E7B" w:rsidP="006C5181">
      <w:pPr>
        <w:rPr>
          <w:b/>
          <w:bCs/>
        </w:rPr>
      </w:pPr>
      <w:r>
        <w:t xml:space="preserve">The purpose of this technical conference is to </w:t>
      </w:r>
      <w:r w:rsidRPr="00CE07D2">
        <w:t xml:space="preserve">gather additional information to help </w:t>
      </w:r>
      <w:r>
        <w:t>the Commission</w:t>
      </w:r>
      <w:r w:rsidRPr="00CE07D2">
        <w:t xml:space="preserve"> determine what action to take on the distributed energy resource </w:t>
      </w:r>
      <w:r w:rsidR="00926736">
        <w:t xml:space="preserve">(DER) </w:t>
      </w:r>
      <w:r w:rsidRPr="00CE07D2">
        <w:t>aggregation reforms</w:t>
      </w:r>
      <w:r w:rsidR="00926736">
        <w:t xml:space="preserve"> proposed in the</w:t>
      </w:r>
      <w:r w:rsidR="00926736" w:rsidRPr="00926736">
        <w:t xml:space="preserve"> </w:t>
      </w:r>
      <w:r w:rsidR="00926736">
        <w:t xml:space="preserve">Commission’s </w:t>
      </w:r>
      <w:r w:rsidR="00926736" w:rsidRPr="005C5ADD">
        <w:t xml:space="preserve">Notice of Proposed Rulemaking on Electric Storage Participation in Markets Operated by Regional Transmission Organizations and Independent System Operators </w:t>
      </w:r>
      <w:r w:rsidR="00926736">
        <w:t>(NOPR)</w:t>
      </w:r>
      <w:r w:rsidR="007879BB">
        <w:t>, and to</w:t>
      </w:r>
      <w:r>
        <w:t xml:space="preserve"> explore issues </w:t>
      </w:r>
      <w:r w:rsidRPr="00123772">
        <w:t xml:space="preserve">related to the </w:t>
      </w:r>
      <w:r w:rsidRPr="00C05354">
        <w:t>potential effects</w:t>
      </w:r>
      <w:r w:rsidRPr="00123772">
        <w:t xml:space="preserve"> of DERs on the bulk power system</w:t>
      </w:r>
      <w:r>
        <w:t xml:space="preserve">.  </w:t>
      </w:r>
      <w:r w:rsidR="007879BB">
        <w:t xml:space="preserve">  </w:t>
      </w:r>
      <w:r w:rsidR="0061129D">
        <w:t>P</w:t>
      </w:r>
      <w:r w:rsidR="007879BB">
        <w:t xml:space="preserve">anels </w:t>
      </w:r>
      <w:r w:rsidR="0061129D">
        <w:t xml:space="preserve">1 and 3 </w:t>
      </w:r>
      <w:r w:rsidR="007879BB">
        <w:t xml:space="preserve">on the first day focus on specific NOPR proposals that relate to DER participation and compensation.  </w:t>
      </w:r>
      <w:r w:rsidR="0061129D">
        <w:t xml:space="preserve">Panel 2 will </w:t>
      </w:r>
      <w:r w:rsidR="00B35410">
        <w:t xml:space="preserve">provide a forum for Commissioners to </w:t>
      </w:r>
      <w:r w:rsidR="0061129D">
        <w:t>discuss</w:t>
      </w:r>
      <w:r w:rsidR="00B35410">
        <w:t xml:space="preserve"> DER aggregation</w:t>
      </w:r>
      <w:r w:rsidR="0061129D">
        <w:t xml:space="preserve"> with a panel of state and local regulators. </w:t>
      </w:r>
      <w:r w:rsidR="002A453C">
        <w:t xml:space="preserve"> </w:t>
      </w:r>
      <w:r w:rsidR="007879BB">
        <w:t>During the second day of the technical conference, operational issues associated with DER data, modeling, and coordination will be examined.</w:t>
      </w:r>
    </w:p>
    <w:p w14:paraId="3849248D" w14:textId="77777777" w:rsidR="00A22E7B" w:rsidRDefault="00A22E7B" w:rsidP="005575BD">
      <w:pPr>
        <w:ind w:left="2880" w:hanging="2880"/>
        <w:rPr>
          <w:b/>
          <w:bCs/>
        </w:rPr>
      </w:pPr>
    </w:p>
    <w:p w14:paraId="0E9D9E1E" w14:textId="24EDC640" w:rsidR="009C0FA7" w:rsidRPr="00854C32" w:rsidRDefault="009C0FA7" w:rsidP="009C0FA7">
      <w:pPr>
        <w:keepNext/>
        <w:spacing w:line="480" w:lineRule="auto"/>
        <w:ind w:left="1440" w:hanging="1440"/>
        <w:rPr>
          <w:bCs/>
        </w:rPr>
      </w:pPr>
      <w:r w:rsidRPr="00DB2B5E">
        <w:rPr>
          <w:b/>
          <w:bCs/>
        </w:rPr>
        <w:t xml:space="preserve">Panel </w:t>
      </w:r>
      <w:r>
        <w:rPr>
          <w:b/>
          <w:bCs/>
        </w:rPr>
        <w:t>1</w:t>
      </w:r>
      <w:r w:rsidRPr="00DB2B5E">
        <w:rPr>
          <w:b/>
          <w:bCs/>
        </w:rPr>
        <w:t>:</w:t>
      </w:r>
      <w:r w:rsidRPr="00FC69C9">
        <w:rPr>
          <w:b/>
          <w:bCs/>
        </w:rPr>
        <w:t xml:space="preserve">  </w:t>
      </w:r>
      <w:r>
        <w:rPr>
          <w:b/>
          <w:bCs/>
        </w:rPr>
        <w:tab/>
      </w:r>
      <w:r w:rsidRPr="00FC69C9">
        <w:rPr>
          <w:b/>
        </w:rPr>
        <w:t>Economic Dispatch</w:t>
      </w:r>
      <w:r>
        <w:rPr>
          <w:b/>
        </w:rPr>
        <w:t>,</w:t>
      </w:r>
      <w:r w:rsidRPr="00FC69C9">
        <w:rPr>
          <w:b/>
        </w:rPr>
        <w:t xml:space="preserve"> Pricing, </w:t>
      </w:r>
      <w:r w:rsidRPr="001F47C0">
        <w:rPr>
          <w:b/>
          <w:bCs/>
        </w:rPr>
        <w:t>and</w:t>
      </w:r>
      <w:r w:rsidRPr="00FC69C9">
        <w:rPr>
          <w:b/>
        </w:rPr>
        <w:t xml:space="preserve"> Settlement</w:t>
      </w:r>
      <w:r w:rsidRPr="00FC69C9">
        <w:rPr>
          <w:b/>
          <w:bCs/>
        </w:rPr>
        <w:t xml:space="preserve"> </w:t>
      </w:r>
      <w:r w:rsidRPr="004A30C0">
        <w:rPr>
          <w:b/>
          <w:bCs/>
        </w:rPr>
        <w:t>of DER Aggregations</w:t>
      </w:r>
    </w:p>
    <w:p w14:paraId="4FC7947A" w14:textId="096EB775" w:rsidR="009C0FA7" w:rsidRDefault="009C0FA7" w:rsidP="009C0FA7">
      <w:pPr>
        <w:spacing w:after="240"/>
      </w:pPr>
      <w:r>
        <w:t xml:space="preserve">The objective of this panel is to discuss the integration of DER aggregations into the modeling, clearing, dispatch, and settlement mechanisms of RTOs and ISOs as considered in the NOPR.  The NOPR proposed to require each RTO/ISO to revise its tariff to remove barriers to the participation of DER aggregations in its markets by, among other measures, establishing locational requirements for DER aggregations </w:t>
      </w:r>
      <w:r w:rsidRPr="008229CB">
        <w:rPr>
          <w:rFonts w:eastAsia="Calibri"/>
        </w:rPr>
        <w:t>that are as geographically broad as technically feasible</w:t>
      </w:r>
      <w:r>
        <w:t>.</w:t>
      </w:r>
      <w:r w:rsidRPr="006C5181">
        <w:rPr>
          <w:rStyle w:val="FootnoteReference"/>
          <w:b/>
        </w:rPr>
        <w:footnoteReference w:id="6"/>
      </w:r>
      <w:r>
        <w:t xml:space="preserve">  The NOPR also addressed the use of distribution factors</w:t>
      </w:r>
      <w:r w:rsidRPr="00F823D2">
        <w:rPr>
          <w:rStyle w:val="FootnoteReference"/>
          <w:b/>
        </w:rPr>
        <w:footnoteReference w:id="7"/>
      </w:r>
      <w:r>
        <w:t xml:space="preserve"> and bidding parameters</w:t>
      </w:r>
      <w:r w:rsidRPr="00F823D2">
        <w:rPr>
          <w:rStyle w:val="FootnoteReference"/>
          <w:b/>
        </w:rPr>
        <w:footnoteReference w:id="8"/>
      </w:r>
      <w:r w:rsidRPr="00F823D2">
        <w:rPr>
          <w:b/>
        </w:rPr>
        <w:t xml:space="preserve"> </w:t>
      </w:r>
      <w:r>
        <w:t xml:space="preserve">for DER aggregations.  In consideration of comments received in response to the NOPR, staff seeks additional information about how DER aggregations could locate across more than one pricing node.  Staff would also like additional information about </w:t>
      </w:r>
      <w:r w:rsidRPr="00321826">
        <w:t>bidding parameters or other potential mechanisms</w:t>
      </w:r>
      <w:r>
        <w:t xml:space="preserve"> needed to represent the physical and operational characteristics </w:t>
      </w:r>
      <w:r w:rsidRPr="00321826">
        <w:t xml:space="preserve">of DER aggregations </w:t>
      </w:r>
      <w:r>
        <w:t xml:space="preserve">in RTO/ISO markets.  In particular, Commission staff expects to explore the following questions: </w:t>
      </w:r>
    </w:p>
    <w:p w14:paraId="3697F346" w14:textId="77777777" w:rsidR="009C0FA7" w:rsidRDefault="009C0FA7" w:rsidP="009C0FA7">
      <w:pPr>
        <w:pStyle w:val="ListParagraph"/>
        <w:numPr>
          <w:ilvl w:val="0"/>
          <w:numId w:val="12"/>
        </w:numPr>
      </w:pPr>
      <w:r>
        <w:t xml:space="preserve">Acknowledging that some RTOs/ISOs already allow aggregations across multiple pricing nodes, what approaches are available to ensure that the dispatch of a multi-node DER aggregation does not exacerbate a transmission constraint?  </w:t>
      </w:r>
    </w:p>
    <w:p w14:paraId="7E5C8DEE" w14:textId="77777777" w:rsidR="009C0FA7" w:rsidRDefault="009C0FA7" w:rsidP="009C0FA7">
      <w:pPr>
        <w:pStyle w:val="ListParagraph"/>
        <w:numPr>
          <w:ilvl w:val="0"/>
          <w:numId w:val="13"/>
        </w:numPr>
      </w:pPr>
      <w:r>
        <w:t>Because transmission constraints change over time, would the ability of a multi-node DER aggregation to participate in an RTO/ISO market need to be revisited as system topology changes?</w:t>
      </w:r>
    </w:p>
    <w:p w14:paraId="3FBDEAEE" w14:textId="7780A8D1" w:rsidR="009C0FA7" w:rsidRDefault="009C0FA7" w:rsidP="009C0FA7">
      <w:pPr>
        <w:pStyle w:val="ListParagraph"/>
        <w:numPr>
          <w:ilvl w:val="0"/>
          <w:numId w:val="13"/>
        </w:numPr>
      </w:pPr>
      <w:r>
        <w:t>Do multi-node DER aggregations present any special considerations for the reliability of the transmission system that do not arise from other market participants?  How could these concerns be resolved?</w:t>
      </w:r>
    </w:p>
    <w:p w14:paraId="73EA95E2" w14:textId="77777777" w:rsidR="009C0FA7" w:rsidRPr="00FB2F40" w:rsidRDefault="009C0FA7" w:rsidP="009C0FA7">
      <w:pPr>
        <w:pStyle w:val="ListParagraph"/>
        <w:numPr>
          <w:ilvl w:val="0"/>
          <w:numId w:val="13"/>
        </w:numPr>
      </w:pPr>
      <w:r>
        <w:t xml:space="preserve">What types of modifications would need to be made to </w:t>
      </w:r>
      <w:r w:rsidRPr="00716CDF">
        <w:t xml:space="preserve">the </w:t>
      </w:r>
      <w:r>
        <w:t xml:space="preserve">modeling and dispatch software, </w:t>
      </w:r>
      <w:r w:rsidRPr="00716CDF">
        <w:t>communications</w:t>
      </w:r>
      <w:r>
        <w:t xml:space="preserve"> platforms</w:t>
      </w:r>
      <w:r w:rsidRPr="00716CDF">
        <w:t xml:space="preserve">, and automation tools necessary to enable reliable and efficient system dispatch for </w:t>
      </w:r>
      <w:r>
        <w:t xml:space="preserve">multi-node DER </w:t>
      </w:r>
      <w:r w:rsidRPr="00716CDF">
        <w:t>agg</w:t>
      </w:r>
      <w:r>
        <w:t>regations?  How long would it take for these changes to be implemented?</w:t>
      </w:r>
    </w:p>
    <w:p w14:paraId="0984EEC0" w14:textId="77777777" w:rsidR="009C0FA7" w:rsidRDefault="009C0FA7" w:rsidP="009C0FA7">
      <w:pPr>
        <w:pStyle w:val="ListParagraph"/>
        <w:numPr>
          <w:ilvl w:val="0"/>
          <w:numId w:val="13"/>
        </w:numPr>
      </w:pPr>
      <w:r>
        <w:t>If the Commission requires the RTOs/ISOs to allow multi-node DER aggregations to participate in their markets, how should a DER aggregation located across multiple pricing nodes be settled for the services that it provides?  One approach to settling a multi-node DER aggregation could be to pay it the weighted average locational marginal price (LMP) across the nodes at which it is located.  What are the advantages and disadvantages of this approach?  Are there other approaches that should be considered?</w:t>
      </w:r>
    </w:p>
    <w:p w14:paraId="4BC7E1BD" w14:textId="77777777" w:rsidR="009C0FA7" w:rsidRDefault="009C0FA7" w:rsidP="009C0FA7">
      <w:pPr>
        <w:pStyle w:val="ListParagraph"/>
        <w:numPr>
          <w:ilvl w:val="0"/>
          <w:numId w:val="13"/>
        </w:numPr>
      </w:pPr>
      <w:r>
        <w:t>The NOPR considered the use of “distribution factors” to account for the expected response of DER aggregations from multiple nodes.  Are there other characteristics of DER aggregations that may not be accommodated by existing bidding parameters in the RTOs/ISOs?  If so, what are they?  Would new bidding parameters be necessary?</w:t>
      </w:r>
      <w:r w:rsidRPr="008D4494">
        <w:t xml:space="preserve"> </w:t>
      </w:r>
      <w:r>
        <w:t xml:space="preserve">If so, what are they?  </w:t>
      </w:r>
    </w:p>
    <w:p w14:paraId="4CDD29E4" w14:textId="77777777" w:rsidR="00AB197F" w:rsidRDefault="00AB197F" w:rsidP="00AB197F">
      <w:pPr>
        <w:ind w:left="360" w:firstLine="0"/>
      </w:pPr>
    </w:p>
    <w:p w14:paraId="5705071A" w14:textId="4448FB53" w:rsidR="009F3E56" w:rsidRPr="00FA5BD0" w:rsidRDefault="009F3E56" w:rsidP="001F47C0">
      <w:pPr>
        <w:keepNext/>
        <w:spacing w:after="240"/>
        <w:ind w:left="1440" w:hanging="1440"/>
        <w:rPr>
          <w:b/>
        </w:rPr>
      </w:pPr>
      <w:r w:rsidRPr="00FA5BD0">
        <w:rPr>
          <w:b/>
        </w:rPr>
        <w:t xml:space="preserve">Panel </w:t>
      </w:r>
      <w:r w:rsidR="009C0FA7">
        <w:rPr>
          <w:b/>
        </w:rPr>
        <w:t>2</w:t>
      </w:r>
      <w:r w:rsidRPr="00FA5BD0">
        <w:rPr>
          <w:b/>
        </w:rPr>
        <w:t xml:space="preserve">: </w:t>
      </w:r>
      <w:r w:rsidR="00FA5BD0" w:rsidRPr="00FA5BD0">
        <w:rPr>
          <w:b/>
        </w:rPr>
        <w:t xml:space="preserve"> </w:t>
      </w:r>
      <w:r w:rsidR="001F47C0">
        <w:rPr>
          <w:b/>
        </w:rPr>
        <w:tab/>
      </w:r>
      <w:r w:rsidR="00866890">
        <w:rPr>
          <w:b/>
        </w:rPr>
        <w:t xml:space="preserve">Discussion of Operational Implications of DER Aggregation with </w:t>
      </w:r>
      <w:r w:rsidR="00FA5BD0" w:rsidRPr="00FA5BD0">
        <w:rPr>
          <w:b/>
        </w:rPr>
        <w:t>State and Local Regulator</w:t>
      </w:r>
      <w:r w:rsidR="00402FE2">
        <w:rPr>
          <w:b/>
        </w:rPr>
        <w:t>s</w:t>
      </w:r>
      <w:r w:rsidR="00FA5BD0" w:rsidRPr="00FA5BD0">
        <w:rPr>
          <w:b/>
        </w:rPr>
        <w:t xml:space="preserve"> </w:t>
      </w:r>
    </w:p>
    <w:p w14:paraId="5233E928" w14:textId="4309E7FA" w:rsidR="00FA5BD0" w:rsidRPr="00FA5BD0" w:rsidRDefault="00FA5BD0" w:rsidP="00F302E1">
      <w:pPr>
        <w:pStyle w:val="NoSpacing"/>
        <w:ind w:firstLine="720"/>
        <w:rPr>
          <w:rFonts w:ascii="Times New Roman" w:hAnsi="Times New Roman" w:cs="Times New Roman"/>
          <w:color w:val="000000"/>
          <w:sz w:val="26"/>
          <w:szCs w:val="26"/>
        </w:rPr>
      </w:pPr>
      <w:r w:rsidRPr="00FA5BD0">
        <w:rPr>
          <w:rFonts w:ascii="Times New Roman" w:hAnsi="Times New Roman" w:cs="Times New Roman"/>
          <w:color w:val="000000"/>
          <w:sz w:val="26"/>
          <w:szCs w:val="26"/>
        </w:rPr>
        <w:t xml:space="preserve">This panel will provide a forum for </w:t>
      </w:r>
      <w:r w:rsidR="00665F16">
        <w:rPr>
          <w:rFonts w:ascii="Times New Roman" w:hAnsi="Times New Roman" w:cs="Times New Roman"/>
          <w:color w:val="000000"/>
          <w:sz w:val="26"/>
          <w:szCs w:val="26"/>
        </w:rPr>
        <w:t>Commissioners to discuss</w:t>
      </w:r>
      <w:r w:rsidRPr="00FA5BD0">
        <w:rPr>
          <w:rFonts w:ascii="Times New Roman" w:hAnsi="Times New Roman" w:cs="Times New Roman"/>
          <w:color w:val="000000"/>
          <w:sz w:val="26"/>
          <w:szCs w:val="26"/>
        </w:rPr>
        <w:t xml:space="preserve"> the NOPR’s DER aggregation proposals with state and local regulators.  The discussion will provide an opportunity for state and local regulators to provide their perspectives and concerns about the operational effects that DER participation in the wholesale market could have on facilities they regulate.  </w:t>
      </w:r>
      <w:r w:rsidR="00665F16" w:rsidRPr="00665F16">
        <w:rPr>
          <w:rFonts w:ascii="Times New Roman" w:hAnsi="Times New Roman" w:cs="Times New Roman"/>
          <w:color w:val="000000"/>
          <w:sz w:val="26"/>
          <w:szCs w:val="26"/>
        </w:rPr>
        <w:t>In particular, Commission</w:t>
      </w:r>
      <w:r w:rsidR="00665F16">
        <w:rPr>
          <w:rFonts w:ascii="Times New Roman" w:hAnsi="Times New Roman" w:cs="Times New Roman"/>
          <w:color w:val="000000"/>
          <w:sz w:val="26"/>
          <w:szCs w:val="26"/>
        </w:rPr>
        <w:t>ers</w:t>
      </w:r>
      <w:r w:rsidR="00665F16" w:rsidRPr="00665F16">
        <w:rPr>
          <w:rFonts w:ascii="Times New Roman" w:hAnsi="Times New Roman" w:cs="Times New Roman"/>
          <w:color w:val="000000"/>
          <w:sz w:val="26"/>
          <w:szCs w:val="26"/>
        </w:rPr>
        <w:t xml:space="preserve"> expect to explore the following questions:</w:t>
      </w:r>
    </w:p>
    <w:p w14:paraId="2C847282" w14:textId="77777777" w:rsidR="00FA5BD0" w:rsidRPr="00FA5BD0" w:rsidRDefault="00FA5BD0" w:rsidP="00FA5BD0">
      <w:pPr>
        <w:pStyle w:val="NoSpacing"/>
        <w:rPr>
          <w:rFonts w:ascii="Times New Roman" w:hAnsi="Times New Roman" w:cs="Times New Roman"/>
          <w:sz w:val="26"/>
          <w:szCs w:val="26"/>
        </w:rPr>
      </w:pPr>
    </w:p>
    <w:p w14:paraId="09692552" w14:textId="5DB8EDB2" w:rsidR="00FA5BD0" w:rsidRPr="00FA5BD0" w:rsidRDefault="00FA5BD0" w:rsidP="00FA5BD0">
      <w:pPr>
        <w:pStyle w:val="NoSpacing"/>
        <w:numPr>
          <w:ilvl w:val="0"/>
          <w:numId w:val="22"/>
        </w:numPr>
        <w:rPr>
          <w:rFonts w:ascii="Times New Roman" w:hAnsi="Times New Roman" w:cs="Times New Roman"/>
          <w:sz w:val="26"/>
          <w:szCs w:val="26"/>
        </w:rPr>
      </w:pPr>
      <w:r w:rsidRPr="00FA5BD0">
        <w:rPr>
          <w:rFonts w:ascii="Times New Roman" w:hAnsi="Times New Roman" w:cs="Times New Roman"/>
          <w:sz w:val="26"/>
          <w:szCs w:val="26"/>
        </w:rPr>
        <w:t xml:space="preserve">What are the potential positive or negative operational impacts (e.g., safety, reliability, and dispatch) that DER participation in the wholesale market could have on facilities regulated by state and local authorities?  How should the costs associated with monitoring and addressing such potential impacts on the distribution grid caused by the NOPR proposal be addressed, and fairly allocated?  </w:t>
      </w:r>
      <w:r w:rsidR="00B30D8E">
        <w:rPr>
          <w:rFonts w:ascii="Times New Roman" w:hAnsi="Times New Roman" w:cs="Times New Roman"/>
          <w:sz w:val="26"/>
          <w:szCs w:val="26"/>
        </w:rPr>
        <w:t>Are existing retail rate structures able to allocate costs to DER aggregations that utilize the distribution systems, and if not, what modifications or coordination are feasible?</w:t>
      </w:r>
      <w:r w:rsidRPr="00FA5BD0">
        <w:rPr>
          <w:rFonts w:ascii="Times New Roman" w:hAnsi="Times New Roman" w:cs="Times New Roman"/>
          <w:sz w:val="26"/>
          <w:szCs w:val="26"/>
        </w:rPr>
        <w:t xml:space="preserve"> </w:t>
      </w:r>
    </w:p>
    <w:p w14:paraId="4935E5C0" w14:textId="19EB8F6E" w:rsidR="00FA5BD0" w:rsidRPr="00FA5BD0" w:rsidRDefault="00FA5BD0" w:rsidP="00FA5BD0">
      <w:pPr>
        <w:pStyle w:val="NoSpacing"/>
        <w:numPr>
          <w:ilvl w:val="0"/>
          <w:numId w:val="22"/>
        </w:numPr>
        <w:rPr>
          <w:rFonts w:ascii="Times New Roman" w:hAnsi="Times New Roman" w:cs="Times New Roman"/>
          <w:sz w:val="26"/>
          <w:szCs w:val="26"/>
        </w:rPr>
      </w:pPr>
      <w:r w:rsidRPr="00FA5BD0">
        <w:rPr>
          <w:rFonts w:ascii="Times New Roman" w:hAnsi="Times New Roman" w:cs="Times New Roman"/>
          <w:sz w:val="26"/>
          <w:szCs w:val="26"/>
        </w:rPr>
        <w:t>Do state and local authorities have operational concerns with a DER aggregation participating in both wholesale and retail markets?  If so, what, if any, coordination protocols between states or local regulators and regional markets would be required to facilitate DER aggregations’ participation in both retail and wholesale markets?  Could the use of appropriate metering and telemetry address the ability to distinguish between markets and services, and prevent double compensation for the same services?   What is the role of state and local regulators in monitoring and regulating the potential for such double compensation?  How should regional flexibility be accommodated?</w:t>
      </w:r>
    </w:p>
    <w:p w14:paraId="461DD559" w14:textId="260D6672" w:rsidR="00FA5BD0" w:rsidRPr="00FA5BD0" w:rsidRDefault="00FA5BD0" w:rsidP="00FA5BD0">
      <w:pPr>
        <w:pStyle w:val="NoSpacing"/>
        <w:numPr>
          <w:ilvl w:val="0"/>
          <w:numId w:val="22"/>
        </w:numPr>
        <w:rPr>
          <w:rFonts w:ascii="Times New Roman" w:hAnsi="Times New Roman" w:cs="Times New Roman"/>
          <w:sz w:val="26"/>
          <w:szCs w:val="26"/>
        </w:rPr>
      </w:pPr>
      <w:r w:rsidRPr="00FA5BD0">
        <w:rPr>
          <w:rFonts w:ascii="Times New Roman" w:hAnsi="Times New Roman" w:cs="Times New Roman"/>
          <w:sz w:val="26"/>
          <w:szCs w:val="26"/>
        </w:rPr>
        <w:t xml:space="preserve">What entities should be included in the coordination processes used to facilitate the participation of DER aggregations </w:t>
      </w:r>
      <w:r w:rsidRPr="00926736">
        <w:rPr>
          <w:rFonts w:ascii="Times New Roman" w:hAnsi="Times New Roman" w:cs="Times New Roman"/>
          <w:sz w:val="26"/>
          <w:szCs w:val="26"/>
        </w:rPr>
        <w:t xml:space="preserve">in </w:t>
      </w:r>
      <w:r w:rsidR="00926736" w:rsidRPr="00926736">
        <w:rPr>
          <w:rFonts w:ascii="Times New Roman" w:hAnsi="Times New Roman" w:cs="Times New Roman"/>
          <w:sz w:val="26"/>
          <w:szCs w:val="26"/>
        </w:rPr>
        <w:t>Regional Transmission Organization (RTO) and Independent System Operator (ISO)</w:t>
      </w:r>
      <w:r w:rsidRPr="00926736">
        <w:rPr>
          <w:rFonts w:ascii="Times New Roman" w:hAnsi="Times New Roman" w:cs="Times New Roman"/>
          <w:sz w:val="26"/>
          <w:szCs w:val="26"/>
        </w:rPr>
        <w:t xml:space="preserve"> markets?  Should state and local</w:t>
      </w:r>
      <w:r w:rsidRPr="00FA5BD0">
        <w:rPr>
          <w:rFonts w:ascii="Times New Roman" w:hAnsi="Times New Roman" w:cs="Times New Roman"/>
          <w:sz w:val="26"/>
          <w:szCs w:val="26"/>
        </w:rPr>
        <w:t xml:space="preserve"> regulatory authorities play an active role in these coordination processes?  Is there a need to modify existing RTO/ISO protocols or develop new protocols to accommodate state participation in this coordination?  What should be the role of state and local regulators in the NOPR’s proposed distribution utility review of DER aggregation registrations?</w:t>
      </w:r>
    </w:p>
    <w:p w14:paraId="7ADA9F8B" w14:textId="77777777" w:rsidR="00FA5BD0" w:rsidRDefault="00FA5BD0" w:rsidP="00FA5BD0">
      <w:pPr>
        <w:pStyle w:val="NoSpacing"/>
        <w:numPr>
          <w:ilvl w:val="0"/>
          <w:numId w:val="22"/>
        </w:numPr>
        <w:rPr>
          <w:rFonts w:ascii="Times New Roman" w:hAnsi="Times New Roman" w:cs="Times New Roman"/>
          <w:sz w:val="26"/>
          <w:szCs w:val="26"/>
        </w:rPr>
      </w:pPr>
      <w:r w:rsidRPr="00FA5BD0">
        <w:rPr>
          <w:rFonts w:ascii="Times New Roman" w:hAnsi="Times New Roman" w:cs="Times New Roman"/>
          <w:sz w:val="26"/>
          <w:szCs w:val="26"/>
        </w:rPr>
        <w:t>Does the proposed use of market participation agreements address state and local regulator concerns about the role of distribution utilities in the coordination and registration of DERs in aggregations?  Are the proposed provisions in the market participation agreements that require that DER aggregators attest that they are compliant with the tariffs and operation procedures of distribution utilities and state and local regulators sufficient to address such concerns?</w:t>
      </w:r>
    </w:p>
    <w:p w14:paraId="074E79EA" w14:textId="302785DE" w:rsidR="00FA5BD0" w:rsidRPr="00FA5BD0" w:rsidRDefault="00FA5BD0" w:rsidP="00FA5BD0">
      <w:pPr>
        <w:pStyle w:val="NoSpacing"/>
        <w:numPr>
          <w:ilvl w:val="0"/>
          <w:numId w:val="22"/>
        </w:numPr>
        <w:rPr>
          <w:rFonts w:ascii="Times New Roman" w:hAnsi="Times New Roman" w:cs="Times New Roman"/>
          <w:sz w:val="26"/>
          <w:szCs w:val="26"/>
        </w:rPr>
      </w:pPr>
      <w:r w:rsidRPr="00FA5BD0">
        <w:rPr>
          <w:rFonts w:ascii="Times New Roman" w:hAnsi="Times New Roman" w:cs="Times New Roman"/>
          <w:sz w:val="26"/>
          <w:szCs w:val="26"/>
        </w:rPr>
        <w:t xml:space="preserve">What are the proper protections and policies to ensure that DER aggregations participating in wholesale markets will not negatively affect efficient outcomes in the distribution system? </w:t>
      </w:r>
    </w:p>
    <w:p w14:paraId="404BB08A" w14:textId="2B5896B9" w:rsidR="00AB197F" w:rsidRDefault="00AB197F">
      <w:pPr>
        <w:autoSpaceDE/>
        <w:autoSpaceDN/>
        <w:adjustRightInd/>
        <w:spacing w:after="200" w:line="276" w:lineRule="auto"/>
        <w:ind w:firstLine="0"/>
        <w:rPr>
          <w:b/>
          <w:bCs/>
        </w:rPr>
      </w:pPr>
    </w:p>
    <w:p w14:paraId="52EAA495" w14:textId="77777777" w:rsidR="00AB197F" w:rsidRDefault="00AB197F">
      <w:pPr>
        <w:autoSpaceDE/>
        <w:autoSpaceDN/>
        <w:adjustRightInd/>
        <w:spacing w:after="200" w:line="276" w:lineRule="auto"/>
        <w:ind w:firstLine="0"/>
        <w:rPr>
          <w:b/>
          <w:bCs/>
        </w:rPr>
      </w:pPr>
      <w:r>
        <w:rPr>
          <w:b/>
          <w:bCs/>
        </w:rPr>
        <w:br w:type="page"/>
      </w:r>
    </w:p>
    <w:p w14:paraId="43C660DA" w14:textId="009AEFB5" w:rsidR="005575BD" w:rsidRPr="00F64152" w:rsidRDefault="00D04438" w:rsidP="00AB197F">
      <w:pPr>
        <w:keepNext/>
        <w:spacing w:line="480" w:lineRule="auto"/>
        <w:ind w:left="1440" w:hanging="1440"/>
        <w:rPr>
          <w:b/>
          <w:bCs/>
        </w:rPr>
      </w:pPr>
      <w:r>
        <w:rPr>
          <w:b/>
          <w:bCs/>
        </w:rPr>
        <w:t xml:space="preserve">Panel </w:t>
      </w:r>
      <w:r w:rsidR="009C0FA7">
        <w:rPr>
          <w:b/>
          <w:bCs/>
        </w:rPr>
        <w:t>3</w:t>
      </w:r>
      <w:r>
        <w:rPr>
          <w:b/>
          <w:bCs/>
        </w:rPr>
        <w:t xml:space="preserve">:  </w:t>
      </w:r>
      <w:r w:rsidR="001F47C0">
        <w:rPr>
          <w:b/>
          <w:bCs/>
        </w:rPr>
        <w:tab/>
      </w:r>
      <w:r w:rsidR="001C3ABD" w:rsidRPr="001C3ABD">
        <w:rPr>
          <w:b/>
          <w:bCs/>
        </w:rPr>
        <w:t xml:space="preserve">Participation of DERs in </w:t>
      </w:r>
      <w:r w:rsidR="0033751A">
        <w:rPr>
          <w:b/>
          <w:bCs/>
        </w:rPr>
        <w:t>RTO/</w:t>
      </w:r>
      <w:r w:rsidR="001C3ABD" w:rsidRPr="001C3ABD">
        <w:rPr>
          <w:b/>
          <w:bCs/>
        </w:rPr>
        <w:t>ISO Markets</w:t>
      </w:r>
      <w:r w:rsidR="00191471">
        <w:rPr>
          <w:b/>
          <w:bCs/>
        </w:rPr>
        <w:t xml:space="preserve"> </w:t>
      </w:r>
    </w:p>
    <w:p w14:paraId="6F8629C0" w14:textId="3E757AA2" w:rsidR="005575BD" w:rsidRDefault="00675B7E" w:rsidP="00AB197F">
      <w:pPr>
        <w:keepNext/>
      </w:pPr>
      <w:r>
        <w:t xml:space="preserve">DERs </w:t>
      </w:r>
      <w:r w:rsidR="006A24D7">
        <w:t>can</w:t>
      </w:r>
      <w:r>
        <w:t xml:space="preserve"> </w:t>
      </w:r>
      <w:r w:rsidR="006A24D7">
        <w:t xml:space="preserve">both </w:t>
      </w:r>
      <w:r>
        <w:t>sell service</w:t>
      </w:r>
      <w:r w:rsidR="008237BA">
        <w:t>s</w:t>
      </w:r>
      <w:r>
        <w:t xml:space="preserve"> into the RTO/ISO markets </w:t>
      </w:r>
      <w:r w:rsidR="006A24D7">
        <w:t>and</w:t>
      </w:r>
      <w:r>
        <w:t xml:space="preserve"> participat</w:t>
      </w:r>
      <w:r w:rsidR="006A24D7">
        <w:t>e</w:t>
      </w:r>
      <w:r>
        <w:t xml:space="preserve"> in retail compensation programs.  </w:t>
      </w:r>
      <w:r w:rsidR="006A24D7" w:rsidRPr="006A24D7">
        <w:t xml:space="preserve">To </w:t>
      </w:r>
      <w:r w:rsidR="00BD0F1F">
        <w:t xml:space="preserve">ensure that that there is no duplication of </w:t>
      </w:r>
      <w:r w:rsidR="006A24D7" w:rsidRPr="006A24D7">
        <w:t>comp</w:t>
      </w:r>
      <w:r w:rsidR="006A24D7">
        <w:t>ensation for the same service</w:t>
      </w:r>
      <w:r w:rsidR="003567B9">
        <w:t>,</w:t>
      </w:r>
      <w:r w:rsidR="006A24D7">
        <w:t xml:space="preserve"> i</w:t>
      </w:r>
      <w:r w:rsidR="005575BD">
        <w:t>n the NOPR the Commission proposed that individual DERs participating in one or more retail compensation programs</w:t>
      </w:r>
      <w:r w:rsidR="00060AD5">
        <w:t>,</w:t>
      </w:r>
      <w:r w:rsidR="005575BD">
        <w:t xml:space="preserve"> such as net metering or another </w:t>
      </w:r>
      <w:r w:rsidR="002B677F">
        <w:t xml:space="preserve">RTO/ISO market </w:t>
      </w:r>
      <w:r w:rsidR="005575BD">
        <w:t>participation program</w:t>
      </w:r>
      <w:r w:rsidR="00060AD5">
        <w:t>,</w:t>
      </w:r>
      <w:r w:rsidR="005575BD">
        <w:t xml:space="preserve"> will not be eligible to participate in the </w:t>
      </w:r>
      <w:r w:rsidR="008237BA">
        <w:t>RTO/ISO</w:t>
      </w:r>
      <w:r w:rsidR="005575BD">
        <w:t xml:space="preserve"> markets as part of a DER aggregation.</w:t>
      </w:r>
      <w:r w:rsidR="008237BA" w:rsidRPr="00F823D2">
        <w:rPr>
          <w:rStyle w:val="FootnoteReference"/>
          <w:b/>
        </w:rPr>
        <w:footnoteReference w:id="9"/>
      </w:r>
      <w:r w:rsidR="005575BD" w:rsidRPr="00BF06A1">
        <w:t xml:space="preserve"> </w:t>
      </w:r>
      <w:r w:rsidR="008237BA">
        <w:t xml:space="preserve"> T</w:t>
      </w:r>
      <w:r w:rsidR="002F24E9">
        <w:t xml:space="preserve">his panel will explore </w:t>
      </w:r>
      <w:r w:rsidR="002B6DE4">
        <w:t xml:space="preserve">potential solutions to challenges </w:t>
      </w:r>
      <w:r w:rsidR="00A532A2">
        <w:t xml:space="preserve">associated with DER aggregations that provide multiple services, including ways to avoid </w:t>
      </w:r>
      <w:r w:rsidR="00BD0F1F">
        <w:t xml:space="preserve">duplication of compensation for </w:t>
      </w:r>
      <w:r w:rsidR="004A3571">
        <w:t xml:space="preserve">their </w:t>
      </w:r>
      <w:r w:rsidR="00A532A2">
        <w:t xml:space="preserve">services </w:t>
      </w:r>
      <w:r w:rsidR="004A3571">
        <w:t>in the RTO/ISO markets,</w:t>
      </w:r>
      <w:r w:rsidR="00A532A2">
        <w:t xml:space="preserve"> </w:t>
      </w:r>
      <w:r w:rsidR="004A3571">
        <w:t xml:space="preserve">potential ways for the </w:t>
      </w:r>
      <w:r w:rsidR="00A532A2">
        <w:t xml:space="preserve">RTOs/ISOs to place appropriate restrictions on </w:t>
      </w:r>
      <w:r w:rsidR="004A3571">
        <w:t>the services they can provide</w:t>
      </w:r>
      <w:r w:rsidR="00A532A2">
        <w:t xml:space="preserve">, </w:t>
      </w:r>
      <w:r w:rsidR="00727506">
        <w:t xml:space="preserve">and </w:t>
      </w:r>
      <w:r w:rsidR="00B56106">
        <w:t>procedures</w:t>
      </w:r>
      <w:r w:rsidR="004A3571">
        <w:t xml:space="preserve"> </w:t>
      </w:r>
      <w:r w:rsidR="00727506">
        <w:t xml:space="preserve">to ensure that DERs are not accounted for in ways that </w:t>
      </w:r>
      <w:r w:rsidR="00CD65B9">
        <w:t>affect</w:t>
      </w:r>
      <w:r w:rsidR="00727506">
        <w:t xml:space="preserve"> efficient outcomes in the </w:t>
      </w:r>
      <w:r w:rsidR="00592416">
        <w:t xml:space="preserve">RTO/ISO </w:t>
      </w:r>
      <w:r w:rsidR="00727506">
        <w:t>markets.</w:t>
      </w:r>
      <w:r w:rsidR="005575BD">
        <w:t xml:space="preserve"> </w:t>
      </w:r>
      <w:r w:rsidR="003C174D">
        <w:t xml:space="preserve"> In</w:t>
      </w:r>
      <w:r w:rsidR="00AF74BD">
        <w:t xml:space="preserve"> particular, Commission </w:t>
      </w:r>
      <w:r w:rsidR="0011383F">
        <w:t xml:space="preserve">staff </w:t>
      </w:r>
      <w:r w:rsidR="00BD0F1F">
        <w:t xml:space="preserve">expects to explore </w:t>
      </w:r>
      <w:r w:rsidR="003C174D">
        <w:t>the following questions:</w:t>
      </w:r>
    </w:p>
    <w:p w14:paraId="1B6F6698" w14:textId="77777777" w:rsidR="004F49E8" w:rsidRDefault="004F49E8" w:rsidP="00F823D2"/>
    <w:p w14:paraId="22107724" w14:textId="3BEE7337" w:rsidR="00A05871" w:rsidRPr="00F302E1" w:rsidRDefault="00A05871" w:rsidP="00F302E1">
      <w:pPr>
        <w:pStyle w:val="NoSpacing"/>
        <w:numPr>
          <w:ilvl w:val="0"/>
          <w:numId w:val="22"/>
        </w:numPr>
        <w:rPr>
          <w:rFonts w:ascii="Times New Roman" w:hAnsi="Times New Roman" w:cs="Times New Roman"/>
          <w:sz w:val="26"/>
          <w:szCs w:val="26"/>
        </w:rPr>
      </w:pPr>
      <w:r w:rsidRPr="00F302E1">
        <w:rPr>
          <w:rFonts w:ascii="Times New Roman" w:hAnsi="Times New Roman" w:cs="Times New Roman"/>
          <w:sz w:val="26"/>
          <w:szCs w:val="26"/>
        </w:rPr>
        <w:t xml:space="preserve">Given the variety of wholesale and retail services, is it possible to universally characterize a set of wholesale and retail services as the “same service”?  If so, how could the Commission prohibit a DER from providing the same service to the wholesale market as it provides in a retail compensation program?  </w:t>
      </w:r>
    </w:p>
    <w:p w14:paraId="1FF1E466" w14:textId="78928B54" w:rsidR="008B4053" w:rsidRPr="00F302E1" w:rsidRDefault="008B4053" w:rsidP="00F302E1">
      <w:pPr>
        <w:pStyle w:val="NoSpacing"/>
        <w:numPr>
          <w:ilvl w:val="0"/>
          <w:numId w:val="22"/>
        </w:numPr>
        <w:rPr>
          <w:rFonts w:ascii="Times New Roman" w:hAnsi="Times New Roman" w:cs="Times New Roman"/>
          <w:sz w:val="26"/>
          <w:szCs w:val="26"/>
        </w:rPr>
      </w:pPr>
      <w:r w:rsidRPr="00F302E1">
        <w:rPr>
          <w:rFonts w:ascii="Times New Roman" w:hAnsi="Times New Roman" w:cs="Times New Roman"/>
          <w:sz w:val="26"/>
          <w:szCs w:val="26"/>
        </w:rPr>
        <w:t>In Order No. 719, the Commission stated that “[a]n RTO or ISO may place appropriate restrictions on any customer’s participation in an [aggregation of retail customers]-aggregated demand response bid to avoid counting the same demand response resource more than once.”</w:t>
      </w:r>
      <w:r w:rsidR="00690802" w:rsidRPr="00551388">
        <w:rPr>
          <w:rStyle w:val="FootnoteReference"/>
          <w:rFonts w:ascii="Times New Roman" w:hAnsi="Times New Roman" w:cs="Times New Roman"/>
          <w:b/>
          <w:sz w:val="26"/>
          <w:szCs w:val="26"/>
        </w:rPr>
        <w:footnoteReference w:id="10"/>
      </w:r>
      <w:r w:rsidRPr="00F302E1">
        <w:rPr>
          <w:rFonts w:ascii="Times New Roman" w:hAnsi="Times New Roman" w:cs="Times New Roman"/>
          <w:sz w:val="26"/>
          <w:szCs w:val="26"/>
        </w:rPr>
        <w:t xml:space="preserve">  How have the RTOs/ISOs effectuated this requirement or otherwise ensured that demand response participating in their markets </w:t>
      </w:r>
      <w:r w:rsidR="00EF0580" w:rsidRPr="00F302E1">
        <w:rPr>
          <w:rFonts w:ascii="Times New Roman" w:hAnsi="Times New Roman" w:cs="Times New Roman"/>
          <w:sz w:val="26"/>
          <w:szCs w:val="26"/>
        </w:rPr>
        <w:t>is</w:t>
      </w:r>
      <w:r w:rsidRPr="00F302E1">
        <w:rPr>
          <w:rFonts w:ascii="Times New Roman" w:hAnsi="Times New Roman" w:cs="Times New Roman"/>
          <w:sz w:val="26"/>
          <w:szCs w:val="26"/>
        </w:rPr>
        <w:t xml:space="preserve"> not being double counted?  What would be the advantages and disadvantages of taking this approach for DER aggregations instead of the approach proposed in the NOPR for preventing double compensation for the same service?</w:t>
      </w:r>
    </w:p>
    <w:p w14:paraId="00F0A280" w14:textId="679CD2A1" w:rsidR="006B33AC" w:rsidRPr="00F302E1" w:rsidRDefault="006B33AC" w:rsidP="00F302E1">
      <w:pPr>
        <w:pStyle w:val="NoSpacing"/>
        <w:numPr>
          <w:ilvl w:val="0"/>
          <w:numId w:val="22"/>
        </w:numPr>
        <w:rPr>
          <w:rFonts w:ascii="Times New Roman" w:hAnsi="Times New Roman" w:cs="Times New Roman"/>
          <w:sz w:val="26"/>
          <w:szCs w:val="26"/>
        </w:rPr>
      </w:pPr>
      <w:r w:rsidRPr="00F302E1">
        <w:rPr>
          <w:rFonts w:ascii="Times New Roman" w:hAnsi="Times New Roman" w:cs="Times New Roman"/>
          <w:sz w:val="26"/>
          <w:szCs w:val="26"/>
        </w:rPr>
        <w:t>W</w:t>
      </w:r>
      <w:r w:rsidRPr="00F302E1" w:rsidDel="006B33AC">
        <w:rPr>
          <w:rFonts w:ascii="Times New Roman" w:hAnsi="Times New Roman" w:cs="Times New Roman"/>
          <w:sz w:val="26"/>
          <w:szCs w:val="26"/>
        </w:rPr>
        <w:t xml:space="preserve">hat other options </w:t>
      </w:r>
      <w:r w:rsidR="00604266" w:rsidRPr="00F302E1">
        <w:rPr>
          <w:rFonts w:ascii="Times New Roman" w:hAnsi="Times New Roman" w:cs="Times New Roman"/>
          <w:sz w:val="26"/>
          <w:szCs w:val="26"/>
        </w:rPr>
        <w:t>besides the NOPR’s proposed limits on dual participation</w:t>
      </w:r>
      <w:r w:rsidR="00604266" w:rsidRPr="00F302E1" w:rsidDel="006B33AC">
        <w:rPr>
          <w:rFonts w:ascii="Times New Roman" w:hAnsi="Times New Roman" w:cs="Times New Roman"/>
          <w:sz w:val="26"/>
          <w:szCs w:val="26"/>
        </w:rPr>
        <w:t xml:space="preserve"> </w:t>
      </w:r>
      <w:r w:rsidRPr="00F302E1" w:rsidDel="006B33AC">
        <w:rPr>
          <w:rFonts w:ascii="Times New Roman" w:hAnsi="Times New Roman" w:cs="Times New Roman"/>
          <w:sz w:val="26"/>
          <w:szCs w:val="26"/>
        </w:rPr>
        <w:t xml:space="preserve">exist to address </w:t>
      </w:r>
      <w:r w:rsidR="00604266" w:rsidRPr="00F302E1">
        <w:rPr>
          <w:rFonts w:ascii="Times New Roman" w:hAnsi="Times New Roman" w:cs="Times New Roman"/>
          <w:sz w:val="26"/>
          <w:szCs w:val="26"/>
        </w:rPr>
        <w:t>issues associated with</w:t>
      </w:r>
      <w:r w:rsidRPr="00F302E1">
        <w:rPr>
          <w:rFonts w:ascii="Times New Roman" w:hAnsi="Times New Roman" w:cs="Times New Roman"/>
          <w:sz w:val="26"/>
          <w:szCs w:val="26"/>
        </w:rPr>
        <w:t xml:space="preserve"> </w:t>
      </w:r>
      <w:r w:rsidR="00604266" w:rsidRPr="00F302E1">
        <w:rPr>
          <w:rFonts w:ascii="Times New Roman" w:hAnsi="Times New Roman" w:cs="Times New Roman"/>
          <w:sz w:val="26"/>
          <w:szCs w:val="26"/>
        </w:rPr>
        <w:t>the participation of</w:t>
      </w:r>
      <w:r w:rsidRPr="00F302E1">
        <w:rPr>
          <w:rFonts w:ascii="Times New Roman" w:hAnsi="Times New Roman" w:cs="Times New Roman"/>
          <w:sz w:val="26"/>
          <w:szCs w:val="26"/>
        </w:rPr>
        <w:t xml:space="preserve"> DER</w:t>
      </w:r>
      <w:r w:rsidR="00604266" w:rsidRPr="00F302E1">
        <w:rPr>
          <w:rFonts w:ascii="Times New Roman" w:hAnsi="Times New Roman" w:cs="Times New Roman"/>
          <w:sz w:val="26"/>
          <w:szCs w:val="26"/>
        </w:rPr>
        <w:t>s</w:t>
      </w:r>
      <w:r w:rsidRPr="00F302E1">
        <w:rPr>
          <w:rFonts w:ascii="Times New Roman" w:hAnsi="Times New Roman" w:cs="Times New Roman"/>
          <w:sz w:val="26"/>
          <w:szCs w:val="26"/>
        </w:rPr>
        <w:t xml:space="preserve"> or DER aggregation</w:t>
      </w:r>
      <w:r w:rsidR="00604266" w:rsidRPr="00F302E1">
        <w:rPr>
          <w:rFonts w:ascii="Times New Roman" w:hAnsi="Times New Roman" w:cs="Times New Roman"/>
          <w:sz w:val="26"/>
          <w:szCs w:val="26"/>
        </w:rPr>
        <w:t>s</w:t>
      </w:r>
      <w:r w:rsidRPr="00F302E1">
        <w:rPr>
          <w:rFonts w:ascii="Times New Roman" w:hAnsi="Times New Roman" w:cs="Times New Roman"/>
          <w:sz w:val="26"/>
          <w:szCs w:val="26"/>
        </w:rPr>
        <w:t xml:space="preserve"> </w:t>
      </w:r>
      <w:r w:rsidR="00D87CC1" w:rsidRPr="00F302E1">
        <w:rPr>
          <w:rFonts w:ascii="Times New Roman" w:hAnsi="Times New Roman" w:cs="Times New Roman"/>
          <w:sz w:val="26"/>
          <w:szCs w:val="26"/>
        </w:rPr>
        <w:t>in one or more retail compensation programs or another wholesale market participation program</w:t>
      </w:r>
      <w:r w:rsidR="00D87CC1" w:rsidRPr="00F302E1" w:rsidDel="006B33AC">
        <w:rPr>
          <w:rFonts w:ascii="Times New Roman" w:hAnsi="Times New Roman" w:cs="Times New Roman"/>
          <w:sz w:val="26"/>
          <w:szCs w:val="26"/>
        </w:rPr>
        <w:t xml:space="preserve"> </w:t>
      </w:r>
      <w:r w:rsidR="00D87CC1" w:rsidRPr="00F302E1">
        <w:rPr>
          <w:rFonts w:ascii="Times New Roman" w:hAnsi="Times New Roman" w:cs="Times New Roman"/>
          <w:sz w:val="26"/>
          <w:szCs w:val="26"/>
        </w:rPr>
        <w:t>at the same time as it participates in a wholesale DER aggregation</w:t>
      </w:r>
      <w:r w:rsidRPr="00F302E1">
        <w:rPr>
          <w:rFonts w:ascii="Times New Roman" w:hAnsi="Times New Roman" w:cs="Times New Roman"/>
          <w:sz w:val="26"/>
          <w:szCs w:val="26"/>
        </w:rPr>
        <w:t>?  Is there a way</w:t>
      </w:r>
      <w:r w:rsidRPr="00F302E1" w:rsidDel="006B33AC">
        <w:rPr>
          <w:rFonts w:ascii="Times New Roman" w:hAnsi="Times New Roman" w:cs="Times New Roman"/>
          <w:sz w:val="26"/>
          <w:szCs w:val="26"/>
        </w:rPr>
        <w:t xml:space="preserve"> to coordinate </w:t>
      </w:r>
      <w:r w:rsidR="00C31039" w:rsidRPr="00F302E1">
        <w:rPr>
          <w:rFonts w:ascii="Times New Roman" w:hAnsi="Times New Roman" w:cs="Times New Roman"/>
          <w:sz w:val="26"/>
          <w:szCs w:val="26"/>
        </w:rPr>
        <w:t xml:space="preserve">DER </w:t>
      </w:r>
      <w:r w:rsidRPr="00F302E1" w:rsidDel="006B33AC">
        <w:rPr>
          <w:rFonts w:ascii="Times New Roman" w:hAnsi="Times New Roman" w:cs="Times New Roman"/>
          <w:sz w:val="26"/>
          <w:szCs w:val="26"/>
        </w:rPr>
        <w:t>participation in multiple markets or compensation programs?</w:t>
      </w:r>
      <w:r w:rsidR="009B5CA0" w:rsidRPr="00F302E1">
        <w:rPr>
          <w:rFonts w:ascii="Times New Roman" w:hAnsi="Times New Roman" w:cs="Times New Roman"/>
          <w:sz w:val="26"/>
          <w:szCs w:val="26"/>
        </w:rPr>
        <w:t xml:space="preserve">  </w:t>
      </w:r>
      <w:r w:rsidR="00E56374" w:rsidRPr="00F302E1">
        <w:rPr>
          <w:rFonts w:ascii="Times New Roman" w:hAnsi="Times New Roman" w:cs="Times New Roman"/>
          <w:sz w:val="26"/>
          <w:szCs w:val="26"/>
        </w:rPr>
        <w:t>Is a p</w:t>
      </w:r>
      <w:r w:rsidR="00872AB6" w:rsidRPr="00F302E1">
        <w:rPr>
          <w:rFonts w:ascii="Times New Roman" w:hAnsi="Times New Roman" w:cs="Times New Roman"/>
          <w:sz w:val="26"/>
          <w:szCs w:val="26"/>
        </w:rPr>
        <w:t>ossible s</w:t>
      </w:r>
      <w:r w:rsidR="002B6DE4" w:rsidRPr="00F302E1">
        <w:rPr>
          <w:rFonts w:ascii="Times New Roman" w:hAnsi="Times New Roman" w:cs="Times New Roman"/>
          <w:sz w:val="26"/>
          <w:szCs w:val="26"/>
        </w:rPr>
        <w:t>olution</w:t>
      </w:r>
      <w:r w:rsidR="009B5CA0" w:rsidRPr="00F302E1">
        <w:rPr>
          <w:rFonts w:ascii="Times New Roman" w:hAnsi="Times New Roman" w:cs="Times New Roman"/>
          <w:sz w:val="26"/>
          <w:szCs w:val="26"/>
        </w:rPr>
        <w:t xml:space="preserve"> </w:t>
      </w:r>
      <w:r w:rsidR="00E56374" w:rsidRPr="00F302E1">
        <w:rPr>
          <w:rFonts w:ascii="Times New Roman" w:hAnsi="Times New Roman" w:cs="Times New Roman"/>
          <w:sz w:val="26"/>
          <w:szCs w:val="26"/>
        </w:rPr>
        <w:t xml:space="preserve">having a </w:t>
      </w:r>
      <w:r w:rsidR="009B5CA0" w:rsidRPr="00F302E1">
        <w:rPr>
          <w:rFonts w:ascii="Times New Roman" w:hAnsi="Times New Roman" w:cs="Times New Roman"/>
          <w:sz w:val="26"/>
          <w:szCs w:val="26"/>
        </w:rPr>
        <w:t>targeted prohibition, such as the limitation place</w:t>
      </w:r>
      <w:r w:rsidR="00AB5AC3" w:rsidRPr="00F302E1">
        <w:rPr>
          <w:rFonts w:ascii="Times New Roman" w:hAnsi="Times New Roman" w:cs="Times New Roman"/>
          <w:sz w:val="26"/>
          <w:szCs w:val="26"/>
        </w:rPr>
        <w:t>d</w:t>
      </w:r>
      <w:r w:rsidR="009B5CA0" w:rsidRPr="00F302E1">
        <w:rPr>
          <w:rFonts w:ascii="Times New Roman" w:hAnsi="Times New Roman" w:cs="Times New Roman"/>
          <w:sz w:val="26"/>
          <w:szCs w:val="26"/>
        </w:rPr>
        <w:t xml:space="preserve"> on net-metered resources in CAISO</w:t>
      </w:r>
      <w:r w:rsidR="00751BDF" w:rsidRPr="00F302E1">
        <w:rPr>
          <w:rFonts w:ascii="Times New Roman" w:hAnsi="Times New Roman" w:cs="Times New Roman"/>
          <w:sz w:val="26"/>
          <w:szCs w:val="26"/>
        </w:rPr>
        <w:t>?</w:t>
      </w:r>
      <w:r w:rsidR="00F302E1" w:rsidRPr="00551388">
        <w:rPr>
          <w:rStyle w:val="FootnoteReference"/>
          <w:rFonts w:ascii="Times New Roman" w:hAnsi="Times New Roman" w:cs="Times New Roman"/>
          <w:b/>
          <w:sz w:val="26"/>
          <w:szCs w:val="26"/>
        </w:rPr>
        <w:footnoteReference w:id="11"/>
      </w:r>
      <w:r w:rsidR="009B5CA0" w:rsidRPr="00F302E1">
        <w:rPr>
          <w:rFonts w:ascii="Times New Roman" w:hAnsi="Times New Roman" w:cs="Times New Roman"/>
          <w:sz w:val="26"/>
          <w:szCs w:val="26"/>
        </w:rPr>
        <w:t xml:space="preserve"> </w:t>
      </w:r>
      <w:r w:rsidR="00E56374" w:rsidRPr="00F302E1">
        <w:rPr>
          <w:rFonts w:ascii="Times New Roman" w:hAnsi="Times New Roman" w:cs="Times New Roman"/>
          <w:sz w:val="26"/>
          <w:szCs w:val="26"/>
        </w:rPr>
        <w:t xml:space="preserve"> Are there </w:t>
      </w:r>
      <w:r w:rsidR="009B5CA0" w:rsidRPr="00F302E1">
        <w:rPr>
          <w:rFonts w:ascii="Times New Roman" w:hAnsi="Times New Roman" w:cs="Times New Roman"/>
          <w:sz w:val="26"/>
          <w:szCs w:val="26"/>
        </w:rPr>
        <w:t>other means</w:t>
      </w:r>
      <w:r w:rsidR="00E56374" w:rsidRPr="00F302E1">
        <w:rPr>
          <w:rFonts w:ascii="Times New Roman" w:hAnsi="Times New Roman" w:cs="Times New Roman"/>
          <w:sz w:val="26"/>
          <w:szCs w:val="26"/>
        </w:rPr>
        <w:t>?</w:t>
      </w:r>
    </w:p>
    <w:p w14:paraId="37A6FDFA" w14:textId="77777777" w:rsidR="007879BB" w:rsidRDefault="007879BB" w:rsidP="007879BB">
      <w:pPr>
        <w:ind w:left="1440" w:hanging="1440"/>
        <w:rPr>
          <w:b/>
          <w:bCs/>
        </w:rPr>
      </w:pPr>
    </w:p>
    <w:p w14:paraId="1C6A3C6F" w14:textId="77777777" w:rsidR="007879BB" w:rsidRDefault="007879BB" w:rsidP="007879BB">
      <w:pPr>
        <w:ind w:left="1440" w:hanging="1440"/>
        <w:jc w:val="center"/>
        <w:rPr>
          <w:b/>
          <w:bCs/>
        </w:rPr>
      </w:pPr>
      <w:r>
        <w:rPr>
          <w:b/>
          <w:bCs/>
        </w:rPr>
        <w:t>Wednesday, April 11, 2018</w:t>
      </w:r>
    </w:p>
    <w:p w14:paraId="36098578" w14:textId="5A44ADF1" w:rsidR="005575BD" w:rsidRPr="00836422" w:rsidRDefault="005575BD" w:rsidP="00DA29E2">
      <w:pPr>
        <w:pStyle w:val="ListParagraph"/>
        <w:ind w:firstLine="0"/>
      </w:pPr>
    </w:p>
    <w:p w14:paraId="7E4B2F73" w14:textId="714A8644" w:rsidR="00256E92" w:rsidRPr="008E0BD6" w:rsidRDefault="00256E92" w:rsidP="001F47C0">
      <w:pPr>
        <w:keepNext/>
        <w:spacing w:line="480" w:lineRule="auto"/>
        <w:ind w:left="1440" w:hanging="1440"/>
        <w:rPr>
          <w:bCs/>
        </w:rPr>
      </w:pPr>
      <w:r w:rsidRPr="00727506">
        <w:rPr>
          <w:b/>
          <w:bCs/>
        </w:rPr>
        <w:t xml:space="preserve">Panel </w:t>
      </w:r>
      <w:r w:rsidR="007879BB">
        <w:rPr>
          <w:b/>
          <w:bCs/>
        </w:rPr>
        <w:t>4</w:t>
      </w:r>
      <w:r w:rsidRPr="00693058">
        <w:rPr>
          <w:b/>
          <w:bCs/>
        </w:rPr>
        <w:t>:</w:t>
      </w:r>
      <w:r>
        <w:rPr>
          <w:b/>
          <w:bCs/>
        </w:rPr>
        <w:t xml:space="preserve">  </w:t>
      </w:r>
      <w:r>
        <w:rPr>
          <w:b/>
          <w:bCs/>
        </w:rPr>
        <w:tab/>
      </w:r>
      <w:r w:rsidRPr="008E0BD6">
        <w:rPr>
          <w:b/>
          <w:bCs/>
        </w:rPr>
        <w:t>Collection and Availability</w:t>
      </w:r>
      <w:r>
        <w:rPr>
          <w:b/>
          <w:bCs/>
        </w:rPr>
        <w:t xml:space="preserve"> of Data on </w:t>
      </w:r>
      <w:r w:rsidR="00CD6C9D">
        <w:rPr>
          <w:b/>
          <w:bCs/>
        </w:rPr>
        <w:t>DER</w:t>
      </w:r>
      <w:r>
        <w:rPr>
          <w:b/>
          <w:bCs/>
        </w:rPr>
        <w:t xml:space="preserve"> Installations</w:t>
      </w:r>
    </w:p>
    <w:p w14:paraId="2CC1EF7B" w14:textId="1F46A5E4" w:rsidR="00256E92" w:rsidRPr="008E0BD6" w:rsidRDefault="0094687A" w:rsidP="00693058">
      <w:pPr>
        <w:rPr>
          <w:bCs/>
        </w:rPr>
      </w:pPr>
      <w:r>
        <w:t>To plan and operate the bulk power system, it is important for transmission planners, transmission operators, and distribution utilities to</w:t>
      </w:r>
      <w:r w:rsidR="00256E92" w:rsidRPr="00A33552">
        <w:t xml:space="preserve"> collect and shar</w:t>
      </w:r>
      <w:r>
        <w:t>e</w:t>
      </w:r>
      <w:r w:rsidR="00256E92" w:rsidRPr="00A33552">
        <w:t xml:space="preserve"> validated data across the transmission-distribution interface</w:t>
      </w:r>
      <w:r w:rsidR="00256E92">
        <w:t xml:space="preserve">.  In September 2017, </w:t>
      </w:r>
      <w:r w:rsidR="002A5518">
        <w:t>the North American Electric Reliability Corp</w:t>
      </w:r>
      <w:r w:rsidR="00F3501B">
        <w:t>oration</w:t>
      </w:r>
      <w:r w:rsidR="002A5518">
        <w:t xml:space="preserve"> (</w:t>
      </w:r>
      <w:r w:rsidR="00256E92">
        <w:t>NERC</w:t>
      </w:r>
      <w:r w:rsidR="002A5518">
        <w:t>)</w:t>
      </w:r>
      <w:r w:rsidR="00256E92">
        <w:t xml:space="preserve"> published a Reliability Guideline on DER modeling</w:t>
      </w:r>
      <w:r w:rsidR="00823808">
        <w:t xml:space="preserve"> (Guideline)</w:t>
      </w:r>
      <w:r w:rsidR="00256E92">
        <w:t xml:space="preserve"> that specified the minimum DER information needed by transmission planners and planning coordinators to assist in modeling and assessments.</w:t>
      </w:r>
      <w:r w:rsidR="00256E92" w:rsidRPr="00DA29E2">
        <w:rPr>
          <w:rStyle w:val="FootnoteReference"/>
          <w:b/>
        </w:rPr>
        <w:footnoteReference w:id="12"/>
      </w:r>
      <w:r w:rsidR="00256E92">
        <w:t xml:space="preserve">  The Guideline references the importance of static data</w:t>
      </w:r>
      <w:r w:rsidR="009D3F53">
        <w:t xml:space="preserve"> (</w:t>
      </w:r>
      <w:r w:rsidR="00256E92">
        <w:t>such as the capacity, capabilities, and location of a DER installation</w:t>
      </w:r>
      <w:r w:rsidR="009D3F53">
        <w:t>)</w:t>
      </w:r>
      <w:r w:rsidR="00256E92">
        <w:t xml:space="preserve"> for the entities involved in the planning of the </w:t>
      </w:r>
      <w:r w:rsidR="00AF74BD">
        <w:t>bulk power system</w:t>
      </w:r>
      <w:r w:rsidR="00256E92">
        <w:t xml:space="preserve">.  </w:t>
      </w:r>
      <w:r w:rsidR="00256E92" w:rsidRPr="0014639B">
        <w:t xml:space="preserve">This panel </w:t>
      </w:r>
      <w:r w:rsidR="00C352B0">
        <w:t>will</w:t>
      </w:r>
      <w:r w:rsidR="00256E92" w:rsidRPr="0014639B">
        <w:t xml:space="preserve"> focus on </w:t>
      </w:r>
      <w:r w:rsidR="0081272F" w:rsidRPr="0014639B">
        <w:t>understanding the need</w:t>
      </w:r>
      <w:r w:rsidR="006F6D53">
        <w:t xml:space="preserve"> </w:t>
      </w:r>
      <w:r w:rsidR="00F3501B">
        <w:t>for</w:t>
      </w:r>
      <w:r w:rsidR="006F6D53">
        <w:t xml:space="preserve"> bulk power system </w:t>
      </w:r>
      <w:r>
        <w:t xml:space="preserve">planners and </w:t>
      </w:r>
      <w:r w:rsidR="006F6D53">
        <w:t>operators to have</w:t>
      </w:r>
      <w:r w:rsidR="00F3501B">
        <w:t xml:space="preserve"> access to</w:t>
      </w:r>
      <w:r w:rsidR="0081272F" w:rsidRPr="0014639B">
        <w:t xml:space="preserve"> accurate data </w:t>
      </w:r>
      <w:r>
        <w:t>to plan and operate</w:t>
      </w:r>
      <w:r w:rsidR="0081272F" w:rsidRPr="0014639B">
        <w:t xml:space="preserve"> the </w:t>
      </w:r>
      <w:r w:rsidR="0081272F">
        <w:t>bulk power system</w:t>
      </w:r>
      <w:r w:rsidR="00F3501B">
        <w:t xml:space="preserve">, explore the types of data that are needed, </w:t>
      </w:r>
      <w:r w:rsidR="0081272F">
        <w:t xml:space="preserve">and </w:t>
      </w:r>
      <w:r w:rsidR="00256E92" w:rsidRPr="0014639B">
        <w:t xml:space="preserve">assess the </w:t>
      </w:r>
      <w:r w:rsidR="00823808">
        <w:t xml:space="preserve">current </w:t>
      </w:r>
      <w:r w:rsidR="00256E92" w:rsidRPr="0014639B">
        <w:t xml:space="preserve">state of DER data collection.  The panel will also address regional </w:t>
      </w:r>
      <w:r w:rsidR="002A5518">
        <w:t xml:space="preserve">DER </w:t>
      </w:r>
      <w:r w:rsidR="00256E92" w:rsidRPr="0014639B">
        <w:t xml:space="preserve">penetration levels and any potential effects of inaccurate long-term DER forecasting.  </w:t>
      </w:r>
      <w:r w:rsidR="00823808">
        <w:t xml:space="preserve">A </w:t>
      </w:r>
      <w:r w:rsidR="00AF74BD">
        <w:t xml:space="preserve">Commission </w:t>
      </w:r>
      <w:r w:rsidR="00823808">
        <w:t>S</w:t>
      </w:r>
      <w:r w:rsidR="00AF74BD">
        <w:t xml:space="preserve">taff DER Technical Report </w:t>
      </w:r>
      <w:r w:rsidR="00823808">
        <w:t xml:space="preserve">is being issued </w:t>
      </w:r>
      <w:r w:rsidR="00AF74BD">
        <w:t>concurrent</w:t>
      </w:r>
      <w:r w:rsidR="00823808">
        <w:t>ly</w:t>
      </w:r>
      <w:r w:rsidR="00AF74BD">
        <w:t xml:space="preserve"> with this Notice to provide a common foundation for the topics raised in this </w:t>
      </w:r>
      <w:r w:rsidR="009D3F53">
        <w:t>p</w:t>
      </w:r>
      <w:r w:rsidR="00AF74BD">
        <w:t>anel.</w:t>
      </w:r>
      <w:r w:rsidR="00AF74BD" w:rsidRPr="0014639B">
        <w:t xml:space="preserve">  </w:t>
      </w:r>
      <w:r w:rsidR="00AE3316">
        <w:t xml:space="preserve">For this panel, </w:t>
      </w:r>
      <w:r w:rsidR="00AF74BD">
        <w:t xml:space="preserve">Commission </w:t>
      </w:r>
      <w:r w:rsidR="00312DED">
        <w:t xml:space="preserve">staff </w:t>
      </w:r>
      <w:r w:rsidR="00BD0F1F">
        <w:t xml:space="preserve">expects to explore </w:t>
      </w:r>
      <w:r w:rsidR="00256E92">
        <w:t>the following questions:</w:t>
      </w:r>
      <w:r w:rsidR="00256E92">
        <w:rPr>
          <w:bCs/>
        </w:rPr>
        <w:t xml:space="preserve"> </w:t>
      </w:r>
      <w:r w:rsidR="00256E92">
        <w:rPr>
          <w:bCs/>
        </w:rPr>
        <w:br/>
      </w:r>
    </w:p>
    <w:p w14:paraId="7FEF5296" w14:textId="6DB4C5C9" w:rsidR="000E576F" w:rsidRDefault="001673CF">
      <w:pPr>
        <w:pStyle w:val="ListParagraph"/>
        <w:numPr>
          <w:ilvl w:val="0"/>
          <w:numId w:val="14"/>
        </w:numPr>
        <w:autoSpaceDE/>
        <w:autoSpaceDN/>
        <w:adjustRightInd/>
        <w:spacing w:after="0" w:line="240" w:lineRule="auto"/>
        <w:contextualSpacing w:val="0"/>
      </w:pPr>
      <w:r>
        <w:t xml:space="preserve">What </w:t>
      </w:r>
      <w:r w:rsidR="00C1073E">
        <w:t xml:space="preserve">type of information </w:t>
      </w:r>
      <w:r w:rsidR="00312DED">
        <w:t>do</w:t>
      </w:r>
      <w:r w:rsidR="00C1073E">
        <w:t xml:space="preserve"> bulk power system</w:t>
      </w:r>
      <w:r w:rsidR="0094687A">
        <w:t xml:space="preserve"> planners and</w:t>
      </w:r>
      <w:r w:rsidR="00C1073E">
        <w:t xml:space="preserve"> operators </w:t>
      </w:r>
      <w:r w:rsidR="00312DED">
        <w:t xml:space="preserve">need </w:t>
      </w:r>
      <w:r>
        <w:t>regarding DER installations within their footprint</w:t>
      </w:r>
      <w:r w:rsidDel="00C1073E">
        <w:t xml:space="preserve"> </w:t>
      </w:r>
      <w:r w:rsidR="0094687A">
        <w:t>to plan and operate the bulk power system</w:t>
      </w:r>
      <w:r w:rsidR="000E576F">
        <w:t xml:space="preserve">?  </w:t>
      </w:r>
      <w:r>
        <w:t>Would it be sufficient for</w:t>
      </w:r>
      <w:r w:rsidR="000E576F">
        <w:t xml:space="preserve"> distribution utilities to provide aggregate information about the penetration of DERs below certain points on the </w:t>
      </w:r>
      <w:r w:rsidR="00C1073E">
        <w:t>transmission-distribution</w:t>
      </w:r>
      <w:r w:rsidR="000E576F">
        <w:t xml:space="preserve"> interface?</w:t>
      </w:r>
      <w:r>
        <w:t xml:space="preserve">  If greater granularity is needed, what level of detail would be sufficient?  </w:t>
      </w:r>
      <w:r w:rsidR="00834F37">
        <w:t>Is validation of the submitted data possible using data available?</w:t>
      </w:r>
    </w:p>
    <w:p w14:paraId="1A7C5D14" w14:textId="26D6CBCA" w:rsidR="00C25CE2" w:rsidRDefault="00C25CE2" w:rsidP="00C25CE2">
      <w:pPr>
        <w:pStyle w:val="ListParagraph"/>
        <w:numPr>
          <w:ilvl w:val="0"/>
          <w:numId w:val="14"/>
        </w:numPr>
        <w:autoSpaceDE/>
        <w:autoSpaceDN/>
        <w:adjustRightInd/>
        <w:spacing w:after="0" w:line="240" w:lineRule="auto"/>
        <w:contextualSpacing w:val="0"/>
      </w:pPr>
      <w:r w:rsidRPr="0014639B">
        <w:t xml:space="preserve">What, if any, data on DER installations is </w:t>
      </w:r>
      <w:r>
        <w:t xml:space="preserve">currently </w:t>
      </w:r>
      <w:r w:rsidRPr="0014639B">
        <w:t>collected</w:t>
      </w:r>
      <w:r>
        <w:t xml:space="preserve">, and by whom is it collected?  </w:t>
      </w:r>
      <w:r w:rsidRPr="008E0BD6">
        <w:t xml:space="preserve">Do procedures </w:t>
      </w:r>
      <w:r>
        <w:t>and appropriate agreements</w:t>
      </w:r>
      <w:r w:rsidRPr="008E0BD6">
        <w:t xml:space="preserve"> exist to share this data with </w:t>
      </w:r>
      <w:r>
        <w:t>affected bulk power system</w:t>
      </w:r>
      <w:r w:rsidRPr="008E0BD6">
        <w:t xml:space="preserve"> entities</w:t>
      </w:r>
      <w:r>
        <w:t xml:space="preserve"> (i.e., those entities responsible for the reliable operation of the bulk power system or for modeling and planning for a reliable bulk power system)</w:t>
      </w:r>
      <w:r w:rsidRPr="008E0BD6">
        <w:t xml:space="preserve">? </w:t>
      </w:r>
      <w:r>
        <w:t xml:space="preserve"> </w:t>
      </w:r>
      <w:r w:rsidRPr="008E0BD6">
        <w:t>Is there variation by entity or region?</w:t>
      </w:r>
    </w:p>
    <w:p w14:paraId="74D84221" w14:textId="5EFF033A" w:rsidR="00256E92" w:rsidRPr="0014639B" w:rsidRDefault="006F6D53" w:rsidP="00256E92">
      <w:pPr>
        <w:pStyle w:val="ListParagraph"/>
        <w:numPr>
          <w:ilvl w:val="0"/>
          <w:numId w:val="14"/>
        </w:numPr>
        <w:autoSpaceDE/>
        <w:autoSpaceDN/>
        <w:adjustRightInd/>
        <w:spacing w:after="0" w:line="240" w:lineRule="auto"/>
        <w:contextualSpacing w:val="0"/>
      </w:pPr>
      <w:r>
        <w:t>At various DER penetration levels, what planning and operations impacts do you observe?  Do</w:t>
      </w:r>
      <w:r w:rsidR="00256E92">
        <w:t xml:space="preserve"> balancing authorities with significant growth in DERs experience </w:t>
      </w:r>
      <w:r w:rsidR="006C6E48" w:rsidRPr="006C6E48">
        <w:t>the need to addre</w:t>
      </w:r>
      <w:r w:rsidR="006C6E48">
        <w:t xml:space="preserve">ss </w:t>
      </w:r>
      <w:r w:rsidR="00A54C4B">
        <w:t xml:space="preserve">bulk power </w:t>
      </w:r>
      <w:r w:rsidR="00256E92">
        <w:t>system reliability and operation</w:t>
      </w:r>
      <w:r w:rsidR="00C25CE2">
        <w:t>al</w:t>
      </w:r>
      <w:r w:rsidR="00013E96">
        <w:t xml:space="preserve"> </w:t>
      </w:r>
      <w:r w:rsidR="008810D5">
        <w:t>considerations</w:t>
      </w:r>
      <w:r w:rsidR="003C2C01">
        <w:t xml:space="preserve"> </w:t>
      </w:r>
      <w:r>
        <w:t xml:space="preserve">at certain </w:t>
      </w:r>
      <w:r w:rsidR="003C2C01">
        <w:t xml:space="preserve">DER </w:t>
      </w:r>
      <w:r>
        <w:t>penetration levels</w:t>
      </w:r>
      <w:r w:rsidR="00256E92" w:rsidRPr="0014639B">
        <w:t xml:space="preserve">?  </w:t>
      </w:r>
      <w:r>
        <w:t xml:space="preserve">What are they?  </w:t>
      </w:r>
      <w:r w:rsidR="00013E96">
        <w:t xml:space="preserve">Is the MW level of </w:t>
      </w:r>
      <w:r w:rsidR="003C2C01">
        <w:t xml:space="preserve">DER </w:t>
      </w:r>
      <w:r w:rsidR="00013E96">
        <w:t xml:space="preserve">penetration </w:t>
      </w:r>
      <w:r w:rsidR="003C2C01">
        <w:t xml:space="preserve">the </w:t>
      </w:r>
      <w:r w:rsidR="00013E96">
        <w:t>most important</w:t>
      </w:r>
      <w:r w:rsidR="003C2C01">
        <w:t xml:space="preserve"> factor in whether DERs cause planning and operational </w:t>
      </w:r>
      <w:r w:rsidR="008810D5">
        <w:t>impacts</w:t>
      </w:r>
      <w:r w:rsidR="00013E96">
        <w:t xml:space="preserve">, or do certain characteristics of installed DERs affect the system operator’s analysis? </w:t>
      </w:r>
      <w:r w:rsidR="00F34643">
        <w:t xml:space="preserve"> </w:t>
      </w:r>
      <w:r w:rsidR="003C2C01">
        <w:t>Is the point at which DER penetration causes bulk power system reliability and operation</w:t>
      </w:r>
      <w:r w:rsidR="00C25CE2">
        <w:t>al</w:t>
      </w:r>
      <w:r w:rsidR="003C2C01">
        <w:t xml:space="preserve"> </w:t>
      </w:r>
      <w:r w:rsidR="008810D5">
        <w:t>impacts</w:t>
      </w:r>
      <w:r w:rsidR="003C2C01">
        <w:t xml:space="preserve"> the point at which it becomes necessary for distribution utilities to provide information on DER</w:t>
      </w:r>
      <w:r w:rsidR="00C25CE2">
        <w:t>s</w:t>
      </w:r>
      <w:r w:rsidR="003C2C01">
        <w:t xml:space="preserve"> to the bulk power system operator, or is there some other threshold that could trigger a need for sharing </w:t>
      </w:r>
      <w:r w:rsidR="008D1F6D">
        <w:t>this</w:t>
      </w:r>
      <w:r w:rsidR="003C2C01">
        <w:t xml:space="preserve"> information?  </w:t>
      </w:r>
      <w:r w:rsidR="00256E92" w:rsidRPr="0014639B">
        <w:t xml:space="preserve">How much might </w:t>
      </w:r>
      <w:r w:rsidR="003C2C01">
        <w:t>the answer to these questions</w:t>
      </w:r>
      <w:r w:rsidR="003C2C01" w:rsidRPr="0014639B">
        <w:t xml:space="preserve"> </w:t>
      </w:r>
      <w:r w:rsidR="00256E92" w:rsidRPr="0014639B">
        <w:t>vary on a regional basis, and what factors may contribute to this variance?</w:t>
      </w:r>
    </w:p>
    <w:p w14:paraId="3BF4262A" w14:textId="77777777" w:rsidR="003C2C01" w:rsidRPr="008E0BD6" w:rsidRDefault="003C2C01" w:rsidP="003C2C01">
      <w:pPr>
        <w:pStyle w:val="ListParagraph"/>
        <w:numPr>
          <w:ilvl w:val="0"/>
          <w:numId w:val="14"/>
        </w:numPr>
        <w:autoSpaceDE/>
        <w:autoSpaceDN/>
        <w:adjustRightInd/>
        <w:spacing w:after="0" w:line="240" w:lineRule="auto"/>
        <w:contextualSpacing w:val="0"/>
      </w:pPr>
      <w:r w:rsidRPr="0014639B">
        <w:t>How are long</w:t>
      </w:r>
      <w:r>
        <w:t>-</w:t>
      </w:r>
      <w:r w:rsidRPr="0014639B">
        <w:t>term projections for DER penetrations developed?</w:t>
      </w:r>
      <w:r>
        <w:t xml:space="preserve">  </w:t>
      </w:r>
      <w:r w:rsidRPr="008E0BD6">
        <w:t xml:space="preserve">Are these projections </w:t>
      </w:r>
      <w:r>
        <w:t xml:space="preserve">currently </w:t>
      </w:r>
      <w:r w:rsidRPr="008E0BD6">
        <w:t>included in related forecasting efforts?</w:t>
      </w:r>
      <w:r>
        <w:t xml:space="preserve">  Do </w:t>
      </w:r>
      <w:r w:rsidRPr="00FD042C">
        <w:t>system operators</w:t>
      </w:r>
      <w:r>
        <w:t xml:space="preserve"> study</w:t>
      </w:r>
      <w:r w:rsidRPr="008E0BD6">
        <w:t xml:space="preserve"> the </w:t>
      </w:r>
      <w:r>
        <w:t xml:space="preserve">potential </w:t>
      </w:r>
      <w:r w:rsidRPr="008E0BD6">
        <w:t xml:space="preserve">effects of future </w:t>
      </w:r>
      <w:r>
        <w:t xml:space="preserve">DER </w:t>
      </w:r>
      <w:r w:rsidRPr="008E0BD6">
        <w:t xml:space="preserve">growth to assess changing </w:t>
      </w:r>
      <w:r>
        <w:t xml:space="preserve">infrastructure and planning </w:t>
      </w:r>
      <w:r w:rsidRPr="008E0BD6">
        <w:t>needs at different penetration levels?</w:t>
      </w:r>
    </w:p>
    <w:p w14:paraId="276DEAB2" w14:textId="69C2184D" w:rsidR="00256E92" w:rsidRDefault="00256E92" w:rsidP="00256E92">
      <w:pPr>
        <w:pStyle w:val="ListParagraph"/>
        <w:numPr>
          <w:ilvl w:val="0"/>
          <w:numId w:val="14"/>
        </w:numPr>
        <w:autoSpaceDE/>
        <w:autoSpaceDN/>
        <w:adjustRightInd/>
        <w:spacing w:after="0" w:line="240" w:lineRule="auto"/>
        <w:contextualSpacing w:val="0"/>
      </w:pPr>
      <w:r w:rsidRPr="0014639B">
        <w:t xml:space="preserve">What are the effects on the </w:t>
      </w:r>
      <w:r w:rsidR="00772C2C">
        <w:t>b</w:t>
      </w:r>
      <w:r w:rsidRPr="0014639B">
        <w:t xml:space="preserve">ulk </w:t>
      </w:r>
      <w:r w:rsidR="00772C2C">
        <w:t>p</w:t>
      </w:r>
      <w:r w:rsidRPr="0014639B">
        <w:t xml:space="preserve">ower </w:t>
      </w:r>
      <w:r w:rsidR="00772C2C">
        <w:t>s</w:t>
      </w:r>
      <w:r w:rsidRPr="0014639B">
        <w:t>ystem if long-term forecasts of DER growth are inaccurate?</w:t>
      </w:r>
      <w:r>
        <w:t xml:space="preserve">  Are these effects within current planning horizons?  Are changes in the expected growth of DERs incorporated into ongoing planning efforts?</w:t>
      </w:r>
    </w:p>
    <w:p w14:paraId="303F56D4" w14:textId="77777777" w:rsidR="006B1897" w:rsidRDefault="00256E92" w:rsidP="00256E92">
      <w:pPr>
        <w:pStyle w:val="ListParagraph"/>
        <w:numPr>
          <w:ilvl w:val="0"/>
          <w:numId w:val="14"/>
        </w:numPr>
        <w:autoSpaceDE/>
        <w:autoSpaceDN/>
        <w:adjustRightInd/>
      </w:pPr>
      <w:r w:rsidRPr="008E0BD6">
        <w:t>H</w:t>
      </w:r>
      <w:r w:rsidRPr="00FA6A5B">
        <w:t xml:space="preserve">ow </w:t>
      </w:r>
      <w:r>
        <w:t xml:space="preserve">are </w:t>
      </w:r>
      <w:r w:rsidRPr="00FA6A5B">
        <w:t xml:space="preserve">DERs incorporated into </w:t>
      </w:r>
      <w:r>
        <w:t>production cost modeling studies?  Do</w:t>
      </w:r>
      <w:r w:rsidRPr="00FA6A5B">
        <w:t xml:space="preserve"> current tools allow for assessment of forecasting variations</w:t>
      </w:r>
      <w:r>
        <w:t xml:space="preserve"> and their effects?</w:t>
      </w:r>
    </w:p>
    <w:p w14:paraId="11A9460B" w14:textId="7456EB54" w:rsidR="00DD638C" w:rsidRDefault="004453B2" w:rsidP="00256E92">
      <w:pPr>
        <w:pStyle w:val="ListParagraph"/>
        <w:numPr>
          <w:ilvl w:val="0"/>
          <w:numId w:val="14"/>
        </w:numPr>
        <w:autoSpaceDE/>
        <w:autoSpaceDN/>
        <w:adjustRightInd/>
      </w:pPr>
      <w:r>
        <w:t xml:space="preserve">Noting that participation in the RTO/ISO markets by DER aggregators </w:t>
      </w:r>
      <w:r w:rsidR="004B653D">
        <w:t xml:space="preserve">may </w:t>
      </w:r>
      <w:r>
        <w:t xml:space="preserve">provide more information to the RTOs/ISOs about </w:t>
      </w:r>
      <w:r w:rsidR="00DD638C">
        <w:t xml:space="preserve">DERs </w:t>
      </w:r>
      <w:r>
        <w:t xml:space="preserve">than </w:t>
      </w:r>
      <w:r w:rsidR="00665DF9">
        <w:t xml:space="preserve">would otherwise </w:t>
      </w:r>
      <w:r w:rsidR="00DD638C">
        <w:t xml:space="preserve">be available, </w:t>
      </w:r>
      <w:r w:rsidR="00FD042C">
        <w:t>should</w:t>
      </w:r>
      <w:r>
        <w:t xml:space="preserve"> </w:t>
      </w:r>
      <w:r w:rsidR="00AE3316">
        <w:t xml:space="preserve">any specific </w:t>
      </w:r>
      <w:r>
        <w:t xml:space="preserve">information </w:t>
      </w:r>
      <w:r w:rsidR="00DD638C">
        <w:t xml:space="preserve">about DER aggregations or the individual DERs in them be required </w:t>
      </w:r>
      <w:r w:rsidR="00AE3316">
        <w:t xml:space="preserve">from aggregators </w:t>
      </w:r>
      <w:r w:rsidR="00DD638C">
        <w:t>to ensure proper planning and operation of the bulk power system?</w:t>
      </w:r>
      <w:r w:rsidR="00CC2CF8">
        <w:t xml:space="preserve"> </w:t>
      </w:r>
    </w:p>
    <w:p w14:paraId="6FB47A87" w14:textId="2E47FD1B" w:rsidR="006B1897" w:rsidRDefault="00A54C4B" w:rsidP="00256E92">
      <w:pPr>
        <w:pStyle w:val="ListParagraph"/>
        <w:numPr>
          <w:ilvl w:val="0"/>
          <w:numId w:val="14"/>
        </w:numPr>
        <w:autoSpaceDE/>
        <w:autoSpaceDN/>
        <w:adjustRightInd/>
      </w:pPr>
      <w:r>
        <w:t xml:space="preserve">Do the RTOs/ISOs need any </w:t>
      </w:r>
      <w:r w:rsidR="006B1897">
        <w:t xml:space="preserve">directly metered data about the operations of </w:t>
      </w:r>
      <w:r w:rsidR="00887FA8">
        <w:t>DER aggregations</w:t>
      </w:r>
      <w:r>
        <w:t xml:space="preserve"> to ensure proper planning and operation of the bulk power system</w:t>
      </w:r>
      <w:r w:rsidR="006B1897">
        <w:t xml:space="preserve">?  </w:t>
      </w:r>
    </w:p>
    <w:p w14:paraId="33A27BAF" w14:textId="77777777" w:rsidR="00CE6159" w:rsidRDefault="00CE6159" w:rsidP="00CC2CF8">
      <w:pPr>
        <w:ind w:left="1440" w:hanging="1440"/>
        <w:rPr>
          <w:b/>
          <w:bCs/>
        </w:rPr>
      </w:pPr>
    </w:p>
    <w:p w14:paraId="0294C668" w14:textId="148D1299" w:rsidR="00256E92" w:rsidRDefault="00A54278" w:rsidP="001F47C0">
      <w:pPr>
        <w:keepNext/>
        <w:spacing w:line="480" w:lineRule="auto"/>
        <w:ind w:left="1440" w:hanging="1440"/>
        <w:rPr>
          <w:b/>
          <w:bCs/>
        </w:rPr>
      </w:pPr>
      <w:r w:rsidRPr="00693058">
        <w:rPr>
          <w:b/>
          <w:bCs/>
        </w:rPr>
        <w:t xml:space="preserve">Panel </w:t>
      </w:r>
      <w:r w:rsidR="007879BB">
        <w:rPr>
          <w:b/>
          <w:bCs/>
        </w:rPr>
        <w:t>5</w:t>
      </w:r>
      <w:r w:rsidR="00256E92" w:rsidRPr="00693058">
        <w:rPr>
          <w:b/>
          <w:bCs/>
        </w:rPr>
        <w:t xml:space="preserve">:  </w:t>
      </w:r>
      <w:r>
        <w:rPr>
          <w:b/>
          <w:bCs/>
        </w:rPr>
        <w:tab/>
      </w:r>
      <w:r w:rsidR="00256E92" w:rsidRPr="00693058">
        <w:rPr>
          <w:b/>
          <w:bCs/>
        </w:rPr>
        <w:t>Incorporating DERs in Modeling, Planning and</w:t>
      </w:r>
      <w:r w:rsidR="00256E92" w:rsidRPr="008E0BD6">
        <w:rPr>
          <w:b/>
          <w:bCs/>
        </w:rPr>
        <w:t xml:space="preserve"> Operations Studies</w:t>
      </w:r>
    </w:p>
    <w:p w14:paraId="40755687" w14:textId="7B212B85" w:rsidR="00256E92" w:rsidRPr="00D85049" w:rsidRDefault="00E25393" w:rsidP="00256E92">
      <w:r>
        <w:t xml:space="preserve">Bulk power system planners and operators </w:t>
      </w:r>
      <w:r w:rsidR="00256E92">
        <w:t xml:space="preserve">must </w:t>
      </w:r>
      <w:r>
        <w:t xml:space="preserve">select methods </w:t>
      </w:r>
      <w:r w:rsidR="00256E92">
        <w:t>to feasibly model</w:t>
      </w:r>
      <w:r w:rsidR="00050025">
        <w:t xml:space="preserve"> </w:t>
      </w:r>
      <w:r w:rsidR="00256E92">
        <w:t xml:space="preserve">DERs at the </w:t>
      </w:r>
      <w:r w:rsidR="007562AB">
        <w:t>b</w:t>
      </w:r>
      <w:r w:rsidR="00A13F89">
        <w:t xml:space="preserve">ulk </w:t>
      </w:r>
      <w:r w:rsidR="007562AB">
        <w:t>p</w:t>
      </w:r>
      <w:r w:rsidR="00A13F89">
        <w:t xml:space="preserve">ower </w:t>
      </w:r>
      <w:r w:rsidR="007562AB">
        <w:t>s</w:t>
      </w:r>
      <w:r w:rsidR="00A13F89">
        <w:t>ystem</w:t>
      </w:r>
      <w:r w:rsidR="00256E92">
        <w:t xml:space="preserve"> level</w:t>
      </w:r>
      <w:r w:rsidR="00050025">
        <w:t xml:space="preserve"> with</w:t>
      </w:r>
      <w:r w:rsidR="00256E92">
        <w:t xml:space="preserve"> sufficient granularity to ensure accurate results.  </w:t>
      </w:r>
      <w:r w:rsidR="00AE3316">
        <w:t>The chosen m</w:t>
      </w:r>
      <w:r w:rsidR="00256E92">
        <w:t xml:space="preserve">ethodology for grouping DERs at the </w:t>
      </w:r>
      <w:r w:rsidR="007562AB">
        <w:t>b</w:t>
      </w:r>
      <w:r w:rsidR="00A13F89">
        <w:t xml:space="preserve">ulk </w:t>
      </w:r>
      <w:r w:rsidR="007562AB">
        <w:t>p</w:t>
      </w:r>
      <w:r w:rsidR="00A13F89">
        <w:t xml:space="preserve">ower </w:t>
      </w:r>
      <w:r w:rsidR="007562AB">
        <w:t>s</w:t>
      </w:r>
      <w:r w:rsidR="00A13F89">
        <w:t>ystem</w:t>
      </w:r>
      <w:r w:rsidR="00256E92">
        <w:t xml:space="preserve"> level could affect </w:t>
      </w:r>
      <w:r w:rsidR="00AE3316">
        <w:t xml:space="preserve">planners’ </w:t>
      </w:r>
      <w:r w:rsidR="00256E92">
        <w:t>ability to predict system behavior following events</w:t>
      </w:r>
      <w:r w:rsidR="00AE3316">
        <w:t xml:space="preserve">, or to identify a </w:t>
      </w:r>
      <w:r w:rsidR="00256E92">
        <w:t xml:space="preserve">need for different operating procedures under changing system conditions.  Further, </w:t>
      </w:r>
      <w:r w:rsidR="00011D1C">
        <w:t>the</w:t>
      </w:r>
      <w:r w:rsidR="00256E92">
        <w:t xml:space="preserve"> operation of DERs can affect both </w:t>
      </w:r>
      <w:r w:rsidR="007562AB">
        <w:t>b</w:t>
      </w:r>
      <w:r w:rsidR="00A13F89">
        <w:t xml:space="preserve">ulk </w:t>
      </w:r>
      <w:r w:rsidR="007562AB">
        <w:t>p</w:t>
      </w:r>
      <w:r w:rsidR="00A13F89">
        <w:t xml:space="preserve">ower </w:t>
      </w:r>
      <w:r w:rsidR="007562AB">
        <w:t>s</w:t>
      </w:r>
      <w:r w:rsidR="00A13F89">
        <w:t>ystem</w:t>
      </w:r>
      <w:r w:rsidR="00316782">
        <w:t>s</w:t>
      </w:r>
      <w:r w:rsidR="00256E92">
        <w:t xml:space="preserve"> and distribution facilities in unintended ways, suggesting that new tools to model the transmission and distribution interface may be needed.  </w:t>
      </w:r>
      <w:r w:rsidR="00F41326">
        <w:t xml:space="preserve">Staff is also aware of ongoing work in this area, for example efforts at NERC, national labs and other groups, to evaluate options for studies in these areas, which could also inform future work.  </w:t>
      </w:r>
      <w:r w:rsidR="00256E92" w:rsidRPr="00D85049">
        <w:t xml:space="preserve">This panel </w:t>
      </w:r>
      <w:r w:rsidR="00C352B0">
        <w:t>will</w:t>
      </w:r>
      <w:r w:rsidR="00256E92" w:rsidRPr="00D85049">
        <w:t xml:space="preserve"> focus on the incorporation of DERs into different types of planning and operational studies, including options for modeling DERs </w:t>
      </w:r>
      <w:r>
        <w:t xml:space="preserve">and </w:t>
      </w:r>
      <w:r w:rsidR="00256E92" w:rsidRPr="00D85049">
        <w:t xml:space="preserve">the methodology for the inclusion of DERs in larger regional models. </w:t>
      </w:r>
      <w:r w:rsidR="00011D1C">
        <w:t xml:space="preserve"> </w:t>
      </w:r>
      <w:r w:rsidR="007562AB">
        <w:t xml:space="preserve">The </w:t>
      </w:r>
      <w:r>
        <w:t xml:space="preserve">Commission </w:t>
      </w:r>
      <w:r w:rsidR="007562AB">
        <w:t>S</w:t>
      </w:r>
      <w:r>
        <w:t xml:space="preserve">taff DER Technical Report </w:t>
      </w:r>
      <w:r w:rsidR="007562AB">
        <w:t xml:space="preserve">issued </w:t>
      </w:r>
      <w:r>
        <w:t>concurrent</w:t>
      </w:r>
      <w:r w:rsidR="007562AB">
        <w:t>ly</w:t>
      </w:r>
      <w:r>
        <w:t xml:space="preserve"> with this Notice </w:t>
      </w:r>
      <w:r w:rsidR="00AE3316">
        <w:t xml:space="preserve">is intended to </w:t>
      </w:r>
      <w:r>
        <w:t xml:space="preserve">provide a common foundation for the topics raised in this </w:t>
      </w:r>
      <w:r w:rsidR="00011D1C">
        <w:t>p</w:t>
      </w:r>
      <w:r>
        <w:t xml:space="preserve">anel.  </w:t>
      </w:r>
      <w:r w:rsidR="0021094C">
        <w:t xml:space="preserve">For </w:t>
      </w:r>
      <w:r w:rsidR="00AE3316">
        <w:t xml:space="preserve">this panel, </w:t>
      </w:r>
      <w:r w:rsidR="00A54278">
        <w:t xml:space="preserve">Commission </w:t>
      </w:r>
      <w:r w:rsidR="006C5999">
        <w:t xml:space="preserve">staff </w:t>
      </w:r>
      <w:r w:rsidR="00BD0F1F">
        <w:t>expects to explore</w:t>
      </w:r>
      <w:r w:rsidR="00A54278">
        <w:t xml:space="preserve"> the following questions:</w:t>
      </w:r>
      <w:r w:rsidR="00256E92">
        <w:br/>
      </w:r>
    </w:p>
    <w:p w14:paraId="4FA3E6A0" w14:textId="3A19BA75" w:rsidR="00256E92" w:rsidRPr="00D85049" w:rsidRDefault="00256E92" w:rsidP="00256E92">
      <w:pPr>
        <w:pStyle w:val="ListParagraph"/>
        <w:numPr>
          <w:ilvl w:val="0"/>
          <w:numId w:val="15"/>
        </w:numPr>
        <w:autoSpaceDE/>
        <w:autoSpaceDN/>
        <w:adjustRightInd/>
        <w:spacing w:after="0" w:line="240" w:lineRule="auto"/>
        <w:contextualSpacing w:val="0"/>
        <w:rPr>
          <w:u w:val="single"/>
        </w:rPr>
      </w:pPr>
      <w:r w:rsidRPr="00D85049">
        <w:t>What are current and best practices for modeling DERs in different types of planning, operations</w:t>
      </w:r>
      <w:r w:rsidR="006C5999">
        <w:t>,</w:t>
      </w:r>
      <w:r w:rsidRPr="00D85049">
        <w:t xml:space="preserve"> and </w:t>
      </w:r>
      <w:r>
        <w:t>production cost studies</w:t>
      </w:r>
      <w:r w:rsidR="00D837E6">
        <w:t>?  A</w:t>
      </w:r>
      <w:r w:rsidRPr="00D85049">
        <w:t xml:space="preserve">re options available for modeling </w:t>
      </w:r>
      <w:r w:rsidR="006C5999">
        <w:t xml:space="preserve">the interactions between the </w:t>
      </w:r>
      <w:r w:rsidRPr="00D85049">
        <w:t xml:space="preserve">transmission and distribution </w:t>
      </w:r>
      <w:r w:rsidR="006C5999">
        <w:t>systems</w:t>
      </w:r>
      <w:r w:rsidRPr="00D85049">
        <w:t>?</w:t>
      </w:r>
    </w:p>
    <w:p w14:paraId="133C5D11" w14:textId="08BBBA28" w:rsidR="00256E92" w:rsidRDefault="00256E92" w:rsidP="00256E92">
      <w:pPr>
        <w:pStyle w:val="ListParagraph"/>
        <w:numPr>
          <w:ilvl w:val="0"/>
          <w:numId w:val="15"/>
        </w:numPr>
        <w:autoSpaceDE/>
        <w:autoSpaceDN/>
        <w:adjustRightInd/>
        <w:spacing w:after="0" w:line="240" w:lineRule="auto"/>
      </w:pPr>
      <w:r>
        <w:t>To what extent are</w:t>
      </w:r>
      <w:r w:rsidRPr="00D2377B">
        <w:t xml:space="preserve"> capabilities and performance of DERs</w:t>
      </w:r>
      <w:r>
        <w:t xml:space="preserve"> currently modeled?  Do current modeling tools provide features needed to model these capabilities?</w:t>
      </w:r>
    </w:p>
    <w:p w14:paraId="0DCB12C5" w14:textId="469D296C" w:rsidR="00256E92" w:rsidRPr="00A33E00" w:rsidRDefault="00256E92" w:rsidP="00256E92">
      <w:pPr>
        <w:pStyle w:val="ListParagraph"/>
        <w:numPr>
          <w:ilvl w:val="0"/>
          <w:numId w:val="15"/>
        </w:numPr>
        <w:autoSpaceDE/>
        <w:autoSpaceDN/>
        <w:adjustRightInd/>
        <w:spacing w:after="0" w:line="240" w:lineRule="auto"/>
      </w:pPr>
      <w:r>
        <w:t>W</w:t>
      </w:r>
      <w:r w:rsidRPr="00D2377B">
        <w:t xml:space="preserve">hat </w:t>
      </w:r>
      <w:r w:rsidR="001B3558">
        <w:t>methods, such as net load, composite load models, detailed models or others, are currently used in power flow and dynamic models</w:t>
      </w:r>
      <w:r w:rsidRPr="00D2377B">
        <w:t xml:space="preserve"> </w:t>
      </w:r>
      <w:r w:rsidR="00DF521C">
        <w:t xml:space="preserve">to </w:t>
      </w:r>
      <w:r w:rsidR="001B3558">
        <w:t xml:space="preserve">represent groups of </w:t>
      </w:r>
      <w:r>
        <w:t xml:space="preserve">DERs at the </w:t>
      </w:r>
      <w:r w:rsidR="002F40F3">
        <w:t>b</w:t>
      </w:r>
      <w:r w:rsidR="00A13F89">
        <w:t xml:space="preserve">ulk </w:t>
      </w:r>
      <w:r w:rsidR="00D837E6">
        <w:t>p</w:t>
      </w:r>
      <w:r w:rsidR="00A13F89">
        <w:t xml:space="preserve">ower </w:t>
      </w:r>
      <w:r w:rsidR="00D837E6">
        <w:t>s</w:t>
      </w:r>
      <w:r w:rsidR="00A13F89">
        <w:t>ystem</w:t>
      </w:r>
      <w:r>
        <w:t xml:space="preserve"> level?  </w:t>
      </w:r>
      <w:r w:rsidRPr="00A33E00">
        <w:t xml:space="preserve">Would more detailed models of DERs at the </w:t>
      </w:r>
      <w:r w:rsidR="00D837E6">
        <w:t>b</w:t>
      </w:r>
      <w:r w:rsidR="00A13F89">
        <w:t xml:space="preserve">ulk </w:t>
      </w:r>
      <w:r w:rsidR="00D837E6">
        <w:t>p</w:t>
      </w:r>
      <w:r w:rsidR="00A13F89">
        <w:t xml:space="preserve">ower </w:t>
      </w:r>
      <w:r w:rsidR="00D837E6">
        <w:t>s</w:t>
      </w:r>
      <w:r w:rsidR="00A13F89">
        <w:t>ystem</w:t>
      </w:r>
      <w:r w:rsidRPr="00A33E00">
        <w:t xml:space="preserve"> level</w:t>
      </w:r>
      <w:r w:rsidR="00D837E6">
        <w:t xml:space="preserve"> </w:t>
      </w:r>
      <w:r w:rsidRPr="00A33E00">
        <w:t xml:space="preserve">provide </w:t>
      </w:r>
      <w:r w:rsidR="005B1CD9">
        <w:t>better visibility and enable more accurate assessment of their impacts on system conditions</w:t>
      </w:r>
      <w:r w:rsidRPr="00A33E00">
        <w:t>?  Does the appropriate method for grouping DERs vary by penetration level?</w:t>
      </w:r>
    </w:p>
    <w:p w14:paraId="7CCBE673" w14:textId="444D67E2" w:rsidR="004F49E8" w:rsidRPr="00A33E00" w:rsidRDefault="00256E92" w:rsidP="008B5394">
      <w:pPr>
        <w:pStyle w:val="ListParagraph"/>
        <w:numPr>
          <w:ilvl w:val="0"/>
          <w:numId w:val="15"/>
        </w:numPr>
        <w:autoSpaceDE/>
        <w:autoSpaceDN/>
        <w:adjustRightInd/>
      </w:pPr>
      <w:r>
        <w:t>Do current contingency studies include the outage of DER facilities</w:t>
      </w:r>
      <w:r w:rsidR="00834F37">
        <w:t>, and if they are considered, how is the contingency size chosen</w:t>
      </w:r>
      <w:r>
        <w:t xml:space="preserve">?  </w:t>
      </w:r>
      <w:r w:rsidRPr="00A33E00">
        <w:t xml:space="preserve">At what penetration levels or under what system conditions could </w:t>
      </w:r>
      <w:r w:rsidR="00BB313D">
        <w:t>including DER outages</w:t>
      </w:r>
      <w:r w:rsidR="00BB313D" w:rsidRPr="00A33E00">
        <w:t xml:space="preserve"> </w:t>
      </w:r>
      <w:r w:rsidRPr="00A33E00">
        <w:t>be beneficial?</w:t>
      </w:r>
      <w:r>
        <w:t xml:space="preserve">  </w:t>
      </w:r>
      <w:r w:rsidRPr="00A33E00">
        <w:t>Are DERs accounted for in calculations for Under Frequency Load Shedding and related studies?</w:t>
      </w:r>
    </w:p>
    <w:p w14:paraId="0ACBF3A3" w14:textId="679043CF" w:rsidR="009F3F9C" w:rsidRDefault="009F3F9C" w:rsidP="009F3F9C">
      <w:pPr>
        <w:pStyle w:val="ListParagraph"/>
        <w:numPr>
          <w:ilvl w:val="0"/>
          <w:numId w:val="15"/>
        </w:numPr>
        <w:autoSpaceDE/>
        <w:autoSpaceDN/>
        <w:adjustRightInd/>
      </w:pPr>
      <w:r>
        <w:t xml:space="preserve">What methods are used </w:t>
      </w:r>
      <w:r w:rsidR="00BB313D">
        <w:t>to</w:t>
      </w:r>
      <w:r>
        <w:t xml:space="preserve"> calculat</w:t>
      </w:r>
      <w:r w:rsidR="00BB313D">
        <w:t>e</w:t>
      </w:r>
      <w:r>
        <w:t xml:space="preserve"> capacity needed for balancing </w:t>
      </w:r>
      <w:r w:rsidRPr="000A2444">
        <w:t xml:space="preserve">supply and demand </w:t>
      </w:r>
      <w:r>
        <w:t xml:space="preserve">with large amount of solar DER </w:t>
      </w:r>
      <w:r w:rsidRPr="000A2444">
        <w:t>(</w:t>
      </w:r>
      <w:r>
        <w:t>r</w:t>
      </w:r>
      <w:r w:rsidRPr="000A2444">
        <w:t xml:space="preserve">amping and </w:t>
      </w:r>
      <w:r>
        <w:t>f</w:t>
      </w:r>
      <w:r w:rsidRPr="000A2444">
        <w:t xml:space="preserve">requency </w:t>
      </w:r>
      <w:r>
        <w:t>c</w:t>
      </w:r>
      <w:r w:rsidRPr="000A2444">
        <w:t>ontrol)</w:t>
      </w:r>
      <w:r>
        <w:t xml:space="preserve"> and determining which resources can provide an appropriate response?</w:t>
      </w:r>
    </w:p>
    <w:p w14:paraId="3383DEC9" w14:textId="77777777" w:rsidR="00A54278" w:rsidRDefault="00A54278" w:rsidP="008B5394">
      <w:pPr>
        <w:pStyle w:val="ListParagraph"/>
        <w:autoSpaceDE/>
        <w:autoSpaceDN/>
        <w:adjustRightInd/>
        <w:spacing w:after="0" w:line="240" w:lineRule="auto"/>
        <w:ind w:firstLine="0"/>
      </w:pPr>
    </w:p>
    <w:p w14:paraId="7046EAEB" w14:textId="77777777" w:rsidR="00870F61" w:rsidRDefault="00870F61" w:rsidP="008B5394">
      <w:pPr>
        <w:pStyle w:val="ListParagraph"/>
        <w:autoSpaceDE/>
        <w:autoSpaceDN/>
        <w:adjustRightInd/>
        <w:spacing w:after="0" w:line="240" w:lineRule="auto"/>
        <w:ind w:firstLine="0"/>
      </w:pPr>
    </w:p>
    <w:p w14:paraId="3218947C" w14:textId="428F7DB6" w:rsidR="005575BD" w:rsidRDefault="00A54278" w:rsidP="001F47C0">
      <w:pPr>
        <w:keepNext/>
        <w:spacing w:line="480" w:lineRule="auto"/>
        <w:ind w:left="1440" w:hanging="1440"/>
        <w:rPr>
          <w:b/>
          <w:bCs/>
        </w:rPr>
      </w:pPr>
      <w:r>
        <w:rPr>
          <w:b/>
          <w:bCs/>
        </w:rPr>
        <w:t xml:space="preserve">Panel </w:t>
      </w:r>
      <w:r w:rsidR="007879BB">
        <w:rPr>
          <w:b/>
          <w:bCs/>
        </w:rPr>
        <w:t>6</w:t>
      </w:r>
      <w:r>
        <w:rPr>
          <w:b/>
          <w:bCs/>
        </w:rPr>
        <w:t>:</w:t>
      </w:r>
      <w:r>
        <w:rPr>
          <w:b/>
          <w:bCs/>
        </w:rPr>
        <w:tab/>
      </w:r>
      <w:r w:rsidR="00A93E5E">
        <w:rPr>
          <w:b/>
          <w:bCs/>
        </w:rPr>
        <w:t>Coordination of DER A</w:t>
      </w:r>
      <w:r w:rsidR="003462F3" w:rsidRPr="003462F3">
        <w:rPr>
          <w:b/>
          <w:bCs/>
        </w:rPr>
        <w:t>ggregation</w:t>
      </w:r>
      <w:r w:rsidR="00AB5AC3">
        <w:rPr>
          <w:b/>
          <w:bCs/>
        </w:rPr>
        <w:t>s</w:t>
      </w:r>
      <w:r w:rsidR="003462F3" w:rsidRPr="003462F3">
        <w:rPr>
          <w:b/>
          <w:bCs/>
        </w:rPr>
        <w:t xml:space="preserve"> </w:t>
      </w:r>
      <w:r w:rsidR="00656C5C">
        <w:rPr>
          <w:b/>
          <w:bCs/>
        </w:rPr>
        <w:t>P</w:t>
      </w:r>
      <w:r w:rsidR="00915BBF">
        <w:rPr>
          <w:b/>
          <w:bCs/>
        </w:rPr>
        <w:t xml:space="preserve">articipating in </w:t>
      </w:r>
      <w:r w:rsidR="003462F3" w:rsidRPr="003462F3">
        <w:rPr>
          <w:b/>
          <w:bCs/>
        </w:rPr>
        <w:t>RTO/ISO Markets</w:t>
      </w:r>
    </w:p>
    <w:p w14:paraId="51373E74" w14:textId="62ACEC89" w:rsidR="0040696C" w:rsidRDefault="005575BD" w:rsidP="00364756">
      <w:r>
        <w:t>In the</w:t>
      </w:r>
      <w:r w:rsidDel="006272B8">
        <w:t xml:space="preserve"> </w:t>
      </w:r>
      <w:r>
        <w:t xml:space="preserve">NOPR, the Commission </w:t>
      </w:r>
      <w:r w:rsidRPr="005A5B82">
        <w:t>propose</w:t>
      </w:r>
      <w:r>
        <w:t>d</w:t>
      </w:r>
      <w:r w:rsidRPr="005A5B82">
        <w:t xml:space="preserve"> </w:t>
      </w:r>
      <w:r>
        <w:t xml:space="preserve">to require </w:t>
      </w:r>
      <w:r w:rsidRPr="005A5B82">
        <w:t xml:space="preserve">each RTO/ISO </w:t>
      </w:r>
      <w:r w:rsidR="005F5EBA">
        <w:t xml:space="preserve">to </w:t>
      </w:r>
      <w:r w:rsidRPr="005A5B82">
        <w:t xml:space="preserve">revise its tariff to provide for coordination among itself, a </w:t>
      </w:r>
      <w:r>
        <w:t>DER</w:t>
      </w:r>
      <w:r w:rsidRPr="005A5B82">
        <w:t xml:space="preserve"> aggregator, and the relevant distribution utility or utilities when a </w:t>
      </w:r>
      <w:r>
        <w:t>DER</w:t>
      </w:r>
      <w:r w:rsidRPr="005A5B82">
        <w:t xml:space="preserve"> aggregator registers a new </w:t>
      </w:r>
      <w:r>
        <w:t>DER</w:t>
      </w:r>
      <w:r w:rsidRPr="005A5B82">
        <w:t xml:space="preserve"> aggregation or modifies an existing </w:t>
      </w:r>
      <w:r>
        <w:t>DER</w:t>
      </w:r>
      <w:r w:rsidRPr="005A5B82">
        <w:t xml:space="preserve"> aggregation.</w:t>
      </w:r>
      <w:r w:rsidRPr="008B5394">
        <w:rPr>
          <w:b/>
          <w:vertAlign w:val="superscript"/>
        </w:rPr>
        <w:footnoteReference w:id="13"/>
      </w:r>
      <w:r w:rsidRPr="008B5394">
        <w:rPr>
          <w:b/>
        </w:rPr>
        <w:t xml:space="preserve"> </w:t>
      </w:r>
      <w:r w:rsidRPr="005A5B82">
        <w:t xml:space="preserve"> </w:t>
      </w:r>
      <w:r>
        <w:t>T</w:t>
      </w:r>
      <w:r w:rsidRPr="008229CB">
        <w:t>he</w:t>
      </w:r>
      <w:r w:rsidRPr="008229CB" w:rsidDel="006272B8">
        <w:t xml:space="preserve"> </w:t>
      </w:r>
      <w:r>
        <w:t>Commission</w:t>
      </w:r>
      <w:r w:rsidRPr="008229CB">
        <w:t xml:space="preserve"> propose</w:t>
      </w:r>
      <w:r>
        <w:t>d</w:t>
      </w:r>
      <w:r w:rsidRPr="008229CB">
        <w:t xml:space="preserve"> that </w:t>
      </w:r>
      <w:r>
        <w:t xml:space="preserve">this </w:t>
      </w:r>
      <w:r w:rsidRPr="008229CB">
        <w:t xml:space="preserve">coordination </w:t>
      </w:r>
      <w:r w:rsidR="00815204">
        <w:t xml:space="preserve">would </w:t>
      </w:r>
      <w:r w:rsidRPr="008229CB">
        <w:t xml:space="preserve">provide the relevant distribution utility or utilities with the opportunity to review the list of individual resources that are located on their distribution system that enroll in a </w:t>
      </w:r>
      <w:r>
        <w:t xml:space="preserve">DER </w:t>
      </w:r>
      <w:r w:rsidRPr="008229CB">
        <w:t xml:space="preserve">aggregation before those resources may participate in </w:t>
      </w:r>
      <w:r w:rsidR="008B5394">
        <w:t>RTO/ISO</w:t>
      </w:r>
      <w:r w:rsidRPr="008229CB">
        <w:t xml:space="preserve"> electric</w:t>
      </w:r>
      <w:r w:rsidR="00815204">
        <w:t xml:space="preserve"> markets</w:t>
      </w:r>
      <w:r w:rsidRPr="008229CB">
        <w:t xml:space="preserve">. </w:t>
      </w:r>
      <w:r w:rsidR="00F16375">
        <w:t xml:space="preserve"> </w:t>
      </w:r>
      <w:r w:rsidR="0090123E">
        <w:t>Th</w:t>
      </w:r>
      <w:r w:rsidR="00F772FD">
        <w:t>is</w:t>
      </w:r>
      <w:r w:rsidR="0090123E">
        <w:t xml:space="preserve"> panel will </w:t>
      </w:r>
      <w:r>
        <w:t xml:space="preserve">examine </w:t>
      </w:r>
      <w:r w:rsidR="00DA5D53">
        <w:t xml:space="preserve">the potential </w:t>
      </w:r>
      <w:r w:rsidR="00570591">
        <w:t>ways for</w:t>
      </w:r>
      <w:r w:rsidR="00DA5D53">
        <w:t xml:space="preserve"> RTO</w:t>
      </w:r>
      <w:r w:rsidR="00570591">
        <w:t>s</w:t>
      </w:r>
      <w:r w:rsidR="00DA5D53">
        <w:t>/ISO</w:t>
      </w:r>
      <w:r w:rsidR="00570591">
        <w:t>s</w:t>
      </w:r>
      <w:r w:rsidR="00DA5D53">
        <w:t xml:space="preserve">, distribution utilities, </w:t>
      </w:r>
      <w:r w:rsidR="00314041">
        <w:t>retail regulatory authorities</w:t>
      </w:r>
      <w:r w:rsidR="00570591">
        <w:t>,</w:t>
      </w:r>
      <w:r w:rsidR="00DA5D53">
        <w:t xml:space="preserve"> and DER aggregators </w:t>
      </w:r>
      <w:r w:rsidR="00570591">
        <w:t>to</w:t>
      </w:r>
      <w:r w:rsidR="00DA5D53">
        <w:t xml:space="preserve"> coordinat</w:t>
      </w:r>
      <w:r w:rsidR="00570591">
        <w:t>e</w:t>
      </w:r>
      <w:r w:rsidR="00DA5D53">
        <w:t xml:space="preserve"> the integration of a</w:t>
      </w:r>
      <w:r w:rsidR="00F772FD">
        <w:t xml:space="preserve"> </w:t>
      </w:r>
      <w:r w:rsidR="00BE449A">
        <w:t xml:space="preserve">DER aggregation </w:t>
      </w:r>
      <w:r w:rsidR="00DA5D53">
        <w:t>into the RTO/ISO markets</w:t>
      </w:r>
      <w:r w:rsidR="00543E90">
        <w:t xml:space="preserve">. </w:t>
      </w:r>
      <w:r w:rsidR="00364756">
        <w:t xml:space="preserve"> </w:t>
      </w:r>
      <w:r w:rsidR="00543E90">
        <w:t xml:space="preserve">In addition, </w:t>
      </w:r>
      <w:r w:rsidR="00F16375">
        <w:t>becaus</w:t>
      </w:r>
      <w:r w:rsidR="00543E90">
        <w:t xml:space="preserve">e </w:t>
      </w:r>
      <w:r w:rsidR="00570977">
        <w:t xml:space="preserve">the use of </w:t>
      </w:r>
      <w:r w:rsidR="00543E90">
        <w:t>g</w:t>
      </w:r>
      <w:r w:rsidR="00543E90" w:rsidRPr="003E75C0">
        <w:t>rid architecture</w:t>
      </w:r>
      <w:r w:rsidR="00435F5A" w:rsidRPr="00CC2CF8">
        <w:rPr>
          <w:rStyle w:val="FootnoteReference"/>
          <w:b/>
        </w:rPr>
        <w:footnoteReference w:id="14"/>
      </w:r>
      <w:r w:rsidR="00543E90" w:rsidRPr="008B5394">
        <w:rPr>
          <w:b/>
        </w:rPr>
        <w:t xml:space="preserve"> </w:t>
      </w:r>
      <w:r w:rsidR="00543E90" w:rsidRPr="003E75C0">
        <w:t xml:space="preserve">can help identify the </w:t>
      </w:r>
      <w:r w:rsidR="00DA5D53">
        <w:t xml:space="preserve">relationships among </w:t>
      </w:r>
      <w:r w:rsidR="005377B5">
        <w:t xml:space="preserve">the entities </w:t>
      </w:r>
      <w:r w:rsidR="00DA5D53">
        <w:t xml:space="preserve">involved in coordinating the integration of DER aggregations, </w:t>
      </w:r>
      <w:r w:rsidR="00F16375">
        <w:t>this panel</w:t>
      </w:r>
      <w:r w:rsidR="00DA5D53">
        <w:t xml:space="preserve"> will also examine </w:t>
      </w:r>
      <w:r w:rsidR="0090123E">
        <w:t>the potential architectur</w:t>
      </w:r>
      <w:r w:rsidR="00DA5D53">
        <w:t xml:space="preserve">al designs for the initial </w:t>
      </w:r>
      <w:r w:rsidR="0090123E">
        <w:t>coordination processes</w:t>
      </w:r>
      <w:r w:rsidR="004271CC">
        <w:t xml:space="preserve"> from the point of view</w:t>
      </w:r>
      <w:r w:rsidR="002B677F">
        <w:t xml:space="preserve"> of the RTO/ISO markets</w:t>
      </w:r>
      <w:r w:rsidR="004271CC">
        <w:t>.</w:t>
      </w:r>
      <w:r>
        <w:t xml:space="preserve"> </w:t>
      </w:r>
      <w:r w:rsidR="00F16375">
        <w:t xml:space="preserve"> </w:t>
      </w:r>
      <w:r w:rsidR="00627550">
        <w:t>In particular,</w:t>
      </w:r>
      <w:r w:rsidR="00F16375">
        <w:t xml:space="preserve"> </w:t>
      </w:r>
      <w:r w:rsidR="0040696C">
        <w:t xml:space="preserve">Commission </w:t>
      </w:r>
      <w:r w:rsidR="006C5999">
        <w:t xml:space="preserve">staff </w:t>
      </w:r>
      <w:r w:rsidR="00BD0F1F">
        <w:t>expects to explore</w:t>
      </w:r>
      <w:r w:rsidR="0040696C">
        <w:t xml:space="preserve"> the following questions:</w:t>
      </w:r>
    </w:p>
    <w:p w14:paraId="5354A10A" w14:textId="77777777" w:rsidR="00F16375" w:rsidRDefault="00F16375" w:rsidP="00364756"/>
    <w:p w14:paraId="6A81B6AF" w14:textId="2ACF9D87" w:rsidR="005575BD" w:rsidRDefault="00ED0A51" w:rsidP="008B5394">
      <w:pPr>
        <w:pStyle w:val="ListParagraph"/>
        <w:numPr>
          <w:ilvl w:val="0"/>
          <w:numId w:val="17"/>
        </w:numPr>
        <w:spacing w:line="240" w:lineRule="auto"/>
      </w:pPr>
      <w:r>
        <w:t>If the Commission adopts its proposal to</w:t>
      </w:r>
      <w:r w:rsidR="00DB5679">
        <w:t xml:space="preserve"> require the RTO/ISO to</w:t>
      </w:r>
      <w:r>
        <w:t xml:space="preserve"> allow a distribution utility </w:t>
      </w:r>
      <w:r w:rsidRPr="008229CB">
        <w:t xml:space="preserve">to review the list of individual resources that are located on their distribution system that enroll in a </w:t>
      </w:r>
      <w:r>
        <w:t xml:space="preserve">DER </w:t>
      </w:r>
      <w:r w:rsidRPr="008229CB">
        <w:t xml:space="preserve">aggregation before those resources may participate in </w:t>
      </w:r>
      <w:r>
        <w:t>RTO/ISO</w:t>
      </w:r>
      <w:r w:rsidRPr="008229CB">
        <w:t xml:space="preserve"> electric</w:t>
      </w:r>
      <w:r>
        <w:t xml:space="preserve"> markets, </w:t>
      </w:r>
      <w:r w:rsidR="00DB2ABE">
        <w:t xml:space="preserve">is it appropriate for </w:t>
      </w:r>
      <w:r>
        <w:t>distribution utilit</w:t>
      </w:r>
      <w:r w:rsidR="00DB2ABE">
        <w:t>ies</w:t>
      </w:r>
      <w:r>
        <w:t xml:space="preserve"> </w:t>
      </w:r>
      <w:r w:rsidR="00DB2ABE">
        <w:t xml:space="preserve">to have a role </w:t>
      </w:r>
      <w:r>
        <w:t xml:space="preserve">in determining when the </w:t>
      </w:r>
      <w:r w:rsidR="009E7CC3">
        <w:t xml:space="preserve">individual </w:t>
      </w:r>
      <w:r>
        <w:t>DER</w:t>
      </w:r>
      <w:r w:rsidR="009E7CC3">
        <w:t>s</w:t>
      </w:r>
      <w:r>
        <w:t xml:space="preserve"> may begin participation?  Should the </w:t>
      </w:r>
      <w:r w:rsidR="00DB5679">
        <w:t xml:space="preserve">RTO/ISO tariff provide the </w:t>
      </w:r>
      <w:r>
        <w:t xml:space="preserve">distribution utility </w:t>
      </w:r>
      <w:r w:rsidR="008D1F6D">
        <w:t xml:space="preserve">with </w:t>
      </w:r>
      <w:r w:rsidR="00DB5679">
        <w:t xml:space="preserve">the ability to </w:t>
      </w:r>
      <w:r>
        <w:t xml:space="preserve">provide </w:t>
      </w:r>
      <w:r w:rsidR="001B63DF">
        <w:t xml:space="preserve">either binding or </w:t>
      </w:r>
      <w:r>
        <w:t xml:space="preserve">non-binding input to the RTO/ISO?  Should the RTO/ISO provide the distribution utility </w:t>
      </w:r>
      <w:r w:rsidR="008D1F6D">
        <w:t xml:space="preserve">with </w:t>
      </w:r>
      <w:r>
        <w:t>a specific period of time in which to consult before DER</w:t>
      </w:r>
      <w:r w:rsidR="009E7CC3">
        <w:t>s may begin</w:t>
      </w:r>
      <w:r>
        <w:t xml:space="preserve"> participat</w:t>
      </w:r>
      <w:r w:rsidR="009E7CC3">
        <w:t>ion</w:t>
      </w:r>
      <w:r>
        <w:t xml:space="preserve">?  Should the Commission require the RTO/ISO to receive explicit </w:t>
      </w:r>
      <w:r w:rsidR="005575BD">
        <w:t xml:space="preserve">consent </w:t>
      </w:r>
      <w:r>
        <w:t xml:space="preserve">from the distribution utility </w:t>
      </w:r>
      <w:r w:rsidR="005575BD">
        <w:t>before a DER is included in a DER aggregation?</w:t>
      </w:r>
      <w:r>
        <w:t xml:space="preserve">  Are there other approaches to coordinat</w:t>
      </w:r>
      <w:r w:rsidR="009E7CC3">
        <w:t>e</w:t>
      </w:r>
      <w:r>
        <w:t xml:space="preserve"> with the distribution utility?  What are the advantages and disadvantages of these approaches?</w:t>
      </w:r>
    </w:p>
    <w:p w14:paraId="65FAAA4B" w14:textId="62A7C20F" w:rsidR="001D1B28" w:rsidRDefault="001D1B28" w:rsidP="008B5394">
      <w:pPr>
        <w:pStyle w:val="ListParagraph"/>
        <w:numPr>
          <w:ilvl w:val="0"/>
          <w:numId w:val="17"/>
        </w:numPr>
        <w:spacing w:line="240" w:lineRule="auto"/>
      </w:pPr>
      <w:r>
        <w:t>Are new processes and protocols needed to ensure coordination among DER aggregators, distribution utilities, and RTOs/ISOs</w:t>
      </w:r>
      <w:r w:rsidR="00CD6C9D">
        <w:t xml:space="preserve"> during registration of a new DER aggregation</w:t>
      </w:r>
      <w:r w:rsidR="00570977">
        <w:t>s</w:t>
      </w:r>
      <w:r>
        <w:t>?  How can the Commission ensure that any new processes and protocols occur in a way that provide</w:t>
      </w:r>
      <w:r w:rsidR="00435F5A">
        <w:t>s</w:t>
      </w:r>
      <w:r>
        <w:t xml:space="preserve"> adequate transparency to the interested parties and also occurs on a timely basis? </w:t>
      </w:r>
    </w:p>
    <w:p w14:paraId="13BE90FF" w14:textId="4FD31C6C" w:rsidR="00DA5D53" w:rsidRDefault="009E7CC3" w:rsidP="008B5394">
      <w:pPr>
        <w:pStyle w:val="ListParagraph"/>
        <w:numPr>
          <w:ilvl w:val="0"/>
          <w:numId w:val="17"/>
        </w:numPr>
        <w:spacing w:line="240" w:lineRule="auto"/>
      </w:pPr>
      <w:r>
        <w:t>Should there be a coordination agreement</w:t>
      </w:r>
      <w:r w:rsidR="00DC3ACF">
        <w:t xml:space="preserve"> in place prior to the participation of DER aggregation in RTO/ISO markets?  Who should be part</w:t>
      </w:r>
      <w:r w:rsidR="00D216C7">
        <w:t>ies</w:t>
      </w:r>
      <w:r w:rsidR="00DC3ACF">
        <w:t xml:space="preserve"> to this coordination agreement?</w:t>
      </w:r>
      <w:r w:rsidR="0095787E">
        <w:t xml:space="preserve">  How would the coordination agreement be enforced?</w:t>
      </w:r>
      <w:r w:rsidR="00DC3ACF" w:rsidDel="00DC3ACF">
        <w:t xml:space="preserve"> </w:t>
      </w:r>
    </w:p>
    <w:p w14:paraId="0D4A4366" w14:textId="47A793A2" w:rsidR="005575BD" w:rsidRDefault="00685FAE" w:rsidP="008B5394">
      <w:pPr>
        <w:pStyle w:val="ListParagraph"/>
        <w:numPr>
          <w:ilvl w:val="0"/>
          <w:numId w:val="17"/>
        </w:numPr>
        <w:spacing w:line="240" w:lineRule="auto"/>
      </w:pPr>
      <w:r>
        <w:t xml:space="preserve">What is the best approach for involving </w:t>
      </w:r>
      <w:r w:rsidR="00124CBA">
        <w:t xml:space="preserve">retail regulatory authorities </w:t>
      </w:r>
      <w:r>
        <w:t>in the registration of DER aggregations in the RTO/ISO markets?</w:t>
      </w:r>
    </w:p>
    <w:p w14:paraId="5DA9E0DC" w14:textId="784AF076" w:rsidR="005575BD" w:rsidRPr="00107BAB" w:rsidRDefault="00075EAC" w:rsidP="008B5394">
      <w:pPr>
        <w:pStyle w:val="ListParagraph"/>
        <w:numPr>
          <w:ilvl w:val="0"/>
          <w:numId w:val="17"/>
        </w:numPr>
        <w:spacing w:line="240" w:lineRule="auto"/>
      </w:pPr>
      <w:r>
        <w:t>W</w:t>
      </w:r>
      <w:r w:rsidR="00A55331">
        <w:t xml:space="preserve">hat types of grid architecture could support the integration of DER aggregations into the RTO/ISO markets?  </w:t>
      </w:r>
      <w:r w:rsidR="009E0862">
        <w:t>Knowing that a variety of grid architectures are being explored</w:t>
      </w:r>
      <w:r w:rsidR="00685FAE">
        <w:t xml:space="preserve"> in various regions</w:t>
      </w:r>
      <w:r w:rsidR="009E0862">
        <w:t xml:space="preserve">, </w:t>
      </w:r>
      <w:r w:rsidR="00E86A74">
        <w:t xml:space="preserve">does it make sense for the Commission to consider specific architectural requirements for </w:t>
      </w:r>
      <w:r w:rsidR="00C605FA">
        <w:t xml:space="preserve">RTOs/ISOs </w:t>
      </w:r>
      <w:r w:rsidR="00E86A74">
        <w:t>for the effective integration</w:t>
      </w:r>
      <w:r w:rsidR="00954614">
        <w:t xml:space="preserve"> and coordination</w:t>
      </w:r>
      <w:r w:rsidR="00E86A74">
        <w:t xml:space="preserve"> of DER aggregations</w:t>
      </w:r>
      <w:r w:rsidR="005575BD" w:rsidRPr="003E75C0">
        <w:t>?</w:t>
      </w:r>
      <w:r w:rsidR="005D4E36">
        <w:t xml:space="preserve">  </w:t>
      </w:r>
    </w:p>
    <w:p w14:paraId="5C8B8A56" w14:textId="77777777" w:rsidR="00870F61" w:rsidRPr="003E75C0" w:rsidRDefault="00870F61" w:rsidP="005575BD"/>
    <w:p w14:paraId="5CD514AA" w14:textId="79DB08D3" w:rsidR="005575BD" w:rsidRPr="001D1B28" w:rsidRDefault="001A4103" w:rsidP="001F47C0">
      <w:pPr>
        <w:keepNext/>
        <w:spacing w:line="480" w:lineRule="auto"/>
        <w:ind w:left="1440" w:hanging="1440"/>
        <w:rPr>
          <w:b/>
          <w:bCs/>
        </w:rPr>
      </w:pPr>
      <w:r>
        <w:rPr>
          <w:b/>
          <w:bCs/>
        </w:rPr>
        <w:t xml:space="preserve">Panel </w:t>
      </w:r>
      <w:r w:rsidR="007879BB">
        <w:rPr>
          <w:b/>
          <w:bCs/>
        </w:rPr>
        <w:t>7</w:t>
      </w:r>
      <w:r>
        <w:rPr>
          <w:b/>
          <w:bCs/>
        </w:rPr>
        <w:t>:</w:t>
      </w:r>
      <w:r>
        <w:rPr>
          <w:b/>
          <w:bCs/>
        </w:rPr>
        <w:tab/>
      </w:r>
      <w:r w:rsidR="005575BD" w:rsidRPr="001D1B28">
        <w:rPr>
          <w:b/>
          <w:bCs/>
        </w:rPr>
        <w:t>Ongoing Operational Coordination</w:t>
      </w:r>
    </w:p>
    <w:p w14:paraId="4B0A70DF" w14:textId="015237E9" w:rsidR="005575BD" w:rsidRDefault="005575BD" w:rsidP="00720042">
      <w:r>
        <w:t xml:space="preserve">This panel will focus primarily on the operational considerations associated with both individual DERs and </w:t>
      </w:r>
      <w:r w:rsidR="005377B5" w:rsidRPr="005377B5">
        <w:t>DER</w:t>
      </w:r>
      <w:r>
        <w:t xml:space="preserve"> aggregations and with the interactions and communications between DERs, DER aggregators, distribution </w:t>
      </w:r>
      <w:r w:rsidR="00954614">
        <w:t>utilities</w:t>
      </w:r>
      <w:r>
        <w:t>, and transmission operators.  In the NOPR,</w:t>
      </w:r>
      <w:r w:rsidDel="00E84A3D">
        <w:t xml:space="preserve"> </w:t>
      </w:r>
      <w:r>
        <w:t xml:space="preserve">the Commission </w:t>
      </w:r>
      <w:r w:rsidRPr="008229CB">
        <w:t>acknowledge</w:t>
      </w:r>
      <w:r>
        <w:t>d</w:t>
      </w:r>
      <w:r w:rsidRPr="008229CB">
        <w:t xml:space="preserve"> that ongoing coordination between the RTO/ISO, a </w:t>
      </w:r>
      <w:r>
        <w:t xml:space="preserve">DER </w:t>
      </w:r>
      <w:r w:rsidRPr="008229CB">
        <w:t xml:space="preserve">aggregator, and the relevant distribution utility or utilities may be necessary to ensure that the </w:t>
      </w:r>
      <w:r>
        <w:t xml:space="preserve">DER </w:t>
      </w:r>
      <w:r w:rsidRPr="008229CB">
        <w:t xml:space="preserve">aggregator is dispatching individual resources in a </w:t>
      </w:r>
      <w:r>
        <w:t xml:space="preserve">DER </w:t>
      </w:r>
      <w:r w:rsidRPr="008229CB">
        <w:t>aggregation consistent with the limitations of the distribution system.</w:t>
      </w:r>
      <w:r w:rsidRPr="00CC2CF8">
        <w:rPr>
          <w:b/>
          <w:vertAlign w:val="superscript"/>
        </w:rPr>
        <w:footnoteReference w:id="15"/>
      </w:r>
      <w:r w:rsidRPr="008229CB">
        <w:t xml:space="preserve">  </w:t>
      </w:r>
      <w:r>
        <w:t>T</w:t>
      </w:r>
      <w:r w:rsidRPr="008229CB">
        <w:t>he</w:t>
      </w:r>
      <w:r w:rsidRPr="008229CB" w:rsidDel="00E84A3D">
        <w:t xml:space="preserve"> </w:t>
      </w:r>
      <w:r>
        <w:t>Commission</w:t>
      </w:r>
      <w:r w:rsidRPr="008229CB">
        <w:t xml:space="preserve"> propose</w:t>
      </w:r>
      <w:r>
        <w:t>d</w:t>
      </w:r>
      <w:r w:rsidRPr="008229CB">
        <w:t xml:space="preserve"> that each RTO/ISO revise its tariff to establish a process for ongoing coordination, including operational coordination, among itself, the </w:t>
      </w:r>
      <w:r>
        <w:t xml:space="preserve">DER </w:t>
      </w:r>
      <w:r w:rsidRPr="008229CB">
        <w:t xml:space="preserve">aggregator, and the distribution utility to maximize the availability of the </w:t>
      </w:r>
      <w:r>
        <w:t xml:space="preserve">DER </w:t>
      </w:r>
      <w:r w:rsidRPr="008229CB">
        <w:t>aggregation consistent with the safe and reliable operation of the distribution system.</w:t>
      </w:r>
      <w:r>
        <w:t xml:space="preserve">  </w:t>
      </w:r>
      <w:r w:rsidR="00E86A74">
        <w:t xml:space="preserve">To help effectuate this proposal, the Commission also proposed </w:t>
      </w:r>
      <w:r w:rsidR="00E86A74">
        <w:rPr>
          <w:color w:val="auto"/>
        </w:rPr>
        <w:t xml:space="preserve">to require each RTO/ISO to revise its tariff to require the </w:t>
      </w:r>
      <w:r w:rsidR="000C12D1">
        <w:rPr>
          <w:color w:val="auto"/>
        </w:rPr>
        <w:t>DER</w:t>
      </w:r>
      <w:r w:rsidR="00E86A74">
        <w:rPr>
          <w:color w:val="auto"/>
        </w:rPr>
        <w:t xml:space="preserve"> aggregator to report to the RTO/ISO any changes to its offered quantity and related distribution factors that result from distribution line faults or outages.  </w:t>
      </w:r>
      <w:r>
        <w:t>The Commission also sought c</w:t>
      </w:r>
      <w:r w:rsidRPr="007C5792">
        <w:rPr>
          <w:rFonts w:eastAsia="Calibri"/>
        </w:rPr>
        <w:t xml:space="preserve">omment on the level of detail necessary in the RTO/ISO tariffs to establish a framework for ongoing coordination between the RTO/ISO, a </w:t>
      </w:r>
      <w:r>
        <w:rPr>
          <w:rFonts w:eastAsia="Calibri"/>
        </w:rPr>
        <w:t xml:space="preserve">DER </w:t>
      </w:r>
      <w:r w:rsidRPr="007C5792">
        <w:rPr>
          <w:rFonts w:eastAsia="Calibri"/>
        </w:rPr>
        <w:t>aggregator, and the relevant distribution utility or utilities</w:t>
      </w:r>
      <w:r>
        <w:rPr>
          <w:rFonts w:eastAsia="Calibri"/>
        </w:rPr>
        <w:t xml:space="preserve">.  </w:t>
      </w:r>
      <w:r w:rsidR="001A4103">
        <w:rPr>
          <w:rFonts w:eastAsia="Calibri"/>
        </w:rPr>
        <w:t xml:space="preserve">To </w:t>
      </w:r>
      <w:r w:rsidR="00E86A74">
        <w:rPr>
          <w:rFonts w:eastAsia="Calibri"/>
        </w:rPr>
        <w:t xml:space="preserve">further </w:t>
      </w:r>
      <w:r w:rsidR="001A4103">
        <w:rPr>
          <w:rFonts w:eastAsia="Calibri"/>
        </w:rPr>
        <w:t xml:space="preserve">explore these issues, </w:t>
      </w:r>
      <w:r w:rsidR="00A80D7B">
        <w:t xml:space="preserve">Commission </w:t>
      </w:r>
      <w:r w:rsidR="005756BB">
        <w:t xml:space="preserve">staff </w:t>
      </w:r>
      <w:r w:rsidR="00BD0F1F">
        <w:t>expects to explore</w:t>
      </w:r>
      <w:r w:rsidR="001A4103">
        <w:t xml:space="preserve"> the following questions:</w:t>
      </w:r>
      <w:r>
        <w:t xml:space="preserve"> </w:t>
      </w:r>
    </w:p>
    <w:p w14:paraId="4EDEA96A" w14:textId="77777777" w:rsidR="000C12D1" w:rsidRDefault="000C12D1" w:rsidP="00364756">
      <w:pPr>
        <w:ind w:firstLine="0"/>
      </w:pPr>
    </w:p>
    <w:p w14:paraId="7FAB7424" w14:textId="71602943" w:rsidR="005575BD" w:rsidRPr="009A3D85" w:rsidRDefault="000758AE" w:rsidP="00F302E1">
      <w:pPr>
        <w:pStyle w:val="ListParagraph"/>
        <w:numPr>
          <w:ilvl w:val="0"/>
          <w:numId w:val="17"/>
        </w:numPr>
        <w:spacing w:line="240" w:lineRule="auto"/>
      </w:pPr>
      <w:r>
        <w:t xml:space="preserve">What </w:t>
      </w:r>
      <w:r w:rsidR="00050025">
        <w:t xml:space="preserve">real-time </w:t>
      </w:r>
      <w:r>
        <w:t>data acquisition and communication technologies are currently in use to</w:t>
      </w:r>
      <w:r w:rsidR="00050025">
        <w:t xml:space="preserve"> </w:t>
      </w:r>
      <w:r w:rsidR="00B7227B">
        <w:t xml:space="preserve">provide </w:t>
      </w:r>
      <w:r w:rsidR="003E23DF">
        <w:t xml:space="preserve">bulk power system operators with </w:t>
      </w:r>
      <w:r w:rsidR="00B7227B">
        <w:t>visibility into the distribution system?</w:t>
      </w:r>
      <w:r>
        <w:t xml:space="preserve">  </w:t>
      </w:r>
      <w:r w:rsidR="005575BD" w:rsidRPr="009A3D85">
        <w:t xml:space="preserve">Are </w:t>
      </w:r>
      <w:r>
        <w:t>they</w:t>
      </w:r>
      <w:r w:rsidR="00E86A74">
        <w:t xml:space="preserve"> adequate to convey the </w:t>
      </w:r>
      <w:r w:rsidR="002679D2">
        <w:t xml:space="preserve">information </w:t>
      </w:r>
      <w:r w:rsidR="00E86A74">
        <w:t xml:space="preserve">necessary </w:t>
      </w:r>
      <w:r w:rsidR="002679D2">
        <w:t>for</w:t>
      </w:r>
      <w:r w:rsidR="00E86A74">
        <w:t xml:space="preserve"> </w:t>
      </w:r>
      <w:r w:rsidR="005575BD" w:rsidRPr="003E75C0">
        <w:t xml:space="preserve">transmission </w:t>
      </w:r>
      <w:r w:rsidR="00E86A74">
        <w:t>and</w:t>
      </w:r>
      <w:r w:rsidR="005575BD" w:rsidRPr="003E75C0">
        <w:t xml:space="preserve"> distribution operators</w:t>
      </w:r>
      <w:r w:rsidR="005575BD" w:rsidRPr="009A3D85">
        <w:t xml:space="preserve"> </w:t>
      </w:r>
      <w:r w:rsidR="00B7227B">
        <w:t>to assess distribution system conditions</w:t>
      </w:r>
      <w:r>
        <w:t xml:space="preserve"> </w:t>
      </w:r>
      <w:r w:rsidR="00E86A74">
        <w:t>in real time</w:t>
      </w:r>
      <w:r w:rsidR="005575BD">
        <w:t xml:space="preserve">? </w:t>
      </w:r>
      <w:r w:rsidR="00C33BC6">
        <w:t xml:space="preserve"> </w:t>
      </w:r>
      <w:r w:rsidR="005575BD">
        <w:t>A</w:t>
      </w:r>
      <w:r w:rsidR="005575BD" w:rsidRPr="009A3D85">
        <w:t xml:space="preserve">re new systems or </w:t>
      </w:r>
      <w:r w:rsidR="00B7227B">
        <w:t>approaches</w:t>
      </w:r>
      <w:r w:rsidR="00B7227B" w:rsidRPr="009A3D85">
        <w:t xml:space="preserve"> </w:t>
      </w:r>
      <w:r w:rsidR="005575BD" w:rsidRPr="009A3D85">
        <w:t>needed?</w:t>
      </w:r>
      <w:r w:rsidR="005575BD">
        <w:t xml:space="preserve"> </w:t>
      </w:r>
      <w:r w:rsidR="00C33BC6">
        <w:t xml:space="preserve"> </w:t>
      </w:r>
      <w:r w:rsidR="005575BD">
        <w:t>Does DER aggregation require separate or additional capabilities and infrastructure</w:t>
      </w:r>
      <w:r w:rsidR="008F2D2C">
        <w:t xml:space="preserve"> </w:t>
      </w:r>
      <w:r w:rsidR="00B8706C">
        <w:t>for communication and control</w:t>
      </w:r>
      <w:r w:rsidR="005575BD">
        <w:t>?</w:t>
      </w:r>
    </w:p>
    <w:p w14:paraId="6F93835C" w14:textId="463F52F0" w:rsidR="005575BD" w:rsidRPr="003E75C0" w:rsidRDefault="00CC243D" w:rsidP="00F302E1">
      <w:pPr>
        <w:pStyle w:val="ListParagraph"/>
        <w:numPr>
          <w:ilvl w:val="0"/>
          <w:numId w:val="17"/>
        </w:numPr>
        <w:spacing w:line="240" w:lineRule="auto"/>
      </w:pPr>
      <w:r>
        <w:t>W</w:t>
      </w:r>
      <w:r w:rsidR="005575BD" w:rsidRPr="003E75C0">
        <w:t xml:space="preserve">hat processes/protocols </w:t>
      </w:r>
      <w:r w:rsidR="0004798B">
        <w:t xml:space="preserve">do </w:t>
      </w:r>
      <w:r w:rsidR="005575BD" w:rsidRPr="003E75C0">
        <w:t xml:space="preserve">distribution </w:t>
      </w:r>
      <w:r w:rsidR="00954614">
        <w:t>utilities</w:t>
      </w:r>
      <w:r w:rsidR="005575BD" w:rsidRPr="003E75C0">
        <w:t xml:space="preserve">, transmission operators, and </w:t>
      </w:r>
      <w:r w:rsidR="00AA24B6" w:rsidRPr="00720042">
        <w:t xml:space="preserve">DERs or DER </w:t>
      </w:r>
      <w:r w:rsidR="005575BD" w:rsidRPr="00720042">
        <w:t>aggregators</w:t>
      </w:r>
      <w:r w:rsidR="0004798B" w:rsidRPr="00720042">
        <w:t xml:space="preserve"> use to coordinate</w:t>
      </w:r>
      <w:r w:rsidR="00511BCB" w:rsidRPr="00720042">
        <w:t xml:space="preserve"> with each</w:t>
      </w:r>
      <w:r w:rsidR="008437D9" w:rsidRPr="00720042">
        <w:t xml:space="preserve"> </w:t>
      </w:r>
      <w:r w:rsidR="00511BCB" w:rsidRPr="00720042">
        <w:t>other</w:t>
      </w:r>
      <w:r w:rsidR="005575BD" w:rsidRPr="00720042">
        <w:t>?  Are these</w:t>
      </w:r>
      <w:r w:rsidR="005575BD">
        <w:t xml:space="preserve"> processes/protocols </w:t>
      </w:r>
      <w:r w:rsidR="005575BD" w:rsidRPr="003E75C0">
        <w:t>capable of providing needed real-time communications and coordination?  What new processes, resources</w:t>
      </w:r>
      <w:r w:rsidR="000C12D1">
        <w:t>,</w:t>
      </w:r>
      <w:r w:rsidR="005575BD" w:rsidRPr="003E75C0">
        <w:t xml:space="preserve"> and effort</w:t>
      </w:r>
      <w:r w:rsidR="000C12D1">
        <w:t>s</w:t>
      </w:r>
      <w:r w:rsidR="005575BD" w:rsidRPr="003E75C0">
        <w:t xml:space="preserve"> will be required to achieve effective real-time coordination?</w:t>
      </w:r>
    </w:p>
    <w:p w14:paraId="09234B0C" w14:textId="33B97435" w:rsidR="005575BD" w:rsidRPr="003E75C0" w:rsidRDefault="005575BD" w:rsidP="00F302E1">
      <w:pPr>
        <w:pStyle w:val="ListParagraph"/>
        <w:numPr>
          <w:ilvl w:val="0"/>
          <w:numId w:val="17"/>
        </w:numPr>
        <w:spacing w:line="240" w:lineRule="auto"/>
      </w:pPr>
      <w:r w:rsidRPr="003E75C0">
        <w:t xml:space="preserve">What are the minimum set of specific RTO/ISO operational protocols, performance standards, and market rules that should be adopted </w:t>
      </w:r>
      <w:r w:rsidR="00AA24B6">
        <w:t xml:space="preserve">now </w:t>
      </w:r>
      <w:r w:rsidRPr="003E75C0">
        <w:t>to ensure operational coordination for DER aggregation</w:t>
      </w:r>
      <w:r w:rsidR="0004798B">
        <w:t xml:space="preserve"> participating in the RTO/ISO markets</w:t>
      </w:r>
      <w:r w:rsidRPr="003E75C0">
        <w:t>?</w:t>
      </w:r>
      <w:r w:rsidR="00AA24B6">
        <w:t xml:space="preserve">  What additional protocols may be important for the future?  </w:t>
      </w:r>
      <w:r w:rsidR="0004798B">
        <w:t xml:space="preserve">Should the Commission adopt </w:t>
      </w:r>
      <w:r w:rsidR="00AA24B6">
        <w:t xml:space="preserve">more prescriptive </w:t>
      </w:r>
      <w:r w:rsidR="0004798B">
        <w:t>requirements with respect to coordination than those</w:t>
      </w:r>
      <w:r w:rsidR="00AA24B6">
        <w:t xml:space="preserve"> proposed in the NOPR</w:t>
      </w:r>
      <w:r w:rsidR="0004798B">
        <w:t>?  If so, what should the Commission require</w:t>
      </w:r>
      <w:r w:rsidR="00D1636C">
        <w:t>?</w:t>
      </w:r>
    </w:p>
    <w:p w14:paraId="2A02D11F" w14:textId="52DA7D55" w:rsidR="005575BD" w:rsidRPr="00883E69" w:rsidRDefault="005575BD" w:rsidP="00F302E1">
      <w:pPr>
        <w:pStyle w:val="ListParagraph"/>
        <w:numPr>
          <w:ilvl w:val="0"/>
          <w:numId w:val="17"/>
        </w:numPr>
        <w:spacing w:line="240" w:lineRule="auto"/>
      </w:pPr>
      <w:r w:rsidRPr="003E75C0">
        <w:t xml:space="preserve">Should distribution </w:t>
      </w:r>
      <w:r w:rsidR="0004798B">
        <w:t>utilities</w:t>
      </w:r>
      <w:r w:rsidR="0004798B" w:rsidRPr="003E75C0">
        <w:t xml:space="preserve"> </w:t>
      </w:r>
      <w:r w:rsidRPr="003E75C0">
        <w:t xml:space="preserve">be able </w:t>
      </w:r>
      <w:r>
        <w:t xml:space="preserve">to </w:t>
      </w:r>
      <w:r w:rsidRPr="003E75C0">
        <w:t xml:space="preserve">override </w:t>
      </w:r>
      <w:r w:rsidR="0004798B">
        <w:t xml:space="preserve">RTO/ISO decisions regarding </w:t>
      </w:r>
      <w:r w:rsidRPr="003E75C0">
        <w:t>day-ahead and real-time dispatch</w:t>
      </w:r>
      <w:r w:rsidR="0004798B">
        <w:t xml:space="preserve"> of</w:t>
      </w:r>
      <w:r w:rsidR="0004798B" w:rsidRPr="0004798B">
        <w:t xml:space="preserve"> </w:t>
      </w:r>
      <w:r w:rsidR="0004798B" w:rsidRPr="003E75C0">
        <w:t>DER aggregation</w:t>
      </w:r>
      <w:r w:rsidR="0004798B">
        <w:t>s</w:t>
      </w:r>
      <w:r w:rsidRPr="003E75C0">
        <w:t xml:space="preserve"> to resolve local distribution </w:t>
      </w:r>
      <w:r w:rsidRPr="00082A84">
        <w:t>reliability issues?</w:t>
      </w:r>
      <w:r w:rsidR="00AA24B6" w:rsidRPr="00082A84">
        <w:t xml:space="preserve">  </w:t>
      </w:r>
      <w:r w:rsidR="006476AA" w:rsidRPr="00082A84">
        <w:t>If so, should DER aggregations</w:t>
      </w:r>
      <w:r w:rsidR="00082A84">
        <w:t xml:space="preserve"> nonetheless</w:t>
      </w:r>
      <w:r w:rsidR="006476AA" w:rsidRPr="00082A84">
        <w:t xml:space="preserve"> be subject to non-</w:t>
      </w:r>
      <w:r w:rsidR="006476AA">
        <w:t xml:space="preserve">deliverability </w:t>
      </w:r>
      <w:r w:rsidR="00D354DA">
        <w:t>penalties</w:t>
      </w:r>
      <w:r w:rsidR="006476AA">
        <w:t xml:space="preserve"> under such circumstances?</w:t>
      </w:r>
      <w:r w:rsidR="00AA24B6">
        <w:t xml:space="preserve">  </w:t>
      </w:r>
    </w:p>
    <w:p w14:paraId="491D49DC" w14:textId="120476BC" w:rsidR="005575BD" w:rsidRDefault="00AA24B6" w:rsidP="00F302E1">
      <w:pPr>
        <w:pStyle w:val="ListParagraph"/>
        <w:numPr>
          <w:ilvl w:val="0"/>
          <w:numId w:val="17"/>
        </w:numPr>
        <w:spacing w:line="240" w:lineRule="auto"/>
      </w:pPr>
      <w:r>
        <w:t>Is it possible for DER</w:t>
      </w:r>
      <w:r w:rsidR="00954614">
        <w:t>s</w:t>
      </w:r>
      <w:r>
        <w:t xml:space="preserve"> or DER aggregations participating in the </w:t>
      </w:r>
      <w:r w:rsidR="00627550">
        <w:t xml:space="preserve">RTO/ISO </w:t>
      </w:r>
      <w:r>
        <w:t xml:space="preserve">markets to </w:t>
      </w:r>
      <w:r w:rsidR="00EE636F">
        <w:t xml:space="preserve">also </w:t>
      </w:r>
      <w:r>
        <w:t>be used to improve distribution system operations and reliability?  If so, please provide examples of how this could be accomplished.</w:t>
      </w:r>
    </w:p>
    <w:p w14:paraId="44709741" w14:textId="4901A199" w:rsidR="005575BD" w:rsidRDefault="005575BD" w:rsidP="00F302E1">
      <w:pPr>
        <w:pStyle w:val="ListParagraph"/>
        <w:numPr>
          <w:ilvl w:val="0"/>
          <w:numId w:val="17"/>
        </w:numPr>
        <w:spacing w:line="240" w:lineRule="auto"/>
      </w:pPr>
      <w:r w:rsidRPr="003E75C0">
        <w:t xml:space="preserve">Can </w:t>
      </w:r>
      <w:r w:rsidR="00B8706C" w:rsidRPr="003E75C0">
        <w:t xml:space="preserve">real-time dispatch of aggregated DERs </w:t>
      </w:r>
      <w:r w:rsidRPr="003E75C0">
        <w:t>address distribution constraints?</w:t>
      </w:r>
      <w:r w:rsidR="00050025">
        <w:t xml:space="preserve">  If not, can </w:t>
      </w:r>
      <w:r w:rsidR="00B8706C" w:rsidRPr="003E75C0">
        <w:t xml:space="preserve">tools </w:t>
      </w:r>
      <w:r w:rsidR="00B8706C">
        <w:t>be developed</w:t>
      </w:r>
      <w:r w:rsidR="00B8706C" w:rsidRPr="003E75C0">
        <w:t xml:space="preserve"> to accomplish</w:t>
      </w:r>
      <w:r w:rsidR="00B8706C">
        <w:t xml:space="preserve"> this?</w:t>
      </w:r>
    </w:p>
    <w:p w14:paraId="48D91856" w14:textId="59A0C8BC" w:rsidR="00E25393" w:rsidRPr="003E75C0" w:rsidRDefault="00E25393" w:rsidP="00F302E1">
      <w:pPr>
        <w:pStyle w:val="ListParagraph"/>
        <w:numPr>
          <w:ilvl w:val="0"/>
          <w:numId w:val="17"/>
        </w:numPr>
        <w:spacing w:line="240" w:lineRule="auto"/>
      </w:pPr>
      <w:r>
        <w:t xml:space="preserve">Should </w:t>
      </w:r>
      <w:r w:rsidR="0004798B">
        <w:t xml:space="preserve">individual </w:t>
      </w:r>
      <w:r>
        <w:t xml:space="preserve">DERs </w:t>
      </w:r>
      <w:r w:rsidR="0004798B">
        <w:t xml:space="preserve">be required to </w:t>
      </w:r>
      <w:r>
        <w:t>have communications capabilities to comply with control center obligations?</w:t>
      </w:r>
      <w:r w:rsidR="00B12844">
        <w:t xml:space="preserve">  </w:t>
      </w:r>
      <w:r w:rsidR="00B12844" w:rsidRPr="00B12844">
        <w:t>What level of communications security should be employed for these communications?</w:t>
      </w:r>
    </w:p>
    <w:p w14:paraId="1AA657CD" w14:textId="6999C2F7" w:rsidR="00354A02" w:rsidRDefault="00871219" w:rsidP="00F302E1">
      <w:pPr>
        <w:pStyle w:val="ListParagraph"/>
        <w:numPr>
          <w:ilvl w:val="0"/>
          <w:numId w:val="17"/>
        </w:numPr>
        <w:spacing w:line="240" w:lineRule="auto"/>
      </w:pPr>
      <w:r w:rsidRPr="00871219">
        <w:t>How might recent and expected technical advancements be used to enhance the coordination</w:t>
      </w:r>
      <w:r>
        <w:t xml:space="preserve"> of DER aggregations</w:t>
      </w:r>
      <w:r w:rsidRPr="00871219">
        <w:t xml:space="preserve">, for example, integrating </w:t>
      </w:r>
      <w:r w:rsidR="00B8706C">
        <w:t>Energy Management Systems (</w:t>
      </w:r>
      <w:r w:rsidRPr="00871219">
        <w:t>EMS</w:t>
      </w:r>
      <w:r w:rsidR="00B8706C">
        <w:t>)</w:t>
      </w:r>
      <w:r w:rsidRPr="00871219">
        <w:t xml:space="preserve"> and </w:t>
      </w:r>
      <w:r w:rsidR="00B8706C">
        <w:t>Distribution Management Systems (</w:t>
      </w:r>
      <w:r w:rsidRPr="00871219">
        <w:t>DMS</w:t>
      </w:r>
      <w:r w:rsidR="00B8706C">
        <w:t>)</w:t>
      </w:r>
      <w:r w:rsidRPr="00871219">
        <w:t xml:space="preserve"> for efficient operational coordination?</w:t>
      </w:r>
      <w:r w:rsidDel="00871219">
        <w:t xml:space="preserve"> </w:t>
      </w:r>
    </w:p>
    <w:sectPr w:rsidR="00354A02" w:rsidSect="007848C8">
      <w:footnotePr>
        <w:numRestart w:val="eachSect"/>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876C3" w14:textId="77777777" w:rsidR="00F7523B" w:rsidRDefault="00F7523B" w:rsidP="0096771D">
      <w:r>
        <w:separator/>
      </w:r>
    </w:p>
    <w:p w14:paraId="0550EDE9" w14:textId="77777777" w:rsidR="00F7523B" w:rsidRDefault="00F7523B" w:rsidP="0096771D"/>
  </w:endnote>
  <w:endnote w:type="continuationSeparator" w:id="0">
    <w:p w14:paraId="4BB6AD89" w14:textId="77777777" w:rsidR="00F7523B" w:rsidRDefault="00F7523B" w:rsidP="0096771D">
      <w:r>
        <w:continuationSeparator/>
      </w:r>
    </w:p>
    <w:p w14:paraId="3A2C477F" w14:textId="77777777" w:rsidR="00F7523B" w:rsidRDefault="00F7523B" w:rsidP="0096771D"/>
  </w:endnote>
  <w:endnote w:type="continuationNotice" w:id="1">
    <w:p w14:paraId="0786E28E" w14:textId="77777777" w:rsidR="00F7523B" w:rsidRDefault="00F75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F1876" w14:textId="77777777" w:rsidR="00F7523B" w:rsidRDefault="00F7523B" w:rsidP="0096771D">
      <w:r>
        <w:separator/>
      </w:r>
    </w:p>
  </w:footnote>
  <w:footnote w:type="continuationSeparator" w:id="0">
    <w:p w14:paraId="0A95D128" w14:textId="77777777" w:rsidR="00F7523B" w:rsidRDefault="00F7523B" w:rsidP="0096771D">
      <w:r>
        <w:continuationSeparator/>
      </w:r>
    </w:p>
    <w:p w14:paraId="30858FA6" w14:textId="77777777" w:rsidR="00F7523B" w:rsidRDefault="00F7523B" w:rsidP="0096771D"/>
  </w:footnote>
  <w:footnote w:type="continuationNotice" w:id="1">
    <w:p w14:paraId="733E13DB" w14:textId="77777777" w:rsidR="00F7523B" w:rsidRDefault="00F7523B"/>
  </w:footnote>
  <w:footnote w:id="2">
    <w:p w14:paraId="7ED0E288" w14:textId="64F14F97" w:rsidR="005576C0" w:rsidRPr="00B60ABE" w:rsidRDefault="005576C0" w:rsidP="00B9308C">
      <w:pPr>
        <w:pStyle w:val="FootnoteText"/>
        <w:rPr>
          <w:b/>
        </w:rPr>
      </w:pPr>
      <w:r w:rsidRPr="00B60ABE">
        <w:rPr>
          <w:rStyle w:val="FootnoteReference"/>
          <w:b/>
          <w:szCs w:val="26"/>
        </w:rPr>
        <w:footnoteRef/>
      </w:r>
      <w:r w:rsidRPr="00B60ABE">
        <w:rPr>
          <w:b/>
        </w:rPr>
        <w:t xml:space="preserve"> </w:t>
      </w:r>
      <w:r w:rsidR="00F302E1" w:rsidRPr="00F302E1">
        <w:t>See</w:t>
      </w:r>
      <w:r w:rsidR="00F302E1" w:rsidRPr="00F302E1">
        <w:rPr>
          <w:i/>
        </w:rPr>
        <w:t xml:space="preserve"> </w:t>
      </w:r>
      <w:r w:rsidR="00F302E1" w:rsidRPr="00281100">
        <w:rPr>
          <w:i/>
        </w:rPr>
        <w:t>Electric Storage Participation in Markets Operated by Regional Transmission Organizations and Independent System Operators</w:t>
      </w:r>
      <w:r w:rsidR="00F302E1" w:rsidRPr="00281100">
        <w:t>,</w:t>
      </w:r>
      <w:r w:rsidR="00F302E1" w:rsidRPr="004079F0">
        <w:t xml:space="preserve"> </w:t>
      </w:r>
      <w:r w:rsidR="00F302E1" w:rsidRPr="000A4A25">
        <w:t xml:space="preserve">FERC Stats. &amp; Regs. ¶ 32,718 </w:t>
      </w:r>
      <w:r w:rsidR="00F302E1" w:rsidRPr="004079F0">
        <w:t xml:space="preserve">(2016) </w:t>
      </w:r>
      <w:r w:rsidR="00F302E1">
        <w:t>(NOPR)</w:t>
      </w:r>
      <w:r w:rsidR="00F302E1" w:rsidRPr="00B60ABE">
        <w:t>.</w:t>
      </w:r>
    </w:p>
  </w:footnote>
  <w:footnote w:id="3">
    <w:p w14:paraId="068ADF57" w14:textId="0758B082" w:rsidR="005576C0" w:rsidRPr="00152EBC" w:rsidRDefault="005576C0" w:rsidP="00B9308C">
      <w:pPr>
        <w:pStyle w:val="FootnoteText"/>
        <w:rPr>
          <w:b/>
        </w:rPr>
      </w:pPr>
      <w:r w:rsidRPr="00152EBC">
        <w:rPr>
          <w:rStyle w:val="FootnoteReference"/>
          <w:b/>
          <w:szCs w:val="26"/>
        </w:rPr>
        <w:footnoteRef/>
      </w:r>
      <w:r w:rsidRPr="00152EBC">
        <w:rPr>
          <w:b/>
        </w:rPr>
        <w:t xml:space="preserve"> </w:t>
      </w:r>
      <w:r w:rsidRPr="00152EBC">
        <w:rPr>
          <w:i/>
        </w:rPr>
        <w:t>Id</w:t>
      </w:r>
      <w:r w:rsidRPr="00152EBC">
        <w:t xml:space="preserve">. P 1.  </w:t>
      </w:r>
    </w:p>
  </w:footnote>
  <w:footnote w:id="4">
    <w:p w14:paraId="57D9505B" w14:textId="009C8A44" w:rsidR="005576C0" w:rsidRDefault="005576C0" w:rsidP="00B9308C">
      <w:pPr>
        <w:pStyle w:val="FootnoteText"/>
      </w:pPr>
      <w:r w:rsidRPr="00152EBC">
        <w:rPr>
          <w:rStyle w:val="FootnoteReference"/>
          <w:b/>
        </w:rPr>
        <w:footnoteRef/>
      </w:r>
      <w:r w:rsidRPr="00152EBC">
        <w:t xml:space="preserve"> </w:t>
      </w:r>
      <w:r w:rsidR="00F302E1" w:rsidRPr="00F302E1">
        <w:t xml:space="preserve">See </w:t>
      </w:r>
      <w:r w:rsidR="00F302E1" w:rsidRPr="000A4A25">
        <w:rPr>
          <w:i/>
        </w:rPr>
        <w:t>Electric Storage Participation in Markets Operated by Regional Transmission Organizations and Independent System Operators</w:t>
      </w:r>
      <w:r w:rsidR="00F302E1" w:rsidRPr="000A4A25">
        <w:t xml:space="preserve">, Final Rule, </w:t>
      </w:r>
      <w:r w:rsidR="00A77C6F" w:rsidRPr="00A77C6F">
        <w:t>162 FERC 61,127</w:t>
      </w:r>
      <w:r w:rsidR="00F302E1" w:rsidRPr="000A4A25">
        <w:t>, Notice of Proposed Rulemaking, FERC Stats. &amp; Regs. ¶ 32,718.</w:t>
      </w:r>
    </w:p>
  </w:footnote>
  <w:footnote w:id="5">
    <w:p w14:paraId="75EDCD33" w14:textId="000B9EAD" w:rsidR="005229E2" w:rsidRDefault="005229E2" w:rsidP="00B9308C">
      <w:pPr>
        <w:pStyle w:val="FootnoteText"/>
      </w:pPr>
      <w:r>
        <w:rPr>
          <w:rStyle w:val="FootnoteReference"/>
        </w:rPr>
        <w:footnoteRef/>
      </w:r>
      <w:r>
        <w:t xml:space="preserve"> Further comments regarding the proposed </w:t>
      </w:r>
      <w:r w:rsidR="00FA2452">
        <w:t>distributed energy resource</w:t>
      </w:r>
      <w:r>
        <w:t xml:space="preserve"> aggregation reforms should no longer be filed in Docket No. RM16-23-000.  </w:t>
      </w:r>
    </w:p>
  </w:footnote>
  <w:footnote w:id="6">
    <w:p w14:paraId="4E2BED05" w14:textId="77777777" w:rsidR="009C0FA7" w:rsidRDefault="009C0FA7" w:rsidP="00B9308C">
      <w:pPr>
        <w:pStyle w:val="FootnoteText"/>
      </w:pPr>
      <w:r w:rsidRPr="006C5181">
        <w:rPr>
          <w:rStyle w:val="FootnoteReference"/>
          <w:b/>
        </w:rPr>
        <w:footnoteRef/>
      </w:r>
      <w:r>
        <w:t xml:space="preserve"> NOPR at P 139. </w:t>
      </w:r>
    </w:p>
  </w:footnote>
  <w:footnote w:id="7">
    <w:p w14:paraId="0630BF19" w14:textId="77777777" w:rsidR="009C0FA7" w:rsidRDefault="009C0FA7" w:rsidP="00B9308C">
      <w:pPr>
        <w:pStyle w:val="FootnoteText"/>
      </w:pPr>
      <w:r w:rsidRPr="00F91919">
        <w:rPr>
          <w:rStyle w:val="FootnoteReference"/>
          <w:b/>
        </w:rPr>
        <w:footnoteRef/>
      </w:r>
      <w:r w:rsidRPr="00F91919">
        <w:rPr>
          <w:b/>
        </w:rPr>
        <w:t xml:space="preserve"> </w:t>
      </w:r>
      <w:r>
        <w:t xml:space="preserve">The Commission proposed to require each RTO/ISO to revise its tariff to include the requirement that DER aggregators (1) provide default distribution factors when they register their DER aggregation and (2) update those distribution factors if necessary when they submit offers to sell or bids to buy into the organized wholesale electric markets.  </w:t>
      </w:r>
      <w:r w:rsidRPr="004079F0">
        <w:rPr>
          <w:i/>
        </w:rPr>
        <w:t>Id</w:t>
      </w:r>
      <w:r>
        <w:t>. P 143.</w:t>
      </w:r>
    </w:p>
  </w:footnote>
  <w:footnote w:id="8">
    <w:p w14:paraId="171FD33D" w14:textId="77777777" w:rsidR="009C0FA7" w:rsidRDefault="009C0FA7" w:rsidP="00B9308C">
      <w:pPr>
        <w:pStyle w:val="FootnoteText"/>
      </w:pPr>
      <w:r w:rsidRPr="00F91919">
        <w:rPr>
          <w:rStyle w:val="FootnoteReference"/>
          <w:b/>
        </w:rPr>
        <w:footnoteRef/>
      </w:r>
      <w:r>
        <w:t xml:space="preserve"> The Commission sought comment on whether bidding parameters in addition to those already incorporated into existing participation models may be necessary to adequately characterize the physical or operational characteristics of DER aggregations.  </w:t>
      </w:r>
      <w:r w:rsidRPr="004079F0">
        <w:rPr>
          <w:i/>
        </w:rPr>
        <w:t>Id</w:t>
      </w:r>
      <w:r>
        <w:t>. P 144.</w:t>
      </w:r>
    </w:p>
  </w:footnote>
  <w:footnote w:id="9">
    <w:p w14:paraId="0EE37781" w14:textId="74DA1EE5" w:rsidR="00792273" w:rsidRDefault="005576C0" w:rsidP="00B9308C">
      <w:pPr>
        <w:pStyle w:val="FootnoteText"/>
      </w:pPr>
      <w:r w:rsidRPr="00F91919">
        <w:rPr>
          <w:rStyle w:val="FootnoteReference"/>
          <w:b/>
        </w:rPr>
        <w:footnoteRef/>
      </w:r>
      <w:r>
        <w:t xml:space="preserve"> </w:t>
      </w:r>
      <w:r w:rsidRPr="004079F0">
        <w:rPr>
          <w:i/>
        </w:rPr>
        <w:t>Id</w:t>
      </w:r>
      <w:r>
        <w:t>. P 134.</w:t>
      </w:r>
      <w:r w:rsidR="00560344">
        <w:t xml:space="preserve"> </w:t>
      </w:r>
    </w:p>
  </w:footnote>
  <w:footnote w:id="10">
    <w:p w14:paraId="28F8010A" w14:textId="5AA55A1F" w:rsidR="00690802" w:rsidRDefault="00690802">
      <w:pPr>
        <w:pStyle w:val="FootnoteText"/>
      </w:pPr>
      <w:r w:rsidRPr="00690802">
        <w:rPr>
          <w:rStyle w:val="FootnoteReference"/>
          <w:b/>
        </w:rPr>
        <w:footnoteRef/>
      </w:r>
      <w:r>
        <w:t xml:space="preserve"> </w:t>
      </w:r>
      <w:r w:rsidRPr="00281100">
        <w:rPr>
          <w:i/>
          <w:iCs/>
        </w:rPr>
        <w:t>Wholesale Competition in Regions with Organized Electric Markets</w:t>
      </w:r>
      <w:r w:rsidRPr="00281100">
        <w:t xml:space="preserve">, Order No. 719, FERC Stats. &amp; Regs. ¶ 31,281, at P 158 (2008), </w:t>
      </w:r>
      <w:r w:rsidRPr="00281100">
        <w:rPr>
          <w:i/>
          <w:iCs/>
        </w:rPr>
        <w:t>order on reh’g</w:t>
      </w:r>
      <w:r w:rsidRPr="00281100">
        <w:t xml:space="preserve">, Order No. 719-A, FERC Stats. &amp; Regs. ¶ 31,292 (2009), </w:t>
      </w:r>
      <w:r w:rsidRPr="00281100">
        <w:rPr>
          <w:i/>
          <w:iCs/>
        </w:rPr>
        <w:t>order on reh’g</w:t>
      </w:r>
      <w:r w:rsidRPr="00281100">
        <w:t>, Order No. 719-B, 129 FERC ¶ 61,252 (2009).</w:t>
      </w:r>
    </w:p>
  </w:footnote>
  <w:footnote w:id="11">
    <w:p w14:paraId="0649605B" w14:textId="45B65D13" w:rsidR="00F302E1" w:rsidRDefault="00F302E1">
      <w:pPr>
        <w:pStyle w:val="FootnoteText"/>
      </w:pPr>
      <w:r w:rsidRPr="00F302E1">
        <w:rPr>
          <w:rStyle w:val="FootnoteReference"/>
          <w:b/>
        </w:rPr>
        <w:footnoteRef/>
      </w:r>
      <w:r>
        <w:t xml:space="preserve"> </w:t>
      </w:r>
      <w:r>
        <w:rPr>
          <w:i/>
        </w:rPr>
        <w:t>See</w:t>
      </w:r>
      <w:r>
        <w:t xml:space="preserve"> CAISO Tariff, § 4.17.3(d).</w:t>
      </w:r>
    </w:p>
  </w:footnote>
  <w:footnote w:id="12">
    <w:p w14:paraId="6E5C7A3B" w14:textId="512684DA" w:rsidR="005576C0" w:rsidRDefault="005576C0" w:rsidP="00B9308C">
      <w:pPr>
        <w:pStyle w:val="FootnoteText"/>
      </w:pPr>
      <w:r w:rsidRPr="00F91919">
        <w:rPr>
          <w:rStyle w:val="FootnoteReference"/>
          <w:b/>
        </w:rPr>
        <w:footnoteRef/>
      </w:r>
      <w:r>
        <w:t xml:space="preserve"> </w:t>
      </w:r>
      <w:r w:rsidRPr="004945CD">
        <w:rPr>
          <w:i/>
        </w:rPr>
        <w:t>See</w:t>
      </w:r>
      <w:r>
        <w:t xml:space="preserve"> NERC Distributed Energy Resource Modeling Reliability Guideline, at 5 (Sept. 2017), available at    </w:t>
      </w:r>
      <w:hyperlink r:id="rId1" w:history="1">
        <w:r w:rsidRPr="00CF1834">
          <w:rPr>
            <w:rStyle w:val="Hyperlink"/>
          </w:rPr>
          <w:t>http://www.nerc.com/comm/PC_Reliability_Guidelines_DL/Reliability_Guideline_-_DER_Modeling_Parameters_-_2017-08-18_-_FINAL.pdf</w:t>
        </w:r>
      </w:hyperlink>
      <w:r>
        <w:t xml:space="preserve">.  </w:t>
      </w:r>
    </w:p>
  </w:footnote>
  <w:footnote w:id="13">
    <w:p w14:paraId="53EC2C73" w14:textId="78F1CFDF" w:rsidR="005576C0" w:rsidRPr="00407052" w:rsidRDefault="005576C0" w:rsidP="00B9308C">
      <w:pPr>
        <w:pStyle w:val="FootnoteText"/>
      </w:pPr>
      <w:r w:rsidRPr="008B5394">
        <w:rPr>
          <w:rStyle w:val="FootnoteReference"/>
          <w:b/>
        </w:rPr>
        <w:footnoteRef/>
      </w:r>
      <w:r w:rsidRPr="008B5394">
        <w:rPr>
          <w:b/>
        </w:rPr>
        <w:t xml:space="preserve"> </w:t>
      </w:r>
      <w:r w:rsidRPr="00082A84">
        <w:t>NOPR</w:t>
      </w:r>
      <w:r w:rsidRPr="00541490">
        <w:t xml:space="preserve"> at</w:t>
      </w:r>
      <w:r w:rsidRPr="00407052">
        <w:t xml:space="preserve"> P 154.</w:t>
      </w:r>
      <w:r>
        <w:t xml:space="preserve"> </w:t>
      </w:r>
    </w:p>
  </w:footnote>
  <w:footnote w:id="14">
    <w:p w14:paraId="71C7081B" w14:textId="2C9A38C3" w:rsidR="005576C0" w:rsidRDefault="005576C0" w:rsidP="00B9308C">
      <w:pPr>
        <w:pStyle w:val="FootnoteText"/>
      </w:pPr>
      <w:r w:rsidRPr="008B5394">
        <w:rPr>
          <w:rStyle w:val="FootnoteReference"/>
          <w:b/>
        </w:rPr>
        <w:footnoteRef/>
      </w:r>
      <w:r>
        <w:t xml:space="preserve"> As an aid to thinking about the electric power grid, Pacific Northwest National Laboratory and others have coined the term “grid architecture,” which they define as </w:t>
      </w:r>
      <w:r w:rsidRPr="00EB2386">
        <w:t xml:space="preserve">the application of network theory and control theory to </w:t>
      </w:r>
      <w:r>
        <w:t>a</w:t>
      </w:r>
      <w:r w:rsidRPr="00EB2386">
        <w:t xml:space="preserve"> conceptual model of the electric power grid that defines </w:t>
      </w:r>
      <w:r>
        <w:t>its</w:t>
      </w:r>
      <w:r w:rsidRPr="00EB2386">
        <w:t xml:space="preserve"> structure, behavior, and essential limits.</w:t>
      </w:r>
      <w:r>
        <w:t xml:space="preserve">  </w:t>
      </w:r>
      <w:r w:rsidRPr="008B5394">
        <w:rPr>
          <w:i/>
        </w:rPr>
        <w:t>See, e.g.</w:t>
      </w:r>
      <w:r>
        <w:t xml:space="preserve">, </w:t>
      </w:r>
      <w:hyperlink r:id="rId2" w:history="1">
        <w:r w:rsidRPr="00913799">
          <w:rPr>
            <w:rStyle w:val="Hyperlink"/>
          </w:rPr>
          <w:t>https://gridarchitecture.pnnl.gov/</w:t>
        </w:r>
      </w:hyperlink>
      <w:r>
        <w:t xml:space="preserve">.  Expanding upon this concept, some thinkers have begun discussing different types of “grid architecture,” which presumably differ in structure, behavior or essential limits from current norms.  </w:t>
      </w:r>
    </w:p>
  </w:footnote>
  <w:footnote w:id="15">
    <w:p w14:paraId="1CBF84E0" w14:textId="602025C5" w:rsidR="005576C0" w:rsidRPr="00407052" w:rsidRDefault="005576C0" w:rsidP="00560344">
      <w:pPr>
        <w:pStyle w:val="FootnoteText"/>
        <w:spacing w:after="240"/>
      </w:pPr>
      <w:r w:rsidRPr="008B5394">
        <w:rPr>
          <w:rStyle w:val="FootnoteReference"/>
          <w:b/>
        </w:rPr>
        <w:footnoteRef/>
      </w:r>
      <w:r w:rsidRPr="00407052">
        <w:t xml:space="preserve"> </w:t>
      </w:r>
      <w:r>
        <w:t>NOPR</w:t>
      </w:r>
      <w:r w:rsidRPr="00407052">
        <w:t xml:space="preserve"> at P 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7F87" w14:textId="549B84ED" w:rsidR="005576C0" w:rsidRPr="0022187B" w:rsidRDefault="005576C0" w:rsidP="00A85C7A">
    <w:pPr>
      <w:ind w:firstLine="0"/>
      <w:jc w:val="both"/>
    </w:pPr>
    <w:r w:rsidRPr="0022187B">
      <w:t>Docket No</w:t>
    </w:r>
    <w:r w:rsidR="00F343CB">
      <w:t>s</w:t>
    </w:r>
    <w:r w:rsidRPr="0022187B">
      <w:t xml:space="preserve">. </w:t>
    </w:r>
    <w:r w:rsidR="00F343CB">
      <w:t>RM18-</w:t>
    </w:r>
    <w:r w:rsidR="00190AC5">
      <w:t>9</w:t>
    </w:r>
    <w:r w:rsidR="00F343CB">
      <w:t>-</w:t>
    </w:r>
    <w:r w:rsidR="00190AC5">
      <w:t>000</w:t>
    </w:r>
    <w:r w:rsidR="00F343CB">
      <w:t xml:space="preserve"> and </w:t>
    </w:r>
    <w:r>
      <w:t>AD18-</w:t>
    </w:r>
    <w:r w:rsidR="00190AC5">
      <w:t>10</w:t>
    </w:r>
    <w:r w:rsidR="00F343CB">
      <w:t>-</w:t>
    </w:r>
    <w:r w:rsidR="00190AC5">
      <w:t>000</w:t>
    </w:r>
    <w:r w:rsidRPr="0022187B">
      <w:tab/>
    </w:r>
    <w:r>
      <w:tab/>
    </w:r>
    <w:r w:rsidR="00A85C7A">
      <w:tab/>
    </w:r>
    <w:r w:rsidR="00A85C7A">
      <w:tab/>
    </w:r>
    <w:r w:rsidR="00A85C7A">
      <w:tab/>
    </w:r>
    <w:r w:rsidR="00A85C7A">
      <w:tab/>
    </w:r>
    <w:r w:rsidRPr="0022187B">
      <w:fldChar w:fldCharType="begin"/>
    </w:r>
    <w:r w:rsidRPr="0022187B">
      <w:instrText xml:space="preserve"> PAGE  \* MERGEFORMAT </w:instrText>
    </w:r>
    <w:r w:rsidRPr="0022187B">
      <w:fldChar w:fldCharType="separate"/>
    </w:r>
    <w:r w:rsidR="00551C1D">
      <w:rPr>
        <w:noProof/>
      </w:rPr>
      <w:t>10</w:t>
    </w:r>
    <w:r w:rsidRPr="0022187B">
      <w:fldChar w:fldCharType="end"/>
    </w:r>
  </w:p>
  <w:p w14:paraId="6EB7358F" w14:textId="77777777" w:rsidR="005576C0" w:rsidRDefault="005576C0" w:rsidP="0096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012"/>
    <w:multiLevelType w:val="hybridMultilevel"/>
    <w:tmpl w:val="F01C1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B04B0"/>
    <w:multiLevelType w:val="hybridMultilevel"/>
    <w:tmpl w:val="01EE7E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76539"/>
    <w:multiLevelType w:val="hybridMultilevel"/>
    <w:tmpl w:val="011273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E675D"/>
    <w:multiLevelType w:val="hybridMultilevel"/>
    <w:tmpl w:val="4C304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321112"/>
    <w:multiLevelType w:val="hybridMultilevel"/>
    <w:tmpl w:val="0A74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D53D4"/>
    <w:multiLevelType w:val="hybridMultilevel"/>
    <w:tmpl w:val="67D27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01"/>
    <w:multiLevelType w:val="hybridMultilevel"/>
    <w:tmpl w:val="155480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5A0B49"/>
    <w:multiLevelType w:val="hybridMultilevel"/>
    <w:tmpl w:val="3E989DC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A83D25"/>
    <w:multiLevelType w:val="hybridMultilevel"/>
    <w:tmpl w:val="219222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D35B30"/>
    <w:multiLevelType w:val="hybridMultilevel"/>
    <w:tmpl w:val="87B81F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51FA2"/>
    <w:multiLevelType w:val="hybridMultilevel"/>
    <w:tmpl w:val="6520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A5EC5"/>
    <w:multiLevelType w:val="hybridMultilevel"/>
    <w:tmpl w:val="CB88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8762F"/>
    <w:multiLevelType w:val="hybridMultilevel"/>
    <w:tmpl w:val="73087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33B7C"/>
    <w:multiLevelType w:val="hybridMultilevel"/>
    <w:tmpl w:val="7C9E1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B0019C"/>
    <w:multiLevelType w:val="hybridMultilevel"/>
    <w:tmpl w:val="FA86A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66E77"/>
    <w:multiLevelType w:val="hybridMultilevel"/>
    <w:tmpl w:val="1C6E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A14F3"/>
    <w:multiLevelType w:val="hybridMultilevel"/>
    <w:tmpl w:val="BC70A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E918EF"/>
    <w:multiLevelType w:val="hybridMultilevel"/>
    <w:tmpl w:val="CDF27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4C573D"/>
    <w:multiLevelType w:val="hybridMultilevel"/>
    <w:tmpl w:val="07440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A20DB"/>
    <w:multiLevelType w:val="hybridMultilevel"/>
    <w:tmpl w:val="55BA5484"/>
    <w:lvl w:ilvl="0" w:tplc="AE7AE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4B6973"/>
    <w:multiLevelType w:val="hybridMultilevel"/>
    <w:tmpl w:val="67127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90FEB"/>
    <w:multiLevelType w:val="hybridMultilevel"/>
    <w:tmpl w:val="D80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7"/>
  </w:num>
  <w:num w:numId="5">
    <w:abstractNumId w:val="3"/>
  </w:num>
  <w:num w:numId="6">
    <w:abstractNumId w:val="4"/>
  </w:num>
  <w:num w:numId="7">
    <w:abstractNumId w:val="18"/>
  </w:num>
  <w:num w:numId="8">
    <w:abstractNumId w:val="20"/>
  </w:num>
  <w:num w:numId="9">
    <w:abstractNumId w:val="14"/>
  </w:num>
  <w:num w:numId="10">
    <w:abstractNumId w:val="9"/>
  </w:num>
  <w:num w:numId="11">
    <w:abstractNumId w:val="1"/>
  </w:num>
  <w:num w:numId="12">
    <w:abstractNumId w:val="21"/>
  </w:num>
  <w:num w:numId="13">
    <w:abstractNumId w:val="2"/>
  </w:num>
  <w:num w:numId="14">
    <w:abstractNumId w:val="0"/>
  </w:num>
  <w:num w:numId="15">
    <w:abstractNumId w:val="17"/>
  </w:num>
  <w:num w:numId="16">
    <w:abstractNumId w:val="5"/>
  </w:num>
  <w:num w:numId="17">
    <w:abstractNumId w:val="15"/>
  </w:num>
  <w:num w:numId="18">
    <w:abstractNumId w:val="6"/>
  </w:num>
  <w:num w:numId="19">
    <w:abstractNumId w:val="13"/>
  </w:num>
  <w:num w:numId="20">
    <w:abstractNumId w:val="19"/>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A5"/>
    <w:rsid w:val="00000243"/>
    <w:rsid w:val="0000028B"/>
    <w:rsid w:val="000013A7"/>
    <w:rsid w:val="00004DBB"/>
    <w:rsid w:val="00005479"/>
    <w:rsid w:val="00011D1C"/>
    <w:rsid w:val="00012D59"/>
    <w:rsid w:val="00013E96"/>
    <w:rsid w:val="00013FFE"/>
    <w:rsid w:val="000152F1"/>
    <w:rsid w:val="00015303"/>
    <w:rsid w:val="00023A16"/>
    <w:rsid w:val="00025F09"/>
    <w:rsid w:val="00026634"/>
    <w:rsid w:val="00027A80"/>
    <w:rsid w:val="00030844"/>
    <w:rsid w:val="0003352B"/>
    <w:rsid w:val="00043338"/>
    <w:rsid w:val="00044D08"/>
    <w:rsid w:val="000456C5"/>
    <w:rsid w:val="00045E55"/>
    <w:rsid w:val="0004798B"/>
    <w:rsid w:val="00050025"/>
    <w:rsid w:val="00060AD5"/>
    <w:rsid w:val="000639DF"/>
    <w:rsid w:val="0006508B"/>
    <w:rsid w:val="0007228B"/>
    <w:rsid w:val="00072CFC"/>
    <w:rsid w:val="00072E94"/>
    <w:rsid w:val="000758AE"/>
    <w:rsid w:val="00075EAC"/>
    <w:rsid w:val="000768BA"/>
    <w:rsid w:val="000819A6"/>
    <w:rsid w:val="00082A84"/>
    <w:rsid w:val="00085B97"/>
    <w:rsid w:val="0009002E"/>
    <w:rsid w:val="000907CE"/>
    <w:rsid w:val="00094E56"/>
    <w:rsid w:val="000954E3"/>
    <w:rsid w:val="000A17A3"/>
    <w:rsid w:val="000A21A7"/>
    <w:rsid w:val="000A3C86"/>
    <w:rsid w:val="000A669E"/>
    <w:rsid w:val="000B2215"/>
    <w:rsid w:val="000B546F"/>
    <w:rsid w:val="000C0BEE"/>
    <w:rsid w:val="000C1191"/>
    <w:rsid w:val="000C12D1"/>
    <w:rsid w:val="000D7C33"/>
    <w:rsid w:val="000E0F7B"/>
    <w:rsid w:val="000E4C43"/>
    <w:rsid w:val="000E576F"/>
    <w:rsid w:val="000E7354"/>
    <w:rsid w:val="0010349F"/>
    <w:rsid w:val="00103818"/>
    <w:rsid w:val="00105D20"/>
    <w:rsid w:val="00106DE1"/>
    <w:rsid w:val="0011383F"/>
    <w:rsid w:val="001159A5"/>
    <w:rsid w:val="00124CBA"/>
    <w:rsid w:val="00130345"/>
    <w:rsid w:val="001311C9"/>
    <w:rsid w:val="00132E0F"/>
    <w:rsid w:val="00152EBC"/>
    <w:rsid w:val="00157CD2"/>
    <w:rsid w:val="00160568"/>
    <w:rsid w:val="00165F31"/>
    <w:rsid w:val="001673CF"/>
    <w:rsid w:val="00167962"/>
    <w:rsid w:val="001730B2"/>
    <w:rsid w:val="00184028"/>
    <w:rsid w:val="00185791"/>
    <w:rsid w:val="00185A4B"/>
    <w:rsid w:val="00185A96"/>
    <w:rsid w:val="00186705"/>
    <w:rsid w:val="00190AC5"/>
    <w:rsid w:val="00190D7C"/>
    <w:rsid w:val="00191471"/>
    <w:rsid w:val="00194097"/>
    <w:rsid w:val="001A1ADB"/>
    <w:rsid w:val="001A4103"/>
    <w:rsid w:val="001A4B99"/>
    <w:rsid w:val="001A7F00"/>
    <w:rsid w:val="001B0671"/>
    <w:rsid w:val="001B1DE4"/>
    <w:rsid w:val="001B3558"/>
    <w:rsid w:val="001B3AAE"/>
    <w:rsid w:val="001B4F0E"/>
    <w:rsid w:val="001B605C"/>
    <w:rsid w:val="001B63DF"/>
    <w:rsid w:val="001B6DCC"/>
    <w:rsid w:val="001B7355"/>
    <w:rsid w:val="001C3ABD"/>
    <w:rsid w:val="001D1B28"/>
    <w:rsid w:val="001D3874"/>
    <w:rsid w:val="001F2E93"/>
    <w:rsid w:val="001F373D"/>
    <w:rsid w:val="001F47C0"/>
    <w:rsid w:val="001F4B8C"/>
    <w:rsid w:val="002010BB"/>
    <w:rsid w:val="002039AC"/>
    <w:rsid w:val="0021094C"/>
    <w:rsid w:val="00214C1C"/>
    <w:rsid w:val="002179CE"/>
    <w:rsid w:val="00217AF1"/>
    <w:rsid w:val="0022187B"/>
    <w:rsid w:val="002252DE"/>
    <w:rsid w:val="00226959"/>
    <w:rsid w:val="002277D3"/>
    <w:rsid w:val="00253002"/>
    <w:rsid w:val="002547FE"/>
    <w:rsid w:val="00256E92"/>
    <w:rsid w:val="002575AB"/>
    <w:rsid w:val="00263163"/>
    <w:rsid w:val="002679D2"/>
    <w:rsid w:val="00272E8F"/>
    <w:rsid w:val="00281100"/>
    <w:rsid w:val="002814F0"/>
    <w:rsid w:val="002839B7"/>
    <w:rsid w:val="00291760"/>
    <w:rsid w:val="00291D3B"/>
    <w:rsid w:val="00291EE2"/>
    <w:rsid w:val="002A29C3"/>
    <w:rsid w:val="002A453C"/>
    <w:rsid w:val="002A5173"/>
    <w:rsid w:val="002A5518"/>
    <w:rsid w:val="002A7525"/>
    <w:rsid w:val="002B04E3"/>
    <w:rsid w:val="002B32DF"/>
    <w:rsid w:val="002B4457"/>
    <w:rsid w:val="002B584D"/>
    <w:rsid w:val="002B677F"/>
    <w:rsid w:val="002B6DE4"/>
    <w:rsid w:val="002C6479"/>
    <w:rsid w:val="002C7BCC"/>
    <w:rsid w:val="002D15B6"/>
    <w:rsid w:val="002E2281"/>
    <w:rsid w:val="002E596D"/>
    <w:rsid w:val="002E6E63"/>
    <w:rsid w:val="002F24E9"/>
    <w:rsid w:val="002F40F3"/>
    <w:rsid w:val="002F5CF3"/>
    <w:rsid w:val="0030400D"/>
    <w:rsid w:val="00305E95"/>
    <w:rsid w:val="00307246"/>
    <w:rsid w:val="0031254E"/>
    <w:rsid w:val="00312DED"/>
    <w:rsid w:val="00314041"/>
    <w:rsid w:val="00316782"/>
    <w:rsid w:val="00321826"/>
    <w:rsid w:val="00323EBB"/>
    <w:rsid w:val="00326A4D"/>
    <w:rsid w:val="00332820"/>
    <w:rsid w:val="00335757"/>
    <w:rsid w:val="003368EF"/>
    <w:rsid w:val="0033751A"/>
    <w:rsid w:val="0034139F"/>
    <w:rsid w:val="00343CEE"/>
    <w:rsid w:val="003462F3"/>
    <w:rsid w:val="00350186"/>
    <w:rsid w:val="00354A02"/>
    <w:rsid w:val="00354B30"/>
    <w:rsid w:val="003567B9"/>
    <w:rsid w:val="003614F3"/>
    <w:rsid w:val="00364756"/>
    <w:rsid w:val="00367AD7"/>
    <w:rsid w:val="00373D83"/>
    <w:rsid w:val="00373F7A"/>
    <w:rsid w:val="00375CE0"/>
    <w:rsid w:val="00380E9F"/>
    <w:rsid w:val="00387AF3"/>
    <w:rsid w:val="003A007C"/>
    <w:rsid w:val="003A1BB2"/>
    <w:rsid w:val="003A7682"/>
    <w:rsid w:val="003B6FDE"/>
    <w:rsid w:val="003C174D"/>
    <w:rsid w:val="003C2C01"/>
    <w:rsid w:val="003D06C4"/>
    <w:rsid w:val="003D0ED1"/>
    <w:rsid w:val="003E151E"/>
    <w:rsid w:val="003E23DF"/>
    <w:rsid w:val="003E3539"/>
    <w:rsid w:val="003E633C"/>
    <w:rsid w:val="003F17EE"/>
    <w:rsid w:val="003F30BC"/>
    <w:rsid w:val="003F3C77"/>
    <w:rsid w:val="003F68F5"/>
    <w:rsid w:val="00400773"/>
    <w:rsid w:val="00402FE2"/>
    <w:rsid w:val="0040696C"/>
    <w:rsid w:val="004079F0"/>
    <w:rsid w:val="00407A81"/>
    <w:rsid w:val="004208E5"/>
    <w:rsid w:val="00420C74"/>
    <w:rsid w:val="004271CC"/>
    <w:rsid w:val="00431412"/>
    <w:rsid w:val="00434B80"/>
    <w:rsid w:val="0043513C"/>
    <w:rsid w:val="00435F5A"/>
    <w:rsid w:val="00437FC3"/>
    <w:rsid w:val="004453B2"/>
    <w:rsid w:val="0045689E"/>
    <w:rsid w:val="00457D04"/>
    <w:rsid w:val="00464C93"/>
    <w:rsid w:val="00480141"/>
    <w:rsid w:val="0048207C"/>
    <w:rsid w:val="00485A13"/>
    <w:rsid w:val="00492F12"/>
    <w:rsid w:val="00496ED4"/>
    <w:rsid w:val="00497F56"/>
    <w:rsid w:val="004A21FA"/>
    <w:rsid w:val="004A30C0"/>
    <w:rsid w:val="004A3571"/>
    <w:rsid w:val="004A3D52"/>
    <w:rsid w:val="004A4247"/>
    <w:rsid w:val="004B1CDB"/>
    <w:rsid w:val="004B653D"/>
    <w:rsid w:val="004C6DC3"/>
    <w:rsid w:val="004D24E6"/>
    <w:rsid w:val="004D2B96"/>
    <w:rsid w:val="004D3B5B"/>
    <w:rsid w:val="004D412F"/>
    <w:rsid w:val="004D53C8"/>
    <w:rsid w:val="004E12A2"/>
    <w:rsid w:val="004E27EB"/>
    <w:rsid w:val="004E3073"/>
    <w:rsid w:val="004E5322"/>
    <w:rsid w:val="004E54A6"/>
    <w:rsid w:val="004F49E8"/>
    <w:rsid w:val="00507DA4"/>
    <w:rsid w:val="00511BCB"/>
    <w:rsid w:val="00512541"/>
    <w:rsid w:val="0051762B"/>
    <w:rsid w:val="005179FA"/>
    <w:rsid w:val="00520BB3"/>
    <w:rsid w:val="005229E2"/>
    <w:rsid w:val="005244B5"/>
    <w:rsid w:val="00524A42"/>
    <w:rsid w:val="00535E62"/>
    <w:rsid w:val="00536EF5"/>
    <w:rsid w:val="005377B5"/>
    <w:rsid w:val="00540BC7"/>
    <w:rsid w:val="0054310C"/>
    <w:rsid w:val="00543874"/>
    <w:rsid w:val="00543E90"/>
    <w:rsid w:val="00551388"/>
    <w:rsid w:val="00551C1D"/>
    <w:rsid w:val="0055758A"/>
    <w:rsid w:val="005575BD"/>
    <w:rsid w:val="005576C0"/>
    <w:rsid w:val="00560344"/>
    <w:rsid w:val="00570591"/>
    <w:rsid w:val="00570977"/>
    <w:rsid w:val="00571DDD"/>
    <w:rsid w:val="00572649"/>
    <w:rsid w:val="005756BB"/>
    <w:rsid w:val="00582450"/>
    <w:rsid w:val="00582F7A"/>
    <w:rsid w:val="00590068"/>
    <w:rsid w:val="0059014B"/>
    <w:rsid w:val="00592416"/>
    <w:rsid w:val="005A19DD"/>
    <w:rsid w:val="005A6F2C"/>
    <w:rsid w:val="005B1CD9"/>
    <w:rsid w:val="005C0997"/>
    <w:rsid w:val="005C5ADD"/>
    <w:rsid w:val="005D261E"/>
    <w:rsid w:val="005D4E36"/>
    <w:rsid w:val="005D6A66"/>
    <w:rsid w:val="005E0566"/>
    <w:rsid w:val="005F0300"/>
    <w:rsid w:val="005F0380"/>
    <w:rsid w:val="005F36DF"/>
    <w:rsid w:val="005F55F6"/>
    <w:rsid w:val="005F59D1"/>
    <w:rsid w:val="005F5BF9"/>
    <w:rsid w:val="005F5EBA"/>
    <w:rsid w:val="00603595"/>
    <w:rsid w:val="00604266"/>
    <w:rsid w:val="0060578F"/>
    <w:rsid w:val="00606684"/>
    <w:rsid w:val="00607E0E"/>
    <w:rsid w:val="0061129D"/>
    <w:rsid w:val="00621285"/>
    <w:rsid w:val="006267B1"/>
    <w:rsid w:val="00627550"/>
    <w:rsid w:val="006324A7"/>
    <w:rsid w:val="006326CF"/>
    <w:rsid w:val="00633EDC"/>
    <w:rsid w:val="00635BEE"/>
    <w:rsid w:val="00637C44"/>
    <w:rsid w:val="00640074"/>
    <w:rsid w:val="00641D71"/>
    <w:rsid w:val="006428F4"/>
    <w:rsid w:val="00642A12"/>
    <w:rsid w:val="0064646A"/>
    <w:rsid w:val="00646CE4"/>
    <w:rsid w:val="006476AA"/>
    <w:rsid w:val="00654950"/>
    <w:rsid w:val="00656C5C"/>
    <w:rsid w:val="00665DF9"/>
    <w:rsid w:val="00665F16"/>
    <w:rsid w:val="006706C5"/>
    <w:rsid w:val="00675B7E"/>
    <w:rsid w:val="00685FAE"/>
    <w:rsid w:val="00690802"/>
    <w:rsid w:val="00693058"/>
    <w:rsid w:val="006936EA"/>
    <w:rsid w:val="006A1073"/>
    <w:rsid w:val="006A24D7"/>
    <w:rsid w:val="006A337D"/>
    <w:rsid w:val="006A77F1"/>
    <w:rsid w:val="006B044C"/>
    <w:rsid w:val="006B0E37"/>
    <w:rsid w:val="006B1897"/>
    <w:rsid w:val="006B29D5"/>
    <w:rsid w:val="006B2DC3"/>
    <w:rsid w:val="006B33AC"/>
    <w:rsid w:val="006C5181"/>
    <w:rsid w:val="006C5999"/>
    <w:rsid w:val="006C6E48"/>
    <w:rsid w:val="006C7CCE"/>
    <w:rsid w:val="006C7FB1"/>
    <w:rsid w:val="006D1947"/>
    <w:rsid w:val="006F1E5E"/>
    <w:rsid w:val="006F23F0"/>
    <w:rsid w:val="006F4142"/>
    <w:rsid w:val="006F6610"/>
    <w:rsid w:val="006F6D53"/>
    <w:rsid w:val="0070122A"/>
    <w:rsid w:val="007036B5"/>
    <w:rsid w:val="00705D1C"/>
    <w:rsid w:val="007136E2"/>
    <w:rsid w:val="00720042"/>
    <w:rsid w:val="00720A6F"/>
    <w:rsid w:val="00727506"/>
    <w:rsid w:val="0072799B"/>
    <w:rsid w:val="007316AC"/>
    <w:rsid w:val="0073197E"/>
    <w:rsid w:val="00733E89"/>
    <w:rsid w:val="0074339D"/>
    <w:rsid w:val="0074616F"/>
    <w:rsid w:val="007468D2"/>
    <w:rsid w:val="00751BDF"/>
    <w:rsid w:val="007560EA"/>
    <w:rsid w:val="007562AB"/>
    <w:rsid w:val="00757DF3"/>
    <w:rsid w:val="00760FF8"/>
    <w:rsid w:val="00762164"/>
    <w:rsid w:val="00762627"/>
    <w:rsid w:val="007660E8"/>
    <w:rsid w:val="00772C2C"/>
    <w:rsid w:val="007736A2"/>
    <w:rsid w:val="007848C8"/>
    <w:rsid w:val="007879BB"/>
    <w:rsid w:val="0079011D"/>
    <w:rsid w:val="00792273"/>
    <w:rsid w:val="007962A5"/>
    <w:rsid w:val="007A0A52"/>
    <w:rsid w:val="007A101F"/>
    <w:rsid w:val="007A1EE1"/>
    <w:rsid w:val="007A22E4"/>
    <w:rsid w:val="007A23A3"/>
    <w:rsid w:val="007A6B76"/>
    <w:rsid w:val="007A6EB0"/>
    <w:rsid w:val="007A7C63"/>
    <w:rsid w:val="007B11CF"/>
    <w:rsid w:val="007B1EF6"/>
    <w:rsid w:val="007C0897"/>
    <w:rsid w:val="007C3279"/>
    <w:rsid w:val="007C336A"/>
    <w:rsid w:val="007C345D"/>
    <w:rsid w:val="007C3696"/>
    <w:rsid w:val="007D20F9"/>
    <w:rsid w:val="007E075F"/>
    <w:rsid w:val="007F05FD"/>
    <w:rsid w:val="007F1058"/>
    <w:rsid w:val="007F277B"/>
    <w:rsid w:val="007F47C3"/>
    <w:rsid w:val="0080142D"/>
    <w:rsid w:val="00802F22"/>
    <w:rsid w:val="008030A4"/>
    <w:rsid w:val="00803D0A"/>
    <w:rsid w:val="008051DE"/>
    <w:rsid w:val="0081272F"/>
    <w:rsid w:val="00815204"/>
    <w:rsid w:val="008169B3"/>
    <w:rsid w:val="00822E1B"/>
    <w:rsid w:val="008237BA"/>
    <w:rsid w:val="00823808"/>
    <w:rsid w:val="00824DB1"/>
    <w:rsid w:val="00825B86"/>
    <w:rsid w:val="0082670C"/>
    <w:rsid w:val="00834F37"/>
    <w:rsid w:val="00840B84"/>
    <w:rsid w:val="00842A3F"/>
    <w:rsid w:val="008437D9"/>
    <w:rsid w:val="00843F67"/>
    <w:rsid w:val="008461FD"/>
    <w:rsid w:val="00851E65"/>
    <w:rsid w:val="0085451F"/>
    <w:rsid w:val="00856B43"/>
    <w:rsid w:val="00857F0E"/>
    <w:rsid w:val="0086061B"/>
    <w:rsid w:val="00864829"/>
    <w:rsid w:val="00866890"/>
    <w:rsid w:val="00866EE6"/>
    <w:rsid w:val="00870BA9"/>
    <w:rsid w:val="00870F61"/>
    <w:rsid w:val="00871219"/>
    <w:rsid w:val="00872AB6"/>
    <w:rsid w:val="0087799F"/>
    <w:rsid w:val="008810D5"/>
    <w:rsid w:val="00883861"/>
    <w:rsid w:val="00884861"/>
    <w:rsid w:val="00884A2D"/>
    <w:rsid w:val="00887FA8"/>
    <w:rsid w:val="0089059E"/>
    <w:rsid w:val="00892166"/>
    <w:rsid w:val="0089274F"/>
    <w:rsid w:val="00895A98"/>
    <w:rsid w:val="00897E37"/>
    <w:rsid w:val="008A3CEA"/>
    <w:rsid w:val="008A5EF9"/>
    <w:rsid w:val="008A7D63"/>
    <w:rsid w:val="008B1BF3"/>
    <w:rsid w:val="008B3C47"/>
    <w:rsid w:val="008B4053"/>
    <w:rsid w:val="008B5394"/>
    <w:rsid w:val="008C1936"/>
    <w:rsid w:val="008C72A5"/>
    <w:rsid w:val="008D1F6D"/>
    <w:rsid w:val="008D4494"/>
    <w:rsid w:val="008D46DA"/>
    <w:rsid w:val="008D737D"/>
    <w:rsid w:val="008E0B1B"/>
    <w:rsid w:val="008F2D2C"/>
    <w:rsid w:val="008F6926"/>
    <w:rsid w:val="0090123E"/>
    <w:rsid w:val="00901BF4"/>
    <w:rsid w:val="00915BBF"/>
    <w:rsid w:val="009201E5"/>
    <w:rsid w:val="00924A27"/>
    <w:rsid w:val="00926736"/>
    <w:rsid w:val="00926C79"/>
    <w:rsid w:val="00930EAD"/>
    <w:rsid w:val="0093121E"/>
    <w:rsid w:val="00934E41"/>
    <w:rsid w:val="00935252"/>
    <w:rsid w:val="00935DC8"/>
    <w:rsid w:val="00942F65"/>
    <w:rsid w:val="0094329C"/>
    <w:rsid w:val="00945981"/>
    <w:rsid w:val="0094687A"/>
    <w:rsid w:val="00951D6F"/>
    <w:rsid w:val="00954614"/>
    <w:rsid w:val="0095787E"/>
    <w:rsid w:val="0096771D"/>
    <w:rsid w:val="00967810"/>
    <w:rsid w:val="009727B6"/>
    <w:rsid w:val="00972ECC"/>
    <w:rsid w:val="00985CD5"/>
    <w:rsid w:val="00994AFB"/>
    <w:rsid w:val="00994CB1"/>
    <w:rsid w:val="0099525A"/>
    <w:rsid w:val="0099609C"/>
    <w:rsid w:val="009975ED"/>
    <w:rsid w:val="009A00A3"/>
    <w:rsid w:val="009A1D09"/>
    <w:rsid w:val="009A342B"/>
    <w:rsid w:val="009B0BA9"/>
    <w:rsid w:val="009B5CA0"/>
    <w:rsid w:val="009B705B"/>
    <w:rsid w:val="009C0E66"/>
    <w:rsid w:val="009C0FA7"/>
    <w:rsid w:val="009C1DF2"/>
    <w:rsid w:val="009C460A"/>
    <w:rsid w:val="009D3F53"/>
    <w:rsid w:val="009E0862"/>
    <w:rsid w:val="009E3C42"/>
    <w:rsid w:val="009E71B4"/>
    <w:rsid w:val="009E7CC3"/>
    <w:rsid w:val="009F368D"/>
    <w:rsid w:val="009F3E56"/>
    <w:rsid w:val="009F3F9C"/>
    <w:rsid w:val="009F4265"/>
    <w:rsid w:val="009F7D4E"/>
    <w:rsid w:val="00A05871"/>
    <w:rsid w:val="00A067CE"/>
    <w:rsid w:val="00A06A9C"/>
    <w:rsid w:val="00A11231"/>
    <w:rsid w:val="00A13F89"/>
    <w:rsid w:val="00A148E4"/>
    <w:rsid w:val="00A16E39"/>
    <w:rsid w:val="00A211EC"/>
    <w:rsid w:val="00A22E7B"/>
    <w:rsid w:val="00A23119"/>
    <w:rsid w:val="00A23FE7"/>
    <w:rsid w:val="00A2425D"/>
    <w:rsid w:val="00A26B1C"/>
    <w:rsid w:val="00A31428"/>
    <w:rsid w:val="00A32EFC"/>
    <w:rsid w:val="00A33474"/>
    <w:rsid w:val="00A3357A"/>
    <w:rsid w:val="00A35840"/>
    <w:rsid w:val="00A35C3A"/>
    <w:rsid w:val="00A36AB7"/>
    <w:rsid w:val="00A37710"/>
    <w:rsid w:val="00A403A4"/>
    <w:rsid w:val="00A50A11"/>
    <w:rsid w:val="00A532A2"/>
    <w:rsid w:val="00A54278"/>
    <w:rsid w:val="00A54C4B"/>
    <w:rsid w:val="00A55331"/>
    <w:rsid w:val="00A5758B"/>
    <w:rsid w:val="00A61550"/>
    <w:rsid w:val="00A62477"/>
    <w:rsid w:val="00A627C2"/>
    <w:rsid w:val="00A64395"/>
    <w:rsid w:val="00A654BC"/>
    <w:rsid w:val="00A67E4E"/>
    <w:rsid w:val="00A71FBB"/>
    <w:rsid w:val="00A74856"/>
    <w:rsid w:val="00A762AF"/>
    <w:rsid w:val="00A77C6F"/>
    <w:rsid w:val="00A80D7B"/>
    <w:rsid w:val="00A80E9A"/>
    <w:rsid w:val="00A811D1"/>
    <w:rsid w:val="00A85C7A"/>
    <w:rsid w:val="00A93E5E"/>
    <w:rsid w:val="00AA24B6"/>
    <w:rsid w:val="00AB197F"/>
    <w:rsid w:val="00AB2766"/>
    <w:rsid w:val="00AB4006"/>
    <w:rsid w:val="00AB5AC3"/>
    <w:rsid w:val="00AB6189"/>
    <w:rsid w:val="00AB76C9"/>
    <w:rsid w:val="00AC43B3"/>
    <w:rsid w:val="00AD0D8E"/>
    <w:rsid w:val="00AD1FA3"/>
    <w:rsid w:val="00AE3316"/>
    <w:rsid w:val="00AF082B"/>
    <w:rsid w:val="00AF182C"/>
    <w:rsid w:val="00AF24B3"/>
    <w:rsid w:val="00AF2DC3"/>
    <w:rsid w:val="00AF600B"/>
    <w:rsid w:val="00AF74BD"/>
    <w:rsid w:val="00AF7B12"/>
    <w:rsid w:val="00B12844"/>
    <w:rsid w:val="00B16D4E"/>
    <w:rsid w:val="00B30D8E"/>
    <w:rsid w:val="00B3368D"/>
    <w:rsid w:val="00B34C40"/>
    <w:rsid w:val="00B35410"/>
    <w:rsid w:val="00B35687"/>
    <w:rsid w:val="00B36F92"/>
    <w:rsid w:val="00B37DB6"/>
    <w:rsid w:val="00B418C0"/>
    <w:rsid w:val="00B46666"/>
    <w:rsid w:val="00B52D7E"/>
    <w:rsid w:val="00B56063"/>
    <w:rsid w:val="00B56106"/>
    <w:rsid w:val="00B600F5"/>
    <w:rsid w:val="00B60ABE"/>
    <w:rsid w:val="00B634FC"/>
    <w:rsid w:val="00B643FA"/>
    <w:rsid w:val="00B7227B"/>
    <w:rsid w:val="00B74276"/>
    <w:rsid w:val="00B83732"/>
    <w:rsid w:val="00B83EED"/>
    <w:rsid w:val="00B84D65"/>
    <w:rsid w:val="00B8706C"/>
    <w:rsid w:val="00B902F5"/>
    <w:rsid w:val="00B9308C"/>
    <w:rsid w:val="00BA1286"/>
    <w:rsid w:val="00BB313D"/>
    <w:rsid w:val="00BB6B57"/>
    <w:rsid w:val="00BC6C7C"/>
    <w:rsid w:val="00BD0F1F"/>
    <w:rsid w:val="00BD4977"/>
    <w:rsid w:val="00BE12F4"/>
    <w:rsid w:val="00BE449A"/>
    <w:rsid w:val="00BE7B6E"/>
    <w:rsid w:val="00BF16BD"/>
    <w:rsid w:val="00C024F4"/>
    <w:rsid w:val="00C04BB6"/>
    <w:rsid w:val="00C05354"/>
    <w:rsid w:val="00C1073E"/>
    <w:rsid w:val="00C10A05"/>
    <w:rsid w:val="00C21271"/>
    <w:rsid w:val="00C22A82"/>
    <w:rsid w:val="00C25CE2"/>
    <w:rsid w:val="00C31039"/>
    <w:rsid w:val="00C3156F"/>
    <w:rsid w:val="00C33BC6"/>
    <w:rsid w:val="00C352B0"/>
    <w:rsid w:val="00C3709D"/>
    <w:rsid w:val="00C43ABA"/>
    <w:rsid w:val="00C52559"/>
    <w:rsid w:val="00C529A3"/>
    <w:rsid w:val="00C5429B"/>
    <w:rsid w:val="00C605FA"/>
    <w:rsid w:val="00C62157"/>
    <w:rsid w:val="00C62FBB"/>
    <w:rsid w:val="00C6314C"/>
    <w:rsid w:val="00C64D6B"/>
    <w:rsid w:val="00C71662"/>
    <w:rsid w:val="00C72391"/>
    <w:rsid w:val="00C756F6"/>
    <w:rsid w:val="00C90BB2"/>
    <w:rsid w:val="00CB104B"/>
    <w:rsid w:val="00CB38B4"/>
    <w:rsid w:val="00CB3BBD"/>
    <w:rsid w:val="00CC196B"/>
    <w:rsid w:val="00CC243D"/>
    <w:rsid w:val="00CC2CF8"/>
    <w:rsid w:val="00CD1145"/>
    <w:rsid w:val="00CD320C"/>
    <w:rsid w:val="00CD65B9"/>
    <w:rsid w:val="00CD6C9D"/>
    <w:rsid w:val="00CE07D2"/>
    <w:rsid w:val="00CE6040"/>
    <w:rsid w:val="00CE6159"/>
    <w:rsid w:val="00CE6AC8"/>
    <w:rsid w:val="00CE6CAB"/>
    <w:rsid w:val="00CE793D"/>
    <w:rsid w:val="00CE7B6B"/>
    <w:rsid w:val="00CF4502"/>
    <w:rsid w:val="00CF4577"/>
    <w:rsid w:val="00D00634"/>
    <w:rsid w:val="00D01B14"/>
    <w:rsid w:val="00D04438"/>
    <w:rsid w:val="00D04A40"/>
    <w:rsid w:val="00D05A85"/>
    <w:rsid w:val="00D153BF"/>
    <w:rsid w:val="00D1636C"/>
    <w:rsid w:val="00D20A1A"/>
    <w:rsid w:val="00D216C7"/>
    <w:rsid w:val="00D22210"/>
    <w:rsid w:val="00D354DA"/>
    <w:rsid w:val="00D405E5"/>
    <w:rsid w:val="00D41363"/>
    <w:rsid w:val="00D41ED6"/>
    <w:rsid w:val="00D44FBA"/>
    <w:rsid w:val="00D537FC"/>
    <w:rsid w:val="00D547C7"/>
    <w:rsid w:val="00D55958"/>
    <w:rsid w:val="00D55F73"/>
    <w:rsid w:val="00D566A1"/>
    <w:rsid w:val="00D60A81"/>
    <w:rsid w:val="00D6210A"/>
    <w:rsid w:val="00D82368"/>
    <w:rsid w:val="00D827A3"/>
    <w:rsid w:val="00D82911"/>
    <w:rsid w:val="00D837E6"/>
    <w:rsid w:val="00D87CC1"/>
    <w:rsid w:val="00D90476"/>
    <w:rsid w:val="00D926D0"/>
    <w:rsid w:val="00D9283D"/>
    <w:rsid w:val="00DA17AD"/>
    <w:rsid w:val="00DA29E2"/>
    <w:rsid w:val="00DA2B4B"/>
    <w:rsid w:val="00DA36C5"/>
    <w:rsid w:val="00DA3801"/>
    <w:rsid w:val="00DA5D53"/>
    <w:rsid w:val="00DB2ABE"/>
    <w:rsid w:val="00DB3CD7"/>
    <w:rsid w:val="00DB5679"/>
    <w:rsid w:val="00DB5C27"/>
    <w:rsid w:val="00DC3ACF"/>
    <w:rsid w:val="00DD093E"/>
    <w:rsid w:val="00DD18A6"/>
    <w:rsid w:val="00DD638C"/>
    <w:rsid w:val="00DE2CF2"/>
    <w:rsid w:val="00DE588E"/>
    <w:rsid w:val="00DF0EE4"/>
    <w:rsid w:val="00DF3090"/>
    <w:rsid w:val="00DF4EA7"/>
    <w:rsid w:val="00DF521C"/>
    <w:rsid w:val="00DF6A09"/>
    <w:rsid w:val="00DF792F"/>
    <w:rsid w:val="00E01217"/>
    <w:rsid w:val="00E033A4"/>
    <w:rsid w:val="00E049C2"/>
    <w:rsid w:val="00E05454"/>
    <w:rsid w:val="00E11669"/>
    <w:rsid w:val="00E1184C"/>
    <w:rsid w:val="00E25393"/>
    <w:rsid w:val="00E27B6F"/>
    <w:rsid w:val="00E4546B"/>
    <w:rsid w:val="00E4707D"/>
    <w:rsid w:val="00E56374"/>
    <w:rsid w:val="00E635B4"/>
    <w:rsid w:val="00E65AC4"/>
    <w:rsid w:val="00E65B88"/>
    <w:rsid w:val="00E65E57"/>
    <w:rsid w:val="00E70BB4"/>
    <w:rsid w:val="00E738B8"/>
    <w:rsid w:val="00E81169"/>
    <w:rsid w:val="00E84CD0"/>
    <w:rsid w:val="00E86A74"/>
    <w:rsid w:val="00E9111B"/>
    <w:rsid w:val="00EA07C1"/>
    <w:rsid w:val="00EA2A66"/>
    <w:rsid w:val="00EA64C7"/>
    <w:rsid w:val="00EB2386"/>
    <w:rsid w:val="00EB64FE"/>
    <w:rsid w:val="00EB692F"/>
    <w:rsid w:val="00EC54A0"/>
    <w:rsid w:val="00ED0A51"/>
    <w:rsid w:val="00ED1149"/>
    <w:rsid w:val="00ED2B6E"/>
    <w:rsid w:val="00ED45FF"/>
    <w:rsid w:val="00ED49AC"/>
    <w:rsid w:val="00ED63F8"/>
    <w:rsid w:val="00EE078C"/>
    <w:rsid w:val="00EE4AFC"/>
    <w:rsid w:val="00EE636F"/>
    <w:rsid w:val="00EE6BD6"/>
    <w:rsid w:val="00EF0580"/>
    <w:rsid w:val="00EF396E"/>
    <w:rsid w:val="00EF3E67"/>
    <w:rsid w:val="00EF6665"/>
    <w:rsid w:val="00EF7C48"/>
    <w:rsid w:val="00F06932"/>
    <w:rsid w:val="00F140A7"/>
    <w:rsid w:val="00F16375"/>
    <w:rsid w:val="00F16D80"/>
    <w:rsid w:val="00F17739"/>
    <w:rsid w:val="00F302E1"/>
    <w:rsid w:val="00F32291"/>
    <w:rsid w:val="00F343CB"/>
    <w:rsid w:val="00F34643"/>
    <w:rsid w:val="00F3501B"/>
    <w:rsid w:val="00F35BA1"/>
    <w:rsid w:val="00F364D5"/>
    <w:rsid w:val="00F3767D"/>
    <w:rsid w:val="00F41326"/>
    <w:rsid w:val="00F51122"/>
    <w:rsid w:val="00F55314"/>
    <w:rsid w:val="00F634D9"/>
    <w:rsid w:val="00F64152"/>
    <w:rsid w:val="00F7523B"/>
    <w:rsid w:val="00F772FD"/>
    <w:rsid w:val="00F823D2"/>
    <w:rsid w:val="00F8282C"/>
    <w:rsid w:val="00F87822"/>
    <w:rsid w:val="00F91919"/>
    <w:rsid w:val="00F91F8E"/>
    <w:rsid w:val="00F9272F"/>
    <w:rsid w:val="00FA0E65"/>
    <w:rsid w:val="00FA2452"/>
    <w:rsid w:val="00FA5BD0"/>
    <w:rsid w:val="00FB0FF1"/>
    <w:rsid w:val="00FB208B"/>
    <w:rsid w:val="00FB5E21"/>
    <w:rsid w:val="00FB5FE1"/>
    <w:rsid w:val="00FB605A"/>
    <w:rsid w:val="00FC0E25"/>
    <w:rsid w:val="00FC1292"/>
    <w:rsid w:val="00FC3142"/>
    <w:rsid w:val="00FC766F"/>
    <w:rsid w:val="00FC7D92"/>
    <w:rsid w:val="00FD042C"/>
    <w:rsid w:val="00FD1B0C"/>
    <w:rsid w:val="00FD3AEC"/>
    <w:rsid w:val="00FD748F"/>
    <w:rsid w:val="00FE4503"/>
    <w:rsid w:val="00FE546D"/>
    <w:rsid w:val="00FE77BC"/>
    <w:rsid w:val="00FF2EFC"/>
    <w:rsid w:val="00FF4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D2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1D"/>
    <w:pPr>
      <w:autoSpaceDE w:val="0"/>
      <w:autoSpaceDN w:val="0"/>
      <w:adjustRightInd w:val="0"/>
      <w:spacing w:after="0" w:line="240" w:lineRule="auto"/>
      <w:ind w:firstLine="720"/>
    </w:pPr>
    <w:rPr>
      <w:rFonts w:ascii="Times New Roman" w:hAnsi="Times New Roman" w:cs="Times New Roman"/>
      <w:color w:val="000000"/>
      <w:sz w:val="26"/>
      <w:szCs w:val="26"/>
    </w:rPr>
  </w:style>
  <w:style w:type="paragraph" w:styleId="Heading3">
    <w:name w:val="heading 3"/>
    <w:basedOn w:val="Normal"/>
    <w:next w:val="Normal"/>
    <w:link w:val="Heading3Char"/>
    <w:uiPriority w:val="9"/>
    <w:unhideWhenUsed/>
    <w:qFormat/>
    <w:rsid w:val="005575BD"/>
    <w:pPr>
      <w:spacing w:after="160" w:line="259" w:lineRule="auto"/>
      <w:outlineLvl w:val="2"/>
    </w:pPr>
    <w:rPr>
      <w:u w:val="single"/>
    </w:rPr>
  </w:style>
  <w:style w:type="paragraph" w:styleId="Heading4">
    <w:name w:val="heading 4"/>
    <w:basedOn w:val="Normal"/>
    <w:next w:val="BodyText"/>
    <w:link w:val="Heading4Char"/>
    <w:qFormat/>
    <w:rsid w:val="005575BD"/>
    <w:pPr>
      <w:spacing w:after="160" w:line="259" w:lineRule="auto"/>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FFE"/>
    <w:rPr>
      <w:color w:val="0000FF" w:themeColor="hyperlink"/>
      <w:u w:val="single"/>
    </w:rPr>
  </w:style>
  <w:style w:type="paragraph" w:styleId="BalloonText">
    <w:name w:val="Balloon Text"/>
    <w:basedOn w:val="Normal"/>
    <w:link w:val="BalloonTextChar"/>
    <w:uiPriority w:val="99"/>
    <w:semiHidden/>
    <w:unhideWhenUsed/>
    <w:rsid w:val="001B1DE4"/>
    <w:rPr>
      <w:rFonts w:ascii="Tahoma" w:hAnsi="Tahoma" w:cs="Tahoma"/>
      <w:sz w:val="16"/>
      <w:szCs w:val="16"/>
    </w:rPr>
  </w:style>
  <w:style w:type="character" w:customStyle="1" w:styleId="BalloonTextChar">
    <w:name w:val="Balloon Text Char"/>
    <w:basedOn w:val="DefaultParagraphFont"/>
    <w:link w:val="BalloonText"/>
    <w:uiPriority w:val="99"/>
    <w:semiHidden/>
    <w:rsid w:val="001B1DE4"/>
    <w:rPr>
      <w:rFonts w:ascii="Tahoma" w:hAnsi="Tahoma" w:cs="Tahoma"/>
      <w:sz w:val="16"/>
      <w:szCs w:val="16"/>
    </w:rPr>
  </w:style>
  <w:style w:type="table" w:styleId="TableGrid">
    <w:name w:val="Table Grid"/>
    <w:basedOn w:val="TableNormal"/>
    <w:uiPriority w:val="59"/>
    <w:rsid w:val="00FB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E21"/>
    <w:rPr>
      <w:sz w:val="16"/>
      <w:szCs w:val="16"/>
    </w:rPr>
  </w:style>
  <w:style w:type="paragraph" w:styleId="CommentText">
    <w:name w:val="annotation text"/>
    <w:basedOn w:val="Normal"/>
    <w:link w:val="CommentTextChar"/>
    <w:uiPriority w:val="99"/>
    <w:unhideWhenUsed/>
    <w:rsid w:val="00FB5E21"/>
    <w:rPr>
      <w:sz w:val="20"/>
      <w:szCs w:val="20"/>
    </w:rPr>
  </w:style>
  <w:style w:type="character" w:customStyle="1" w:styleId="CommentTextChar">
    <w:name w:val="Comment Text Char"/>
    <w:basedOn w:val="DefaultParagraphFont"/>
    <w:link w:val="CommentText"/>
    <w:uiPriority w:val="99"/>
    <w:rsid w:val="00FB5E21"/>
    <w:rPr>
      <w:sz w:val="20"/>
      <w:szCs w:val="20"/>
    </w:rPr>
  </w:style>
  <w:style w:type="paragraph" w:styleId="CommentSubject">
    <w:name w:val="annotation subject"/>
    <w:basedOn w:val="CommentText"/>
    <w:next w:val="CommentText"/>
    <w:link w:val="CommentSubjectChar"/>
    <w:uiPriority w:val="99"/>
    <w:semiHidden/>
    <w:unhideWhenUsed/>
    <w:rsid w:val="00FB5E21"/>
    <w:rPr>
      <w:b/>
      <w:bCs/>
    </w:rPr>
  </w:style>
  <w:style w:type="character" w:customStyle="1" w:styleId="CommentSubjectChar">
    <w:name w:val="Comment Subject Char"/>
    <w:basedOn w:val="CommentTextChar"/>
    <w:link w:val="CommentSubject"/>
    <w:uiPriority w:val="99"/>
    <w:semiHidden/>
    <w:rsid w:val="00FB5E21"/>
    <w:rPr>
      <w:b/>
      <w:bCs/>
      <w:sz w:val="20"/>
      <w:szCs w:val="20"/>
    </w:rPr>
  </w:style>
  <w:style w:type="paragraph" w:styleId="Revision">
    <w:name w:val="Revision"/>
    <w:hidden/>
    <w:uiPriority w:val="99"/>
    <w:semiHidden/>
    <w:rsid w:val="00FB5E21"/>
    <w:pPr>
      <w:spacing w:after="0" w:line="240" w:lineRule="auto"/>
    </w:pPr>
  </w:style>
  <w:style w:type="paragraph" w:styleId="Header">
    <w:name w:val="header"/>
    <w:basedOn w:val="Normal"/>
    <w:link w:val="HeaderChar"/>
    <w:uiPriority w:val="99"/>
    <w:unhideWhenUsed/>
    <w:rsid w:val="0022187B"/>
    <w:pPr>
      <w:tabs>
        <w:tab w:val="center" w:pos="4680"/>
        <w:tab w:val="right" w:pos="9360"/>
      </w:tabs>
    </w:pPr>
  </w:style>
  <w:style w:type="character" w:customStyle="1" w:styleId="HeaderChar">
    <w:name w:val="Header Char"/>
    <w:basedOn w:val="DefaultParagraphFont"/>
    <w:link w:val="Header"/>
    <w:uiPriority w:val="99"/>
    <w:rsid w:val="0022187B"/>
  </w:style>
  <w:style w:type="paragraph" w:styleId="Footer">
    <w:name w:val="footer"/>
    <w:basedOn w:val="Normal"/>
    <w:link w:val="FooterChar"/>
    <w:uiPriority w:val="99"/>
    <w:unhideWhenUsed/>
    <w:rsid w:val="0022187B"/>
    <w:pPr>
      <w:tabs>
        <w:tab w:val="center" w:pos="4680"/>
        <w:tab w:val="right" w:pos="9360"/>
      </w:tabs>
    </w:pPr>
  </w:style>
  <w:style w:type="character" w:customStyle="1" w:styleId="FooterChar">
    <w:name w:val="Footer Char"/>
    <w:basedOn w:val="DefaultParagraphFont"/>
    <w:link w:val="Footer"/>
    <w:uiPriority w:val="99"/>
    <w:rsid w:val="0022187B"/>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 Char,ft,Footnote Text MRP,f,c"/>
    <w:basedOn w:val="Normal"/>
    <w:link w:val="FootnoteTextChar"/>
    <w:uiPriority w:val="99"/>
    <w:unhideWhenUsed/>
    <w:qFormat/>
    <w:rsid w:val="003C174D"/>
    <w:rPr>
      <w:szCs w:val="20"/>
    </w:rPr>
  </w:style>
  <w:style w:type="character" w:customStyle="1" w:styleId="FootnoteTextChar">
    <w:name w:val="Footnote Text Char"/>
    <w:aliases w:val="Footnote Text Char1 Char Char,Footnote Text Char Char Char Char,Footnote Text Char1 Char1,Footnote Text Char Char1 Char,fn Char,Footnote Text Char Char Char1,fn Char Char Char,Footnote Text Char1 Char1 Char Char,ft Char Char,ft Char1"/>
    <w:basedOn w:val="DefaultParagraphFont"/>
    <w:link w:val="FootnoteText"/>
    <w:uiPriority w:val="99"/>
    <w:rsid w:val="003C174D"/>
    <w:rPr>
      <w:rFonts w:ascii="Times New Roman" w:hAnsi="Times New Roman" w:cs="Times New Roman"/>
      <w:color w:val="000000"/>
      <w:sz w:val="26"/>
      <w:szCs w:val="20"/>
    </w:rPr>
  </w:style>
  <w:style w:type="character" w:styleId="FootnoteReference">
    <w:name w:val="footnote reference"/>
    <w:aliases w:val="o,Style 17,fr,Style 13,Style 12,Style 15,Style 9,o1,fr1,o2,fr2,o3,fr3,Style 18,(NECG) Footnote Reference,Style 20,Style 7,Style 8,Style 19,Style 28,Style 11,Style 16,Styl,Footnote Reference (EIS),fnr,Footnote reference (EA),Style 30,."/>
    <w:basedOn w:val="DefaultParagraphFont"/>
    <w:uiPriority w:val="99"/>
    <w:unhideWhenUsed/>
    <w:qFormat/>
    <w:rsid w:val="0045689E"/>
    <w:rPr>
      <w:vertAlign w:val="superscript"/>
    </w:rPr>
  </w:style>
  <w:style w:type="character" w:customStyle="1" w:styleId="Heading3Char">
    <w:name w:val="Heading 3 Char"/>
    <w:basedOn w:val="DefaultParagraphFont"/>
    <w:link w:val="Heading3"/>
    <w:uiPriority w:val="9"/>
    <w:rsid w:val="005575BD"/>
    <w:rPr>
      <w:rFonts w:ascii="Times New Roman" w:hAnsi="Times New Roman" w:cs="Times New Roman"/>
      <w:color w:val="000000"/>
      <w:sz w:val="26"/>
      <w:szCs w:val="26"/>
      <w:u w:val="single"/>
    </w:rPr>
  </w:style>
  <w:style w:type="character" w:customStyle="1" w:styleId="Heading4Char">
    <w:name w:val="Heading 4 Char"/>
    <w:basedOn w:val="DefaultParagraphFont"/>
    <w:link w:val="Heading4"/>
    <w:rsid w:val="005575BD"/>
    <w:rPr>
      <w:rFonts w:ascii="Times New Roman" w:hAnsi="Times New Roman" w:cs="Times New Roman"/>
      <w:i/>
      <w:color w:val="000000"/>
      <w:sz w:val="26"/>
      <w:szCs w:val="26"/>
    </w:rPr>
  </w:style>
  <w:style w:type="paragraph" w:styleId="BodyText">
    <w:name w:val="Body Text"/>
    <w:basedOn w:val="Normal"/>
    <w:link w:val="BodyTextChar"/>
    <w:uiPriority w:val="99"/>
    <w:unhideWhenUsed/>
    <w:rsid w:val="005575BD"/>
    <w:pPr>
      <w:spacing w:after="120" w:line="259" w:lineRule="auto"/>
    </w:pPr>
  </w:style>
  <w:style w:type="character" w:customStyle="1" w:styleId="BodyTextChar">
    <w:name w:val="Body Text Char"/>
    <w:basedOn w:val="DefaultParagraphFont"/>
    <w:link w:val="BodyText"/>
    <w:uiPriority w:val="99"/>
    <w:rsid w:val="005575BD"/>
    <w:rPr>
      <w:rFonts w:ascii="Times New Roman" w:hAnsi="Times New Roman" w:cs="Times New Roman"/>
      <w:color w:val="000000"/>
      <w:sz w:val="26"/>
      <w:szCs w:val="26"/>
    </w:rPr>
  </w:style>
  <w:style w:type="paragraph" w:styleId="ListParagraph">
    <w:name w:val="List Paragraph"/>
    <w:basedOn w:val="Normal"/>
    <w:uiPriority w:val="34"/>
    <w:qFormat/>
    <w:rsid w:val="005575BD"/>
    <w:pPr>
      <w:spacing w:after="160" w:line="259" w:lineRule="auto"/>
      <w:ind w:left="720"/>
      <w:contextualSpacing/>
    </w:pPr>
  </w:style>
  <w:style w:type="paragraph" w:styleId="NoSpacing">
    <w:name w:val="No Spacing"/>
    <w:uiPriority w:val="1"/>
    <w:qFormat/>
    <w:rsid w:val="00FA5BD0"/>
    <w:pPr>
      <w:spacing w:after="0" w:line="240" w:lineRule="auto"/>
    </w:pPr>
  </w:style>
  <w:style w:type="paragraph" w:styleId="NormalWeb">
    <w:name w:val="Normal (Web)"/>
    <w:basedOn w:val="Normal"/>
    <w:uiPriority w:val="99"/>
    <w:unhideWhenUsed/>
    <w:rsid w:val="00A71FBB"/>
    <w:pPr>
      <w:autoSpaceDE/>
      <w:autoSpaceDN/>
      <w:adjustRightInd/>
      <w:ind w:firstLine="0"/>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1D"/>
    <w:pPr>
      <w:autoSpaceDE w:val="0"/>
      <w:autoSpaceDN w:val="0"/>
      <w:adjustRightInd w:val="0"/>
      <w:spacing w:after="0" w:line="240" w:lineRule="auto"/>
      <w:ind w:firstLine="720"/>
    </w:pPr>
    <w:rPr>
      <w:rFonts w:ascii="Times New Roman" w:hAnsi="Times New Roman" w:cs="Times New Roman"/>
      <w:color w:val="000000"/>
      <w:sz w:val="26"/>
      <w:szCs w:val="26"/>
    </w:rPr>
  </w:style>
  <w:style w:type="paragraph" w:styleId="Heading3">
    <w:name w:val="heading 3"/>
    <w:basedOn w:val="Normal"/>
    <w:next w:val="Normal"/>
    <w:link w:val="Heading3Char"/>
    <w:uiPriority w:val="9"/>
    <w:unhideWhenUsed/>
    <w:qFormat/>
    <w:rsid w:val="005575BD"/>
    <w:pPr>
      <w:spacing w:after="160" w:line="259" w:lineRule="auto"/>
      <w:outlineLvl w:val="2"/>
    </w:pPr>
    <w:rPr>
      <w:u w:val="single"/>
    </w:rPr>
  </w:style>
  <w:style w:type="paragraph" w:styleId="Heading4">
    <w:name w:val="heading 4"/>
    <w:basedOn w:val="Normal"/>
    <w:next w:val="BodyText"/>
    <w:link w:val="Heading4Char"/>
    <w:qFormat/>
    <w:rsid w:val="005575BD"/>
    <w:pPr>
      <w:spacing w:after="160" w:line="259" w:lineRule="auto"/>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FFE"/>
    <w:rPr>
      <w:color w:val="0000FF" w:themeColor="hyperlink"/>
      <w:u w:val="single"/>
    </w:rPr>
  </w:style>
  <w:style w:type="paragraph" w:styleId="BalloonText">
    <w:name w:val="Balloon Text"/>
    <w:basedOn w:val="Normal"/>
    <w:link w:val="BalloonTextChar"/>
    <w:uiPriority w:val="99"/>
    <w:semiHidden/>
    <w:unhideWhenUsed/>
    <w:rsid w:val="001B1DE4"/>
    <w:rPr>
      <w:rFonts w:ascii="Tahoma" w:hAnsi="Tahoma" w:cs="Tahoma"/>
      <w:sz w:val="16"/>
      <w:szCs w:val="16"/>
    </w:rPr>
  </w:style>
  <w:style w:type="character" w:customStyle="1" w:styleId="BalloonTextChar">
    <w:name w:val="Balloon Text Char"/>
    <w:basedOn w:val="DefaultParagraphFont"/>
    <w:link w:val="BalloonText"/>
    <w:uiPriority w:val="99"/>
    <w:semiHidden/>
    <w:rsid w:val="001B1DE4"/>
    <w:rPr>
      <w:rFonts w:ascii="Tahoma" w:hAnsi="Tahoma" w:cs="Tahoma"/>
      <w:sz w:val="16"/>
      <w:szCs w:val="16"/>
    </w:rPr>
  </w:style>
  <w:style w:type="table" w:styleId="TableGrid">
    <w:name w:val="Table Grid"/>
    <w:basedOn w:val="TableNormal"/>
    <w:uiPriority w:val="59"/>
    <w:rsid w:val="00FB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E21"/>
    <w:rPr>
      <w:sz w:val="16"/>
      <w:szCs w:val="16"/>
    </w:rPr>
  </w:style>
  <w:style w:type="paragraph" w:styleId="CommentText">
    <w:name w:val="annotation text"/>
    <w:basedOn w:val="Normal"/>
    <w:link w:val="CommentTextChar"/>
    <w:uiPriority w:val="99"/>
    <w:unhideWhenUsed/>
    <w:rsid w:val="00FB5E21"/>
    <w:rPr>
      <w:sz w:val="20"/>
      <w:szCs w:val="20"/>
    </w:rPr>
  </w:style>
  <w:style w:type="character" w:customStyle="1" w:styleId="CommentTextChar">
    <w:name w:val="Comment Text Char"/>
    <w:basedOn w:val="DefaultParagraphFont"/>
    <w:link w:val="CommentText"/>
    <w:uiPriority w:val="99"/>
    <w:rsid w:val="00FB5E21"/>
    <w:rPr>
      <w:sz w:val="20"/>
      <w:szCs w:val="20"/>
    </w:rPr>
  </w:style>
  <w:style w:type="paragraph" w:styleId="CommentSubject">
    <w:name w:val="annotation subject"/>
    <w:basedOn w:val="CommentText"/>
    <w:next w:val="CommentText"/>
    <w:link w:val="CommentSubjectChar"/>
    <w:uiPriority w:val="99"/>
    <w:semiHidden/>
    <w:unhideWhenUsed/>
    <w:rsid w:val="00FB5E21"/>
    <w:rPr>
      <w:b/>
      <w:bCs/>
    </w:rPr>
  </w:style>
  <w:style w:type="character" w:customStyle="1" w:styleId="CommentSubjectChar">
    <w:name w:val="Comment Subject Char"/>
    <w:basedOn w:val="CommentTextChar"/>
    <w:link w:val="CommentSubject"/>
    <w:uiPriority w:val="99"/>
    <w:semiHidden/>
    <w:rsid w:val="00FB5E21"/>
    <w:rPr>
      <w:b/>
      <w:bCs/>
      <w:sz w:val="20"/>
      <w:szCs w:val="20"/>
    </w:rPr>
  </w:style>
  <w:style w:type="paragraph" w:styleId="Revision">
    <w:name w:val="Revision"/>
    <w:hidden/>
    <w:uiPriority w:val="99"/>
    <w:semiHidden/>
    <w:rsid w:val="00FB5E21"/>
    <w:pPr>
      <w:spacing w:after="0" w:line="240" w:lineRule="auto"/>
    </w:pPr>
  </w:style>
  <w:style w:type="paragraph" w:styleId="Header">
    <w:name w:val="header"/>
    <w:basedOn w:val="Normal"/>
    <w:link w:val="HeaderChar"/>
    <w:uiPriority w:val="99"/>
    <w:unhideWhenUsed/>
    <w:rsid w:val="0022187B"/>
    <w:pPr>
      <w:tabs>
        <w:tab w:val="center" w:pos="4680"/>
        <w:tab w:val="right" w:pos="9360"/>
      </w:tabs>
    </w:pPr>
  </w:style>
  <w:style w:type="character" w:customStyle="1" w:styleId="HeaderChar">
    <w:name w:val="Header Char"/>
    <w:basedOn w:val="DefaultParagraphFont"/>
    <w:link w:val="Header"/>
    <w:uiPriority w:val="99"/>
    <w:rsid w:val="0022187B"/>
  </w:style>
  <w:style w:type="paragraph" w:styleId="Footer">
    <w:name w:val="footer"/>
    <w:basedOn w:val="Normal"/>
    <w:link w:val="FooterChar"/>
    <w:uiPriority w:val="99"/>
    <w:unhideWhenUsed/>
    <w:rsid w:val="0022187B"/>
    <w:pPr>
      <w:tabs>
        <w:tab w:val="center" w:pos="4680"/>
        <w:tab w:val="right" w:pos="9360"/>
      </w:tabs>
    </w:pPr>
  </w:style>
  <w:style w:type="character" w:customStyle="1" w:styleId="FooterChar">
    <w:name w:val="Footer Char"/>
    <w:basedOn w:val="DefaultParagraphFont"/>
    <w:link w:val="Footer"/>
    <w:uiPriority w:val="99"/>
    <w:rsid w:val="0022187B"/>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 Char,ft,Footnote Text MRP,f,c"/>
    <w:basedOn w:val="Normal"/>
    <w:link w:val="FootnoteTextChar"/>
    <w:uiPriority w:val="99"/>
    <w:unhideWhenUsed/>
    <w:qFormat/>
    <w:rsid w:val="003C174D"/>
    <w:rPr>
      <w:szCs w:val="20"/>
    </w:rPr>
  </w:style>
  <w:style w:type="character" w:customStyle="1" w:styleId="FootnoteTextChar">
    <w:name w:val="Footnote Text Char"/>
    <w:aliases w:val="Footnote Text Char1 Char Char,Footnote Text Char Char Char Char,Footnote Text Char1 Char1,Footnote Text Char Char1 Char,fn Char,Footnote Text Char Char Char1,fn Char Char Char,Footnote Text Char1 Char1 Char Char,ft Char Char,ft Char1"/>
    <w:basedOn w:val="DefaultParagraphFont"/>
    <w:link w:val="FootnoteText"/>
    <w:uiPriority w:val="99"/>
    <w:rsid w:val="003C174D"/>
    <w:rPr>
      <w:rFonts w:ascii="Times New Roman" w:hAnsi="Times New Roman" w:cs="Times New Roman"/>
      <w:color w:val="000000"/>
      <w:sz w:val="26"/>
      <w:szCs w:val="20"/>
    </w:rPr>
  </w:style>
  <w:style w:type="character" w:styleId="FootnoteReference">
    <w:name w:val="footnote reference"/>
    <w:aliases w:val="o,Style 17,fr,Style 13,Style 12,Style 15,Style 9,o1,fr1,o2,fr2,o3,fr3,Style 18,(NECG) Footnote Reference,Style 20,Style 7,Style 8,Style 19,Style 28,Style 11,Style 16,Styl,Footnote Reference (EIS),fnr,Footnote reference (EA),Style 30,."/>
    <w:basedOn w:val="DefaultParagraphFont"/>
    <w:uiPriority w:val="99"/>
    <w:unhideWhenUsed/>
    <w:qFormat/>
    <w:rsid w:val="0045689E"/>
    <w:rPr>
      <w:vertAlign w:val="superscript"/>
    </w:rPr>
  </w:style>
  <w:style w:type="character" w:customStyle="1" w:styleId="Heading3Char">
    <w:name w:val="Heading 3 Char"/>
    <w:basedOn w:val="DefaultParagraphFont"/>
    <w:link w:val="Heading3"/>
    <w:uiPriority w:val="9"/>
    <w:rsid w:val="005575BD"/>
    <w:rPr>
      <w:rFonts w:ascii="Times New Roman" w:hAnsi="Times New Roman" w:cs="Times New Roman"/>
      <w:color w:val="000000"/>
      <w:sz w:val="26"/>
      <w:szCs w:val="26"/>
      <w:u w:val="single"/>
    </w:rPr>
  </w:style>
  <w:style w:type="character" w:customStyle="1" w:styleId="Heading4Char">
    <w:name w:val="Heading 4 Char"/>
    <w:basedOn w:val="DefaultParagraphFont"/>
    <w:link w:val="Heading4"/>
    <w:rsid w:val="005575BD"/>
    <w:rPr>
      <w:rFonts w:ascii="Times New Roman" w:hAnsi="Times New Roman" w:cs="Times New Roman"/>
      <w:i/>
      <w:color w:val="000000"/>
      <w:sz w:val="26"/>
      <w:szCs w:val="26"/>
    </w:rPr>
  </w:style>
  <w:style w:type="paragraph" w:styleId="BodyText">
    <w:name w:val="Body Text"/>
    <w:basedOn w:val="Normal"/>
    <w:link w:val="BodyTextChar"/>
    <w:uiPriority w:val="99"/>
    <w:unhideWhenUsed/>
    <w:rsid w:val="005575BD"/>
    <w:pPr>
      <w:spacing w:after="120" w:line="259" w:lineRule="auto"/>
    </w:pPr>
  </w:style>
  <w:style w:type="character" w:customStyle="1" w:styleId="BodyTextChar">
    <w:name w:val="Body Text Char"/>
    <w:basedOn w:val="DefaultParagraphFont"/>
    <w:link w:val="BodyText"/>
    <w:uiPriority w:val="99"/>
    <w:rsid w:val="005575BD"/>
    <w:rPr>
      <w:rFonts w:ascii="Times New Roman" w:hAnsi="Times New Roman" w:cs="Times New Roman"/>
      <w:color w:val="000000"/>
      <w:sz w:val="26"/>
      <w:szCs w:val="26"/>
    </w:rPr>
  </w:style>
  <w:style w:type="paragraph" w:styleId="ListParagraph">
    <w:name w:val="List Paragraph"/>
    <w:basedOn w:val="Normal"/>
    <w:uiPriority w:val="34"/>
    <w:qFormat/>
    <w:rsid w:val="005575BD"/>
    <w:pPr>
      <w:spacing w:after="160" w:line="259" w:lineRule="auto"/>
      <w:ind w:left="720"/>
      <w:contextualSpacing/>
    </w:pPr>
  </w:style>
  <w:style w:type="paragraph" w:styleId="NoSpacing">
    <w:name w:val="No Spacing"/>
    <w:uiPriority w:val="1"/>
    <w:qFormat/>
    <w:rsid w:val="00FA5BD0"/>
    <w:pPr>
      <w:spacing w:after="0" w:line="240" w:lineRule="auto"/>
    </w:pPr>
  </w:style>
  <w:style w:type="paragraph" w:styleId="NormalWeb">
    <w:name w:val="Normal (Web)"/>
    <w:basedOn w:val="Normal"/>
    <w:uiPriority w:val="99"/>
    <w:unhideWhenUsed/>
    <w:rsid w:val="00A71FBB"/>
    <w:pPr>
      <w:autoSpaceDE/>
      <w:autoSpaceDN/>
      <w:adjustRightInd/>
      <w:ind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ouise.nutter@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vid.kathan@ferc.gov" TargetMode="External"/><Relationship Id="rId2" Type="http://schemas.openxmlformats.org/officeDocument/2006/relationships/customXml" Target="../customXml/item2.xml"/><Relationship Id="rId16" Type="http://schemas.openxmlformats.org/officeDocument/2006/relationships/hyperlink" Target="mailto:accessibility@fer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erc.gov/whats-new/registration/04-10-18-form.asp" TargetMode="External"/><Relationship Id="rId10" Type="http://schemas.openxmlformats.org/officeDocument/2006/relationships/settings" Target="settings.xml"/><Relationship Id="rId19" Type="http://schemas.openxmlformats.org/officeDocument/2006/relationships/hyperlink" Target="mailto:sarah.mckinley@ferc.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erc.gov/whats-new/registration/04-10-18-speaker-form.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ridarchitecture.pnnl.gov/" TargetMode="External"/><Relationship Id="rId1" Type="http://schemas.openxmlformats.org/officeDocument/2006/relationships/hyperlink" Target="http://www.nerc.com/comm/PC_Reliability_Guidelines_DL/Reliability_Guideline_-_DER_Modeling_Parameters_-_2017-08-18_-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Other</Rulemaking_x0020_Document_x0020_Type>
    <_x0033__x002e__x0020_Docket_x0020_Number xmlns="d6eefc7d-9817-4fa6-84d5-3bc009be21b8">AD18-10</_x0033__x002e__x0020_Docket_x0020_Number>
    <_x0031__x002e__x0020_Collection_x0020_Number xmlns="d6eefc7d-9817-4fa6-84d5-3bc009be21b8">516H</_x0031__x002e__x0020_Collection_x0020_Number>
    <Date xmlns="d6eefc7d-9817-4fa6-84d5-3bc009be21b8">2018-02-15T00:00:00-05:00</Date>
    <Status xmlns="d6eefc7d-9817-4fa6-84d5-3bc009be21b8">Issued</Status>
    <_x0032__x002e__x0020_Docket_x0020_Number xmlns="d6eefc7d-9817-4fa6-84d5-3bc009be21b8">RM18-9</_x0032__x002e__x0020_Docket_x0020_Number>
    <_x0032__x002e__x0020_Collection_x0020_Number xmlns="d6eefc7d-9817-4fa6-84d5-3bc009be21b8">516</_x0032__x002e__x0020_Collection_x0020_Number>
    <_x0031__x002e__x0020_Docket_x0020_Number xmlns="d6eefc7d-9817-4fa6-84d5-3bc009be21b8">RM16-23</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E7051-6C22-4445-9D29-B32B43626E3C}">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BE08716-3AEB-4479-8C5C-EAB55A67E1CC}">
  <ds:schemaRefs>
    <ds:schemaRef ds:uri="Microsoft.SharePoint.Taxonomy.ContentTypeSync"/>
  </ds:schemaRefs>
</ds:datastoreItem>
</file>

<file path=customXml/itemProps3.xml><?xml version="1.0" encoding="utf-8"?>
<ds:datastoreItem xmlns:ds="http://schemas.openxmlformats.org/officeDocument/2006/customXml" ds:itemID="{3BDF4D99-ED9C-4B35-BD01-E53FB21A24B3}">
  <ds:schemaRefs>
    <ds:schemaRef ds:uri="http://schemas.microsoft.com/sharepoint/v3/contenttype/forms"/>
  </ds:schemaRefs>
</ds:datastoreItem>
</file>

<file path=customXml/itemProps4.xml><?xml version="1.0" encoding="utf-8"?>
<ds:datastoreItem xmlns:ds="http://schemas.openxmlformats.org/officeDocument/2006/customXml" ds:itemID="{CA819FC7-65D5-485C-9D3C-123C2B86D0C6}">
  <ds:schemaRefs>
    <ds:schemaRef ds:uri="http://schemas.microsoft.com/office/2006/metadata/customXsn"/>
  </ds:schemaRefs>
</ds:datastoreItem>
</file>

<file path=customXml/itemProps5.xml><?xml version="1.0" encoding="utf-8"?>
<ds:datastoreItem xmlns:ds="http://schemas.openxmlformats.org/officeDocument/2006/customXml" ds:itemID="{312DAB5C-ECA2-44B0-ADB5-F5F8C9AA6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A5EADC-AE47-4B26-B0DA-E15E9F1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2018-02-14T20:35:00Z</cp:lastPrinted>
  <dcterms:created xsi:type="dcterms:W3CDTF">2018-02-21T14:39:00Z</dcterms:created>
  <dcterms:modified xsi:type="dcterms:W3CDTF">2018-02-21T14:39:00Z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