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63615642" w14:textId="0F080592" w:rsidR="00D001E4" w:rsidRDefault="00523C2B">
          <w:pPr>
            <w:rPr>
              <w:noProof/>
            </w:rPr>
          </w:pPr>
          <w:r>
            <w:rPr>
              <w:noProof/>
            </w:rPr>
            <w:drawing>
              <wp:anchor distT="0" distB="0" distL="114300" distR="114300" simplePos="0" relativeHeight="251675647" behindDoc="0" locked="0" layoutInCell="1" allowOverlap="1" wp14:anchorId="138DB064" wp14:editId="3287772E">
                <wp:simplePos x="0" y="0"/>
                <wp:positionH relativeFrom="column">
                  <wp:posOffset>6350</wp:posOffset>
                </wp:positionH>
                <wp:positionV relativeFrom="paragraph">
                  <wp:posOffset>88900</wp:posOffset>
                </wp:positionV>
                <wp:extent cx="3175000" cy="609600"/>
                <wp:effectExtent l="0" t="0" r="6350" b="0"/>
                <wp:wrapThrough wrapText="bothSides">
                  <wp:wrapPolygon edited="0">
                    <wp:start x="0" y="0"/>
                    <wp:lineTo x="0" y="20925"/>
                    <wp:lineTo x="21514" y="20925"/>
                    <wp:lineTo x="21514" y="0"/>
                    <wp:lineTo x="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0" cstate="print"/>
                        <a:stretch>
                          <a:fillRect/>
                        </a:stretch>
                      </pic:blipFill>
                      <pic:spPr>
                        <a:xfrm>
                          <a:off x="0" y="0"/>
                          <a:ext cx="3175000" cy="609600"/>
                        </a:xfrm>
                        <a:prstGeom prst="rect">
                          <a:avLst/>
                        </a:prstGeom>
                      </pic:spPr>
                    </pic:pic>
                  </a:graphicData>
                </a:graphic>
              </wp:anchor>
            </w:drawing>
          </w:r>
          <w:r w:rsidR="00711414">
            <w:rPr>
              <w:noProof/>
            </w:rPr>
            <mc:AlternateContent>
              <mc:Choice Requires="wps">
                <w:drawing>
                  <wp:anchor distT="0" distB="0" distL="114300" distR="114300" simplePos="0" relativeHeight="251676672" behindDoc="1" locked="0" layoutInCell="1" allowOverlap="1" wp14:anchorId="2DEF08A6" wp14:editId="41CA7B52">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01CDAF61" id="Rectangle 27" o:spid="_x0000_s1026"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711414">
            <w:rPr>
              <w:noProof/>
            </w:rPr>
            <mc:AlternateContent>
              <mc:Choice Requires="wps">
                <w:drawing>
                  <wp:anchor distT="0" distB="0" distL="114300" distR="114300" simplePos="0" relativeHeight="251678720" behindDoc="0" locked="0" layoutInCell="1" allowOverlap="1" wp14:anchorId="57B398DE" wp14:editId="1FFC5118">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type w14:anchorId="62E32D18"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2836FB85" w14:textId="77777777" w:rsidR="00041909" w:rsidRDefault="001F3A8F" w:rsidP="00D928FD">
          <w:pPr>
            <w:ind w:left="1080"/>
          </w:pPr>
          <w:r>
            <w:rPr>
              <w:noProof/>
            </w:rPr>
            <w:softHyphen/>
          </w:r>
          <w:r>
            <w:rPr>
              <w:noProof/>
            </w:rPr>
            <w:softHyphen/>
          </w:r>
          <w:r>
            <w:rPr>
              <w:noProof/>
            </w:rPr>
            <w:softHyphen/>
          </w:r>
        </w:p>
      </w:sdtContent>
    </w:sdt>
    <w:p w14:paraId="605BD31D" w14:textId="77777777" w:rsidR="00D928FD" w:rsidRDefault="00D928FD" w:rsidP="00D928F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3DBEE969" w14:textId="77777777" w:rsidR="00711414" w:rsidRDefault="00172EB9" w:rsidP="0071141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Electric Emergency Incident and Disturbance Report</w:t>
          </w:r>
        </w:p>
      </w:sdtContent>
    </w:sdt>
    <w:p w14:paraId="600D2DDF" w14:textId="77777777" w:rsidR="0059212D" w:rsidRPr="00EE2CAF" w:rsidRDefault="00EE2CAF">
      <w:pPr>
        <w:pStyle w:val="Heading1"/>
      </w:pPr>
      <w:bookmarkStart w:id="1" w:name="_Toc466046207"/>
      <w:bookmarkStart w:id="2" w:name="_Toc487186498"/>
      <w:bookmarkStart w:id="3" w:name="_Toc488240605"/>
      <w:r w:rsidRPr="00EE2CAF">
        <w:t>Part A: Justification</w:t>
      </w:r>
      <w:bookmarkEnd w:id="1"/>
      <w:bookmarkEnd w:id="2"/>
      <w:bookmarkEnd w:id="3"/>
    </w:p>
    <w:p w14:paraId="74A59DD9" w14:textId="052BE978" w:rsidR="00711414" w:rsidRPr="00711414" w:rsidRDefault="003C30DA" w:rsidP="00D928FD">
      <w:pPr>
        <w:rPr>
          <w:b/>
          <w:sz w:val="36"/>
          <w:szCs w:val="36"/>
        </w:rPr>
      </w:pPr>
      <w:r>
        <w:rPr>
          <w:noProof/>
        </w:rPr>
        <mc:AlternateContent>
          <mc:Choice Requires="wps">
            <w:drawing>
              <wp:anchor distT="0" distB="0" distL="114300" distR="114300" simplePos="0" relativeHeight="251695104" behindDoc="0" locked="0" layoutInCell="1" allowOverlap="1" wp14:anchorId="2DBFD465" wp14:editId="5C8AAF2F">
                <wp:simplePos x="0" y="0"/>
                <wp:positionH relativeFrom="margin">
                  <wp:align>left</wp:align>
                </wp:positionH>
                <wp:positionV relativeFrom="margin">
                  <wp:posOffset>3352800</wp:posOffset>
                </wp:positionV>
                <wp:extent cx="6019800" cy="24003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1F39B" w14:textId="13690034" w:rsidR="00E11E07" w:rsidRPr="0059212D" w:rsidRDefault="00E11E07" w:rsidP="00FB6BF3">
                            <w:pPr>
                              <w:rPr>
                                <w:i/>
                                <w:sz w:val="28"/>
                                <w:szCs w:val="28"/>
                              </w:rPr>
                            </w:pPr>
                            <w:r>
                              <w:rPr>
                                <w:i/>
                                <w:sz w:val="28"/>
                                <w:szCs w:val="28"/>
                              </w:rPr>
                              <w:t>Form OE-417</w:t>
                            </w:r>
                            <w:r w:rsidRPr="0059212D">
                              <w:rPr>
                                <w:i/>
                                <w:sz w:val="28"/>
                                <w:szCs w:val="28"/>
                              </w:rPr>
                              <w:t xml:space="preserve">, </w:t>
                            </w:r>
                            <w:r w:rsidRPr="00E373EC">
                              <w:rPr>
                                <w:i/>
                                <w:sz w:val="28"/>
                                <w:szCs w:val="28"/>
                              </w:rPr>
                              <w:t>Electric Emergency Incident and Disturbance Report</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0;margin-top:264pt;width:474pt;height:189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" filled="f" stroked="f">
                <v:textbox inset="0">
                  <w:txbxContent>
                    <w:p w14:paraId="22A1F39B" w14:textId="13690034" w:rsidR="00E11E07" w:rsidRPr="0059212D" w:rsidRDefault="00E11E07" w:rsidP="00FB6BF3">
                      <w:pPr>
                        <w:rPr>
                          <w:i/>
                          <w:sz w:val="28"/>
                          <w:szCs w:val="28"/>
                        </w:rPr>
                      </w:pPr>
                      <w:r>
                        <w:rPr>
                          <w:i/>
                          <w:sz w:val="28"/>
                          <w:szCs w:val="28"/>
                        </w:rPr>
                        <w:t>Form OE-417</w:t>
                      </w:r>
                      <w:r w:rsidRPr="0059212D">
                        <w:rPr>
                          <w:i/>
                          <w:sz w:val="28"/>
                          <w:szCs w:val="28"/>
                        </w:rPr>
                        <w:t xml:space="preserve">, </w:t>
                      </w:r>
                      <w:r w:rsidRPr="00E373EC">
                        <w:rPr>
                          <w:i/>
                          <w:sz w:val="28"/>
                          <w:szCs w:val="28"/>
                        </w:rPr>
                        <w:t>Electric Emergency Incident and Disturbance Report</w:t>
                      </w:r>
                    </w:p>
                  </w:txbxContent>
                </v:textbox>
                <w10:wrap type="square" anchorx="margin" anchory="margin"/>
              </v:shape>
            </w:pict>
          </mc:Fallback>
        </mc:AlternateContent>
      </w:r>
      <w:r w:rsidR="00711414" w:rsidRPr="00711414">
        <w:rPr>
          <w:rFonts w:ascii="Times New Roman" w:hAnsi="Times New Roman" w:cs="Times New Roman"/>
          <w:b/>
          <w:sz w:val="36"/>
          <w:szCs w:val="36"/>
        </w:rPr>
        <w:t xml:space="preserve">OMB No. </w:t>
      </w:r>
      <w:r w:rsidR="00E373EC" w:rsidRPr="00E373EC">
        <w:rPr>
          <w:rFonts w:ascii="Times New Roman" w:hAnsi="Times New Roman" w:cs="Times New Roman"/>
          <w:b/>
          <w:sz w:val="36"/>
          <w:szCs w:val="36"/>
        </w:rPr>
        <w:t>1901-0288</w:t>
      </w:r>
    </w:p>
    <w:p w14:paraId="10A585DF" w14:textId="1D78FA31" w:rsidR="001F3A8F" w:rsidRPr="00711414" w:rsidRDefault="003C30DA" w:rsidP="00711414">
      <w:pPr>
        <w:rPr>
          <w:i/>
          <w:sz w:val="28"/>
          <w:szCs w:val="28"/>
        </w:rPr>
      </w:pPr>
      <w:r>
        <w:rPr>
          <w:noProof/>
          <w:color w:val="A6A6A6" w:themeColor="background1" w:themeShade="A6"/>
        </w:rPr>
        <mc:AlternateContent>
          <mc:Choice Requires="wps">
            <w:drawing>
              <wp:anchor distT="0" distB="0" distL="114300" distR="114300" simplePos="0" relativeHeight="251698176" behindDoc="0" locked="0" layoutInCell="1" allowOverlap="1" wp14:anchorId="3B0EA41C" wp14:editId="1A4AF07E">
                <wp:simplePos x="0" y="0"/>
                <wp:positionH relativeFrom="margin">
                  <wp:posOffset>3451225</wp:posOffset>
                </wp:positionH>
                <wp:positionV relativeFrom="margin">
                  <wp:posOffset>8147050</wp:posOffset>
                </wp:positionV>
                <wp:extent cx="2717800" cy="609600"/>
                <wp:effectExtent l="3175" t="3175" r="3175" b="0"/>
                <wp:wrapSquare wrapText="bothSides"/>
                <wp:docPr id="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B3A68" w14:textId="77777777" w:rsidR="00E11E07" w:rsidRPr="008F4CBD" w:rsidRDefault="00E11E07"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5BCC6AFE" w14:textId="77777777" w:rsidR="00E11E07" w:rsidRPr="008F4CBD" w:rsidRDefault="00E11E07"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27" type="#_x0000_t202" style="position:absolute;margin-left:271.75pt;margin-top:641.5pt;width:214pt;height:48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IGAuAIAAL4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" filled="f" stroked="f">
                <v:textbox inset="0">
                  <w:txbxContent>
                    <w:p w14:paraId="3A0B3A68" w14:textId="77777777" w:rsidR="00E11E07" w:rsidRPr="008F4CBD" w:rsidRDefault="00E11E07"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5BCC6AFE" w14:textId="77777777" w:rsidR="00E11E07" w:rsidRPr="008F4CBD" w:rsidRDefault="00E11E07"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Pr>
          <w:noProof/>
          <w:color w:val="A6A6A6" w:themeColor="background1" w:themeShade="A6"/>
        </w:rPr>
        <mc:AlternateContent>
          <mc:Choice Requires="wps">
            <w:drawing>
              <wp:anchor distT="0" distB="0" distL="114300" distR="114300" simplePos="0" relativeHeight="251697152" behindDoc="0" locked="0" layoutInCell="1" allowOverlap="1" wp14:anchorId="2939EF62" wp14:editId="21C1C072">
                <wp:simplePos x="0" y="0"/>
                <wp:positionH relativeFrom="margin">
                  <wp:align>left</wp:align>
                </wp:positionH>
                <wp:positionV relativeFrom="margin">
                  <wp:posOffset>8147050</wp:posOffset>
                </wp:positionV>
                <wp:extent cx="2717800" cy="609600"/>
                <wp:effectExtent l="0" t="0" r="6350" b="0"/>
                <wp:wrapSquare wrapText="bothSides"/>
                <wp:docPr id="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1697D" w14:textId="77777777" w:rsidR="00E11E07" w:rsidRPr="008F4CBD" w:rsidRDefault="00E11E07"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1EA8CABC" w14:textId="77777777" w:rsidR="00E11E07" w:rsidRPr="008F4CBD" w:rsidRDefault="00E11E07"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8" type="#_x0000_t202" style="position:absolute;margin-left:0;margin-top:641.5pt;width:214pt;height:48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bKtQIAALo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" filled="f" stroked="f">
                <v:textbox inset="0,,0">
                  <w:txbxContent>
                    <w:p w14:paraId="4C31697D" w14:textId="77777777" w:rsidR="00E11E07" w:rsidRPr="008F4CBD" w:rsidRDefault="00E11E07"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1EA8CABC" w14:textId="77777777" w:rsidR="00E11E07" w:rsidRPr="008F4CBD" w:rsidRDefault="00E11E07"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EE2CAF">
        <w:rPr>
          <w:noProof/>
        </w:rPr>
        <mc:AlternateContent>
          <mc:Choice Requires="wps">
            <w:drawing>
              <wp:anchor distT="0" distB="0" distL="114300" distR="114300" simplePos="0" relativeHeight="251681792" behindDoc="0" locked="0" layoutInCell="1" allowOverlap="1" wp14:anchorId="3EF93BA2" wp14:editId="7A717EAE">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9DC39" w14:textId="55514A3A" w:rsidR="00E11E07" w:rsidRPr="009818F9" w:rsidRDefault="00E11E07">
                            <w:pPr>
                              <w:rPr>
                                <w:color w:val="A6A6A6" w:themeColor="background1" w:themeShade="A6"/>
                                <w:sz w:val="36"/>
                              </w:rPr>
                            </w:pPr>
                            <w:r>
                              <w:rPr>
                                <w:color w:val="A6A6A6" w:themeColor="background1" w:themeShade="A6"/>
                                <w:sz w:val="36"/>
                              </w:rPr>
                              <w:t>May 3, 2018</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9" type="#_x0000_t202"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j4aHduAIA&#10;AL0FAAAOAAAAAAAAAAAAAAAAAC4CAABkcnMvZTJvRG9jLnhtbFBLAQItABQABgAIAAAAIQDnmLVA&#10;3gAAAAwBAAAPAAAAAAAAAAAAAAAAABIFAABkcnMvZG93bnJldi54bWxQSwUGAAAAAAQABADzAAAA&#10;HQYAAAAA&#10;" filled="f" stroked="f">
                <v:textbox style="mso-fit-shape-to-text:t" inset="0">
                  <w:txbxContent>
                    <w:p w14:paraId="76E9DC39" w14:textId="55514A3A" w:rsidR="00E11E07" w:rsidRPr="009818F9" w:rsidRDefault="00E11E07">
                      <w:pPr>
                        <w:rPr>
                          <w:color w:val="A6A6A6" w:themeColor="background1" w:themeShade="A6"/>
                          <w:sz w:val="36"/>
                        </w:rPr>
                      </w:pPr>
                      <w:r>
                        <w:rPr>
                          <w:color w:val="A6A6A6" w:themeColor="background1" w:themeShade="A6"/>
                          <w:sz w:val="36"/>
                        </w:rPr>
                        <w:t>May 3, 2018</w:t>
                      </w:r>
                    </w:p>
                  </w:txbxContent>
                </v:textbox>
                <w10:wrap type="square" anchorx="margin" anchory="margin"/>
              </v:shape>
            </w:pict>
          </mc:Fallback>
        </mc:AlternateContent>
      </w:r>
      <w:r w:rsidR="00EE2CAF">
        <w:rPr>
          <w:noProof/>
        </w:rPr>
        <mc:AlternateContent>
          <mc:Choice Requires="wps">
            <w:drawing>
              <wp:anchor distT="0" distB="0" distL="114300" distR="114300" simplePos="0" relativeHeight="251689984" behindDoc="1" locked="0" layoutInCell="1" allowOverlap="1" wp14:anchorId="6F15D3CB" wp14:editId="336AF2E1">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7B1844C9" id="Rectangle 34" o:spid="_x0000_s1026"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fillcolor="#0c95d3" stroked="f" strokecolor="#f2f2f2 [3041]" strokeweight="3pt">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anchorId="28F47D61" wp14:editId="467AAB55">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6EF57" w14:textId="77777777" w:rsidR="00E11E07" w:rsidRPr="00AA3D91" w:rsidRDefault="00E11E07"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4tuw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" filled="f" stroked="f">
                <v:textbox inset="0">
                  <w:txbxContent>
                    <w:p w14:paraId="4BB6EF57" w14:textId="77777777" w:rsidR="00E11E07" w:rsidRPr="00AA3D91" w:rsidRDefault="00E11E07" w:rsidP="00D001E4">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752" behindDoc="0" locked="0" layoutInCell="1" allowOverlap="1" wp14:anchorId="6B0BC573" wp14:editId="711AF3A5">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1" cstate="print"/>
                    <a:srcRect/>
                    <a:stretch>
                      <a:fillRect/>
                    </a:stretch>
                  </pic:blipFill>
                  <pic:spPr>
                    <a:xfrm>
                      <a:off x="0" y="0"/>
                      <a:ext cx="6343650" cy="647700"/>
                    </a:xfrm>
                    <a:prstGeom prst="rect">
                      <a:avLst/>
                    </a:prstGeom>
                  </pic:spPr>
                </pic:pic>
              </a:graphicData>
            </a:graphic>
          </wp:anchor>
        </w:drawing>
      </w:r>
      <w:r w:rsidR="001F3A8F">
        <w:br w:type="page"/>
      </w:r>
    </w:p>
    <w:p w14:paraId="390D6F30" w14:textId="77777777" w:rsidR="00755C3D" w:rsidRDefault="00755C3D" w:rsidP="00D928FD">
      <w:pPr>
        <w:sectPr w:rsidR="00755C3D" w:rsidSect="001F3A8F">
          <w:headerReference w:type="default" r:id="rId12"/>
          <w:footerReference w:type="default" r:id="rId13"/>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536F6099" w14:textId="77777777" w:rsidR="0059212D" w:rsidRDefault="0059212D">
          <w:pPr>
            <w:pStyle w:val="TOCHeading"/>
          </w:pPr>
          <w:r>
            <w:t>Table of Contents</w:t>
          </w:r>
        </w:p>
        <w:p w14:paraId="72D9B774" w14:textId="77777777" w:rsidR="006D42EC" w:rsidRDefault="0059212D" w:rsidP="00AC1221">
          <w:pPr>
            <w:pStyle w:val="TOC1"/>
            <w:rPr>
              <w:rFonts w:eastAsiaTheme="minorEastAsia"/>
              <w:noProof/>
              <w:color w:val="auto"/>
            </w:rPr>
          </w:pPr>
          <w:r>
            <w:fldChar w:fldCharType="begin"/>
          </w:r>
          <w:r>
            <w:instrText xml:space="preserve"> TOC \o "1-3" \h \z \u </w:instrText>
          </w:r>
          <w:r>
            <w:fldChar w:fldCharType="separate"/>
          </w:r>
          <w:hyperlink w:anchor="_Toc466046207" w:history="1">
            <w:r w:rsidR="006D42EC" w:rsidRPr="005C683D">
              <w:rPr>
                <w:rStyle w:val="Hyperlink"/>
                <w:noProof/>
              </w:rPr>
              <w:t>Part A: Justification</w:t>
            </w:r>
            <w:r w:rsidR="006D42EC">
              <w:rPr>
                <w:noProof/>
                <w:webHidden/>
              </w:rPr>
              <w:tab/>
            </w:r>
            <w:r w:rsidR="006D42EC">
              <w:rPr>
                <w:noProof/>
                <w:webHidden/>
              </w:rPr>
              <w:fldChar w:fldCharType="begin"/>
            </w:r>
            <w:r w:rsidR="006D42EC">
              <w:rPr>
                <w:noProof/>
                <w:webHidden/>
              </w:rPr>
              <w:instrText xml:space="preserve"> PAGEREF _Toc466046207 \h </w:instrText>
            </w:r>
            <w:r w:rsidR="006D42EC">
              <w:rPr>
                <w:noProof/>
                <w:webHidden/>
              </w:rPr>
            </w:r>
            <w:r w:rsidR="006D42EC">
              <w:rPr>
                <w:noProof/>
                <w:webHidden/>
              </w:rPr>
              <w:fldChar w:fldCharType="separate"/>
            </w:r>
            <w:r w:rsidR="00483BAC">
              <w:rPr>
                <w:noProof/>
                <w:webHidden/>
              </w:rPr>
              <w:t>i</w:t>
            </w:r>
            <w:r w:rsidR="006D42EC">
              <w:rPr>
                <w:noProof/>
                <w:webHidden/>
              </w:rPr>
              <w:fldChar w:fldCharType="end"/>
            </w:r>
          </w:hyperlink>
        </w:p>
        <w:p w14:paraId="255FD03C" w14:textId="3D11AE1E" w:rsidR="006D42EC" w:rsidRDefault="009B2B8D" w:rsidP="00AC1221">
          <w:pPr>
            <w:pStyle w:val="TOC2"/>
            <w:rPr>
              <w:rFonts w:eastAsiaTheme="minorEastAsia"/>
              <w:noProof/>
              <w:color w:val="auto"/>
            </w:rPr>
          </w:pPr>
          <w:hyperlink w:anchor="_Toc466046208" w:history="1">
            <w:r w:rsidR="006D42EC" w:rsidRPr="005C683D">
              <w:rPr>
                <w:rStyle w:val="Hyperlink"/>
                <w:noProof/>
              </w:rPr>
              <w:t>Introduction</w:t>
            </w:r>
            <w:r w:rsidR="006D42EC">
              <w:rPr>
                <w:noProof/>
                <w:webHidden/>
              </w:rPr>
              <w:tab/>
            </w:r>
            <w:r w:rsidR="006D42EC">
              <w:rPr>
                <w:noProof/>
                <w:webHidden/>
              </w:rPr>
              <w:fldChar w:fldCharType="begin"/>
            </w:r>
            <w:r w:rsidR="006D42EC">
              <w:rPr>
                <w:noProof/>
                <w:webHidden/>
              </w:rPr>
              <w:instrText xml:space="preserve"> PAGEREF _Toc466046208 \h </w:instrText>
            </w:r>
            <w:r w:rsidR="006D42EC">
              <w:rPr>
                <w:noProof/>
                <w:webHidden/>
              </w:rPr>
            </w:r>
            <w:r w:rsidR="006D42EC">
              <w:rPr>
                <w:noProof/>
                <w:webHidden/>
              </w:rPr>
              <w:fldChar w:fldCharType="separate"/>
            </w:r>
            <w:r w:rsidR="00483BAC">
              <w:rPr>
                <w:noProof/>
                <w:webHidden/>
              </w:rPr>
              <w:t>2</w:t>
            </w:r>
            <w:r w:rsidR="006D42EC">
              <w:rPr>
                <w:noProof/>
                <w:webHidden/>
              </w:rPr>
              <w:fldChar w:fldCharType="end"/>
            </w:r>
          </w:hyperlink>
        </w:p>
        <w:p w14:paraId="67C44145" w14:textId="56D4EF35" w:rsidR="006D42EC" w:rsidRDefault="009B2B8D" w:rsidP="00AC1221">
          <w:pPr>
            <w:pStyle w:val="TOC2"/>
            <w:rPr>
              <w:rFonts w:eastAsiaTheme="minorEastAsia"/>
              <w:noProof/>
              <w:color w:val="auto"/>
            </w:rPr>
          </w:pPr>
          <w:hyperlink w:anchor="_Toc466046209" w:history="1">
            <w:r w:rsidR="006D42EC" w:rsidRPr="005C683D">
              <w:rPr>
                <w:rStyle w:val="Hyperlink"/>
                <w:noProof/>
              </w:rPr>
              <w:t>A.1. Legal Justification</w:t>
            </w:r>
            <w:r w:rsidR="006D42EC">
              <w:rPr>
                <w:noProof/>
                <w:webHidden/>
              </w:rPr>
              <w:tab/>
            </w:r>
            <w:r w:rsidR="006D42EC">
              <w:rPr>
                <w:noProof/>
                <w:webHidden/>
              </w:rPr>
              <w:fldChar w:fldCharType="begin"/>
            </w:r>
            <w:r w:rsidR="006D42EC">
              <w:rPr>
                <w:noProof/>
                <w:webHidden/>
              </w:rPr>
              <w:instrText xml:space="preserve"> PAGEREF _Toc466046209 \h </w:instrText>
            </w:r>
            <w:r w:rsidR="006D42EC">
              <w:rPr>
                <w:noProof/>
                <w:webHidden/>
              </w:rPr>
            </w:r>
            <w:r w:rsidR="006D42EC">
              <w:rPr>
                <w:noProof/>
                <w:webHidden/>
              </w:rPr>
              <w:fldChar w:fldCharType="separate"/>
            </w:r>
            <w:r w:rsidR="00483BAC">
              <w:rPr>
                <w:noProof/>
                <w:webHidden/>
              </w:rPr>
              <w:t>3</w:t>
            </w:r>
            <w:r w:rsidR="006D42EC">
              <w:rPr>
                <w:noProof/>
                <w:webHidden/>
              </w:rPr>
              <w:fldChar w:fldCharType="end"/>
            </w:r>
          </w:hyperlink>
        </w:p>
        <w:p w14:paraId="6F08EC19" w14:textId="3EB29EBB" w:rsidR="006D42EC" w:rsidRDefault="009B2B8D" w:rsidP="00AC1221">
          <w:pPr>
            <w:pStyle w:val="TOC2"/>
            <w:rPr>
              <w:rFonts w:eastAsiaTheme="minorEastAsia"/>
              <w:noProof/>
              <w:color w:val="auto"/>
            </w:rPr>
          </w:pPr>
          <w:hyperlink w:anchor="_Toc466046210" w:history="1">
            <w:r w:rsidR="006D42EC" w:rsidRPr="005C683D">
              <w:rPr>
                <w:rStyle w:val="Hyperlink"/>
                <w:noProof/>
              </w:rPr>
              <w:t>A.2. Needs and Uses of Data</w:t>
            </w:r>
            <w:r w:rsidR="006D42EC">
              <w:rPr>
                <w:noProof/>
                <w:webHidden/>
              </w:rPr>
              <w:tab/>
            </w:r>
            <w:r w:rsidR="006D42EC">
              <w:rPr>
                <w:noProof/>
                <w:webHidden/>
              </w:rPr>
              <w:fldChar w:fldCharType="begin"/>
            </w:r>
            <w:r w:rsidR="006D42EC">
              <w:rPr>
                <w:noProof/>
                <w:webHidden/>
              </w:rPr>
              <w:instrText xml:space="preserve"> PAGEREF _Toc466046210 \h </w:instrText>
            </w:r>
            <w:r w:rsidR="006D42EC">
              <w:rPr>
                <w:noProof/>
                <w:webHidden/>
              </w:rPr>
            </w:r>
            <w:r w:rsidR="006D42EC">
              <w:rPr>
                <w:noProof/>
                <w:webHidden/>
              </w:rPr>
              <w:fldChar w:fldCharType="separate"/>
            </w:r>
            <w:r w:rsidR="00483BAC">
              <w:rPr>
                <w:noProof/>
                <w:webHidden/>
              </w:rPr>
              <w:t>5</w:t>
            </w:r>
            <w:r w:rsidR="006D42EC">
              <w:rPr>
                <w:noProof/>
                <w:webHidden/>
              </w:rPr>
              <w:fldChar w:fldCharType="end"/>
            </w:r>
          </w:hyperlink>
        </w:p>
        <w:p w14:paraId="44567AD6" w14:textId="03805FEF" w:rsidR="006D42EC" w:rsidRDefault="009B2B8D" w:rsidP="00AC1221">
          <w:pPr>
            <w:pStyle w:val="TOC2"/>
            <w:rPr>
              <w:rFonts w:eastAsiaTheme="minorEastAsia"/>
              <w:noProof/>
              <w:color w:val="auto"/>
            </w:rPr>
          </w:pPr>
          <w:hyperlink w:anchor="_Toc466046211" w:history="1">
            <w:r w:rsidR="006D42EC" w:rsidRPr="005C683D">
              <w:rPr>
                <w:rStyle w:val="Hyperlink"/>
                <w:noProof/>
              </w:rPr>
              <w:t>A.3. Use of Technology</w:t>
            </w:r>
            <w:r w:rsidR="006D42EC">
              <w:rPr>
                <w:noProof/>
                <w:webHidden/>
              </w:rPr>
              <w:tab/>
            </w:r>
            <w:r w:rsidR="006D42EC">
              <w:rPr>
                <w:noProof/>
                <w:webHidden/>
              </w:rPr>
              <w:fldChar w:fldCharType="begin"/>
            </w:r>
            <w:r w:rsidR="006D42EC">
              <w:rPr>
                <w:noProof/>
                <w:webHidden/>
              </w:rPr>
              <w:instrText xml:space="preserve"> PAGEREF _Toc466046211 \h </w:instrText>
            </w:r>
            <w:r w:rsidR="006D42EC">
              <w:rPr>
                <w:noProof/>
                <w:webHidden/>
              </w:rPr>
            </w:r>
            <w:r w:rsidR="006D42EC">
              <w:rPr>
                <w:noProof/>
                <w:webHidden/>
              </w:rPr>
              <w:fldChar w:fldCharType="separate"/>
            </w:r>
            <w:r w:rsidR="00483BAC">
              <w:rPr>
                <w:noProof/>
                <w:webHidden/>
              </w:rPr>
              <w:t>10</w:t>
            </w:r>
            <w:r w:rsidR="006D42EC">
              <w:rPr>
                <w:noProof/>
                <w:webHidden/>
              </w:rPr>
              <w:fldChar w:fldCharType="end"/>
            </w:r>
          </w:hyperlink>
        </w:p>
        <w:p w14:paraId="44B3320B" w14:textId="18714D4D" w:rsidR="006D42EC" w:rsidRDefault="009B2B8D" w:rsidP="00AC1221">
          <w:pPr>
            <w:pStyle w:val="TOC2"/>
            <w:rPr>
              <w:rFonts w:eastAsiaTheme="minorEastAsia"/>
              <w:noProof/>
              <w:color w:val="auto"/>
            </w:rPr>
          </w:pPr>
          <w:hyperlink w:anchor="_Toc466046212" w:history="1">
            <w:r w:rsidR="006D42EC" w:rsidRPr="005C683D">
              <w:rPr>
                <w:rStyle w:val="Hyperlink"/>
                <w:noProof/>
              </w:rPr>
              <w:t>A.4. Efforts to Identify Duplication</w:t>
            </w:r>
            <w:r w:rsidR="006D42EC">
              <w:rPr>
                <w:noProof/>
                <w:webHidden/>
              </w:rPr>
              <w:tab/>
            </w:r>
            <w:r w:rsidR="006D42EC">
              <w:rPr>
                <w:noProof/>
                <w:webHidden/>
              </w:rPr>
              <w:fldChar w:fldCharType="begin"/>
            </w:r>
            <w:r w:rsidR="006D42EC">
              <w:rPr>
                <w:noProof/>
                <w:webHidden/>
              </w:rPr>
              <w:instrText xml:space="preserve"> PAGEREF _Toc466046212 \h </w:instrText>
            </w:r>
            <w:r w:rsidR="006D42EC">
              <w:rPr>
                <w:noProof/>
                <w:webHidden/>
              </w:rPr>
            </w:r>
            <w:r w:rsidR="006D42EC">
              <w:rPr>
                <w:noProof/>
                <w:webHidden/>
              </w:rPr>
              <w:fldChar w:fldCharType="separate"/>
            </w:r>
            <w:r w:rsidR="00483BAC">
              <w:rPr>
                <w:noProof/>
                <w:webHidden/>
              </w:rPr>
              <w:t>11</w:t>
            </w:r>
            <w:r w:rsidR="006D42EC">
              <w:rPr>
                <w:noProof/>
                <w:webHidden/>
              </w:rPr>
              <w:fldChar w:fldCharType="end"/>
            </w:r>
          </w:hyperlink>
        </w:p>
        <w:p w14:paraId="2993A2B8" w14:textId="556CAF96" w:rsidR="006D42EC" w:rsidRDefault="009B2B8D" w:rsidP="00AC1221">
          <w:pPr>
            <w:pStyle w:val="TOC2"/>
            <w:rPr>
              <w:rFonts w:eastAsiaTheme="minorEastAsia"/>
              <w:noProof/>
              <w:color w:val="auto"/>
            </w:rPr>
          </w:pPr>
          <w:hyperlink w:anchor="_Toc466046213" w:history="1">
            <w:r w:rsidR="006D42EC" w:rsidRPr="005C683D">
              <w:rPr>
                <w:rStyle w:val="Hyperlink"/>
                <w:noProof/>
              </w:rPr>
              <w:t>A.5. Provisions for Reducing Burden on Small Businesses</w:t>
            </w:r>
            <w:r w:rsidR="006D42EC">
              <w:rPr>
                <w:noProof/>
                <w:webHidden/>
              </w:rPr>
              <w:tab/>
            </w:r>
            <w:r w:rsidR="006D42EC">
              <w:rPr>
                <w:noProof/>
                <w:webHidden/>
              </w:rPr>
              <w:fldChar w:fldCharType="begin"/>
            </w:r>
            <w:r w:rsidR="006D42EC">
              <w:rPr>
                <w:noProof/>
                <w:webHidden/>
              </w:rPr>
              <w:instrText xml:space="preserve"> PAGEREF _Toc466046213 \h </w:instrText>
            </w:r>
            <w:r w:rsidR="006D42EC">
              <w:rPr>
                <w:noProof/>
                <w:webHidden/>
              </w:rPr>
            </w:r>
            <w:r w:rsidR="006D42EC">
              <w:rPr>
                <w:noProof/>
                <w:webHidden/>
              </w:rPr>
              <w:fldChar w:fldCharType="separate"/>
            </w:r>
            <w:r w:rsidR="00483BAC">
              <w:rPr>
                <w:noProof/>
                <w:webHidden/>
              </w:rPr>
              <w:t>12</w:t>
            </w:r>
            <w:r w:rsidR="006D42EC">
              <w:rPr>
                <w:noProof/>
                <w:webHidden/>
              </w:rPr>
              <w:fldChar w:fldCharType="end"/>
            </w:r>
          </w:hyperlink>
        </w:p>
        <w:p w14:paraId="1FD634B4" w14:textId="18621D5C" w:rsidR="006D42EC" w:rsidRDefault="009B2B8D" w:rsidP="00AC1221">
          <w:pPr>
            <w:pStyle w:val="TOC2"/>
            <w:rPr>
              <w:rFonts w:eastAsiaTheme="minorEastAsia"/>
              <w:noProof/>
              <w:color w:val="auto"/>
            </w:rPr>
          </w:pPr>
          <w:hyperlink w:anchor="_Toc466046214" w:history="1">
            <w:r w:rsidR="006D42EC" w:rsidRPr="005C683D">
              <w:rPr>
                <w:rStyle w:val="Hyperlink"/>
                <w:noProof/>
              </w:rPr>
              <w:t>A.6. Consequences of Less-Frequent Reporting</w:t>
            </w:r>
            <w:r w:rsidR="006D42EC">
              <w:rPr>
                <w:noProof/>
                <w:webHidden/>
              </w:rPr>
              <w:tab/>
            </w:r>
            <w:r w:rsidR="006D42EC">
              <w:rPr>
                <w:noProof/>
                <w:webHidden/>
              </w:rPr>
              <w:fldChar w:fldCharType="begin"/>
            </w:r>
            <w:r w:rsidR="006D42EC">
              <w:rPr>
                <w:noProof/>
                <w:webHidden/>
              </w:rPr>
              <w:instrText xml:space="preserve"> PAGEREF _Toc466046214 \h </w:instrText>
            </w:r>
            <w:r w:rsidR="006D42EC">
              <w:rPr>
                <w:noProof/>
                <w:webHidden/>
              </w:rPr>
            </w:r>
            <w:r w:rsidR="006D42EC">
              <w:rPr>
                <w:noProof/>
                <w:webHidden/>
              </w:rPr>
              <w:fldChar w:fldCharType="separate"/>
            </w:r>
            <w:r w:rsidR="00483BAC">
              <w:rPr>
                <w:noProof/>
                <w:webHidden/>
              </w:rPr>
              <w:t>12</w:t>
            </w:r>
            <w:r w:rsidR="006D42EC">
              <w:rPr>
                <w:noProof/>
                <w:webHidden/>
              </w:rPr>
              <w:fldChar w:fldCharType="end"/>
            </w:r>
          </w:hyperlink>
        </w:p>
        <w:p w14:paraId="77B09848" w14:textId="1CEF7477" w:rsidR="006D42EC" w:rsidRDefault="009B2B8D" w:rsidP="00AC1221">
          <w:pPr>
            <w:pStyle w:val="TOC2"/>
            <w:rPr>
              <w:rFonts w:eastAsiaTheme="minorEastAsia"/>
              <w:noProof/>
              <w:color w:val="auto"/>
            </w:rPr>
          </w:pPr>
          <w:hyperlink w:anchor="_Toc466046215" w:history="1">
            <w:r w:rsidR="006D42EC" w:rsidRPr="005C683D">
              <w:rPr>
                <w:rStyle w:val="Hyperlink"/>
                <w:noProof/>
              </w:rPr>
              <w:t>A.7. Compliance with 5 CFR 1320.5</w:t>
            </w:r>
            <w:r w:rsidR="006D42EC">
              <w:rPr>
                <w:noProof/>
                <w:webHidden/>
              </w:rPr>
              <w:tab/>
            </w:r>
            <w:r w:rsidR="006D42EC">
              <w:rPr>
                <w:noProof/>
                <w:webHidden/>
              </w:rPr>
              <w:fldChar w:fldCharType="begin"/>
            </w:r>
            <w:r w:rsidR="006D42EC">
              <w:rPr>
                <w:noProof/>
                <w:webHidden/>
              </w:rPr>
              <w:instrText xml:space="preserve"> PAGEREF _Toc466046215 \h </w:instrText>
            </w:r>
            <w:r w:rsidR="006D42EC">
              <w:rPr>
                <w:noProof/>
                <w:webHidden/>
              </w:rPr>
            </w:r>
            <w:r w:rsidR="006D42EC">
              <w:rPr>
                <w:noProof/>
                <w:webHidden/>
              </w:rPr>
              <w:fldChar w:fldCharType="separate"/>
            </w:r>
            <w:r w:rsidR="00483BAC">
              <w:rPr>
                <w:noProof/>
                <w:webHidden/>
              </w:rPr>
              <w:t>12</w:t>
            </w:r>
            <w:r w:rsidR="006D42EC">
              <w:rPr>
                <w:noProof/>
                <w:webHidden/>
              </w:rPr>
              <w:fldChar w:fldCharType="end"/>
            </w:r>
          </w:hyperlink>
        </w:p>
        <w:p w14:paraId="4CCEF984" w14:textId="0DA7844E" w:rsidR="006D42EC" w:rsidRDefault="009B2B8D" w:rsidP="00AC1221">
          <w:pPr>
            <w:pStyle w:val="TOC2"/>
            <w:rPr>
              <w:rFonts w:eastAsiaTheme="minorEastAsia"/>
              <w:noProof/>
              <w:color w:val="auto"/>
            </w:rPr>
          </w:pPr>
          <w:hyperlink w:anchor="_Toc466046216" w:history="1">
            <w:r w:rsidR="006D42EC" w:rsidRPr="005C683D">
              <w:rPr>
                <w:rStyle w:val="Hyperlink"/>
                <w:noProof/>
              </w:rPr>
              <w:t>A.8. Summary of Consultations Outside of the Agency</w:t>
            </w:r>
            <w:r w:rsidR="006D42EC">
              <w:rPr>
                <w:noProof/>
                <w:webHidden/>
              </w:rPr>
              <w:tab/>
            </w:r>
            <w:r w:rsidR="006D42EC">
              <w:rPr>
                <w:noProof/>
                <w:webHidden/>
              </w:rPr>
              <w:fldChar w:fldCharType="begin"/>
            </w:r>
            <w:r w:rsidR="006D42EC">
              <w:rPr>
                <w:noProof/>
                <w:webHidden/>
              </w:rPr>
              <w:instrText xml:space="preserve"> PAGEREF _Toc466046216 \h </w:instrText>
            </w:r>
            <w:r w:rsidR="006D42EC">
              <w:rPr>
                <w:noProof/>
                <w:webHidden/>
              </w:rPr>
            </w:r>
            <w:r w:rsidR="006D42EC">
              <w:rPr>
                <w:noProof/>
                <w:webHidden/>
              </w:rPr>
              <w:fldChar w:fldCharType="separate"/>
            </w:r>
            <w:r w:rsidR="00483BAC">
              <w:rPr>
                <w:noProof/>
                <w:webHidden/>
              </w:rPr>
              <w:t>13</w:t>
            </w:r>
            <w:r w:rsidR="006D42EC">
              <w:rPr>
                <w:noProof/>
                <w:webHidden/>
              </w:rPr>
              <w:fldChar w:fldCharType="end"/>
            </w:r>
          </w:hyperlink>
        </w:p>
        <w:p w14:paraId="3B47246E" w14:textId="71B7A39D" w:rsidR="006D42EC" w:rsidRDefault="009B2B8D" w:rsidP="00AC1221">
          <w:pPr>
            <w:pStyle w:val="TOC2"/>
            <w:rPr>
              <w:rFonts w:eastAsiaTheme="minorEastAsia"/>
              <w:noProof/>
              <w:color w:val="auto"/>
            </w:rPr>
          </w:pPr>
          <w:hyperlink w:anchor="_Toc466046217" w:history="1">
            <w:r w:rsidR="006D42EC" w:rsidRPr="005C683D">
              <w:rPr>
                <w:rStyle w:val="Hyperlink"/>
                <w:noProof/>
              </w:rPr>
              <w:t>A.9. Payments or Gifts to Respondents</w:t>
            </w:r>
            <w:r w:rsidR="006D42EC">
              <w:rPr>
                <w:noProof/>
                <w:webHidden/>
              </w:rPr>
              <w:tab/>
            </w:r>
            <w:r w:rsidR="006D42EC">
              <w:rPr>
                <w:noProof/>
                <w:webHidden/>
              </w:rPr>
              <w:fldChar w:fldCharType="begin"/>
            </w:r>
            <w:r w:rsidR="006D42EC">
              <w:rPr>
                <w:noProof/>
                <w:webHidden/>
              </w:rPr>
              <w:instrText xml:space="preserve"> PAGEREF _Toc466046217 \h </w:instrText>
            </w:r>
            <w:r w:rsidR="006D42EC">
              <w:rPr>
                <w:noProof/>
                <w:webHidden/>
              </w:rPr>
            </w:r>
            <w:r w:rsidR="006D42EC">
              <w:rPr>
                <w:noProof/>
                <w:webHidden/>
              </w:rPr>
              <w:fldChar w:fldCharType="separate"/>
            </w:r>
            <w:r w:rsidR="00483BAC">
              <w:rPr>
                <w:noProof/>
                <w:webHidden/>
              </w:rPr>
              <w:t>13</w:t>
            </w:r>
            <w:r w:rsidR="006D42EC">
              <w:rPr>
                <w:noProof/>
                <w:webHidden/>
              </w:rPr>
              <w:fldChar w:fldCharType="end"/>
            </w:r>
          </w:hyperlink>
        </w:p>
        <w:p w14:paraId="334D63E2" w14:textId="59BAA0A2" w:rsidR="006D42EC" w:rsidRDefault="009B2B8D" w:rsidP="00AC1221">
          <w:pPr>
            <w:pStyle w:val="TOC2"/>
            <w:rPr>
              <w:rFonts w:eastAsiaTheme="minorEastAsia"/>
              <w:noProof/>
              <w:color w:val="auto"/>
            </w:rPr>
          </w:pPr>
          <w:hyperlink w:anchor="_Toc466046218" w:history="1">
            <w:r w:rsidR="006D42EC" w:rsidRPr="005C683D">
              <w:rPr>
                <w:rStyle w:val="Hyperlink"/>
                <w:noProof/>
              </w:rPr>
              <w:t>A.10. Provisions for Protection of Information</w:t>
            </w:r>
            <w:r w:rsidR="006D42EC">
              <w:rPr>
                <w:noProof/>
                <w:webHidden/>
              </w:rPr>
              <w:tab/>
            </w:r>
            <w:r w:rsidR="006D42EC">
              <w:rPr>
                <w:noProof/>
                <w:webHidden/>
              </w:rPr>
              <w:fldChar w:fldCharType="begin"/>
            </w:r>
            <w:r w:rsidR="006D42EC">
              <w:rPr>
                <w:noProof/>
                <w:webHidden/>
              </w:rPr>
              <w:instrText xml:space="preserve"> PAGEREF _Toc466046218 \h </w:instrText>
            </w:r>
            <w:r w:rsidR="006D42EC">
              <w:rPr>
                <w:noProof/>
                <w:webHidden/>
              </w:rPr>
            </w:r>
            <w:r w:rsidR="006D42EC">
              <w:rPr>
                <w:noProof/>
                <w:webHidden/>
              </w:rPr>
              <w:fldChar w:fldCharType="separate"/>
            </w:r>
            <w:r w:rsidR="00483BAC">
              <w:rPr>
                <w:noProof/>
                <w:webHidden/>
              </w:rPr>
              <w:t>13</w:t>
            </w:r>
            <w:r w:rsidR="006D42EC">
              <w:rPr>
                <w:noProof/>
                <w:webHidden/>
              </w:rPr>
              <w:fldChar w:fldCharType="end"/>
            </w:r>
          </w:hyperlink>
        </w:p>
        <w:p w14:paraId="3AFD995D" w14:textId="19F10B19" w:rsidR="006D42EC" w:rsidRDefault="009B2B8D" w:rsidP="00AC1221">
          <w:pPr>
            <w:pStyle w:val="TOC2"/>
            <w:rPr>
              <w:rFonts w:eastAsiaTheme="minorEastAsia"/>
              <w:noProof/>
              <w:color w:val="auto"/>
            </w:rPr>
          </w:pPr>
          <w:hyperlink w:anchor="_Toc466046219" w:history="1">
            <w:r w:rsidR="006D42EC" w:rsidRPr="005C683D">
              <w:rPr>
                <w:rStyle w:val="Hyperlink"/>
                <w:noProof/>
              </w:rPr>
              <w:t>A.11. Justification for Sensitive Questions</w:t>
            </w:r>
            <w:r w:rsidR="006D42EC">
              <w:rPr>
                <w:noProof/>
                <w:webHidden/>
              </w:rPr>
              <w:tab/>
            </w:r>
            <w:r w:rsidR="006D42EC">
              <w:rPr>
                <w:noProof/>
                <w:webHidden/>
              </w:rPr>
              <w:fldChar w:fldCharType="begin"/>
            </w:r>
            <w:r w:rsidR="006D42EC">
              <w:rPr>
                <w:noProof/>
                <w:webHidden/>
              </w:rPr>
              <w:instrText xml:space="preserve"> PAGEREF _Toc466046219 \h </w:instrText>
            </w:r>
            <w:r w:rsidR="006D42EC">
              <w:rPr>
                <w:noProof/>
                <w:webHidden/>
              </w:rPr>
            </w:r>
            <w:r w:rsidR="006D42EC">
              <w:rPr>
                <w:noProof/>
                <w:webHidden/>
              </w:rPr>
              <w:fldChar w:fldCharType="separate"/>
            </w:r>
            <w:r w:rsidR="00483BAC">
              <w:rPr>
                <w:noProof/>
                <w:webHidden/>
              </w:rPr>
              <w:t>14</w:t>
            </w:r>
            <w:r w:rsidR="006D42EC">
              <w:rPr>
                <w:noProof/>
                <w:webHidden/>
              </w:rPr>
              <w:fldChar w:fldCharType="end"/>
            </w:r>
          </w:hyperlink>
        </w:p>
        <w:p w14:paraId="2DF14A78" w14:textId="6D817D6A" w:rsidR="006D42EC" w:rsidRDefault="009B2B8D" w:rsidP="00AC1221">
          <w:pPr>
            <w:pStyle w:val="TOC2"/>
            <w:rPr>
              <w:rFonts w:eastAsiaTheme="minorEastAsia"/>
              <w:noProof/>
              <w:color w:val="auto"/>
            </w:rPr>
          </w:pPr>
          <w:hyperlink w:anchor="_Toc466046220" w:history="1">
            <w:r w:rsidR="006D42EC" w:rsidRPr="005C683D">
              <w:rPr>
                <w:rStyle w:val="Hyperlink"/>
                <w:noProof/>
              </w:rPr>
              <w:t>A.12. Estimate of Respondent Burden Hours and Cost</w:t>
            </w:r>
            <w:r w:rsidR="006D42EC">
              <w:rPr>
                <w:noProof/>
                <w:webHidden/>
              </w:rPr>
              <w:tab/>
            </w:r>
            <w:r w:rsidR="006D42EC">
              <w:rPr>
                <w:noProof/>
                <w:webHidden/>
              </w:rPr>
              <w:fldChar w:fldCharType="begin"/>
            </w:r>
            <w:r w:rsidR="006D42EC">
              <w:rPr>
                <w:noProof/>
                <w:webHidden/>
              </w:rPr>
              <w:instrText xml:space="preserve"> PAGEREF _Toc466046220 \h </w:instrText>
            </w:r>
            <w:r w:rsidR="006D42EC">
              <w:rPr>
                <w:noProof/>
                <w:webHidden/>
              </w:rPr>
            </w:r>
            <w:r w:rsidR="006D42EC">
              <w:rPr>
                <w:noProof/>
                <w:webHidden/>
              </w:rPr>
              <w:fldChar w:fldCharType="separate"/>
            </w:r>
            <w:r w:rsidR="00483BAC">
              <w:rPr>
                <w:noProof/>
                <w:webHidden/>
              </w:rPr>
              <w:t>14</w:t>
            </w:r>
            <w:r w:rsidR="006D42EC">
              <w:rPr>
                <w:noProof/>
                <w:webHidden/>
              </w:rPr>
              <w:fldChar w:fldCharType="end"/>
            </w:r>
          </w:hyperlink>
        </w:p>
        <w:p w14:paraId="1CC2B497" w14:textId="13E1858E" w:rsidR="006D42EC" w:rsidRDefault="009B2B8D" w:rsidP="00AC1221">
          <w:pPr>
            <w:pStyle w:val="TOC2"/>
            <w:rPr>
              <w:rFonts w:eastAsiaTheme="minorEastAsia"/>
              <w:noProof/>
              <w:color w:val="auto"/>
            </w:rPr>
          </w:pPr>
          <w:hyperlink w:anchor="_Toc466046221" w:history="1">
            <w:r w:rsidR="006D42EC" w:rsidRPr="005C683D">
              <w:rPr>
                <w:rStyle w:val="Hyperlink"/>
                <w:noProof/>
              </w:rPr>
              <w:t>A.13. Annual Cost to the Federal Government</w:t>
            </w:r>
            <w:r w:rsidR="006D42EC">
              <w:rPr>
                <w:noProof/>
                <w:webHidden/>
              </w:rPr>
              <w:tab/>
            </w:r>
            <w:r w:rsidR="006D42EC">
              <w:rPr>
                <w:noProof/>
                <w:webHidden/>
              </w:rPr>
              <w:fldChar w:fldCharType="begin"/>
            </w:r>
            <w:r w:rsidR="006D42EC">
              <w:rPr>
                <w:noProof/>
                <w:webHidden/>
              </w:rPr>
              <w:instrText xml:space="preserve"> PAGEREF _Toc466046221 \h </w:instrText>
            </w:r>
            <w:r w:rsidR="006D42EC">
              <w:rPr>
                <w:noProof/>
                <w:webHidden/>
              </w:rPr>
            </w:r>
            <w:r w:rsidR="006D42EC">
              <w:rPr>
                <w:noProof/>
                <w:webHidden/>
              </w:rPr>
              <w:fldChar w:fldCharType="separate"/>
            </w:r>
            <w:r w:rsidR="00483BAC">
              <w:rPr>
                <w:noProof/>
                <w:webHidden/>
              </w:rPr>
              <w:t>15</w:t>
            </w:r>
            <w:r w:rsidR="006D42EC">
              <w:rPr>
                <w:noProof/>
                <w:webHidden/>
              </w:rPr>
              <w:fldChar w:fldCharType="end"/>
            </w:r>
          </w:hyperlink>
        </w:p>
        <w:p w14:paraId="7496B3E8" w14:textId="5ABD5306" w:rsidR="006D42EC" w:rsidRDefault="009B2B8D" w:rsidP="00AC1221">
          <w:pPr>
            <w:pStyle w:val="TOC2"/>
            <w:rPr>
              <w:rFonts w:eastAsiaTheme="minorEastAsia"/>
              <w:noProof/>
              <w:color w:val="auto"/>
            </w:rPr>
          </w:pPr>
          <w:hyperlink w:anchor="_Toc466046222" w:history="1">
            <w:r w:rsidR="006D42EC" w:rsidRPr="005C683D">
              <w:rPr>
                <w:rStyle w:val="Hyperlink"/>
                <w:noProof/>
              </w:rPr>
              <w:t>A.14. Changes in Burden</w:t>
            </w:r>
            <w:r w:rsidR="006D42EC">
              <w:rPr>
                <w:noProof/>
                <w:webHidden/>
              </w:rPr>
              <w:tab/>
            </w:r>
            <w:r w:rsidR="006D42EC">
              <w:rPr>
                <w:noProof/>
                <w:webHidden/>
              </w:rPr>
              <w:fldChar w:fldCharType="begin"/>
            </w:r>
            <w:r w:rsidR="006D42EC">
              <w:rPr>
                <w:noProof/>
                <w:webHidden/>
              </w:rPr>
              <w:instrText xml:space="preserve"> PAGEREF _Toc466046222 \h </w:instrText>
            </w:r>
            <w:r w:rsidR="006D42EC">
              <w:rPr>
                <w:noProof/>
                <w:webHidden/>
              </w:rPr>
            </w:r>
            <w:r w:rsidR="006D42EC">
              <w:rPr>
                <w:noProof/>
                <w:webHidden/>
              </w:rPr>
              <w:fldChar w:fldCharType="separate"/>
            </w:r>
            <w:r w:rsidR="00483BAC">
              <w:rPr>
                <w:noProof/>
                <w:webHidden/>
              </w:rPr>
              <w:t>15</w:t>
            </w:r>
            <w:r w:rsidR="006D42EC">
              <w:rPr>
                <w:noProof/>
                <w:webHidden/>
              </w:rPr>
              <w:fldChar w:fldCharType="end"/>
            </w:r>
          </w:hyperlink>
        </w:p>
        <w:p w14:paraId="5480CE2E" w14:textId="6B9EDACE" w:rsidR="006D42EC" w:rsidRDefault="009B2B8D" w:rsidP="00AC1221">
          <w:pPr>
            <w:pStyle w:val="TOC2"/>
            <w:rPr>
              <w:rFonts w:eastAsiaTheme="minorEastAsia"/>
              <w:noProof/>
              <w:color w:val="auto"/>
            </w:rPr>
          </w:pPr>
          <w:hyperlink w:anchor="_Toc466046223" w:history="1">
            <w:r w:rsidR="006D42EC" w:rsidRPr="005C683D">
              <w:rPr>
                <w:rStyle w:val="Hyperlink"/>
                <w:noProof/>
              </w:rPr>
              <w:t>A.15. Reasons for Changes in Burden</w:t>
            </w:r>
            <w:r w:rsidR="006D42EC">
              <w:rPr>
                <w:noProof/>
                <w:webHidden/>
              </w:rPr>
              <w:tab/>
            </w:r>
            <w:r w:rsidR="006D42EC">
              <w:rPr>
                <w:noProof/>
                <w:webHidden/>
              </w:rPr>
              <w:fldChar w:fldCharType="begin"/>
            </w:r>
            <w:r w:rsidR="006D42EC">
              <w:rPr>
                <w:noProof/>
                <w:webHidden/>
              </w:rPr>
              <w:instrText xml:space="preserve"> PAGEREF _Toc466046223 \h </w:instrText>
            </w:r>
            <w:r w:rsidR="006D42EC">
              <w:rPr>
                <w:noProof/>
                <w:webHidden/>
              </w:rPr>
            </w:r>
            <w:r w:rsidR="006D42EC">
              <w:rPr>
                <w:noProof/>
                <w:webHidden/>
              </w:rPr>
              <w:fldChar w:fldCharType="separate"/>
            </w:r>
            <w:r w:rsidR="00483BAC">
              <w:rPr>
                <w:noProof/>
                <w:webHidden/>
              </w:rPr>
              <w:t>17</w:t>
            </w:r>
            <w:r w:rsidR="006D42EC">
              <w:rPr>
                <w:noProof/>
                <w:webHidden/>
              </w:rPr>
              <w:fldChar w:fldCharType="end"/>
            </w:r>
          </w:hyperlink>
        </w:p>
        <w:p w14:paraId="6C72A123" w14:textId="676AB97B" w:rsidR="006D42EC" w:rsidRDefault="009B2B8D" w:rsidP="00AC1221">
          <w:pPr>
            <w:pStyle w:val="TOC2"/>
            <w:rPr>
              <w:rFonts w:eastAsiaTheme="minorEastAsia"/>
              <w:noProof/>
              <w:color w:val="auto"/>
            </w:rPr>
          </w:pPr>
          <w:hyperlink w:anchor="_Toc466046224" w:history="1">
            <w:r w:rsidR="006D42EC" w:rsidRPr="005C683D">
              <w:rPr>
                <w:rStyle w:val="Hyperlink"/>
                <w:noProof/>
              </w:rPr>
              <w:t>A.16. Collection, Tabulation, and Publication Plans</w:t>
            </w:r>
            <w:r w:rsidR="006D42EC">
              <w:rPr>
                <w:noProof/>
                <w:webHidden/>
              </w:rPr>
              <w:tab/>
            </w:r>
            <w:r w:rsidR="006D42EC">
              <w:rPr>
                <w:noProof/>
                <w:webHidden/>
              </w:rPr>
              <w:fldChar w:fldCharType="begin"/>
            </w:r>
            <w:r w:rsidR="006D42EC">
              <w:rPr>
                <w:noProof/>
                <w:webHidden/>
              </w:rPr>
              <w:instrText xml:space="preserve"> PAGEREF _Toc466046224 \h </w:instrText>
            </w:r>
            <w:r w:rsidR="006D42EC">
              <w:rPr>
                <w:noProof/>
                <w:webHidden/>
              </w:rPr>
            </w:r>
            <w:r w:rsidR="006D42EC">
              <w:rPr>
                <w:noProof/>
                <w:webHidden/>
              </w:rPr>
              <w:fldChar w:fldCharType="separate"/>
            </w:r>
            <w:r w:rsidR="00483BAC">
              <w:rPr>
                <w:noProof/>
                <w:webHidden/>
              </w:rPr>
              <w:t>19</w:t>
            </w:r>
            <w:r w:rsidR="006D42EC">
              <w:rPr>
                <w:noProof/>
                <w:webHidden/>
              </w:rPr>
              <w:fldChar w:fldCharType="end"/>
            </w:r>
          </w:hyperlink>
        </w:p>
        <w:p w14:paraId="049CA12C" w14:textId="232BBA33" w:rsidR="006D42EC" w:rsidRDefault="009B2B8D" w:rsidP="00AC1221">
          <w:pPr>
            <w:pStyle w:val="TOC2"/>
            <w:rPr>
              <w:rFonts w:eastAsiaTheme="minorEastAsia"/>
              <w:noProof/>
              <w:color w:val="auto"/>
            </w:rPr>
          </w:pPr>
          <w:hyperlink w:anchor="_Toc466046225" w:history="1">
            <w:r w:rsidR="006D42EC" w:rsidRPr="005C683D">
              <w:rPr>
                <w:rStyle w:val="Hyperlink"/>
                <w:noProof/>
              </w:rPr>
              <w:t>A.17. OMB Number and Expiration Date</w:t>
            </w:r>
            <w:r w:rsidR="006D42EC">
              <w:rPr>
                <w:noProof/>
                <w:webHidden/>
              </w:rPr>
              <w:tab/>
            </w:r>
            <w:r w:rsidR="006D42EC">
              <w:rPr>
                <w:noProof/>
                <w:webHidden/>
              </w:rPr>
              <w:fldChar w:fldCharType="begin"/>
            </w:r>
            <w:r w:rsidR="006D42EC">
              <w:rPr>
                <w:noProof/>
                <w:webHidden/>
              </w:rPr>
              <w:instrText xml:space="preserve"> PAGEREF _Toc466046225 \h </w:instrText>
            </w:r>
            <w:r w:rsidR="006D42EC">
              <w:rPr>
                <w:noProof/>
                <w:webHidden/>
              </w:rPr>
            </w:r>
            <w:r w:rsidR="006D42EC">
              <w:rPr>
                <w:noProof/>
                <w:webHidden/>
              </w:rPr>
              <w:fldChar w:fldCharType="separate"/>
            </w:r>
            <w:r w:rsidR="00483BAC">
              <w:rPr>
                <w:noProof/>
                <w:webHidden/>
              </w:rPr>
              <w:t>20</w:t>
            </w:r>
            <w:r w:rsidR="006D42EC">
              <w:rPr>
                <w:noProof/>
                <w:webHidden/>
              </w:rPr>
              <w:fldChar w:fldCharType="end"/>
            </w:r>
          </w:hyperlink>
        </w:p>
        <w:p w14:paraId="07DFC65E" w14:textId="26F9228E" w:rsidR="006D42EC" w:rsidRDefault="009B2B8D" w:rsidP="00AC1221">
          <w:pPr>
            <w:pStyle w:val="TOC2"/>
            <w:rPr>
              <w:rFonts w:eastAsiaTheme="minorEastAsia"/>
              <w:noProof/>
              <w:color w:val="auto"/>
            </w:rPr>
          </w:pPr>
          <w:hyperlink w:anchor="_Toc466046226" w:history="1">
            <w:r w:rsidR="006D42EC" w:rsidRPr="005C683D">
              <w:rPr>
                <w:rStyle w:val="Hyperlink"/>
                <w:noProof/>
              </w:rPr>
              <w:t>A.18. Certification Statement</w:t>
            </w:r>
            <w:r w:rsidR="006D42EC">
              <w:rPr>
                <w:noProof/>
                <w:webHidden/>
              </w:rPr>
              <w:tab/>
            </w:r>
            <w:r w:rsidR="006D42EC">
              <w:rPr>
                <w:noProof/>
                <w:webHidden/>
              </w:rPr>
              <w:fldChar w:fldCharType="begin"/>
            </w:r>
            <w:r w:rsidR="006D42EC">
              <w:rPr>
                <w:noProof/>
                <w:webHidden/>
              </w:rPr>
              <w:instrText xml:space="preserve"> PAGEREF _Toc466046226 \h </w:instrText>
            </w:r>
            <w:r w:rsidR="006D42EC">
              <w:rPr>
                <w:noProof/>
                <w:webHidden/>
              </w:rPr>
            </w:r>
            <w:r w:rsidR="006D42EC">
              <w:rPr>
                <w:noProof/>
                <w:webHidden/>
              </w:rPr>
              <w:fldChar w:fldCharType="separate"/>
            </w:r>
            <w:r w:rsidR="00483BAC">
              <w:rPr>
                <w:noProof/>
                <w:webHidden/>
              </w:rPr>
              <w:t>20</w:t>
            </w:r>
            <w:r w:rsidR="006D42EC">
              <w:rPr>
                <w:noProof/>
                <w:webHidden/>
              </w:rPr>
              <w:fldChar w:fldCharType="end"/>
            </w:r>
          </w:hyperlink>
        </w:p>
        <w:p w14:paraId="2EC9AC29" w14:textId="77777777" w:rsidR="0059212D" w:rsidRDefault="0059212D">
          <w:r>
            <w:rPr>
              <w:b/>
              <w:bCs/>
              <w:noProof/>
            </w:rPr>
            <w:fldChar w:fldCharType="end"/>
          </w:r>
        </w:p>
      </w:sdtContent>
    </w:sdt>
    <w:p w14:paraId="09DE7A96" w14:textId="77777777" w:rsidR="001F3A8F" w:rsidRDefault="001F3A8F" w:rsidP="00D928FD"/>
    <w:p w14:paraId="3711903A" w14:textId="77777777" w:rsidR="00D928FD" w:rsidRDefault="00D928FD" w:rsidP="00D928FD">
      <w:pPr>
        <w:sectPr w:rsidR="00D928FD" w:rsidSect="00725453">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14:paraId="37D6E2B4" w14:textId="77777777" w:rsidR="00041909" w:rsidRDefault="00041909" w:rsidP="00836D62">
      <w:pPr>
        <w:spacing w:line="240" w:lineRule="auto"/>
        <w:sectPr w:rsidR="00041909" w:rsidSect="00725453">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p>
    <w:p w14:paraId="49C3E0DE" w14:textId="77777777" w:rsidR="008C734C" w:rsidRDefault="008C734C" w:rsidP="00910D61">
      <w:pPr>
        <w:pStyle w:val="Heading2"/>
      </w:pPr>
      <w:bookmarkStart w:id="4" w:name="_Toc466046208"/>
      <w:bookmarkStart w:id="5" w:name="_Toc487186499"/>
      <w:bookmarkStart w:id="6" w:name="_Toc488240606"/>
      <w:r>
        <w:lastRenderedPageBreak/>
        <w:t>Introdu</w:t>
      </w:r>
      <w:r w:rsidR="00844524">
        <w:t>ction</w:t>
      </w:r>
      <w:bookmarkEnd w:id="4"/>
      <w:bookmarkEnd w:id="5"/>
      <w:bookmarkEnd w:id="6"/>
    </w:p>
    <w:p w14:paraId="79711F3C" w14:textId="11E104B7" w:rsidR="00F27019" w:rsidRDefault="00844524" w:rsidP="00D30EC2">
      <w:pPr>
        <w:widowControl w:val="0"/>
        <w:autoSpaceDE w:val="0"/>
        <w:autoSpaceDN w:val="0"/>
        <w:adjustRightInd w:val="0"/>
        <w:spacing w:before="240"/>
        <w:ind w:right="-20"/>
      </w:pPr>
      <w:r w:rsidRPr="00D217C5">
        <w:t>The U.S. Energy Information Administration (EIA) is the statistical and analytical agency within the U.S. Department of Energy (DOE).</w:t>
      </w:r>
      <w:r w:rsidR="001A6AE2" w:rsidRPr="00D217C5">
        <w:t xml:space="preserve"> </w:t>
      </w:r>
      <w:r w:rsidRPr="00D217C5">
        <w:t>It collects, analyzes, and disseminates independent and impartial energy information to promote sound policymaking, efficient markets, and public understanding regarding energy and its interaction with the economy and the environment.</w:t>
      </w:r>
      <w:r w:rsidR="001A6AE2" w:rsidRPr="00D217C5">
        <w:t xml:space="preserve"> </w:t>
      </w:r>
    </w:p>
    <w:p w14:paraId="1929A8F0" w14:textId="725C18EC" w:rsidR="00E373EC" w:rsidRDefault="00D824E2" w:rsidP="00D217C5">
      <w:pPr>
        <w:widowControl w:val="0"/>
        <w:autoSpaceDE w:val="0"/>
        <w:autoSpaceDN w:val="0"/>
        <w:adjustRightInd w:val="0"/>
        <w:ind w:right="-20"/>
        <w:rPr>
          <w:szCs w:val="24"/>
        </w:rPr>
      </w:pPr>
      <w:r>
        <w:t>EIA</w:t>
      </w:r>
      <w:r w:rsidR="00E373EC" w:rsidRPr="00F27019">
        <w:t xml:space="preserve"> is request</w:t>
      </w:r>
      <w:r w:rsidR="00E373EC" w:rsidRPr="00D217C5">
        <w:t>i</w:t>
      </w:r>
      <w:r w:rsidR="00E373EC" w:rsidRPr="00F27019">
        <w:t xml:space="preserve">ng a three-year </w:t>
      </w:r>
      <w:r w:rsidR="00AC59C8">
        <w:t>extension with changes</w:t>
      </w:r>
      <w:r w:rsidR="00E373EC" w:rsidRPr="00F27019">
        <w:t xml:space="preserve"> for </w:t>
      </w:r>
      <w:r w:rsidR="001A6AE2" w:rsidRPr="00F27019">
        <w:t>Form O</w:t>
      </w:r>
      <w:r w:rsidR="00E373EC" w:rsidRPr="00F27019">
        <w:t>E-417, “Electric E</w:t>
      </w:r>
      <w:r w:rsidR="00E373EC" w:rsidRPr="00D217C5">
        <w:t>m</w:t>
      </w:r>
      <w:r w:rsidR="00E373EC" w:rsidRPr="00F27019">
        <w:t>ergency Incident and Disturba</w:t>
      </w:r>
      <w:r w:rsidR="00E373EC" w:rsidRPr="00D217C5">
        <w:t>n</w:t>
      </w:r>
      <w:r w:rsidR="00E373EC" w:rsidRPr="00F27019">
        <w:t>ce Report.” The survey</w:t>
      </w:r>
      <w:r w:rsidR="007B1C67">
        <w:rPr>
          <w:szCs w:val="24"/>
        </w:rPr>
        <w:t xml:space="preserve"> </w:t>
      </w:r>
      <w:r w:rsidR="00E373EC">
        <w:rPr>
          <w:szCs w:val="24"/>
        </w:rPr>
        <w:t>collect</w:t>
      </w:r>
      <w:r w:rsidR="007B1C67">
        <w:rPr>
          <w:szCs w:val="24"/>
        </w:rPr>
        <w:t>s</w:t>
      </w:r>
      <w:r w:rsidR="00E373EC">
        <w:rPr>
          <w:szCs w:val="24"/>
        </w:rPr>
        <w:t xml:space="preserve"> </w:t>
      </w:r>
      <w:r w:rsidR="007B1C67">
        <w:rPr>
          <w:szCs w:val="24"/>
        </w:rPr>
        <w:t>information on</w:t>
      </w:r>
      <w:r w:rsidR="00E373EC">
        <w:rPr>
          <w:szCs w:val="24"/>
        </w:rPr>
        <w:t xml:space="preserve"> electric power e</w:t>
      </w:r>
      <w:r w:rsidR="00E373EC">
        <w:rPr>
          <w:spacing w:val="-2"/>
          <w:szCs w:val="24"/>
        </w:rPr>
        <w:t>m</w:t>
      </w:r>
      <w:r w:rsidR="00E373EC">
        <w:rPr>
          <w:szCs w:val="24"/>
        </w:rPr>
        <w:t>ergenc</w:t>
      </w:r>
      <w:r w:rsidR="00554FEC">
        <w:rPr>
          <w:szCs w:val="24"/>
        </w:rPr>
        <w:t>ies,</w:t>
      </w:r>
      <w:r w:rsidR="00E373EC">
        <w:rPr>
          <w:szCs w:val="24"/>
        </w:rPr>
        <w:t xml:space="preserve"> inc</w:t>
      </w:r>
      <w:r w:rsidR="00E373EC">
        <w:rPr>
          <w:spacing w:val="1"/>
          <w:szCs w:val="24"/>
        </w:rPr>
        <w:t>i</w:t>
      </w:r>
      <w:r w:rsidR="00E373EC">
        <w:rPr>
          <w:szCs w:val="24"/>
        </w:rPr>
        <w:t>dents</w:t>
      </w:r>
      <w:r w:rsidR="00E17B8C">
        <w:rPr>
          <w:szCs w:val="24"/>
        </w:rPr>
        <w:t>,</w:t>
      </w:r>
      <w:r w:rsidR="00E373EC">
        <w:rPr>
          <w:szCs w:val="24"/>
        </w:rPr>
        <w:t xml:space="preserve"> and disturbances.</w:t>
      </w:r>
      <w:r w:rsidR="00F27019">
        <w:rPr>
          <w:sz w:val="26"/>
          <w:szCs w:val="26"/>
        </w:rPr>
        <w:t xml:space="preserve"> </w:t>
      </w:r>
      <w:r w:rsidR="00E373EC">
        <w:rPr>
          <w:szCs w:val="24"/>
        </w:rPr>
        <w:t xml:space="preserve">Response to this survey is </w:t>
      </w:r>
      <w:r w:rsidR="00E373EC">
        <w:rPr>
          <w:spacing w:val="-2"/>
          <w:szCs w:val="24"/>
        </w:rPr>
        <w:t>m</w:t>
      </w:r>
      <w:r w:rsidR="00E373EC">
        <w:rPr>
          <w:szCs w:val="24"/>
        </w:rPr>
        <w:t>andatory and</w:t>
      </w:r>
      <w:r w:rsidR="00E373EC">
        <w:rPr>
          <w:spacing w:val="1"/>
          <w:szCs w:val="24"/>
        </w:rPr>
        <w:t xml:space="preserve"> </w:t>
      </w:r>
      <w:r w:rsidR="00E373EC">
        <w:rPr>
          <w:szCs w:val="24"/>
        </w:rPr>
        <w:t>the survey is sponsored by the DOE Office of Electri</w:t>
      </w:r>
      <w:r w:rsidR="00E373EC">
        <w:rPr>
          <w:spacing w:val="-1"/>
          <w:szCs w:val="24"/>
        </w:rPr>
        <w:t>c</w:t>
      </w:r>
      <w:r w:rsidR="00E373EC">
        <w:rPr>
          <w:szCs w:val="24"/>
        </w:rPr>
        <w:t>ity Delivery a</w:t>
      </w:r>
      <w:r w:rsidR="00E373EC">
        <w:rPr>
          <w:spacing w:val="-1"/>
          <w:szCs w:val="24"/>
        </w:rPr>
        <w:t>n</w:t>
      </w:r>
      <w:r w:rsidR="00E373EC">
        <w:rPr>
          <w:szCs w:val="24"/>
        </w:rPr>
        <w:t>d Energy Relia</w:t>
      </w:r>
      <w:r w:rsidR="00E373EC">
        <w:rPr>
          <w:spacing w:val="-1"/>
          <w:szCs w:val="24"/>
        </w:rPr>
        <w:t>b</w:t>
      </w:r>
      <w:r w:rsidR="00E373EC">
        <w:rPr>
          <w:szCs w:val="24"/>
        </w:rPr>
        <w:t>ility.</w:t>
      </w:r>
    </w:p>
    <w:p w14:paraId="672CF136" w14:textId="77777777" w:rsidR="00417690" w:rsidRDefault="007B6756" w:rsidP="00417690">
      <w:pPr>
        <w:rPr>
          <w:szCs w:val="24"/>
        </w:rPr>
      </w:pPr>
      <w:r>
        <w:rPr>
          <w:szCs w:val="24"/>
        </w:rPr>
        <w:t xml:space="preserve">Entities within </w:t>
      </w:r>
      <w:r w:rsidR="005472D2">
        <w:rPr>
          <w:szCs w:val="24"/>
        </w:rPr>
        <w:t xml:space="preserve">the </w:t>
      </w:r>
      <w:r>
        <w:rPr>
          <w:szCs w:val="24"/>
        </w:rPr>
        <w:t xml:space="preserve">jurisdiction </w:t>
      </w:r>
      <w:r w:rsidR="005472D2">
        <w:rPr>
          <w:szCs w:val="24"/>
        </w:rPr>
        <w:t xml:space="preserve">of </w:t>
      </w:r>
      <w:r w:rsidR="00417690">
        <w:rPr>
          <w:szCs w:val="24"/>
        </w:rPr>
        <w:t>North American Electric Reliability Corporation (</w:t>
      </w:r>
      <w:r w:rsidR="005472D2">
        <w:rPr>
          <w:szCs w:val="24"/>
        </w:rPr>
        <w:t>NERC</w:t>
      </w:r>
      <w:r w:rsidR="00417690">
        <w:rPr>
          <w:szCs w:val="24"/>
        </w:rPr>
        <w:t>)</w:t>
      </w:r>
      <w:r w:rsidR="005472D2">
        <w:rPr>
          <w:szCs w:val="24"/>
        </w:rPr>
        <w:t xml:space="preserve"> </w:t>
      </w:r>
      <w:r>
        <w:rPr>
          <w:szCs w:val="24"/>
        </w:rPr>
        <w:t>are required to report emergencies or qualifying events</w:t>
      </w:r>
      <w:r w:rsidR="005472D2">
        <w:rPr>
          <w:szCs w:val="24"/>
        </w:rPr>
        <w:t xml:space="preserve"> per the EOP-004-2 Reliability Standard</w:t>
      </w:r>
      <w:r>
        <w:rPr>
          <w:szCs w:val="24"/>
        </w:rPr>
        <w:t xml:space="preserve">. </w:t>
      </w:r>
      <w:r w:rsidR="005472D2">
        <w:rPr>
          <w:szCs w:val="24"/>
        </w:rPr>
        <w:t xml:space="preserve">Currently </w:t>
      </w:r>
      <w:r>
        <w:rPr>
          <w:szCs w:val="24"/>
        </w:rPr>
        <w:t xml:space="preserve">reporting entities </w:t>
      </w:r>
      <w:r w:rsidR="005472D2">
        <w:rPr>
          <w:szCs w:val="24"/>
        </w:rPr>
        <w:t>in the U.S. may submit a Form</w:t>
      </w:r>
      <w:r>
        <w:t xml:space="preserve"> OE-417 </w:t>
      </w:r>
      <w:r w:rsidR="005472D2">
        <w:t>in place of a</w:t>
      </w:r>
      <w:r w:rsidRPr="007B6756">
        <w:t xml:space="preserve"> </w:t>
      </w:r>
      <w:r w:rsidRPr="00B879CC">
        <w:t xml:space="preserve">NERC </w:t>
      </w:r>
      <w:r w:rsidRPr="005472D2">
        <w:t>EOP-004-2</w:t>
      </w:r>
      <w:r w:rsidR="00417690">
        <w:t>; h</w:t>
      </w:r>
      <w:r w:rsidR="00753F83">
        <w:t xml:space="preserve">owever, there </w:t>
      </w:r>
      <w:r w:rsidR="00863566">
        <w:t>wer</w:t>
      </w:r>
      <w:r w:rsidR="008D7CBA">
        <w:t>e</w:t>
      </w:r>
      <w:r w:rsidR="00753F83">
        <w:t xml:space="preserve"> </w:t>
      </w:r>
      <w:r w:rsidR="00417690">
        <w:t xml:space="preserve">some </w:t>
      </w:r>
      <w:r w:rsidR="00753F83">
        <w:t>criteria that required reporting under the EOP-004</w:t>
      </w:r>
      <w:r w:rsidR="00417690">
        <w:t>-2</w:t>
      </w:r>
      <w:r w:rsidR="00753F83">
        <w:t xml:space="preserve"> standard that were not covered by Form OE-417. This caused confusion amongst industry stakeholders about which form to file and require</w:t>
      </w:r>
      <w:r w:rsidR="00863566">
        <w:t>d</w:t>
      </w:r>
      <w:r w:rsidR="00753F83">
        <w:t xml:space="preserve"> industry stakeholders to train personnel on both the EOP-004</w:t>
      </w:r>
      <w:r w:rsidR="00417690">
        <w:t>-2</w:t>
      </w:r>
      <w:r w:rsidR="00753F83">
        <w:t xml:space="preserve"> standard and From OE-417.</w:t>
      </w:r>
      <w:r w:rsidR="00753F83" w:rsidRPr="00753F83">
        <w:rPr>
          <w:szCs w:val="24"/>
        </w:rPr>
        <w:t xml:space="preserve"> </w:t>
      </w:r>
    </w:p>
    <w:p w14:paraId="4B28ADE2" w14:textId="08FEF396" w:rsidR="00864FB6" w:rsidRPr="00CE19C5" w:rsidRDefault="00864FB6" w:rsidP="00417690">
      <w:pPr>
        <w:rPr>
          <w:rFonts w:eastAsiaTheme="majorEastAsia" w:cstheme="majorBidi"/>
          <w:b/>
          <w:color w:val="1396D8"/>
          <w:sz w:val="28"/>
          <w:szCs w:val="26"/>
        </w:rPr>
      </w:pPr>
      <w:r w:rsidRPr="00CE19C5">
        <w:rPr>
          <w:rFonts w:eastAsiaTheme="majorEastAsia" w:cstheme="majorBidi"/>
          <w:b/>
          <w:color w:val="1396D8"/>
          <w:sz w:val="28"/>
          <w:szCs w:val="26"/>
        </w:rPr>
        <w:t>Terms of Clearance</w:t>
      </w:r>
    </w:p>
    <w:p w14:paraId="72A397AE" w14:textId="04C98EE1" w:rsidR="00864FB6" w:rsidRDefault="00864FB6" w:rsidP="00D30EC2">
      <w:pPr>
        <w:autoSpaceDE w:val="0"/>
        <w:autoSpaceDN w:val="0"/>
        <w:adjustRightInd w:val="0"/>
        <w:spacing w:after="0" w:line="240" w:lineRule="auto"/>
      </w:pPr>
      <w:r w:rsidRPr="00D30EC2">
        <w:t>“Prior to the next submission of this information collection, DOE is encouraged to work with FERC to explore options to promote data sharing in order to reduce any redundant recordkeeping and reporting burdens on the public.”</w:t>
      </w:r>
    </w:p>
    <w:p w14:paraId="592CBDAE" w14:textId="77777777" w:rsidR="00D30EC2" w:rsidRPr="00AA25BB" w:rsidRDefault="00D30EC2" w:rsidP="00D30EC2">
      <w:pPr>
        <w:autoSpaceDE w:val="0"/>
        <w:autoSpaceDN w:val="0"/>
        <w:adjustRightInd w:val="0"/>
        <w:spacing w:after="0" w:line="240" w:lineRule="auto"/>
      </w:pPr>
    </w:p>
    <w:p w14:paraId="0EB23F24" w14:textId="7B546956" w:rsidR="00417690" w:rsidRPr="00AA25BB" w:rsidRDefault="00864FB6" w:rsidP="00417690">
      <w:r w:rsidRPr="00AA25BB">
        <w:t>P</w:t>
      </w:r>
      <w:r w:rsidR="00417690" w:rsidRPr="0019633D">
        <w:t>er the Terms of Clearance (TOC)</w:t>
      </w:r>
      <w:r w:rsidRPr="0019633D">
        <w:t xml:space="preserve"> from the Notice of Action dated 3/17/2015</w:t>
      </w:r>
      <w:r w:rsidR="00417690" w:rsidRPr="00D30EC2">
        <w:t>, the U.S. Office of Management and Budget (OMB) required DOE to work with the Federal Energy Regulatory Commission (FERC) and NERC</w:t>
      </w:r>
      <w:r w:rsidR="00417690" w:rsidRPr="008D7CBA">
        <w:t xml:space="preserve"> </w:t>
      </w:r>
      <w:r w:rsidR="00417690">
        <w:t xml:space="preserve">to integrate and align questions between </w:t>
      </w:r>
      <w:r w:rsidR="00417690" w:rsidRPr="00AA25BB">
        <w:t xml:space="preserve">the current NERC </w:t>
      </w:r>
      <w:r w:rsidR="00417690">
        <w:t>EOP-004-2 Reliability Standard, the draft NERC EOP-004-3 Reliability Standard</w:t>
      </w:r>
      <w:r w:rsidR="00E17B8C">
        <w:t>,</w:t>
      </w:r>
      <w:r w:rsidR="00417690">
        <w:t xml:space="preserve"> and </w:t>
      </w:r>
      <w:r w:rsidR="00417690" w:rsidRPr="00AA25BB">
        <w:t>Form</w:t>
      </w:r>
      <w:r w:rsidR="00417690">
        <w:t xml:space="preserve"> OE-417. DOE worked closely with the NERC Standards Drafting Committee</w:t>
      </w:r>
      <w:r>
        <w:t xml:space="preserve"> and FERC officials</w:t>
      </w:r>
      <w:r w:rsidR="00417690">
        <w:t xml:space="preserve"> throughout the 2016 and 2017 period. </w:t>
      </w:r>
      <w:r w:rsidR="00C63403">
        <w:t xml:space="preserve"> The coordination effort between DOE, NERC, and FERC is discussed in further detail in section A.8. </w:t>
      </w:r>
      <w:r w:rsidR="00417690">
        <w:t xml:space="preserve">The resulting integration of the two forms </w:t>
      </w:r>
      <w:r>
        <w:t xml:space="preserve">satisfies the TOC and reduces reporting </w:t>
      </w:r>
      <w:r w:rsidR="00417690">
        <w:t>burden to industry stakeholders</w:t>
      </w:r>
      <w:r>
        <w:t>.</w:t>
      </w:r>
      <w:r w:rsidR="00417690">
        <w:t xml:space="preserve"> </w:t>
      </w:r>
    </w:p>
    <w:p w14:paraId="3E7F286E" w14:textId="281E479C" w:rsidR="00753F83" w:rsidRDefault="00417690" w:rsidP="00A41763">
      <w:r>
        <w:t>FERC and N</w:t>
      </w:r>
      <w:r w:rsidR="00C8562C" w:rsidRPr="00B879CC">
        <w:t>ER</w:t>
      </w:r>
      <w:r w:rsidR="00C8562C">
        <w:t xml:space="preserve">C </w:t>
      </w:r>
      <w:r w:rsidR="00864FB6">
        <w:t xml:space="preserve">have certified that </w:t>
      </w:r>
      <w:r w:rsidR="00864FB6" w:rsidRPr="00B879CC">
        <w:t>Form OE-417</w:t>
      </w:r>
      <w:r w:rsidR="00864FB6">
        <w:t xml:space="preserve"> will</w:t>
      </w:r>
      <w:r w:rsidR="00864FB6" w:rsidRPr="00B879CC">
        <w:t xml:space="preserve"> meet NERC’s EOP-004 submittal requirements</w:t>
      </w:r>
      <w:r w:rsidR="00864FB6" w:rsidDel="00864FB6">
        <w:t xml:space="preserve"> </w:t>
      </w:r>
      <w:r w:rsidR="00C8562C" w:rsidRPr="00B879CC">
        <w:t>for U.S. NERC reporting entities</w:t>
      </w:r>
      <w:r w:rsidR="00A17EFE">
        <w:t>.</w:t>
      </w:r>
      <w:r w:rsidR="00C8562C">
        <w:t xml:space="preserve"> </w:t>
      </w:r>
    </w:p>
    <w:p w14:paraId="450F61E4" w14:textId="7A2B3E84" w:rsidR="00C8562C" w:rsidRPr="004E49D3" w:rsidRDefault="004E49D3" w:rsidP="00E11E07">
      <w:pPr>
        <w:spacing w:line="240" w:lineRule="auto"/>
      </w:pPr>
      <w:r>
        <w:br w:type="page"/>
      </w:r>
    </w:p>
    <w:p w14:paraId="7330BD48" w14:textId="3368CE41" w:rsidR="008C734C" w:rsidRDefault="008C734C" w:rsidP="00910D61">
      <w:pPr>
        <w:pStyle w:val="Heading2"/>
      </w:pPr>
      <w:bookmarkStart w:id="7" w:name="_Toc466046209"/>
      <w:bookmarkStart w:id="8" w:name="_Toc487186500"/>
      <w:bookmarkStart w:id="9" w:name="_Toc488240607"/>
      <w:r>
        <w:t>A.1. Legal Justification</w:t>
      </w:r>
      <w:bookmarkEnd w:id="7"/>
      <w:bookmarkEnd w:id="8"/>
      <w:bookmarkEnd w:id="9"/>
    </w:p>
    <w:p w14:paraId="4235B277" w14:textId="0C6F8552" w:rsidR="00074770" w:rsidRPr="00CA53EA" w:rsidRDefault="00074770" w:rsidP="00D30EC2">
      <w:pPr>
        <w:spacing w:before="240"/>
      </w:pPr>
      <w:bookmarkStart w:id="10" w:name="_Toc473624211"/>
      <w:r w:rsidRPr="00CA53EA">
        <w:rPr>
          <w:b/>
        </w:rPr>
        <w:t>Legal Authority</w:t>
      </w:r>
      <w:bookmarkEnd w:id="10"/>
    </w:p>
    <w:p w14:paraId="42EAC86A" w14:textId="77777777" w:rsidR="00074770" w:rsidRPr="00CA53EA" w:rsidRDefault="00074770" w:rsidP="00D30EC2">
      <w:r w:rsidRPr="00CA53EA">
        <w:t>The authority for these data collections is provided by the following provisions:</w:t>
      </w:r>
    </w:p>
    <w:p w14:paraId="4417750E" w14:textId="77777777" w:rsidR="00074770" w:rsidRPr="00003535" w:rsidRDefault="00074770" w:rsidP="00D30EC2">
      <w:pPr>
        <w:spacing w:before="120"/>
      </w:pPr>
      <w:r w:rsidRPr="00003535">
        <w:t>15 U.S.C.</w:t>
      </w:r>
      <w:r>
        <w:t xml:space="preserve"> §</w:t>
      </w:r>
      <w:r w:rsidRPr="00003535">
        <w:t>772</w:t>
      </w:r>
      <w:r>
        <w:t xml:space="preserve"> </w:t>
      </w:r>
      <w:r w:rsidRPr="00003535">
        <w:t>outlines the types of individuals subject to the information collection authority delegated to the [Secretary] and the general parameters of the type of data which can be required.</w:t>
      </w:r>
      <w:r>
        <w:t xml:space="preserve"> </w:t>
      </w:r>
      <w:r w:rsidRPr="00003535">
        <w:t>15 U.S.C.</w:t>
      </w:r>
      <w:r>
        <w:t xml:space="preserve"> §</w:t>
      </w:r>
      <w:r w:rsidRPr="00003535">
        <w:t>772</w:t>
      </w:r>
      <w:r>
        <w:t xml:space="preserve">(b) </w:t>
      </w:r>
      <w:r w:rsidRPr="00003535">
        <w:t>states:</w:t>
      </w:r>
    </w:p>
    <w:p w14:paraId="04D2AC0F" w14:textId="77777777" w:rsidR="00074770" w:rsidRPr="00003535" w:rsidRDefault="00074770" w:rsidP="00D30EC2">
      <w:pPr>
        <w:ind w:left="720"/>
      </w:pPr>
      <w:r w:rsidRPr="00003535">
        <w:t>“All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exercise of functions under the Act.”</w:t>
      </w:r>
    </w:p>
    <w:p w14:paraId="455F2858" w14:textId="11896381" w:rsidR="009A1BAC" w:rsidRDefault="009A1BAC" w:rsidP="00D30EC2">
      <w:r w:rsidRPr="00E11E07">
        <w:t>15 U.S.C. 764(b)</w:t>
      </w:r>
      <w:r w:rsidRPr="004D4B61">
        <w:t xml:space="preserve"> </w:t>
      </w:r>
      <w:r w:rsidR="00074770">
        <w:t xml:space="preserve">states that to the extent authorized by 15 U.S.C. §764(a), the Administrator shall; </w:t>
      </w:r>
    </w:p>
    <w:p w14:paraId="6E9B976D" w14:textId="77777777" w:rsidR="009A1BAC" w:rsidRDefault="009A1BAC" w:rsidP="00D30EC2">
      <w:pPr>
        <w:ind w:left="720"/>
      </w:pPr>
      <w:r>
        <w:t xml:space="preserve">(1) </w:t>
      </w:r>
      <w:r w:rsidRPr="004207A5">
        <w:t>advise the President and the Congress with respect to the establishment of a comprehensive national energy policy in relation to the energy matters for which the Administration has responsibility, and, in coordination with the Secretary of State, the integration of domestic and foreign policies relatin</w:t>
      </w:r>
      <w:r>
        <w:t>g to energy resource management;</w:t>
      </w:r>
    </w:p>
    <w:p w14:paraId="620D1A2B" w14:textId="77777777" w:rsidR="009A1BAC" w:rsidRDefault="009A1BAC" w:rsidP="00D30EC2">
      <w:pPr>
        <w:ind w:left="720"/>
      </w:pPr>
      <w:r w:rsidRPr="004D4B61">
        <w:t xml:space="preserve">(2) </w:t>
      </w:r>
      <w:r>
        <w:t>a</w:t>
      </w:r>
      <w:r w:rsidRPr="004D4B61">
        <w:t>ssess the adequacy of energy resources to meet demands in the immediate and longer range future for all sectors of the economy</w:t>
      </w:r>
      <w:r>
        <w:t xml:space="preserve"> and for the general public;</w:t>
      </w:r>
    </w:p>
    <w:p w14:paraId="2BB1E147" w14:textId="77777777" w:rsidR="009A1BAC" w:rsidRPr="004D4B61" w:rsidRDefault="009A1BAC" w:rsidP="00D30EC2">
      <w:pPr>
        <w:ind w:left="720"/>
      </w:pPr>
      <w:r>
        <w:t xml:space="preserve">(3) </w:t>
      </w:r>
      <w:r w:rsidRPr="004207A5">
        <w:t>develop effective arrangements for the participation of State and local governments in the resolution of energy problems;</w:t>
      </w:r>
    </w:p>
    <w:p w14:paraId="621C2BB8" w14:textId="77777777" w:rsidR="009A1BAC" w:rsidRPr="004D4B61" w:rsidRDefault="009A1BAC" w:rsidP="00D30EC2">
      <w:pPr>
        <w:ind w:left="720"/>
      </w:pPr>
      <w:r w:rsidRPr="004D4B61">
        <w:t>(4) develop plans and programs for dealing with energy production shortages; …</w:t>
      </w:r>
    </w:p>
    <w:p w14:paraId="6DC62442" w14:textId="77777777" w:rsidR="009A1BAC" w:rsidRPr="004D4B61" w:rsidRDefault="009A1BAC" w:rsidP="00D30EC2">
      <w:pPr>
        <w:ind w:left="720"/>
      </w:pPr>
      <w:r w:rsidRPr="004D4B61">
        <w:t>(5) promote stability in energy prices to the consumer, promote free and open competition in all aspects of the energy field, prevent unreasonable profits within the various segments of the energy industry, and promote free enterprise;</w:t>
      </w:r>
    </w:p>
    <w:p w14:paraId="6569DFD3" w14:textId="77777777" w:rsidR="009A1BAC" w:rsidRPr="004D4B61" w:rsidRDefault="009A1BAC" w:rsidP="00D30EC2">
      <w:pPr>
        <w:ind w:left="720"/>
      </w:pPr>
      <w:r w:rsidRPr="004D4B61">
        <w:t>(6) assure that energy programs are designed and implemented in a fair and efficient manner so as to minimize hardship and inequity while assuring that the priority needs of the Nation are met;</w:t>
      </w:r>
    </w:p>
    <w:p w14:paraId="29BC9891" w14:textId="77777777" w:rsidR="009A1BAC" w:rsidRPr="004D4B61" w:rsidRDefault="009A1BAC" w:rsidP="00D30EC2">
      <w:pPr>
        <w:ind w:left="720"/>
      </w:pPr>
      <w:r w:rsidRPr="004D4B61">
        <w:t>(9) collect, evaluate, assemble, and analyze energy information on reserves, production, demand, and related economic data;</w:t>
      </w:r>
      <w:r>
        <w:t xml:space="preserve"> </w:t>
      </w:r>
    </w:p>
    <w:p w14:paraId="4335B044" w14:textId="77777777" w:rsidR="009A1BAC" w:rsidRDefault="009A1BAC" w:rsidP="00D30EC2">
      <w:pPr>
        <w:ind w:left="720"/>
      </w:pPr>
      <w:r w:rsidRPr="004D4B61">
        <w:t>(12) perform such other functions as may be prescribed by law."</w:t>
      </w:r>
    </w:p>
    <w:p w14:paraId="1BD63C39" w14:textId="77777777" w:rsidR="00074770" w:rsidRPr="00003535" w:rsidRDefault="00074770" w:rsidP="00D30EC2">
      <w:r w:rsidRPr="00003535">
        <w:t xml:space="preserve">As the authority for invoking </w:t>
      </w:r>
      <w:r>
        <w:t>15 U.S.C. §764</w:t>
      </w:r>
      <w:r w:rsidRPr="00003535">
        <w:t>(b), above,</w:t>
      </w:r>
      <w:r>
        <w:t xml:space="preserve"> </w:t>
      </w:r>
      <w:r w:rsidRPr="00003535">
        <w:t>15 U.S.C.</w:t>
      </w:r>
      <w:r>
        <w:t xml:space="preserve"> §</w:t>
      </w:r>
      <w:r w:rsidRPr="00003535">
        <w:t>764</w:t>
      </w:r>
      <w:r>
        <w:t>(a)</w:t>
      </w:r>
      <w:r w:rsidRPr="00003535">
        <w:t xml:space="preserve"> states:</w:t>
      </w:r>
    </w:p>
    <w:p w14:paraId="17D9A3BD" w14:textId="60040511" w:rsidR="009A1BAC" w:rsidRPr="004D4B61" w:rsidRDefault="00074770" w:rsidP="00D30EC2">
      <w:pPr>
        <w:ind w:left="720"/>
      </w:pPr>
      <w:r>
        <w:t>“</w:t>
      </w:r>
      <w:r w:rsidR="009A1BAC" w:rsidRPr="004D4B61">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r w:rsidR="009A1BAC">
        <w:t>-</w:t>
      </w:r>
    </w:p>
    <w:p w14:paraId="136B3DBD" w14:textId="77777777" w:rsidR="009A1BAC" w:rsidRPr="004D4B61" w:rsidRDefault="009A1BAC" w:rsidP="00D30EC2">
      <w:pPr>
        <w:ind w:left="1440" w:hanging="360"/>
      </w:pPr>
      <w:r>
        <w:t xml:space="preserve">(1) </w:t>
      </w:r>
      <w:r w:rsidRPr="004D4B61">
        <w:t xml:space="preserve">specifically transferred to or vested in him by or pursuant to this </w:t>
      </w:r>
      <w:r>
        <w:t>chapter;</w:t>
      </w:r>
    </w:p>
    <w:p w14:paraId="142C385B" w14:textId="77777777" w:rsidR="009A1BAC" w:rsidRPr="004D4B61" w:rsidRDefault="009A1BAC" w:rsidP="00D30EC2">
      <w:pPr>
        <w:ind w:left="1440" w:hanging="360"/>
      </w:pPr>
      <w:r>
        <w:t xml:space="preserve">(3) </w:t>
      </w:r>
      <w:r w:rsidRPr="004D4B61">
        <w:t xml:space="preserve">otherwise specifically vested in the </w:t>
      </w:r>
      <w:r>
        <w:t>Administrator</w:t>
      </w:r>
      <w:r w:rsidRPr="004D4B61">
        <w:t xml:space="preserve"> by the Congress."</w:t>
      </w:r>
    </w:p>
    <w:p w14:paraId="7F7AB37A" w14:textId="4ECD842F" w:rsidR="009A1BAC" w:rsidRPr="004D4B61" w:rsidRDefault="009A1BAC" w:rsidP="00D30EC2">
      <w:pPr>
        <w:ind w:left="720" w:hanging="360"/>
      </w:pPr>
      <w:r w:rsidRPr="00003535">
        <w:t xml:space="preserve">Additional authority for this information collection is provided by </w:t>
      </w:r>
      <w:r w:rsidR="00074770" w:rsidRPr="00003535">
        <w:t xml:space="preserve">15 U.S.C. </w:t>
      </w:r>
      <w:r w:rsidR="00074770">
        <w:t>§</w:t>
      </w:r>
      <w:r w:rsidR="00074770" w:rsidRPr="00003535">
        <w:t>790</w:t>
      </w:r>
      <w:r w:rsidR="00074770">
        <w:t>(a)</w:t>
      </w:r>
      <w:r w:rsidR="00074770" w:rsidRPr="00003535">
        <w:t xml:space="preserve"> </w:t>
      </w:r>
      <w:r w:rsidRPr="00003535">
        <w:t>which states</w:t>
      </w:r>
      <w:r>
        <w:t>;</w:t>
      </w:r>
    </w:p>
    <w:p w14:paraId="214446E8" w14:textId="77777777" w:rsidR="009A1BAC" w:rsidRDefault="009A1BAC" w:rsidP="00D30EC2">
      <w:pPr>
        <w:ind w:left="720"/>
      </w:pPr>
      <w:r w:rsidRPr="004D4B61">
        <w:t>“</w:t>
      </w:r>
      <w:r>
        <w:t xml:space="preserve">It shall be the duty of the Director to </w:t>
      </w:r>
      <w:r w:rsidRPr="004D4B61">
        <w:t>establish a National Energy Inf</w:t>
      </w:r>
      <w:r>
        <w:t xml:space="preserve">ormation System… [which] shall </w:t>
      </w:r>
      <w:r w:rsidRPr="004D4B61">
        <w:t>contain such information as is required to provide a description of and facilitate analysis of energy supply and consumption</w:t>
      </w:r>
      <w:r>
        <w:t xml:space="preserve"> within and affecting the United States on the basis of such geographic areas and economic sectors as may be appropriate… to meet adequately the needs of…”</w:t>
      </w:r>
    </w:p>
    <w:p w14:paraId="53610839" w14:textId="52B00302" w:rsidR="009A1BAC" w:rsidRDefault="009A1BAC" w:rsidP="00D30EC2">
      <w:pPr>
        <w:ind w:left="1080" w:hanging="360"/>
      </w:pPr>
      <w:r>
        <w:t>(1) the Department of Energy in carrying out its lawful functions;</w:t>
      </w:r>
    </w:p>
    <w:p w14:paraId="4C8559A8" w14:textId="77777777" w:rsidR="009A1BAC" w:rsidRDefault="009A1BAC" w:rsidP="00D30EC2">
      <w:pPr>
        <w:ind w:left="1080" w:hanging="360"/>
      </w:pPr>
      <w:r>
        <w:t>(2) the Congress;</w:t>
      </w:r>
    </w:p>
    <w:p w14:paraId="32CD71E6" w14:textId="77777777" w:rsidR="009A1BAC" w:rsidRDefault="009A1BAC" w:rsidP="00D30EC2">
      <w:pPr>
        <w:ind w:left="1080" w:hanging="360"/>
      </w:pPr>
      <w:r>
        <w:t>(3) other officers and employees of the United States in whom have been vested, or to whom have been delegated energy-related policy decision-making responsibilities;</w:t>
      </w:r>
    </w:p>
    <w:p w14:paraId="0E9765AA" w14:textId="77777777" w:rsidR="009A1BAC" w:rsidRPr="004D4B61" w:rsidRDefault="009A1BAC" w:rsidP="00D30EC2">
      <w:pPr>
        <w:ind w:left="1080" w:hanging="360"/>
      </w:pPr>
      <w:r>
        <w:t>(4) the States to the extent required by the Natural Gas Act [15 U.S.C. 717 et seq.] and the Federal Power Act [16 U.S.C. 791a et seq.].</w:t>
      </w:r>
    </w:p>
    <w:p w14:paraId="6123EDD1" w14:textId="77777777" w:rsidR="009A1BAC" w:rsidRPr="004D4B61" w:rsidRDefault="009A1BAC" w:rsidP="00E11E07">
      <w:pPr>
        <w:ind w:left="1440"/>
      </w:pPr>
      <w:r w:rsidRPr="004D4B61">
        <w:t>"</w:t>
      </w:r>
      <w:r>
        <w:t xml:space="preserve">At a minimum, </w:t>
      </w:r>
      <w:r w:rsidRPr="004D4B61">
        <w:t>the System shall contain such energy information as is necessary to carry out the Administration's statistical a</w:t>
      </w:r>
      <w:r>
        <w:t xml:space="preserve">nd forecasting activities, and shall include… </w:t>
      </w:r>
      <w:r w:rsidRPr="004D4B61">
        <w:t>such energy information as is required to</w:t>
      </w:r>
      <w:r>
        <w:t xml:space="preserve"> define and permit analysis of;</w:t>
      </w:r>
    </w:p>
    <w:p w14:paraId="3A675A92" w14:textId="77777777" w:rsidR="009A1BAC" w:rsidRPr="004D4B61" w:rsidRDefault="009A1BAC" w:rsidP="00E11E07">
      <w:pPr>
        <w:ind w:left="2160"/>
      </w:pPr>
      <w:r>
        <w:t xml:space="preserve">(1) </w:t>
      </w:r>
      <w:r w:rsidRPr="004D4B61">
        <w:t>the institutional structure of the energy supply system including patterns of ownership and control of mineral fuel and non-mineral energy resources and the production, distribution, and marketing of mineral fuels and electricity;</w:t>
      </w:r>
    </w:p>
    <w:p w14:paraId="2A0A5F3E" w14:textId="77777777" w:rsidR="009A1BAC" w:rsidRPr="004D4B61" w:rsidRDefault="009A1BAC" w:rsidP="00E11E07">
      <w:pPr>
        <w:ind w:left="2160"/>
      </w:pPr>
      <w:r>
        <w:t xml:space="preserve">(2) the </w:t>
      </w:r>
      <w:r w:rsidRPr="004D4B61">
        <w:t xml:space="preserve">consumption of mineral fuels, non-mineral energy resources, and electricity by such classes, sectors, and regions as may be appropriate for the purposes of this </w:t>
      </w:r>
      <w:r>
        <w:t>chapter</w:t>
      </w:r>
      <w:r w:rsidRPr="004D4B61">
        <w:t>;</w:t>
      </w:r>
    </w:p>
    <w:p w14:paraId="6AF49CF2" w14:textId="77777777" w:rsidR="009A1BAC" w:rsidRDefault="009A1BAC" w:rsidP="00E11E07">
      <w:pPr>
        <w:ind w:left="2160"/>
      </w:pPr>
      <w:r>
        <w:t>(5) i</w:t>
      </w:r>
      <w:r w:rsidRPr="004D4B61">
        <w:t>ndustrial, labor, and regional impacts of changes in patterns of</w:t>
      </w:r>
      <w:r>
        <w:t xml:space="preserve"> energy supply and consumption;</w:t>
      </w:r>
    </w:p>
    <w:p w14:paraId="4535DE6F" w14:textId="77777777" w:rsidR="009A1BAC" w:rsidRDefault="009A1BAC" w:rsidP="00E11E07">
      <w:pPr>
        <w:ind w:left="2160"/>
      </w:pPr>
      <w:r>
        <w:t>(6) international aspects, economic and otherwise, of the evolving energy situation; and</w:t>
      </w:r>
    </w:p>
    <w:p w14:paraId="3EA31F2B" w14:textId="77777777" w:rsidR="009A1BAC" w:rsidRDefault="009A1BAC" w:rsidP="00E11E07">
      <w:pPr>
        <w:ind w:left="2160"/>
      </w:pPr>
      <w:r>
        <w:t>(7) long-term relationships between energy supply and consumption in the United States and world communities.”</w:t>
      </w:r>
    </w:p>
    <w:p w14:paraId="699943CF" w14:textId="3D54E760" w:rsidR="00E373EC" w:rsidRDefault="004D4FCA" w:rsidP="00E373EC">
      <w:r>
        <w:t>A</w:t>
      </w:r>
      <w:r w:rsidR="00E373EC">
        <w:t>dditio</w:t>
      </w:r>
      <w:r w:rsidR="00E373EC">
        <w:rPr>
          <w:spacing w:val="-1"/>
        </w:rPr>
        <w:t>n</w:t>
      </w:r>
      <w:r w:rsidR="00E373EC">
        <w:t>al auth</w:t>
      </w:r>
      <w:r w:rsidR="00E373EC">
        <w:rPr>
          <w:spacing w:val="-1"/>
        </w:rPr>
        <w:t>o</w:t>
      </w:r>
      <w:r w:rsidR="00E373EC">
        <w:t>rity for invoking</w:t>
      </w:r>
      <w:r w:rsidR="00E373EC">
        <w:rPr>
          <w:spacing w:val="-1"/>
        </w:rPr>
        <w:t xml:space="preserve"> </w:t>
      </w:r>
      <w:r>
        <w:t xml:space="preserve">15 U.S.C </w:t>
      </w:r>
      <w:r w:rsidR="00150E51">
        <w:t>§</w:t>
      </w:r>
      <w:r w:rsidR="00E373EC">
        <w:t>79</w:t>
      </w:r>
      <w:r w:rsidR="00E373EC">
        <w:rPr>
          <w:spacing w:val="-1"/>
        </w:rPr>
        <w:t>0</w:t>
      </w:r>
      <w:r w:rsidR="00E373EC">
        <w:t>(a) is provided by</w:t>
      </w:r>
      <w:r w:rsidR="00E373EC">
        <w:rPr>
          <w:spacing w:val="-2"/>
        </w:rPr>
        <w:t xml:space="preserve"> </w:t>
      </w:r>
      <w:r w:rsidR="00E373EC">
        <w:t xml:space="preserve">the </w:t>
      </w:r>
      <w:r w:rsidR="00E373EC" w:rsidRPr="00D30EC2">
        <w:t>16 U.S.C.</w:t>
      </w:r>
      <w:r w:rsidR="00150E51" w:rsidRPr="00D30EC2">
        <w:t xml:space="preserve"> </w:t>
      </w:r>
      <w:r w:rsidR="00150E51" w:rsidRPr="00150E51">
        <w:t>§</w:t>
      </w:r>
      <w:r w:rsidR="00E373EC" w:rsidRPr="00D30EC2">
        <w:t>2601</w:t>
      </w:r>
      <w:r w:rsidR="00E373EC">
        <w:t xml:space="preserve"> which states:</w:t>
      </w:r>
    </w:p>
    <w:p w14:paraId="56559B1A" w14:textId="3C45669A" w:rsidR="001E1C19" w:rsidRDefault="00E373EC" w:rsidP="00D30EC2">
      <w:pPr>
        <w:ind w:left="720"/>
      </w:pPr>
      <w:r>
        <w:t>The Congress finds that the protection of t</w:t>
      </w:r>
      <w:r w:rsidRPr="00150E51">
        <w:rPr>
          <w:spacing w:val="-1"/>
        </w:rPr>
        <w:t>h</w:t>
      </w:r>
      <w:r>
        <w:t>e public health, sa</w:t>
      </w:r>
      <w:r w:rsidRPr="00150E51">
        <w:rPr>
          <w:spacing w:val="-2"/>
        </w:rPr>
        <w:t>f</w:t>
      </w:r>
      <w:r>
        <w:t>ety, and welfare, the preservation of national security, and the prop</w:t>
      </w:r>
      <w:r w:rsidRPr="00150E51">
        <w:rPr>
          <w:spacing w:val="-1"/>
        </w:rPr>
        <w:t>e</w:t>
      </w:r>
      <w:r>
        <w:t>r exercise of congressional</w:t>
      </w:r>
      <w:r w:rsidRPr="00150E51">
        <w:rPr>
          <w:spacing w:val="-1"/>
        </w:rPr>
        <w:t xml:space="preserve"> </w:t>
      </w:r>
      <w:r>
        <w:t>authority</w:t>
      </w:r>
      <w:r w:rsidRPr="00150E51">
        <w:rPr>
          <w:spacing w:val="-1"/>
        </w:rPr>
        <w:t xml:space="preserve"> </w:t>
      </w:r>
      <w:r>
        <w:t>under the Constit</w:t>
      </w:r>
      <w:r w:rsidRPr="00150E51">
        <w:rPr>
          <w:spacing w:val="-1"/>
        </w:rPr>
        <w:t>u</w:t>
      </w:r>
      <w:r>
        <w:t>tion to regulate i</w:t>
      </w:r>
      <w:r w:rsidRPr="00150E51">
        <w:rPr>
          <w:spacing w:val="-1"/>
        </w:rPr>
        <w:t>n</w:t>
      </w:r>
      <w:r>
        <w:t>te</w:t>
      </w:r>
      <w:r w:rsidRPr="00150E51">
        <w:rPr>
          <w:spacing w:val="-1"/>
        </w:rPr>
        <w:t>rs</w:t>
      </w:r>
      <w:r>
        <w:t>tate commerce require - . . .</w:t>
      </w:r>
    </w:p>
    <w:p w14:paraId="0A5ACA02" w14:textId="742B8B75" w:rsidR="00E373EC" w:rsidRDefault="00E373EC" w:rsidP="00D217C5">
      <w:pPr>
        <w:widowControl w:val="0"/>
        <w:autoSpaceDE w:val="0"/>
        <w:autoSpaceDN w:val="0"/>
        <w:adjustRightInd w:val="0"/>
        <w:ind w:left="840" w:right="192"/>
        <w:rPr>
          <w:szCs w:val="24"/>
        </w:rPr>
      </w:pPr>
      <w:r>
        <w:rPr>
          <w:szCs w:val="24"/>
        </w:rPr>
        <w:t>(2) a program</w:t>
      </w:r>
      <w:r>
        <w:rPr>
          <w:spacing w:val="-2"/>
          <w:szCs w:val="24"/>
        </w:rPr>
        <w:t xml:space="preserve"> </w:t>
      </w:r>
      <w:r>
        <w:rPr>
          <w:szCs w:val="24"/>
        </w:rPr>
        <w:t xml:space="preserve">to </w:t>
      </w:r>
      <w:r>
        <w:rPr>
          <w:spacing w:val="2"/>
          <w:szCs w:val="24"/>
        </w:rPr>
        <w:t>i</w:t>
      </w:r>
      <w:r>
        <w:rPr>
          <w:spacing w:val="-2"/>
          <w:szCs w:val="24"/>
        </w:rPr>
        <w:t>m</w:t>
      </w:r>
      <w:r>
        <w:rPr>
          <w:szCs w:val="24"/>
        </w:rPr>
        <w:t>prove the wholesale distribution of electric energy, the reliability of</w:t>
      </w:r>
      <w:r>
        <w:rPr>
          <w:spacing w:val="-2"/>
          <w:szCs w:val="24"/>
        </w:rPr>
        <w:t xml:space="preserve"> </w:t>
      </w:r>
      <w:r>
        <w:rPr>
          <w:szCs w:val="24"/>
        </w:rPr>
        <w:t>ele</w:t>
      </w:r>
      <w:r>
        <w:rPr>
          <w:spacing w:val="-1"/>
          <w:szCs w:val="24"/>
        </w:rPr>
        <w:t>c</w:t>
      </w:r>
      <w:r>
        <w:rPr>
          <w:szCs w:val="24"/>
        </w:rPr>
        <w:t>tric ser</w:t>
      </w:r>
      <w:r>
        <w:rPr>
          <w:spacing w:val="-1"/>
          <w:szCs w:val="24"/>
        </w:rPr>
        <w:t>v</w:t>
      </w:r>
      <w:r>
        <w:rPr>
          <w:szCs w:val="24"/>
        </w:rPr>
        <w:t>ice, t</w:t>
      </w:r>
      <w:r>
        <w:rPr>
          <w:spacing w:val="-1"/>
          <w:szCs w:val="24"/>
        </w:rPr>
        <w:t>h</w:t>
      </w:r>
      <w:r>
        <w:rPr>
          <w:szCs w:val="24"/>
        </w:rPr>
        <w:t>e pro</w:t>
      </w:r>
      <w:r>
        <w:rPr>
          <w:spacing w:val="-1"/>
          <w:szCs w:val="24"/>
        </w:rPr>
        <w:t>c</w:t>
      </w:r>
      <w:r>
        <w:rPr>
          <w:szCs w:val="24"/>
        </w:rPr>
        <w:t>edures co</w:t>
      </w:r>
      <w:r>
        <w:rPr>
          <w:spacing w:val="-1"/>
          <w:szCs w:val="24"/>
        </w:rPr>
        <w:t>nc</w:t>
      </w:r>
      <w:r>
        <w:rPr>
          <w:szCs w:val="24"/>
        </w:rPr>
        <w:t>erning con</w:t>
      </w:r>
      <w:r>
        <w:rPr>
          <w:spacing w:val="-1"/>
          <w:szCs w:val="24"/>
        </w:rPr>
        <w:t>s</w:t>
      </w:r>
      <w:r>
        <w:rPr>
          <w:szCs w:val="24"/>
        </w:rPr>
        <w:t>ideration of wholesale rate appli</w:t>
      </w:r>
      <w:r>
        <w:rPr>
          <w:spacing w:val="-1"/>
          <w:szCs w:val="24"/>
        </w:rPr>
        <w:t>ca</w:t>
      </w:r>
      <w:r>
        <w:rPr>
          <w:szCs w:val="24"/>
        </w:rPr>
        <w:t>ti</w:t>
      </w:r>
      <w:r>
        <w:rPr>
          <w:spacing w:val="-1"/>
          <w:szCs w:val="24"/>
        </w:rPr>
        <w:t>o</w:t>
      </w:r>
      <w:r w:rsidRPr="00AC1221">
        <w:t>ns … the p</w:t>
      </w:r>
      <w:r w:rsidRPr="00AC1221">
        <w:rPr>
          <w:spacing w:val="-1"/>
        </w:rPr>
        <w:t>a</w:t>
      </w:r>
      <w:r w:rsidRPr="00AC1221">
        <w:t>rticip</w:t>
      </w:r>
      <w:r w:rsidRPr="00AC1221">
        <w:rPr>
          <w:spacing w:val="-1"/>
        </w:rPr>
        <w:t>a</w:t>
      </w:r>
      <w:r w:rsidRPr="00AC1221">
        <w:t xml:space="preserve">tion </w:t>
      </w:r>
      <w:r w:rsidRPr="00AC1221">
        <w:rPr>
          <w:spacing w:val="-1"/>
        </w:rPr>
        <w:t>o</w:t>
      </w:r>
      <w:r w:rsidRPr="00AC1221">
        <w:t>f</w:t>
      </w:r>
      <w:r w:rsidRPr="00AC1221">
        <w:rPr>
          <w:spacing w:val="-1"/>
        </w:rPr>
        <w:t xml:space="preserve"> </w:t>
      </w:r>
      <w:r w:rsidRPr="00AC1221">
        <w:t xml:space="preserve">the public in </w:t>
      </w:r>
      <w:r w:rsidRPr="00AC1221">
        <w:rPr>
          <w:spacing w:val="-2"/>
        </w:rPr>
        <w:t>m</w:t>
      </w:r>
      <w:r w:rsidRPr="00AC1221">
        <w:t>atters …</w:t>
      </w:r>
      <w:r w:rsidRPr="00AC1221">
        <w:rPr>
          <w:spacing w:val="-1"/>
        </w:rPr>
        <w:t xml:space="preserve"> </w:t>
      </w:r>
      <w:r w:rsidRPr="00AC1221">
        <w:t xml:space="preserve">and to provide other </w:t>
      </w:r>
      <w:r w:rsidRPr="00AC1221">
        <w:rPr>
          <w:spacing w:val="-2"/>
        </w:rPr>
        <w:t>m</w:t>
      </w:r>
      <w:r w:rsidRPr="00AC1221">
        <w:t xml:space="preserve">easures with respect to the regulation of the </w:t>
      </w:r>
      <w:r w:rsidRPr="00AC1221">
        <w:rPr>
          <w:spacing w:val="-2"/>
        </w:rPr>
        <w:t>w</w:t>
      </w:r>
      <w:r w:rsidRPr="00AC1221">
        <w:t>holesale sale of electric energy</w:t>
      </w:r>
      <w:r w:rsidR="001E1C19">
        <w:rPr>
          <w:szCs w:val="24"/>
        </w:rPr>
        <w:t>;</w:t>
      </w:r>
    </w:p>
    <w:p w14:paraId="38D3F21C" w14:textId="77777777" w:rsidR="008C734C" w:rsidRDefault="008C734C" w:rsidP="00910D61">
      <w:pPr>
        <w:pStyle w:val="Heading2"/>
      </w:pPr>
      <w:bookmarkStart w:id="11" w:name="_Toc466046210"/>
      <w:bookmarkStart w:id="12" w:name="_Toc487186501"/>
      <w:bookmarkStart w:id="13" w:name="_Toc488240608"/>
      <w:r>
        <w:t>A.2. Needs and Uses of Data</w:t>
      </w:r>
      <w:bookmarkEnd w:id="11"/>
      <w:bookmarkEnd w:id="12"/>
      <w:bookmarkEnd w:id="13"/>
    </w:p>
    <w:p w14:paraId="7C18358D" w14:textId="632BE2F2" w:rsidR="00E373EC" w:rsidRDefault="00E373EC" w:rsidP="00D30EC2">
      <w:pPr>
        <w:spacing w:before="240"/>
      </w:pPr>
      <w:r>
        <w:t xml:space="preserve">The electric power industry in the United States consists of traditionally regulated </w:t>
      </w:r>
      <w:r w:rsidR="001A6AE2">
        <w:t>entities (</w:t>
      </w:r>
      <w:r>
        <w:t>also known as electric utilities), as well as non-traditional participants that include unregulated entities</w:t>
      </w:r>
      <w:r w:rsidR="001A6AE2">
        <w:t xml:space="preserve"> </w:t>
      </w:r>
      <w:r>
        <w:t>and electric power marketers. As of late 2015</w:t>
      </w:r>
      <w:r w:rsidR="00F93F5A">
        <w:t>,</w:t>
      </w:r>
      <w:r>
        <w:t xml:space="preserve"> there were over 2,000 traditionally regulated and unregulated entities and power marketers.</w:t>
      </w:r>
      <w:r w:rsidR="001A6AE2">
        <w:t xml:space="preserve"> </w:t>
      </w:r>
      <w:r>
        <w:t xml:space="preserve">However, the physical operation of the entire electrical system is handled by 107 </w:t>
      </w:r>
      <w:r w:rsidR="00F93F5A">
        <w:t>B</w:t>
      </w:r>
      <w:r>
        <w:t xml:space="preserve">alancing </w:t>
      </w:r>
      <w:r w:rsidR="00F93F5A">
        <w:t>A</w:t>
      </w:r>
      <w:r w:rsidR="001A6AE2">
        <w:t>uthorities</w:t>
      </w:r>
      <w:r w:rsidR="00F93F5A">
        <w:t xml:space="preserve"> (BA</w:t>
      </w:r>
      <w:r w:rsidR="006A38D5">
        <w:t xml:space="preserve">) </w:t>
      </w:r>
      <w:r w:rsidR="001A6AE2">
        <w:t>located</w:t>
      </w:r>
      <w:r>
        <w:t xml:space="preserve"> within the United States. </w:t>
      </w:r>
    </w:p>
    <w:p w14:paraId="47CB6413" w14:textId="3EE5E25D" w:rsidR="00E373EC" w:rsidRDefault="001A6AE2" w:rsidP="00E373EC">
      <w:r>
        <w:t>Form O</w:t>
      </w:r>
      <w:r w:rsidR="00E373EC">
        <w:t>E-417 enable</w:t>
      </w:r>
      <w:r w:rsidR="00F27019">
        <w:t>s</w:t>
      </w:r>
      <w:r w:rsidR="00E373EC">
        <w:t xml:space="preserve"> DOE to monitor electric emergency incidents and disturbances in the United States (including all 50 States, the District of Columbia, Puerto Rico, U.S. Virgin Islands, and the U.S. Territories). By </w:t>
      </w:r>
      <w:r w:rsidR="00F27019">
        <w:t>integrating</w:t>
      </w:r>
      <w:r w:rsidR="00E373EC">
        <w:t xml:space="preserve"> the N</w:t>
      </w:r>
      <w:r w:rsidR="00A01924">
        <w:t xml:space="preserve">orth American </w:t>
      </w:r>
      <w:r w:rsidR="00E373EC">
        <w:t>E</w:t>
      </w:r>
      <w:r w:rsidR="00A01924">
        <w:t>nergy Reliability Corporation (</w:t>
      </w:r>
      <w:r w:rsidR="00E373EC">
        <w:t>NERC</w:t>
      </w:r>
      <w:r w:rsidR="00A01924">
        <w:t>)</w:t>
      </w:r>
      <w:r w:rsidR="00E373EC">
        <w:t xml:space="preserve"> Form EOP-004 into</w:t>
      </w:r>
      <w:r>
        <w:t xml:space="preserve"> Form O</w:t>
      </w:r>
      <w:r w:rsidR="00E373EC">
        <w:t>E-417</w:t>
      </w:r>
      <w:r w:rsidR="00812188">
        <w:t>,</w:t>
      </w:r>
      <w:r w:rsidR="00E373EC">
        <w:t xml:space="preserve"> NERC will be able to utilize </w:t>
      </w:r>
      <w:r>
        <w:t>Form O</w:t>
      </w:r>
      <w:r w:rsidR="00E373EC">
        <w:t xml:space="preserve">E-417 to improve the reliability of the Bulk Electric System by monitoring events </w:t>
      </w:r>
      <w:r w:rsidR="00812188">
        <w:t>of</w:t>
      </w:r>
      <w:r w:rsidR="00E373EC">
        <w:t xml:space="preserve"> reporting entities. The information will assist the </w:t>
      </w:r>
      <w:r w:rsidR="00F27019">
        <w:t>g</w:t>
      </w:r>
      <w:r w:rsidR="00E373EC">
        <w:t xml:space="preserve">overnment by helping to prevent the physical or virtual disruption of the operation of the </w:t>
      </w:r>
      <w:r w:rsidR="00E17B8C">
        <w:t xml:space="preserve">critical </w:t>
      </w:r>
      <w:r w:rsidR="00E373EC">
        <w:t>electrical energy infrastructure.</w:t>
      </w:r>
    </w:p>
    <w:p w14:paraId="669246EB" w14:textId="1429D551" w:rsidR="00E373EC" w:rsidRDefault="003B65C1" w:rsidP="00E373EC">
      <w:r>
        <w:t xml:space="preserve">DOE is the lead agency responsible for Emergency Support Function (ESF) #12 – Energy, under the National Response Framework, and the Sector Specific Agency (SSA) for Energy under Presidential Policy Directive (PPD) 21 and PPD 41. </w:t>
      </w:r>
      <w:r w:rsidR="00E373EC">
        <w:t>DOE</w:t>
      </w:r>
      <w:r w:rsidR="00F93F5A">
        <w:t>’s</w:t>
      </w:r>
      <w:r w:rsidR="00E373EC">
        <w:t xml:space="preserve"> Office of Electricity Delivery and Energy Reliability (OE) uses</w:t>
      </w:r>
      <w:r w:rsidR="001A6AE2">
        <w:t xml:space="preserve"> Form O</w:t>
      </w:r>
      <w:r w:rsidR="00E373EC">
        <w:t>E-417</w:t>
      </w:r>
      <w:r w:rsidR="00E17B8C">
        <w:t>, “</w:t>
      </w:r>
      <w:r w:rsidR="00E373EC" w:rsidRPr="00AD2A07">
        <w:rPr>
          <w:i/>
        </w:rPr>
        <w:t>Emergency Incident and Disturbance Report</w:t>
      </w:r>
      <w:r w:rsidR="00E17B8C">
        <w:rPr>
          <w:i/>
        </w:rPr>
        <w:t>”</w:t>
      </w:r>
      <w:r w:rsidR="00E373EC">
        <w:t xml:space="preserve"> to monitor major incidents or potential incidents on electric power systems</w:t>
      </w:r>
      <w:r w:rsidR="00F27019">
        <w:t>,</w:t>
      </w:r>
      <w:r w:rsidR="00E373EC">
        <w:t xml:space="preserve"> and to conduct after-action investigations on significant interruptions of electric power or threats to </w:t>
      </w:r>
      <w:r w:rsidR="007E1400">
        <w:t xml:space="preserve">the </w:t>
      </w:r>
      <w:r w:rsidR="00E373EC">
        <w:t>electric system reliability</w:t>
      </w:r>
      <w:r w:rsidR="006A38D5">
        <w:t>,</w:t>
      </w:r>
      <w:r w:rsidR="00E373EC">
        <w:t xml:space="preserve"> </w:t>
      </w:r>
      <w:r>
        <w:t xml:space="preserve">which helps DOE meet its ESF #12, SSA, and national security responsibilities. </w:t>
      </w:r>
      <w:r w:rsidR="00E373EC">
        <w:t xml:space="preserve">The information </w:t>
      </w:r>
      <w:r w:rsidR="00F27019">
        <w:t xml:space="preserve">is </w:t>
      </w:r>
      <w:r w:rsidR="00E373EC">
        <w:t xml:space="preserve">also used in developing legislative recommendations and reports to Congress; </w:t>
      </w:r>
      <w:r w:rsidR="00DE207B">
        <w:t xml:space="preserve">as well as </w:t>
      </w:r>
      <w:r>
        <w:t xml:space="preserve">inform </w:t>
      </w:r>
      <w:r w:rsidR="00E373EC">
        <w:t>Federal efforts</w:t>
      </w:r>
      <w:r>
        <w:t xml:space="preserve"> develop</w:t>
      </w:r>
      <w:r w:rsidR="00DE207B">
        <w:t>ing</w:t>
      </w:r>
      <w:r>
        <w:t xml:space="preserve"> policies to respond to electrical disturbance</w:t>
      </w:r>
      <w:r w:rsidR="00DE207B">
        <w:t>s</w:t>
      </w:r>
      <w:r>
        <w:t xml:space="preserve"> and protect </w:t>
      </w:r>
      <w:r w:rsidR="00E373EC">
        <w:t xml:space="preserve">critical </w:t>
      </w:r>
      <w:r w:rsidR="00DE207B">
        <w:t>national</w:t>
      </w:r>
      <w:r w:rsidR="00E373EC">
        <w:t xml:space="preserve"> infrastructure</w:t>
      </w:r>
      <w:r>
        <w:t>.</w:t>
      </w:r>
    </w:p>
    <w:p w14:paraId="197FF2B4" w14:textId="3971A55E" w:rsidR="00F2753B" w:rsidRDefault="00E373EC" w:rsidP="00E373EC">
      <w:r>
        <w:t>The information submitted</w:t>
      </w:r>
      <w:r w:rsidR="00F27019">
        <w:t xml:space="preserve"> is</w:t>
      </w:r>
      <w:r>
        <w:t xml:space="preserve"> also used by the </w:t>
      </w:r>
      <w:r w:rsidR="00F93F5A">
        <w:t xml:space="preserve">DOE’s </w:t>
      </w:r>
      <w:r>
        <w:t xml:space="preserve">Office of Energy Policy and System Analysis, the Energy Information Administration, and other DOE offices with a need-to-know </w:t>
      </w:r>
      <w:r w:rsidR="00F93F5A">
        <w:t>designation</w:t>
      </w:r>
      <w:r>
        <w:t xml:space="preserve"> to analyze significant interruptions or potential interruptions of electric power.</w:t>
      </w:r>
    </w:p>
    <w:p w14:paraId="4977FB32" w14:textId="57E1E63B" w:rsidR="00E373EC" w:rsidRDefault="00E373EC" w:rsidP="00910D61">
      <w:pPr>
        <w:pStyle w:val="Heading2"/>
      </w:pPr>
      <w:bookmarkStart w:id="14" w:name="_Toc487186502"/>
      <w:bookmarkStart w:id="15" w:name="_Toc488240609"/>
      <w:r>
        <w:t>A.2.</w:t>
      </w:r>
      <w:r w:rsidR="00FF2834">
        <w:t>1</w:t>
      </w:r>
      <w:r>
        <w:t xml:space="preserve"> </w:t>
      </w:r>
      <w:r w:rsidRPr="0085414B">
        <w:t>Overview of Data Uses</w:t>
      </w:r>
      <w:bookmarkEnd w:id="14"/>
      <w:bookmarkEnd w:id="15"/>
    </w:p>
    <w:p w14:paraId="3D81E1D8" w14:textId="62EECBF8" w:rsidR="00A406E9" w:rsidRDefault="001A6AE2" w:rsidP="00D30EC2">
      <w:pPr>
        <w:spacing w:before="240"/>
      </w:pPr>
      <w:r>
        <w:t>Form O</w:t>
      </w:r>
      <w:r w:rsidR="00E373EC">
        <w:t xml:space="preserve">E-417 </w:t>
      </w:r>
      <w:r w:rsidR="00A406E9">
        <w:t>enables DOE and NERC to monitor electric emergency incidents and disturbances so the U.S. Government may</w:t>
      </w:r>
      <w:r w:rsidR="00F62D6B">
        <w:t xml:space="preserve"> take steps to</w:t>
      </w:r>
      <w:r w:rsidR="00A406E9">
        <w:t xml:space="preserve"> help prevent the physical or virtual disruption of the operation of critical electric power infrastructure. </w:t>
      </w:r>
      <w:r>
        <w:t>Form O</w:t>
      </w:r>
      <w:r w:rsidR="00E373EC">
        <w:t xml:space="preserve">E-417 </w:t>
      </w:r>
      <w:r w:rsidR="00A406E9">
        <w:t xml:space="preserve">is an alert mechanism and enables </w:t>
      </w:r>
      <w:r w:rsidR="00DE207B">
        <w:t>DOE</w:t>
      </w:r>
      <w:r w:rsidR="00E373EC">
        <w:t xml:space="preserve"> to quickly respond to energy emergencies that may impact the nation’s</w:t>
      </w:r>
      <w:r w:rsidR="00D32779">
        <w:t xml:space="preserve"> energy </w:t>
      </w:r>
      <w:r w:rsidR="00E373EC">
        <w:t>infrastructure</w:t>
      </w:r>
      <w:r w:rsidR="00A406E9">
        <w:t xml:space="preserve">. The analysis of the </w:t>
      </w:r>
      <w:r w:rsidR="00D32779">
        <w:t xml:space="preserve">incident/disturbance data </w:t>
      </w:r>
      <w:r w:rsidR="00A406E9">
        <w:t xml:space="preserve">allows </w:t>
      </w:r>
      <w:r w:rsidR="00D32779">
        <w:t xml:space="preserve">for </w:t>
      </w:r>
      <w:r w:rsidR="00A406E9">
        <w:t>the development of strategies to mitigate</w:t>
      </w:r>
      <w:r w:rsidR="00E373EC">
        <w:t xml:space="preserve"> or prevent </w:t>
      </w:r>
      <w:r w:rsidR="00D30EC2">
        <w:t xml:space="preserve">future </w:t>
      </w:r>
      <w:r w:rsidR="00F62D6B">
        <w:t xml:space="preserve">electric power </w:t>
      </w:r>
      <w:r w:rsidR="00E373EC">
        <w:t>disruptions</w:t>
      </w:r>
      <w:r w:rsidR="00A406E9">
        <w:t xml:space="preserve">. </w:t>
      </w:r>
      <w:r w:rsidR="00C9143F">
        <w:t>As such, the timely initial filing of Schedule 1 of this form within 1 hour of the emergency incident is extremely important.</w:t>
      </w:r>
    </w:p>
    <w:p w14:paraId="7232B4D5" w14:textId="01DBAB89" w:rsidR="00A406E9" w:rsidRDefault="00A406E9" w:rsidP="00A406E9">
      <w:r>
        <w:t xml:space="preserve">Emergency electric incidents and disturbances </w:t>
      </w:r>
      <w:r w:rsidR="00171EF4">
        <w:t xml:space="preserve">that </w:t>
      </w:r>
      <w:r>
        <w:t>lead to interruptions of power, such as rotating blackouts, could lead to disruptions of critical infrastructure</w:t>
      </w:r>
      <w:r w:rsidR="008B55DF">
        <w:t xml:space="preserve">. </w:t>
      </w:r>
      <w:r w:rsidR="00D30EC2">
        <w:t>Critical Infrastructure that can be affected by electric incidents and disturbances include</w:t>
      </w:r>
      <w:r>
        <w:t xml:space="preserve"> natural gas or petroleum product pipelines, petroleum refineries, water supplies, and telecommunications systems. The national security, economic prosperity, and </w:t>
      </w:r>
      <w:r w:rsidR="00DA371E">
        <w:t>the</w:t>
      </w:r>
      <w:r>
        <w:t xml:space="preserve"> well-being of the U.S. depends on the continuing reliability of the nation’s increasingly complex electric power</w:t>
      </w:r>
      <w:r w:rsidDel="003A4250">
        <w:t xml:space="preserve"> </w:t>
      </w:r>
      <w:r>
        <w:t xml:space="preserve">infrastructure. </w:t>
      </w:r>
      <w:r w:rsidR="00DA371E">
        <w:t>Along with examining issues associated with insufficient capacity reserves, t</w:t>
      </w:r>
      <w:r>
        <w:t>racking disturbances that impact integrated generation and transmission facilities is an important task. Form OE-417 is a critical alert mechanism for informing DOE so that physical and virtual disruption of any critical infrastructure can be prevented or mitigated.</w:t>
      </w:r>
      <w:r w:rsidR="00F2753B">
        <w:t xml:space="preserve"> Form OE-417 data was </w:t>
      </w:r>
      <w:r w:rsidR="00D30EC2">
        <w:t xml:space="preserve">utilized </w:t>
      </w:r>
      <w:r w:rsidR="00F2753B">
        <w:t>in recent</w:t>
      </w:r>
      <w:r w:rsidR="00F2753B" w:rsidRPr="00D30EC2">
        <w:t xml:space="preserve"> events such as the power outages caused by hurricanes Harvey, Irma, Nate</w:t>
      </w:r>
      <w:r w:rsidR="00DA371E">
        <w:t>,</w:t>
      </w:r>
      <w:r w:rsidR="00F2753B" w:rsidRPr="00D30EC2">
        <w:t xml:space="preserve"> and Maria during the 2017 Hurricane Season.</w:t>
      </w:r>
      <w:r w:rsidR="008B55DF">
        <w:t xml:space="preserve"> During these hurricanes DOE was alerted when there were major power outages. Form OE-417 allowed DOE to assess</w:t>
      </w:r>
      <w:r w:rsidR="005A3650">
        <w:t xml:space="preserve"> the specific cause of outages,</w:t>
      </w:r>
      <w:r w:rsidR="008B55DF">
        <w:t xml:space="preserve"> how many customers were affected </w:t>
      </w:r>
      <w:r w:rsidR="005A3650">
        <w:t xml:space="preserve">and </w:t>
      </w:r>
      <w:r w:rsidR="008B55DF">
        <w:t>the demand loss</w:t>
      </w:r>
      <w:r w:rsidR="005A3650">
        <w:t>, as well as estimated time to restoration</w:t>
      </w:r>
      <w:r w:rsidR="008B55DF">
        <w:t>.</w:t>
      </w:r>
    </w:p>
    <w:p w14:paraId="7E476DC1" w14:textId="715E2B27" w:rsidR="00F27019" w:rsidRDefault="001A6AE2" w:rsidP="00E373EC">
      <w:r>
        <w:t>Form O</w:t>
      </w:r>
      <w:r w:rsidR="00E373EC">
        <w:t>E-417 is designed to identify and track emergency incidents from:</w:t>
      </w:r>
    </w:p>
    <w:p w14:paraId="67BDFC9A" w14:textId="5A816B88" w:rsidR="00E373EC" w:rsidRDefault="00E373EC" w:rsidP="00B76132">
      <w:pPr>
        <w:pStyle w:val="ListParagraph"/>
      </w:pPr>
      <w:r>
        <w:t>Entities that have Balancing Authorities (BA) and/or regional Reliability Coordinator (RC) functions. They are responsible for the physical operations and reliability coordination.</w:t>
      </w:r>
    </w:p>
    <w:p w14:paraId="7E90823F" w14:textId="568C48CA" w:rsidR="00E373EC" w:rsidRDefault="00E373EC">
      <w:pPr>
        <w:pStyle w:val="ListParagraph"/>
      </w:pPr>
      <w:r>
        <w:t>All electric utilities’ physical and electronic (cyber) security, suspected, malicious, or intentional threats.</w:t>
      </w:r>
    </w:p>
    <w:p w14:paraId="662D1561" w14:textId="5B963042" w:rsidR="00E373EC" w:rsidRDefault="00E373EC" w:rsidP="00910D61">
      <w:pPr>
        <w:pStyle w:val="Heading2"/>
      </w:pPr>
      <w:bookmarkStart w:id="16" w:name="_Toc487186503"/>
      <w:bookmarkStart w:id="17" w:name="_Toc488240610"/>
      <w:r>
        <w:t>A.</w:t>
      </w:r>
      <w:r w:rsidRPr="00E373EC">
        <w:t>2.2</w:t>
      </w:r>
      <w:r w:rsidR="00187322">
        <w:t>.1</w:t>
      </w:r>
      <w:r w:rsidRPr="00E373EC">
        <w:t xml:space="preserve"> Overview of Data Collection</w:t>
      </w:r>
      <w:bookmarkEnd w:id="16"/>
      <w:bookmarkEnd w:id="17"/>
    </w:p>
    <w:p w14:paraId="6A9A28CA" w14:textId="547B00DA" w:rsidR="00E373EC" w:rsidRDefault="001A6AE2" w:rsidP="005A3650">
      <w:pPr>
        <w:spacing w:before="240"/>
      </w:pPr>
      <w:r>
        <w:t>Form O</w:t>
      </w:r>
      <w:r w:rsidR="00E373EC">
        <w:t xml:space="preserve">E-417 </w:t>
      </w:r>
      <w:r w:rsidR="00C02F70">
        <w:t xml:space="preserve">does not </w:t>
      </w:r>
      <w:r w:rsidR="00E373EC">
        <w:t xml:space="preserve">follow a reporting </w:t>
      </w:r>
      <w:r w:rsidR="00DA371E">
        <w:t xml:space="preserve">schedule </w:t>
      </w:r>
      <w:r w:rsidR="00C02F70">
        <w:t>because</w:t>
      </w:r>
      <w:r w:rsidR="00E373EC">
        <w:t xml:space="preserve"> the </w:t>
      </w:r>
      <w:r w:rsidR="00D25834">
        <w:t xml:space="preserve">requirement to report </w:t>
      </w:r>
      <w:r w:rsidR="00E373EC">
        <w:t xml:space="preserve">is </w:t>
      </w:r>
      <w:r w:rsidR="00C02F70">
        <w:t xml:space="preserve">event </w:t>
      </w:r>
      <w:r w:rsidR="00E373EC">
        <w:t>driven</w:t>
      </w:r>
      <w:r w:rsidR="00C02F70">
        <w:t>.</w:t>
      </w:r>
      <w:r w:rsidR="00E373EC">
        <w:t xml:space="preserve"> </w:t>
      </w:r>
    </w:p>
    <w:p w14:paraId="371BC592" w14:textId="7D35250E" w:rsidR="00FF1AB6" w:rsidRDefault="00FF1AB6" w:rsidP="00FF1AB6">
      <w:pPr>
        <w:rPr>
          <w:color w:val="000000"/>
          <w:szCs w:val="24"/>
        </w:rPr>
      </w:pPr>
      <w:r>
        <w:t>Reporting coverage for Form OE-417 includ</w:t>
      </w:r>
      <w:r>
        <w:rPr>
          <w:spacing w:val="-3"/>
        </w:rPr>
        <w:t>e</w:t>
      </w:r>
      <w:r>
        <w:t>s all 50 States, the District of Columbia, Puerto Rico, the U.S. Virgin Islands, and the U.S. Territo</w:t>
      </w:r>
      <w:r>
        <w:rPr>
          <w:spacing w:val="-1"/>
        </w:rPr>
        <w:t>r</w:t>
      </w:r>
      <w:r>
        <w:rPr>
          <w:spacing w:val="1"/>
        </w:rPr>
        <w:t>i</w:t>
      </w:r>
      <w:r>
        <w:t xml:space="preserve">es. DOE is </w:t>
      </w:r>
      <w:r>
        <w:rPr>
          <w:spacing w:val="-2"/>
        </w:rPr>
        <w:t>m</w:t>
      </w:r>
      <w:r>
        <w:t>aintai</w:t>
      </w:r>
      <w:r>
        <w:rPr>
          <w:spacing w:val="-1"/>
        </w:rPr>
        <w:t>n</w:t>
      </w:r>
      <w:r>
        <w:t>ing the reporting functions for electric utilities, BA, and RCs. Incident events reporting, such as suspected or actual threats, vandalism, and/or</w:t>
      </w:r>
      <w:r>
        <w:rPr>
          <w:spacing w:val="-1"/>
        </w:rPr>
        <w:t xml:space="preserve"> </w:t>
      </w:r>
      <w:r>
        <w:t xml:space="preserve">cyber-attacks or total loss of power, is required for all respondents. However, it is the expectation that few, if any, reports would be filed in any given year </w:t>
      </w:r>
      <w:r w:rsidR="00D25834">
        <w:t>by</w:t>
      </w:r>
      <w:r>
        <w:rPr>
          <w:spacing w:val="-2"/>
        </w:rPr>
        <w:t xml:space="preserve"> </w:t>
      </w:r>
      <w:r>
        <w:t>mo</w:t>
      </w:r>
      <w:r>
        <w:rPr>
          <w:spacing w:val="1"/>
        </w:rPr>
        <w:t>s</w:t>
      </w:r>
      <w:r>
        <w:t>t respondents. There are 119</w:t>
      </w:r>
      <w:r w:rsidR="00D25834">
        <w:t xml:space="preserve"> NERC- established BA</w:t>
      </w:r>
      <w:r w:rsidR="00D25834">
        <w:rPr>
          <w:rStyle w:val="FootnoteReference"/>
          <w:color w:val="000000"/>
          <w:szCs w:val="24"/>
        </w:rPr>
        <w:footnoteReference w:id="2"/>
      </w:r>
      <w:r w:rsidR="00D25834">
        <w:t xml:space="preserve"> </w:t>
      </w:r>
      <w:r w:rsidR="00D25834">
        <w:rPr>
          <w:color w:val="000000"/>
          <w:szCs w:val="24"/>
        </w:rPr>
        <w:t>and R</w:t>
      </w:r>
      <w:r w:rsidR="00D25834">
        <w:rPr>
          <w:color w:val="000000"/>
          <w:spacing w:val="1"/>
          <w:szCs w:val="24"/>
        </w:rPr>
        <w:t>C</w:t>
      </w:r>
      <w:r w:rsidR="00D25834">
        <w:rPr>
          <w:rStyle w:val="FootnoteReference"/>
          <w:color w:val="000000"/>
          <w:spacing w:val="1"/>
          <w:szCs w:val="24"/>
        </w:rPr>
        <w:footnoteReference w:id="3"/>
      </w:r>
      <w:r w:rsidR="00074770">
        <w:rPr>
          <w:color w:val="000000"/>
          <w:spacing w:val="1"/>
          <w:szCs w:val="24"/>
        </w:rPr>
        <w:t xml:space="preserve"> </w:t>
      </w:r>
      <w:r>
        <w:t xml:space="preserve">entities </w:t>
      </w:r>
      <w:r>
        <w:rPr>
          <w:color w:val="000000"/>
          <w:szCs w:val="24"/>
        </w:rPr>
        <w:t>that are responsible for the physical operations and reliability coordination of busin</w:t>
      </w:r>
      <w:r>
        <w:rPr>
          <w:color w:val="000000"/>
          <w:spacing w:val="-1"/>
          <w:szCs w:val="24"/>
        </w:rPr>
        <w:t>e</w:t>
      </w:r>
      <w:r>
        <w:rPr>
          <w:color w:val="000000"/>
          <w:szCs w:val="24"/>
        </w:rPr>
        <w:t>ss e</w:t>
      </w:r>
      <w:r>
        <w:rPr>
          <w:color w:val="000000"/>
          <w:spacing w:val="-1"/>
          <w:szCs w:val="24"/>
        </w:rPr>
        <w:t>n</w:t>
      </w:r>
      <w:r>
        <w:rPr>
          <w:color w:val="000000"/>
          <w:szCs w:val="24"/>
        </w:rPr>
        <w:t>tities th</w:t>
      </w:r>
      <w:r>
        <w:rPr>
          <w:color w:val="000000"/>
          <w:spacing w:val="-1"/>
          <w:szCs w:val="24"/>
        </w:rPr>
        <w:t>a</w:t>
      </w:r>
      <w:r>
        <w:rPr>
          <w:color w:val="000000"/>
          <w:szCs w:val="24"/>
        </w:rPr>
        <w:t xml:space="preserve">t </w:t>
      </w:r>
      <w:r>
        <w:rPr>
          <w:color w:val="000000"/>
          <w:spacing w:val="-1"/>
          <w:szCs w:val="24"/>
        </w:rPr>
        <w:t>f</w:t>
      </w:r>
      <w:r>
        <w:rPr>
          <w:color w:val="000000"/>
          <w:szCs w:val="24"/>
        </w:rPr>
        <w:t>ile t</w:t>
      </w:r>
      <w:r>
        <w:rPr>
          <w:color w:val="000000"/>
          <w:spacing w:val="-1"/>
          <w:szCs w:val="24"/>
        </w:rPr>
        <w:t>h</w:t>
      </w:r>
      <w:r>
        <w:rPr>
          <w:color w:val="000000"/>
          <w:szCs w:val="24"/>
        </w:rPr>
        <w:t xml:space="preserve">e </w:t>
      </w:r>
      <w:r>
        <w:rPr>
          <w:color w:val="000000"/>
          <w:spacing w:val="-1"/>
          <w:szCs w:val="24"/>
        </w:rPr>
        <w:t>f</w:t>
      </w:r>
      <w:r>
        <w:rPr>
          <w:color w:val="000000"/>
          <w:szCs w:val="24"/>
        </w:rPr>
        <w:t>orm. All of</w:t>
      </w:r>
      <w:r>
        <w:rPr>
          <w:color w:val="000000"/>
          <w:spacing w:val="-1"/>
          <w:szCs w:val="24"/>
        </w:rPr>
        <w:t xml:space="preserve"> </w:t>
      </w:r>
      <w:r>
        <w:rPr>
          <w:color w:val="000000"/>
          <w:szCs w:val="24"/>
        </w:rPr>
        <w:t xml:space="preserve">these </w:t>
      </w:r>
      <w:r>
        <w:rPr>
          <w:color w:val="000000"/>
          <w:spacing w:val="-1"/>
          <w:szCs w:val="24"/>
        </w:rPr>
        <w:t>f</w:t>
      </w:r>
      <w:r>
        <w:rPr>
          <w:color w:val="000000"/>
          <w:szCs w:val="24"/>
        </w:rPr>
        <w:t>unctions a</w:t>
      </w:r>
      <w:r>
        <w:rPr>
          <w:color w:val="000000"/>
          <w:spacing w:val="-1"/>
          <w:szCs w:val="24"/>
        </w:rPr>
        <w:t>r</w:t>
      </w:r>
      <w:r>
        <w:rPr>
          <w:color w:val="000000"/>
          <w:szCs w:val="24"/>
        </w:rPr>
        <w:t>e loc</w:t>
      </w:r>
      <w:r>
        <w:rPr>
          <w:color w:val="000000"/>
          <w:spacing w:val="-1"/>
          <w:szCs w:val="24"/>
        </w:rPr>
        <w:t>a</w:t>
      </w:r>
      <w:r>
        <w:rPr>
          <w:color w:val="000000"/>
          <w:szCs w:val="24"/>
        </w:rPr>
        <w:t>ted within exi</w:t>
      </w:r>
      <w:r>
        <w:rPr>
          <w:color w:val="000000"/>
          <w:spacing w:val="-2"/>
          <w:szCs w:val="24"/>
        </w:rPr>
        <w:t>s</w:t>
      </w:r>
      <w:r>
        <w:rPr>
          <w:color w:val="000000"/>
          <w:szCs w:val="24"/>
        </w:rPr>
        <w:t>ting electric utilities or in those business entities that were established by the Federal Energy Regulatory Com</w:t>
      </w:r>
      <w:r>
        <w:rPr>
          <w:color w:val="000000"/>
          <w:spacing w:val="-2"/>
          <w:szCs w:val="24"/>
        </w:rPr>
        <w:t>m</w:t>
      </w:r>
      <w:r>
        <w:rPr>
          <w:color w:val="000000"/>
          <w:szCs w:val="24"/>
        </w:rPr>
        <w:t>ission (FERC).</w:t>
      </w:r>
    </w:p>
    <w:p w14:paraId="3F773301" w14:textId="0CBBA1C9" w:rsidR="00FF1AB6" w:rsidRPr="00310B74" w:rsidRDefault="00FF1AB6" w:rsidP="00FF1AB6">
      <w:pPr>
        <w:rPr>
          <w:color w:val="000000"/>
          <w:szCs w:val="24"/>
        </w:rPr>
      </w:pPr>
      <w:r>
        <w:rPr>
          <w:color w:val="000000"/>
          <w:szCs w:val="24"/>
        </w:rPr>
        <w:t>The entities that have BA responsibilities are</w:t>
      </w:r>
      <w:r>
        <w:rPr>
          <w:color w:val="000000"/>
          <w:spacing w:val="-1"/>
          <w:szCs w:val="24"/>
        </w:rPr>
        <w:t xml:space="preserve"> </w:t>
      </w:r>
      <w:r>
        <w:rPr>
          <w:color w:val="000000"/>
          <w:szCs w:val="24"/>
        </w:rPr>
        <w:t>considered the pri</w:t>
      </w:r>
      <w:r>
        <w:rPr>
          <w:color w:val="000000"/>
          <w:spacing w:val="-2"/>
          <w:szCs w:val="24"/>
        </w:rPr>
        <w:t>m</w:t>
      </w:r>
      <w:r>
        <w:rPr>
          <w:color w:val="000000"/>
          <w:szCs w:val="24"/>
        </w:rPr>
        <w:t xml:space="preserve">ary </w:t>
      </w:r>
      <w:r w:rsidR="00C064D0">
        <w:rPr>
          <w:color w:val="000000"/>
          <w:szCs w:val="24"/>
        </w:rPr>
        <w:t>filer of Form</w:t>
      </w:r>
      <w:r w:rsidR="00F2753B">
        <w:rPr>
          <w:color w:val="000000"/>
          <w:szCs w:val="24"/>
        </w:rPr>
        <w:t xml:space="preserve"> </w:t>
      </w:r>
      <w:r w:rsidR="00267B80">
        <w:rPr>
          <w:color w:val="000000"/>
          <w:szCs w:val="24"/>
        </w:rPr>
        <w:t>OE-417</w:t>
      </w:r>
      <w:r w:rsidR="00FE3049">
        <w:rPr>
          <w:color w:val="000000"/>
          <w:szCs w:val="24"/>
        </w:rPr>
        <w:t xml:space="preserve">. </w:t>
      </w:r>
      <w:r>
        <w:rPr>
          <w:color w:val="000000"/>
          <w:szCs w:val="24"/>
        </w:rPr>
        <w:t xml:space="preserve">They </w:t>
      </w:r>
      <w:r w:rsidR="00C064D0">
        <w:rPr>
          <w:color w:val="000000"/>
          <w:szCs w:val="24"/>
        </w:rPr>
        <w:t xml:space="preserve">report </w:t>
      </w:r>
      <w:r>
        <w:rPr>
          <w:color w:val="000000"/>
          <w:szCs w:val="24"/>
        </w:rPr>
        <w:t>info</w:t>
      </w:r>
      <w:r>
        <w:rPr>
          <w:color w:val="000000"/>
          <w:spacing w:val="2"/>
          <w:szCs w:val="24"/>
        </w:rPr>
        <w:t>r</w:t>
      </w:r>
      <w:r>
        <w:rPr>
          <w:color w:val="000000"/>
          <w:spacing w:val="-2"/>
          <w:szCs w:val="24"/>
        </w:rPr>
        <w:t>m</w:t>
      </w:r>
      <w:r>
        <w:rPr>
          <w:color w:val="000000"/>
          <w:szCs w:val="24"/>
        </w:rPr>
        <w:t>ation on individ</w:t>
      </w:r>
      <w:r>
        <w:rPr>
          <w:color w:val="000000"/>
          <w:spacing w:val="-1"/>
          <w:szCs w:val="24"/>
        </w:rPr>
        <w:t>u</w:t>
      </w:r>
      <w:r>
        <w:rPr>
          <w:color w:val="000000"/>
          <w:szCs w:val="24"/>
        </w:rPr>
        <w:t>al load and counts of custo</w:t>
      </w:r>
      <w:r>
        <w:rPr>
          <w:color w:val="000000"/>
          <w:spacing w:val="-2"/>
          <w:szCs w:val="24"/>
        </w:rPr>
        <w:t>m</w:t>
      </w:r>
      <w:r>
        <w:rPr>
          <w:color w:val="000000"/>
          <w:szCs w:val="24"/>
        </w:rPr>
        <w:t>ers lost that co</w:t>
      </w:r>
      <w:r>
        <w:rPr>
          <w:color w:val="000000"/>
          <w:spacing w:val="-2"/>
          <w:szCs w:val="24"/>
        </w:rPr>
        <w:t>m</w:t>
      </w:r>
      <w:r>
        <w:rPr>
          <w:color w:val="000000"/>
          <w:szCs w:val="24"/>
        </w:rPr>
        <w:t>e</w:t>
      </w:r>
      <w:r>
        <w:rPr>
          <w:color w:val="000000"/>
          <w:spacing w:val="1"/>
          <w:szCs w:val="24"/>
        </w:rPr>
        <w:t xml:space="preserve"> </w:t>
      </w:r>
      <w:r>
        <w:rPr>
          <w:color w:val="000000"/>
          <w:szCs w:val="24"/>
        </w:rPr>
        <w:t>from</w:t>
      </w:r>
      <w:r>
        <w:rPr>
          <w:color w:val="000000"/>
          <w:spacing w:val="-1"/>
          <w:szCs w:val="24"/>
        </w:rPr>
        <w:t xml:space="preserve"> </w:t>
      </w:r>
      <w:r>
        <w:rPr>
          <w:color w:val="000000"/>
          <w:szCs w:val="24"/>
        </w:rPr>
        <w:t>the</w:t>
      </w:r>
      <w:r>
        <w:rPr>
          <w:color w:val="000000"/>
          <w:spacing w:val="1"/>
          <w:szCs w:val="24"/>
        </w:rPr>
        <w:t xml:space="preserve"> </w:t>
      </w:r>
      <w:r>
        <w:rPr>
          <w:color w:val="000000"/>
          <w:szCs w:val="24"/>
        </w:rPr>
        <w:t>electric</w:t>
      </w:r>
      <w:r>
        <w:rPr>
          <w:color w:val="000000"/>
          <w:spacing w:val="-2"/>
          <w:szCs w:val="24"/>
        </w:rPr>
        <w:t xml:space="preserve"> </w:t>
      </w:r>
      <w:r>
        <w:rPr>
          <w:color w:val="000000"/>
          <w:szCs w:val="24"/>
        </w:rPr>
        <w:t>utilities found within their area. (Many of t</w:t>
      </w:r>
      <w:r>
        <w:rPr>
          <w:color w:val="000000"/>
          <w:spacing w:val="2"/>
          <w:szCs w:val="24"/>
        </w:rPr>
        <w:t>h</w:t>
      </w:r>
      <w:r>
        <w:rPr>
          <w:color w:val="000000"/>
          <w:szCs w:val="24"/>
        </w:rPr>
        <w:t xml:space="preserve">ese electric utilities are </w:t>
      </w:r>
      <w:r>
        <w:rPr>
          <w:color w:val="000000"/>
          <w:spacing w:val="-1"/>
          <w:szCs w:val="24"/>
        </w:rPr>
        <w:t>f</w:t>
      </w:r>
      <w:r>
        <w:rPr>
          <w:color w:val="000000"/>
          <w:szCs w:val="24"/>
        </w:rPr>
        <w:t>ull req</w:t>
      </w:r>
      <w:r>
        <w:rPr>
          <w:color w:val="000000"/>
          <w:spacing w:val="-1"/>
          <w:szCs w:val="24"/>
        </w:rPr>
        <w:t>u</w:t>
      </w:r>
      <w:r>
        <w:rPr>
          <w:color w:val="000000"/>
          <w:szCs w:val="24"/>
        </w:rPr>
        <w:t>ire</w:t>
      </w:r>
      <w:r>
        <w:rPr>
          <w:color w:val="000000"/>
          <w:spacing w:val="-2"/>
          <w:szCs w:val="24"/>
        </w:rPr>
        <w:t>m</w:t>
      </w:r>
      <w:r>
        <w:rPr>
          <w:color w:val="000000"/>
          <w:szCs w:val="24"/>
        </w:rPr>
        <w:t xml:space="preserve">ent or </w:t>
      </w:r>
      <w:r>
        <w:rPr>
          <w:color w:val="000000"/>
          <w:spacing w:val="-1"/>
          <w:szCs w:val="24"/>
        </w:rPr>
        <w:t>p</w:t>
      </w:r>
      <w:r>
        <w:rPr>
          <w:color w:val="000000"/>
          <w:szCs w:val="24"/>
        </w:rPr>
        <w:t>artial requi</w:t>
      </w:r>
      <w:r>
        <w:rPr>
          <w:color w:val="000000"/>
          <w:spacing w:val="-1"/>
          <w:szCs w:val="24"/>
        </w:rPr>
        <w:t>r</w:t>
      </w:r>
      <w:r>
        <w:rPr>
          <w:color w:val="000000"/>
          <w:szCs w:val="24"/>
        </w:rPr>
        <w:t>e</w:t>
      </w:r>
      <w:r>
        <w:rPr>
          <w:color w:val="000000"/>
          <w:spacing w:val="-2"/>
          <w:szCs w:val="24"/>
        </w:rPr>
        <w:t>m</w:t>
      </w:r>
      <w:r>
        <w:rPr>
          <w:color w:val="000000"/>
          <w:szCs w:val="24"/>
        </w:rPr>
        <w:t>ent cus</w:t>
      </w:r>
      <w:r>
        <w:rPr>
          <w:color w:val="000000"/>
          <w:spacing w:val="-1"/>
          <w:szCs w:val="24"/>
        </w:rPr>
        <w:t>t</w:t>
      </w:r>
      <w:r>
        <w:rPr>
          <w:color w:val="000000"/>
          <w:szCs w:val="24"/>
        </w:rPr>
        <w:t>o</w:t>
      </w:r>
      <w:r>
        <w:rPr>
          <w:color w:val="000000"/>
          <w:spacing w:val="-2"/>
          <w:szCs w:val="24"/>
        </w:rPr>
        <w:t>m</w:t>
      </w:r>
      <w:r>
        <w:rPr>
          <w:color w:val="000000"/>
          <w:szCs w:val="24"/>
        </w:rPr>
        <w:t>ers of oth</w:t>
      </w:r>
      <w:r>
        <w:rPr>
          <w:color w:val="000000"/>
          <w:spacing w:val="1"/>
          <w:szCs w:val="24"/>
        </w:rPr>
        <w:t>e</w:t>
      </w:r>
      <w:r>
        <w:rPr>
          <w:color w:val="000000"/>
          <w:szCs w:val="24"/>
        </w:rPr>
        <w:t>r electric</w:t>
      </w:r>
      <w:r>
        <w:rPr>
          <w:color w:val="000000"/>
          <w:spacing w:val="-1"/>
          <w:szCs w:val="24"/>
        </w:rPr>
        <w:t xml:space="preserve"> </w:t>
      </w:r>
      <w:r>
        <w:rPr>
          <w:color w:val="000000"/>
          <w:szCs w:val="24"/>
        </w:rPr>
        <w:t xml:space="preserve">utilities - </w:t>
      </w:r>
      <w:r>
        <w:t>they do not generate, but rec</w:t>
      </w:r>
      <w:r>
        <w:rPr>
          <w:spacing w:val="1"/>
        </w:rPr>
        <w:t>e</w:t>
      </w:r>
      <w:r>
        <w:t xml:space="preserve">ive their power under one or </w:t>
      </w:r>
      <w:r>
        <w:rPr>
          <w:spacing w:val="-2"/>
        </w:rPr>
        <w:t>m</w:t>
      </w:r>
      <w:r>
        <w:t>ore contracts; which are usually long-term</w:t>
      </w:r>
      <w:r>
        <w:rPr>
          <w:spacing w:val="-2"/>
        </w:rPr>
        <w:t xml:space="preserve"> </w:t>
      </w:r>
      <w:r>
        <w:t>agree</w:t>
      </w:r>
      <w:r>
        <w:rPr>
          <w:spacing w:val="-2"/>
        </w:rPr>
        <w:t>m</w:t>
      </w:r>
      <w:r>
        <w:t xml:space="preserve">ents). DOE accepts joint </w:t>
      </w:r>
      <w:r>
        <w:rPr>
          <w:spacing w:val="-1"/>
        </w:rPr>
        <w:t>f</w:t>
      </w:r>
      <w:r>
        <w:rPr>
          <w:spacing w:val="1"/>
        </w:rPr>
        <w:t>i</w:t>
      </w:r>
      <w:r>
        <w:t>ling activity wh</w:t>
      </w:r>
      <w:r>
        <w:rPr>
          <w:spacing w:val="-1"/>
        </w:rPr>
        <w:t>e</w:t>
      </w:r>
      <w:r>
        <w:t>re the BA and these ele</w:t>
      </w:r>
      <w:r>
        <w:rPr>
          <w:spacing w:val="-1"/>
        </w:rPr>
        <w:t>c</w:t>
      </w:r>
      <w:r>
        <w:t>t</w:t>
      </w:r>
      <w:r>
        <w:rPr>
          <w:spacing w:val="-1"/>
        </w:rPr>
        <w:t>r</w:t>
      </w:r>
      <w:r>
        <w:t xml:space="preserve">ic utilities </w:t>
      </w:r>
      <w:r>
        <w:rPr>
          <w:spacing w:val="-1"/>
        </w:rPr>
        <w:t>f</w:t>
      </w:r>
      <w:r>
        <w:rPr>
          <w:spacing w:val="1"/>
        </w:rPr>
        <w:t>i</w:t>
      </w:r>
      <w:r>
        <w:t xml:space="preserve">le a </w:t>
      </w:r>
      <w:r>
        <w:rPr>
          <w:spacing w:val="-1"/>
        </w:rPr>
        <w:t>c</w:t>
      </w:r>
      <w:r>
        <w:rPr>
          <w:spacing w:val="1"/>
        </w:rPr>
        <w:t>o</w:t>
      </w:r>
      <w:r>
        <w:rPr>
          <w:spacing w:val="-2"/>
        </w:rPr>
        <w:t>m</w:t>
      </w:r>
      <w:r>
        <w:t>bined</w:t>
      </w:r>
      <w:r>
        <w:rPr>
          <w:spacing w:val="-2"/>
        </w:rPr>
        <w:t xml:space="preserve"> </w:t>
      </w:r>
      <w:r>
        <w:t>re</w:t>
      </w:r>
      <w:r>
        <w:rPr>
          <w:spacing w:val="-1"/>
        </w:rPr>
        <w:t>p</w:t>
      </w:r>
      <w:r>
        <w:t xml:space="preserve">ort or </w:t>
      </w:r>
      <w:r>
        <w:rPr>
          <w:spacing w:val="-1"/>
        </w:rPr>
        <w:t>a</w:t>
      </w:r>
      <w:r>
        <w:t>ll infor</w:t>
      </w:r>
      <w:r>
        <w:rPr>
          <w:spacing w:val="-2"/>
        </w:rPr>
        <w:t>m</w:t>
      </w:r>
      <w:r>
        <w:t>ation passed to the BA who then files a single report. An exa</w:t>
      </w:r>
      <w:r>
        <w:rPr>
          <w:spacing w:val="-2"/>
        </w:rPr>
        <w:t>m</w:t>
      </w:r>
      <w:r>
        <w:t>ple</w:t>
      </w:r>
      <w:r>
        <w:rPr>
          <w:spacing w:val="-1"/>
        </w:rPr>
        <w:t xml:space="preserve"> </w:t>
      </w:r>
      <w:r>
        <w:t>of this activity would be cooperative power suppliers (generating and trans</w:t>
      </w:r>
      <w:r>
        <w:rPr>
          <w:spacing w:val="-2"/>
        </w:rPr>
        <w:t>m</w:t>
      </w:r>
      <w:r>
        <w:t xml:space="preserve">ission) filing for their </w:t>
      </w:r>
      <w:r>
        <w:rPr>
          <w:spacing w:val="-2"/>
        </w:rPr>
        <w:t>m</w:t>
      </w:r>
      <w:r>
        <w:rPr>
          <w:spacing w:val="1"/>
        </w:rPr>
        <w:t>e</w:t>
      </w:r>
      <w:r>
        <w:t>m</w:t>
      </w:r>
      <w:r>
        <w:rPr>
          <w:spacing w:val="-1"/>
        </w:rPr>
        <w:t>b</w:t>
      </w:r>
      <w:r>
        <w:t xml:space="preserve">er distribution cooperatives. Another </w:t>
      </w:r>
      <w:r w:rsidR="00267B80">
        <w:t>example</w:t>
      </w:r>
      <w:r>
        <w:t xml:space="preserve"> would be joint filings by </w:t>
      </w:r>
      <w:r>
        <w:rPr>
          <w:spacing w:val="-2"/>
        </w:rPr>
        <w:t>B</w:t>
      </w:r>
      <w:r>
        <w:t>A</w:t>
      </w:r>
      <w:r>
        <w:rPr>
          <w:spacing w:val="-1"/>
        </w:rPr>
        <w:t xml:space="preserve"> </w:t>
      </w:r>
      <w:r>
        <w:t>and t</w:t>
      </w:r>
      <w:r>
        <w:rPr>
          <w:spacing w:val="-1"/>
        </w:rPr>
        <w:t>h</w:t>
      </w:r>
      <w:r>
        <w:t xml:space="preserve">e controlling RC. DOE requests </w:t>
      </w:r>
      <w:r w:rsidR="00267B80">
        <w:t xml:space="preserve">notification from </w:t>
      </w:r>
      <w:r>
        <w:t xml:space="preserve">those </w:t>
      </w:r>
      <w:r w:rsidR="00267B80">
        <w:t>entities</w:t>
      </w:r>
      <w:r>
        <w:t xml:space="preserve"> that plan to </w:t>
      </w:r>
      <w:r>
        <w:rPr>
          <w:spacing w:val="-1"/>
        </w:rPr>
        <w:t>f</w:t>
      </w:r>
      <w:r>
        <w:t>ile j</w:t>
      </w:r>
      <w:r>
        <w:rPr>
          <w:spacing w:val="-1"/>
        </w:rPr>
        <w:t>o</w:t>
      </w:r>
      <w:r>
        <w:t>i</w:t>
      </w:r>
      <w:r>
        <w:rPr>
          <w:spacing w:val="-1"/>
        </w:rPr>
        <w:t>n</w:t>
      </w:r>
      <w:r>
        <w:t>tly and t</w:t>
      </w:r>
      <w:r>
        <w:rPr>
          <w:spacing w:val="-1"/>
        </w:rPr>
        <w:t>h</w:t>
      </w:r>
      <w:r>
        <w:t>ose el</w:t>
      </w:r>
      <w:r>
        <w:rPr>
          <w:spacing w:val="-1"/>
        </w:rPr>
        <w:t>e</w:t>
      </w:r>
      <w:r>
        <w:t>ct</w:t>
      </w:r>
      <w:r>
        <w:rPr>
          <w:spacing w:val="-1"/>
        </w:rPr>
        <w:t>r</w:t>
      </w:r>
      <w:r>
        <w:t>ic utilities t</w:t>
      </w:r>
      <w:r>
        <w:rPr>
          <w:spacing w:val="-1"/>
        </w:rPr>
        <w:t>h</w:t>
      </w:r>
      <w:r>
        <w:t xml:space="preserve">at want to </w:t>
      </w:r>
      <w:r>
        <w:rPr>
          <w:spacing w:val="-1"/>
        </w:rPr>
        <w:t>f</w:t>
      </w:r>
      <w:r>
        <w:t>ile separately.</w:t>
      </w:r>
      <w:r>
        <w:rPr>
          <w:spacing w:val="-1"/>
        </w:rPr>
        <w:t xml:space="preserve"> </w:t>
      </w:r>
      <w:r>
        <w:t>Notification</w:t>
      </w:r>
      <w:r>
        <w:rPr>
          <w:spacing w:val="-1"/>
        </w:rPr>
        <w:t xml:space="preserve"> </w:t>
      </w:r>
      <w:r>
        <w:t>can</w:t>
      </w:r>
      <w:r>
        <w:rPr>
          <w:spacing w:val="-1"/>
        </w:rPr>
        <w:t xml:space="preserve"> </w:t>
      </w:r>
      <w:r>
        <w:t>be done at the ti</w:t>
      </w:r>
      <w:r>
        <w:rPr>
          <w:spacing w:val="-2"/>
        </w:rPr>
        <w:t>m</w:t>
      </w:r>
      <w:r>
        <w:t>e of the filing.</w:t>
      </w:r>
    </w:p>
    <w:p w14:paraId="5AEC7358" w14:textId="0EC3B8AC" w:rsidR="00FF1AB6" w:rsidRDefault="00FF1AB6" w:rsidP="00FF1AB6">
      <w:pPr>
        <w:rPr>
          <w:color w:val="000000"/>
          <w:spacing w:val="-1"/>
          <w:szCs w:val="24"/>
        </w:rPr>
      </w:pPr>
      <w:r>
        <w:rPr>
          <w:color w:val="000000"/>
          <w:szCs w:val="24"/>
        </w:rPr>
        <w:t>DOE continues to have the opti</w:t>
      </w:r>
      <w:r>
        <w:rPr>
          <w:color w:val="000000"/>
          <w:spacing w:val="-1"/>
          <w:szCs w:val="24"/>
        </w:rPr>
        <w:t>o</w:t>
      </w:r>
      <w:r>
        <w:rPr>
          <w:color w:val="000000"/>
          <w:szCs w:val="24"/>
        </w:rPr>
        <w:t xml:space="preserve">n to </w:t>
      </w:r>
      <w:r>
        <w:rPr>
          <w:color w:val="000000"/>
          <w:spacing w:val="-1"/>
          <w:szCs w:val="24"/>
        </w:rPr>
        <w:t>c</w:t>
      </w:r>
      <w:r>
        <w:rPr>
          <w:color w:val="000000"/>
          <w:szCs w:val="24"/>
        </w:rPr>
        <w:t>onduct special investigations of</w:t>
      </w:r>
      <w:r>
        <w:rPr>
          <w:color w:val="000000"/>
          <w:spacing w:val="-2"/>
          <w:szCs w:val="24"/>
        </w:rPr>
        <w:t xml:space="preserve"> </w:t>
      </w:r>
      <w:r>
        <w:rPr>
          <w:color w:val="000000"/>
          <w:szCs w:val="24"/>
        </w:rPr>
        <w:t>incide</w:t>
      </w:r>
      <w:r>
        <w:rPr>
          <w:color w:val="000000"/>
          <w:spacing w:val="-1"/>
          <w:szCs w:val="24"/>
        </w:rPr>
        <w:t>n</w:t>
      </w:r>
      <w:r>
        <w:rPr>
          <w:color w:val="000000"/>
          <w:spacing w:val="1"/>
          <w:szCs w:val="24"/>
        </w:rPr>
        <w:t>t</w:t>
      </w:r>
      <w:r>
        <w:rPr>
          <w:color w:val="000000"/>
          <w:szCs w:val="24"/>
        </w:rPr>
        <w:t xml:space="preserve">s affecting the electric power industry. Such investigations could involve one or </w:t>
      </w:r>
      <w:r>
        <w:rPr>
          <w:color w:val="000000"/>
          <w:spacing w:val="-2"/>
          <w:szCs w:val="24"/>
        </w:rPr>
        <w:t>m</w:t>
      </w:r>
      <w:r>
        <w:rPr>
          <w:color w:val="000000"/>
          <w:szCs w:val="24"/>
        </w:rPr>
        <w:t>ore electric utilities</w:t>
      </w:r>
      <w:r w:rsidR="00C064D0">
        <w:rPr>
          <w:color w:val="000000"/>
          <w:szCs w:val="24"/>
        </w:rPr>
        <w:t xml:space="preserve">, </w:t>
      </w:r>
      <w:r>
        <w:rPr>
          <w:color w:val="000000"/>
          <w:szCs w:val="24"/>
        </w:rPr>
        <w:t>B</w:t>
      </w:r>
      <w:r w:rsidR="00C064D0">
        <w:rPr>
          <w:color w:val="000000"/>
          <w:szCs w:val="24"/>
        </w:rPr>
        <w:t>A</w:t>
      </w:r>
      <w:r w:rsidR="00241CD0">
        <w:rPr>
          <w:color w:val="000000"/>
          <w:szCs w:val="24"/>
        </w:rPr>
        <w:t>s</w:t>
      </w:r>
      <w:r w:rsidR="00C064D0">
        <w:rPr>
          <w:color w:val="000000"/>
          <w:szCs w:val="24"/>
        </w:rPr>
        <w:t>, o</w:t>
      </w:r>
      <w:r>
        <w:rPr>
          <w:color w:val="000000"/>
          <w:szCs w:val="24"/>
        </w:rPr>
        <w:t>r other entities partici</w:t>
      </w:r>
      <w:r>
        <w:rPr>
          <w:color w:val="000000"/>
          <w:spacing w:val="-3"/>
          <w:szCs w:val="24"/>
        </w:rPr>
        <w:t>p</w:t>
      </w:r>
      <w:r>
        <w:rPr>
          <w:color w:val="000000"/>
          <w:szCs w:val="24"/>
        </w:rPr>
        <w:t>ating in the electric power industry. Any utility or business entity that</w:t>
      </w:r>
      <w:r>
        <w:rPr>
          <w:color w:val="000000"/>
          <w:spacing w:val="-1"/>
          <w:szCs w:val="24"/>
        </w:rPr>
        <w:t xml:space="preserve"> </w:t>
      </w:r>
      <w:r>
        <w:rPr>
          <w:color w:val="000000"/>
          <w:szCs w:val="24"/>
        </w:rPr>
        <w:t>participates in the electric power industry could be notified by DOE that they would need to provide t</w:t>
      </w:r>
      <w:r>
        <w:rPr>
          <w:color w:val="000000"/>
          <w:spacing w:val="-2"/>
          <w:szCs w:val="24"/>
        </w:rPr>
        <w:t>e</w:t>
      </w:r>
      <w:r>
        <w:rPr>
          <w:color w:val="000000"/>
          <w:szCs w:val="24"/>
        </w:rPr>
        <w:t>chnical infor</w:t>
      </w:r>
      <w:r>
        <w:rPr>
          <w:color w:val="000000"/>
          <w:spacing w:val="-2"/>
          <w:szCs w:val="24"/>
        </w:rPr>
        <w:t>m</w:t>
      </w:r>
      <w:r>
        <w:rPr>
          <w:color w:val="000000"/>
          <w:szCs w:val="24"/>
        </w:rPr>
        <w:t>ation concerning a particular incident.</w:t>
      </w:r>
      <w:r>
        <w:rPr>
          <w:rStyle w:val="FootnoteReference"/>
          <w:color w:val="000000"/>
          <w:szCs w:val="24"/>
        </w:rPr>
        <w:footnoteReference w:id="4"/>
      </w:r>
      <w:r>
        <w:rPr>
          <w:color w:val="000000"/>
          <w:szCs w:val="24"/>
        </w:rPr>
        <w:t xml:space="preserve"> These spe</w:t>
      </w:r>
      <w:r>
        <w:rPr>
          <w:color w:val="000000"/>
          <w:spacing w:val="-1"/>
          <w:szCs w:val="24"/>
        </w:rPr>
        <w:t>c</w:t>
      </w:r>
      <w:r>
        <w:rPr>
          <w:color w:val="000000"/>
          <w:szCs w:val="24"/>
        </w:rPr>
        <w:t>ial investi</w:t>
      </w:r>
      <w:r>
        <w:rPr>
          <w:color w:val="000000"/>
          <w:spacing w:val="-1"/>
          <w:szCs w:val="24"/>
        </w:rPr>
        <w:t>g</w:t>
      </w:r>
      <w:r>
        <w:rPr>
          <w:color w:val="000000"/>
          <w:szCs w:val="24"/>
        </w:rPr>
        <w:t>atio</w:t>
      </w:r>
      <w:r>
        <w:rPr>
          <w:color w:val="000000"/>
          <w:spacing w:val="-1"/>
          <w:szCs w:val="24"/>
        </w:rPr>
        <w:t>n</w:t>
      </w:r>
      <w:r>
        <w:rPr>
          <w:color w:val="000000"/>
          <w:szCs w:val="24"/>
        </w:rPr>
        <w:t>s are in</w:t>
      </w:r>
      <w:r>
        <w:rPr>
          <w:color w:val="000000"/>
          <w:spacing w:val="-1"/>
          <w:szCs w:val="24"/>
        </w:rPr>
        <w:t>fr</w:t>
      </w:r>
      <w:r>
        <w:rPr>
          <w:color w:val="000000"/>
          <w:szCs w:val="24"/>
        </w:rPr>
        <w:t>eq</w:t>
      </w:r>
      <w:r>
        <w:rPr>
          <w:color w:val="000000"/>
          <w:spacing w:val="-1"/>
          <w:szCs w:val="24"/>
        </w:rPr>
        <w:t>u</w:t>
      </w:r>
      <w:r>
        <w:rPr>
          <w:color w:val="000000"/>
          <w:szCs w:val="24"/>
        </w:rPr>
        <w:t xml:space="preserve">ent and </w:t>
      </w:r>
      <w:r w:rsidR="00D25834">
        <w:rPr>
          <w:color w:val="000000"/>
          <w:szCs w:val="24"/>
        </w:rPr>
        <w:t xml:space="preserve">the </w:t>
      </w:r>
      <w:r w:rsidR="00092D73">
        <w:rPr>
          <w:color w:val="000000"/>
          <w:szCs w:val="24"/>
        </w:rPr>
        <w:t xml:space="preserve">report of the investigations </w:t>
      </w:r>
      <w:r>
        <w:rPr>
          <w:color w:val="000000"/>
          <w:spacing w:val="-1"/>
          <w:szCs w:val="24"/>
        </w:rPr>
        <w:t>a</w:t>
      </w:r>
      <w:r>
        <w:rPr>
          <w:color w:val="000000"/>
          <w:szCs w:val="24"/>
        </w:rPr>
        <w:t xml:space="preserve">re </w:t>
      </w:r>
      <w:r>
        <w:rPr>
          <w:color w:val="000000"/>
          <w:spacing w:val="-1"/>
          <w:szCs w:val="24"/>
        </w:rPr>
        <w:t>r</w:t>
      </w:r>
      <w:r>
        <w:rPr>
          <w:color w:val="000000"/>
          <w:szCs w:val="24"/>
        </w:rPr>
        <w:t>ele</w:t>
      </w:r>
      <w:r>
        <w:rPr>
          <w:color w:val="000000"/>
          <w:spacing w:val="-1"/>
          <w:szCs w:val="24"/>
        </w:rPr>
        <w:t>as</w:t>
      </w:r>
      <w:r>
        <w:rPr>
          <w:color w:val="000000"/>
          <w:szCs w:val="24"/>
        </w:rPr>
        <w:t>ed to the public</w:t>
      </w:r>
      <w:r>
        <w:rPr>
          <w:color w:val="000000"/>
          <w:spacing w:val="-1"/>
          <w:szCs w:val="24"/>
        </w:rPr>
        <w:t>.</w:t>
      </w:r>
      <w:r>
        <w:rPr>
          <w:rStyle w:val="FootnoteReference"/>
          <w:color w:val="000000"/>
          <w:spacing w:val="-1"/>
          <w:szCs w:val="24"/>
        </w:rPr>
        <w:footnoteReference w:id="5"/>
      </w:r>
    </w:p>
    <w:p w14:paraId="3C11E9D6" w14:textId="013EE66C" w:rsidR="00FF1AB6" w:rsidRDefault="00FF1AB6" w:rsidP="00FF1AB6">
      <w:r>
        <w:t>The following infor</w:t>
      </w:r>
      <w:r>
        <w:rPr>
          <w:spacing w:val="-2"/>
        </w:rPr>
        <w:t>m</w:t>
      </w:r>
      <w:r>
        <w:t>ation to be collected</w:t>
      </w:r>
      <w:r>
        <w:rPr>
          <w:spacing w:val="-1"/>
        </w:rPr>
        <w:t xml:space="preserve"> </w:t>
      </w:r>
      <w:r>
        <w:t>on e</w:t>
      </w:r>
      <w:r>
        <w:rPr>
          <w:spacing w:val="-2"/>
        </w:rPr>
        <w:t>m</w:t>
      </w:r>
      <w:r>
        <w:t>ergency events includes i</w:t>
      </w:r>
      <w:r>
        <w:rPr>
          <w:spacing w:val="-2"/>
        </w:rPr>
        <w:t>m</w:t>
      </w:r>
      <w:r>
        <w:t xml:space="preserve">portant </w:t>
      </w:r>
      <w:r w:rsidR="00092D73">
        <w:t xml:space="preserve">details </w:t>
      </w:r>
      <w:r>
        <w:t xml:space="preserve">covering each </w:t>
      </w:r>
      <w:r>
        <w:rPr>
          <w:spacing w:val="-2"/>
        </w:rPr>
        <w:t>m</w:t>
      </w:r>
      <w:r>
        <w:t xml:space="preserve">ajor part </w:t>
      </w:r>
      <w:r>
        <w:rPr>
          <w:spacing w:val="-1"/>
        </w:rPr>
        <w:t>o</w:t>
      </w:r>
      <w:r>
        <w:t>f</w:t>
      </w:r>
      <w:r>
        <w:rPr>
          <w:spacing w:val="-1"/>
        </w:rPr>
        <w:t xml:space="preserve"> </w:t>
      </w:r>
      <w:r>
        <w:t>an electric power disturbance incident:</w:t>
      </w:r>
    </w:p>
    <w:p w14:paraId="16447BAE" w14:textId="77777777" w:rsidR="00FF1AB6" w:rsidRPr="00235964" w:rsidRDefault="00FF1AB6" w:rsidP="00B76132">
      <w:pPr>
        <w:pStyle w:val="ListParagraph"/>
        <w:numPr>
          <w:ilvl w:val="0"/>
          <w:numId w:val="10"/>
        </w:numPr>
      </w:pPr>
      <w:r w:rsidRPr="00235964">
        <w:t xml:space="preserve">Cause(s) of an incident </w:t>
      </w:r>
    </w:p>
    <w:p w14:paraId="5C4979E2" w14:textId="77777777" w:rsidR="00FF1AB6" w:rsidRPr="00235964" w:rsidRDefault="00FF1AB6">
      <w:pPr>
        <w:pStyle w:val="ListParagraph"/>
        <w:numPr>
          <w:ilvl w:val="0"/>
          <w:numId w:val="10"/>
        </w:numPr>
      </w:pPr>
      <w:r w:rsidRPr="00235964">
        <w:t>Impact(s) of incident</w:t>
      </w:r>
    </w:p>
    <w:p w14:paraId="09D5AB5F" w14:textId="77777777" w:rsidR="00FF1AB6" w:rsidRPr="00235964" w:rsidRDefault="00FF1AB6">
      <w:pPr>
        <w:pStyle w:val="ListParagraph"/>
        <w:numPr>
          <w:ilvl w:val="0"/>
          <w:numId w:val="10"/>
        </w:numPr>
        <w:rPr>
          <w:color w:val="000000"/>
          <w:sz w:val="26"/>
          <w:szCs w:val="26"/>
        </w:rPr>
      </w:pPr>
      <w:r w:rsidRPr="00235964">
        <w:t>Action</w:t>
      </w:r>
      <w:r>
        <w:t>(</w:t>
      </w:r>
      <w:r w:rsidRPr="00235964">
        <w:t>s</w:t>
      </w:r>
      <w:r>
        <w:t>)</w:t>
      </w:r>
      <w:r w:rsidRPr="00235964">
        <w:t xml:space="preserve"> taken </w:t>
      </w:r>
    </w:p>
    <w:p w14:paraId="651C0DF0" w14:textId="710CC8C1" w:rsidR="00FF1AB6" w:rsidRPr="00EC6062" w:rsidRDefault="00FF1AB6" w:rsidP="00241CD0">
      <w:pPr>
        <w:ind w:left="720"/>
      </w:pPr>
    </w:p>
    <w:p w14:paraId="74CD2864" w14:textId="77777777" w:rsidR="00506FAF" w:rsidRDefault="00506FAF" w:rsidP="00FF1AB6">
      <w:pPr>
        <w:rPr>
          <w:b/>
        </w:rPr>
      </w:pPr>
    </w:p>
    <w:p w14:paraId="7D937AC9" w14:textId="77777777" w:rsidR="00506FAF" w:rsidRDefault="00506FAF" w:rsidP="00FF1AB6">
      <w:pPr>
        <w:rPr>
          <w:b/>
        </w:rPr>
      </w:pPr>
    </w:p>
    <w:p w14:paraId="004F9366" w14:textId="77777777" w:rsidR="00FF1AB6" w:rsidRDefault="00FF1AB6" w:rsidP="00FF1AB6">
      <w:pPr>
        <w:rPr>
          <w:color w:val="000000"/>
          <w:sz w:val="26"/>
          <w:szCs w:val="26"/>
        </w:rPr>
      </w:pPr>
      <w:r w:rsidRPr="00E94F10">
        <w:rPr>
          <w:b/>
        </w:rPr>
        <w:t>Uses of Data:</w:t>
      </w:r>
    </w:p>
    <w:p w14:paraId="07D6500E" w14:textId="77777777" w:rsidR="00FF1AB6" w:rsidRDefault="00FF1AB6" w:rsidP="00FF1AB6">
      <w:pPr>
        <w:widowControl w:val="0"/>
        <w:autoSpaceDE w:val="0"/>
        <w:autoSpaceDN w:val="0"/>
        <w:adjustRightInd w:val="0"/>
        <w:rPr>
          <w:color w:val="000000"/>
          <w:szCs w:val="24"/>
        </w:rPr>
      </w:pPr>
      <w:r>
        <w:rPr>
          <w:color w:val="000000"/>
          <w:szCs w:val="24"/>
        </w:rPr>
        <w:t>The infor</w:t>
      </w:r>
      <w:r>
        <w:rPr>
          <w:color w:val="000000"/>
          <w:spacing w:val="-2"/>
          <w:szCs w:val="24"/>
        </w:rPr>
        <w:t>m</w:t>
      </w:r>
      <w:r>
        <w:rPr>
          <w:color w:val="000000"/>
          <w:spacing w:val="1"/>
          <w:szCs w:val="24"/>
        </w:rPr>
        <w:t>a</w:t>
      </w:r>
      <w:r>
        <w:rPr>
          <w:color w:val="000000"/>
          <w:szCs w:val="24"/>
        </w:rPr>
        <w:t>tion is used by the Depart</w:t>
      </w:r>
      <w:r>
        <w:rPr>
          <w:color w:val="000000"/>
          <w:spacing w:val="-2"/>
          <w:szCs w:val="24"/>
        </w:rPr>
        <w:t>m</w:t>
      </w:r>
      <w:r>
        <w:rPr>
          <w:color w:val="000000"/>
          <w:szCs w:val="24"/>
        </w:rPr>
        <w:t>ent of Energy:</w:t>
      </w:r>
    </w:p>
    <w:p w14:paraId="43C9CBB4" w14:textId="7F6DEDC3" w:rsidR="00FF1AB6" w:rsidRPr="00EC6062" w:rsidRDefault="00FF1AB6" w:rsidP="00B76132">
      <w:pPr>
        <w:pStyle w:val="ListParagraph"/>
      </w:pPr>
      <w:r w:rsidRPr="00EC6062">
        <w:t>To track</w:t>
      </w:r>
      <w:r w:rsidR="003559FB">
        <w:t xml:space="preserve"> </w:t>
      </w:r>
      <w:r w:rsidRPr="00EC6062">
        <w:t>electrical</w:t>
      </w:r>
      <w:r w:rsidRPr="00EC6062">
        <w:rPr>
          <w:spacing w:val="-1"/>
        </w:rPr>
        <w:t xml:space="preserve"> </w:t>
      </w:r>
      <w:r w:rsidRPr="00EC6062">
        <w:t>e</w:t>
      </w:r>
      <w:r w:rsidRPr="00EC6062">
        <w:rPr>
          <w:spacing w:val="-2"/>
        </w:rPr>
        <w:t>m</w:t>
      </w:r>
      <w:r w:rsidRPr="00EC6062">
        <w:t>ergency incidents and disturbances</w:t>
      </w:r>
      <w:r w:rsidR="003559FB">
        <w:t xml:space="preserve"> on a timely basis</w:t>
      </w:r>
      <w:r w:rsidRPr="00EC6062">
        <w:t>;</w:t>
      </w:r>
    </w:p>
    <w:p w14:paraId="2F989D76" w14:textId="51F1F08B" w:rsidR="00FF1AB6" w:rsidRPr="00EC6062" w:rsidRDefault="00FF1AB6">
      <w:pPr>
        <w:pStyle w:val="ListParagraph"/>
        <w:rPr>
          <w:color w:val="000000"/>
        </w:rPr>
      </w:pPr>
      <w:r w:rsidRPr="00EC6062">
        <w:rPr>
          <w:color w:val="000000"/>
        </w:rPr>
        <w:t>To answer queries from</w:t>
      </w:r>
      <w:r w:rsidRPr="00EC6062">
        <w:rPr>
          <w:color w:val="000000"/>
          <w:spacing w:val="-2"/>
        </w:rPr>
        <w:t xml:space="preserve"> </w:t>
      </w:r>
      <w:r w:rsidRPr="00EC6062">
        <w:rPr>
          <w:color w:val="000000"/>
        </w:rPr>
        <w:t xml:space="preserve">the </w:t>
      </w:r>
      <w:r w:rsidR="002519F9" w:rsidRPr="00EC6062">
        <w:t>Congress</w:t>
      </w:r>
      <w:r w:rsidR="002519F9">
        <w:t>, the White House, the Department of Homeland Security,</w:t>
      </w:r>
      <w:r w:rsidR="00074770">
        <w:t xml:space="preserve"> </w:t>
      </w:r>
      <w:r w:rsidR="002519F9">
        <w:t>the Federal Bureau of Investigation</w:t>
      </w:r>
      <w:r w:rsidR="002519F9" w:rsidRPr="00EC6062">
        <w:t>,</w:t>
      </w:r>
      <w:r w:rsidR="002519F9">
        <w:t xml:space="preserve"> </w:t>
      </w:r>
      <w:r w:rsidR="006A38D5">
        <w:t>the Federal</w:t>
      </w:r>
      <w:r w:rsidR="002519F9">
        <w:t xml:space="preserve"> Emergency Management Agency, State Energy Offices,</w:t>
      </w:r>
      <w:r w:rsidR="002519F9" w:rsidRPr="00EC6062">
        <w:t xml:space="preserve"> </w:t>
      </w:r>
      <w:r w:rsidR="002519F9">
        <w:t xml:space="preserve">State Offices of Emergency Management, </w:t>
      </w:r>
      <w:r w:rsidR="002519F9" w:rsidRPr="00EC6062">
        <w:t>the electric power industry, and the general public</w:t>
      </w:r>
      <w:r w:rsidR="002519F9">
        <w:t>;</w:t>
      </w:r>
    </w:p>
    <w:p w14:paraId="0CDD83B3" w14:textId="374760CE" w:rsidR="00FF1AB6" w:rsidRPr="00EC6062" w:rsidRDefault="00FF1AB6">
      <w:pPr>
        <w:pStyle w:val="ListParagraph"/>
        <w:rPr>
          <w:color w:val="000000"/>
        </w:rPr>
      </w:pPr>
      <w:r w:rsidRPr="00EC6062">
        <w:rPr>
          <w:color w:val="000000"/>
        </w:rPr>
        <w:t xml:space="preserve">To </w:t>
      </w:r>
      <w:r w:rsidRPr="00EC6062">
        <w:rPr>
          <w:color w:val="000000"/>
          <w:spacing w:val="-2"/>
        </w:rPr>
        <w:t>m</w:t>
      </w:r>
      <w:r w:rsidRPr="00EC6062">
        <w:rPr>
          <w:color w:val="000000"/>
        </w:rPr>
        <w:t>onitor the electric power industry</w:t>
      </w:r>
      <w:r w:rsidR="002519F9">
        <w:rPr>
          <w:color w:val="000000"/>
        </w:rPr>
        <w:t xml:space="preserve"> </w:t>
      </w:r>
      <w:r w:rsidR="002519F9">
        <w:t>by providing situational awareness of electricity disruptions that could cause additional impacts</w:t>
      </w:r>
      <w:r w:rsidRPr="00EC6062">
        <w:rPr>
          <w:color w:val="000000"/>
        </w:rPr>
        <w:t>;</w:t>
      </w:r>
    </w:p>
    <w:p w14:paraId="2912169D" w14:textId="77777777" w:rsidR="00FF1AB6" w:rsidRPr="00EC6062" w:rsidRDefault="00FF1AB6">
      <w:pPr>
        <w:pStyle w:val="ListParagraph"/>
      </w:pPr>
      <w:r w:rsidRPr="00EC6062">
        <w:t>As input to Office of Electricity Delivery and E</w:t>
      </w:r>
      <w:r w:rsidRPr="00EC6062">
        <w:rPr>
          <w:spacing w:val="-1"/>
        </w:rPr>
        <w:t>n</w:t>
      </w:r>
      <w:r w:rsidRPr="00EC6062">
        <w:t>ergy Reliabilit</w:t>
      </w:r>
      <w:r w:rsidRPr="00EC6062">
        <w:rPr>
          <w:spacing w:val="-1"/>
        </w:rPr>
        <w:t>y</w:t>
      </w:r>
      <w:r w:rsidRPr="00EC6062">
        <w:t xml:space="preserve">’s </w:t>
      </w:r>
      <w:r w:rsidRPr="00310B74">
        <w:t>Electric Disturbance Events (OE-417) Annual Summaries</w:t>
      </w:r>
      <w:r>
        <w:rPr>
          <w:rStyle w:val="FootnoteReference"/>
        </w:rPr>
        <w:footnoteReference w:id="6"/>
      </w:r>
      <w:r w:rsidRPr="00310B74">
        <w:t>;</w:t>
      </w:r>
    </w:p>
    <w:p w14:paraId="35FA3B6F" w14:textId="77777777" w:rsidR="00FF1AB6" w:rsidRPr="00EC6062" w:rsidRDefault="00FF1AB6">
      <w:pPr>
        <w:pStyle w:val="ListParagraph"/>
      </w:pPr>
      <w:r w:rsidRPr="00EC6062">
        <w:t>As input to the Energy Info</w:t>
      </w:r>
      <w:r w:rsidRPr="00EC6062">
        <w:rPr>
          <w:spacing w:val="2"/>
        </w:rPr>
        <w:t>r</w:t>
      </w:r>
      <w:r w:rsidRPr="00EC6062">
        <w:rPr>
          <w:spacing w:val="-2"/>
        </w:rPr>
        <w:t>m</w:t>
      </w:r>
      <w:r w:rsidRPr="00EC6062">
        <w:t>ation Ad</w:t>
      </w:r>
      <w:r w:rsidRPr="00EC6062">
        <w:rPr>
          <w:spacing w:val="-2"/>
        </w:rPr>
        <w:t>m</w:t>
      </w:r>
      <w:r w:rsidRPr="00EC6062">
        <w:rPr>
          <w:spacing w:val="1"/>
        </w:rPr>
        <w:t>i</w:t>
      </w:r>
      <w:r w:rsidRPr="00EC6062">
        <w:t xml:space="preserve">nistration’s Electric Power Monthly’s Appendix B </w:t>
      </w:r>
      <w:r w:rsidRPr="00D367CC">
        <w:t>Major Disturbances and Unusual Occurrences</w:t>
      </w:r>
      <w:r>
        <w:rPr>
          <w:rStyle w:val="FootnoteReference"/>
        </w:rPr>
        <w:footnoteReference w:id="7"/>
      </w:r>
      <w:r w:rsidRPr="00EC6062">
        <w:t>; and</w:t>
      </w:r>
    </w:p>
    <w:p w14:paraId="5BC6E637" w14:textId="77777777" w:rsidR="00FF1AB6" w:rsidRPr="00EC6062" w:rsidRDefault="00FF1AB6">
      <w:pPr>
        <w:pStyle w:val="ListParagraph"/>
      </w:pPr>
      <w:r w:rsidRPr="00EC6062">
        <w:t xml:space="preserve">To identify incidents that </w:t>
      </w:r>
      <w:r w:rsidRPr="00EC6062">
        <w:rPr>
          <w:spacing w:val="-2"/>
        </w:rPr>
        <w:t>m</w:t>
      </w:r>
      <w:r w:rsidRPr="00EC6062">
        <w:t>ay require</w:t>
      </w:r>
      <w:r w:rsidRPr="00EC6062">
        <w:rPr>
          <w:spacing w:val="-2"/>
        </w:rPr>
        <w:t xml:space="preserve"> </w:t>
      </w:r>
      <w:r w:rsidRPr="00EC6062">
        <w:t>a technical exa</w:t>
      </w:r>
      <w:r w:rsidRPr="00EC6062">
        <w:rPr>
          <w:spacing w:val="-2"/>
        </w:rPr>
        <w:t>m</w:t>
      </w:r>
      <w:r w:rsidRPr="00EC6062">
        <w:t>ination of the underlying proble</w:t>
      </w:r>
      <w:r w:rsidRPr="00EC6062">
        <w:rPr>
          <w:spacing w:val="-2"/>
        </w:rPr>
        <w:t>m</w:t>
      </w:r>
      <w:r w:rsidRPr="00EC6062">
        <w:t>s that lead to t</w:t>
      </w:r>
      <w:r w:rsidRPr="00EC6062">
        <w:rPr>
          <w:spacing w:val="-1"/>
        </w:rPr>
        <w:t>h</w:t>
      </w:r>
      <w:r w:rsidRPr="00EC6062">
        <w:t>e event.</w:t>
      </w:r>
    </w:p>
    <w:p w14:paraId="09FBB027" w14:textId="604BE253" w:rsidR="00241CD0" w:rsidRDefault="00241CD0" w:rsidP="00FF1AB6">
      <w:pPr>
        <w:rPr>
          <w:szCs w:val="24"/>
        </w:rPr>
      </w:pPr>
    </w:p>
    <w:p w14:paraId="18CFE612" w14:textId="7924AA44" w:rsidR="00FF1AB6" w:rsidRDefault="002519F9" w:rsidP="00FF1AB6">
      <w:pPr>
        <w:rPr>
          <w:szCs w:val="24"/>
        </w:rPr>
      </w:pPr>
      <w:r>
        <w:rPr>
          <w:szCs w:val="24"/>
        </w:rPr>
        <w:t xml:space="preserve">The public summaries of Form OE-417 data </w:t>
      </w:r>
      <w:r w:rsidR="00FF1AB6">
        <w:rPr>
          <w:szCs w:val="24"/>
        </w:rPr>
        <w:t>users include</w:t>
      </w:r>
      <w:r w:rsidR="00FF1AB6">
        <w:rPr>
          <w:spacing w:val="-1"/>
          <w:szCs w:val="24"/>
        </w:rPr>
        <w:t xml:space="preserve"> </w:t>
      </w:r>
      <w:r w:rsidR="00FF1AB6">
        <w:rPr>
          <w:szCs w:val="24"/>
        </w:rPr>
        <w:t>electricit</w:t>
      </w:r>
      <w:r w:rsidR="00FF1AB6">
        <w:rPr>
          <w:spacing w:val="-1"/>
          <w:szCs w:val="24"/>
        </w:rPr>
        <w:t>y</w:t>
      </w:r>
      <w:r w:rsidR="00FF1AB6">
        <w:rPr>
          <w:szCs w:val="24"/>
        </w:rPr>
        <w:t>-related trade ass</w:t>
      </w:r>
      <w:r w:rsidR="00FF1AB6">
        <w:rPr>
          <w:spacing w:val="-2"/>
          <w:szCs w:val="24"/>
        </w:rPr>
        <w:t>o</w:t>
      </w:r>
      <w:r w:rsidR="00FF1AB6">
        <w:rPr>
          <w:szCs w:val="24"/>
        </w:rPr>
        <w:t>ciations; independent system operat</w:t>
      </w:r>
      <w:r w:rsidR="00FF1AB6">
        <w:rPr>
          <w:spacing w:val="-1"/>
          <w:szCs w:val="24"/>
        </w:rPr>
        <w:t>o</w:t>
      </w:r>
      <w:r w:rsidR="00FF1AB6">
        <w:rPr>
          <w:szCs w:val="24"/>
        </w:rPr>
        <w:t>rs; electric utility co</w:t>
      </w:r>
      <w:r w:rsidR="00FF1AB6">
        <w:rPr>
          <w:spacing w:val="-2"/>
          <w:szCs w:val="24"/>
        </w:rPr>
        <w:t>m</w:t>
      </w:r>
      <w:r w:rsidR="00FF1AB6">
        <w:rPr>
          <w:szCs w:val="24"/>
        </w:rPr>
        <w:t>panies; unr</w:t>
      </w:r>
      <w:r w:rsidR="00FF1AB6">
        <w:rPr>
          <w:spacing w:val="-1"/>
          <w:szCs w:val="24"/>
        </w:rPr>
        <w:t>e</w:t>
      </w:r>
      <w:r w:rsidR="00FF1AB6">
        <w:rPr>
          <w:szCs w:val="24"/>
        </w:rPr>
        <w:t>gulated power co</w:t>
      </w:r>
      <w:r w:rsidR="00FF1AB6">
        <w:rPr>
          <w:spacing w:val="-2"/>
          <w:szCs w:val="24"/>
        </w:rPr>
        <w:t>m</w:t>
      </w:r>
      <w:r w:rsidR="00FF1AB6">
        <w:rPr>
          <w:spacing w:val="1"/>
          <w:szCs w:val="24"/>
        </w:rPr>
        <w:t>p</w:t>
      </w:r>
      <w:r w:rsidR="00FF1AB6">
        <w:rPr>
          <w:szCs w:val="24"/>
        </w:rPr>
        <w:t>anie</w:t>
      </w:r>
      <w:r w:rsidR="00FF1AB6">
        <w:rPr>
          <w:spacing w:val="-1"/>
          <w:szCs w:val="24"/>
        </w:rPr>
        <w:t>s</w:t>
      </w:r>
      <w:r w:rsidR="00FF1AB6">
        <w:rPr>
          <w:szCs w:val="24"/>
        </w:rPr>
        <w:t>; ener</w:t>
      </w:r>
      <w:r w:rsidR="00FF1AB6">
        <w:rPr>
          <w:spacing w:val="-1"/>
          <w:szCs w:val="24"/>
        </w:rPr>
        <w:t>g</w:t>
      </w:r>
      <w:r w:rsidR="00FF1AB6">
        <w:rPr>
          <w:szCs w:val="24"/>
        </w:rPr>
        <w:t xml:space="preserve">y service providers; </w:t>
      </w:r>
      <w:r w:rsidR="00FF1AB6">
        <w:rPr>
          <w:spacing w:val="-2"/>
          <w:szCs w:val="24"/>
        </w:rPr>
        <w:t>w</w:t>
      </w:r>
      <w:r w:rsidR="00FF1AB6">
        <w:rPr>
          <w:szCs w:val="24"/>
        </w:rPr>
        <w:t>holesale electricity traders; ele</w:t>
      </w:r>
      <w:r w:rsidR="00FF1AB6">
        <w:rPr>
          <w:spacing w:val="-3"/>
          <w:szCs w:val="24"/>
        </w:rPr>
        <w:t>c</w:t>
      </w:r>
      <w:r w:rsidR="00FF1AB6">
        <w:rPr>
          <w:szCs w:val="24"/>
        </w:rPr>
        <w:t>trical equip</w:t>
      </w:r>
      <w:r w:rsidR="00FF1AB6">
        <w:rPr>
          <w:spacing w:val="-2"/>
          <w:szCs w:val="24"/>
        </w:rPr>
        <w:t>m</w:t>
      </w:r>
      <w:r w:rsidR="00FF1AB6">
        <w:rPr>
          <w:szCs w:val="24"/>
        </w:rPr>
        <w:t>ent co</w:t>
      </w:r>
      <w:r w:rsidR="00FF1AB6">
        <w:rPr>
          <w:spacing w:val="-2"/>
          <w:szCs w:val="24"/>
        </w:rPr>
        <w:t>m</w:t>
      </w:r>
      <w:r w:rsidR="00FF1AB6">
        <w:rPr>
          <w:szCs w:val="24"/>
        </w:rPr>
        <w:t>panies; nu</w:t>
      </w:r>
      <w:r w:rsidR="00FF1AB6">
        <w:rPr>
          <w:spacing w:val="-2"/>
          <w:szCs w:val="24"/>
        </w:rPr>
        <w:t>m</w:t>
      </w:r>
      <w:r w:rsidR="00FF1AB6">
        <w:rPr>
          <w:szCs w:val="24"/>
        </w:rPr>
        <w:t xml:space="preserve">erous local, State, and </w:t>
      </w:r>
      <w:r w:rsidR="00FF1AB6">
        <w:rPr>
          <w:spacing w:val="-1"/>
          <w:szCs w:val="24"/>
        </w:rPr>
        <w:t>F</w:t>
      </w:r>
      <w:r w:rsidR="00FF1AB6">
        <w:rPr>
          <w:szCs w:val="24"/>
        </w:rPr>
        <w:t>ederal govern</w:t>
      </w:r>
      <w:r w:rsidR="00FF1AB6">
        <w:rPr>
          <w:spacing w:val="-2"/>
          <w:szCs w:val="24"/>
        </w:rPr>
        <w:t>m</w:t>
      </w:r>
      <w:r w:rsidR="00FF1AB6">
        <w:rPr>
          <w:szCs w:val="24"/>
        </w:rPr>
        <w:t xml:space="preserve">ent agencies; </w:t>
      </w:r>
      <w:r w:rsidR="00FF1AB6">
        <w:rPr>
          <w:spacing w:val="-1"/>
          <w:szCs w:val="24"/>
        </w:rPr>
        <w:t>e</w:t>
      </w:r>
      <w:r w:rsidR="00FF1AB6">
        <w:rPr>
          <w:szCs w:val="24"/>
        </w:rPr>
        <w:t>nviron</w:t>
      </w:r>
      <w:r w:rsidR="00FF1AB6">
        <w:rPr>
          <w:spacing w:val="-2"/>
          <w:szCs w:val="24"/>
        </w:rPr>
        <w:t>m</w:t>
      </w:r>
      <w:r w:rsidR="00FF1AB6">
        <w:rPr>
          <w:szCs w:val="24"/>
        </w:rPr>
        <w:t>ental associations; consu</w:t>
      </w:r>
      <w:r w:rsidR="00FF1AB6">
        <w:rPr>
          <w:spacing w:val="-2"/>
          <w:szCs w:val="24"/>
        </w:rPr>
        <w:t>m</w:t>
      </w:r>
      <w:r w:rsidR="00FF1AB6">
        <w:rPr>
          <w:szCs w:val="24"/>
        </w:rPr>
        <w:t xml:space="preserve">er groups; financial analysts; and the news </w:t>
      </w:r>
      <w:r w:rsidR="00FF1AB6">
        <w:rPr>
          <w:spacing w:val="-2"/>
          <w:szCs w:val="24"/>
        </w:rPr>
        <w:t>m</w:t>
      </w:r>
      <w:r w:rsidR="00FF1AB6">
        <w:rPr>
          <w:spacing w:val="1"/>
          <w:szCs w:val="24"/>
        </w:rPr>
        <w:t>e</w:t>
      </w:r>
      <w:r w:rsidR="00FF1AB6">
        <w:rPr>
          <w:szCs w:val="24"/>
        </w:rPr>
        <w:t>dia.</w:t>
      </w:r>
      <w:r w:rsidRPr="002519F9">
        <w:rPr>
          <w:szCs w:val="24"/>
        </w:rPr>
        <w:t xml:space="preserve"> </w:t>
      </w:r>
      <w:r>
        <w:rPr>
          <w:szCs w:val="24"/>
        </w:rPr>
        <w:t>These organizations use this data for a variety of purposes including trend analysis, research on electricity disturbances, and as facts for public interest news stories.</w:t>
      </w:r>
    </w:p>
    <w:p w14:paraId="7AB9F61C" w14:textId="77777777" w:rsidR="00FF1AB6" w:rsidRPr="00D217C5" w:rsidRDefault="00FF1AB6" w:rsidP="00910D61">
      <w:pPr>
        <w:pStyle w:val="Heading2"/>
      </w:pPr>
      <w:bookmarkStart w:id="18" w:name="_Toc487186504"/>
      <w:bookmarkStart w:id="19" w:name="_Toc488240611"/>
      <w:r w:rsidRPr="00172EB9">
        <w:t>A.2.2.2. Summary of Modifications to Survey</w:t>
      </w:r>
      <w:bookmarkEnd w:id="18"/>
      <w:bookmarkEnd w:id="19"/>
    </w:p>
    <w:p w14:paraId="2DABAD1B" w14:textId="0089148A" w:rsidR="00F27019" w:rsidRDefault="00074770" w:rsidP="00F27019">
      <w:pPr>
        <w:widowControl w:val="0"/>
        <w:autoSpaceDE w:val="0"/>
        <w:autoSpaceDN w:val="0"/>
        <w:adjustRightInd w:val="0"/>
        <w:ind w:right="-20"/>
        <w:rPr>
          <w:szCs w:val="24"/>
        </w:rPr>
      </w:pPr>
      <w:r>
        <w:t>C</w:t>
      </w:r>
      <w:r w:rsidR="00092D73">
        <w:rPr>
          <w:szCs w:val="24"/>
        </w:rPr>
        <w:t>hanges</w:t>
      </w:r>
      <w:r w:rsidR="007A1FC3">
        <w:rPr>
          <w:szCs w:val="24"/>
        </w:rPr>
        <w:t xml:space="preserve"> to Form OE-417</w:t>
      </w:r>
      <w:r w:rsidR="00F27019">
        <w:rPr>
          <w:szCs w:val="24"/>
        </w:rPr>
        <w:t>:</w:t>
      </w:r>
    </w:p>
    <w:p w14:paraId="2E1CA519" w14:textId="25E59726" w:rsidR="00F27019" w:rsidRDefault="00F27019" w:rsidP="00F27019">
      <w:pPr>
        <w:widowControl w:val="0"/>
        <w:numPr>
          <w:ilvl w:val="0"/>
          <w:numId w:val="9"/>
        </w:numPr>
        <w:autoSpaceDE w:val="0"/>
        <w:autoSpaceDN w:val="0"/>
        <w:adjustRightInd w:val="0"/>
        <w:spacing w:after="0" w:line="276" w:lineRule="auto"/>
        <w:ind w:right="-20"/>
        <w:rPr>
          <w:szCs w:val="24"/>
        </w:rPr>
      </w:pPr>
      <w:r>
        <w:rPr>
          <w:szCs w:val="24"/>
        </w:rPr>
        <w:t>Includ</w:t>
      </w:r>
      <w:r w:rsidR="00DE6850">
        <w:rPr>
          <w:szCs w:val="24"/>
        </w:rPr>
        <w:t>ed</w:t>
      </w:r>
      <w:r>
        <w:rPr>
          <w:szCs w:val="24"/>
        </w:rPr>
        <w:t xml:space="preserve"> questions from the North American Electric Reliability Corporation (NERC) </w:t>
      </w:r>
      <w:r w:rsidR="00092D73">
        <w:rPr>
          <w:szCs w:val="24"/>
        </w:rPr>
        <w:t xml:space="preserve">Form </w:t>
      </w:r>
      <w:r>
        <w:rPr>
          <w:szCs w:val="24"/>
        </w:rPr>
        <w:t xml:space="preserve">EOP-004 “Event Reporting Form” into Form OE-417 to reduce the burden on respondents and streamline responses. </w:t>
      </w:r>
      <w:r w:rsidRPr="00AD1D66">
        <w:rPr>
          <w:szCs w:val="24"/>
        </w:rPr>
        <w:t>For NERC reporting entities registered in the United States; NERC has approved that</w:t>
      </w:r>
      <w:r>
        <w:rPr>
          <w:szCs w:val="24"/>
        </w:rPr>
        <w:t xml:space="preserve"> Form O</w:t>
      </w:r>
      <w:r w:rsidRPr="00AD1D66">
        <w:rPr>
          <w:szCs w:val="24"/>
        </w:rPr>
        <w:t>E-417 meets the submittal requirements for NERC</w:t>
      </w:r>
      <w:r>
        <w:rPr>
          <w:szCs w:val="24"/>
        </w:rPr>
        <w:t xml:space="preserve"> and with the integration of additional questions from </w:t>
      </w:r>
      <w:r w:rsidR="00092D73">
        <w:rPr>
          <w:szCs w:val="24"/>
        </w:rPr>
        <w:t>Form</w:t>
      </w:r>
      <w:r w:rsidR="00092D73" w:rsidDel="00092D73">
        <w:rPr>
          <w:szCs w:val="24"/>
        </w:rPr>
        <w:t xml:space="preserve"> </w:t>
      </w:r>
      <w:r>
        <w:rPr>
          <w:szCs w:val="24"/>
        </w:rPr>
        <w:t xml:space="preserve">EOP-004, respondents will be able to complete </w:t>
      </w:r>
      <w:r w:rsidR="007A1FC3">
        <w:rPr>
          <w:szCs w:val="24"/>
        </w:rPr>
        <w:t>Form</w:t>
      </w:r>
      <w:r>
        <w:rPr>
          <w:szCs w:val="24"/>
        </w:rPr>
        <w:t xml:space="preserve"> OE-417 to satisfy both DOE and NERC requirements. </w:t>
      </w:r>
    </w:p>
    <w:p w14:paraId="1BF68414" w14:textId="1AB5F6F7" w:rsidR="00F27019" w:rsidRDefault="00DE6850" w:rsidP="00F27019">
      <w:pPr>
        <w:widowControl w:val="0"/>
        <w:numPr>
          <w:ilvl w:val="0"/>
          <w:numId w:val="9"/>
        </w:numPr>
        <w:autoSpaceDE w:val="0"/>
        <w:autoSpaceDN w:val="0"/>
        <w:adjustRightInd w:val="0"/>
        <w:spacing w:after="0" w:line="276" w:lineRule="auto"/>
        <w:ind w:right="-20"/>
        <w:rPr>
          <w:szCs w:val="24"/>
        </w:rPr>
      </w:pPr>
      <w:r>
        <w:rPr>
          <w:szCs w:val="24"/>
        </w:rPr>
        <w:t>A</w:t>
      </w:r>
      <w:r w:rsidR="00F27019">
        <w:rPr>
          <w:szCs w:val="24"/>
        </w:rPr>
        <w:t>dded a note indicating that “</w:t>
      </w:r>
      <w:r w:rsidR="00F27019" w:rsidRPr="00E07958">
        <w:rPr>
          <w:szCs w:val="24"/>
        </w:rPr>
        <w:t>NERC has determined that, for U.S</w:t>
      </w:r>
      <w:r w:rsidR="00F27019">
        <w:rPr>
          <w:szCs w:val="24"/>
        </w:rPr>
        <w:t>. NERC reporting entities, the new</w:t>
      </w:r>
      <w:r w:rsidR="00F27019" w:rsidRPr="00E07958">
        <w:rPr>
          <w:szCs w:val="24"/>
        </w:rPr>
        <w:t xml:space="preserve"> OE-417 form meets NERC’s submittal requirements</w:t>
      </w:r>
      <w:r w:rsidR="00F27019">
        <w:rPr>
          <w:szCs w:val="24"/>
        </w:rPr>
        <w:t xml:space="preserve">” (i.e. </w:t>
      </w:r>
      <w:r w:rsidR="00092D73">
        <w:rPr>
          <w:szCs w:val="24"/>
        </w:rPr>
        <w:t xml:space="preserve">Form </w:t>
      </w:r>
      <w:r w:rsidR="00F27019">
        <w:rPr>
          <w:szCs w:val="24"/>
        </w:rPr>
        <w:t>EOP-004)</w:t>
      </w:r>
      <w:r>
        <w:rPr>
          <w:szCs w:val="24"/>
        </w:rPr>
        <w:t xml:space="preserve"> in the instructions</w:t>
      </w:r>
      <w:r w:rsidR="00F27019" w:rsidRPr="00E07958">
        <w:rPr>
          <w:szCs w:val="24"/>
        </w:rPr>
        <w:t>.</w:t>
      </w:r>
      <w:r w:rsidR="00F27019">
        <w:rPr>
          <w:szCs w:val="24"/>
        </w:rPr>
        <w:t xml:space="preserve"> </w:t>
      </w:r>
    </w:p>
    <w:p w14:paraId="5B35BE7E" w14:textId="20E9B18E" w:rsidR="00F27019" w:rsidRDefault="00147ACF" w:rsidP="00F27019">
      <w:pPr>
        <w:widowControl w:val="0"/>
        <w:numPr>
          <w:ilvl w:val="0"/>
          <w:numId w:val="9"/>
        </w:numPr>
        <w:autoSpaceDE w:val="0"/>
        <w:autoSpaceDN w:val="0"/>
        <w:adjustRightInd w:val="0"/>
        <w:spacing w:after="0" w:line="276" w:lineRule="auto"/>
        <w:ind w:right="-20"/>
        <w:rPr>
          <w:szCs w:val="24"/>
        </w:rPr>
      </w:pPr>
      <w:r>
        <w:rPr>
          <w:szCs w:val="24"/>
        </w:rPr>
        <w:t>Reintroduced</w:t>
      </w:r>
      <w:r w:rsidR="00F27019">
        <w:rPr>
          <w:szCs w:val="24"/>
        </w:rPr>
        <w:t xml:space="preserve"> E-mail submissions; however, online submissions </w:t>
      </w:r>
      <w:r w:rsidR="002519F9">
        <w:rPr>
          <w:szCs w:val="24"/>
        </w:rPr>
        <w:t xml:space="preserve">will </w:t>
      </w:r>
      <w:r w:rsidR="00F27019">
        <w:rPr>
          <w:szCs w:val="24"/>
        </w:rPr>
        <w:t>remain the preferred method.</w:t>
      </w:r>
      <w:r w:rsidR="002519F9">
        <w:rPr>
          <w:szCs w:val="24"/>
        </w:rPr>
        <w:t xml:space="preserve"> Rewording of descriptions describing the criteria and timing for when a report should be filed.</w:t>
      </w:r>
    </w:p>
    <w:p w14:paraId="37D9CFB3" w14:textId="0F043A05" w:rsidR="00F27019" w:rsidRDefault="00DE6850" w:rsidP="00B76132">
      <w:pPr>
        <w:pStyle w:val="ListParagraph"/>
      </w:pPr>
      <w:r>
        <w:t>N</w:t>
      </w:r>
      <w:r w:rsidR="00F27019">
        <w:t>amed the three categories of submission: Emergency Alert; Normal Report; System Report to provide better clarity and easy reference</w:t>
      </w:r>
      <w:r>
        <w:t xml:space="preserve"> u</w:t>
      </w:r>
      <w:r w:rsidRPr="00636CB0">
        <w:t xml:space="preserve">nder </w:t>
      </w:r>
      <w:r>
        <w:t>“</w:t>
      </w:r>
      <w:r w:rsidRPr="00636CB0">
        <w:t>Criteria for Filing</w:t>
      </w:r>
      <w:r>
        <w:t>”</w:t>
      </w:r>
      <w:r w:rsidR="00F27019">
        <w:t xml:space="preserve">. </w:t>
      </w:r>
    </w:p>
    <w:p w14:paraId="3A01DD65" w14:textId="303291CE" w:rsidR="00F27019" w:rsidRDefault="008B55DF">
      <w:pPr>
        <w:pStyle w:val="ListParagraph"/>
      </w:pPr>
      <w:r>
        <w:t>A</w:t>
      </w:r>
      <w:r w:rsidR="00F27019">
        <w:t>lign</w:t>
      </w:r>
      <w:r w:rsidR="00DE6850">
        <w:t>ed alert criteria 5 and 6</w:t>
      </w:r>
      <w:r w:rsidR="00F27019">
        <w:t xml:space="preserve"> with NERC </w:t>
      </w:r>
      <w:r w:rsidR="00092D73">
        <w:t xml:space="preserve">Form </w:t>
      </w:r>
      <w:r w:rsidR="00F27019">
        <w:t>EOP-004 terminology</w:t>
      </w:r>
      <w:r w:rsidR="00DE6850">
        <w:t>.</w:t>
      </w:r>
    </w:p>
    <w:p w14:paraId="42F388BD" w14:textId="46E5BFED" w:rsidR="008F1801" w:rsidRPr="008F1801" w:rsidRDefault="00DE6850">
      <w:pPr>
        <w:pStyle w:val="ListParagraph"/>
      </w:pPr>
      <w:r>
        <w:t xml:space="preserve">Addition of </w:t>
      </w:r>
      <w:r w:rsidR="00F27019">
        <w:t>twelve</w:t>
      </w:r>
      <w:r w:rsidR="00F27019" w:rsidRPr="00636CB0">
        <w:t xml:space="preserve"> new questions to reflect the </w:t>
      </w:r>
      <w:r w:rsidR="008F1801" w:rsidRPr="008F1801">
        <w:t xml:space="preserve">12 additional </w:t>
      </w:r>
      <w:r w:rsidR="00F27019" w:rsidRPr="00636CB0">
        <w:t>information that NERC collects or will collect from the</w:t>
      </w:r>
      <w:r w:rsidR="00D217C5">
        <w:t xml:space="preserve"> </w:t>
      </w:r>
      <w:r w:rsidR="008F1801" w:rsidRPr="008F1801">
        <w:t>criteria to be consistent with the reporting requirements for Form EOP-004</w:t>
      </w:r>
      <w:r>
        <w:t xml:space="preserve"> u</w:t>
      </w:r>
      <w:r w:rsidRPr="008F1801">
        <w:t>nder “Criteria for Filing” section</w:t>
      </w:r>
      <w:r w:rsidR="008F1801" w:rsidRPr="008F1801">
        <w:t xml:space="preserve">. The additional </w:t>
      </w:r>
      <w:r w:rsidR="00F27019" w:rsidRPr="00636CB0">
        <w:t>questions</w:t>
      </w:r>
      <w:r w:rsidR="00D217C5">
        <w:t xml:space="preserve"> </w:t>
      </w:r>
      <w:r w:rsidR="008F1801" w:rsidRPr="008F1801">
        <w:t xml:space="preserve">criteria are in a new category </w:t>
      </w:r>
      <w:r w:rsidR="00F27019">
        <w:t xml:space="preserve">of submission </w:t>
      </w:r>
      <w:r w:rsidR="008F1801" w:rsidRPr="008F1801">
        <w:t>called “System Report</w:t>
      </w:r>
      <w:r w:rsidR="00F27019">
        <w:t>:</w:t>
      </w:r>
      <w:r w:rsidR="008F1801" w:rsidRPr="008F1801">
        <w:t>”:</w:t>
      </w:r>
    </w:p>
    <w:p w14:paraId="692291C9" w14:textId="74D7556C" w:rsidR="00F27019" w:rsidRDefault="00F27019" w:rsidP="00F27019">
      <w:pPr>
        <w:widowControl w:val="0"/>
        <w:numPr>
          <w:ilvl w:val="1"/>
          <w:numId w:val="9"/>
        </w:numPr>
        <w:autoSpaceDE w:val="0"/>
        <w:autoSpaceDN w:val="0"/>
        <w:adjustRightInd w:val="0"/>
        <w:spacing w:after="0" w:line="276" w:lineRule="auto"/>
        <w:ind w:right="-20"/>
        <w:rPr>
          <w:szCs w:val="24"/>
        </w:rPr>
      </w:pPr>
      <w:r w:rsidRPr="00636CB0">
        <w:rPr>
          <w:szCs w:val="24"/>
        </w:rPr>
        <w:t xml:space="preserve">Damage or destruction of a Facility within its Reliability Coordinator Area, Balancing Authority Area or Transmission Operator Area that results in action(s) to avoid a Bulk Electric System Emergency. </w:t>
      </w:r>
    </w:p>
    <w:p w14:paraId="6E3FB43E" w14:textId="77777777" w:rsidR="00F27019" w:rsidRDefault="00F27019" w:rsidP="00F27019">
      <w:pPr>
        <w:widowControl w:val="0"/>
        <w:numPr>
          <w:ilvl w:val="1"/>
          <w:numId w:val="9"/>
        </w:numPr>
        <w:autoSpaceDE w:val="0"/>
        <w:autoSpaceDN w:val="0"/>
        <w:adjustRightInd w:val="0"/>
        <w:spacing w:after="0" w:line="276" w:lineRule="auto"/>
        <w:ind w:right="-20"/>
        <w:rPr>
          <w:szCs w:val="24"/>
        </w:rPr>
      </w:pPr>
      <w:r w:rsidRPr="00636CB0">
        <w:rPr>
          <w:szCs w:val="24"/>
        </w:rPr>
        <w:t xml:space="preserve">Damage or destruction of its Facility that results from actual or suspected intentional human action. </w:t>
      </w:r>
    </w:p>
    <w:p w14:paraId="1CF2A1C4" w14:textId="77777777" w:rsidR="00F27019" w:rsidRDefault="00F27019" w:rsidP="00F27019">
      <w:pPr>
        <w:widowControl w:val="0"/>
        <w:numPr>
          <w:ilvl w:val="1"/>
          <w:numId w:val="9"/>
        </w:numPr>
        <w:autoSpaceDE w:val="0"/>
        <w:autoSpaceDN w:val="0"/>
        <w:adjustRightInd w:val="0"/>
        <w:spacing w:after="0" w:line="276" w:lineRule="auto"/>
        <w:ind w:right="-20"/>
        <w:rPr>
          <w:szCs w:val="24"/>
        </w:rPr>
      </w:pPr>
      <w:r w:rsidRPr="00636CB0">
        <w:rPr>
          <w:szCs w:val="24"/>
        </w:rPr>
        <w:t>Physical threat to its Facility</w:t>
      </w:r>
      <w:r w:rsidR="007A1FC3">
        <w:rPr>
          <w:szCs w:val="24"/>
        </w:rPr>
        <w:t>,</w:t>
      </w:r>
      <w:r w:rsidRPr="00636CB0">
        <w:rPr>
          <w:szCs w:val="24"/>
        </w:rPr>
        <w:t xml:space="preserve"> excluding weather or natural disaster related threats, which has the potential to degrade the normal operation of the Facility. Or suspicious device or activity at its Facility. </w:t>
      </w:r>
    </w:p>
    <w:p w14:paraId="23349DC4" w14:textId="7700CC8C" w:rsidR="00F27019" w:rsidRDefault="00F27019" w:rsidP="00F27019">
      <w:pPr>
        <w:widowControl w:val="0"/>
        <w:numPr>
          <w:ilvl w:val="1"/>
          <w:numId w:val="9"/>
        </w:numPr>
        <w:autoSpaceDE w:val="0"/>
        <w:autoSpaceDN w:val="0"/>
        <w:adjustRightInd w:val="0"/>
        <w:spacing w:after="0" w:line="276" w:lineRule="auto"/>
        <w:ind w:right="-20"/>
        <w:rPr>
          <w:szCs w:val="24"/>
        </w:rPr>
      </w:pPr>
      <w:r w:rsidRPr="00636CB0">
        <w:rPr>
          <w:szCs w:val="24"/>
        </w:rPr>
        <w:t>Physical threat to its Bulk Electric System control center, excluding weather or natural disaster related threats, which has the potential to degrade the normal operation of the control center</w:t>
      </w:r>
      <w:r w:rsidR="007A1FC3">
        <w:rPr>
          <w:szCs w:val="24"/>
        </w:rPr>
        <w:t>, or</w:t>
      </w:r>
      <w:r w:rsidRPr="00636CB0">
        <w:rPr>
          <w:szCs w:val="24"/>
        </w:rPr>
        <w:t xml:space="preserve"> suspicious device</w:t>
      </w:r>
      <w:r w:rsidR="00262560">
        <w:rPr>
          <w:szCs w:val="24"/>
        </w:rPr>
        <w:t>,</w:t>
      </w:r>
      <w:r w:rsidRPr="00636CB0">
        <w:rPr>
          <w:szCs w:val="24"/>
        </w:rPr>
        <w:t xml:space="preserve"> or activity at its Bulk Electric System control center. </w:t>
      </w:r>
    </w:p>
    <w:p w14:paraId="34953F92" w14:textId="77777777" w:rsidR="00F27019" w:rsidRDefault="00F27019" w:rsidP="00F27019">
      <w:pPr>
        <w:widowControl w:val="0"/>
        <w:numPr>
          <w:ilvl w:val="1"/>
          <w:numId w:val="9"/>
        </w:numPr>
        <w:autoSpaceDE w:val="0"/>
        <w:autoSpaceDN w:val="0"/>
        <w:adjustRightInd w:val="0"/>
        <w:spacing w:after="0" w:line="276" w:lineRule="auto"/>
        <w:ind w:right="-20"/>
        <w:rPr>
          <w:szCs w:val="24"/>
        </w:rPr>
      </w:pPr>
      <w:r w:rsidRPr="00636CB0">
        <w:rPr>
          <w:szCs w:val="24"/>
        </w:rPr>
        <w:t>Bulk Electric System Emergency resulting in voltage deviation on a Facility; A voltage deviation of equal to or greater than 10% of nominal voltage sustained for greater than or equal to 15 continuous minutes.</w:t>
      </w:r>
    </w:p>
    <w:p w14:paraId="5CB495EF" w14:textId="77777777" w:rsidR="00F27019" w:rsidRDefault="00F27019" w:rsidP="00F27019">
      <w:pPr>
        <w:widowControl w:val="0"/>
        <w:numPr>
          <w:ilvl w:val="1"/>
          <w:numId w:val="9"/>
        </w:numPr>
        <w:autoSpaceDE w:val="0"/>
        <w:autoSpaceDN w:val="0"/>
        <w:adjustRightInd w:val="0"/>
        <w:spacing w:after="0" w:line="276" w:lineRule="auto"/>
        <w:ind w:right="-20"/>
        <w:rPr>
          <w:szCs w:val="24"/>
        </w:rPr>
      </w:pPr>
      <w:r w:rsidRPr="000E35DE">
        <w:rPr>
          <w:szCs w:val="24"/>
        </w:rPr>
        <w:t>Uncontrolled loss of 200 Megawatts or more of firm system loads for 15 minutes or more from a single incident for entities with previous year’s peak demand less than or equal to 3,000 Megawatts</w:t>
      </w:r>
      <w:r w:rsidRPr="00636CB0">
        <w:rPr>
          <w:szCs w:val="24"/>
        </w:rPr>
        <w:t xml:space="preserve"> </w:t>
      </w:r>
    </w:p>
    <w:p w14:paraId="16E8E01F" w14:textId="77777777" w:rsidR="00F27019" w:rsidRDefault="00F27019" w:rsidP="00F27019">
      <w:pPr>
        <w:widowControl w:val="0"/>
        <w:numPr>
          <w:ilvl w:val="1"/>
          <w:numId w:val="9"/>
        </w:numPr>
        <w:autoSpaceDE w:val="0"/>
        <w:autoSpaceDN w:val="0"/>
        <w:adjustRightInd w:val="0"/>
        <w:spacing w:after="0" w:line="276" w:lineRule="auto"/>
        <w:ind w:right="-20"/>
        <w:rPr>
          <w:szCs w:val="24"/>
        </w:rPr>
      </w:pPr>
      <w:r w:rsidRPr="000E35DE">
        <w:rPr>
          <w:szCs w:val="24"/>
        </w:rPr>
        <w:t>Total generation loss, within one minute of: greater than or equal to 2,000 Megawatts in the Eastern or Western Interconnection or greater than or equal to 1,400 Megawatts in the ERCOT Interconnection.</w:t>
      </w:r>
    </w:p>
    <w:p w14:paraId="7EEAC71F" w14:textId="77777777" w:rsidR="00F27019" w:rsidRDefault="00F27019" w:rsidP="00F27019">
      <w:pPr>
        <w:widowControl w:val="0"/>
        <w:numPr>
          <w:ilvl w:val="1"/>
          <w:numId w:val="9"/>
        </w:numPr>
        <w:autoSpaceDE w:val="0"/>
        <w:autoSpaceDN w:val="0"/>
        <w:adjustRightInd w:val="0"/>
        <w:spacing w:after="0" w:line="276" w:lineRule="auto"/>
        <w:ind w:right="-20"/>
        <w:rPr>
          <w:szCs w:val="24"/>
        </w:rPr>
      </w:pPr>
      <w:r w:rsidRPr="000E35DE">
        <w:rPr>
          <w:szCs w:val="24"/>
        </w:rPr>
        <w:t>Complete loss of off-site power (LOOP) affecting a nuclear generating station per the Nuclear Plant Interface Requirements.</w:t>
      </w:r>
    </w:p>
    <w:p w14:paraId="0FE5E381" w14:textId="77777777" w:rsidR="00F27019" w:rsidRDefault="00F27019" w:rsidP="00F27019">
      <w:pPr>
        <w:widowControl w:val="0"/>
        <w:numPr>
          <w:ilvl w:val="1"/>
          <w:numId w:val="9"/>
        </w:numPr>
        <w:autoSpaceDE w:val="0"/>
        <w:autoSpaceDN w:val="0"/>
        <w:adjustRightInd w:val="0"/>
        <w:spacing w:after="0" w:line="276" w:lineRule="auto"/>
        <w:ind w:right="-20"/>
        <w:rPr>
          <w:szCs w:val="24"/>
        </w:rPr>
      </w:pPr>
      <w:r w:rsidRPr="000E35DE">
        <w:rPr>
          <w:szCs w:val="24"/>
        </w:rPr>
        <w:t>Unexpected Transmission loss within its area, contrary to design, of three or more Bulk Electric System Facilities caused by a common disturbance (excluding successful automatic reclosing).</w:t>
      </w:r>
    </w:p>
    <w:p w14:paraId="01558D6E" w14:textId="77777777" w:rsidR="00F27019" w:rsidRDefault="00F27019" w:rsidP="00F27019">
      <w:pPr>
        <w:widowControl w:val="0"/>
        <w:numPr>
          <w:ilvl w:val="1"/>
          <w:numId w:val="9"/>
        </w:numPr>
        <w:autoSpaceDE w:val="0"/>
        <w:autoSpaceDN w:val="0"/>
        <w:adjustRightInd w:val="0"/>
        <w:spacing w:after="0" w:line="276" w:lineRule="auto"/>
        <w:ind w:right="-20"/>
        <w:rPr>
          <w:szCs w:val="24"/>
        </w:rPr>
      </w:pPr>
      <w:r w:rsidRPr="000E35DE">
        <w:rPr>
          <w:szCs w:val="24"/>
        </w:rPr>
        <w:t xml:space="preserve">Unplanned evacuation from its Bulk Electric System control center facility for 30 continuous minutes or more. </w:t>
      </w:r>
    </w:p>
    <w:p w14:paraId="4A1F65F7" w14:textId="77777777" w:rsidR="00F27019" w:rsidRPr="000E35DE" w:rsidRDefault="00F27019" w:rsidP="00F27019">
      <w:pPr>
        <w:widowControl w:val="0"/>
        <w:numPr>
          <w:ilvl w:val="1"/>
          <w:numId w:val="9"/>
        </w:numPr>
        <w:autoSpaceDE w:val="0"/>
        <w:autoSpaceDN w:val="0"/>
        <w:adjustRightInd w:val="0"/>
        <w:spacing w:after="0" w:line="276" w:lineRule="auto"/>
        <w:ind w:right="-20"/>
        <w:rPr>
          <w:szCs w:val="24"/>
        </w:rPr>
      </w:pPr>
      <w:r w:rsidRPr="000E35DE">
        <w:rPr>
          <w:szCs w:val="24"/>
        </w:rPr>
        <w:t>Complete loss of Interpersonal Communication and Alternative Interpersonal Communication c</w:t>
      </w:r>
      <w:r>
        <w:rPr>
          <w:szCs w:val="24"/>
        </w:rPr>
        <w:t>apability affecting</w:t>
      </w:r>
      <w:r w:rsidRPr="000E35DE">
        <w:rPr>
          <w:szCs w:val="24"/>
        </w:rPr>
        <w:t xml:space="preserve"> its staffed Bulk Electric System control center for 30 continuous minutes or more. </w:t>
      </w:r>
    </w:p>
    <w:p w14:paraId="319786A1" w14:textId="77777777" w:rsidR="00F27019" w:rsidRDefault="00F27019" w:rsidP="00F27019">
      <w:pPr>
        <w:widowControl w:val="0"/>
        <w:numPr>
          <w:ilvl w:val="1"/>
          <w:numId w:val="9"/>
        </w:numPr>
        <w:autoSpaceDE w:val="0"/>
        <w:autoSpaceDN w:val="0"/>
        <w:adjustRightInd w:val="0"/>
        <w:spacing w:after="0" w:line="276" w:lineRule="auto"/>
        <w:ind w:right="-20"/>
        <w:rPr>
          <w:szCs w:val="24"/>
        </w:rPr>
      </w:pPr>
      <w:r w:rsidRPr="000E35DE">
        <w:rPr>
          <w:szCs w:val="24"/>
        </w:rPr>
        <w:t>Complete loss of monitoring or control capability at its staffed Bulk Electric System control center for 30 continuous minutes or more.</w:t>
      </w:r>
      <w:r>
        <w:rPr>
          <w:szCs w:val="24"/>
        </w:rPr>
        <w:t xml:space="preserve"> </w:t>
      </w:r>
    </w:p>
    <w:p w14:paraId="1D14A1E3" w14:textId="2576090C" w:rsidR="00F27019" w:rsidRDefault="00F27019" w:rsidP="00F27019">
      <w:pPr>
        <w:widowControl w:val="0"/>
        <w:numPr>
          <w:ilvl w:val="0"/>
          <w:numId w:val="9"/>
        </w:numPr>
        <w:autoSpaceDE w:val="0"/>
        <w:autoSpaceDN w:val="0"/>
        <w:adjustRightInd w:val="0"/>
        <w:spacing w:after="0" w:line="276" w:lineRule="auto"/>
        <w:ind w:right="-20"/>
        <w:rPr>
          <w:szCs w:val="24"/>
        </w:rPr>
      </w:pPr>
      <w:r>
        <w:rPr>
          <w:szCs w:val="24"/>
        </w:rPr>
        <w:t xml:space="preserve">Re-termed line numbers 1 – 20 to line </w:t>
      </w:r>
      <w:r w:rsidR="007A1FC3">
        <w:rPr>
          <w:szCs w:val="24"/>
        </w:rPr>
        <w:t>letters</w:t>
      </w:r>
      <w:r>
        <w:rPr>
          <w:szCs w:val="24"/>
        </w:rPr>
        <w:t xml:space="preserve"> A – T to prevent confusion between line numbers and alert criteria.</w:t>
      </w:r>
    </w:p>
    <w:p w14:paraId="3B933B4F" w14:textId="232DD68D" w:rsidR="00F27019" w:rsidRDefault="00F27019" w:rsidP="00F27019">
      <w:pPr>
        <w:widowControl w:val="0"/>
        <w:numPr>
          <w:ilvl w:val="0"/>
          <w:numId w:val="9"/>
        </w:numPr>
        <w:autoSpaceDE w:val="0"/>
        <w:autoSpaceDN w:val="0"/>
        <w:adjustRightInd w:val="0"/>
        <w:spacing w:after="0" w:line="276" w:lineRule="auto"/>
        <w:ind w:right="-20"/>
        <w:rPr>
          <w:szCs w:val="24"/>
        </w:rPr>
      </w:pPr>
      <w:r>
        <w:rPr>
          <w:szCs w:val="24"/>
        </w:rPr>
        <w:t xml:space="preserve">Added an alert status category called </w:t>
      </w:r>
      <w:r w:rsidR="00E02025">
        <w:rPr>
          <w:szCs w:val="24"/>
        </w:rPr>
        <w:t>“</w:t>
      </w:r>
      <w:r w:rsidR="007A1FC3">
        <w:rPr>
          <w:szCs w:val="24"/>
        </w:rPr>
        <w:t>S</w:t>
      </w:r>
      <w:r>
        <w:rPr>
          <w:szCs w:val="24"/>
        </w:rPr>
        <w:t xml:space="preserve">ystem </w:t>
      </w:r>
      <w:r w:rsidR="007A1FC3">
        <w:rPr>
          <w:szCs w:val="24"/>
        </w:rPr>
        <w:t>R</w:t>
      </w:r>
      <w:r>
        <w:rPr>
          <w:szCs w:val="24"/>
        </w:rPr>
        <w:t>eport</w:t>
      </w:r>
      <w:r w:rsidR="00E02025">
        <w:rPr>
          <w:szCs w:val="24"/>
        </w:rPr>
        <w:t>”</w:t>
      </w:r>
      <w:r w:rsidR="00F2753B">
        <w:rPr>
          <w:szCs w:val="24"/>
        </w:rPr>
        <w:t xml:space="preserve"> was added</w:t>
      </w:r>
      <w:r>
        <w:rPr>
          <w:szCs w:val="24"/>
        </w:rPr>
        <w:t xml:space="preserve">, which </w:t>
      </w:r>
      <w:r w:rsidR="00DE6850">
        <w:rPr>
          <w:szCs w:val="24"/>
        </w:rPr>
        <w:t xml:space="preserve">will </w:t>
      </w:r>
      <w:r w:rsidRPr="000E35DE">
        <w:rPr>
          <w:szCs w:val="24"/>
        </w:rPr>
        <w:t xml:space="preserve">be filed by the later of 24 hours after the recognition of </w:t>
      </w:r>
      <w:r w:rsidR="006A431F">
        <w:rPr>
          <w:szCs w:val="24"/>
        </w:rPr>
        <w:t>an</w:t>
      </w:r>
      <w:r w:rsidRPr="000E35DE">
        <w:rPr>
          <w:szCs w:val="24"/>
        </w:rPr>
        <w:t xml:space="preserve"> incident </w:t>
      </w:r>
      <w:r w:rsidR="007A1FC3">
        <w:rPr>
          <w:szCs w:val="24"/>
        </w:rPr>
        <w:t>or</w:t>
      </w:r>
      <w:r w:rsidRPr="000E35DE">
        <w:rPr>
          <w:szCs w:val="24"/>
        </w:rPr>
        <w:t xml:space="preserve"> by the end of the next business day. </w:t>
      </w:r>
      <w:r>
        <w:rPr>
          <w:szCs w:val="24"/>
        </w:rPr>
        <w:t xml:space="preserve">This is to align with </w:t>
      </w:r>
      <w:r w:rsidR="006A431F">
        <w:rPr>
          <w:szCs w:val="24"/>
        </w:rPr>
        <w:t xml:space="preserve">Form </w:t>
      </w:r>
      <w:r>
        <w:rPr>
          <w:szCs w:val="24"/>
        </w:rPr>
        <w:t xml:space="preserve">EOP-004. </w:t>
      </w:r>
      <w:r w:rsidRPr="000E35DE">
        <w:rPr>
          <w:szCs w:val="24"/>
        </w:rPr>
        <w:t>4:00pm local time will be considered the end of the business day.</w:t>
      </w:r>
      <w:r>
        <w:rPr>
          <w:szCs w:val="24"/>
        </w:rPr>
        <w:t xml:space="preserve"> </w:t>
      </w:r>
    </w:p>
    <w:p w14:paraId="25C6CEC7" w14:textId="77777777" w:rsidR="00954CC5" w:rsidRDefault="00954CC5" w:rsidP="00F27019">
      <w:pPr>
        <w:widowControl w:val="0"/>
        <w:numPr>
          <w:ilvl w:val="0"/>
          <w:numId w:val="9"/>
        </w:numPr>
        <w:autoSpaceDE w:val="0"/>
        <w:autoSpaceDN w:val="0"/>
        <w:adjustRightInd w:val="0"/>
        <w:spacing w:after="0" w:line="276" w:lineRule="auto"/>
        <w:ind w:right="-20"/>
        <w:rPr>
          <w:szCs w:val="24"/>
        </w:rPr>
      </w:pPr>
      <w:r w:rsidRPr="00954CC5">
        <w:rPr>
          <w:szCs w:val="24"/>
        </w:rPr>
        <w:t>The Electric Emergency Incident and Disturbance Report section, lines J, K, L were reorganized into “Cause, Impact, and Action Taken” for clarity and ease of use and additional items were added to align with NERC’s EOP-004 Reliability Standard.</w:t>
      </w:r>
    </w:p>
    <w:p w14:paraId="562939A7" w14:textId="77777777" w:rsidR="00954CC5" w:rsidRPr="005A3650" w:rsidRDefault="00954CC5" w:rsidP="00D2504D">
      <w:pPr>
        <w:widowControl w:val="0"/>
        <w:numPr>
          <w:ilvl w:val="0"/>
          <w:numId w:val="9"/>
        </w:numPr>
        <w:autoSpaceDE w:val="0"/>
        <w:autoSpaceDN w:val="0"/>
        <w:adjustRightInd w:val="0"/>
        <w:spacing w:after="0" w:line="276" w:lineRule="auto"/>
        <w:ind w:right="-20"/>
        <w:rPr>
          <w:szCs w:val="24"/>
        </w:rPr>
      </w:pPr>
      <w:r w:rsidRPr="00954CC5">
        <w:rPr>
          <w:szCs w:val="24"/>
        </w:rPr>
        <w:t xml:space="preserve">The burden per response for completing Form OE-417 is reduced from 2.16 hours to 1.8 hours based on findings from the results from cognitive research conducted by the U.S. Energy </w:t>
      </w:r>
      <w:r w:rsidRPr="005A3650">
        <w:rPr>
          <w:szCs w:val="24"/>
        </w:rPr>
        <w:t xml:space="preserve">Information Administration. </w:t>
      </w:r>
    </w:p>
    <w:p w14:paraId="63771272" w14:textId="2A8B13CC" w:rsidR="00D2504D" w:rsidRPr="005A3650" w:rsidRDefault="00DE6850" w:rsidP="00D2504D">
      <w:pPr>
        <w:widowControl w:val="0"/>
        <w:numPr>
          <w:ilvl w:val="0"/>
          <w:numId w:val="9"/>
        </w:numPr>
        <w:autoSpaceDE w:val="0"/>
        <w:autoSpaceDN w:val="0"/>
        <w:adjustRightInd w:val="0"/>
        <w:spacing w:after="0" w:line="276" w:lineRule="auto"/>
        <w:ind w:right="-20"/>
        <w:rPr>
          <w:szCs w:val="24"/>
        </w:rPr>
      </w:pPr>
      <w:r w:rsidRPr="005A3650">
        <w:rPr>
          <w:szCs w:val="24"/>
        </w:rPr>
        <w:t xml:space="preserve">Form and instructions were updated to specify maintaining the continuity of the “Bulk Electric System” versus “the electric power system” in the </w:t>
      </w:r>
      <w:r w:rsidR="00D2504D" w:rsidRPr="005A3650">
        <w:rPr>
          <w:szCs w:val="24"/>
        </w:rPr>
        <w:t>“Criteria for Filing” section Line 8</w:t>
      </w:r>
      <w:r w:rsidRPr="005A3650">
        <w:rPr>
          <w:szCs w:val="24"/>
        </w:rPr>
        <w:t xml:space="preserve">. </w:t>
      </w:r>
      <w:r w:rsidR="00D2504D" w:rsidRPr="005A3650">
        <w:rPr>
          <w:szCs w:val="24"/>
        </w:rPr>
        <w:t>This change is based on a comment provided during the 60-day comment period.</w:t>
      </w:r>
      <w:r w:rsidR="00074770" w:rsidRPr="005A3650">
        <w:rPr>
          <w:szCs w:val="24"/>
        </w:rPr>
        <w:t xml:space="preserve"> </w:t>
      </w:r>
    </w:p>
    <w:p w14:paraId="29256F37" w14:textId="28327E14" w:rsidR="00D2504D" w:rsidRDefault="00DE6850" w:rsidP="00D2504D">
      <w:pPr>
        <w:widowControl w:val="0"/>
        <w:numPr>
          <w:ilvl w:val="0"/>
          <w:numId w:val="9"/>
        </w:numPr>
        <w:autoSpaceDE w:val="0"/>
        <w:autoSpaceDN w:val="0"/>
        <w:adjustRightInd w:val="0"/>
        <w:spacing w:after="0" w:line="276" w:lineRule="auto"/>
        <w:ind w:right="-20"/>
        <w:rPr>
          <w:szCs w:val="24"/>
        </w:rPr>
      </w:pPr>
      <w:r w:rsidRPr="005A3650">
        <w:rPr>
          <w:szCs w:val="24"/>
        </w:rPr>
        <w:t>T</w:t>
      </w:r>
      <w:r w:rsidR="00D2504D" w:rsidRPr="005A3650">
        <w:rPr>
          <w:szCs w:val="24"/>
        </w:rPr>
        <w:t xml:space="preserve">he words “lines 13-17” were replaced with “lines M-Q” </w:t>
      </w:r>
      <w:r w:rsidRPr="005A3650">
        <w:rPr>
          <w:szCs w:val="24"/>
        </w:rPr>
        <w:t xml:space="preserve">under the “Response Due” section, </w:t>
      </w:r>
      <w:r w:rsidR="00D2504D" w:rsidRPr="005A3650">
        <w:rPr>
          <w:szCs w:val="24"/>
        </w:rPr>
        <w:t>to match updated line labels on the form. This change is based on a comment provided during the 60-day comment period.</w:t>
      </w:r>
      <w:r w:rsidR="00074770" w:rsidRPr="005A3650">
        <w:rPr>
          <w:szCs w:val="24"/>
        </w:rPr>
        <w:t xml:space="preserve"> </w:t>
      </w:r>
    </w:p>
    <w:p w14:paraId="0570A077" w14:textId="00C14CCC" w:rsidR="005A3650" w:rsidRPr="00224D97" w:rsidRDefault="005A3650" w:rsidP="00224D97">
      <w:pPr>
        <w:numPr>
          <w:ilvl w:val="0"/>
          <w:numId w:val="9"/>
        </w:numPr>
        <w:spacing w:after="0" w:line="276" w:lineRule="auto"/>
      </w:pPr>
      <w:r w:rsidRPr="00D44D3C">
        <w:t>A section was added to allow respondents to select whether the information provided in the Form is submitted to the North American Electric Reliability</w:t>
      </w:r>
      <w:r w:rsidRPr="00224D97">
        <w:t xml:space="preserve"> Corporation (NERC) and/or the Electricity Information Sharing and Analysis Center (E-ISAC). </w:t>
      </w:r>
    </w:p>
    <w:p w14:paraId="08632D8C" w14:textId="5562CB83" w:rsidR="00F27019" w:rsidRPr="00CC413D" w:rsidRDefault="00F27019" w:rsidP="00F27019">
      <w:pPr>
        <w:widowControl w:val="0"/>
        <w:autoSpaceDE w:val="0"/>
        <w:autoSpaceDN w:val="0"/>
        <w:adjustRightInd w:val="0"/>
        <w:ind w:left="480" w:right="-20"/>
        <w:rPr>
          <w:szCs w:val="24"/>
        </w:rPr>
      </w:pPr>
    </w:p>
    <w:p w14:paraId="4AFB3DD3" w14:textId="341B901F" w:rsidR="00E373EC" w:rsidRPr="00A41763" w:rsidRDefault="00F27019" w:rsidP="00E373EC">
      <w:r>
        <w:rPr>
          <w:szCs w:val="24"/>
        </w:rPr>
        <w:t>The infor</w:t>
      </w:r>
      <w:r>
        <w:rPr>
          <w:spacing w:val="-2"/>
          <w:szCs w:val="24"/>
        </w:rPr>
        <w:t>m</w:t>
      </w:r>
      <w:r>
        <w:rPr>
          <w:spacing w:val="1"/>
          <w:szCs w:val="24"/>
        </w:rPr>
        <w:t>a</w:t>
      </w:r>
      <w:r>
        <w:rPr>
          <w:szCs w:val="24"/>
        </w:rPr>
        <w:t>tion collection in this</w:t>
      </w:r>
      <w:r>
        <w:rPr>
          <w:spacing w:val="-1"/>
          <w:szCs w:val="24"/>
        </w:rPr>
        <w:t xml:space="preserve"> </w:t>
      </w:r>
      <w:r>
        <w:rPr>
          <w:szCs w:val="24"/>
        </w:rPr>
        <w:t>supporting state</w:t>
      </w:r>
      <w:r>
        <w:rPr>
          <w:spacing w:val="-2"/>
          <w:szCs w:val="24"/>
        </w:rPr>
        <w:t>m</w:t>
      </w:r>
      <w:r>
        <w:rPr>
          <w:szCs w:val="24"/>
        </w:rPr>
        <w:t>ent has been reviewed in light of applicable infor</w:t>
      </w:r>
      <w:r>
        <w:rPr>
          <w:spacing w:val="-2"/>
          <w:szCs w:val="24"/>
        </w:rPr>
        <w:t>m</w:t>
      </w:r>
      <w:r>
        <w:rPr>
          <w:szCs w:val="24"/>
        </w:rPr>
        <w:t>ation quality guidelines. It has been deter</w:t>
      </w:r>
      <w:r>
        <w:rPr>
          <w:spacing w:val="-2"/>
          <w:szCs w:val="24"/>
        </w:rPr>
        <w:t>m</w:t>
      </w:r>
      <w:r>
        <w:rPr>
          <w:szCs w:val="24"/>
        </w:rPr>
        <w:t>ined that the in</w:t>
      </w:r>
      <w:r>
        <w:rPr>
          <w:spacing w:val="-1"/>
          <w:szCs w:val="24"/>
        </w:rPr>
        <w:t>f</w:t>
      </w:r>
      <w:r>
        <w:rPr>
          <w:szCs w:val="24"/>
        </w:rPr>
        <w:t>or</w:t>
      </w:r>
      <w:r>
        <w:rPr>
          <w:spacing w:val="-2"/>
          <w:szCs w:val="24"/>
        </w:rPr>
        <w:t>m</w:t>
      </w:r>
      <w:r>
        <w:rPr>
          <w:szCs w:val="24"/>
        </w:rPr>
        <w:t>ation will be c</w:t>
      </w:r>
      <w:r>
        <w:rPr>
          <w:spacing w:val="-1"/>
          <w:szCs w:val="24"/>
        </w:rPr>
        <w:t>o</w:t>
      </w:r>
      <w:r>
        <w:rPr>
          <w:szCs w:val="24"/>
        </w:rPr>
        <w:t>ll</w:t>
      </w:r>
      <w:r>
        <w:rPr>
          <w:spacing w:val="-1"/>
          <w:szCs w:val="24"/>
        </w:rPr>
        <w:t>e</w:t>
      </w:r>
      <w:r>
        <w:rPr>
          <w:szCs w:val="24"/>
        </w:rPr>
        <w:t xml:space="preserve">cted, </w:t>
      </w:r>
      <w:r>
        <w:rPr>
          <w:spacing w:val="-2"/>
          <w:szCs w:val="24"/>
        </w:rPr>
        <w:t>m</w:t>
      </w:r>
      <w:r>
        <w:rPr>
          <w:szCs w:val="24"/>
        </w:rPr>
        <w:t>aint</w:t>
      </w:r>
      <w:r>
        <w:rPr>
          <w:spacing w:val="-1"/>
          <w:szCs w:val="24"/>
        </w:rPr>
        <w:t>a</w:t>
      </w:r>
      <w:r>
        <w:rPr>
          <w:szCs w:val="24"/>
        </w:rPr>
        <w:t>ined, and u</w:t>
      </w:r>
      <w:r>
        <w:rPr>
          <w:spacing w:val="-1"/>
          <w:szCs w:val="24"/>
        </w:rPr>
        <w:t>s</w:t>
      </w:r>
      <w:r>
        <w:rPr>
          <w:szCs w:val="24"/>
        </w:rPr>
        <w:t xml:space="preserve">ed in a </w:t>
      </w:r>
      <w:r>
        <w:rPr>
          <w:spacing w:val="-2"/>
          <w:szCs w:val="24"/>
        </w:rPr>
        <w:t>m</w:t>
      </w:r>
      <w:r>
        <w:rPr>
          <w:szCs w:val="24"/>
        </w:rPr>
        <w:t>anner consist</w:t>
      </w:r>
      <w:r>
        <w:rPr>
          <w:spacing w:val="-1"/>
          <w:szCs w:val="24"/>
        </w:rPr>
        <w:t>e</w:t>
      </w:r>
      <w:r>
        <w:rPr>
          <w:szCs w:val="24"/>
        </w:rPr>
        <w:t>nt with t</w:t>
      </w:r>
      <w:r>
        <w:rPr>
          <w:spacing w:val="-1"/>
          <w:szCs w:val="24"/>
        </w:rPr>
        <w:t>h</w:t>
      </w:r>
      <w:r>
        <w:rPr>
          <w:szCs w:val="24"/>
        </w:rPr>
        <w:t>e Office of Manage</w:t>
      </w:r>
      <w:r>
        <w:rPr>
          <w:spacing w:val="-2"/>
          <w:szCs w:val="24"/>
        </w:rPr>
        <w:t>m</w:t>
      </w:r>
      <w:r>
        <w:rPr>
          <w:szCs w:val="24"/>
        </w:rPr>
        <w:t>ent and Budget (OMB),</w:t>
      </w:r>
      <w:r>
        <w:rPr>
          <w:spacing w:val="-1"/>
          <w:szCs w:val="24"/>
        </w:rPr>
        <w:t xml:space="preserve"> Department of Energy (</w:t>
      </w:r>
      <w:r>
        <w:rPr>
          <w:szCs w:val="24"/>
        </w:rPr>
        <w:t>DOE), Energy Information Administration (EIA), and North American Electric Reliability Corporation (NERC) info</w:t>
      </w:r>
      <w:r>
        <w:rPr>
          <w:spacing w:val="2"/>
          <w:szCs w:val="24"/>
        </w:rPr>
        <w:t>r</w:t>
      </w:r>
      <w:r>
        <w:rPr>
          <w:spacing w:val="-2"/>
          <w:szCs w:val="24"/>
        </w:rPr>
        <w:t>m</w:t>
      </w:r>
      <w:r>
        <w:rPr>
          <w:szCs w:val="24"/>
        </w:rPr>
        <w:t>ation quality guidelines.</w:t>
      </w:r>
    </w:p>
    <w:p w14:paraId="237FAC0F" w14:textId="77777777" w:rsidR="008C734C" w:rsidRDefault="008C734C" w:rsidP="00910D61">
      <w:pPr>
        <w:pStyle w:val="Heading2"/>
      </w:pPr>
      <w:bookmarkStart w:id="20" w:name="_Toc466046211"/>
      <w:bookmarkStart w:id="21" w:name="_Toc487186505"/>
      <w:bookmarkStart w:id="22" w:name="_Toc488240612"/>
      <w:r>
        <w:t>A.</w:t>
      </w:r>
      <w:r w:rsidR="00A41763" w:rsidRPr="00A41763">
        <w:t xml:space="preserve">3. </w:t>
      </w:r>
      <w:r>
        <w:t>Use of Technology</w:t>
      </w:r>
      <w:bookmarkEnd w:id="20"/>
      <w:bookmarkEnd w:id="21"/>
      <w:bookmarkEnd w:id="22"/>
    </w:p>
    <w:p w14:paraId="1F0EB164" w14:textId="0840101E" w:rsidR="00E373EC" w:rsidRDefault="00E373EC" w:rsidP="005A3650">
      <w:pPr>
        <w:spacing w:before="240"/>
        <w:rPr>
          <w:szCs w:val="24"/>
        </w:rPr>
      </w:pPr>
      <w:r>
        <w:rPr>
          <w:szCs w:val="24"/>
        </w:rPr>
        <w:t xml:space="preserve">DOE introduced an online version of </w:t>
      </w:r>
      <w:r w:rsidR="001A6AE2">
        <w:rPr>
          <w:szCs w:val="24"/>
        </w:rPr>
        <w:t>Form OE</w:t>
      </w:r>
      <w:r>
        <w:rPr>
          <w:szCs w:val="24"/>
        </w:rPr>
        <w:t>-417 fo</w:t>
      </w:r>
      <w:r>
        <w:rPr>
          <w:spacing w:val="2"/>
          <w:szCs w:val="24"/>
        </w:rPr>
        <w:t>r</w:t>
      </w:r>
      <w:r>
        <w:rPr>
          <w:szCs w:val="24"/>
        </w:rPr>
        <w:t>m</w:t>
      </w:r>
      <w:r>
        <w:rPr>
          <w:spacing w:val="-2"/>
          <w:szCs w:val="24"/>
        </w:rPr>
        <w:t xml:space="preserve"> </w:t>
      </w:r>
      <w:r>
        <w:rPr>
          <w:szCs w:val="24"/>
        </w:rPr>
        <w:t xml:space="preserve">in January 2011 to give respondents an electronic reporting option. Since 2011, the online data system has been consistently updated and now features the ability for respondents to completely manage and tailor their </w:t>
      </w:r>
      <w:r w:rsidR="008D7A73">
        <w:rPr>
          <w:szCs w:val="24"/>
        </w:rPr>
        <w:t xml:space="preserve">Form </w:t>
      </w:r>
      <w:r>
        <w:rPr>
          <w:szCs w:val="24"/>
        </w:rPr>
        <w:t xml:space="preserve">OE-417 submission process to meet their unique needs. </w:t>
      </w:r>
    </w:p>
    <w:p w14:paraId="5ADD3755" w14:textId="0B275B4D" w:rsidR="00E373EC" w:rsidRDefault="00E373EC" w:rsidP="00E373EC">
      <w:pPr>
        <w:rPr>
          <w:szCs w:val="24"/>
        </w:rPr>
      </w:pPr>
      <w:r>
        <w:rPr>
          <w:szCs w:val="24"/>
        </w:rPr>
        <w:t xml:space="preserve">The </w:t>
      </w:r>
      <w:r w:rsidR="00262560">
        <w:rPr>
          <w:szCs w:val="24"/>
        </w:rPr>
        <w:t xml:space="preserve">electronic reporting </w:t>
      </w:r>
      <w:r>
        <w:rPr>
          <w:szCs w:val="24"/>
        </w:rPr>
        <w:t xml:space="preserve">system features the ability to submit forms directly to the North American Electric Reliability Corporation </w:t>
      </w:r>
      <w:r w:rsidR="008D7A73">
        <w:rPr>
          <w:szCs w:val="24"/>
        </w:rPr>
        <w:t xml:space="preserve">(NERC) </w:t>
      </w:r>
      <w:r>
        <w:rPr>
          <w:szCs w:val="24"/>
        </w:rPr>
        <w:t>and the Electricity Sector Information Sharing and Analysis Center (E-ISAC) to meet NERC Reliability Standard requirements and all users receive a copy of his or her submitted form by email.</w:t>
      </w:r>
    </w:p>
    <w:p w14:paraId="75FCA3BB" w14:textId="5AEB929D" w:rsidR="00E373EC" w:rsidRDefault="00E373EC" w:rsidP="00E373EC">
      <w:r>
        <w:t xml:space="preserve">The online system has been upgraded in the past several years to support the ability of companies to manage all respondents from a single organization, in that, one company can have a user account for each individual responsible for filling out </w:t>
      </w:r>
      <w:r w:rsidR="001A6AE2">
        <w:t>Form OE</w:t>
      </w:r>
      <w:r>
        <w:t xml:space="preserve">-417, with each user account under </w:t>
      </w:r>
      <w:r w:rsidR="008D7A73">
        <w:t xml:space="preserve">the </w:t>
      </w:r>
      <w:r>
        <w:t>organization</w:t>
      </w:r>
      <w:r w:rsidR="008D7A73">
        <w:t>’s</w:t>
      </w:r>
      <w:r>
        <w:t xml:space="preserve"> account. The organization then ha</w:t>
      </w:r>
      <w:r w:rsidR="00FF0BFD">
        <w:t>s</w:t>
      </w:r>
      <w:r>
        <w:t xml:space="preserve"> total visibility of all forms previously submitted and in-process of being drafted.</w:t>
      </w:r>
      <w:r w:rsidR="001F190E">
        <w:t xml:space="preserve"> The system can automatically populate data fields for updated submissions related to extended electric power disturbance events. </w:t>
      </w:r>
      <w:r w:rsidR="00CF05C2" w:rsidRPr="00E11E07">
        <w:t>In addition, the reporting system also automatically fills-in the name and contact information for registered users.</w:t>
      </w:r>
      <w:r w:rsidR="00CF05C2">
        <w:rPr>
          <w:color w:val="7030A0"/>
        </w:rPr>
        <w:t xml:space="preserve"> </w:t>
      </w:r>
      <w:r w:rsidR="001F190E">
        <w:t>This reduces reporting burden so that a respondent only needs to report the data values that changed from the last submission.</w:t>
      </w:r>
    </w:p>
    <w:p w14:paraId="5456BC0C" w14:textId="1679F688" w:rsidR="00E373EC" w:rsidRDefault="00E373EC" w:rsidP="00E373EC">
      <w:pPr>
        <w:rPr>
          <w:szCs w:val="24"/>
        </w:rPr>
      </w:pPr>
      <w:r>
        <w:rPr>
          <w:szCs w:val="24"/>
        </w:rPr>
        <w:t xml:space="preserve">DOE posted the </w:t>
      </w:r>
      <w:r w:rsidR="008D7A73">
        <w:rPr>
          <w:szCs w:val="24"/>
        </w:rPr>
        <w:t>f</w:t>
      </w:r>
      <w:r>
        <w:rPr>
          <w:szCs w:val="24"/>
        </w:rPr>
        <w:t xml:space="preserve">orm and </w:t>
      </w:r>
      <w:r w:rsidR="008D7A73">
        <w:rPr>
          <w:szCs w:val="24"/>
        </w:rPr>
        <w:t>i</w:t>
      </w:r>
      <w:r>
        <w:rPr>
          <w:szCs w:val="24"/>
        </w:rPr>
        <w:t>nstructions on</w:t>
      </w:r>
      <w:r>
        <w:rPr>
          <w:spacing w:val="-1"/>
          <w:szCs w:val="24"/>
        </w:rPr>
        <w:t xml:space="preserve"> </w:t>
      </w:r>
      <w:r>
        <w:rPr>
          <w:szCs w:val="24"/>
        </w:rPr>
        <w:t>the</w:t>
      </w:r>
      <w:r>
        <w:rPr>
          <w:spacing w:val="-1"/>
          <w:szCs w:val="24"/>
        </w:rPr>
        <w:t xml:space="preserve"> </w:t>
      </w:r>
      <w:r>
        <w:rPr>
          <w:szCs w:val="24"/>
        </w:rPr>
        <w:t>websites of</w:t>
      </w:r>
      <w:r>
        <w:rPr>
          <w:spacing w:val="-2"/>
          <w:szCs w:val="24"/>
        </w:rPr>
        <w:t xml:space="preserve"> </w:t>
      </w:r>
      <w:r>
        <w:rPr>
          <w:szCs w:val="24"/>
        </w:rPr>
        <w:t>the O</w:t>
      </w:r>
      <w:r>
        <w:rPr>
          <w:spacing w:val="-1"/>
          <w:szCs w:val="24"/>
        </w:rPr>
        <w:t>ff</w:t>
      </w:r>
      <w:r>
        <w:rPr>
          <w:spacing w:val="1"/>
          <w:szCs w:val="24"/>
        </w:rPr>
        <w:t>i</w:t>
      </w:r>
      <w:r>
        <w:rPr>
          <w:szCs w:val="24"/>
        </w:rPr>
        <w:t>ce of</w:t>
      </w:r>
      <w:r>
        <w:rPr>
          <w:spacing w:val="-1"/>
          <w:szCs w:val="24"/>
        </w:rPr>
        <w:t xml:space="preserve"> </w:t>
      </w:r>
      <w:r>
        <w:rPr>
          <w:szCs w:val="24"/>
        </w:rPr>
        <w:t>Electricity Delivery a</w:t>
      </w:r>
      <w:r>
        <w:rPr>
          <w:spacing w:val="-1"/>
          <w:szCs w:val="24"/>
        </w:rPr>
        <w:t>n</w:t>
      </w:r>
      <w:r>
        <w:rPr>
          <w:szCs w:val="24"/>
        </w:rPr>
        <w:t>d Energy Relia</w:t>
      </w:r>
      <w:r>
        <w:rPr>
          <w:spacing w:val="-1"/>
          <w:szCs w:val="24"/>
        </w:rPr>
        <w:t>b</w:t>
      </w:r>
      <w:r>
        <w:rPr>
          <w:szCs w:val="24"/>
        </w:rPr>
        <w:t>ility (O</w:t>
      </w:r>
      <w:r>
        <w:rPr>
          <w:spacing w:val="-1"/>
          <w:szCs w:val="24"/>
        </w:rPr>
        <w:t>E</w:t>
      </w:r>
      <w:r>
        <w:rPr>
          <w:szCs w:val="24"/>
        </w:rPr>
        <w:t>) and the Energy Information Ad</w:t>
      </w:r>
      <w:r>
        <w:rPr>
          <w:spacing w:val="-2"/>
          <w:szCs w:val="24"/>
        </w:rPr>
        <w:t>m</w:t>
      </w:r>
      <w:r>
        <w:rPr>
          <w:spacing w:val="1"/>
          <w:szCs w:val="24"/>
        </w:rPr>
        <w:t>i</w:t>
      </w:r>
      <w:r>
        <w:rPr>
          <w:szCs w:val="24"/>
        </w:rPr>
        <w:t xml:space="preserve">nistration (EIA). DOE </w:t>
      </w:r>
      <w:r w:rsidR="0004153B">
        <w:rPr>
          <w:szCs w:val="24"/>
        </w:rPr>
        <w:t xml:space="preserve">is </w:t>
      </w:r>
      <w:r>
        <w:rPr>
          <w:szCs w:val="24"/>
        </w:rPr>
        <w:t>developing optional training modules and quick reference guides to further explain the features of the online system.</w:t>
      </w:r>
      <w:r w:rsidR="00CE19C5">
        <w:rPr>
          <w:szCs w:val="24"/>
        </w:rPr>
        <w:t xml:space="preserve"> In addition to submitting the form online respondents have the ability to submit by email or fax.</w:t>
      </w:r>
    </w:p>
    <w:p w14:paraId="65C333FC" w14:textId="77777777" w:rsidR="008C734C" w:rsidRDefault="008C734C" w:rsidP="00910D61">
      <w:pPr>
        <w:pStyle w:val="Heading2"/>
      </w:pPr>
      <w:bookmarkStart w:id="23" w:name="_Toc466046212"/>
      <w:bookmarkStart w:id="24" w:name="_Toc487186506"/>
      <w:bookmarkStart w:id="25" w:name="_Toc488240613"/>
      <w:r>
        <w:t>A.</w:t>
      </w:r>
      <w:r w:rsidR="00A41763" w:rsidRPr="00A41763">
        <w:t xml:space="preserve">4. </w:t>
      </w:r>
      <w:r>
        <w:t>Efforts to Identify Duplication</w:t>
      </w:r>
      <w:bookmarkEnd w:id="23"/>
      <w:bookmarkEnd w:id="24"/>
      <w:bookmarkEnd w:id="25"/>
    </w:p>
    <w:p w14:paraId="585E7EE0" w14:textId="4E23ABF9" w:rsidR="00E373EC" w:rsidRDefault="00E373EC" w:rsidP="005A3650">
      <w:pPr>
        <w:spacing w:before="240"/>
      </w:pPr>
      <w:r>
        <w:t xml:space="preserve">DOE has determined that other sources cannot replace or approximate the timeliness or </w:t>
      </w:r>
      <w:r w:rsidR="00262560">
        <w:t xml:space="preserve">information </w:t>
      </w:r>
      <w:r>
        <w:t>coverage of the current</w:t>
      </w:r>
      <w:r w:rsidR="001A6AE2">
        <w:t xml:space="preserve"> Form O</w:t>
      </w:r>
      <w:r>
        <w:t xml:space="preserve">E-417. </w:t>
      </w:r>
    </w:p>
    <w:p w14:paraId="07248FFB" w14:textId="4989512A" w:rsidR="00E373EC" w:rsidRDefault="00E373EC" w:rsidP="00E373EC">
      <w:r>
        <w:t>The Federal Energy Regulatory Commission (FERC) has certified the North American Electric Reliability Corporation (NERC) to operate as the Electricity Reliability Organization under the Federal Power Act.</w:t>
      </w:r>
      <w:r w:rsidR="001A6AE2">
        <w:t xml:space="preserve"> </w:t>
      </w:r>
      <w:r>
        <w:t xml:space="preserve">Previously, FERC approved NERC Reliability Standard EOP-004-2, </w:t>
      </w:r>
      <w:r w:rsidR="008D7A73">
        <w:t>e</w:t>
      </w:r>
      <w:r>
        <w:t xml:space="preserve">vent </w:t>
      </w:r>
      <w:r w:rsidR="008D7A73">
        <w:t>r</w:t>
      </w:r>
      <w:r>
        <w:t>eporting</w:t>
      </w:r>
      <w:r w:rsidR="00BE37CD">
        <w:t xml:space="preserve"> </w:t>
      </w:r>
      <w:r>
        <w:t xml:space="preserve">that requires entities under its jurisdiction to submit either an OE-417 or an EOP-004-2 </w:t>
      </w:r>
      <w:r w:rsidR="008D7A73">
        <w:t>e</w:t>
      </w:r>
      <w:r>
        <w:t>vent report on the occurrence of an event.</w:t>
      </w:r>
      <w:r w:rsidR="00BE37CD">
        <w:t xml:space="preserve"> </w:t>
      </w:r>
      <w:r w:rsidR="005736F3">
        <w:t>It</w:t>
      </w:r>
      <w:r>
        <w:t xml:space="preserve"> is expected that FERC will continue to certify that, for U.S. NERC reporting entities, </w:t>
      </w:r>
      <w:r w:rsidR="001A6AE2">
        <w:t>Form OE</w:t>
      </w:r>
      <w:r>
        <w:t xml:space="preserve">-417 meets NERC’s EOP-004 submittal requirements, including future versions of the EOP-004. DOE has worked closely with the NERC Standards Drafting Committee to integrate and align questions between the EOP-004 and </w:t>
      </w:r>
      <w:r w:rsidR="008D7A73">
        <w:t xml:space="preserve">Form </w:t>
      </w:r>
      <w:r>
        <w:t xml:space="preserve">OE-417. </w:t>
      </w:r>
    </w:p>
    <w:p w14:paraId="413ADD8C" w14:textId="70AB5F28" w:rsidR="00E373EC" w:rsidRDefault="00E373EC" w:rsidP="00E373EC">
      <w:r>
        <w:t xml:space="preserve">The information collected on EOP-004-2 is the minimum subset information necessary for NERC to complete its Reliability Oversight mission. </w:t>
      </w:r>
      <w:r w:rsidR="0004153B">
        <w:t>T</w:t>
      </w:r>
      <w:r>
        <w:t xml:space="preserve">he EOP-004-2 Attachment 2 form does not collect </w:t>
      </w:r>
      <w:r w:rsidR="00CE19C5">
        <w:t xml:space="preserve">the </w:t>
      </w:r>
      <w:r>
        <w:t xml:space="preserve">specific information collected on events </w:t>
      </w:r>
      <w:r w:rsidR="00CE19C5">
        <w:t xml:space="preserve">through </w:t>
      </w:r>
      <w:r>
        <w:t>the current</w:t>
      </w:r>
      <w:r w:rsidR="001A6AE2">
        <w:t xml:space="preserve"> Form O</w:t>
      </w:r>
      <w:r>
        <w:t xml:space="preserve">E-417. DOE collects data to support both </w:t>
      </w:r>
      <w:r w:rsidR="000A640D">
        <w:t xml:space="preserve">the </w:t>
      </w:r>
      <w:r>
        <w:t xml:space="preserve">notification of the Secretary of Energy </w:t>
      </w:r>
      <w:r w:rsidR="000A640D">
        <w:t xml:space="preserve">to </w:t>
      </w:r>
      <w:r>
        <w:t>emergency energy events</w:t>
      </w:r>
      <w:r w:rsidR="000A640D">
        <w:t>,</w:t>
      </w:r>
      <w:r>
        <w:t xml:space="preserve"> as well to support emergency response and restoration activities under the </w:t>
      </w:r>
      <w:r w:rsidR="008D7A73">
        <w:t>Federal Emergency Management Agency (</w:t>
      </w:r>
      <w:r>
        <w:t>FEMA</w:t>
      </w:r>
      <w:r w:rsidR="008D7A73">
        <w:t>)</w:t>
      </w:r>
      <w:r>
        <w:t xml:space="preserve"> Emergency Support Function 12 – Energy. FERC collects data to support regulatory and compliance activities under its jurisdiction. Additionally, entities are not required to submit EOP-004-2 Attachment 2 forms to the Department of Energy, thus creating a situational awareness gap for Federal Entities if </w:t>
      </w:r>
      <w:r w:rsidR="001A6AE2">
        <w:t>Form O</w:t>
      </w:r>
      <w:r>
        <w:t>E-417 was not recertified. Finally, NERC has not publicly released system disturbance data collected under EOP-004-2 since 2009.</w:t>
      </w:r>
      <w:r w:rsidR="001A6AE2">
        <w:t xml:space="preserve"> </w:t>
      </w:r>
      <w:r>
        <w:t xml:space="preserve">NERC stopped publicly reporting the system disturbance event reports that they received in 2009. The event history can be found at the bottom of this page under System Disturbance Reports: </w:t>
      </w:r>
      <w:hyperlink r:id="rId16" w:history="1">
        <w:r w:rsidR="00CB0897" w:rsidRPr="00D76CB6">
          <w:rPr>
            <w:rStyle w:val="Hyperlink"/>
          </w:rPr>
          <w:t>http://www.nerc.com/pa/rrm/ea/Pages/EA-Program.aspx</w:t>
        </w:r>
      </w:hyperlink>
      <w:r w:rsidR="00241CD0">
        <w:t>.</w:t>
      </w:r>
      <w:r w:rsidR="00074770">
        <w:t xml:space="preserve"> </w:t>
      </w:r>
    </w:p>
    <w:p w14:paraId="189F15C2" w14:textId="1E8545B5" w:rsidR="008C734C" w:rsidRDefault="001A6AE2" w:rsidP="00E373EC">
      <w:r>
        <w:t>Form O</w:t>
      </w:r>
      <w:r w:rsidR="00E373EC">
        <w:t xml:space="preserve">E-417 is the critical alert mechanism for informing DOE about electrical emergency incidents or disturbances so the physical and virtual disruption of the operation of any critical infrastructure can be prevented. DOE officials address the information reported on a real-time basis. They inform policymakers and others about the significance, as appropriate. Form EIA-930 collects data on the operations of balancing authorities across the US. The posted data are used to monitor the current status and trends of the electric power industry, and to support enhancement of electric system operations. The data collected on </w:t>
      </w:r>
      <w:r>
        <w:t>Form OE</w:t>
      </w:r>
      <w:r w:rsidR="00E373EC">
        <w:t xml:space="preserve">-417 are on discrete system events, such as physical attacks, electrical islanding, and losses of electricity customers </w:t>
      </w:r>
      <w:r w:rsidR="00E02025">
        <w:t>are</w:t>
      </w:r>
      <w:r w:rsidR="00E373EC">
        <w:t xml:space="preserve"> not captured on Form EIA-930</w:t>
      </w:r>
      <w:r w:rsidR="00E02025">
        <w:t>’s</w:t>
      </w:r>
      <w:r w:rsidR="00E373EC">
        <w:t xml:space="preserve"> hourly submissions.</w:t>
      </w:r>
    </w:p>
    <w:p w14:paraId="1E551834" w14:textId="77777777" w:rsidR="008C734C" w:rsidRDefault="008C734C" w:rsidP="00910D61">
      <w:pPr>
        <w:pStyle w:val="Heading2"/>
      </w:pPr>
      <w:bookmarkStart w:id="26" w:name="_Toc466046213"/>
      <w:bookmarkStart w:id="27" w:name="_Toc487186507"/>
      <w:bookmarkStart w:id="28" w:name="_Toc488240614"/>
      <w:r>
        <w:t>A.</w:t>
      </w:r>
      <w:r w:rsidR="00A41763" w:rsidRPr="00A41763">
        <w:t xml:space="preserve">5. </w:t>
      </w:r>
      <w:r w:rsidRPr="008C734C">
        <w:t>Provisions for Reducing Burden on Small Businesses</w:t>
      </w:r>
      <w:bookmarkEnd w:id="26"/>
      <w:bookmarkEnd w:id="27"/>
      <w:bookmarkEnd w:id="28"/>
      <w:r w:rsidRPr="008C734C">
        <w:t xml:space="preserve"> </w:t>
      </w:r>
    </w:p>
    <w:p w14:paraId="0AE4C200" w14:textId="6601D97C" w:rsidR="00E373EC" w:rsidRDefault="00E373EC" w:rsidP="005A3650">
      <w:pPr>
        <w:spacing w:before="240"/>
      </w:pPr>
      <w:r>
        <w:t xml:space="preserve">The DOE is </w:t>
      </w:r>
      <w:r>
        <w:rPr>
          <w:spacing w:val="-2"/>
        </w:rPr>
        <w:t>m</w:t>
      </w:r>
      <w:r>
        <w:rPr>
          <w:spacing w:val="1"/>
        </w:rPr>
        <w:t>i</w:t>
      </w:r>
      <w:r>
        <w:t xml:space="preserve">ndful of the need to </w:t>
      </w:r>
      <w:r>
        <w:rPr>
          <w:spacing w:val="-2"/>
        </w:rPr>
        <w:t>m</w:t>
      </w:r>
      <w:r>
        <w:rPr>
          <w:spacing w:val="1"/>
        </w:rPr>
        <w:t>i</w:t>
      </w:r>
      <w:r>
        <w:t>n</w:t>
      </w:r>
      <w:r>
        <w:rPr>
          <w:spacing w:val="2"/>
        </w:rPr>
        <w:t>i</w:t>
      </w:r>
      <w:r>
        <w:rPr>
          <w:spacing w:val="-2"/>
        </w:rPr>
        <w:t>m</w:t>
      </w:r>
      <w:r>
        <w:t>ize burden on s</w:t>
      </w:r>
      <w:r>
        <w:rPr>
          <w:spacing w:val="-2"/>
        </w:rPr>
        <w:t>m</w:t>
      </w:r>
      <w:r>
        <w:rPr>
          <w:spacing w:val="1"/>
        </w:rPr>
        <w:t>a</w:t>
      </w:r>
      <w:r>
        <w:t>ll business</w:t>
      </w:r>
      <w:r w:rsidR="0080111A">
        <w:t>,</w:t>
      </w:r>
      <w:r>
        <w:t xml:space="preserve"> and</w:t>
      </w:r>
      <w:r w:rsidR="0080111A">
        <w:t xml:space="preserve"> </w:t>
      </w:r>
      <w:r>
        <w:t>designs its info</w:t>
      </w:r>
      <w:r>
        <w:rPr>
          <w:spacing w:val="2"/>
        </w:rPr>
        <w:t>r</w:t>
      </w:r>
      <w:r>
        <w:rPr>
          <w:spacing w:val="-2"/>
        </w:rPr>
        <w:t>m</w:t>
      </w:r>
      <w:r>
        <w:t>ation collections so that s</w:t>
      </w:r>
      <w:r>
        <w:rPr>
          <w:spacing w:val="-3"/>
        </w:rPr>
        <w:t>m</w:t>
      </w:r>
      <w:r>
        <w:t xml:space="preserve">all operations are not unduly affected. DOE has worked closely with NERC to reduce overall burden to potential respondents and </w:t>
      </w:r>
      <w:r w:rsidR="001A6AE2">
        <w:t>Form OE</w:t>
      </w:r>
      <w:r>
        <w:t xml:space="preserve">-417 is not expected to impact small business. </w:t>
      </w:r>
    </w:p>
    <w:p w14:paraId="017A839B" w14:textId="77777777" w:rsidR="008C734C" w:rsidRDefault="008C734C" w:rsidP="00910D61">
      <w:pPr>
        <w:pStyle w:val="Heading2"/>
      </w:pPr>
      <w:bookmarkStart w:id="29" w:name="_Toc466046214"/>
      <w:bookmarkStart w:id="30" w:name="_Toc487186508"/>
      <w:bookmarkStart w:id="31" w:name="_Toc488240615"/>
      <w:r>
        <w:t>A.</w:t>
      </w:r>
      <w:r w:rsidR="00A41763" w:rsidRPr="00A41763">
        <w:t xml:space="preserve">6. </w:t>
      </w:r>
      <w:r w:rsidRPr="008C734C">
        <w:t>Consequences of Less-Frequent Reporting</w:t>
      </w:r>
      <w:bookmarkEnd w:id="29"/>
      <w:bookmarkEnd w:id="30"/>
      <w:bookmarkEnd w:id="31"/>
    </w:p>
    <w:p w14:paraId="267BB71D" w14:textId="77777777" w:rsidR="00E373EC" w:rsidRDefault="00E373EC" w:rsidP="005A3650">
      <w:pPr>
        <w:spacing w:before="240"/>
      </w:pPr>
      <w:r>
        <w:t>DOE needs to be infor</w:t>
      </w:r>
      <w:r>
        <w:rPr>
          <w:spacing w:val="-2"/>
        </w:rPr>
        <w:t>m</w:t>
      </w:r>
      <w:r>
        <w:rPr>
          <w:spacing w:val="1"/>
        </w:rPr>
        <w:t>e</w:t>
      </w:r>
      <w:r>
        <w:t>d of all electric</w:t>
      </w:r>
      <w:r>
        <w:rPr>
          <w:spacing w:val="-1"/>
        </w:rPr>
        <w:t xml:space="preserve"> </w:t>
      </w:r>
      <w:r>
        <w:t xml:space="preserve">power disturbances and incidents </w:t>
      </w:r>
      <w:r>
        <w:rPr>
          <w:spacing w:val="-2"/>
        </w:rPr>
        <w:t>m</w:t>
      </w:r>
      <w:r>
        <w:t>eeting the thresh</w:t>
      </w:r>
      <w:r>
        <w:rPr>
          <w:spacing w:val="-1"/>
        </w:rPr>
        <w:t>o</w:t>
      </w:r>
      <w:r>
        <w:rPr>
          <w:spacing w:val="1"/>
        </w:rPr>
        <w:t>l</w:t>
      </w:r>
      <w:r>
        <w:t>d l</w:t>
      </w:r>
      <w:r>
        <w:rPr>
          <w:spacing w:val="-1"/>
        </w:rPr>
        <w:t>e</w:t>
      </w:r>
      <w:r>
        <w:t>vels i</w:t>
      </w:r>
      <w:r>
        <w:rPr>
          <w:spacing w:val="-1"/>
        </w:rPr>
        <w:t>d</w:t>
      </w:r>
      <w:r>
        <w:t>enti</w:t>
      </w:r>
      <w:r>
        <w:rPr>
          <w:spacing w:val="-1"/>
        </w:rPr>
        <w:t>f</w:t>
      </w:r>
      <w:r>
        <w:t>ied ea</w:t>
      </w:r>
      <w:r>
        <w:rPr>
          <w:spacing w:val="-1"/>
        </w:rPr>
        <w:t>r</w:t>
      </w:r>
      <w:r>
        <w:t>li</w:t>
      </w:r>
      <w:r>
        <w:rPr>
          <w:spacing w:val="-1"/>
        </w:rPr>
        <w:t>e</w:t>
      </w:r>
      <w:r>
        <w:t>r so</w:t>
      </w:r>
      <w:r>
        <w:rPr>
          <w:spacing w:val="-1"/>
        </w:rPr>
        <w:t xml:space="preserve"> </w:t>
      </w:r>
      <w:r>
        <w:t>that it</w:t>
      </w:r>
      <w:r>
        <w:rPr>
          <w:spacing w:val="-1"/>
        </w:rPr>
        <w:t xml:space="preserve"> </w:t>
      </w:r>
      <w:r>
        <w:t xml:space="preserve">can take appropriate actions. Less frequent reporting will not </w:t>
      </w:r>
      <w:r>
        <w:rPr>
          <w:spacing w:val="-1"/>
        </w:rPr>
        <w:t>p</w:t>
      </w:r>
      <w:r>
        <w:t>rovi</w:t>
      </w:r>
      <w:r>
        <w:rPr>
          <w:spacing w:val="-1"/>
        </w:rPr>
        <w:t>d</w:t>
      </w:r>
      <w:r>
        <w:t>e the Federal govern</w:t>
      </w:r>
      <w:r>
        <w:rPr>
          <w:spacing w:val="-2"/>
        </w:rPr>
        <w:t>m</w:t>
      </w:r>
      <w:r>
        <w:t>ent</w:t>
      </w:r>
      <w:r>
        <w:rPr>
          <w:spacing w:val="-1"/>
        </w:rPr>
        <w:t xml:space="preserve"> </w:t>
      </w:r>
      <w:r>
        <w:t>with t</w:t>
      </w:r>
      <w:r>
        <w:rPr>
          <w:spacing w:val="-1"/>
        </w:rPr>
        <w:t>h</w:t>
      </w:r>
      <w:r>
        <w:t>e i</w:t>
      </w:r>
      <w:r>
        <w:rPr>
          <w:spacing w:val="-1"/>
        </w:rPr>
        <w:t>n</w:t>
      </w:r>
      <w:r>
        <w:t>fo</w:t>
      </w:r>
      <w:r>
        <w:rPr>
          <w:spacing w:val="2"/>
        </w:rPr>
        <w:t>r</w:t>
      </w:r>
      <w:r>
        <w:rPr>
          <w:spacing w:val="-2"/>
        </w:rPr>
        <w:t>m</w:t>
      </w:r>
      <w:r>
        <w:t xml:space="preserve">ation it needs to fulfill its </w:t>
      </w:r>
      <w:r>
        <w:rPr>
          <w:spacing w:val="-2"/>
        </w:rPr>
        <w:t>m</w:t>
      </w:r>
      <w:r>
        <w:t>andate</w:t>
      </w:r>
      <w:r>
        <w:rPr>
          <w:spacing w:val="-1"/>
        </w:rPr>
        <w:t>s</w:t>
      </w:r>
      <w:r>
        <w:t>.</w:t>
      </w:r>
    </w:p>
    <w:p w14:paraId="732CADAC" w14:textId="77777777" w:rsidR="00E373EC" w:rsidRDefault="00E373EC" w:rsidP="00E373EC">
      <w:r>
        <w:t>The rapid evolution of info</w:t>
      </w:r>
      <w:r>
        <w:rPr>
          <w:spacing w:val="2"/>
        </w:rPr>
        <w:t>r</w:t>
      </w:r>
      <w:r>
        <w:rPr>
          <w:spacing w:val="-2"/>
        </w:rPr>
        <w:t>m</w:t>
      </w:r>
      <w:r>
        <w:t>ation technology</w:t>
      </w:r>
      <w:r>
        <w:rPr>
          <w:spacing w:val="-1"/>
        </w:rPr>
        <w:t xml:space="preserve"> </w:t>
      </w:r>
      <w:r>
        <w:t>in</w:t>
      </w:r>
      <w:r>
        <w:rPr>
          <w:spacing w:val="-1"/>
        </w:rPr>
        <w:t xml:space="preserve"> </w:t>
      </w:r>
      <w:r>
        <w:t>the</w:t>
      </w:r>
      <w:r>
        <w:rPr>
          <w:spacing w:val="-1"/>
        </w:rPr>
        <w:t xml:space="preserve"> </w:t>
      </w:r>
      <w:r>
        <w:t>electric</w:t>
      </w:r>
      <w:r>
        <w:rPr>
          <w:spacing w:val="-1"/>
        </w:rPr>
        <w:t xml:space="preserve"> </w:t>
      </w:r>
      <w:r>
        <w:t>power</w:t>
      </w:r>
      <w:r>
        <w:rPr>
          <w:spacing w:val="1"/>
        </w:rPr>
        <w:t xml:space="preserve"> </w:t>
      </w:r>
      <w:r>
        <w:t>industry has national security i</w:t>
      </w:r>
      <w:r>
        <w:rPr>
          <w:spacing w:val="-2"/>
        </w:rPr>
        <w:t>m</w:t>
      </w:r>
      <w:r>
        <w:t>plications due to</w:t>
      </w:r>
      <w:r>
        <w:rPr>
          <w:spacing w:val="-1"/>
        </w:rPr>
        <w:t xml:space="preserve"> </w:t>
      </w:r>
      <w:r>
        <w:t>the interdependent networks of physical and info</w:t>
      </w:r>
      <w:r>
        <w:rPr>
          <w:spacing w:val="2"/>
        </w:rPr>
        <w:t>r</w:t>
      </w:r>
      <w:r>
        <w:rPr>
          <w:spacing w:val="-2"/>
        </w:rPr>
        <w:t>m</w:t>
      </w:r>
      <w:r>
        <w:t>ation in</w:t>
      </w:r>
      <w:r>
        <w:rPr>
          <w:spacing w:val="-1"/>
        </w:rPr>
        <w:t>f</w:t>
      </w:r>
      <w:r>
        <w:t>rastr</w:t>
      </w:r>
      <w:r>
        <w:rPr>
          <w:spacing w:val="-1"/>
        </w:rPr>
        <w:t>u</w:t>
      </w:r>
      <w:r>
        <w:t>ct</w:t>
      </w:r>
      <w:r>
        <w:rPr>
          <w:spacing w:val="-1"/>
        </w:rPr>
        <w:t>ur</w:t>
      </w:r>
      <w:r>
        <w:t>es.</w:t>
      </w:r>
      <w:r>
        <w:rPr>
          <w:rStyle w:val="FootnoteReference"/>
          <w:color w:val="000000"/>
          <w:szCs w:val="24"/>
        </w:rPr>
        <w:footnoteReference w:id="8"/>
      </w:r>
      <w:r>
        <w:t xml:space="preserve"> Infor</w:t>
      </w:r>
      <w:r>
        <w:rPr>
          <w:spacing w:val="-2"/>
        </w:rPr>
        <w:t>m</w:t>
      </w:r>
      <w:r>
        <w:t>ation technology has changed the way the Nation’s business is transacted, the way govern</w:t>
      </w:r>
      <w:r>
        <w:rPr>
          <w:spacing w:val="-2"/>
        </w:rPr>
        <w:t>m</w:t>
      </w:r>
      <w:r>
        <w:t xml:space="preserve">ent operates </w:t>
      </w:r>
      <w:r>
        <w:rPr>
          <w:spacing w:val="-1"/>
        </w:rPr>
        <w:t>a</w:t>
      </w:r>
      <w:r>
        <w:t>nd the way govern</w:t>
      </w:r>
      <w:r>
        <w:rPr>
          <w:spacing w:val="-2"/>
        </w:rPr>
        <w:t>m</w:t>
      </w:r>
      <w:r>
        <w:t xml:space="preserve">ent addresses national security. </w:t>
      </w:r>
    </w:p>
    <w:p w14:paraId="7D508C9C" w14:textId="6CFBD5BC" w:rsidR="00CB0897" w:rsidRDefault="001A6AE2" w:rsidP="00CB0897">
      <w:r>
        <w:t>Form O</w:t>
      </w:r>
      <w:r w:rsidR="00E373EC">
        <w:t>E-417 is</w:t>
      </w:r>
      <w:r w:rsidR="00E373EC">
        <w:rPr>
          <w:spacing w:val="-2"/>
        </w:rPr>
        <w:t xml:space="preserve"> </w:t>
      </w:r>
      <w:r w:rsidR="00E373EC">
        <w:t>the critical alert mechanism</w:t>
      </w:r>
      <w:r w:rsidR="00E373EC">
        <w:rPr>
          <w:spacing w:val="-2"/>
        </w:rPr>
        <w:t xml:space="preserve"> </w:t>
      </w:r>
      <w:r w:rsidR="00E373EC">
        <w:t>for infor</w:t>
      </w:r>
      <w:r w:rsidR="00E373EC">
        <w:rPr>
          <w:spacing w:val="-2"/>
        </w:rPr>
        <w:t>m</w:t>
      </w:r>
      <w:r w:rsidR="00E373EC">
        <w:t>ing DOE about electrical e</w:t>
      </w:r>
      <w:r w:rsidR="00E373EC">
        <w:rPr>
          <w:spacing w:val="-2"/>
        </w:rPr>
        <w:t>m</w:t>
      </w:r>
      <w:r w:rsidR="00E373EC">
        <w:t>ergency incidents</w:t>
      </w:r>
      <w:r w:rsidR="00E373EC">
        <w:rPr>
          <w:spacing w:val="1"/>
        </w:rPr>
        <w:t xml:space="preserve"> </w:t>
      </w:r>
      <w:r w:rsidR="00E373EC">
        <w:t>or disturbances so the physi</w:t>
      </w:r>
      <w:r w:rsidR="00E373EC">
        <w:rPr>
          <w:spacing w:val="-1"/>
        </w:rPr>
        <w:t>c</w:t>
      </w:r>
      <w:r w:rsidR="00E373EC">
        <w:t>al and virtual disruption of the ope</w:t>
      </w:r>
      <w:r w:rsidR="00E373EC">
        <w:rPr>
          <w:spacing w:val="-1"/>
        </w:rPr>
        <w:t>r</w:t>
      </w:r>
      <w:r w:rsidR="00E373EC">
        <w:t>ati</w:t>
      </w:r>
      <w:r w:rsidR="00E373EC">
        <w:rPr>
          <w:spacing w:val="-1"/>
        </w:rPr>
        <w:t>o</w:t>
      </w:r>
      <w:r w:rsidR="00E373EC">
        <w:t>n of</w:t>
      </w:r>
      <w:r w:rsidR="00E373EC">
        <w:rPr>
          <w:spacing w:val="-1"/>
        </w:rPr>
        <w:t xml:space="preserve"> </w:t>
      </w:r>
      <w:r w:rsidR="00E373EC">
        <w:t>any critical in</w:t>
      </w:r>
      <w:r w:rsidR="00E373EC">
        <w:rPr>
          <w:spacing w:val="-1"/>
        </w:rPr>
        <w:t>f</w:t>
      </w:r>
      <w:r w:rsidR="00E373EC">
        <w:t>rastr</w:t>
      </w:r>
      <w:r w:rsidR="00E373EC">
        <w:rPr>
          <w:spacing w:val="-1"/>
        </w:rPr>
        <w:t>u</w:t>
      </w:r>
      <w:r w:rsidR="00E373EC">
        <w:t>cture</w:t>
      </w:r>
      <w:r w:rsidR="00E373EC">
        <w:rPr>
          <w:spacing w:val="-2"/>
        </w:rPr>
        <w:t xml:space="preserve"> </w:t>
      </w:r>
      <w:r w:rsidR="00E373EC">
        <w:t>can</w:t>
      </w:r>
      <w:r w:rsidR="00E373EC">
        <w:rPr>
          <w:spacing w:val="-1"/>
        </w:rPr>
        <w:t xml:space="preserve"> </w:t>
      </w:r>
      <w:r w:rsidR="00E373EC">
        <w:t>be</w:t>
      </w:r>
      <w:r w:rsidR="00E373EC">
        <w:rPr>
          <w:spacing w:val="-1"/>
        </w:rPr>
        <w:t xml:space="preserve"> </w:t>
      </w:r>
      <w:r w:rsidR="00E373EC">
        <w:t>prevented.</w:t>
      </w:r>
      <w:r w:rsidR="00E373EC">
        <w:rPr>
          <w:spacing w:val="-1"/>
        </w:rPr>
        <w:t xml:space="preserve"> </w:t>
      </w:r>
      <w:r w:rsidR="00E373EC">
        <w:t>DOE</w:t>
      </w:r>
      <w:r w:rsidR="00E373EC">
        <w:rPr>
          <w:spacing w:val="1"/>
        </w:rPr>
        <w:t xml:space="preserve"> </w:t>
      </w:r>
      <w:r w:rsidR="00E373EC">
        <w:t>officials address t</w:t>
      </w:r>
      <w:r w:rsidR="00E373EC">
        <w:rPr>
          <w:spacing w:val="-1"/>
        </w:rPr>
        <w:t>h</w:t>
      </w:r>
      <w:r w:rsidR="00E373EC">
        <w:t>e infor</w:t>
      </w:r>
      <w:r w:rsidR="00E373EC">
        <w:rPr>
          <w:spacing w:val="-2"/>
        </w:rPr>
        <w:t>m</w:t>
      </w:r>
      <w:r w:rsidR="00E373EC">
        <w:t>ation reported on a real-ti</w:t>
      </w:r>
      <w:r w:rsidR="00E373EC">
        <w:rPr>
          <w:spacing w:val="-2"/>
        </w:rPr>
        <w:t>m</w:t>
      </w:r>
      <w:r w:rsidR="00E373EC">
        <w:t>e basis</w:t>
      </w:r>
      <w:r w:rsidR="00A262B7">
        <w:t xml:space="preserve"> and</w:t>
      </w:r>
      <w:r w:rsidR="00E373EC">
        <w:rPr>
          <w:spacing w:val="-1"/>
        </w:rPr>
        <w:t xml:space="preserve"> </w:t>
      </w:r>
      <w:r w:rsidR="00E373EC">
        <w:t>info</w:t>
      </w:r>
      <w:r w:rsidR="00E373EC">
        <w:rPr>
          <w:spacing w:val="2"/>
        </w:rPr>
        <w:t>r</w:t>
      </w:r>
      <w:r w:rsidR="00E373EC">
        <w:t>m</w:t>
      </w:r>
      <w:r w:rsidR="00E373EC">
        <w:rPr>
          <w:spacing w:val="-2"/>
        </w:rPr>
        <w:t xml:space="preserve"> </w:t>
      </w:r>
      <w:r w:rsidR="00CB0897">
        <w:t xml:space="preserve">relevant interagency partners, as appropriate including the Department of Homeland Security, the Federal Emergency Management Agency, and the Federal Bureau of Investigations, as well as the White </w:t>
      </w:r>
      <w:r w:rsidR="006A38D5">
        <w:t>House and</w:t>
      </w:r>
      <w:r w:rsidR="00CB0897">
        <w:t xml:space="preserve"> others to provide information about the significance of an electricity disturbance.</w:t>
      </w:r>
    </w:p>
    <w:p w14:paraId="749FAB54" w14:textId="5423BC5A" w:rsidR="00E373EC" w:rsidRPr="00D217C5" w:rsidRDefault="001A6AE2" w:rsidP="00E373EC">
      <w:pPr>
        <w:pStyle w:val="CommentText"/>
        <w:rPr>
          <w:rFonts w:asciiTheme="minorHAnsi" w:eastAsiaTheme="minorHAnsi" w:hAnsiTheme="minorHAnsi" w:cstheme="minorBidi"/>
          <w:sz w:val="22"/>
          <w:szCs w:val="22"/>
        </w:rPr>
      </w:pPr>
      <w:r w:rsidRPr="00D217C5">
        <w:rPr>
          <w:rFonts w:asciiTheme="minorHAnsi" w:eastAsiaTheme="minorHAnsi" w:hAnsiTheme="minorHAnsi" w:cstheme="minorBidi"/>
          <w:sz w:val="22"/>
          <w:szCs w:val="22"/>
        </w:rPr>
        <w:t>Form OE</w:t>
      </w:r>
      <w:r w:rsidR="00E373EC" w:rsidRPr="00D217C5">
        <w:rPr>
          <w:rFonts w:asciiTheme="minorHAnsi" w:eastAsiaTheme="minorHAnsi" w:hAnsiTheme="minorHAnsi" w:cstheme="minorBidi"/>
          <w:sz w:val="22"/>
          <w:szCs w:val="22"/>
        </w:rPr>
        <w:t>-417 provides important real-time alert information to DOE, trend information, and is used in historical publications.</w:t>
      </w:r>
      <w:r w:rsidRPr="00D217C5">
        <w:rPr>
          <w:rFonts w:asciiTheme="minorHAnsi" w:eastAsiaTheme="minorHAnsi" w:hAnsiTheme="minorHAnsi" w:cstheme="minorBidi"/>
          <w:sz w:val="22"/>
          <w:szCs w:val="22"/>
        </w:rPr>
        <w:t xml:space="preserve"> </w:t>
      </w:r>
      <w:r w:rsidR="00E373EC" w:rsidRPr="00D217C5">
        <w:rPr>
          <w:rFonts w:asciiTheme="minorHAnsi" w:eastAsiaTheme="minorHAnsi" w:hAnsiTheme="minorHAnsi" w:cstheme="minorBidi"/>
          <w:sz w:val="22"/>
          <w:szCs w:val="22"/>
        </w:rPr>
        <w:t>Schedule 2 of</w:t>
      </w:r>
      <w:r w:rsidRPr="00D217C5">
        <w:rPr>
          <w:rFonts w:asciiTheme="minorHAnsi" w:eastAsiaTheme="minorHAnsi" w:hAnsiTheme="minorHAnsi" w:cstheme="minorBidi"/>
          <w:sz w:val="22"/>
          <w:szCs w:val="22"/>
        </w:rPr>
        <w:t xml:space="preserve"> Form OE</w:t>
      </w:r>
      <w:r w:rsidR="00E373EC" w:rsidRPr="00D217C5">
        <w:rPr>
          <w:rFonts w:asciiTheme="minorHAnsi" w:eastAsiaTheme="minorHAnsi" w:hAnsiTheme="minorHAnsi" w:cstheme="minorBidi"/>
          <w:sz w:val="22"/>
          <w:szCs w:val="22"/>
        </w:rPr>
        <w:t>-417 collects detailed information on system events, including specific locations of events (such as specific transmission circuits or substations impacted) or the sequence of events (for a physical attack event).</w:t>
      </w:r>
      <w:r w:rsidRPr="00D217C5">
        <w:rPr>
          <w:rFonts w:asciiTheme="minorHAnsi" w:eastAsiaTheme="minorHAnsi" w:hAnsiTheme="minorHAnsi" w:cstheme="minorBidi"/>
          <w:sz w:val="22"/>
          <w:szCs w:val="22"/>
        </w:rPr>
        <w:t xml:space="preserve"> </w:t>
      </w:r>
      <w:r w:rsidR="00E373EC" w:rsidRPr="00D217C5">
        <w:rPr>
          <w:rFonts w:asciiTheme="minorHAnsi" w:eastAsiaTheme="minorHAnsi" w:hAnsiTheme="minorHAnsi" w:cstheme="minorBidi"/>
          <w:sz w:val="22"/>
          <w:szCs w:val="22"/>
        </w:rPr>
        <w:t xml:space="preserve">This specific data would not be collected within </w:t>
      </w:r>
      <w:r w:rsidR="00A262B7">
        <w:rPr>
          <w:rFonts w:asciiTheme="minorHAnsi" w:eastAsiaTheme="minorHAnsi" w:hAnsiTheme="minorHAnsi" w:cstheme="minorBidi"/>
          <w:sz w:val="22"/>
          <w:szCs w:val="22"/>
        </w:rPr>
        <w:t>F</w:t>
      </w:r>
      <w:r w:rsidR="00E373EC" w:rsidRPr="00D217C5">
        <w:rPr>
          <w:rFonts w:asciiTheme="minorHAnsi" w:eastAsiaTheme="minorHAnsi" w:hAnsiTheme="minorHAnsi" w:cstheme="minorBidi"/>
          <w:sz w:val="22"/>
          <w:szCs w:val="22"/>
        </w:rPr>
        <w:t xml:space="preserve">orm EIA-930 data collection, which focuses on automated data collection of system operating data on a wide-area basis. </w:t>
      </w:r>
    </w:p>
    <w:p w14:paraId="448585EC" w14:textId="77777777" w:rsidR="008C734C" w:rsidRDefault="008C734C" w:rsidP="00910D61">
      <w:pPr>
        <w:pStyle w:val="Heading2"/>
      </w:pPr>
      <w:bookmarkStart w:id="32" w:name="_Toc466046215"/>
      <w:bookmarkStart w:id="33" w:name="_Toc487186509"/>
      <w:bookmarkStart w:id="34" w:name="_Toc488240616"/>
      <w:r>
        <w:t>A.</w:t>
      </w:r>
      <w:r w:rsidR="00A41763" w:rsidRPr="00A41763">
        <w:t xml:space="preserve">7. </w:t>
      </w:r>
      <w:r w:rsidRPr="008C734C">
        <w:t>Compliance with 5 CFR 1320.5</w:t>
      </w:r>
      <w:bookmarkEnd w:id="32"/>
      <w:bookmarkEnd w:id="33"/>
      <w:bookmarkEnd w:id="34"/>
    </w:p>
    <w:p w14:paraId="3EFC9F65" w14:textId="79CFE0A1" w:rsidR="00E373EC" w:rsidRDefault="00E373EC" w:rsidP="005A3650">
      <w:pPr>
        <w:spacing w:before="240"/>
      </w:pPr>
      <w:r>
        <w:t xml:space="preserve">The data being collected </w:t>
      </w:r>
      <w:r w:rsidR="00262560">
        <w:t xml:space="preserve">are </w:t>
      </w:r>
      <w:r>
        <w:t>consistent with the guidelines in 5 CFR 1320.5, except for requiring respondents to initially report infor</w:t>
      </w:r>
      <w:r>
        <w:rPr>
          <w:spacing w:val="-2"/>
        </w:rPr>
        <w:t>m</w:t>
      </w:r>
      <w:r>
        <w:t>ation soon after an incident or disturbance. See ite</w:t>
      </w:r>
      <w:r>
        <w:rPr>
          <w:spacing w:val="-2"/>
        </w:rPr>
        <w:t>m</w:t>
      </w:r>
      <w:r>
        <w:t xml:space="preserve">s A.2 and A.6 </w:t>
      </w:r>
      <w:r>
        <w:rPr>
          <w:spacing w:val="-1"/>
        </w:rPr>
        <w:t>f</w:t>
      </w:r>
      <w:r>
        <w:rPr>
          <w:spacing w:val="1"/>
        </w:rPr>
        <w:t>o</w:t>
      </w:r>
      <w:r>
        <w:t>r justi</w:t>
      </w:r>
      <w:r>
        <w:rPr>
          <w:spacing w:val="-1"/>
        </w:rPr>
        <w:t>f</w:t>
      </w:r>
      <w:r>
        <w:t>ic</w:t>
      </w:r>
      <w:r>
        <w:rPr>
          <w:spacing w:val="-1"/>
        </w:rPr>
        <w:t>a</w:t>
      </w:r>
      <w:r>
        <w:t>ti</w:t>
      </w:r>
      <w:r>
        <w:rPr>
          <w:spacing w:val="-1"/>
        </w:rPr>
        <w:t>o</w:t>
      </w:r>
      <w:r>
        <w:t xml:space="preserve">n </w:t>
      </w:r>
      <w:r>
        <w:rPr>
          <w:spacing w:val="-1"/>
        </w:rPr>
        <w:t>f</w:t>
      </w:r>
      <w:r>
        <w:t>or ti</w:t>
      </w:r>
      <w:r>
        <w:rPr>
          <w:spacing w:val="-2"/>
        </w:rPr>
        <w:t>m</w:t>
      </w:r>
      <w:r>
        <w:t>ing</w:t>
      </w:r>
      <w:r>
        <w:rPr>
          <w:spacing w:val="-1"/>
        </w:rPr>
        <w:t xml:space="preserve"> </w:t>
      </w:r>
      <w:r>
        <w:t xml:space="preserve">of reporting. A final report is due </w:t>
      </w:r>
      <w:r w:rsidR="00E02025">
        <w:t xml:space="preserve">to DOE </w:t>
      </w:r>
      <w:r>
        <w:t>72</w:t>
      </w:r>
      <w:r w:rsidR="006A431F">
        <w:t xml:space="preserve"> </w:t>
      </w:r>
      <w:r>
        <w:t xml:space="preserve">hours after an initial report. </w:t>
      </w:r>
    </w:p>
    <w:p w14:paraId="3016D11C" w14:textId="6CFC0FD5" w:rsidR="008C734C" w:rsidRDefault="008C734C" w:rsidP="00910D61">
      <w:pPr>
        <w:pStyle w:val="Heading2"/>
      </w:pPr>
      <w:bookmarkStart w:id="35" w:name="_Toc466046216"/>
      <w:bookmarkStart w:id="36" w:name="_Toc487186510"/>
      <w:bookmarkStart w:id="37" w:name="_Toc488240617"/>
      <w:r>
        <w:t>A.</w:t>
      </w:r>
      <w:r w:rsidR="00A41763" w:rsidRPr="00A41763">
        <w:t xml:space="preserve">8. </w:t>
      </w:r>
      <w:r w:rsidRPr="008C734C">
        <w:t>Summary of Consultations Outside of the Agency</w:t>
      </w:r>
      <w:bookmarkEnd w:id="35"/>
      <w:bookmarkEnd w:id="36"/>
      <w:bookmarkEnd w:id="37"/>
    </w:p>
    <w:p w14:paraId="42BC5B2C" w14:textId="429C8418" w:rsidR="00D90F3F" w:rsidRDefault="00D90F3F" w:rsidP="005A3650">
      <w:pPr>
        <w:spacing w:after="240"/>
      </w:pPr>
      <w:r w:rsidRPr="00003535">
        <w:t xml:space="preserve">A request for comments from interested persons was solicited in a </w:t>
      </w:r>
      <w:r>
        <w:t xml:space="preserve">Federal Register </w:t>
      </w:r>
      <w:r w:rsidR="004554D0">
        <w:t>N</w:t>
      </w:r>
      <w:r w:rsidRPr="00003535">
        <w:t>otice</w:t>
      </w:r>
      <w:r w:rsidR="002E3A88">
        <w:t xml:space="preserve"> </w:t>
      </w:r>
      <w:r w:rsidR="004554D0">
        <w:t>(FRN)</w:t>
      </w:r>
      <w:r w:rsidRPr="00003535">
        <w:t xml:space="preserve"> describing the proposed extension and proposed modifications to each </w:t>
      </w:r>
      <w:r w:rsidRPr="00B7664C">
        <w:t xml:space="preserve">form. </w:t>
      </w:r>
      <w:r w:rsidRPr="00B72816">
        <w:t>The notice was published</w:t>
      </w:r>
      <w:r>
        <w:t xml:space="preserve"> in the Federal Register, 82 Fed. Reg. 157, 38899 (August 16, 2017). T</w:t>
      </w:r>
      <w:r w:rsidRPr="00CA53EA">
        <w:t>he notice and proposed versions of the survey forms were posted on EIA’s website.</w:t>
      </w:r>
      <w:r w:rsidRPr="00003535">
        <w:t xml:space="preserve"> </w:t>
      </w:r>
      <w:r>
        <w:t>Four comments were received in response to the August 16, 2017 FRN. The comments and EIA responses are contained in the Public Comments File.</w:t>
      </w:r>
    </w:p>
    <w:p w14:paraId="3B319C06" w14:textId="0DC84BC2" w:rsidR="007F4D64" w:rsidRDefault="00E373EC" w:rsidP="00E373EC">
      <w:r>
        <w:t xml:space="preserve">DOE has worked closely with the NERC Standards Drafting Committee to integrate and align questions between </w:t>
      </w:r>
      <w:r w:rsidR="006A431F" w:rsidRPr="00F2753B">
        <w:t>Form</w:t>
      </w:r>
      <w:r w:rsidR="006A431F" w:rsidDel="006A431F">
        <w:t xml:space="preserve"> </w:t>
      </w:r>
      <w:r>
        <w:t xml:space="preserve">EOP-004 and </w:t>
      </w:r>
      <w:r w:rsidR="006A431F">
        <w:rPr>
          <w:szCs w:val="24"/>
        </w:rPr>
        <w:t>Form</w:t>
      </w:r>
      <w:r w:rsidR="006A431F">
        <w:t xml:space="preserve"> </w:t>
      </w:r>
      <w:r>
        <w:t>OE-417</w:t>
      </w:r>
      <w:r w:rsidR="005E41B9">
        <w:t xml:space="preserve">. </w:t>
      </w:r>
      <w:r w:rsidR="00CB0897">
        <w:t xml:space="preserve">As of July 2017, DOE held conference calls to discuss revisions to Form OE-417 on the following dates: September 7, 2016; </w:t>
      </w:r>
      <w:r w:rsidR="007F4D64">
        <w:t>November</w:t>
      </w:r>
      <w:r w:rsidR="00CB0897">
        <w:t xml:space="preserve"> 17, 2016; December 7, 2016; January 19, 2017; </w:t>
      </w:r>
      <w:r w:rsidR="007F4D64">
        <w:t xml:space="preserve">February 6, 2017; and March 9, 2017. These </w:t>
      </w:r>
      <w:r w:rsidR="005E41B9">
        <w:t xml:space="preserve">conference </w:t>
      </w:r>
      <w:r w:rsidR="007F4D64">
        <w:t>calls were held with the industry chair of the NERC Standards Drafting Committee as well as other industry members of the Committee and NERC Staff. The conversations on January 19, 2017;</w:t>
      </w:r>
      <w:r w:rsidR="007F4D64" w:rsidRPr="007F4D64">
        <w:t xml:space="preserve"> </w:t>
      </w:r>
      <w:r w:rsidR="007F4D64">
        <w:t>February 6, 2017; and March 9, 2017 also included representatives from the Federal Energy Regulatory Committee (FERC) as the FERC Board of Commissioners approves revisions to the NERC Form EOP-004</w:t>
      </w:r>
      <w:r w:rsidR="008C48EA">
        <w:t xml:space="preserve"> </w:t>
      </w:r>
      <w:r w:rsidR="00241CD0">
        <w:t>Reliability S</w:t>
      </w:r>
      <w:r w:rsidR="008C48EA">
        <w:t>tandard, including the current EOP-004-3 standard under consideration. As a result, the revised Form OE-417 is expected to meet the current and draft EOP-004 requirements</w:t>
      </w:r>
      <w:r w:rsidR="007F4D64">
        <w:t xml:space="preserve">. </w:t>
      </w:r>
    </w:p>
    <w:p w14:paraId="19C47B0C" w14:textId="5146CCF2" w:rsidR="00F850D9" w:rsidRDefault="00E373EC" w:rsidP="00E373EC">
      <w:r>
        <w:t>DOE has also had conversations regarding updates to</w:t>
      </w:r>
      <w:r w:rsidR="001A6AE2">
        <w:t xml:space="preserve"> Form OE</w:t>
      </w:r>
      <w:r>
        <w:t xml:space="preserve">-417 with the </w:t>
      </w:r>
      <w:r w:rsidR="00AD08D1" w:rsidRPr="00E11E07">
        <w:t>Electricity Information Sharing and Analysis Center</w:t>
      </w:r>
      <w:r w:rsidR="00AD08D1">
        <w:t xml:space="preserve"> (</w:t>
      </w:r>
      <w:r>
        <w:t>E-ISAC</w:t>
      </w:r>
      <w:r w:rsidR="00AD08D1">
        <w:t>)</w:t>
      </w:r>
      <w:r>
        <w:t xml:space="preserve"> and FERC</w:t>
      </w:r>
      <w:r w:rsidR="007F4D64">
        <w:t>. On</w:t>
      </w:r>
      <w:r w:rsidR="0049709C">
        <w:t xml:space="preserve"> February 23 and</w:t>
      </w:r>
      <w:r w:rsidR="007F4D64">
        <w:t xml:space="preserve"> June 5, 2017</w:t>
      </w:r>
      <w:r w:rsidR="0049709C">
        <w:t xml:space="preserve"> DOE provided update</w:t>
      </w:r>
      <w:r w:rsidR="00F850D9">
        <w:t>s</w:t>
      </w:r>
      <w:r w:rsidR="0049709C">
        <w:t xml:space="preserve"> and answered questions during Webinars with the Bulk Electric System Security Metrics Working Group, which is comprised of industry trade associations,</w:t>
      </w:r>
      <w:r w:rsidR="00AD08D1" w:rsidRPr="00E11E07">
        <w:t xml:space="preserve"> </w:t>
      </w:r>
      <w:r w:rsidR="0049709C">
        <w:t>E-ISAC, NERC, and industry representatives.</w:t>
      </w:r>
      <w:r>
        <w:t xml:space="preserve"> </w:t>
      </w:r>
      <w:r w:rsidR="0049709C">
        <w:t xml:space="preserve">On February 7, 2017 DOE also </w:t>
      </w:r>
      <w:r w:rsidR="00F850D9">
        <w:t xml:space="preserve">explained </w:t>
      </w:r>
      <w:r w:rsidR="0049709C">
        <w:t>Form OE-417 updates during a</w:t>
      </w:r>
      <w:r w:rsidR="00663580">
        <w:t>n</w:t>
      </w:r>
      <w:r w:rsidR="0049709C">
        <w:t xml:space="preserve"> E-ISAC Monthly Briefing to E-ISAC members, including asset owners and operators. </w:t>
      </w:r>
      <w:r w:rsidR="00575D65">
        <w:t>On July 6, 2016 DOE held a conversation with the FERC Office of Electric Reliability about the Form OE-417.</w:t>
      </w:r>
      <w:r>
        <w:t xml:space="preserve"> </w:t>
      </w:r>
    </w:p>
    <w:p w14:paraId="7351497A" w14:textId="44277D6E" w:rsidR="008C48EA" w:rsidRDefault="00E373EC">
      <w:pPr>
        <w:spacing w:line="240" w:lineRule="auto"/>
        <w:rPr>
          <w:rFonts w:eastAsiaTheme="majorEastAsia" w:cstheme="majorBidi"/>
          <w:b/>
          <w:color w:val="1396D8"/>
          <w:sz w:val="28"/>
          <w:szCs w:val="26"/>
        </w:rPr>
      </w:pPr>
      <w:r>
        <w:t>EIA</w:t>
      </w:r>
      <w:r w:rsidR="004554D0">
        <w:t>’s</w:t>
      </w:r>
      <w:r>
        <w:t xml:space="preserve"> Survey Development Team </w:t>
      </w:r>
      <w:r w:rsidR="003D4DF1">
        <w:t xml:space="preserve">conducted 20 telephone interviews with Form </w:t>
      </w:r>
      <w:r w:rsidR="001A6AE2">
        <w:t>O</w:t>
      </w:r>
      <w:r>
        <w:t>E-417 respondents resulting in cognitive findings</w:t>
      </w:r>
      <w:r w:rsidR="00172EB9">
        <w:t xml:space="preserve"> </w:t>
      </w:r>
      <w:r w:rsidR="00F850D9">
        <w:t>used to generate</w:t>
      </w:r>
      <w:r>
        <w:t xml:space="preserve"> inform</w:t>
      </w:r>
      <w:r w:rsidR="00F850D9">
        <w:t>ed</w:t>
      </w:r>
      <w:r>
        <w:t xml:space="preserve"> </w:t>
      </w:r>
      <w:r w:rsidR="00F850D9">
        <w:t>changes to Form OE-417</w:t>
      </w:r>
      <w:r>
        <w:t>. In addition, DOE worked with Oak Ridge National Laboratory, Idaho National Laboratory, and Pacific Northwest National Laboratory to review and revise</w:t>
      </w:r>
      <w:r w:rsidR="001A6AE2">
        <w:t xml:space="preserve"> Form O</w:t>
      </w:r>
      <w:r>
        <w:t>E-417 questions about cyber events.</w:t>
      </w:r>
      <w:bookmarkStart w:id="38" w:name="_Toc466046217"/>
      <w:bookmarkStart w:id="39" w:name="_Toc487186511"/>
      <w:bookmarkStart w:id="40" w:name="_Toc488240618"/>
    </w:p>
    <w:p w14:paraId="3B125B6E" w14:textId="3D44F973" w:rsidR="008C734C" w:rsidRDefault="008C734C" w:rsidP="00910D61">
      <w:pPr>
        <w:pStyle w:val="Heading2"/>
      </w:pPr>
      <w:r>
        <w:t>A.</w:t>
      </w:r>
      <w:r w:rsidR="00A41763" w:rsidRPr="00A41763">
        <w:t xml:space="preserve">9. </w:t>
      </w:r>
      <w:r w:rsidRPr="008C734C">
        <w:t>Payments or Gifts to Respondents</w:t>
      </w:r>
      <w:bookmarkEnd w:id="38"/>
      <w:bookmarkEnd w:id="39"/>
      <w:bookmarkEnd w:id="40"/>
      <w:r w:rsidRPr="008C734C">
        <w:t xml:space="preserve"> </w:t>
      </w:r>
    </w:p>
    <w:p w14:paraId="245A2F04" w14:textId="77777777" w:rsidR="00E373EC" w:rsidRDefault="00E373EC" w:rsidP="00E373EC">
      <w:pPr>
        <w:rPr>
          <w:szCs w:val="24"/>
        </w:rPr>
      </w:pPr>
      <w:r>
        <w:rPr>
          <w:szCs w:val="24"/>
        </w:rPr>
        <w:t>No pay</w:t>
      </w:r>
      <w:r>
        <w:rPr>
          <w:spacing w:val="-2"/>
          <w:szCs w:val="24"/>
        </w:rPr>
        <w:t>m</w:t>
      </w:r>
      <w:r>
        <w:rPr>
          <w:szCs w:val="24"/>
        </w:rPr>
        <w:t xml:space="preserve">ents or gifts are </w:t>
      </w:r>
      <w:r>
        <w:rPr>
          <w:spacing w:val="-2"/>
          <w:szCs w:val="24"/>
        </w:rPr>
        <w:t>m</w:t>
      </w:r>
      <w:r>
        <w:rPr>
          <w:szCs w:val="24"/>
        </w:rPr>
        <w:t>ade to the respondents.</w:t>
      </w:r>
    </w:p>
    <w:p w14:paraId="7541833B" w14:textId="77777777" w:rsidR="008C734C" w:rsidRDefault="008C734C" w:rsidP="00910D61">
      <w:pPr>
        <w:pStyle w:val="Heading2"/>
      </w:pPr>
      <w:bookmarkStart w:id="41" w:name="_Toc466046218"/>
      <w:bookmarkStart w:id="42" w:name="_Toc487186512"/>
      <w:bookmarkStart w:id="43" w:name="_Toc488240619"/>
      <w:r>
        <w:t>A.</w:t>
      </w:r>
      <w:r w:rsidR="00A41763" w:rsidRPr="00A41763">
        <w:t xml:space="preserve">10. </w:t>
      </w:r>
      <w:r w:rsidRPr="008C734C">
        <w:t>Provisions for Protection of Information</w:t>
      </w:r>
      <w:bookmarkEnd w:id="41"/>
      <w:bookmarkEnd w:id="42"/>
      <w:bookmarkEnd w:id="43"/>
      <w:r w:rsidRPr="008C734C">
        <w:t xml:space="preserve"> </w:t>
      </w:r>
    </w:p>
    <w:p w14:paraId="00F4D0AE" w14:textId="6523C9BB" w:rsidR="003E5AC1" w:rsidRDefault="003E5AC1" w:rsidP="00E373EC">
      <w:r>
        <w:rPr>
          <w:color w:val="000000"/>
        </w:rPr>
        <w:t>Form OE-417 i</w:t>
      </w:r>
      <w:r w:rsidRPr="004E1172">
        <w:rPr>
          <w:color w:val="000000"/>
        </w:rPr>
        <w:t>nstructions will include the following</w:t>
      </w:r>
      <w:r>
        <w:rPr>
          <w:color w:val="000000"/>
        </w:rPr>
        <w:t xml:space="preserve"> statement regarding data confidentiality.</w:t>
      </w:r>
    </w:p>
    <w:p w14:paraId="6D5466D7" w14:textId="77777777" w:rsidR="00E373EC" w:rsidRDefault="00E373EC" w:rsidP="00E373EC">
      <w:r w:rsidRPr="00F654A5">
        <w:t>The information reported on Schedule 1 will be considered “public information” and may be publicly released in company or individually identifiable form.</w:t>
      </w:r>
    </w:p>
    <w:p w14:paraId="70D29D2B" w14:textId="1CB7BEC5" w:rsidR="00E373EC" w:rsidRDefault="00E373EC" w:rsidP="00E373EC">
      <w:r>
        <w:t xml:space="preserve">Information </w:t>
      </w:r>
      <w:r w:rsidR="005E41B9">
        <w:t xml:space="preserve">reported </w:t>
      </w:r>
      <w:r>
        <w:t xml:space="preserve">on Schedule 2 of the form will not be disclosed to the public to the extent that it satisfies the criteria for exemption under the Freedom of Information Act (FOIA), 5 U.S.C. § 552, the DOE regulations, 10 C.F.R. § 1004.11, implementing the FOIA, the Trade Secrets Act, 18 U.S.C. § 1905 </w:t>
      </w:r>
      <w:r w:rsidRPr="005116B1">
        <w:t>and Critical Energy Infrastructure Information regulations as defined by the Federal Energy Regulatory Commission pursuant to section 215A(d) of the Federal Power Act, as amended.</w:t>
      </w:r>
      <w:r w:rsidR="005102D6" w:rsidRPr="005102D6">
        <w:t xml:space="preserve"> DOE will protect the information</w:t>
      </w:r>
      <w:r w:rsidR="00264DBB" w:rsidRPr="00264DBB">
        <w:rPr>
          <w:color w:val="C00000"/>
        </w:rPr>
        <w:t xml:space="preserve"> </w:t>
      </w:r>
      <w:r w:rsidR="00264DBB" w:rsidRPr="00191B0B">
        <w:t>against unauthorized disclosure</w:t>
      </w:r>
      <w:r w:rsidR="005102D6" w:rsidRPr="00191B0B">
        <w:t xml:space="preserve"> </w:t>
      </w:r>
      <w:r w:rsidR="005102D6" w:rsidRPr="005102D6">
        <w:t xml:space="preserve">in accordance with its confidentiality and security policies and procedures. </w:t>
      </w:r>
    </w:p>
    <w:p w14:paraId="08E172A5" w14:textId="2AE0D089" w:rsidR="00E373EC" w:rsidRDefault="00E373EC" w:rsidP="00E373EC">
      <w:r>
        <w:t>In accordance with the Federal Energy Administration Act, the DOE provides company-specific protected data to other Federal agencies when requested for official use.</w:t>
      </w:r>
      <w:r w:rsidR="001A6AE2">
        <w:t xml:space="preserve"> </w:t>
      </w:r>
      <w:r>
        <w:t>The information reported on this form may also be made available, upon request, to another component of DOE; to any Committee of Congress, the U.S. General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14:paraId="7CCB2427" w14:textId="3CFA73A6" w:rsidR="00E373EC" w:rsidRDefault="00E373EC" w:rsidP="00E373EC">
      <w:r>
        <w:t>The data collected on</w:t>
      </w:r>
      <w:r w:rsidR="001A6AE2">
        <w:t xml:space="preserve"> Form O</w:t>
      </w:r>
      <w:r>
        <w:t>E-417, Electric Emergency Incident and disturbance Report, will be used by DOE to meet its overall national security and National Response Framework responsibilities.</w:t>
      </w:r>
    </w:p>
    <w:p w14:paraId="0ED1A1C8" w14:textId="77777777" w:rsidR="00F056C3" w:rsidRDefault="00F056C3" w:rsidP="00910D61">
      <w:pPr>
        <w:pStyle w:val="Heading2"/>
      </w:pPr>
      <w:bookmarkStart w:id="44" w:name="_Toc466046219"/>
      <w:bookmarkStart w:id="45" w:name="_Toc487186513"/>
      <w:bookmarkStart w:id="46" w:name="_Toc488240620"/>
      <w:r>
        <w:t>A.</w:t>
      </w:r>
      <w:r w:rsidR="00A41763" w:rsidRPr="00A41763">
        <w:t xml:space="preserve">11. </w:t>
      </w:r>
      <w:r w:rsidRPr="00F056C3">
        <w:t>Justification for Sensitive Questions</w:t>
      </w:r>
      <w:bookmarkEnd w:id="44"/>
      <w:bookmarkEnd w:id="45"/>
      <w:bookmarkEnd w:id="46"/>
      <w:r w:rsidRPr="00F056C3">
        <w:t xml:space="preserve"> </w:t>
      </w:r>
    </w:p>
    <w:p w14:paraId="54976EA2" w14:textId="77777777" w:rsidR="00E373EC" w:rsidRPr="002138BC" w:rsidRDefault="00E373EC" w:rsidP="00E373EC">
      <w:pPr>
        <w:rPr>
          <w:szCs w:val="24"/>
        </w:rPr>
      </w:pPr>
      <w:r w:rsidRPr="002138BC">
        <w:rPr>
          <w:szCs w:val="24"/>
        </w:rPr>
        <w:t>There are no questions of</w:t>
      </w:r>
      <w:r w:rsidRPr="002138BC">
        <w:rPr>
          <w:spacing w:val="-2"/>
          <w:szCs w:val="24"/>
        </w:rPr>
        <w:t xml:space="preserve"> </w:t>
      </w:r>
      <w:r w:rsidRPr="002138BC">
        <w:rPr>
          <w:szCs w:val="24"/>
        </w:rPr>
        <w:t>a sensitive nature.</w:t>
      </w:r>
    </w:p>
    <w:p w14:paraId="475389DF" w14:textId="77777777" w:rsidR="00F056C3" w:rsidRDefault="00F056C3" w:rsidP="00910D61">
      <w:pPr>
        <w:pStyle w:val="Heading2"/>
      </w:pPr>
      <w:bookmarkStart w:id="47" w:name="_Toc466046220"/>
      <w:bookmarkStart w:id="48" w:name="_Toc487186514"/>
      <w:bookmarkStart w:id="49" w:name="_Toc488240621"/>
      <w:r>
        <w:t>A.</w:t>
      </w:r>
      <w:r w:rsidR="00A41763" w:rsidRPr="00A41763">
        <w:t xml:space="preserve">12. </w:t>
      </w:r>
      <w:r w:rsidRPr="00F056C3">
        <w:t>Estimate of Respondent Burden Hours and Cost</w:t>
      </w:r>
      <w:bookmarkEnd w:id="47"/>
      <w:bookmarkEnd w:id="48"/>
      <w:bookmarkEnd w:id="49"/>
      <w:r w:rsidRPr="00F056C3">
        <w:t xml:space="preserve"> </w:t>
      </w:r>
    </w:p>
    <w:p w14:paraId="6ADD178F" w14:textId="77777777" w:rsidR="009B79F9" w:rsidRPr="002138BC" w:rsidRDefault="009B79F9" w:rsidP="009B79F9">
      <w:pPr>
        <w:rPr>
          <w:b/>
          <w:i/>
        </w:rPr>
      </w:pPr>
      <w:r w:rsidRPr="002138BC">
        <w:rPr>
          <w:b/>
          <w:i/>
        </w:rPr>
        <w:t>Training Assu</w:t>
      </w:r>
      <w:r w:rsidRPr="002138BC">
        <w:rPr>
          <w:b/>
          <w:i/>
          <w:spacing w:val="-2"/>
        </w:rPr>
        <w:t>m</w:t>
      </w:r>
      <w:r w:rsidRPr="002138BC">
        <w:rPr>
          <w:b/>
          <w:i/>
        </w:rPr>
        <w:t>ptions:</w:t>
      </w:r>
    </w:p>
    <w:p w14:paraId="3EDDCA33" w14:textId="77777777" w:rsidR="009B79F9" w:rsidRPr="00241CD0" w:rsidRDefault="009B79F9" w:rsidP="00B76132">
      <w:pPr>
        <w:pStyle w:val="ListParagraph"/>
        <w:numPr>
          <w:ilvl w:val="0"/>
          <w:numId w:val="12"/>
        </w:numPr>
      </w:pPr>
      <w:r w:rsidRPr="00241CD0">
        <w:t>2,395 Respondents – 12 U.S. reliability coordinators, 107 balancing authorities, and 2,276 regulated utilities.</w:t>
      </w:r>
    </w:p>
    <w:p w14:paraId="5DA2ED1A" w14:textId="3039F513" w:rsidR="009B79F9" w:rsidRPr="002138BC" w:rsidRDefault="00575D65">
      <w:pPr>
        <w:pStyle w:val="ListParagraph"/>
        <w:numPr>
          <w:ilvl w:val="0"/>
          <w:numId w:val="12"/>
        </w:numPr>
      </w:pPr>
      <w:r w:rsidRPr="00241CD0">
        <w:t>During y</w:t>
      </w:r>
      <w:r w:rsidR="009B79F9" w:rsidRPr="00241CD0">
        <w:t xml:space="preserve">ear 1 to 3 – </w:t>
      </w:r>
      <w:r w:rsidRPr="00241CD0">
        <w:t>a 2</w:t>
      </w:r>
      <w:r w:rsidR="009B79F9" w:rsidRPr="00241CD0">
        <w:t>.0 hour refresher trainin</w:t>
      </w:r>
      <w:r w:rsidR="009B79F9" w:rsidRPr="002138BC">
        <w:t xml:space="preserve">g (to include training on the on-line form) per BA/RC and utility respondent; </w:t>
      </w:r>
      <w:r>
        <w:t>4,790</w:t>
      </w:r>
      <w:r w:rsidR="00E800FB" w:rsidRPr="002138BC">
        <w:t xml:space="preserve"> </w:t>
      </w:r>
      <w:r w:rsidR="009B79F9" w:rsidRPr="002138BC">
        <w:t>hours.</w:t>
      </w:r>
    </w:p>
    <w:p w14:paraId="11406E18" w14:textId="010AF8F1" w:rsidR="009B79F9" w:rsidRPr="002138BC" w:rsidRDefault="009B79F9">
      <w:pPr>
        <w:pStyle w:val="ListParagraph"/>
        <w:numPr>
          <w:ilvl w:val="0"/>
          <w:numId w:val="12"/>
        </w:numPr>
      </w:pPr>
      <w:r w:rsidRPr="002138BC">
        <w:t xml:space="preserve">Total training time per year – </w:t>
      </w:r>
      <w:r w:rsidR="00D7033F">
        <w:t>4,790</w:t>
      </w:r>
      <w:r w:rsidRPr="002138BC">
        <w:t xml:space="preserve"> hours</w:t>
      </w:r>
    </w:p>
    <w:p w14:paraId="5DAABAF0" w14:textId="1CFCE941" w:rsidR="00241CD0" w:rsidRDefault="00241CD0">
      <w:pPr>
        <w:spacing w:line="240" w:lineRule="auto"/>
        <w:rPr>
          <w:b/>
          <w:bCs/>
          <w:color w:val="1396D8"/>
          <w:szCs w:val="18"/>
        </w:rPr>
      </w:pPr>
    </w:p>
    <w:p w14:paraId="6FCC4FE7" w14:textId="501E4662" w:rsidR="009B79F9" w:rsidRDefault="009B79F9" w:rsidP="008A0C57">
      <w:pPr>
        <w:pStyle w:val="Caption"/>
      </w:pPr>
      <w:r>
        <w:t xml:space="preserve">Table </w:t>
      </w:r>
      <w:r w:rsidR="009B2B8D">
        <w:fldChar w:fldCharType="begin"/>
      </w:r>
      <w:r w:rsidR="009B2B8D">
        <w:instrText xml:space="preserve"> SEQ Table \* ARABIC </w:instrText>
      </w:r>
      <w:r w:rsidR="009B2B8D">
        <w:fldChar w:fldCharType="separate"/>
      </w:r>
      <w:r w:rsidR="00483BAC">
        <w:rPr>
          <w:noProof/>
        </w:rPr>
        <w:t>1</w:t>
      </w:r>
      <w:r w:rsidR="009B2B8D">
        <w:rPr>
          <w:noProof/>
        </w:rPr>
        <w:fldChar w:fldCharType="end"/>
      </w:r>
      <w:r>
        <w:t>: Training Hours Assumptions</w:t>
      </w:r>
    </w:p>
    <w:tbl>
      <w:tblPr>
        <w:tblStyle w:val="TableGrid"/>
        <w:tblW w:w="4887" w:type="pct"/>
        <w:tblInd w:w="108" w:type="dxa"/>
        <w:tblLook w:val="04A0" w:firstRow="1" w:lastRow="0" w:firstColumn="1" w:lastColumn="0" w:noHBand="0" w:noVBand="1"/>
      </w:tblPr>
      <w:tblGrid>
        <w:gridCol w:w="3489"/>
        <w:gridCol w:w="2990"/>
        <w:gridCol w:w="2881"/>
      </w:tblGrid>
      <w:tr w:rsidR="009B79F9" w:rsidRPr="00241CD0" w14:paraId="4F38D5EF" w14:textId="77777777" w:rsidTr="001A6AE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64" w:type="pct"/>
            <w:shd w:val="clear" w:color="auto" w:fill="D9D9D9" w:themeFill="background1" w:themeFillShade="D9"/>
          </w:tcPr>
          <w:p w14:paraId="0C22522C" w14:textId="347F0DFF" w:rsidR="009B79F9" w:rsidRPr="00241CD0" w:rsidRDefault="009B79F9" w:rsidP="0081396A">
            <w:pPr>
              <w:jc w:val="center"/>
              <w:rPr>
                <w:b w:val="0"/>
                <w:szCs w:val="24"/>
              </w:rPr>
            </w:pPr>
            <w:r w:rsidRPr="00241CD0">
              <w:rPr>
                <w:b w:val="0"/>
                <w:szCs w:val="24"/>
              </w:rPr>
              <w:t>Total Number of Respondents</w:t>
            </w:r>
          </w:p>
        </w:tc>
        <w:tc>
          <w:tcPr>
            <w:tcW w:w="1597" w:type="pct"/>
            <w:shd w:val="clear" w:color="auto" w:fill="D9D9D9" w:themeFill="background1" w:themeFillShade="D9"/>
          </w:tcPr>
          <w:p w14:paraId="1BB72233" w14:textId="0948B4CD" w:rsidR="009B79F9" w:rsidRPr="00241CD0" w:rsidRDefault="009B79F9" w:rsidP="001A6AE2">
            <w:pPr>
              <w:jc w:val="center"/>
              <w:cnfStyle w:val="100000000000" w:firstRow="1" w:lastRow="0" w:firstColumn="0" w:lastColumn="0" w:oddVBand="0" w:evenVBand="0" w:oddHBand="0" w:evenHBand="0" w:firstRowFirstColumn="0" w:firstRowLastColumn="0" w:lastRowFirstColumn="0" w:lastRowLastColumn="0"/>
              <w:rPr>
                <w:b w:val="0"/>
                <w:szCs w:val="24"/>
              </w:rPr>
            </w:pPr>
            <w:r w:rsidRPr="00241CD0">
              <w:rPr>
                <w:b w:val="0"/>
                <w:szCs w:val="24"/>
              </w:rPr>
              <w:t>Training Hours Per Respondent</w:t>
            </w:r>
          </w:p>
        </w:tc>
        <w:tc>
          <w:tcPr>
            <w:tcW w:w="1539" w:type="pct"/>
            <w:shd w:val="clear" w:color="auto" w:fill="D9D9D9" w:themeFill="background1" w:themeFillShade="D9"/>
          </w:tcPr>
          <w:p w14:paraId="5BA7CB8D" w14:textId="454CC2B0" w:rsidR="009B79F9" w:rsidRPr="00241CD0" w:rsidRDefault="009B79F9" w:rsidP="0081396A">
            <w:pPr>
              <w:jc w:val="center"/>
              <w:cnfStyle w:val="100000000000" w:firstRow="1" w:lastRow="0" w:firstColumn="0" w:lastColumn="0" w:oddVBand="0" w:evenVBand="0" w:oddHBand="0" w:evenHBand="0" w:firstRowFirstColumn="0" w:firstRowLastColumn="0" w:lastRowFirstColumn="0" w:lastRowLastColumn="0"/>
              <w:rPr>
                <w:b w:val="0"/>
                <w:szCs w:val="24"/>
              </w:rPr>
            </w:pPr>
            <w:r w:rsidRPr="00241CD0">
              <w:rPr>
                <w:b w:val="0"/>
                <w:szCs w:val="24"/>
              </w:rPr>
              <w:t>Total Training Hours</w:t>
            </w:r>
          </w:p>
        </w:tc>
      </w:tr>
      <w:tr w:rsidR="009B79F9" w:rsidRPr="00241CD0" w14:paraId="0C399B08" w14:textId="77777777" w:rsidTr="001A6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4" w:type="pct"/>
          </w:tcPr>
          <w:p w14:paraId="52741960" w14:textId="77777777" w:rsidR="009B79F9" w:rsidRPr="00241CD0" w:rsidRDefault="009B79F9" w:rsidP="001A6AE2">
            <w:pPr>
              <w:jc w:val="center"/>
              <w:rPr>
                <w:szCs w:val="24"/>
              </w:rPr>
            </w:pPr>
            <w:r w:rsidRPr="00241CD0">
              <w:rPr>
                <w:szCs w:val="24"/>
              </w:rPr>
              <w:t>2,395</w:t>
            </w:r>
          </w:p>
        </w:tc>
        <w:tc>
          <w:tcPr>
            <w:tcW w:w="1597" w:type="pct"/>
          </w:tcPr>
          <w:p w14:paraId="4AFE52C3" w14:textId="7F1C70BC" w:rsidR="009B79F9" w:rsidRPr="00241CD0" w:rsidRDefault="00D7033F" w:rsidP="001A6AE2">
            <w:pPr>
              <w:jc w:val="center"/>
              <w:cnfStyle w:val="000000100000" w:firstRow="0" w:lastRow="0" w:firstColumn="0" w:lastColumn="0" w:oddVBand="0" w:evenVBand="0" w:oddHBand="1" w:evenHBand="0" w:firstRowFirstColumn="0" w:firstRowLastColumn="0" w:lastRowFirstColumn="0" w:lastRowLastColumn="0"/>
              <w:rPr>
                <w:szCs w:val="24"/>
              </w:rPr>
            </w:pPr>
            <w:r w:rsidRPr="00241CD0">
              <w:rPr>
                <w:szCs w:val="24"/>
              </w:rPr>
              <w:t>2</w:t>
            </w:r>
            <w:r w:rsidR="009B79F9" w:rsidRPr="00241CD0">
              <w:rPr>
                <w:szCs w:val="24"/>
              </w:rPr>
              <w:t>.0</w:t>
            </w:r>
          </w:p>
        </w:tc>
        <w:tc>
          <w:tcPr>
            <w:tcW w:w="1539" w:type="pct"/>
          </w:tcPr>
          <w:p w14:paraId="19B9E958" w14:textId="011DE3C5" w:rsidR="009B79F9" w:rsidRPr="00241CD0" w:rsidRDefault="00D7033F" w:rsidP="001A6AE2">
            <w:pPr>
              <w:jc w:val="center"/>
              <w:cnfStyle w:val="000000100000" w:firstRow="0" w:lastRow="0" w:firstColumn="0" w:lastColumn="0" w:oddVBand="0" w:evenVBand="0" w:oddHBand="1" w:evenHBand="0" w:firstRowFirstColumn="0" w:firstRowLastColumn="0" w:lastRowFirstColumn="0" w:lastRowLastColumn="0"/>
              <w:rPr>
                <w:szCs w:val="24"/>
              </w:rPr>
            </w:pPr>
            <w:r w:rsidRPr="00241CD0">
              <w:rPr>
                <w:szCs w:val="24"/>
              </w:rPr>
              <w:t>4,790</w:t>
            </w:r>
          </w:p>
        </w:tc>
      </w:tr>
    </w:tbl>
    <w:p w14:paraId="18FD2F04" w14:textId="77777777" w:rsidR="009B79F9" w:rsidRPr="00241CD0" w:rsidRDefault="009B79F9" w:rsidP="009B79F9">
      <w:pPr>
        <w:rPr>
          <w:szCs w:val="24"/>
        </w:rPr>
      </w:pPr>
      <w:r w:rsidRPr="00241CD0">
        <w:rPr>
          <w:b/>
          <w:i/>
          <w:szCs w:val="24"/>
        </w:rPr>
        <w:t xml:space="preserve">Reporting </w:t>
      </w:r>
      <w:r w:rsidRPr="00241CD0">
        <w:rPr>
          <w:b/>
          <w:i/>
          <w:spacing w:val="-2"/>
          <w:szCs w:val="24"/>
        </w:rPr>
        <w:t>A</w:t>
      </w:r>
      <w:r w:rsidRPr="00241CD0">
        <w:rPr>
          <w:b/>
          <w:i/>
          <w:szCs w:val="24"/>
        </w:rPr>
        <w:t>ssu</w:t>
      </w:r>
      <w:r w:rsidRPr="00241CD0">
        <w:rPr>
          <w:b/>
          <w:i/>
          <w:spacing w:val="-2"/>
          <w:szCs w:val="24"/>
        </w:rPr>
        <w:t>m</w:t>
      </w:r>
      <w:r w:rsidRPr="00241CD0">
        <w:rPr>
          <w:b/>
          <w:i/>
          <w:szCs w:val="24"/>
        </w:rPr>
        <w:t>ptions</w:t>
      </w:r>
      <w:r w:rsidRPr="00241CD0">
        <w:rPr>
          <w:szCs w:val="24"/>
        </w:rPr>
        <w:t>:</w:t>
      </w:r>
    </w:p>
    <w:p w14:paraId="44016D44" w14:textId="47EA546C" w:rsidR="009B79F9" w:rsidRPr="00241CD0" w:rsidRDefault="00FC7E1B" w:rsidP="00B76132">
      <w:pPr>
        <w:pStyle w:val="ListParagraph"/>
      </w:pPr>
      <w:r>
        <w:t>2</w:t>
      </w:r>
      <w:r w:rsidR="009B79F9" w:rsidRPr="00241CD0">
        <w:t>00 Reports per year –The burden a</w:t>
      </w:r>
      <w:r w:rsidR="009B79F9" w:rsidRPr="00241CD0">
        <w:rPr>
          <w:spacing w:val="1"/>
        </w:rPr>
        <w:t>s</w:t>
      </w:r>
      <w:r w:rsidR="009B79F9" w:rsidRPr="00241CD0">
        <w:t>su</w:t>
      </w:r>
      <w:r w:rsidR="009B79F9" w:rsidRPr="00241CD0">
        <w:rPr>
          <w:spacing w:val="-2"/>
        </w:rPr>
        <w:t>m</w:t>
      </w:r>
      <w:r w:rsidR="009B79F9" w:rsidRPr="00241CD0">
        <w:t>ed in 2014 OMB sub</w:t>
      </w:r>
      <w:r w:rsidR="009B79F9" w:rsidRPr="00241CD0">
        <w:rPr>
          <w:spacing w:val="-2"/>
        </w:rPr>
        <w:t>m</w:t>
      </w:r>
      <w:r w:rsidR="009B79F9" w:rsidRPr="00241CD0">
        <w:t>ission was 300 reports annually. Based on the level of</w:t>
      </w:r>
      <w:r w:rsidR="009B79F9" w:rsidRPr="00241CD0">
        <w:rPr>
          <w:spacing w:val="-2"/>
        </w:rPr>
        <w:t xml:space="preserve"> </w:t>
      </w:r>
      <w:r w:rsidR="009B79F9" w:rsidRPr="00241CD0">
        <w:t>actual reporting (228 events in 2014, 145 events in 2015, and 143 events in 2016) the burden esti</w:t>
      </w:r>
      <w:r w:rsidR="009B79F9" w:rsidRPr="00241CD0">
        <w:rPr>
          <w:spacing w:val="-2"/>
        </w:rPr>
        <w:t>m</w:t>
      </w:r>
      <w:r w:rsidR="009B79F9" w:rsidRPr="00241CD0">
        <w:t>ate has been calculated</w:t>
      </w:r>
      <w:r w:rsidR="009B79F9" w:rsidRPr="00241CD0">
        <w:rPr>
          <w:spacing w:val="-1"/>
        </w:rPr>
        <w:t xml:space="preserve"> </w:t>
      </w:r>
      <w:r w:rsidR="009B79F9" w:rsidRPr="00241CD0">
        <w:t>at</w:t>
      </w:r>
      <w:r w:rsidR="009B79F9" w:rsidRPr="00241CD0">
        <w:rPr>
          <w:spacing w:val="-1"/>
        </w:rPr>
        <w:t xml:space="preserve"> </w:t>
      </w:r>
      <w:r w:rsidR="00FC21AC">
        <w:t>200</w:t>
      </w:r>
      <w:r w:rsidR="00FC21AC" w:rsidRPr="00241CD0">
        <w:rPr>
          <w:spacing w:val="-1"/>
        </w:rPr>
        <w:t xml:space="preserve"> </w:t>
      </w:r>
      <w:r w:rsidR="009B79F9" w:rsidRPr="00241CD0">
        <w:t>reports</w:t>
      </w:r>
      <w:r w:rsidR="009B79F9" w:rsidRPr="00241CD0">
        <w:rPr>
          <w:spacing w:val="-1"/>
        </w:rPr>
        <w:t xml:space="preserve"> </w:t>
      </w:r>
      <w:r w:rsidR="009B79F9" w:rsidRPr="00241CD0">
        <w:t>annually to accommodate normal, possible updates, and final filings for events.</w:t>
      </w:r>
    </w:p>
    <w:p w14:paraId="05C9A81E" w14:textId="56BC8778" w:rsidR="009B79F9" w:rsidRPr="00241CD0" w:rsidRDefault="009B79F9">
      <w:pPr>
        <w:pStyle w:val="ListParagraph"/>
      </w:pPr>
      <w:r w:rsidRPr="00241CD0">
        <w:t xml:space="preserve">Schedule 1 - </w:t>
      </w:r>
      <w:r w:rsidR="00FC21AC">
        <w:t>200</w:t>
      </w:r>
      <w:r w:rsidR="00FC21AC" w:rsidRPr="00241CD0">
        <w:t xml:space="preserve"> </w:t>
      </w:r>
      <w:r w:rsidRPr="00241CD0">
        <w:t xml:space="preserve">reports x 10 </w:t>
      </w:r>
      <w:r w:rsidRPr="00241CD0">
        <w:rPr>
          <w:spacing w:val="-2"/>
        </w:rPr>
        <w:t>m</w:t>
      </w:r>
      <w:r w:rsidRPr="00241CD0">
        <w:rPr>
          <w:spacing w:val="2"/>
        </w:rPr>
        <w:t>i</w:t>
      </w:r>
      <w:r w:rsidRPr="00241CD0">
        <w:t xml:space="preserve">nutes = </w:t>
      </w:r>
      <w:r w:rsidR="00FC21AC">
        <w:t>2</w:t>
      </w:r>
      <w:r w:rsidRPr="00241CD0">
        <w:t xml:space="preserve">,000 </w:t>
      </w:r>
      <w:r w:rsidRPr="00241CD0">
        <w:rPr>
          <w:spacing w:val="-2"/>
        </w:rPr>
        <w:t>m</w:t>
      </w:r>
      <w:r w:rsidRPr="00241CD0">
        <w:rPr>
          <w:spacing w:val="2"/>
        </w:rPr>
        <w:t>i</w:t>
      </w:r>
      <w:r w:rsidRPr="00241CD0">
        <w:t xml:space="preserve">nutes or </w:t>
      </w:r>
      <w:r w:rsidR="00FC21AC">
        <w:t>33</w:t>
      </w:r>
      <w:r w:rsidR="00FC21AC" w:rsidRPr="00241CD0">
        <w:t xml:space="preserve"> </w:t>
      </w:r>
      <w:r w:rsidRPr="00241CD0">
        <w:t>hours</w:t>
      </w:r>
    </w:p>
    <w:p w14:paraId="24433548" w14:textId="6247C056" w:rsidR="009B79F9" w:rsidRPr="00241CD0" w:rsidRDefault="009B79F9">
      <w:pPr>
        <w:pStyle w:val="ListParagraph"/>
      </w:pPr>
      <w:r w:rsidRPr="00241CD0">
        <w:t xml:space="preserve">Schedule 2 </w:t>
      </w:r>
      <w:r w:rsidR="00FC21AC">
        <w:t>–</w:t>
      </w:r>
      <w:r w:rsidRPr="00241CD0">
        <w:t xml:space="preserve"> </w:t>
      </w:r>
      <w:r w:rsidR="00FC21AC">
        <w:t xml:space="preserve">200 </w:t>
      </w:r>
      <w:r w:rsidRPr="00241CD0">
        <w:t xml:space="preserve">reports x 1.5 hours = </w:t>
      </w:r>
      <w:r w:rsidR="00FC21AC">
        <w:t>300</w:t>
      </w:r>
      <w:r w:rsidRPr="00241CD0">
        <w:t xml:space="preserve"> hours</w:t>
      </w:r>
    </w:p>
    <w:p w14:paraId="415FCF57" w14:textId="3C15011A" w:rsidR="009B79F9" w:rsidRPr="005116B1" w:rsidRDefault="009B79F9">
      <w:pPr>
        <w:pStyle w:val="ListParagraph"/>
      </w:pPr>
      <w:r w:rsidRPr="00241CD0">
        <w:t>Schedule 2 Follow-up (addition</w:t>
      </w:r>
      <w:r w:rsidRPr="005116B1">
        <w:t>al foll</w:t>
      </w:r>
      <w:r w:rsidRPr="005116B1">
        <w:rPr>
          <w:spacing w:val="-1"/>
        </w:rPr>
        <w:t>o</w:t>
      </w:r>
      <w:r w:rsidRPr="005116B1">
        <w:t xml:space="preserve">w-up for significant reports) – </w:t>
      </w:r>
      <w:r w:rsidR="00F3738C" w:rsidRPr="005116B1">
        <w:t>2</w:t>
      </w:r>
      <w:r w:rsidR="00F3738C">
        <w:t>0</w:t>
      </w:r>
      <w:r w:rsidR="00F3738C" w:rsidRPr="005116B1">
        <w:t xml:space="preserve"> </w:t>
      </w:r>
      <w:r w:rsidRPr="005116B1">
        <w:t xml:space="preserve">respondents; </w:t>
      </w:r>
      <w:r w:rsidR="00F3738C" w:rsidRPr="005116B1">
        <w:t>2</w:t>
      </w:r>
      <w:r w:rsidR="00F3738C">
        <w:t>0</w:t>
      </w:r>
      <w:r w:rsidR="00F3738C" w:rsidRPr="005116B1">
        <w:t xml:space="preserve"> </w:t>
      </w:r>
      <w:r w:rsidRPr="005116B1">
        <w:t xml:space="preserve">reports x </w:t>
      </w:r>
      <w:r w:rsidR="00F3738C">
        <w:t>.5</w:t>
      </w:r>
      <w:r w:rsidR="00F3738C" w:rsidRPr="005116B1">
        <w:t xml:space="preserve"> </w:t>
      </w:r>
      <w:r w:rsidRPr="005116B1">
        <w:t xml:space="preserve">hour = </w:t>
      </w:r>
      <w:r w:rsidR="00F3738C">
        <w:t>10</w:t>
      </w:r>
      <w:r w:rsidR="00F3738C" w:rsidRPr="005116B1">
        <w:t xml:space="preserve"> </w:t>
      </w:r>
      <w:r w:rsidRPr="005116B1">
        <w:t>hours</w:t>
      </w:r>
    </w:p>
    <w:p w14:paraId="13A221B0" w14:textId="2CD5A5D7" w:rsidR="009B79F9" w:rsidRPr="005116B1" w:rsidRDefault="009B79F9">
      <w:pPr>
        <w:pStyle w:val="ListParagraph"/>
      </w:pPr>
      <w:r w:rsidRPr="00EC6062">
        <w:t>Annual total for respon</w:t>
      </w:r>
      <w:r w:rsidRPr="00EC6062">
        <w:rPr>
          <w:spacing w:val="-1"/>
        </w:rPr>
        <w:t>s</w:t>
      </w:r>
      <w:r w:rsidRPr="00EC6062">
        <w:t xml:space="preserve">es = </w:t>
      </w:r>
      <w:r w:rsidR="00F3738C">
        <w:t>343</w:t>
      </w:r>
      <w:r w:rsidR="00F3738C" w:rsidRPr="00EC6062">
        <w:t xml:space="preserve"> </w:t>
      </w:r>
      <w:r w:rsidRPr="00EC6062">
        <w:t>hours per year</w:t>
      </w:r>
    </w:p>
    <w:p w14:paraId="4DF311B0" w14:textId="77777777" w:rsidR="009B79F9" w:rsidRPr="002138BC" w:rsidRDefault="009B79F9">
      <w:pPr>
        <w:pStyle w:val="ListParagraph"/>
      </w:pPr>
      <w:r w:rsidRPr="002138BC">
        <w:t>Notifications to DOE about suspected or</w:t>
      </w:r>
      <w:r w:rsidRPr="002138BC">
        <w:rPr>
          <w:spacing w:val="-1"/>
        </w:rPr>
        <w:t xml:space="preserve"> </w:t>
      </w:r>
      <w:r w:rsidRPr="002138BC">
        <w:t>actual cri</w:t>
      </w:r>
      <w:r w:rsidRPr="002138BC">
        <w:rPr>
          <w:spacing w:val="-2"/>
        </w:rPr>
        <w:t>m</w:t>
      </w:r>
      <w:r w:rsidRPr="002138BC">
        <w:t>inal actions (cyber-attacks, threats, vandalis</w:t>
      </w:r>
      <w:r w:rsidRPr="002138BC">
        <w:rPr>
          <w:spacing w:val="-2"/>
        </w:rPr>
        <w:t>m</w:t>
      </w:r>
      <w:r w:rsidRPr="002138BC">
        <w:t>) are not considered accountable burden events.</w:t>
      </w:r>
      <w:r>
        <w:t xml:space="preserve"> </w:t>
      </w:r>
      <w:r w:rsidRPr="002138BC">
        <w:t>DOE has general and specific obligations for national sec</w:t>
      </w:r>
      <w:r w:rsidRPr="002138BC">
        <w:rPr>
          <w:spacing w:val="-1"/>
        </w:rPr>
        <w:t>u</w:t>
      </w:r>
      <w:r w:rsidRPr="002138BC">
        <w:t>rity and law enforce</w:t>
      </w:r>
      <w:r w:rsidRPr="002138BC">
        <w:rPr>
          <w:spacing w:val="-2"/>
        </w:rPr>
        <w:t>m</w:t>
      </w:r>
      <w:r w:rsidRPr="002138BC">
        <w:t>ent actions/support under various Presi</w:t>
      </w:r>
      <w:r w:rsidRPr="002138BC">
        <w:rPr>
          <w:spacing w:val="-3"/>
        </w:rPr>
        <w:t>d</w:t>
      </w:r>
      <w:r w:rsidRPr="002138BC">
        <w:t xml:space="preserve">ential Directives, </w:t>
      </w:r>
      <w:r w:rsidRPr="002138BC">
        <w:rPr>
          <w:spacing w:val="-2"/>
        </w:rPr>
        <w:t>m</w:t>
      </w:r>
      <w:r w:rsidRPr="002138BC">
        <w:rPr>
          <w:spacing w:val="1"/>
        </w:rPr>
        <w:t>e</w:t>
      </w:r>
      <w:r w:rsidRPr="002138BC">
        <w:rPr>
          <w:spacing w:val="-2"/>
        </w:rPr>
        <w:t>m</w:t>
      </w:r>
      <w:r w:rsidRPr="002138BC">
        <w:t>o</w:t>
      </w:r>
      <w:r w:rsidRPr="002138BC">
        <w:rPr>
          <w:spacing w:val="2"/>
        </w:rPr>
        <w:t>r</w:t>
      </w:r>
      <w:r w:rsidRPr="002138BC">
        <w:t>andum</w:t>
      </w:r>
      <w:r w:rsidRPr="002138BC">
        <w:rPr>
          <w:spacing w:val="-2"/>
        </w:rPr>
        <w:t xml:space="preserve"> </w:t>
      </w:r>
      <w:r w:rsidRPr="002138BC">
        <w:t>of agree</w:t>
      </w:r>
      <w:r w:rsidRPr="002138BC">
        <w:rPr>
          <w:spacing w:val="-2"/>
        </w:rPr>
        <w:t>m</w:t>
      </w:r>
      <w:r w:rsidRPr="002138BC">
        <w:t>ents and inter-agency understandings.</w:t>
      </w:r>
    </w:p>
    <w:p w14:paraId="00FA61FC" w14:textId="77777777" w:rsidR="009B79F9" w:rsidRDefault="009B79F9" w:rsidP="008A0C57">
      <w:pPr>
        <w:pStyle w:val="Caption"/>
      </w:pPr>
      <w:r>
        <w:t xml:space="preserve">Table </w:t>
      </w:r>
      <w:r w:rsidR="009B2B8D">
        <w:fldChar w:fldCharType="begin"/>
      </w:r>
      <w:r w:rsidR="009B2B8D">
        <w:instrText xml:space="preserve"> SEQ Table \* ARABIC </w:instrText>
      </w:r>
      <w:r w:rsidR="009B2B8D">
        <w:fldChar w:fldCharType="separate"/>
      </w:r>
      <w:r w:rsidR="00483BAC">
        <w:rPr>
          <w:noProof/>
        </w:rPr>
        <w:t>2</w:t>
      </w:r>
      <w:r w:rsidR="009B2B8D">
        <w:rPr>
          <w:noProof/>
        </w:rPr>
        <w:fldChar w:fldCharType="end"/>
      </w:r>
      <w:r>
        <w:t>: Reporting Assumptions</w:t>
      </w:r>
    </w:p>
    <w:tbl>
      <w:tblPr>
        <w:tblStyle w:val="TableGrid"/>
        <w:tblW w:w="0" w:type="auto"/>
        <w:tblInd w:w="108" w:type="dxa"/>
        <w:tblLook w:val="04A0" w:firstRow="1" w:lastRow="0" w:firstColumn="1" w:lastColumn="0" w:noHBand="0" w:noVBand="1"/>
      </w:tblPr>
      <w:tblGrid>
        <w:gridCol w:w="1807"/>
        <w:gridCol w:w="1915"/>
        <w:gridCol w:w="1915"/>
        <w:gridCol w:w="1915"/>
        <w:gridCol w:w="1808"/>
      </w:tblGrid>
      <w:tr w:rsidR="009B79F9" w:rsidRPr="009F5215" w14:paraId="5D6103DD" w14:textId="77777777" w:rsidTr="001A6AE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7" w:type="dxa"/>
            <w:shd w:val="clear" w:color="auto" w:fill="D9D9D9" w:themeFill="background1" w:themeFillShade="D9"/>
            <w:vAlign w:val="center"/>
          </w:tcPr>
          <w:p w14:paraId="208DBA3E" w14:textId="1B480306" w:rsidR="009B79F9" w:rsidRPr="009F5215" w:rsidRDefault="009B79F9" w:rsidP="001A6AE2">
            <w:pPr>
              <w:jc w:val="center"/>
              <w:rPr>
                <w:b w:val="0"/>
              </w:rPr>
            </w:pPr>
            <w:r w:rsidRPr="009F5215">
              <w:rPr>
                <w:b w:val="0"/>
              </w:rPr>
              <w:t>Number of Reports</w:t>
            </w:r>
          </w:p>
        </w:tc>
        <w:tc>
          <w:tcPr>
            <w:tcW w:w="1915" w:type="dxa"/>
            <w:shd w:val="clear" w:color="auto" w:fill="D9D9D9" w:themeFill="background1" w:themeFillShade="D9"/>
            <w:vAlign w:val="center"/>
          </w:tcPr>
          <w:p w14:paraId="782EB11E" w14:textId="34A8AF75" w:rsidR="009B79F9" w:rsidRPr="009F5215" w:rsidRDefault="0081396A" w:rsidP="001A6AE2">
            <w:pPr>
              <w:jc w:val="center"/>
              <w:cnfStyle w:val="100000000000" w:firstRow="1" w:lastRow="0" w:firstColumn="0" w:lastColumn="0" w:oddVBand="0" w:evenVBand="0" w:oddHBand="0" w:evenHBand="0" w:firstRowFirstColumn="0" w:firstRowLastColumn="0" w:lastRowFirstColumn="0" w:lastRowLastColumn="0"/>
              <w:rPr>
                <w:b w:val="0"/>
              </w:rPr>
            </w:pPr>
            <w:r>
              <w:rPr>
                <w:b w:val="0"/>
              </w:rPr>
              <w:t>H</w:t>
            </w:r>
            <w:r w:rsidR="009B79F9" w:rsidRPr="009F5215">
              <w:rPr>
                <w:b w:val="0"/>
              </w:rPr>
              <w:t>ours for Schedule 1</w:t>
            </w:r>
          </w:p>
        </w:tc>
        <w:tc>
          <w:tcPr>
            <w:tcW w:w="1915" w:type="dxa"/>
            <w:shd w:val="clear" w:color="auto" w:fill="D9D9D9" w:themeFill="background1" w:themeFillShade="D9"/>
            <w:vAlign w:val="center"/>
          </w:tcPr>
          <w:p w14:paraId="324DB403" w14:textId="465FF0C6" w:rsidR="009B79F9" w:rsidRPr="009F5215" w:rsidRDefault="0081396A" w:rsidP="001A6AE2">
            <w:pPr>
              <w:jc w:val="center"/>
              <w:cnfStyle w:val="100000000000" w:firstRow="1" w:lastRow="0" w:firstColumn="0" w:lastColumn="0" w:oddVBand="0" w:evenVBand="0" w:oddHBand="0" w:evenHBand="0" w:firstRowFirstColumn="0" w:firstRowLastColumn="0" w:lastRowFirstColumn="0" w:lastRowLastColumn="0"/>
              <w:rPr>
                <w:b w:val="0"/>
              </w:rPr>
            </w:pPr>
            <w:r>
              <w:rPr>
                <w:b w:val="0"/>
              </w:rPr>
              <w:t>H</w:t>
            </w:r>
            <w:r w:rsidR="009B79F9" w:rsidRPr="009F5215">
              <w:rPr>
                <w:b w:val="0"/>
              </w:rPr>
              <w:t>ours for Schedule 2</w:t>
            </w:r>
          </w:p>
        </w:tc>
        <w:tc>
          <w:tcPr>
            <w:tcW w:w="1915" w:type="dxa"/>
            <w:shd w:val="clear" w:color="auto" w:fill="D9D9D9" w:themeFill="background1" w:themeFillShade="D9"/>
            <w:vAlign w:val="center"/>
          </w:tcPr>
          <w:p w14:paraId="69FFACBB" w14:textId="77777777" w:rsidR="009B79F9" w:rsidRPr="009F5215" w:rsidRDefault="009B79F9" w:rsidP="001A6AE2">
            <w:pPr>
              <w:jc w:val="center"/>
              <w:cnfStyle w:val="100000000000" w:firstRow="1" w:lastRow="0" w:firstColumn="0" w:lastColumn="0" w:oddVBand="0" w:evenVBand="0" w:oddHBand="0" w:evenHBand="0" w:firstRowFirstColumn="0" w:firstRowLastColumn="0" w:lastRowFirstColumn="0" w:lastRowLastColumn="0"/>
              <w:rPr>
                <w:b w:val="0"/>
              </w:rPr>
            </w:pPr>
            <w:r w:rsidRPr="009F5215">
              <w:rPr>
                <w:b w:val="0"/>
              </w:rPr>
              <w:t>Follow Up hours</w:t>
            </w:r>
          </w:p>
        </w:tc>
        <w:tc>
          <w:tcPr>
            <w:tcW w:w="1808" w:type="dxa"/>
            <w:shd w:val="clear" w:color="auto" w:fill="D9D9D9" w:themeFill="background1" w:themeFillShade="D9"/>
            <w:vAlign w:val="center"/>
          </w:tcPr>
          <w:p w14:paraId="10927361" w14:textId="69A4AA87" w:rsidR="009B79F9" w:rsidRPr="009F5215" w:rsidRDefault="009B79F9" w:rsidP="0081396A">
            <w:pPr>
              <w:jc w:val="center"/>
              <w:cnfStyle w:val="100000000000" w:firstRow="1" w:lastRow="0" w:firstColumn="0" w:lastColumn="0" w:oddVBand="0" w:evenVBand="0" w:oddHBand="0" w:evenHBand="0" w:firstRowFirstColumn="0" w:firstRowLastColumn="0" w:lastRowFirstColumn="0" w:lastRowLastColumn="0"/>
              <w:rPr>
                <w:b w:val="0"/>
              </w:rPr>
            </w:pPr>
            <w:r w:rsidRPr="009F5215">
              <w:rPr>
                <w:b w:val="0"/>
              </w:rPr>
              <w:t>Annual total hours for responses</w:t>
            </w:r>
          </w:p>
        </w:tc>
      </w:tr>
      <w:tr w:rsidR="009B79F9" w14:paraId="47204FAB" w14:textId="77777777" w:rsidTr="001A6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7" w:type="dxa"/>
          </w:tcPr>
          <w:p w14:paraId="6DDE14E4" w14:textId="5B431CDC" w:rsidR="009B79F9" w:rsidRDefault="00FC21AC" w:rsidP="001A6AE2">
            <w:pPr>
              <w:jc w:val="center"/>
            </w:pPr>
            <w:r>
              <w:t>200</w:t>
            </w:r>
          </w:p>
        </w:tc>
        <w:tc>
          <w:tcPr>
            <w:tcW w:w="1915" w:type="dxa"/>
          </w:tcPr>
          <w:p w14:paraId="7BD46656" w14:textId="38B7148A" w:rsidR="009B79F9" w:rsidRDefault="00F3738C" w:rsidP="001A6AE2">
            <w:pPr>
              <w:jc w:val="center"/>
              <w:cnfStyle w:val="000000100000" w:firstRow="0" w:lastRow="0" w:firstColumn="0" w:lastColumn="0" w:oddVBand="0" w:evenVBand="0" w:oddHBand="1" w:evenHBand="0" w:firstRowFirstColumn="0" w:firstRowLastColumn="0" w:lastRowFirstColumn="0" w:lastRowLastColumn="0"/>
            </w:pPr>
            <w:r>
              <w:t>33</w:t>
            </w:r>
          </w:p>
        </w:tc>
        <w:tc>
          <w:tcPr>
            <w:tcW w:w="1915" w:type="dxa"/>
          </w:tcPr>
          <w:p w14:paraId="1E66E6A8" w14:textId="629BCC32" w:rsidR="009B79F9" w:rsidRDefault="00F3738C" w:rsidP="001A6AE2">
            <w:pPr>
              <w:jc w:val="center"/>
              <w:cnfStyle w:val="000000100000" w:firstRow="0" w:lastRow="0" w:firstColumn="0" w:lastColumn="0" w:oddVBand="0" w:evenVBand="0" w:oddHBand="1" w:evenHBand="0" w:firstRowFirstColumn="0" w:firstRowLastColumn="0" w:lastRowFirstColumn="0" w:lastRowLastColumn="0"/>
            </w:pPr>
            <w:r>
              <w:t>300</w:t>
            </w:r>
          </w:p>
        </w:tc>
        <w:tc>
          <w:tcPr>
            <w:tcW w:w="1915" w:type="dxa"/>
          </w:tcPr>
          <w:p w14:paraId="6CAB86C8" w14:textId="0DF580BF" w:rsidR="009B79F9" w:rsidRDefault="00F3738C" w:rsidP="001A6AE2">
            <w:pPr>
              <w:jc w:val="center"/>
              <w:cnfStyle w:val="000000100000" w:firstRow="0" w:lastRow="0" w:firstColumn="0" w:lastColumn="0" w:oddVBand="0" w:evenVBand="0" w:oddHBand="1" w:evenHBand="0" w:firstRowFirstColumn="0" w:firstRowLastColumn="0" w:lastRowFirstColumn="0" w:lastRowLastColumn="0"/>
            </w:pPr>
            <w:r>
              <w:t>10</w:t>
            </w:r>
          </w:p>
        </w:tc>
        <w:tc>
          <w:tcPr>
            <w:tcW w:w="1808" w:type="dxa"/>
          </w:tcPr>
          <w:p w14:paraId="0B5E9900" w14:textId="1E58C60D" w:rsidR="009B79F9" w:rsidRDefault="00F3738C" w:rsidP="001A6AE2">
            <w:pPr>
              <w:jc w:val="center"/>
              <w:cnfStyle w:val="000000100000" w:firstRow="0" w:lastRow="0" w:firstColumn="0" w:lastColumn="0" w:oddVBand="0" w:evenVBand="0" w:oddHBand="1" w:evenHBand="0" w:firstRowFirstColumn="0" w:firstRowLastColumn="0" w:lastRowFirstColumn="0" w:lastRowLastColumn="0"/>
            </w:pPr>
            <w:r>
              <w:t>343</w:t>
            </w:r>
          </w:p>
        </w:tc>
      </w:tr>
    </w:tbl>
    <w:p w14:paraId="3D9D3594" w14:textId="77777777" w:rsidR="009B79F9" w:rsidRPr="002138BC" w:rsidRDefault="009B79F9" w:rsidP="009B79F9"/>
    <w:p w14:paraId="531D3C2A" w14:textId="31E2BC07" w:rsidR="009B79F9" w:rsidRDefault="009B79F9" w:rsidP="009B79F9">
      <w:r w:rsidRPr="002138BC">
        <w:t>Using the above esti</w:t>
      </w:r>
      <w:r w:rsidRPr="002138BC">
        <w:rPr>
          <w:spacing w:val="-2"/>
        </w:rPr>
        <w:t>m</w:t>
      </w:r>
      <w:r w:rsidRPr="002138BC">
        <w:t>ates, the average esti</w:t>
      </w:r>
      <w:r w:rsidRPr="002138BC">
        <w:rPr>
          <w:spacing w:val="-2"/>
        </w:rPr>
        <w:t>m</w:t>
      </w:r>
      <w:r w:rsidRPr="002138BC">
        <w:t>ated annual burden with training esti</w:t>
      </w:r>
      <w:r w:rsidRPr="002138BC">
        <w:rPr>
          <w:spacing w:val="-2"/>
        </w:rPr>
        <w:t>m</w:t>
      </w:r>
      <w:r w:rsidRPr="002138BC">
        <w:t xml:space="preserve">ates, per year, is </w:t>
      </w:r>
      <w:r w:rsidR="00CD7885">
        <w:t xml:space="preserve">5,133 </w:t>
      </w:r>
      <w:r>
        <w:t>hours (</w:t>
      </w:r>
      <w:r w:rsidR="0091688E">
        <w:t>4,790</w:t>
      </w:r>
      <w:r>
        <w:t xml:space="preserve"> </w:t>
      </w:r>
      <w:r w:rsidRPr="008C4477">
        <w:t xml:space="preserve">training hours </w:t>
      </w:r>
      <w:r w:rsidRPr="002138BC">
        <w:t xml:space="preserve">+ </w:t>
      </w:r>
      <w:r w:rsidR="00F3738C">
        <w:t>343</w:t>
      </w:r>
      <w:r w:rsidR="00F3738C" w:rsidRPr="008C4477">
        <w:t xml:space="preserve"> </w:t>
      </w:r>
      <w:r w:rsidR="0081396A">
        <w:t>response</w:t>
      </w:r>
      <w:r w:rsidRPr="008C4477">
        <w:t xml:space="preserve"> hours</w:t>
      </w:r>
      <w:r w:rsidRPr="002138BC">
        <w:t>).</w:t>
      </w:r>
    </w:p>
    <w:p w14:paraId="239A0973" w14:textId="2D8D22D4" w:rsidR="009B79F9" w:rsidRDefault="009B79F9" w:rsidP="008A0C57">
      <w:pPr>
        <w:pStyle w:val="Caption"/>
      </w:pPr>
      <w:r>
        <w:t xml:space="preserve">Table </w:t>
      </w:r>
      <w:r w:rsidR="00D90F3F">
        <w:t>3</w:t>
      </w:r>
      <w:r>
        <w:t>: Burden Summary Table</w:t>
      </w:r>
    </w:p>
    <w:bookmarkStart w:id="50" w:name="_MON_1561744953"/>
    <w:bookmarkEnd w:id="50"/>
    <w:p w14:paraId="2D1B75A1" w14:textId="399EC9D6" w:rsidR="009B79F9" w:rsidRPr="002138BC" w:rsidRDefault="00C96E4B" w:rsidP="009B79F9">
      <w:pPr>
        <w:rPr>
          <w:sz w:val="26"/>
          <w:szCs w:val="26"/>
        </w:rPr>
      </w:pPr>
      <w:r>
        <w:rPr>
          <w:b/>
          <w:bCs/>
        </w:rPr>
        <w:object w:dxaOrig="8060" w:dyaOrig="1450" w14:anchorId="01741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95pt;height:85.55pt" o:ole="">
            <v:imagedata r:id="rId17" o:title=""/>
          </v:shape>
          <o:OLEObject Type="Embed" ProgID="Excel.Sheet.12" ShapeID="_x0000_i1025" DrawAspect="Content" ObjectID="_1586945642" r:id="rId18"/>
        </w:object>
      </w:r>
    </w:p>
    <w:p w14:paraId="117C6F0B" w14:textId="6B046CB1" w:rsidR="009B79F9" w:rsidRPr="00AC7AAA" w:rsidRDefault="009B79F9" w:rsidP="009B79F9">
      <w:r w:rsidRPr="00AC7AAA">
        <w:t>The esti</w:t>
      </w:r>
      <w:r w:rsidRPr="00AC7AAA">
        <w:rPr>
          <w:spacing w:val="-2"/>
        </w:rPr>
        <w:t>m</w:t>
      </w:r>
      <w:r w:rsidRPr="00AC7AAA">
        <w:t>ated annual cost to all co</w:t>
      </w:r>
      <w:r w:rsidRPr="00AC7AAA">
        <w:rPr>
          <w:spacing w:val="-2"/>
        </w:rPr>
        <w:t>m</w:t>
      </w:r>
      <w:r w:rsidRPr="00AC7AAA">
        <w:t>bined</w:t>
      </w:r>
      <w:r w:rsidRPr="00AC7AAA">
        <w:rPr>
          <w:spacing w:val="-1"/>
        </w:rPr>
        <w:t xml:space="preserve"> </w:t>
      </w:r>
      <w:r w:rsidRPr="00AC7AAA">
        <w:t>respondents of the reporting burden is $</w:t>
      </w:r>
      <w:r w:rsidR="00F3738C" w:rsidRPr="00F3738C">
        <w:t>378</w:t>
      </w:r>
      <w:r w:rsidR="00F3738C">
        <w:t>,</w:t>
      </w:r>
      <w:r w:rsidR="00F3738C" w:rsidRPr="00F3738C">
        <w:t>097</w:t>
      </w:r>
      <w:r w:rsidR="0081396A">
        <w:t xml:space="preserve"> </w:t>
      </w:r>
      <w:r w:rsidR="005E41B9">
        <w:t>(5,</w:t>
      </w:r>
      <w:r w:rsidR="00FC21AC">
        <w:t>1</w:t>
      </w:r>
      <w:r w:rsidR="00F3738C">
        <w:t>33</w:t>
      </w:r>
      <w:r w:rsidR="00FC21AC">
        <w:t xml:space="preserve"> </w:t>
      </w:r>
      <w:r w:rsidR="005E41B9">
        <w:t xml:space="preserve">hours x $73.66) </w:t>
      </w:r>
    </w:p>
    <w:p w14:paraId="675F8DED" w14:textId="521BFE28" w:rsidR="00041DF7" w:rsidRDefault="00041DF7" w:rsidP="00041DF7">
      <w:r w:rsidRPr="002138BC">
        <w:t>There are no</w:t>
      </w:r>
      <w:r>
        <w:t xml:space="preserve"> capital or</w:t>
      </w:r>
      <w:r w:rsidRPr="002138BC">
        <w:t xml:space="preserve"> start-up cost</w:t>
      </w:r>
      <w:r>
        <w:t>s</w:t>
      </w:r>
      <w:r w:rsidRPr="002138BC">
        <w:t xml:space="preserve"> associated </w:t>
      </w:r>
      <w:r w:rsidRPr="002138BC">
        <w:rPr>
          <w:spacing w:val="-2"/>
        </w:rPr>
        <w:t>w</w:t>
      </w:r>
      <w:r w:rsidRPr="002138BC">
        <w:t>ith this data collection</w:t>
      </w:r>
      <w:r>
        <w:t xml:space="preserve"> for reporting and record keeping</w:t>
      </w:r>
      <w:r w:rsidRPr="002138BC">
        <w:t xml:space="preserve">. </w:t>
      </w:r>
      <w:r w:rsidRPr="002138BC">
        <w:rPr>
          <w:spacing w:val="-1"/>
        </w:rPr>
        <w:t>T</w:t>
      </w:r>
      <w:r w:rsidRPr="002138BC">
        <w:t>he inf</w:t>
      </w:r>
      <w:r w:rsidRPr="002138BC">
        <w:rPr>
          <w:spacing w:val="1"/>
        </w:rPr>
        <w:t>o</w:t>
      </w:r>
      <w:r w:rsidRPr="002138BC">
        <w:t>r</w:t>
      </w:r>
      <w:r w:rsidRPr="002138BC">
        <w:rPr>
          <w:spacing w:val="-2"/>
        </w:rPr>
        <w:t>m</w:t>
      </w:r>
      <w:r w:rsidRPr="002138BC">
        <w:t xml:space="preserve">ation </w:t>
      </w:r>
      <w:r>
        <w:t xml:space="preserve">collected on Form </w:t>
      </w:r>
      <w:r w:rsidR="004329D7">
        <w:t>OE</w:t>
      </w:r>
      <w:r>
        <w:t>-417 i</w:t>
      </w:r>
      <w:r w:rsidRPr="002138BC">
        <w:t>s</w:t>
      </w:r>
      <w:r>
        <w:t xml:space="preserve"> information that is collected and</w:t>
      </w:r>
      <w:r w:rsidRPr="002138BC">
        <w:t xml:space="preserve"> </w:t>
      </w:r>
      <w:r w:rsidRPr="002138BC">
        <w:rPr>
          <w:spacing w:val="-2"/>
        </w:rPr>
        <w:t>m</w:t>
      </w:r>
      <w:r w:rsidRPr="002138BC">
        <w:t xml:space="preserve">aintained </w:t>
      </w:r>
      <w:r>
        <w:t xml:space="preserve">by electric power producers </w:t>
      </w:r>
      <w:r w:rsidRPr="002138BC">
        <w:t>in the</w:t>
      </w:r>
      <w:r>
        <w:t>ir</w:t>
      </w:r>
      <w:r w:rsidRPr="002138BC">
        <w:t xml:space="preserve"> nor</w:t>
      </w:r>
      <w:r w:rsidRPr="002138BC">
        <w:rPr>
          <w:spacing w:val="-2"/>
        </w:rPr>
        <w:t>m</w:t>
      </w:r>
      <w:r w:rsidRPr="002138BC">
        <w:t>al course of business</w:t>
      </w:r>
      <w:r>
        <w:t>.</w:t>
      </w:r>
      <w:r w:rsidRPr="002138BC">
        <w:t xml:space="preserve"> Therefore, </w:t>
      </w:r>
      <w:r w:rsidRPr="002138BC">
        <w:rPr>
          <w:spacing w:val="-1"/>
        </w:rPr>
        <w:t>o</w:t>
      </w:r>
      <w:r w:rsidRPr="002138BC">
        <w:rPr>
          <w:spacing w:val="1"/>
        </w:rPr>
        <w:t>t</w:t>
      </w:r>
      <w:r w:rsidRPr="002138BC">
        <w:t>her than bur</w:t>
      </w:r>
      <w:r w:rsidRPr="002138BC">
        <w:rPr>
          <w:spacing w:val="-1"/>
        </w:rPr>
        <w:t>d</w:t>
      </w:r>
      <w:r w:rsidRPr="002138BC">
        <w:t>en hours</w:t>
      </w:r>
      <w:r>
        <w:t xml:space="preserve"> </w:t>
      </w:r>
      <w:r w:rsidRPr="002138BC">
        <w:t>t</w:t>
      </w:r>
      <w:r w:rsidRPr="002138BC">
        <w:rPr>
          <w:spacing w:val="-1"/>
        </w:rPr>
        <w:t>h</w:t>
      </w:r>
      <w:r w:rsidRPr="002138BC">
        <w:t>ere are no additio</w:t>
      </w:r>
      <w:r w:rsidRPr="002138BC">
        <w:rPr>
          <w:spacing w:val="-1"/>
        </w:rPr>
        <w:t>n</w:t>
      </w:r>
      <w:r w:rsidRPr="002138BC">
        <w:t>al c</w:t>
      </w:r>
      <w:r w:rsidRPr="002138BC">
        <w:rPr>
          <w:spacing w:val="-1"/>
        </w:rPr>
        <w:t>o</w:t>
      </w:r>
      <w:r w:rsidRPr="002138BC">
        <w:t xml:space="preserve">sts for </w:t>
      </w:r>
      <w:r>
        <w:t>annual reporting and record keeping</w:t>
      </w:r>
      <w:r w:rsidRPr="002138BC">
        <w:t>.</w:t>
      </w:r>
      <w:r>
        <w:t xml:space="preserve"> </w:t>
      </w:r>
    </w:p>
    <w:p w14:paraId="320CB1B5" w14:textId="1A7DF78C" w:rsidR="00F056C3" w:rsidRDefault="009B79F9" w:rsidP="00A41763">
      <w:pPr>
        <w:rPr>
          <w:b/>
          <w:bCs/>
        </w:rPr>
      </w:pPr>
      <w:r w:rsidRPr="00AC7AAA">
        <w:t>An avera</w:t>
      </w:r>
      <w:r w:rsidRPr="00AC7AAA">
        <w:rPr>
          <w:spacing w:val="-1"/>
        </w:rPr>
        <w:t>g</w:t>
      </w:r>
      <w:r w:rsidRPr="00AC7AAA">
        <w:t>e cost per h</w:t>
      </w:r>
      <w:r w:rsidRPr="00AC7AAA">
        <w:rPr>
          <w:spacing w:val="-1"/>
        </w:rPr>
        <w:t>o</w:t>
      </w:r>
      <w:r w:rsidRPr="00AC7AAA">
        <w:t xml:space="preserve">ur of </w:t>
      </w:r>
      <w:r w:rsidR="000941B9">
        <w:t xml:space="preserve">$73.66 </w:t>
      </w:r>
      <w:r w:rsidRPr="00AC7AAA">
        <w:t>is used because that is t</w:t>
      </w:r>
      <w:r w:rsidRPr="00AC7AAA">
        <w:rPr>
          <w:spacing w:val="-1"/>
        </w:rPr>
        <w:t>h</w:t>
      </w:r>
      <w:r w:rsidRPr="00AC7AAA">
        <w:t>e average loa</w:t>
      </w:r>
      <w:r w:rsidRPr="00AC7AAA">
        <w:rPr>
          <w:spacing w:val="-1"/>
        </w:rPr>
        <w:t>d</w:t>
      </w:r>
      <w:r w:rsidRPr="00AC7AAA">
        <w:t xml:space="preserve">ed (salary </w:t>
      </w:r>
      <w:r w:rsidRPr="00AC7AAA">
        <w:rPr>
          <w:spacing w:val="-1"/>
        </w:rPr>
        <w:t>pl</w:t>
      </w:r>
      <w:r w:rsidRPr="00AC7AAA">
        <w:t>us benefits) cost for a DOE e</w:t>
      </w:r>
      <w:r w:rsidRPr="00AC7AAA">
        <w:rPr>
          <w:spacing w:val="-2"/>
        </w:rPr>
        <w:t>m</w:t>
      </w:r>
      <w:r w:rsidRPr="00AC7AAA">
        <w:t>ployee. DOE as</w:t>
      </w:r>
      <w:r w:rsidRPr="002138BC">
        <w:t>su</w:t>
      </w:r>
      <w:r w:rsidRPr="002138BC">
        <w:rPr>
          <w:spacing w:val="-2"/>
        </w:rPr>
        <w:t>m</w:t>
      </w:r>
      <w:r w:rsidRPr="002138BC">
        <w:t>es that the survey respondent workforce co</w:t>
      </w:r>
      <w:r w:rsidRPr="002138BC">
        <w:rPr>
          <w:spacing w:val="-2"/>
        </w:rPr>
        <w:t>m</w:t>
      </w:r>
      <w:r w:rsidRPr="002138BC">
        <w:t xml:space="preserve">pleting </w:t>
      </w:r>
      <w:r w:rsidR="001A6AE2">
        <w:t>Form O</w:t>
      </w:r>
      <w:r w:rsidRPr="002138BC">
        <w:t>E-417 is comparable with the DOE workforce.</w:t>
      </w:r>
    </w:p>
    <w:p w14:paraId="2C0A3EE0" w14:textId="77777777" w:rsidR="00F056C3" w:rsidRDefault="00F056C3" w:rsidP="00910D61">
      <w:pPr>
        <w:pStyle w:val="Heading2"/>
      </w:pPr>
      <w:bookmarkStart w:id="51" w:name="_Toc466046221"/>
      <w:bookmarkStart w:id="52" w:name="_Toc487186515"/>
      <w:bookmarkStart w:id="53" w:name="_Toc488240622"/>
      <w:r>
        <w:t>A.</w:t>
      </w:r>
      <w:r w:rsidR="00A41763" w:rsidRPr="00A41763">
        <w:t xml:space="preserve">13. </w:t>
      </w:r>
      <w:r w:rsidRPr="00F056C3">
        <w:t>Annual Cost to the Federal Government</w:t>
      </w:r>
      <w:bookmarkEnd w:id="51"/>
      <w:bookmarkEnd w:id="52"/>
      <w:bookmarkEnd w:id="53"/>
    </w:p>
    <w:p w14:paraId="44F6DF60" w14:textId="28A1CB90" w:rsidR="00FA6217" w:rsidRPr="004B722B" w:rsidRDefault="00FA6217" w:rsidP="00FA6217">
      <w:bookmarkStart w:id="54" w:name="_Toc466046222"/>
      <w:r w:rsidRPr="002138BC">
        <w:t>The annual costs</w:t>
      </w:r>
      <w:r w:rsidR="003E5AC1">
        <w:t xml:space="preserve"> based on contractor invoices</w:t>
      </w:r>
      <w:r w:rsidRPr="002138BC">
        <w:t>, includ</w:t>
      </w:r>
      <w:r w:rsidRPr="002138BC">
        <w:rPr>
          <w:spacing w:val="-1"/>
        </w:rPr>
        <w:t>i</w:t>
      </w:r>
      <w:r w:rsidRPr="002138BC">
        <w:t>ng personnel, develop</w:t>
      </w:r>
      <w:r w:rsidRPr="002138BC">
        <w:rPr>
          <w:spacing w:val="-2"/>
        </w:rPr>
        <w:t>m</w:t>
      </w:r>
      <w:r w:rsidRPr="002138BC">
        <w:t>e</w:t>
      </w:r>
      <w:r w:rsidRPr="002138BC">
        <w:rPr>
          <w:spacing w:val="-2"/>
        </w:rPr>
        <w:t>n</w:t>
      </w:r>
      <w:r w:rsidRPr="002138BC">
        <w:t>t/</w:t>
      </w:r>
      <w:r w:rsidRPr="002138BC">
        <w:rPr>
          <w:spacing w:val="-2"/>
        </w:rPr>
        <w:t>m</w:t>
      </w:r>
      <w:r w:rsidRPr="002138BC">
        <w:t>aintenance,</w:t>
      </w:r>
      <w:r w:rsidRPr="002138BC">
        <w:rPr>
          <w:spacing w:val="-1"/>
        </w:rPr>
        <w:t xml:space="preserve"> </w:t>
      </w:r>
      <w:r w:rsidRPr="002138BC">
        <w:t>collection, processing, analysis, and publication are esti</w:t>
      </w:r>
      <w:r w:rsidRPr="002138BC">
        <w:rPr>
          <w:spacing w:val="-2"/>
        </w:rPr>
        <w:t>m</w:t>
      </w:r>
      <w:r w:rsidRPr="002138BC">
        <w:t>ated to be approxi</w:t>
      </w:r>
      <w:r w:rsidRPr="002138BC">
        <w:rPr>
          <w:spacing w:val="-2"/>
        </w:rPr>
        <w:t>m</w:t>
      </w:r>
      <w:r w:rsidRPr="002138BC">
        <w:t>ately $</w:t>
      </w:r>
      <w:r>
        <w:t>375,288</w:t>
      </w:r>
      <w:r w:rsidR="000C2F80">
        <w:t>—an increase of around $213,000 from 2014</w:t>
      </w:r>
      <w:r w:rsidRPr="002138BC">
        <w:t>.</w:t>
      </w:r>
      <w:r>
        <w:t xml:space="preserve"> Table </w:t>
      </w:r>
      <w:r w:rsidR="00FC7E1B">
        <w:t>4</w:t>
      </w:r>
      <w:r w:rsidR="00FC21AC">
        <w:t xml:space="preserve"> </w:t>
      </w:r>
      <w:r>
        <w:t>provides a comparison of 2017</w:t>
      </w:r>
      <w:r w:rsidR="00041DF7">
        <w:t xml:space="preserve"> actual</w:t>
      </w:r>
      <w:r>
        <w:t xml:space="preserve"> </w:t>
      </w:r>
      <w:r w:rsidR="005E41B9">
        <w:t>c</w:t>
      </w:r>
      <w:r>
        <w:t xml:space="preserve">osts to 2014 </w:t>
      </w:r>
      <w:r w:rsidR="00041DF7">
        <w:t xml:space="preserve">actual </w:t>
      </w:r>
      <w:r>
        <w:t xml:space="preserve">costs, </w:t>
      </w:r>
      <w:r w:rsidR="000C2F80">
        <w:t>and</w:t>
      </w:r>
      <w:r>
        <w:t xml:space="preserve"> an overview of estimated hours for various </w:t>
      </w:r>
      <w:r w:rsidR="0081396A">
        <w:t xml:space="preserve">survey </w:t>
      </w:r>
      <w:r>
        <w:t xml:space="preserve">management functions, including System Development, Maintenance, and Support of Form OE-417 online system (which includes processing and helping users address system issues), Project Management of Online System projects, and Annual Form follow-up hours. </w:t>
      </w:r>
      <w:r w:rsidR="00041DF7" w:rsidRPr="004B722B">
        <w:t xml:space="preserve">The increased cost from 2014 </w:t>
      </w:r>
      <w:r w:rsidR="004329D7" w:rsidRPr="004B722B">
        <w:t>to</w:t>
      </w:r>
      <w:r w:rsidR="00041DF7" w:rsidRPr="004B722B">
        <w:t xml:space="preserve"> 2017 is </w:t>
      </w:r>
      <w:r w:rsidR="00067C19" w:rsidRPr="004B722B">
        <w:t xml:space="preserve">due to </w:t>
      </w:r>
      <w:r w:rsidR="00041DF7" w:rsidRPr="004B722B">
        <w:t>system updates that were required to modify the electronic data collection system for the updated version of the form</w:t>
      </w:r>
      <w:r w:rsidR="004329D7" w:rsidRPr="004B722B">
        <w:t xml:space="preserve"> as well as the consolidation of all activities related to the development, maintenance, analysis and publication of Form OE-417 to a single support contract task</w:t>
      </w:r>
      <w:r w:rsidR="00041DF7" w:rsidRPr="004B722B">
        <w:t xml:space="preserve">. Other factors that affected the increase in overall system costs </w:t>
      </w:r>
      <w:r w:rsidR="00067C19" w:rsidRPr="004B722B">
        <w:t>were</w:t>
      </w:r>
      <w:r w:rsidR="00041DF7" w:rsidRPr="004B722B">
        <w:t xml:space="preserve"> due to overall support contract cost increases, increased usages of the online system, as well as </w:t>
      </w:r>
      <w:r w:rsidR="00067C19" w:rsidRPr="004B722B">
        <w:t>enhancement and usability improvements to the</w:t>
      </w:r>
      <w:r w:rsidR="00041DF7" w:rsidRPr="004B722B">
        <w:t xml:space="preserve"> </w:t>
      </w:r>
      <w:r w:rsidR="00067C19" w:rsidRPr="004B722B">
        <w:t>collection and processing</w:t>
      </w:r>
      <w:r w:rsidR="00041DF7" w:rsidRPr="004B722B">
        <w:t xml:space="preserve"> system</w:t>
      </w:r>
      <w:r w:rsidR="00067C19" w:rsidRPr="004B722B">
        <w:t>.</w:t>
      </w:r>
      <w:r w:rsidR="00FC44F5" w:rsidRPr="004B722B">
        <w:t xml:space="preserve"> </w:t>
      </w:r>
      <w:r w:rsidR="004329D7" w:rsidRPr="004B722B">
        <w:t xml:space="preserve">DOE anticipates that the annual cost </w:t>
      </w:r>
      <w:r w:rsidR="00A10EE3" w:rsidRPr="004B722B">
        <w:t>for Form OE-417</w:t>
      </w:r>
      <w:r w:rsidR="00397444" w:rsidRPr="004B722B">
        <w:t xml:space="preserve"> in 2018, and each successive year thereafter,</w:t>
      </w:r>
      <w:r w:rsidR="00A10EE3" w:rsidRPr="004B722B">
        <w:t xml:space="preserve"> is expected to be approximately $325,000 - $375,000 per year. </w:t>
      </w:r>
      <w:r w:rsidR="00171579" w:rsidRPr="004B722B">
        <w:t>Federal oversight of Form OE-417 is handled by the Program Manager for Situational Analysis as part of regularly assigned duties in the curse of normal business, thus there is no additional costs for Federal employees.</w:t>
      </w:r>
    </w:p>
    <w:p w14:paraId="2C4F9253" w14:textId="77777777" w:rsidR="00F0710D" w:rsidRDefault="00F0710D" w:rsidP="00F0710D"/>
    <w:p w14:paraId="03AD3D4B" w14:textId="04DB2171" w:rsidR="00F0710D" w:rsidRDefault="00F0710D" w:rsidP="008A0C57">
      <w:pPr>
        <w:pStyle w:val="Caption"/>
      </w:pPr>
      <w:r>
        <w:t xml:space="preserve">Table </w:t>
      </w:r>
      <w:r w:rsidR="000C2F80">
        <w:t>4</w:t>
      </w:r>
      <w:r>
        <w:t>: Estimated Hours</w:t>
      </w:r>
      <w:r w:rsidR="00EC09B0">
        <w:t xml:space="preserve"> and Actual Costs</w:t>
      </w:r>
      <w:r>
        <w:t xml:space="preserve"> for Survey Functions </w:t>
      </w:r>
    </w:p>
    <w:tbl>
      <w:tblPr>
        <w:tblStyle w:val="TableGrid"/>
        <w:tblW w:w="4942" w:type="pct"/>
        <w:tblInd w:w="108" w:type="dxa"/>
        <w:tblLook w:val="04A0" w:firstRow="1" w:lastRow="0" w:firstColumn="1" w:lastColumn="0" w:noHBand="0" w:noVBand="1"/>
      </w:tblPr>
      <w:tblGrid>
        <w:gridCol w:w="1893"/>
        <w:gridCol w:w="1893"/>
        <w:gridCol w:w="1893"/>
        <w:gridCol w:w="1893"/>
        <w:gridCol w:w="1893"/>
      </w:tblGrid>
      <w:tr w:rsidR="000C2F80" w:rsidRPr="006960B0" w14:paraId="721C0E80" w14:textId="6F2E636A" w:rsidTr="000C2F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0" w:type="pct"/>
            <w:shd w:val="clear" w:color="auto" w:fill="D9D9D9" w:themeFill="background1" w:themeFillShade="D9"/>
            <w:vAlign w:val="center"/>
          </w:tcPr>
          <w:p w14:paraId="28151022" w14:textId="77777777" w:rsidR="000C2F80" w:rsidRPr="006960B0" w:rsidRDefault="000C2F80" w:rsidP="001A6AE2">
            <w:pPr>
              <w:spacing w:line="276" w:lineRule="auto"/>
              <w:jc w:val="center"/>
              <w:rPr>
                <w:b w:val="0"/>
              </w:rPr>
            </w:pPr>
          </w:p>
        </w:tc>
        <w:tc>
          <w:tcPr>
            <w:tcW w:w="1000" w:type="pct"/>
            <w:shd w:val="clear" w:color="auto" w:fill="D9D9D9" w:themeFill="background1" w:themeFillShade="D9"/>
            <w:vAlign w:val="center"/>
          </w:tcPr>
          <w:p w14:paraId="4B18B06F" w14:textId="77777777" w:rsidR="000C2F80" w:rsidRPr="006960B0" w:rsidRDefault="000C2F80" w:rsidP="001A6AE2">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Pr>
                <w:b w:val="0"/>
              </w:rPr>
              <w:t>OE-417 System Development Maintenance, and Support Hours</w:t>
            </w:r>
          </w:p>
        </w:tc>
        <w:tc>
          <w:tcPr>
            <w:tcW w:w="1000" w:type="pct"/>
            <w:shd w:val="clear" w:color="auto" w:fill="D9D9D9" w:themeFill="background1" w:themeFillShade="D9"/>
            <w:vAlign w:val="center"/>
          </w:tcPr>
          <w:p w14:paraId="0D356220" w14:textId="130DE75D" w:rsidR="000C2F80" w:rsidRPr="006960B0" w:rsidRDefault="000C2F80" w:rsidP="001A6AE2">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Pr>
                <w:b w:val="0"/>
              </w:rPr>
              <w:t>Project Management of Online System Projects</w:t>
            </w:r>
            <w:r w:rsidR="00EC09B0">
              <w:rPr>
                <w:b w:val="0"/>
              </w:rPr>
              <w:t xml:space="preserve"> Hours</w:t>
            </w:r>
            <w:r>
              <w:rPr>
                <w:rStyle w:val="FootnoteReference"/>
                <w:b w:val="0"/>
              </w:rPr>
              <w:footnoteReference w:id="9"/>
            </w:r>
          </w:p>
        </w:tc>
        <w:tc>
          <w:tcPr>
            <w:tcW w:w="1000" w:type="pct"/>
            <w:shd w:val="clear" w:color="auto" w:fill="D9D9D9" w:themeFill="background1" w:themeFillShade="D9"/>
            <w:vAlign w:val="center"/>
          </w:tcPr>
          <w:p w14:paraId="54022A42" w14:textId="77777777" w:rsidR="000C2F80" w:rsidRPr="006960B0" w:rsidRDefault="000C2F80" w:rsidP="001A6AE2">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Pr>
                <w:b w:val="0"/>
              </w:rPr>
              <w:t xml:space="preserve">Annual Form </w:t>
            </w:r>
            <w:r w:rsidRPr="006960B0">
              <w:rPr>
                <w:b w:val="0"/>
              </w:rPr>
              <w:t>Follow-up Hours</w:t>
            </w:r>
            <w:r>
              <w:rPr>
                <w:rStyle w:val="FootnoteReference"/>
                <w:b w:val="0"/>
              </w:rPr>
              <w:footnoteReference w:id="10"/>
            </w:r>
          </w:p>
        </w:tc>
        <w:tc>
          <w:tcPr>
            <w:tcW w:w="1000" w:type="pct"/>
            <w:shd w:val="clear" w:color="auto" w:fill="D9D9D9" w:themeFill="background1" w:themeFillShade="D9"/>
          </w:tcPr>
          <w:p w14:paraId="61A8D8CF" w14:textId="0A9E6FDF" w:rsidR="000C2F80" w:rsidRDefault="000C2F80" w:rsidP="001A6AE2">
            <w:pPr>
              <w:spacing w:line="276" w:lineRule="auto"/>
              <w:jc w:val="center"/>
              <w:cnfStyle w:val="100000000000" w:firstRow="1" w:lastRow="0" w:firstColumn="0" w:lastColumn="0" w:oddVBand="0" w:evenVBand="0" w:oddHBand="0" w:evenHBand="0" w:firstRowFirstColumn="0" w:firstRowLastColumn="0" w:lastRowFirstColumn="0" w:lastRowLastColumn="0"/>
            </w:pPr>
            <w:r w:rsidRPr="00AD70ED">
              <w:rPr>
                <w:b w:val="0"/>
              </w:rPr>
              <w:t>Annual Cost to the Federal Government</w:t>
            </w:r>
          </w:p>
        </w:tc>
      </w:tr>
      <w:tr w:rsidR="000C2F80" w14:paraId="771CDF4D" w14:textId="25926E6B" w:rsidTr="000C2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39652D40" w14:textId="77777777" w:rsidR="000C2F80" w:rsidRDefault="000C2F80" w:rsidP="001A6AE2">
            <w:pPr>
              <w:spacing w:line="276" w:lineRule="auto"/>
            </w:pPr>
            <w:r>
              <w:t>2014 Estimate</w:t>
            </w:r>
          </w:p>
        </w:tc>
        <w:tc>
          <w:tcPr>
            <w:tcW w:w="1000" w:type="pct"/>
            <w:vAlign w:val="center"/>
          </w:tcPr>
          <w:p w14:paraId="7985C7B0" w14:textId="77777777" w:rsidR="000C2F80" w:rsidRDefault="000C2F80" w:rsidP="001A6AE2">
            <w:pPr>
              <w:spacing w:line="276" w:lineRule="auto"/>
              <w:jc w:val="center"/>
              <w:cnfStyle w:val="000000100000" w:firstRow="0" w:lastRow="0" w:firstColumn="0" w:lastColumn="0" w:oddVBand="0" w:evenVBand="0" w:oddHBand="1" w:evenHBand="0" w:firstRowFirstColumn="0" w:firstRowLastColumn="0" w:lastRowFirstColumn="0" w:lastRowLastColumn="0"/>
            </w:pPr>
            <w:r>
              <w:t>1,280</w:t>
            </w:r>
          </w:p>
        </w:tc>
        <w:tc>
          <w:tcPr>
            <w:tcW w:w="1000" w:type="pct"/>
            <w:vAlign w:val="center"/>
          </w:tcPr>
          <w:p w14:paraId="1C4AAA2B" w14:textId="77777777" w:rsidR="000C2F80" w:rsidRDefault="000C2F80" w:rsidP="001A6AE2">
            <w:pPr>
              <w:spacing w:line="276" w:lineRule="auto"/>
              <w:jc w:val="center"/>
              <w:cnfStyle w:val="000000100000" w:firstRow="0" w:lastRow="0" w:firstColumn="0" w:lastColumn="0" w:oddVBand="0" w:evenVBand="0" w:oddHBand="1" w:evenHBand="0" w:firstRowFirstColumn="0" w:firstRowLastColumn="0" w:lastRowFirstColumn="0" w:lastRowLastColumn="0"/>
            </w:pPr>
            <w:r>
              <w:t>40</w:t>
            </w:r>
          </w:p>
        </w:tc>
        <w:tc>
          <w:tcPr>
            <w:tcW w:w="1000" w:type="pct"/>
            <w:vAlign w:val="center"/>
          </w:tcPr>
          <w:p w14:paraId="776EF794" w14:textId="77777777" w:rsidR="000C2F80" w:rsidRDefault="000C2F80" w:rsidP="001A6AE2">
            <w:pPr>
              <w:spacing w:line="276" w:lineRule="auto"/>
              <w:jc w:val="center"/>
              <w:cnfStyle w:val="000000100000" w:firstRow="0" w:lastRow="0" w:firstColumn="0" w:lastColumn="0" w:oddVBand="0" w:evenVBand="0" w:oddHBand="1" w:evenHBand="0" w:firstRowFirstColumn="0" w:firstRowLastColumn="0" w:lastRowFirstColumn="0" w:lastRowLastColumn="0"/>
            </w:pPr>
            <w:r>
              <w:t>25</w:t>
            </w:r>
          </w:p>
        </w:tc>
        <w:tc>
          <w:tcPr>
            <w:tcW w:w="1000" w:type="pct"/>
          </w:tcPr>
          <w:p w14:paraId="7DA2C3F4" w14:textId="54590CBE" w:rsidR="000C2F80" w:rsidRDefault="000C2F80" w:rsidP="001A6AE2">
            <w:pPr>
              <w:spacing w:line="276" w:lineRule="auto"/>
              <w:jc w:val="center"/>
              <w:cnfStyle w:val="000000100000" w:firstRow="0" w:lastRow="0" w:firstColumn="0" w:lastColumn="0" w:oddVBand="0" w:evenVBand="0" w:oddHBand="1" w:evenHBand="0" w:firstRowFirstColumn="0" w:firstRowLastColumn="0" w:lastRowFirstColumn="0" w:lastRowLastColumn="0"/>
            </w:pPr>
            <w:r>
              <w:t>$162,000</w:t>
            </w:r>
          </w:p>
        </w:tc>
      </w:tr>
      <w:tr w:rsidR="000C2F80" w14:paraId="43CC0A9C" w14:textId="6844539C" w:rsidTr="000C2F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29AF749A" w14:textId="77777777" w:rsidR="000C2F80" w:rsidRDefault="000C2F80" w:rsidP="001A6AE2">
            <w:r>
              <w:t>2017 Estimate</w:t>
            </w:r>
          </w:p>
        </w:tc>
        <w:tc>
          <w:tcPr>
            <w:tcW w:w="1000" w:type="pct"/>
            <w:vAlign w:val="center"/>
          </w:tcPr>
          <w:p w14:paraId="4B18F383" w14:textId="1312D22C" w:rsidR="000C2F80" w:rsidRDefault="000C2F80" w:rsidP="001A6AE2">
            <w:pPr>
              <w:jc w:val="center"/>
              <w:cnfStyle w:val="000000010000" w:firstRow="0" w:lastRow="0" w:firstColumn="0" w:lastColumn="0" w:oddVBand="0" w:evenVBand="0" w:oddHBand="0" w:evenHBand="1" w:firstRowFirstColumn="0" w:firstRowLastColumn="0" w:lastRowFirstColumn="0" w:lastRowLastColumn="0"/>
            </w:pPr>
            <w:r>
              <w:t>3,018</w:t>
            </w:r>
          </w:p>
        </w:tc>
        <w:tc>
          <w:tcPr>
            <w:tcW w:w="1000" w:type="pct"/>
            <w:vAlign w:val="center"/>
          </w:tcPr>
          <w:p w14:paraId="1742D1F1" w14:textId="77777777" w:rsidR="000C2F80" w:rsidRDefault="000C2F80" w:rsidP="001A6AE2">
            <w:pPr>
              <w:jc w:val="center"/>
              <w:cnfStyle w:val="000000010000" w:firstRow="0" w:lastRow="0" w:firstColumn="0" w:lastColumn="0" w:oddVBand="0" w:evenVBand="0" w:oddHBand="0" w:evenHBand="1" w:firstRowFirstColumn="0" w:firstRowLastColumn="0" w:lastRowFirstColumn="0" w:lastRowLastColumn="0"/>
            </w:pPr>
            <w:r>
              <w:t>100</w:t>
            </w:r>
          </w:p>
        </w:tc>
        <w:tc>
          <w:tcPr>
            <w:tcW w:w="1000" w:type="pct"/>
            <w:vAlign w:val="center"/>
          </w:tcPr>
          <w:p w14:paraId="797CCCDC" w14:textId="77777777" w:rsidR="000C2F80" w:rsidRDefault="000C2F80" w:rsidP="001A6AE2">
            <w:pPr>
              <w:jc w:val="center"/>
              <w:cnfStyle w:val="000000010000" w:firstRow="0" w:lastRow="0" w:firstColumn="0" w:lastColumn="0" w:oddVBand="0" w:evenVBand="0" w:oddHBand="0" w:evenHBand="1" w:firstRowFirstColumn="0" w:firstRowLastColumn="0" w:lastRowFirstColumn="0" w:lastRowLastColumn="0"/>
            </w:pPr>
            <w:r>
              <w:t>50</w:t>
            </w:r>
          </w:p>
        </w:tc>
        <w:tc>
          <w:tcPr>
            <w:tcW w:w="1000" w:type="pct"/>
          </w:tcPr>
          <w:p w14:paraId="20487E23" w14:textId="5C9BDB0C" w:rsidR="000C2F80" w:rsidRDefault="000C2F80" w:rsidP="001A6AE2">
            <w:pPr>
              <w:jc w:val="center"/>
              <w:cnfStyle w:val="000000010000" w:firstRow="0" w:lastRow="0" w:firstColumn="0" w:lastColumn="0" w:oddVBand="0" w:evenVBand="0" w:oddHBand="0" w:evenHBand="1" w:firstRowFirstColumn="0" w:firstRowLastColumn="0" w:lastRowFirstColumn="0" w:lastRowLastColumn="0"/>
            </w:pPr>
            <w:r>
              <w:t>$375,288</w:t>
            </w:r>
          </w:p>
        </w:tc>
      </w:tr>
    </w:tbl>
    <w:p w14:paraId="00A3A244" w14:textId="77777777" w:rsidR="00910D61" w:rsidRDefault="00910D61" w:rsidP="008A0C57">
      <w:pPr>
        <w:pStyle w:val="Caption"/>
        <w:sectPr w:rsidR="00910D61" w:rsidSect="000C2F80">
          <w:headerReference w:type="even" r:id="rId19"/>
          <w:headerReference w:type="default" r:id="rId20"/>
          <w:footerReference w:type="even" r:id="rId21"/>
          <w:headerReference w:type="first" r:id="rId22"/>
          <w:footerReference w:type="first" r:id="rId23"/>
          <w:pgSz w:w="12240" w:h="15840"/>
          <w:pgMar w:top="1440" w:right="1440" w:bottom="1440" w:left="1440" w:header="720" w:footer="720" w:gutter="0"/>
          <w:cols w:space="720"/>
          <w:docGrid w:linePitch="360"/>
        </w:sectPr>
      </w:pPr>
    </w:p>
    <w:p w14:paraId="42D0B81F" w14:textId="60E5E67E" w:rsidR="00910D61" w:rsidRDefault="00910D61" w:rsidP="008A0C57">
      <w:pPr>
        <w:pStyle w:val="Caption"/>
      </w:pPr>
      <w:r w:rsidRPr="008A0C57">
        <w:t xml:space="preserve">A.14. Changes in Burden </w:t>
      </w:r>
    </w:p>
    <w:bookmarkStart w:id="55" w:name="_Toc466046223"/>
    <w:bookmarkEnd w:id="54"/>
    <w:p w14:paraId="140462A4" w14:textId="1FBBBE14" w:rsidR="0091409C" w:rsidRDefault="00191B0B" w:rsidP="00910D61">
      <w:pPr>
        <w:pStyle w:val="Heading2"/>
        <w:sectPr w:rsidR="0091409C" w:rsidSect="00910D61">
          <w:pgSz w:w="15840" w:h="12240" w:orient="landscape"/>
          <w:pgMar w:top="1440" w:right="1440" w:bottom="1440" w:left="1440" w:header="720" w:footer="720" w:gutter="0"/>
          <w:cols w:space="720"/>
          <w:docGrid w:linePitch="360"/>
        </w:sectPr>
      </w:pPr>
      <w:r>
        <w:object w:dxaOrig="30094" w:dyaOrig="3460" w14:anchorId="104F6742">
          <v:shape id="_x0000_i1026" type="#_x0000_t75" style="width:675.6pt;height:145.5pt" o:ole="">
            <v:imagedata r:id="rId24" o:title=""/>
            <o:lock v:ext="edit" aspectratio="f"/>
          </v:shape>
          <o:OLEObject Type="Embed" ProgID="Excel.Sheet.12" ShapeID="_x0000_i1026" DrawAspect="Content" ObjectID="_1586945643" r:id="rId25"/>
        </w:object>
      </w:r>
    </w:p>
    <w:p w14:paraId="0748F6C9" w14:textId="2DCD1D9D" w:rsidR="006D42EC" w:rsidRDefault="00F056C3" w:rsidP="00910D61">
      <w:pPr>
        <w:pStyle w:val="Heading2"/>
      </w:pPr>
      <w:bookmarkStart w:id="56" w:name="_Toc487186517"/>
      <w:bookmarkStart w:id="57" w:name="_Toc488240624"/>
      <w:r>
        <w:t>A.</w:t>
      </w:r>
      <w:r w:rsidR="00A41763" w:rsidRPr="00A41763">
        <w:t xml:space="preserve">15. </w:t>
      </w:r>
      <w:r w:rsidR="006D42EC">
        <w:t>Reasons for Changes in Burden</w:t>
      </w:r>
      <w:bookmarkEnd w:id="55"/>
      <w:bookmarkEnd w:id="56"/>
      <w:bookmarkEnd w:id="57"/>
    </w:p>
    <w:p w14:paraId="173A21AC" w14:textId="6009D746" w:rsidR="00F05481" w:rsidRDefault="00F05481" w:rsidP="0016154B">
      <w:pPr>
        <w:rPr>
          <w:szCs w:val="24"/>
        </w:rPr>
      </w:pPr>
      <w:r>
        <w:rPr>
          <w:szCs w:val="24"/>
        </w:rPr>
        <w:t>Table 5 shows that t</w:t>
      </w:r>
      <w:r w:rsidRPr="009735D7">
        <w:rPr>
          <w:szCs w:val="24"/>
        </w:rPr>
        <w:t xml:space="preserve">he total respondent burden decreased by 1,390 hours from 6,523 hours to </w:t>
      </w:r>
      <w:r w:rsidRPr="009735D7">
        <w:t xml:space="preserve">5,133 </w:t>
      </w:r>
      <w:r w:rsidRPr="009735D7">
        <w:rPr>
          <w:szCs w:val="24"/>
        </w:rPr>
        <w:t>hours</w:t>
      </w:r>
      <w:r w:rsidRPr="009735D7">
        <w:rPr>
          <w:spacing w:val="-1"/>
          <w:szCs w:val="24"/>
        </w:rPr>
        <w:t xml:space="preserve"> </w:t>
      </w:r>
      <w:r w:rsidRPr="009735D7">
        <w:rPr>
          <w:szCs w:val="24"/>
        </w:rPr>
        <w:t>since the 2014 sub</w:t>
      </w:r>
      <w:r w:rsidRPr="009735D7">
        <w:rPr>
          <w:spacing w:val="-2"/>
          <w:szCs w:val="24"/>
        </w:rPr>
        <w:t>m</w:t>
      </w:r>
      <w:r w:rsidRPr="009735D7">
        <w:rPr>
          <w:szCs w:val="24"/>
        </w:rPr>
        <w:t xml:space="preserve">ission, due to a decrease in survey respondents from the 2014 </w:t>
      </w:r>
      <w:r>
        <w:rPr>
          <w:szCs w:val="24"/>
        </w:rPr>
        <w:t>clearance</w:t>
      </w:r>
      <w:r w:rsidR="00E20E54">
        <w:rPr>
          <w:szCs w:val="24"/>
        </w:rPr>
        <w:t>.</w:t>
      </w:r>
    </w:p>
    <w:p w14:paraId="2D57A04F" w14:textId="2ABC5035" w:rsidR="008A0ED7" w:rsidRPr="00E11E07" w:rsidRDefault="008A0ED7" w:rsidP="0016154B">
      <w:pPr>
        <w:rPr>
          <w:b/>
          <w:szCs w:val="24"/>
        </w:rPr>
      </w:pPr>
      <w:r w:rsidRPr="00E11E07">
        <w:rPr>
          <w:b/>
          <w:szCs w:val="24"/>
        </w:rPr>
        <w:t>Respondents</w:t>
      </w:r>
    </w:p>
    <w:p w14:paraId="46892E23" w14:textId="0B6FD3AC" w:rsidR="008A0ED7" w:rsidRDefault="00133DA9" w:rsidP="0016154B">
      <w:pPr>
        <w:rPr>
          <w:szCs w:val="24"/>
        </w:rPr>
      </w:pPr>
      <w:r>
        <w:rPr>
          <w:szCs w:val="24"/>
        </w:rPr>
        <w:t>The number of annual responses w</w:t>
      </w:r>
      <w:r w:rsidR="00397444">
        <w:rPr>
          <w:szCs w:val="24"/>
        </w:rPr>
        <w:t>as</w:t>
      </w:r>
      <w:r>
        <w:rPr>
          <w:szCs w:val="24"/>
        </w:rPr>
        <w:t xml:space="preserve"> incorrectly </w:t>
      </w:r>
      <w:r w:rsidR="00397444">
        <w:rPr>
          <w:szCs w:val="24"/>
        </w:rPr>
        <w:t>inputted in ROCIS</w:t>
      </w:r>
      <w:r>
        <w:rPr>
          <w:szCs w:val="24"/>
        </w:rPr>
        <w:t xml:space="preserve"> on the previous submission </w:t>
      </w:r>
      <w:r w:rsidR="00397444">
        <w:rPr>
          <w:szCs w:val="24"/>
        </w:rPr>
        <w:t>of this ICR</w:t>
      </w:r>
      <w:r>
        <w:rPr>
          <w:szCs w:val="24"/>
        </w:rPr>
        <w:t xml:space="preserve">. </w:t>
      </w:r>
      <w:r w:rsidR="00F05481">
        <w:rPr>
          <w:szCs w:val="24"/>
        </w:rPr>
        <w:t xml:space="preserve">The </w:t>
      </w:r>
      <w:r w:rsidR="008A0ED7">
        <w:rPr>
          <w:szCs w:val="24"/>
        </w:rPr>
        <w:t>number of respondents for training (</w:t>
      </w:r>
      <w:r w:rsidRPr="006B69A4">
        <w:rPr>
          <w:szCs w:val="24"/>
        </w:rPr>
        <w:t>2,924</w:t>
      </w:r>
      <w:r w:rsidR="008A0ED7">
        <w:rPr>
          <w:szCs w:val="24"/>
        </w:rPr>
        <w:t>)</w:t>
      </w:r>
      <w:r w:rsidR="00F05481">
        <w:rPr>
          <w:szCs w:val="24"/>
        </w:rPr>
        <w:t xml:space="preserve"> was used in 2014 as the</w:t>
      </w:r>
      <w:r w:rsidR="008A0ED7">
        <w:rPr>
          <w:szCs w:val="24"/>
        </w:rPr>
        <w:t xml:space="preserve"> total</w:t>
      </w:r>
      <w:r w:rsidR="00F05481">
        <w:rPr>
          <w:szCs w:val="24"/>
        </w:rPr>
        <w:t xml:space="preserve"> number of annual responses</w:t>
      </w:r>
      <w:r w:rsidR="00397444">
        <w:rPr>
          <w:szCs w:val="24"/>
        </w:rPr>
        <w:t xml:space="preserve">, </w:t>
      </w:r>
      <w:r w:rsidR="0038492A">
        <w:rPr>
          <w:szCs w:val="24"/>
        </w:rPr>
        <w:t>so</w:t>
      </w:r>
      <w:r w:rsidR="00397444">
        <w:rPr>
          <w:szCs w:val="24"/>
        </w:rPr>
        <w:t xml:space="preserve">, this </w:t>
      </w:r>
      <w:r w:rsidRPr="006B69A4">
        <w:rPr>
          <w:szCs w:val="24"/>
        </w:rPr>
        <w:t xml:space="preserve">did not </w:t>
      </w:r>
      <w:r w:rsidR="00397444">
        <w:rPr>
          <w:szCs w:val="24"/>
        </w:rPr>
        <w:t>include</w:t>
      </w:r>
      <w:r w:rsidRPr="006B69A4">
        <w:rPr>
          <w:szCs w:val="24"/>
        </w:rPr>
        <w:t xml:space="preserve"> the 300 </w:t>
      </w:r>
      <w:r w:rsidR="00397444">
        <w:rPr>
          <w:szCs w:val="24"/>
        </w:rPr>
        <w:t xml:space="preserve">estimated </w:t>
      </w:r>
      <w:r w:rsidRPr="006B69A4">
        <w:rPr>
          <w:szCs w:val="24"/>
        </w:rPr>
        <w:t xml:space="preserve">submissions for </w:t>
      </w:r>
      <w:r>
        <w:rPr>
          <w:szCs w:val="24"/>
        </w:rPr>
        <w:t>Schedule</w:t>
      </w:r>
      <w:r w:rsidRPr="006B69A4">
        <w:rPr>
          <w:szCs w:val="24"/>
        </w:rPr>
        <w:t xml:space="preserve"> 1, </w:t>
      </w:r>
      <w:r w:rsidR="00F05481">
        <w:rPr>
          <w:szCs w:val="24"/>
        </w:rPr>
        <w:t xml:space="preserve">another </w:t>
      </w:r>
      <w:r w:rsidRPr="006B69A4">
        <w:rPr>
          <w:szCs w:val="24"/>
        </w:rPr>
        <w:t xml:space="preserve">300 </w:t>
      </w:r>
      <w:r w:rsidR="00F05481">
        <w:rPr>
          <w:szCs w:val="24"/>
        </w:rPr>
        <w:t xml:space="preserve">estimated submissions </w:t>
      </w:r>
      <w:r w:rsidRPr="006B69A4">
        <w:rPr>
          <w:szCs w:val="24"/>
        </w:rPr>
        <w:t xml:space="preserve">for </w:t>
      </w:r>
      <w:r>
        <w:rPr>
          <w:szCs w:val="24"/>
        </w:rPr>
        <w:t>Schedule</w:t>
      </w:r>
      <w:r w:rsidRPr="006B69A4">
        <w:rPr>
          <w:szCs w:val="24"/>
        </w:rPr>
        <w:t xml:space="preserve"> 2</w:t>
      </w:r>
      <w:r w:rsidR="00F05481">
        <w:rPr>
          <w:szCs w:val="24"/>
        </w:rPr>
        <w:t>,</w:t>
      </w:r>
      <w:r w:rsidRPr="006B69A4">
        <w:rPr>
          <w:szCs w:val="24"/>
        </w:rPr>
        <w:t xml:space="preserve"> and the 25 </w:t>
      </w:r>
      <w:r w:rsidR="00F05481">
        <w:rPr>
          <w:szCs w:val="24"/>
        </w:rPr>
        <w:t xml:space="preserve">estimated </w:t>
      </w:r>
      <w:r w:rsidRPr="006B69A4">
        <w:rPr>
          <w:szCs w:val="24"/>
        </w:rPr>
        <w:t xml:space="preserve">respondents for </w:t>
      </w:r>
      <w:r w:rsidR="00F05481">
        <w:rPr>
          <w:szCs w:val="24"/>
        </w:rPr>
        <w:t xml:space="preserve">submitting supplemental </w:t>
      </w:r>
      <w:r>
        <w:rPr>
          <w:szCs w:val="24"/>
        </w:rPr>
        <w:t>Schedule</w:t>
      </w:r>
      <w:r w:rsidRPr="006B69A4">
        <w:rPr>
          <w:szCs w:val="24"/>
        </w:rPr>
        <w:t xml:space="preserve"> 2 </w:t>
      </w:r>
      <w:r w:rsidR="00F05481">
        <w:rPr>
          <w:szCs w:val="24"/>
        </w:rPr>
        <w:t>reports</w:t>
      </w:r>
      <w:r w:rsidRPr="006B69A4">
        <w:rPr>
          <w:szCs w:val="24"/>
        </w:rPr>
        <w:t xml:space="preserve">. The number in </w:t>
      </w:r>
      <w:r>
        <w:rPr>
          <w:szCs w:val="24"/>
        </w:rPr>
        <w:t>ROCIS</w:t>
      </w:r>
      <w:r w:rsidRPr="006B69A4">
        <w:rPr>
          <w:szCs w:val="24"/>
        </w:rPr>
        <w:t xml:space="preserve"> should have been 3,549 to account for all of the</w:t>
      </w:r>
      <w:r w:rsidR="00F05481">
        <w:rPr>
          <w:szCs w:val="24"/>
        </w:rPr>
        <w:t>se</w:t>
      </w:r>
      <w:r w:rsidRPr="006B69A4">
        <w:rPr>
          <w:szCs w:val="24"/>
        </w:rPr>
        <w:t xml:space="preserve"> responses.</w:t>
      </w:r>
      <w:r w:rsidR="00A3147A">
        <w:rPr>
          <w:szCs w:val="24"/>
        </w:rPr>
        <w:t xml:space="preserve"> This error is accounted for</w:t>
      </w:r>
      <w:r w:rsidR="005D0C94">
        <w:rPr>
          <w:szCs w:val="24"/>
        </w:rPr>
        <w:t xml:space="preserve"> and shown</w:t>
      </w:r>
      <w:r w:rsidR="00E20E54">
        <w:rPr>
          <w:szCs w:val="24"/>
        </w:rPr>
        <w:t xml:space="preserve"> as 0 </w:t>
      </w:r>
      <w:r w:rsidR="00B82640">
        <w:rPr>
          <w:szCs w:val="24"/>
        </w:rPr>
        <w:t xml:space="preserve">for </w:t>
      </w:r>
      <w:r w:rsidR="00E20E54">
        <w:rPr>
          <w:szCs w:val="24"/>
        </w:rPr>
        <w:t>respondents and responses previously approved</w:t>
      </w:r>
      <w:r w:rsidR="00F93FEF">
        <w:rPr>
          <w:szCs w:val="24"/>
        </w:rPr>
        <w:t xml:space="preserve"> in Table 5</w:t>
      </w:r>
      <w:r w:rsidR="00A3147A">
        <w:rPr>
          <w:szCs w:val="24"/>
        </w:rPr>
        <w:t>.</w:t>
      </w:r>
    </w:p>
    <w:p w14:paraId="4D2A1177" w14:textId="4B10DC72" w:rsidR="00D42B54" w:rsidRDefault="008A0ED7" w:rsidP="0016154B">
      <w:pPr>
        <w:rPr>
          <w:szCs w:val="24"/>
        </w:rPr>
      </w:pPr>
      <w:r>
        <w:rPr>
          <w:szCs w:val="24"/>
        </w:rPr>
        <w:t>The number of respondents for training decreased</w:t>
      </w:r>
      <w:r w:rsidR="00F93FEF">
        <w:rPr>
          <w:szCs w:val="24"/>
        </w:rPr>
        <w:t xml:space="preserve"> from </w:t>
      </w:r>
      <w:r w:rsidR="007A0230">
        <w:rPr>
          <w:szCs w:val="24"/>
        </w:rPr>
        <w:t>2,</w:t>
      </w:r>
      <w:r w:rsidR="00F93FEF">
        <w:rPr>
          <w:szCs w:val="24"/>
        </w:rPr>
        <w:t>924</w:t>
      </w:r>
      <w:r>
        <w:rPr>
          <w:szCs w:val="24"/>
        </w:rPr>
        <w:t xml:space="preserve"> to 2,395 due to </w:t>
      </w:r>
      <w:r w:rsidR="00E11E07">
        <w:rPr>
          <w:szCs w:val="24"/>
        </w:rPr>
        <w:t>a decrease in the number of utilities</w:t>
      </w:r>
      <w:r w:rsidR="009A4DAA">
        <w:rPr>
          <w:szCs w:val="24"/>
        </w:rPr>
        <w:t xml:space="preserve"> that ceased operations since 2014</w:t>
      </w:r>
      <w:r>
        <w:rPr>
          <w:szCs w:val="24"/>
        </w:rPr>
        <w:t>.</w:t>
      </w:r>
      <w:r w:rsidR="0038492A">
        <w:rPr>
          <w:szCs w:val="24"/>
        </w:rPr>
        <w:t xml:space="preserve"> </w:t>
      </w:r>
      <w:r w:rsidR="00133DA9" w:rsidRPr="009735D7">
        <w:rPr>
          <w:szCs w:val="24"/>
        </w:rPr>
        <w:t>The esti</w:t>
      </w:r>
      <w:r w:rsidR="00133DA9" w:rsidRPr="009735D7">
        <w:rPr>
          <w:spacing w:val="-2"/>
          <w:szCs w:val="24"/>
        </w:rPr>
        <w:t>m</w:t>
      </w:r>
      <w:r w:rsidR="00133DA9" w:rsidRPr="009735D7">
        <w:rPr>
          <w:szCs w:val="24"/>
        </w:rPr>
        <w:t>ated nu</w:t>
      </w:r>
      <w:r w:rsidR="00133DA9" w:rsidRPr="009735D7">
        <w:rPr>
          <w:spacing w:val="-2"/>
          <w:szCs w:val="24"/>
        </w:rPr>
        <w:t>m</w:t>
      </w:r>
      <w:r w:rsidR="00133DA9" w:rsidRPr="009735D7">
        <w:rPr>
          <w:szCs w:val="24"/>
        </w:rPr>
        <w:t xml:space="preserve">ber of </w:t>
      </w:r>
      <w:r>
        <w:rPr>
          <w:szCs w:val="24"/>
        </w:rPr>
        <w:t>respondent</w:t>
      </w:r>
      <w:r w:rsidR="0001041C">
        <w:rPr>
          <w:szCs w:val="24"/>
        </w:rPr>
        <w:t>s</w:t>
      </w:r>
      <w:r>
        <w:rPr>
          <w:szCs w:val="24"/>
        </w:rPr>
        <w:t xml:space="preserve"> </w:t>
      </w:r>
      <w:r w:rsidR="00133DA9" w:rsidRPr="009735D7">
        <w:rPr>
          <w:szCs w:val="24"/>
        </w:rPr>
        <w:t>report</w:t>
      </w:r>
      <w:r>
        <w:rPr>
          <w:szCs w:val="24"/>
        </w:rPr>
        <w:t>ing</w:t>
      </w:r>
      <w:r w:rsidR="008B2C77">
        <w:rPr>
          <w:szCs w:val="24"/>
        </w:rPr>
        <w:t xml:space="preserve"> (Schedule 1 and 2)</w:t>
      </w:r>
      <w:r w:rsidR="00133DA9" w:rsidRPr="009735D7">
        <w:rPr>
          <w:szCs w:val="24"/>
        </w:rPr>
        <w:t xml:space="preserve"> has declined continuously over the past three years</w:t>
      </w:r>
      <w:r w:rsidR="0038492A">
        <w:rPr>
          <w:szCs w:val="24"/>
        </w:rPr>
        <w:t>,</w:t>
      </w:r>
      <w:r w:rsidR="00133DA9" w:rsidRPr="009735D7">
        <w:rPr>
          <w:szCs w:val="24"/>
        </w:rPr>
        <w:t xml:space="preserve"> so DOE revised its estimate.</w:t>
      </w:r>
      <w:r w:rsidR="00133DA9" w:rsidRPr="002B48D6">
        <w:t xml:space="preserve"> </w:t>
      </w:r>
      <w:r w:rsidR="00133DA9" w:rsidRPr="009735D7">
        <w:t>Based on the level of</w:t>
      </w:r>
      <w:r w:rsidR="00133DA9" w:rsidRPr="009735D7">
        <w:rPr>
          <w:spacing w:val="-2"/>
        </w:rPr>
        <w:t xml:space="preserve"> </w:t>
      </w:r>
      <w:r w:rsidR="00133DA9" w:rsidRPr="009735D7">
        <w:t>actual reporting (228 events in 2014, 145 events in 2015, and 143 events in 2016)</w:t>
      </w:r>
      <w:r w:rsidR="0038492A">
        <w:t>,</w:t>
      </w:r>
      <w:r w:rsidR="00133DA9" w:rsidRPr="009735D7">
        <w:t xml:space="preserve"> the burden esti</w:t>
      </w:r>
      <w:r w:rsidR="00133DA9" w:rsidRPr="009735D7">
        <w:rPr>
          <w:spacing w:val="-2"/>
        </w:rPr>
        <w:t>m</w:t>
      </w:r>
      <w:r w:rsidR="00133DA9" w:rsidRPr="009735D7">
        <w:t xml:space="preserve">ate </w:t>
      </w:r>
      <w:r w:rsidR="00397444">
        <w:t>was reduced</w:t>
      </w:r>
      <w:r w:rsidR="00F93FEF">
        <w:t xml:space="preserve"> </w:t>
      </w:r>
      <w:r w:rsidR="0001041C">
        <w:t xml:space="preserve">by </w:t>
      </w:r>
      <w:r w:rsidR="00F93FEF">
        <w:t>100 reports</w:t>
      </w:r>
      <w:r w:rsidR="00E20E54">
        <w:t xml:space="preserve"> (although not listed in Table 5)</w:t>
      </w:r>
      <w:r w:rsidR="00397444">
        <w:t xml:space="preserve"> from 300 to</w:t>
      </w:r>
      <w:r w:rsidR="00133DA9" w:rsidRPr="009735D7">
        <w:rPr>
          <w:spacing w:val="-1"/>
        </w:rPr>
        <w:t xml:space="preserve"> </w:t>
      </w:r>
      <w:r w:rsidR="00133DA9" w:rsidRPr="009735D7">
        <w:t>200</w:t>
      </w:r>
      <w:r w:rsidR="00133DA9" w:rsidRPr="009735D7">
        <w:rPr>
          <w:spacing w:val="-1"/>
        </w:rPr>
        <w:t xml:space="preserve"> </w:t>
      </w:r>
      <w:r w:rsidR="00133DA9" w:rsidRPr="009735D7">
        <w:t>annually</w:t>
      </w:r>
      <w:r w:rsidR="00397444">
        <w:t xml:space="preserve">. </w:t>
      </w:r>
      <w:r w:rsidR="00E20E54">
        <w:t xml:space="preserve">Similarly, </w:t>
      </w:r>
      <w:r w:rsidR="00E20E54">
        <w:rPr>
          <w:szCs w:val="24"/>
        </w:rPr>
        <w:t>t</w:t>
      </w:r>
      <w:r w:rsidR="008B2C77">
        <w:rPr>
          <w:szCs w:val="24"/>
        </w:rPr>
        <w:t xml:space="preserve">he number of responses and burden hours for Schedule 2 </w:t>
      </w:r>
      <w:r w:rsidR="0001041C">
        <w:rPr>
          <w:szCs w:val="24"/>
        </w:rPr>
        <w:t xml:space="preserve">Supplemental reports </w:t>
      </w:r>
      <w:r w:rsidR="008B2C77">
        <w:rPr>
          <w:szCs w:val="24"/>
        </w:rPr>
        <w:t>decreased from 25 to 20 because the number</w:t>
      </w:r>
      <w:r w:rsidR="0001041C">
        <w:rPr>
          <w:szCs w:val="24"/>
        </w:rPr>
        <w:t xml:space="preserve"> of</w:t>
      </w:r>
      <w:r w:rsidR="008B2C77">
        <w:rPr>
          <w:szCs w:val="24"/>
        </w:rPr>
        <w:t xml:space="preserve"> supplemental reports declined below 15 in both 2016 and 2017.  </w:t>
      </w:r>
    </w:p>
    <w:p w14:paraId="415C20E0" w14:textId="2C4518F3" w:rsidR="008B2C77" w:rsidRPr="00E11E07" w:rsidRDefault="00A3147A" w:rsidP="0016154B">
      <w:pPr>
        <w:rPr>
          <w:b/>
          <w:szCs w:val="24"/>
        </w:rPr>
      </w:pPr>
      <w:r>
        <w:rPr>
          <w:b/>
          <w:szCs w:val="24"/>
        </w:rPr>
        <w:t>Burden</w:t>
      </w:r>
    </w:p>
    <w:p w14:paraId="74A93391" w14:textId="46271B92" w:rsidR="0038492A" w:rsidRDefault="00A3147A" w:rsidP="0038492A">
      <w:r>
        <w:rPr>
          <w:szCs w:val="24"/>
        </w:rPr>
        <w:t xml:space="preserve">Though the previous submission contained the incorrect number of responses, the burden hours were correct. </w:t>
      </w:r>
      <w:r w:rsidR="00133DA9" w:rsidRPr="009735D7">
        <w:rPr>
          <w:szCs w:val="24"/>
        </w:rPr>
        <w:t>DOE</w:t>
      </w:r>
      <w:r w:rsidR="00133DA9">
        <w:rPr>
          <w:szCs w:val="24"/>
        </w:rPr>
        <w:t>’s</w:t>
      </w:r>
      <w:r w:rsidR="00133DA9" w:rsidRPr="009735D7">
        <w:rPr>
          <w:szCs w:val="24"/>
        </w:rPr>
        <w:t xml:space="preserve"> estimate that it will take </w:t>
      </w:r>
      <w:r w:rsidR="0038492A">
        <w:rPr>
          <w:szCs w:val="24"/>
        </w:rPr>
        <w:t>2 hours</w:t>
      </w:r>
      <w:r w:rsidR="0001041C">
        <w:rPr>
          <w:szCs w:val="24"/>
        </w:rPr>
        <w:t xml:space="preserve"> for training</w:t>
      </w:r>
      <w:r w:rsidR="0038492A">
        <w:rPr>
          <w:szCs w:val="24"/>
        </w:rPr>
        <w:t xml:space="preserve"> and 0.17</w:t>
      </w:r>
      <w:r w:rsidR="00133DA9" w:rsidRPr="009735D7">
        <w:rPr>
          <w:szCs w:val="24"/>
        </w:rPr>
        <w:t xml:space="preserve"> </w:t>
      </w:r>
      <w:r w:rsidR="0038492A">
        <w:rPr>
          <w:szCs w:val="24"/>
        </w:rPr>
        <w:t>hours</w:t>
      </w:r>
      <w:r w:rsidR="00133DA9" w:rsidRPr="009735D7">
        <w:rPr>
          <w:szCs w:val="24"/>
        </w:rPr>
        <w:t xml:space="preserve"> for respondents</w:t>
      </w:r>
      <w:r w:rsidR="00133DA9">
        <w:rPr>
          <w:szCs w:val="24"/>
        </w:rPr>
        <w:t xml:space="preserve"> to </w:t>
      </w:r>
      <w:r w:rsidR="0001041C">
        <w:rPr>
          <w:szCs w:val="24"/>
        </w:rPr>
        <w:t xml:space="preserve">complete Schedule 1 </w:t>
      </w:r>
      <w:r w:rsidR="00133DA9" w:rsidRPr="009735D7">
        <w:rPr>
          <w:szCs w:val="24"/>
        </w:rPr>
        <w:t>of the report</w:t>
      </w:r>
      <w:r w:rsidR="0001041C">
        <w:rPr>
          <w:szCs w:val="24"/>
        </w:rPr>
        <w:t xml:space="preserve"> </w:t>
      </w:r>
      <w:r w:rsidR="00133DA9" w:rsidRPr="009735D7">
        <w:rPr>
          <w:szCs w:val="24"/>
        </w:rPr>
        <w:t xml:space="preserve">remains the same. </w:t>
      </w:r>
      <w:r w:rsidR="008B2C77">
        <w:rPr>
          <w:szCs w:val="24"/>
        </w:rPr>
        <w:t>Based on EIA cognitive research</w:t>
      </w:r>
      <w:r w:rsidR="0038492A">
        <w:rPr>
          <w:rStyle w:val="FootnoteReference"/>
          <w:szCs w:val="24"/>
        </w:rPr>
        <w:footnoteReference w:id="11"/>
      </w:r>
      <w:r w:rsidR="008B2C77">
        <w:rPr>
          <w:szCs w:val="24"/>
        </w:rPr>
        <w:t xml:space="preserve"> from 2017, EIA learned that the average time it take</w:t>
      </w:r>
      <w:r w:rsidR="00483BAC">
        <w:rPr>
          <w:szCs w:val="24"/>
        </w:rPr>
        <w:t>s</w:t>
      </w:r>
      <w:r w:rsidR="008B2C77">
        <w:rPr>
          <w:szCs w:val="24"/>
        </w:rPr>
        <w:t xml:space="preserve"> a respondent to complete Schedule 2 is 1.5 hours—down from 2 hours in 2014. </w:t>
      </w:r>
      <w:r w:rsidR="0001041C">
        <w:rPr>
          <w:szCs w:val="24"/>
        </w:rPr>
        <w:t xml:space="preserve">This </w:t>
      </w:r>
      <w:r w:rsidR="00483BAC">
        <w:rPr>
          <w:szCs w:val="24"/>
        </w:rPr>
        <w:t xml:space="preserve">is </w:t>
      </w:r>
      <w:r w:rsidR="0001041C">
        <w:rPr>
          <w:szCs w:val="24"/>
        </w:rPr>
        <w:t xml:space="preserve">shown as an increase of 300 hours (1.5*200) in Table 5 because </w:t>
      </w:r>
      <w:r w:rsidR="008E1D69">
        <w:rPr>
          <w:szCs w:val="24"/>
        </w:rPr>
        <w:t xml:space="preserve">zero hours </w:t>
      </w:r>
      <w:r w:rsidR="0001041C">
        <w:rPr>
          <w:szCs w:val="24"/>
        </w:rPr>
        <w:t xml:space="preserve">was submitted </w:t>
      </w:r>
      <w:r w:rsidR="00483BAC">
        <w:rPr>
          <w:szCs w:val="24"/>
        </w:rPr>
        <w:t xml:space="preserve">to OMB </w:t>
      </w:r>
      <w:r w:rsidR="0001041C">
        <w:rPr>
          <w:szCs w:val="24"/>
        </w:rPr>
        <w:t>for</w:t>
      </w:r>
      <w:r w:rsidR="005D0C94">
        <w:rPr>
          <w:szCs w:val="24"/>
        </w:rPr>
        <w:t xml:space="preserve"> review and </w:t>
      </w:r>
      <w:r w:rsidR="0001041C">
        <w:rPr>
          <w:szCs w:val="24"/>
        </w:rPr>
        <w:t>approval</w:t>
      </w:r>
      <w:r w:rsidR="005D0C94">
        <w:rPr>
          <w:szCs w:val="24"/>
        </w:rPr>
        <w:t xml:space="preserve"> </w:t>
      </w:r>
      <w:r w:rsidR="0001041C">
        <w:rPr>
          <w:szCs w:val="24"/>
        </w:rPr>
        <w:t xml:space="preserve">in 2014. </w:t>
      </w:r>
      <w:r w:rsidR="008B2C77">
        <w:rPr>
          <w:szCs w:val="24"/>
        </w:rPr>
        <w:t xml:space="preserve">The burden per response for </w:t>
      </w:r>
      <w:r w:rsidR="00483BAC">
        <w:rPr>
          <w:szCs w:val="24"/>
        </w:rPr>
        <w:t xml:space="preserve">filing </w:t>
      </w:r>
      <w:r w:rsidR="008B2C77">
        <w:rPr>
          <w:szCs w:val="24"/>
        </w:rPr>
        <w:t xml:space="preserve">a </w:t>
      </w:r>
      <w:r w:rsidR="00B82640">
        <w:rPr>
          <w:szCs w:val="24"/>
        </w:rPr>
        <w:t xml:space="preserve">Schedule 2 </w:t>
      </w:r>
      <w:r w:rsidR="008B2C77">
        <w:rPr>
          <w:szCs w:val="24"/>
        </w:rPr>
        <w:t xml:space="preserve">supplemental report was reduced from 1 hour to 30 minutes. </w:t>
      </w:r>
      <w:r w:rsidR="00B82640">
        <w:rPr>
          <w:szCs w:val="24"/>
        </w:rPr>
        <w:t xml:space="preserve">Supplemental reports are simple updates to the </w:t>
      </w:r>
      <w:r w:rsidR="00483BAC">
        <w:rPr>
          <w:szCs w:val="24"/>
        </w:rPr>
        <w:t xml:space="preserve">original </w:t>
      </w:r>
      <w:r w:rsidR="00B82640">
        <w:rPr>
          <w:szCs w:val="24"/>
        </w:rPr>
        <w:t xml:space="preserve">submission </w:t>
      </w:r>
      <w:r w:rsidR="00483BAC">
        <w:rPr>
          <w:szCs w:val="24"/>
        </w:rPr>
        <w:t xml:space="preserve">that </w:t>
      </w:r>
      <w:r w:rsidR="00B82640">
        <w:rPr>
          <w:szCs w:val="24"/>
        </w:rPr>
        <w:t>stat</w:t>
      </w:r>
      <w:r w:rsidR="00483BAC">
        <w:rPr>
          <w:szCs w:val="24"/>
        </w:rPr>
        <w:t>e</w:t>
      </w:r>
      <w:r w:rsidR="00B82640">
        <w:rPr>
          <w:szCs w:val="24"/>
        </w:rPr>
        <w:t xml:space="preserve"> how many people are still affected from the event.  </w:t>
      </w:r>
      <w:r w:rsidR="008B2C77">
        <w:rPr>
          <w:rFonts w:ascii="Calibri" w:hAnsi="Calibri"/>
        </w:rPr>
        <w:t>W</w:t>
      </w:r>
      <w:r w:rsidR="008B2C77" w:rsidRPr="00917ABA">
        <w:rPr>
          <w:rFonts w:ascii="Calibri" w:eastAsia="Arial" w:hAnsi="Calibri" w:cs="Times New Roman"/>
          <w:spacing w:val="2"/>
        </w:rPr>
        <w:t>hen using the online submission system,</w:t>
      </w:r>
      <w:r w:rsidR="008B2C77">
        <w:rPr>
          <w:rFonts w:ascii="Calibri" w:eastAsia="Arial" w:hAnsi="Calibri" w:cs="Times New Roman"/>
          <w:spacing w:val="2"/>
        </w:rPr>
        <w:t xml:space="preserve"> </w:t>
      </w:r>
      <w:r w:rsidR="008B2C77" w:rsidRPr="00917ABA">
        <w:rPr>
          <w:rFonts w:ascii="Calibri" w:eastAsia="Arial" w:hAnsi="Calibri" w:cs="Times New Roman"/>
          <w:spacing w:val="2"/>
        </w:rPr>
        <w:t>all previously completed information from the initial report is pre-populated when beginning an updated or final submission.</w:t>
      </w:r>
      <w:r w:rsidR="00B82640">
        <w:rPr>
          <w:rFonts w:ascii="Calibri" w:eastAsia="Arial" w:hAnsi="Calibri" w:cs="Times New Roman"/>
          <w:spacing w:val="2"/>
        </w:rPr>
        <w:t xml:space="preserve"> This is a new feature</w:t>
      </w:r>
      <w:r w:rsidR="002B26B9">
        <w:rPr>
          <w:rFonts w:ascii="Calibri" w:eastAsia="Arial" w:hAnsi="Calibri" w:cs="Times New Roman"/>
          <w:spacing w:val="2"/>
        </w:rPr>
        <w:t xml:space="preserve"> that reduces burden however, because this ICR appr</w:t>
      </w:r>
      <w:r w:rsidR="00241279">
        <w:rPr>
          <w:rFonts w:ascii="Calibri" w:eastAsia="Arial" w:hAnsi="Calibri" w:cs="Times New Roman"/>
          <w:spacing w:val="2"/>
        </w:rPr>
        <w:t>oval is the first for Schedule 1 and 2 (strictly accounting purposes), the burden reduction cannot be realized</w:t>
      </w:r>
      <w:r w:rsidR="00B82640">
        <w:rPr>
          <w:rFonts w:ascii="Calibri" w:eastAsia="Arial" w:hAnsi="Calibri" w:cs="Times New Roman"/>
          <w:spacing w:val="2"/>
        </w:rPr>
        <w:t>.</w:t>
      </w:r>
      <w:r w:rsidR="008B2C77">
        <w:rPr>
          <w:szCs w:val="24"/>
        </w:rPr>
        <w:t xml:space="preserve"> </w:t>
      </w:r>
    </w:p>
    <w:bookmarkStart w:id="58" w:name="_MON_1573298284"/>
    <w:bookmarkEnd w:id="58"/>
    <w:p w14:paraId="57BC3D2C" w14:textId="40535B4C" w:rsidR="00C66A79" w:rsidRPr="00C66A79" w:rsidRDefault="005D0C94" w:rsidP="00C66A79">
      <w:r w:rsidRPr="00437FDA">
        <w:object w:dxaOrig="8018" w:dyaOrig="2025" w14:anchorId="3D826CC9">
          <v:shape id="_x0000_i1027" type="#_x0000_t75" style="width:472.65pt;height:126.25pt" o:ole="">
            <v:imagedata r:id="rId26" o:title=""/>
          </v:shape>
          <o:OLEObject Type="Embed" ProgID="Excel.Sheet.12" ShapeID="_x0000_i1027" DrawAspect="Content" ObjectID="_1586945644" r:id="rId27"/>
        </w:object>
      </w:r>
    </w:p>
    <w:p w14:paraId="4390972F" w14:textId="77777777" w:rsidR="006A699F" w:rsidRPr="005A3650" w:rsidRDefault="006A699F" w:rsidP="00910D61">
      <w:pPr>
        <w:pStyle w:val="Heading2"/>
        <w:rPr>
          <w:rFonts w:eastAsiaTheme="minorHAnsi"/>
        </w:rPr>
      </w:pPr>
      <w:bookmarkStart w:id="59" w:name="_Toc466046224"/>
      <w:bookmarkStart w:id="60" w:name="_Toc487186518"/>
      <w:bookmarkStart w:id="61" w:name="_Toc488240625"/>
    </w:p>
    <w:p w14:paraId="1D04BA39" w14:textId="097D63F8" w:rsidR="005A3650" w:rsidRDefault="005A3650" w:rsidP="005A3650"/>
    <w:p w14:paraId="2A70CC7B" w14:textId="446144AE" w:rsidR="005A3650" w:rsidRDefault="005A3650" w:rsidP="005A3650"/>
    <w:p w14:paraId="62949150" w14:textId="31DD4659" w:rsidR="006A699F" w:rsidRPr="005A3650" w:rsidRDefault="00902DD3" w:rsidP="00CE19C5">
      <w:pPr>
        <w:tabs>
          <w:tab w:val="left" w:pos="3735"/>
        </w:tabs>
      </w:pPr>
      <w:r>
        <w:tab/>
      </w:r>
    </w:p>
    <w:p w14:paraId="594A363C" w14:textId="690095C4" w:rsidR="00F056C3" w:rsidRDefault="00F056C3" w:rsidP="00910D61">
      <w:pPr>
        <w:pStyle w:val="Heading2"/>
      </w:pPr>
      <w:r>
        <w:t>A.</w:t>
      </w:r>
      <w:r w:rsidR="00A41763" w:rsidRPr="00A41763">
        <w:t xml:space="preserve">16. </w:t>
      </w:r>
      <w:r w:rsidRPr="00F056C3">
        <w:t>Collection, Tabulation, and Publication Plan</w:t>
      </w:r>
      <w:bookmarkEnd w:id="59"/>
      <w:bookmarkEnd w:id="60"/>
      <w:bookmarkEnd w:id="61"/>
    </w:p>
    <w:p w14:paraId="0F0F7590" w14:textId="567E60C9" w:rsidR="00F0710D" w:rsidRPr="00A7737D" w:rsidRDefault="00F0710D" w:rsidP="008A0C57">
      <w:pPr>
        <w:pStyle w:val="Caption"/>
      </w:pPr>
      <w:r w:rsidRPr="00A7737D">
        <w:t xml:space="preserve">Table </w:t>
      </w:r>
      <w:r w:rsidR="001150FB">
        <w:t>7</w:t>
      </w:r>
      <w:r w:rsidRPr="00A7737D">
        <w:t>: Electric Po</w:t>
      </w:r>
      <w:r w:rsidRPr="00A7737D">
        <w:rPr>
          <w:spacing w:val="-2"/>
        </w:rPr>
        <w:t>w</w:t>
      </w:r>
      <w:r w:rsidRPr="00A7737D">
        <w:t>er Data Collection by Schedule</w:t>
      </w:r>
    </w:p>
    <w:tbl>
      <w:tblPr>
        <w:tblW w:w="5000" w:type="pct"/>
        <w:tblCellMar>
          <w:left w:w="0" w:type="dxa"/>
          <w:right w:w="0" w:type="dxa"/>
        </w:tblCellMar>
        <w:tblLook w:val="0000" w:firstRow="0" w:lastRow="0" w:firstColumn="0" w:lastColumn="0" w:noHBand="0" w:noVBand="0"/>
      </w:tblPr>
      <w:tblGrid>
        <w:gridCol w:w="1625"/>
        <w:gridCol w:w="1958"/>
        <w:gridCol w:w="2723"/>
        <w:gridCol w:w="3064"/>
      </w:tblGrid>
      <w:tr w:rsidR="00F0710D" w:rsidRPr="009217C5" w14:paraId="38734E00" w14:textId="77777777" w:rsidTr="00E11E07">
        <w:trPr>
          <w:trHeight w:val="242"/>
        </w:trPr>
        <w:tc>
          <w:tcPr>
            <w:tcW w:w="867" w:type="pct"/>
            <w:tcBorders>
              <w:top w:val="single" w:sz="4" w:space="0" w:color="000000"/>
              <w:left w:val="single" w:sz="4" w:space="0" w:color="000000"/>
              <w:bottom w:val="single" w:sz="4" w:space="0" w:color="000000"/>
              <w:right w:val="single" w:sz="4" w:space="0" w:color="000000"/>
            </w:tcBorders>
            <w:shd w:val="clear" w:color="auto" w:fill="CCCCCC"/>
            <w:vAlign w:val="center"/>
          </w:tcPr>
          <w:p w14:paraId="5F1DE004" w14:textId="77777777" w:rsidR="00F0710D" w:rsidRPr="009217C5" w:rsidRDefault="00F0710D" w:rsidP="001A6AE2">
            <w:pPr>
              <w:widowControl w:val="0"/>
              <w:autoSpaceDE w:val="0"/>
              <w:autoSpaceDN w:val="0"/>
              <w:adjustRightInd w:val="0"/>
              <w:ind w:right="-20"/>
              <w:jc w:val="center"/>
              <w:rPr>
                <w:szCs w:val="24"/>
              </w:rPr>
            </w:pPr>
            <w:r w:rsidRPr="009217C5">
              <w:rPr>
                <w:b/>
                <w:bCs/>
                <w:szCs w:val="20"/>
              </w:rPr>
              <w:t>Form</w:t>
            </w:r>
          </w:p>
        </w:tc>
        <w:tc>
          <w:tcPr>
            <w:tcW w:w="1045" w:type="pct"/>
            <w:tcBorders>
              <w:top w:val="single" w:sz="4" w:space="0" w:color="000000"/>
              <w:left w:val="single" w:sz="4" w:space="0" w:color="000000"/>
              <w:bottom w:val="single" w:sz="4" w:space="0" w:color="000000"/>
              <w:right w:val="single" w:sz="4" w:space="0" w:color="000000"/>
            </w:tcBorders>
            <w:shd w:val="clear" w:color="auto" w:fill="CCCCCC"/>
            <w:vAlign w:val="center"/>
          </w:tcPr>
          <w:p w14:paraId="1827D6F7" w14:textId="22F67726" w:rsidR="00F0710D" w:rsidRPr="009217C5" w:rsidRDefault="00BC6A5C" w:rsidP="00BC6A5C">
            <w:pPr>
              <w:widowControl w:val="0"/>
              <w:autoSpaceDE w:val="0"/>
              <w:autoSpaceDN w:val="0"/>
              <w:adjustRightInd w:val="0"/>
              <w:ind w:left="450" w:right="430"/>
              <w:jc w:val="center"/>
              <w:rPr>
                <w:szCs w:val="20"/>
              </w:rPr>
            </w:pPr>
            <w:r>
              <w:rPr>
                <w:b/>
                <w:bCs/>
                <w:szCs w:val="20"/>
              </w:rPr>
              <w:t>Frequency of Reporting</w:t>
            </w:r>
            <w:r w:rsidRPr="009217C5">
              <w:rPr>
                <w:szCs w:val="20"/>
              </w:rPr>
              <w:t xml:space="preserve"> </w:t>
            </w:r>
          </w:p>
        </w:tc>
        <w:tc>
          <w:tcPr>
            <w:tcW w:w="1453" w:type="pct"/>
            <w:tcBorders>
              <w:top w:val="single" w:sz="4" w:space="0" w:color="000000"/>
              <w:left w:val="single" w:sz="4" w:space="0" w:color="000000"/>
              <w:bottom w:val="single" w:sz="4" w:space="0" w:color="000000"/>
              <w:right w:val="single" w:sz="4" w:space="0" w:color="000000"/>
            </w:tcBorders>
            <w:shd w:val="clear" w:color="auto" w:fill="CCCCCC"/>
            <w:vAlign w:val="center"/>
          </w:tcPr>
          <w:p w14:paraId="4B6E8F95" w14:textId="77777777" w:rsidR="00F0710D" w:rsidRPr="009217C5" w:rsidRDefault="00F0710D" w:rsidP="001A6AE2">
            <w:pPr>
              <w:widowControl w:val="0"/>
              <w:autoSpaceDE w:val="0"/>
              <w:autoSpaceDN w:val="0"/>
              <w:adjustRightInd w:val="0"/>
              <w:ind w:right="-20"/>
              <w:jc w:val="center"/>
              <w:rPr>
                <w:szCs w:val="24"/>
              </w:rPr>
            </w:pPr>
            <w:r w:rsidRPr="009217C5">
              <w:rPr>
                <w:b/>
                <w:bCs/>
                <w:szCs w:val="20"/>
              </w:rPr>
              <w:t>Form</w:t>
            </w:r>
            <w:r w:rsidRPr="009217C5">
              <w:rPr>
                <w:b/>
                <w:bCs/>
                <w:spacing w:val="-1"/>
                <w:szCs w:val="20"/>
              </w:rPr>
              <w:t xml:space="preserve"> </w:t>
            </w:r>
            <w:r w:rsidRPr="009217C5">
              <w:rPr>
                <w:b/>
                <w:bCs/>
                <w:szCs w:val="20"/>
              </w:rPr>
              <w:t>Due</w:t>
            </w:r>
            <w:r w:rsidRPr="009217C5">
              <w:rPr>
                <w:b/>
                <w:bCs/>
                <w:spacing w:val="-1"/>
                <w:szCs w:val="20"/>
              </w:rPr>
              <w:t xml:space="preserve"> </w:t>
            </w:r>
            <w:r w:rsidRPr="009217C5">
              <w:rPr>
                <w:b/>
                <w:bCs/>
                <w:szCs w:val="20"/>
              </w:rPr>
              <w:t>Date</w:t>
            </w:r>
          </w:p>
        </w:tc>
        <w:tc>
          <w:tcPr>
            <w:tcW w:w="1635" w:type="pct"/>
            <w:tcBorders>
              <w:top w:val="single" w:sz="4" w:space="0" w:color="000000"/>
              <w:left w:val="single" w:sz="4" w:space="0" w:color="000000"/>
              <w:bottom w:val="single" w:sz="4" w:space="0" w:color="000000"/>
              <w:right w:val="single" w:sz="4" w:space="0" w:color="000000"/>
            </w:tcBorders>
            <w:shd w:val="clear" w:color="auto" w:fill="CCCCCC"/>
            <w:vAlign w:val="center"/>
          </w:tcPr>
          <w:p w14:paraId="6B871667" w14:textId="77777777" w:rsidR="00F0710D" w:rsidRPr="009217C5" w:rsidRDefault="00F0710D" w:rsidP="001A6AE2">
            <w:pPr>
              <w:widowControl w:val="0"/>
              <w:autoSpaceDE w:val="0"/>
              <w:autoSpaceDN w:val="0"/>
              <w:adjustRightInd w:val="0"/>
              <w:ind w:right="-20"/>
              <w:jc w:val="center"/>
              <w:rPr>
                <w:szCs w:val="24"/>
              </w:rPr>
            </w:pPr>
            <w:r w:rsidRPr="009217C5">
              <w:rPr>
                <w:b/>
                <w:bCs/>
                <w:szCs w:val="20"/>
              </w:rPr>
              <w:t>Elements</w:t>
            </w:r>
            <w:r w:rsidRPr="009217C5">
              <w:rPr>
                <w:b/>
                <w:bCs/>
                <w:spacing w:val="-1"/>
                <w:szCs w:val="20"/>
              </w:rPr>
              <w:t xml:space="preserve"> </w:t>
            </w:r>
            <w:r w:rsidRPr="009217C5">
              <w:rPr>
                <w:b/>
                <w:bCs/>
                <w:szCs w:val="20"/>
              </w:rPr>
              <w:t>Col</w:t>
            </w:r>
            <w:r w:rsidRPr="009217C5">
              <w:rPr>
                <w:b/>
                <w:bCs/>
                <w:spacing w:val="-2"/>
                <w:szCs w:val="20"/>
              </w:rPr>
              <w:t>l</w:t>
            </w:r>
            <w:r w:rsidRPr="009217C5">
              <w:rPr>
                <w:b/>
                <w:bCs/>
                <w:szCs w:val="20"/>
              </w:rPr>
              <w:t>ected</w:t>
            </w:r>
          </w:p>
        </w:tc>
      </w:tr>
      <w:tr w:rsidR="00F0710D" w:rsidRPr="009217C5" w14:paraId="73DCA1EC" w14:textId="77777777" w:rsidTr="00E11E07">
        <w:trPr>
          <w:trHeight w:val="422"/>
        </w:trPr>
        <w:tc>
          <w:tcPr>
            <w:tcW w:w="867" w:type="pct"/>
            <w:tcBorders>
              <w:top w:val="single" w:sz="4" w:space="0" w:color="000000"/>
              <w:left w:val="single" w:sz="4" w:space="0" w:color="000000"/>
              <w:bottom w:val="single" w:sz="4" w:space="0" w:color="000000"/>
              <w:right w:val="single" w:sz="4" w:space="0" w:color="000000"/>
            </w:tcBorders>
          </w:tcPr>
          <w:p w14:paraId="3A843516" w14:textId="77777777" w:rsidR="00F0710D" w:rsidRPr="009217C5" w:rsidRDefault="00F0710D" w:rsidP="001A6AE2">
            <w:pPr>
              <w:widowControl w:val="0"/>
              <w:autoSpaceDE w:val="0"/>
              <w:autoSpaceDN w:val="0"/>
              <w:adjustRightInd w:val="0"/>
              <w:ind w:left="102" w:right="192"/>
              <w:rPr>
                <w:szCs w:val="24"/>
              </w:rPr>
            </w:pPr>
            <w:r w:rsidRPr="009217C5">
              <w:rPr>
                <w:szCs w:val="20"/>
              </w:rPr>
              <w:t>OE</w:t>
            </w:r>
            <w:r w:rsidRPr="009217C5">
              <w:rPr>
                <w:spacing w:val="-1"/>
                <w:szCs w:val="20"/>
              </w:rPr>
              <w:t>-4</w:t>
            </w:r>
            <w:r w:rsidRPr="009217C5">
              <w:rPr>
                <w:szCs w:val="20"/>
              </w:rPr>
              <w:t>1</w:t>
            </w:r>
            <w:r w:rsidRPr="009217C5">
              <w:rPr>
                <w:spacing w:val="-1"/>
                <w:szCs w:val="20"/>
              </w:rPr>
              <w:t>7</w:t>
            </w:r>
            <w:r w:rsidRPr="009217C5">
              <w:rPr>
                <w:szCs w:val="20"/>
              </w:rPr>
              <w:t>, Sch</w:t>
            </w:r>
            <w:r w:rsidRPr="009217C5">
              <w:rPr>
                <w:spacing w:val="-1"/>
                <w:szCs w:val="20"/>
              </w:rPr>
              <w:t>e</w:t>
            </w:r>
            <w:r w:rsidRPr="009217C5">
              <w:rPr>
                <w:szCs w:val="20"/>
              </w:rPr>
              <w:t>dule</w:t>
            </w:r>
            <w:r w:rsidRPr="009217C5">
              <w:rPr>
                <w:spacing w:val="-1"/>
                <w:szCs w:val="20"/>
              </w:rPr>
              <w:t xml:space="preserve"> </w:t>
            </w:r>
            <w:r w:rsidRPr="009217C5">
              <w:rPr>
                <w:szCs w:val="20"/>
              </w:rPr>
              <w:t>1</w:t>
            </w:r>
          </w:p>
        </w:tc>
        <w:tc>
          <w:tcPr>
            <w:tcW w:w="1045" w:type="pct"/>
            <w:tcBorders>
              <w:top w:val="single" w:sz="4" w:space="0" w:color="000000"/>
              <w:left w:val="single" w:sz="4" w:space="0" w:color="000000"/>
              <w:bottom w:val="single" w:sz="4" w:space="0" w:color="000000"/>
              <w:right w:val="single" w:sz="4" w:space="0" w:color="000000"/>
            </w:tcBorders>
          </w:tcPr>
          <w:p w14:paraId="7CF553B9" w14:textId="77777777" w:rsidR="00F0710D" w:rsidRPr="009217C5" w:rsidRDefault="00F0710D" w:rsidP="001A6AE2">
            <w:pPr>
              <w:widowControl w:val="0"/>
              <w:autoSpaceDE w:val="0"/>
              <w:autoSpaceDN w:val="0"/>
              <w:adjustRightInd w:val="0"/>
              <w:ind w:left="102" w:right="613"/>
              <w:rPr>
                <w:szCs w:val="24"/>
              </w:rPr>
            </w:pPr>
            <w:r w:rsidRPr="009217C5">
              <w:rPr>
                <w:szCs w:val="20"/>
              </w:rPr>
              <w:t>Per critical i</w:t>
            </w:r>
            <w:r w:rsidRPr="009217C5">
              <w:rPr>
                <w:spacing w:val="1"/>
                <w:szCs w:val="20"/>
              </w:rPr>
              <w:t>n</w:t>
            </w:r>
            <w:r w:rsidRPr="009217C5">
              <w:rPr>
                <w:szCs w:val="20"/>
              </w:rPr>
              <w:t>cident</w:t>
            </w:r>
          </w:p>
        </w:tc>
        <w:tc>
          <w:tcPr>
            <w:tcW w:w="1453" w:type="pct"/>
            <w:tcBorders>
              <w:top w:val="single" w:sz="4" w:space="0" w:color="000000"/>
              <w:left w:val="single" w:sz="4" w:space="0" w:color="000000"/>
              <w:bottom w:val="single" w:sz="4" w:space="0" w:color="000000"/>
              <w:right w:val="single" w:sz="4" w:space="0" w:color="000000"/>
            </w:tcBorders>
          </w:tcPr>
          <w:p w14:paraId="6A99CC07" w14:textId="77777777" w:rsidR="00F0710D" w:rsidRPr="009217C5" w:rsidRDefault="00F0710D" w:rsidP="001A6AE2">
            <w:pPr>
              <w:widowControl w:val="0"/>
              <w:autoSpaceDE w:val="0"/>
              <w:autoSpaceDN w:val="0"/>
              <w:adjustRightInd w:val="0"/>
              <w:jc w:val="center"/>
              <w:rPr>
                <w:szCs w:val="24"/>
              </w:rPr>
            </w:pPr>
            <w:r w:rsidRPr="009217C5">
              <w:rPr>
                <w:szCs w:val="20"/>
              </w:rPr>
              <w:t>1</w:t>
            </w:r>
            <w:r w:rsidRPr="009217C5">
              <w:rPr>
                <w:spacing w:val="-1"/>
                <w:szCs w:val="20"/>
              </w:rPr>
              <w:t xml:space="preserve"> </w:t>
            </w:r>
            <w:r w:rsidRPr="009217C5">
              <w:rPr>
                <w:szCs w:val="20"/>
              </w:rPr>
              <w:t>h</w:t>
            </w:r>
            <w:r w:rsidRPr="009217C5">
              <w:rPr>
                <w:spacing w:val="-1"/>
                <w:szCs w:val="20"/>
              </w:rPr>
              <w:t>ou</w:t>
            </w:r>
            <w:r w:rsidRPr="009217C5">
              <w:rPr>
                <w:szCs w:val="20"/>
              </w:rPr>
              <w:t>r</w:t>
            </w:r>
            <w:r w:rsidRPr="009217C5">
              <w:rPr>
                <w:spacing w:val="1"/>
                <w:szCs w:val="20"/>
              </w:rPr>
              <w:t xml:space="preserve"> </w:t>
            </w:r>
            <w:r w:rsidRPr="009217C5">
              <w:rPr>
                <w:szCs w:val="20"/>
              </w:rPr>
              <w:t>af</w:t>
            </w:r>
            <w:r w:rsidRPr="009217C5">
              <w:rPr>
                <w:spacing w:val="-1"/>
                <w:szCs w:val="20"/>
              </w:rPr>
              <w:t>te</w:t>
            </w:r>
            <w:r w:rsidRPr="009217C5">
              <w:rPr>
                <w:szCs w:val="20"/>
              </w:rPr>
              <w:t>r</w:t>
            </w:r>
            <w:r w:rsidRPr="009217C5">
              <w:rPr>
                <w:spacing w:val="1"/>
                <w:szCs w:val="20"/>
              </w:rPr>
              <w:t xml:space="preserve"> </w:t>
            </w:r>
            <w:r w:rsidRPr="009217C5">
              <w:rPr>
                <w:spacing w:val="-1"/>
                <w:szCs w:val="20"/>
              </w:rPr>
              <w:t>i</w:t>
            </w:r>
            <w:r w:rsidRPr="009217C5">
              <w:rPr>
                <w:spacing w:val="1"/>
                <w:szCs w:val="20"/>
              </w:rPr>
              <w:t>n</w:t>
            </w:r>
            <w:r w:rsidRPr="009217C5">
              <w:rPr>
                <w:spacing w:val="-1"/>
                <w:szCs w:val="20"/>
              </w:rPr>
              <w:t>ci</w:t>
            </w:r>
            <w:r w:rsidRPr="009217C5">
              <w:rPr>
                <w:szCs w:val="20"/>
              </w:rPr>
              <w:t>dent</w:t>
            </w:r>
          </w:p>
        </w:tc>
        <w:tc>
          <w:tcPr>
            <w:tcW w:w="1635" w:type="pct"/>
            <w:tcBorders>
              <w:top w:val="single" w:sz="4" w:space="0" w:color="000000"/>
              <w:left w:val="single" w:sz="4" w:space="0" w:color="000000"/>
              <w:bottom w:val="single" w:sz="4" w:space="0" w:color="000000"/>
              <w:right w:val="single" w:sz="4" w:space="0" w:color="000000"/>
            </w:tcBorders>
          </w:tcPr>
          <w:p w14:paraId="29351112" w14:textId="77777777" w:rsidR="00F0710D" w:rsidRPr="009217C5" w:rsidRDefault="00F0710D" w:rsidP="001A6AE2">
            <w:pPr>
              <w:widowControl w:val="0"/>
              <w:autoSpaceDE w:val="0"/>
              <w:autoSpaceDN w:val="0"/>
              <w:adjustRightInd w:val="0"/>
              <w:ind w:left="101" w:right="-20"/>
              <w:rPr>
                <w:szCs w:val="24"/>
              </w:rPr>
            </w:pPr>
            <w:r w:rsidRPr="009217C5">
              <w:rPr>
                <w:szCs w:val="20"/>
              </w:rPr>
              <w:t>E</w:t>
            </w:r>
            <w:r w:rsidRPr="009217C5">
              <w:rPr>
                <w:spacing w:val="-2"/>
                <w:szCs w:val="20"/>
              </w:rPr>
              <w:t>m</w:t>
            </w:r>
            <w:r w:rsidRPr="009217C5">
              <w:rPr>
                <w:szCs w:val="20"/>
              </w:rPr>
              <w:t>ergency a</w:t>
            </w:r>
            <w:r w:rsidRPr="009217C5">
              <w:rPr>
                <w:spacing w:val="-1"/>
                <w:szCs w:val="20"/>
              </w:rPr>
              <w:t>l</w:t>
            </w:r>
            <w:r w:rsidRPr="009217C5">
              <w:rPr>
                <w:szCs w:val="20"/>
              </w:rPr>
              <w:t>ert che</w:t>
            </w:r>
            <w:r w:rsidRPr="009217C5">
              <w:rPr>
                <w:spacing w:val="-1"/>
                <w:szCs w:val="20"/>
              </w:rPr>
              <w:t>c</w:t>
            </w:r>
            <w:r w:rsidRPr="009217C5">
              <w:rPr>
                <w:szCs w:val="20"/>
              </w:rPr>
              <w:t>k</w:t>
            </w:r>
            <w:r w:rsidRPr="009217C5">
              <w:rPr>
                <w:spacing w:val="-1"/>
                <w:szCs w:val="20"/>
              </w:rPr>
              <w:t>-o</w:t>
            </w:r>
            <w:r w:rsidRPr="009217C5">
              <w:rPr>
                <w:szCs w:val="20"/>
              </w:rPr>
              <w:t>ff</w:t>
            </w:r>
          </w:p>
        </w:tc>
      </w:tr>
      <w:tr w:rsidR="00F0710D" w:rsidRPr="009217C5" w14:paraId="3A9CFEB5" w14:textId="77777777" w:rsidTr="00E11E07">
        <w:trPr>
          <w:trHeight w:val="422"/>
        </w:trPr>
        <w:tc>
          <w:tcPr>
            <w:tcW w:w="867" w:type="pct"/>
            <w:tcBorders>
              <w:top w:val="single" w:sz="4" w:space="0" w:color="000000"/>
              <w:left w:val="single" w:sz="4" w:space="0" w:color="000000"/>
              <w:bottom w:val="single" w:sz="4" w:space="0" w:color="000000"/>
              <w:right w:val="single" w:sz="4" w:space="0" w:color="000000"/>
            </w:tcBorders>
          </w:tcPr>
          <w:p w14:paraId="23463F55" w14:textId="6445B6D5" w:rsidR="00F0710D" w:rsidRPr="009217C5" w:rsidRDefault="00F0710D" w:rsidP="00B76132">
            <w:pPr>
              <w:widowControl w:val="0"/>
              <w:autoSpaceDE w:val="0"/>
              <w:autoSpaceDN w:val="0"/>
              <w:adjustRightInd w:val="0"/>
              <w:ind w:left="102" w:right="-20"/>
              <w:rPr>
                <w:szCs w:val="24"/>
              </w:rPr>
            </w:pPr>
            <w:r w:rsidRPr="009217C5">
              <w:rPr>
                <w:szCs w:val="20"/>
              </w:rPr>
              <w:t>OE</w:t>
            </w:r>
            <w:r w:rsidRPr="009217C5">
              <w:rPr>
                <w:spacing w:val="-1"/>
                <w:szCs w:val="20"/>
              </w:rPr>
              <w:t>-4</w:t>
            </w:r>
            <w:r w:rsidRPr="009217C5">
              <w:rPr>
                <w:szCs w:val="20"/>
              </w:rPr>
              <w:t>17</w:t>
            </w:r>
            <w:r w:rsidR="002E0C65">
              <w:rPr>
                <w:szCs w:val="20"/>
              </w:rPr>
              <w:t xml:space="preserve">, </w:t>
            </w:r>
            <w:r w:rsidRPr="009217C5">
              <w:rPr>
                <w:szCs w:val="20"/>
              </w:rPr>
              <w:t>Sch</w:t>
            </w:r>
            <w:r w:rsidRPr="009217C5">
              <w:rPr>
                <w:spacing w:val="-1"/>
                <w:szCs w:val="20"/>
              </w:rPr>
              <w:t>e</w:t>
            </w:r>
            <w:r w:rsidRPr="009217C5">
              <w:rPr>
                <w:szCs w:val="20"/>
              </w:rPr>
              <w:t>dule</w:t>
            </w:r>
            <w:r w:rsidRPr="009217C5">
              <w:rPr>
                <w:spacing w:val="-1"/>
                <w:szCs w:val="20"/>
              </w:rPr>
              <w:t xml:space="preserve"> </w:t>
            </w:r>
            <w:r w:rsidRPr="009217C5">
              <w:rPr>
                <w:szCs w:val="20"/>
              </w:rPr>
              <w:t>1</w:t>
            </w:r>
          </w:p>
        </w:tc>
        <w:tc>
          <w:tcPr>
            <w:tcW w:w="1045" w:type="pct"/>
            <w:tcBorders>
              <w:top w:val="single" w:sz="4" w:space="0" w:color="000000"/>
              <w:left w:val="single" w:sz="4" w:space="0" w:color="000000"/>
              <w:bottom w:val="single" w:sz="4" w:space="0" w:color="000000"/>
              <w:right w:val="single" w:sz="4" w:space="0" w:color="000000"/>
            </w:tcBorders>
          </w:tcPr>
          <w:p w14:paraId="4E5FA528" w14:textId="38C65B8C" w:rsidR="00F0710D" w:rsidRPr="009217C5" w:rsidRDefault="00F0710D">
            <w:pPr>
              <w:widowControl w:val="0"/>
              <w:autoSpaceDE w:val="0"/>
              <w:autoSpaceDN w:val="0"/>
              <w:adjustRightInd w:val="0"/>
              <w:ind w:left="102" w:right="-20"/>
              <w:rPr>
                <w:szCs w:val="24"/>
              </w:rPr>
            </w:pPr>
            <w:r w:rsidRPr="009217C5">
              <w:rPr>
                <w:szCs w:val="20"/>
              </w:rPr>
              <w:t>Per oth</w:t>
            </w:r>
            <w:r w:rsidRPr="009217C5">
              <w:rPr>
                <w:spacing w:val="-1"/>
                <w:szCs w:val="20"/>
              </w:rPr>
              <w:t>e</w:t>
            </w:r>
            <w:r w:rsidRPr="009217C5">
              <w:rPr>
                <w:szCs w:val="20"/>
              </w:rPr>
              <w:t>r</w:t>
            </w:r>
            <w:r w:rsidRPr="009217C5">
              <w:rPr>
                <w:spacing w:val="1"/>
                <w:szCs w:val="20"/>
              </w:rPr>
              <w:t xml:space="preserve"> </w:t>
            </w:r>
            <w:r w:rsidRPr="009217C5">
              <w:rPr>
                <w:szCs w:val="20"/>
              </w:rPr>
              <w:t>t</w:t>
            </w:r>
            <w:r w:rsidRPr="009217C5">
              <w:rPr>
                <w:spacing w:val="-1"/>
                <w:szCs w:val="20"/>
              </w:rPr>
              <w:t>y</w:t>
            </w:r>
            <w:r w:rsidRPr="009217C5">
              <w:rPr>
                <w:szCs w:val="20"/>
              </w:rPr>
              <w:t>pes</w:t>
            </w:r>
            <w:r w:rsidRPr="009217C5">
              <w:rPr>
                <w:spacing w:val="-1"/>
                <w:szCs w:val="20"/>
              </w:rPr>
              <w:t xml:space="preserve"> o</w:t>
            </w:r>
            <w:r w:rsidRPr="009217C5">
              <w:rPr>
                <w:szCs w:val="20"/>
              </w:rPr>
              <w:t>f</w:t>
            </w:r>
            <w:r w:rsidR="002E0C65">
              <w:rPr>
                <w:szCs w:val="20"/>
              </w:rPr>
              <w:t xml:space="preserve"> i</w:t>
            </w:r>
            <w:r w:rsidR="002E0C65" w:rsidRPr="009217C5">
              <w:rPr>
                <w:spacing w:val="1"/>
                <w:szCs w:val="20"/>
              </w:rPr>
              <w:t>n</w:t>
            </w:r>
            <w:r w:rsidR="002E0C65" w:rsidRPr="009217C5">
              <w:rPr>
                <w:szCs w:val="20"/>
              </w:rPr>
              <w:t>cidents</w:t>
            </w:r>
          </w:p>
        </w:tc>
        <w:tc>
          <w:tcPr>
            <w:tcW w:w="1453" w:type="pct"/>
            <w:tcBorders>
              <w:top w:val="single" w:sz="4" w:space="0" w:color="000000"/>
              <w:left w:val="single" w:sz="4" w:space="0" w:color="000000"/>
              <w:bottom w:val="single" w:sz="4" w:space="0" w:color="000000"/>
              <w:right w:val="single" w:sz="4" w:space="0" w:color="000000"/>
            </w:tcBorders>
          </w:tcPr>
          <w:p w14:paraId="464FBC2F" w14:textId="77777777" w:rsidR="00F0710D" w:rsidRPr="009217C5" w:rsidRDefault="00F0710D" w:rsidP="001A6AE2">
            <w:pPr>
              <w:widowControl w:val="0"/>
              <w:autoSpaceDE w:val="0"/>
              <w:autoSpaceDN w:val="0"/>
              <w:adjustRightInd w:val="0"/>
              <w:jc w:val="center"/>
              <w:rPr>
                <w:szCs w:val="24"/>
              </w:rPr>
            </w:pPr>
            <w:r w:rsidRPr="009217C5">
              <w:rPr>
                <w:szCs w:val="20"/>
              </w:rPr>
              <w:t>6</w:t>
            </w:r>
            <w:r w:rsidRPr="009217C5">
              <w:rPr>
                <w:spacing w:val="-1"/>
                <w:szCs w:val="20"/>
              </w:rPr>
              <w:t xml:space="preserve"> </w:t>
            </w:r>
            <w:r w:rsidRPr="009217C5">
              <w:rPr>
                <w:szCs w:val="20"/>
              </w:rPr>
              <w:t>hour aft</w:t>
            </w:r>
            <w:r w:rsidRPr="009217C5">
              <w:rPr>
                <w:spacing w:val="-1"/>
                <w:szCs w:val="20"/>
              </w:rPr>
              <w:t>e</w:t>
            </w:r>
            <w:r w:rsidRPr="009217C5">
              <w:rPr>
                <w:szCs w:val="20"/>
              </w:rPr>
              <w:t>r in</w:t>
            </w:r>
            <w:r w:rsidRPr="009217C5">
              <w:rPr>
                <w:spacing w:val="-1"/>
                <w:szCs w:val="20"/>
              </w:rPr>
              <w:t>c</w:t>
            </w:r>
            <w:r w:rsidRPr="009217C5">
              <w:rPr>
                <w:szCs w:val="20"/>
              </w:rPr>
              <w:t>ident</w:t>
            </w:r>
          </w:p>
        </w:tc>
        <w:tc>
          <w:tcPr>
            <w:tcW w:w="1635" w:type="pct"/>
            <w:tcBorders>
              <w:top w:val="single" w:sz="4" w:space="0" w:color="000000"/>
              <w:left w:val="single" w:sz="4" w:space="0" w:color="000000"/>
              <w:bottom w:val="single" w:sz="4" w:space="0" w:color="000000"/>
              <w:right w:val="single" w:sz="4" w:space="0" w:color="000000"/>
            </w:tcBorders>
          </w:tcPr>
          <w:p w14:paraId="7BF329F1" w14:textId="77777777" w:rsidR="00F0710D" w:rsidRPr="009217C5" w:rsidRDefault="00F0710D" w:rsidP="001A6AE2">
            <w:pPr>
              <w:widowControl w:val="0"/>
              <w:autoSpaceDE w:val="0"/>
              <w:autoSpaceDN w:val="0"/>
              <w:adjustRightInd w:val="0"/>
              <w:ind w:left="101" w:right="-20"/>
              <w:rPr>
                <w:szCs w:val="24"/>
              </w:rPr>
            </w:pPr>
            <w:r w:rsidRPr="009217C5">
              <w:rPr>
                <w:szCs w:val="20"/>
              </w:rPr>
              <w:t>Nor</w:t>
            </w:r>
            <w:r w:rsidRPr="009217C5">
              <w:rPr>
                <w:spacing w:val="-2"/>
                <w:szCs w:val="20"/>
              </w:rPr>
              <w:t>m</w:t>
            </w:r>
            <w:r w:rsidRPr="009217C5">
              <w:rPr>
                <w:szCs w:val="20"/>
              </w:rPr>
              <w:t xml:space="preserve">al </w:t>
            </w:r>
            <w:r>
              <w:rPr>
                <w:szCs w:val="20"/>
              </w:rPr>
              <w:t>Report</w:t>
            </w:r>
            <w:r w:rsidRPr="009217C5">
              <w:rPr>
                <w:szCs w:val="20"/>
              </w:rPr>
              <w:t xml:space="preserve"> check-off</w:t>
            </w:r>
          </w:p>
        </w:tc>
      </w:tr>
      <w:tr w:rsidR="00F0710D" w:rsidRPr="009217C5" w14:paraId="0BF13C8C" w14:textId="77777777" w:rsidTr="00E11E07">
        <w:trPr>
          <w:trHeight w:val="1043"/>
        </w:trPr>
        <w:tc>
          <w:tcPr>
            <w:tcW w:w="867" w:type="pct"/>
            <w:tcBorders>
              <w:top w:val="single" w:sz="4" w:space="0" w:color="000000"/>
              <w:left w:val="single" w:sz="4" w:space="0" w:color="000000"/>
              <w:bottom w:val="single" w:sz="4" w:space="0" w:color="000000"/>
              <w:right w:val="single" w:sz="4" w:space="0" w:color="000000"/>
            </w:tcBorders>
          </w:tcPr>
          <w:p w14:paraId="564BBD2F" w14:textId="2CB2E280" w:rsidR="00F0710D" w:rsidRPr="009217C5" w:rsidRDefault="00F0710D" w:rsidP="00B76132">
            <w:pPr>
              <w:widowControl w:val="0"/>
              <w:autoSpaceDE w:val="0"/>
              <w:autoSpaceDN w:val="0"/>
              <w:adjustRightInd w:val="0"/>
              <w:ind w:left="102" w:right="-20"/>
              <w:rPr>
                <w:szCs w:val="20"/>
              </w:rPr>
            </w:pPr>
            <w:r w:rsidRPr="009217C5">
              <w:rPr>
                <w:szCs w:val="20"/>
              </w:rPr>
              <w:t>OE</w:t>
            </w:r>
            <w:r w:rsidRPr="009217C5">
              <w:rPr>
                <w:spacing w:val="-1"/>
                <w:szCs w:val="20"/>
              </w:rPr>
              <w:t>-4</w:t>
            </w:r>
            <w:r w:rsidRPr="009217C5">
              <w:rPr>
                <w:szCs w:val="20"/>
              </w:rPr>
              <w:t>17</w:t>
            </w:r>
            <w:r w:rsidR="002E0C65">
              <w:rPr>
                <w:szCs w:val="20"/>
              </w:rPr>
              <w:t xml:space="preserve">, </w:t>
            </w:r>
            <w:r w:rsidRPr="009217C5">
              <w:rPr>
                <w:szCs w:val="20"/>
              </w:rPr>
              <w:t>Sch</w:t>
            </w:r>
            <w:r w:rsidRPr="009217C5">
              <w:rPr>
                <w:spacing w:val="-1"/>
                <w:szCs w:val="20"/>
              </w:rPr>
              <w:t>e</w:t>
            </w:r>
            <w:r w:rsidRPr="009217C5">
              <w:rPr>
                <w:szCs w:val="20"/>
              </w:rPr>
              <w:t>dule</w:t>
            </w:r>
            <w:r w:rsidRPr="009217C5">
              <w:rPr>
                <w:spacing w:val="-1"/>
                <w:szCs w:val="20"/>
              </w:rPr>
              <w:t xml:space="preserve"> </w:t>
            </w:r>
            <w:r w:rsidRPr="009217C5">
              <w:rPr>
                <w:szCs w:val="20"/>
              </w:rPr>
              <w:t>1</w:t>
            </w:r>
          </w:p>
        </w:tc>
        <w:tc>
          <w:tcPr>
            <w:tcW w:w="1045" w:type="pct"/>
            <w:tcBorders>
              <w:top w:val="single" w:sz="4" w:space="0" w:color="000000"/>
              <w:left w:val="single" w:sz="4" w:space="0" w:color="000000"/>
              <w:bottom w:val="single" w:sz="4" w:space="0" w:color="000000"/>
              <w:right w:val="single" w:sz="4" w:space="0" w:color="000000"/>
            </w:tcBorders>
          </w:tcPr>
          <w:p w14:paraId="149E178B" w14:textId="45CFC2EE" w:rsidR="00F0710D" w:rsidRPr="009217C5" w:rsidRDefault="00F0710D">
            <w:pPr>
              <w:widowControl w:val="0"/>
              <w:autoSpaceDE w:val="0"/>
              <w:autoSpaceDN w:val="0"/>
              <w:adjustRightInd w:val="0"/>
              <w:ind w:left="102" w:right="-20"/>
              <w:rPr>
                <w:szCs w:val="20"/>
              </w:rPr>
            </w:pPr>
            <w:r w:rsidRPr="009217C5">
              <w:rPr>
                <w:szCs w:val="20"/>
              </w:rPr>
              <w:t>Per oth</w:t>
            </w:r>
            <w:r w:rsidRPr="009217C5">
              <w:rPr>
                <w:spacing w:val="-1"/>
                <w:szCs w:val="20"/>
              </w:rPr>
              <w:t>e</w:t>
            </w:r>
            <w:r w:rsidRPr="009217C5">
              <w:rPr>
                <w:szCs w:val="20"/>
              </w:rPr>
              <w:t>r</w:t>
            </w:r>
            <w:r w:rsidRPr="009217C5">
              <w:rPr>
                <w:spacing w:val="1"/>
                <w:szCs w:val="20"/>
              </w:rPr>
              <w:t xml:space="preserve"> </w:t>
            </w:r>
            <w:r w:rsidRPr="009217C5">
              <w:rPr>
                <w:szCs w:val="20"/>
              </w:rPr>
              <w:t>t</w:t>
            </w:r>
            <w:r w:rsidRPr="009217C5">
              <w:rPr>
                <w:spacing w:val="-1"/>
                <w:szCs w:val="20"/>
              </w:rPr>
              <w:t>y</w:t>
            </w:r>
            <w:r w:rsidRPr="009217C5">
              <w:rPr>
                <w:szCs w:val="20"/>
              </w:rPr>
              <w:t>pes</w:t>
            </w:r>
            <w:r w:rsidRPr="009217C5">
              <w:rPr>
                <w:spacing w:val="-1"/>
                <w:szCs w:val="20"/>
              </w:rPr>
              <w:t xml:space="preserve"> o</w:t>
            </w:r>
            <w:r w:rsidRPr="009217C5">
              <w:rPr>
                <w:szCs w:val="20"/>
              </w:rPr>
              <w:t>f</w:t>
            </w:r>
            <w:r w:rsidR="002E0C65">
              <w:rPr>
                <w:szCs w:val="20"/>
              </w:rPr>
              <w:t xml:space="preserve"> i</w:t>
            </w:r>
            <w:r w:rsidR="002E0C65" w:rsidRPr="009217C5">
              <w:rPr>
                <w:spacing w:val="1"/>
                <w:szCs w:val="20"/>
              </w:rPr>
              <w:t>n</w:t>
            </w:r>
            <w:r w:rsidR="002E0C65" w:rsidRPr="009217C5">
              <w:rPr>
                <w:szCs w:val="20"/>
              </w:rPr>
              <w:t>cidents</w:t>
            </w:r>
          </w:p>
        </w:tc>
        <w:tc>
          <w:tcPr>
            <w:tcW w:w="1453" w:type="pct"/>
            <w:tcBorders>
              <w:top w:val="single" w:sz="4" w:space="0" w:color="000000"/>
              <w:left w:val="single" w:sz="4" w:space="0" w:color="000000"/>
              <w:bottom w:val="single" w:sz="4" w:space="0" w:color="000000"/>
              <w:right w:val="single" w:sz="4" w:space="0" w:color="000000"/>
            </w:tcBorders>
          </w:tcPr>
          <w:p w14:paraId="0FF9F81B" w14:textId="5887B0E6" w:rsidR="00F0710D" w:rsidRPr="009217C5" w:rsidRDefault="00F0710D" w:rsidP="004B7924">
            <w:pPr>
              <w:widowControl w:val="0"/>
              <w:autoSpaceDE w:val="0"/>
              <w:autoSpaceDN w:val="0"/>
              <w:adjustRightInd w:val="0"/>
              <w:jc w:val="center"/>
              <w:rPr>
                <w:szCs w:val="20"/>
              </w:rPr>
            </w:pPr>
            <w:r w:rsidRPr="0031763E">
              <w:rPr>
                <w:szCs w:val="20"/>
              </w:rPr>
              <w:t>24 hours after the recognition of the incident OR by the end of the next business day</w:t>
            </w:r>
            <w:r w:rsidR="001D3ABC">
              <w:rPr>
                <w:szCs w:val="20"/>
              </w:rPr>
              <w:t>, whichever is later</w:t>
            </w:r>
            <w:r w:rsidRPr="0031763E">
              <w:rPr>
                <w:szCs w:val="20"/>
              </w:rPr>
              <w:t xml:space="preserve"> </w:t>
            </w:r>
          </w:p>
        </w:tc>
        <w:tc>
          <w:tcPr>
            <w:tcW w:w="1635" w:type="pct"/>
            <w:tcBorders>
              <w:top w:val="single" w:sz="4" w:space="0" w:color="000000"/>
              <w:left w:val="single" w:sz="4" w:space="0" w:color="000000"/>
              <w:bottom w:val="single" w:sz="4" w:space="0" w:color="000000"/>
              <w:right w:val="single" w:sz="4" w:space="0" w:color="000000"/>
            </w:tcBorders>
          </w:tcPr>
          <w:p w14:paraId="03AFD7AA" w14:textId="77777777" w:rsidR="00F0710D" w:rsidRPr="009217C5" w:rsidRDefault="00F0710D" w:rsidP="001A6AE2">
            <w:pPr>
              <w:widowControl w:val="0"/>
              <w:autoSpaceDE w:val="0"/>
              <w:autoSpaceDN w:val="0"/>
              <w:adjustRightInd w:val="0"/>
              <w:ind w:left="101" w:right="-20"/>
              <w:rPr>
                <w:szCs w:val="20"/>
              </w:rPr>
            </w:pPr>
            <w:r>
              <w:rPr>
                <w:szCs w:val="20"/>
              </w:rPr>
              <w:t>System</w:t>
            </w:r>
            <w:r w:rsidRPr="009217C5">
              <w:rPr>
                <w:szCs w:val="20"/>
              </w:rPr>
              <w:t xml:space="preserve"> </w:t>
            </w:r>
            <w:r>
              <w:rPr>
                <w:szCs w:val="20"/>
              </w:rPr>
              <w:t xml:space="preserve">Report </w:t>
            </w:r>
            <w:r w:rsidRPr="009217C5">
              <w:rPr>
                <w:szCs w:val="20"/>
              </w:rPr>
              <w:t>check-off</w:t>
            </w:r>
          </w:p>
        </w:tc>
      </w:tr>
      <w:tr w:rsidR="00F0710D" w:rsidRPr="009217C5" w14:paraId="46783E53" w14:textId="77777777" w:rsidTr="00E11E07">
        <w:trPr>
          <w:trHeight w:val="800"/>
        </w:trPr>
        <w:tc>
          <w:tcPr>
            <w:tcW w:w="867" w:type="pct"/>
            <w:tcBorders>
              <w:top w:val="single" w:sz="4" w:space="0" w:color="000000"/>
              <w:left w:val="single" w:sz="4" w:space="0" w:color="000000"/>
              <w:bottom w:val="single" w:sz="4" w:space="0" w:color="000000"/>
              <w:right w:val="single" w:sz="4" w:space="0" w:color="000000"/>
            </w:tcBorders>
          </w:tcPr>
          <w:p w14:paraId="3676090A" w14:textId="4E760737" w:rsidR="00F0710D" w:rsidRPr="009217C5" w:rsidRDefault="00F0710D" w:rsidP="00B76132">
            <w:pPr>
              <w:widowControl w:val="0"/>
              <w:autoSpaceDE w:val="0"/>
              <w:autoSpaceDN w:val="0"/>
              <w:adjustRightInd w:val="0"/>
              <w:ind w:left="102" w:right="-20"/>
              <w:rPr>
                <w:szCs w:val="24"/>
              </w:rPr>
            </w:pPr>
            <w:r w:rsidRPr="009217C5">
              <w:rPr>
                <w:szCs w:val="20"/>
              </w:rPr>
              <w:t>OE</w:t>
            </w:r>
            <w:r w:rsidRPr="009217C5">
              <w:rPr>
                <w:spacing w:val="-1"/>
                <w:szCs w:val="20"/>
              </w:rPr>
              <w:t>-4</w:t>
            </w:r>
            <w:r w:rsidRPr="009217C5">
              <w:rPr>
                <w:szCs w:val="20"/>
              </w:rPr>
              <w:t>17</w:t>
            </w:r>
            <w:r w:rsidR="002E0C65">
              <w:rPr>
                <w:szCs w:val="20"/>
              </w:rPr>
              <w:t xml:space="preserve">, </w:t>
            </w:r>
            <w:r w:rsidRPr="009217C5">
              <w:rPr>
                <w:szCs w:val="20"/>
              </w:rPr>
              <w:t>Sch</w:t>
            </w:r>
            <w:r w:rsidRPr="009217C5">
              <w:rPr>
                <w:spacing w:val="-1"/>
                <w:szCs w:val="20"/>
              </w:rPr>
              <w:t>e</w:t>
            </w:r>
            <w:r w:rsidRPr="009217C5">
              <w:rPr>
                <w:szCs w:val="20"/>
              </w:rPr>
              <w:t>dule</w:t>
            </w:r>
            <w:r w:rsidRPr="009217C5">
              <w:rPr>
                <w:spacing w:val="-1"/>
                <w:szCs w:val="20"/>
              </w:rPr>
              <w:t xml:space="preserve"> </w:t>
            </w:r>
            <w:r w:rsidRPr="009217C5">
              <w:rPr>
                <w:szCs w:val="20"/>
              </w:rPr>
              <w:t>1</w:t>
            </w:r>
          </w:p>
        </w:tc>
        <w:tc>
          <w:tcPr>
            <w:tcW w:w="1045" w:type="pct"/>
            <w:tcBorders>
              <w:top w:val="single" w:sz="4" w:space="0" w:color="000000"/>
              <w:left w:val="single" w:sz="4" w:space="0" w:color="000000"/>
              <w:bottom w:val="single" w:sz="4" w:space="0" w:color="000000"/>
              <w:right w:val="single" w:sz="4" w:space="0" w:color="000000"/>
            </w:tcBorders>
          </w:tcPr>
          <w:p w14:paraId="2FDD2E1F" w14:textId="5FA4C10F" w:rsidR="00F0710D" w:rsidRPr="009217C5" w:rsidRDefault="00F0710D" w:rsidP="00E11E07">
            <w:pPr>
              <w:widowControl w:val="0"/>
              <w:autoSpaceDE w:val="0"/>
              <w:autoSpaceDN w:val="0"/>
              <w:adjustRightInd w:val="0"/>
              <w:ind w:left="102" w:right="-20"/>
              <w:rPr>
                <w:szCs w:val="24"/>
              </w:rPr>
            </w:pPr>
            <w:r w:rsidRPr="009217C5">
              <w:rPr>
                <w:szCs w:val="20"/>
              </w:rPr>
              <w:t xml:space="preserve">As </w:t>
            </w:r>
            <w:r w:rsidRPr="009217C5">
              <w:rPr>
                <w:spacing w:val="-1"/>
                <w:szCs w:val="20"/>
              </w:rPr>
              <w:t>c</w:t>
            </w:r>
            <w:r w:rsidRPr="009217C5">
              <w:rPr>
                <w:spacing w:val="1"/>
                <w:szCs w:val="20"/>
              </w:rPr>
              <w:t>h</w:t>
            </w:r>
            <w:r w:rsidRPr="009217C5">
              <w:rPr>
                <w:spacing w:val="-1"/>
                <w:szCs w:val="20"/>
              </w:rPr>
              <w:t>a</w:t>
            </w:r>
            <w:r w:rsidRPr="009217C5">
              <w:rPr>
                <w:spacing w:val="1"/>
                <w:szCs w:val="20"/>
              </w:rPr>
              <w:t>ng</w:t>
            </w:r>
            <w:r w:rsidRPr="009217C5">
              <w:rPr>
                <w:szCs w:val="20"/>
              </w:rPr>
              <w:t>es</w:t>
            </w:r>
            <w:r w:rsidRPr="009217C5">
              <w:rPr>
                <w:spacing w:val="-1"/>
                <w:szCs w:val="20"/>
              </w:rPr>
              <w:t xml:space="preserve"> to</w:t>
            </w:r>
            <w:r w:rsidR="002E0C65">
              <w:rPr>
                <w:szCs w:val="20"/>
              </w:rPr>
              <w:t xml:space="preserve"> </w:t>
            </w:r>
            <w:r w:rsidR="00BC6A5C">
              <w:rPr>
                <w:szCs w:val="20"/>
              </w:rPr>
              <w:t xml:space="preserve">key information, such as cause or number of impacted customers, </w:t>
            </w:r>
            <w:r w:rsidRPr="009217C5">
              <w:rPr>
                <w:szCs w:val="20"/>
              </w:rPr>
              <w:t>beco</w:t>
            </w:r>
            <w:r w:rsidRPr="009217C5">
              <w:rPr>
                <w:spacing w:val="-2"/>
                <w:szCs w:val="20"/>
              </w:rPr>
              <w:t>m</w:t>
            </w:r>
            <w:r w:rsidRPr="009217C5">
              <w:rPr>
                <w:szCs w:val="20"/>
              </w:rPr>
              <w:t>e</w:t>
            </w:r>
            <w:r w:rsidR="00BC6A5C">
              <w:rPr>
                <w:szCs w:val="20"/>
              </w:rPr>
              <w:t>s</w:t>
            </w:r>
            <w:r w:rsidRPr="009217C5">
              <w:rPr>
                <w:szCs w:val="20"/>
              </w:rPr>
              <w:t xml:space="preserve"> available</w:t>
            </w:r>
          </w:p>
        </w:tc>
        <w:tc>
          <w:tcPr>
            <w:tcW w:w="1453" w:type="pct"/>
            <w:tcBorders>
              <w:top w:val="single" w:sz="4" w:space="0" w:color="000000"/>
              <w:left w:val="single" w:sz="4" w:space="0" w:color="000000"/>
              <w:bottom w:val="single" w:sz="4" w:space="0" w:color="000000"/>
              <w:right w:val="single" w:sz="4" w:space="0" w:color="000000"/>
            </w:tcBorders>
          </w:tcPr>
          <w:p w14:paraId="533F1F25" w14:textId="77777777" w:rsidR="00F0710D" w:rsidRPr="009217C5" w:rsidRDefault="00F0710D" w:rsidP="001A6AE2">
            <w:pPr>
              <w:widowControl w:val="0"/>
              <w:autoSpaceDE w:val="0"/>
              <w:autoSpaceDN w:val="0"/>
              <w:adjustRightInd w:val="0"/>
              <w:jc w:val="center"/>
              <w:rPr>
                <w:szCs w:val="20"/>
              </w:rPr>
            </w:pPr>
            <w:r w:rsidRPr="009217C5">
              <w:rPr>
                <w:szCs w:val="20"/>
              </w:rPr>
              <w:t>After i</w:t>
            </w:r>
            <w:r w:rsidRPr="009217C5">
              <w:rPr>
                <w:spacing w:val="1"/>
                <w:szCs w:val="20"/>
              </w:rPr>
              <w:t>n</w:t>
            </w:r>
            <w:r w:rsidRPr="009217C5">
              <w:rPr>
                <w:szCs w:val="20"/>
              </w:rPr>
              <w:t>itial sub</w:t>
            </w:r>
            <w:r w:rsidRPr="009217C5">
              <w:rPr>
                <w:spacing w:val="-2"/>
                <w:szCs w:val="20"/>
              </w:rPr>
              <w:t>m</w:t>
            </w:r>
            <w:r w:rsidRPr="009217C5">
              <w:rPr>
                <w:szCs w:val="20"/>
              </w:rPr>
              <w:t>ission of Sch</w:t>
            </w:r>
            <w:r w:rsidRPr="009217C5">
              <w:rPr>
                <w:spacing w:val="-1"/>
                <w:szCs w:val="20"/>
              </w:rPr>
              <w:t>e</w:t>
            </w:r>
            <w:r w:rsidRPr="009217C5">
              <w:rPr>
                <w:szCs w:val="20"/>
              </w:rPr>
              <w:t>dule 1</w:t>
            </w:r>
            <w:r w:rsidRPr="009217C5">
              <w:rPr>
                <w:spacing w:val="1"/>
                <w:szCs w:val="20"/>
              </w:rPr>
              <w:t xml:space="preserve"> </w:t>
            </w:r>
            <w:r w:rsidRPr="009217C5">
              <w:rPr>
                <w:spacing w:val="-1"/>
                <w:szCs w:val="20"/>
              </w:rPr>
              <w:t>a</w:t>
            </w:r>
            <w:r w:rsidRPr="009217C5">
              <w:rPr>
                <w:szCs w:val="20"/>
              </w:rPr>
              <w:t>s necess</w:t>
            </w:r>
            <w:r w:rsidRPr="009217C5">
              <w:rPr>
                <w:spacing w:val="-1"/>
                <w:szCs w:val="20"/>
              </w:rPr>
              <w:t>a</w:t>
            </w:r>
            <w:r w:rsidRPr="009217C5">
              <w:rPr>
                <w:szCs w:val="20"/>
              </w:rPr>
              <w:t>ry</w:t>
            </w:r>
          </w:p>
        </w:tc>
        <w:tc>
          <w:tcPr>
            <w:tcW w:w="1635" w:type="pct"/>
            <w:tcBorders>
              <w:top w:val="single" w:sz="4" w:space="0" w:color="000000"/>
              <w:left w:val="single" w:sz="4" w:space="0" w:color="000000"/>
              <w:bottom w:val="single" w:sz="4" w:space="0" w:color="000000"/>
              <w:right w:val="single" w:sz="4" w:space="0" w:color="000000"/>
            </w:tcBorders>
          </w:tcPr>
          <w:p w14:paraId="379ABE03" w14:textId="77777777" w:rsidR="00F0710D" w:rsidRPr="009217C5" w:rsidRDefault="00F0710D" w:rsidP="001A6AE2">
            <w:pPr>
              <w:widowControl w:val="0"/>
              <w:autoSpaceDE w:val="0"/>
              <w:autoSpaceDN w:val="0"/>
              <w:adjustRightInd w:val="0"/>
              <w:ind w:left="102" w:right="-20"/>
              <w:rPr>
                <w:szCs w:val="24"/>
              </w:rPr>
            </w:pPr>
            <w:r w:rsidRPr="009217C5">
              <w:rPr>
                <w:szCs w:val="20"/>
              </w:rPr>
              <w:t>U</w:t>
            </w:r>
            <w:r w:rsidRPr="009217C5">
              <w:rPr>
                <w:spacing w:val="-1"/>
                <w:szCs w:val="20"/>
              </w:rPr>
              <w:t>p</w:t>
            </w:r>
            <w:r w:rsidRPr="009217C5">
              <w:rPr>
                <w:spacing w:val="1"/>
                <w:szCs w:val="20"/>
              </w:rPr>
              <w:t>d</w:t>
            </w:r>
            <w:r w:rsidRPr="009217C5">
              <w:rPr>
                <w:szCs w:val="20"/>
              </w:rPr>
              <w:t>a</w:t>
            </w:r>
            <w:r w:rsidRPr="009217C5">
              <w:rPr>
                <w:spacing w:val="-1"/>
                <w:szCs w:val="20"/>
              </w:rPr>
              <w:t>t</w:t>
            </w:r>
            <w:r w:rsidRPr="009217C5">
              <w:rPr>
                <w:szCs w:val="20"/>
              </w:rPr>
              <w:t xml:space="preserve">e </w:t>
            </w:r>
            <w:r w:rsidRPr="009217C5">
              <w:rPr>
                <w:spacing w:val="-1"/>
                <w:szCs w:val="20"/>
              </w:rPr>
              <w:t>c</w:t>
            </w:r>
            <w:r w:rsidRPr="009217C5">
              <w:rPr>
                <w:spacing w:val="1"/>
                <w:szCs w:val="20"/>
              </w:rPr>
              <w:t>h</w:t>
            </w:r>
            <w:r w:rsidRPr="009217C5">
              <w:rPr>
                <w:spacing w:val="-1"/>
                <w:szCs w:val="20"/>
              </w:rPr>
              <w:t>eck-</w:t>
            </w:r>
            <w:r w:rsidRPr="009217C5">
              <w:rPr>
                <w:spacing w:val="1"/>
                <w:szCs w:val="20"/>
              </w:rPr>
              <w:t>o</w:t>
            </w:r>
            <w:r w:rsidRPr="009217C5">
              <w:rPr>
                <w:spacing w:val="-1"/>
                <w:szCs w:val="20"/>
              </w:rPr>
              <w:t>ff</w:t>
            </w:r>
          </w:p>
        </w:tc>
      </w:tr>
      <w:tr w:rsidR="00F0710D" w:rsidRPr="009217C5" w14:paraId="40A8A171" w14:textId="77777777" w:rsidTr="00E11E07">
        <w:trPr>
          <w:trHeight w:val="1169"/>
        </w:trPr>
        <w:tc>
          <w:tcPr>
            <w:tcW w:w="867" w:type="pct"/>
            <w:tcBorders>
              <w:top w:val="single" w:sz="4" w:space="0" w:color="000000"/>
              <w:left w:val="single" w:sz="4" w:space="0" w:color="000000"/>
              <w:bottom w:val="single" w:sz="4" w:space="0" w:color="000000"/>
              <w:right w:val="single" w:sz="4" w:space="0" w:color="000000"/>
            </w:tcBorders>
          </w:tcPr>
          <w:p w14:paraId="0F759FD0" w14:textId="4E8F3F6E" w:rsidR="00F0710D" w:rsidRPr="009217C5" w:rsidRDefault="00F0710D" w:rsidP="00E11E07">
            <w:pPr>
              <w:widowControl w:val="0"/>
              <w:autoSpaceDE w:val="0"/>
              <w:autoSpaceDN w:val="0"/>
              <w:adjustRightInd w:val="0"/>
              <w:ind w:left="102" w:right="-20"/>
              <w:rPr>
                <w:szCs w:val="24"/>
              </w:rPr>
            </w:pPr>
            <w:r w:rsidRPr="009217C5">
              <w:rPr>
                <w:szCs w:val="20"/>
              </w:rPr>
              <w:t>OE</w:t>
            </w:r>
            <w:r w:rsidRPr="009217C5">
              <w:rPr>
                <w:spacing w:val="-1"/>
                <w:szCs w:val="20"/>
              </w:rPr>
              <w:t>-4</w:t>
            </w:r>
            <w:r w:rsidRPr="009217C5">
              <w:rPr>
                <w:szCs w:val="20"/>
              </w:rPr>
              <w:t>1</w:t>
            </w:r>
            <w:r w:rsidRPr="009217C5">
              <w:rPr>
                <w:spacing w:val="-1"/>
                <w:szCs w:val="20"/>
              </w:rPr>
              <w:t>7</w:t>
            </w:r>
            <w:r w:rsidRPr="009217C5">
              <w:rPr>
                <w:szCs w:val="20"/>
              </w:rPr>
              <w:t>,</w:t>
            </w:r>
            <w:r w:rsidR="002E0C65">
              <w:rPr>
                <w:szCs w:val="20"/>
              </w:rPr>
              <w:t xml:space="preserve"> </w:t>
            </w:r>
            <w:r w:rsidRPr="009217C5">
              <w:rPr>
                <w:szCs w:val="20"/>
              </w:rPr>
              <w:t>Sch</w:t>
            </w:r>
            <w:r w:rsidRPr="009217C5">
              <w:rPr>
                <w:spacing w:val="-1"/>
                <w:szCs w:val="20"/>
              </w:rPr>
              <w:t>e</w:t>
            </w:r>
            <w:r w:rsidRPr="009217C5">
              <w:rPr>
                <w:szCs w:val="20"/>
              </w:rPr>
              <w:t>dule 1 a</w:t>
            </w:r>
            <w:r w:rsidRPr="009217C5">
              <w:rPr>
                <w:spacing w:val="1"/>
                <w:szCs w:val="20"/>
              </w:rPr>
              <w:t>n</w:t>
            </w:r>
            <w:r w:rsidRPr="009217C5">
              <w:rPr>
                <w:szCs w:val="20"/>
              </w:rPr>
              <w:t>d 2</w:t>
            </w:r>
          </w:p>
        </w:tc>
        <w:tc>
          <w:tcPr>
            <w:tcW w:w="1045" w:type="pct"/>
            <w:tcBorders>
              <w:top w:val="single" w:sz="4" w:space="0" w:color="000000"/>
              <w:left w:val="single" w:sz="4" w:space="0" w:color="000000"/>
              <w:bottom w:val="single" w:sz="4" w:space="0" w:color="000000"/>
              <w:right w:val="single" w:sz="4" w:space="0" w:color="000000"/>
            </w:tcBorders>
          </w:tcPr>
          <w:p w14:paraId="2E80A27D" w14:textId="021E1D6E" w:rsidR="00F0710D" w:rsidRPr="009217C5" w:rsidRDefault="00F0710D" w:rsidP="001A6AE2">
            <w:pPr>
              <w:widowControl w:val="0"/>
              <w:autoSpaceDE w:val="0"/>
              <w:autoSpaceDN w:val="0"/>
              <w:adjustRightInd w:val="0"/>
              <w:ind w:left="102" w:right="-20"/>
              <w:rPr>
                <w:szCs w:val="24"/>
              </w:rPr>
            </w:pPr>
            <w:r w:rsidRPr="009217C5">
              <w:rPr>
                <w:szCs w:val="20"/>
              </w:rPr>
              <w:t>Per</w:t>
            </w:r>
            <w:r w:rsidRPr="009217C5">
              <w:rPr>
                <w:spacing w:val="1"/>
                <w:szCs w:val="20"/>
              </w:rPr>
              <w:t xml:space="preserve"> </w:t>
            </w:r>
            <w:r w:rsidR="002E0C65">
              <w:rPr>
                <w:spacing w:val="1"/>
                <w:szCs w:val="20"/>
              </w:rPr>
              <w:t xml:space="preserve">any </w:t>
            </w:r>
            <w:r w:rsidRPr="009217C5">
              <w:rPr>
                <w:spacing w:val="-2"/>
                <w:szCs w:val="20"/>
              </w:rPr>
              <w:t>i</w:t>
            </w:r>
            <w:r w:rsidRPr="009217C5">
              <w:rPr>
                <w:spacing w:val="1"/>
                <w:szCs w:val="20"/>
              </w:rPr>
              <w:t>n</w:t>
            </w:r>
            <w:r w:rsidRPr="009217C5">
              <w:rPr>
                <w:szCs w:val="20"/>
              </w:rPr>
              <w:t>cid</w:t>
            </w:r>
            <w:r w:rsidRPr="009217C5">
              <w:rPr>
                <w:spacing w:val="-1"/>
                <w:szCs w:val="20"/>
              </w:rPr>
              <w:t>e</w:t>
            </w:r>
            <w:r w:rsidRPr="009217C5">
              <w:rPr>
                <w:szCs w:val="20"/>
              </w:rPr>
              <w:t>nt</w:t>
            </w:r>
          </w:p>
        </w:tc>
        <w:tc>
          <w:tcPr>
            <w:tcW w:w="1453" w:type="pct"/>
            <w:tcBorders>
              <w:top w:val="single" w:sz="4" w:space="0" w:color="000000"/>
              <w:left w:val="single" w:sz="4" w:space="0" w:color="000000"/>
              <w:bottom w:val="single" w:sz="4" w:space="0" w:color="000000"/>
              <w:right w:val="single" w:sz="4" w:space="0" w:color="000000"/>
            </w:tcBorders>
          </w:tcPr>
          <w:p w14:paraId="7D91A411" w14:textId="688136C6" w:rsidR="00F0710D" w:rsidRPr="009217C5" w:rsidRDefault="00F0710D" w:rsidP="00B76132">
            <w:pPr>
              <w:widowControl w:val="0"/>
              <w:autoSpaceDE w:val="0"/>
              <w:autoSpaceDN w:val="0"/>
              <w:adjustRightInd w:val="0"/>
              <w:jc w:val="center"/>
              <w:rPr>
                <w:szCs w:val="24"/>
              </w:rPr>
            </w:pPr>
            <w:r w:rsidRPr="009217C5">
              <w:rPr>
                <w:szCs w:val="20"/>
              </w:rPr>
              <w:t xml:space="preserve">72 </w:t>
            </w:r>
            <w:r w:rsidRPr="009217C5">
              <w:rPr>
                <w:spacing w:val="-1"/>
                <w:szCs w:val="20"/>
              </w:rPr>
              <w:t>ho</w:t>
            </w:r>
            <w:r w:rsidRPr="009217C5">
              <w:rPr>
                <w:spacing w:val="1"/>
                <w:szCs w:val="20"/>
              </w:rPr>
              <w:t>u</w:t>
            </w:r>
            <w:r w:rsidRPr="009217C5">
              <w:rPr>
                <w:szCs w:val="20"/>
              </w:rPr>
              <w:t>rs</w:t>
            </w:r>
            <w:r w:rsidRPr="009217C5">
              <w:rPr>
                <w:spacing w:val="-1"/>
                <w:szCs w:val="20"/>
              </w:rPr>
              <w:t xml:space="preserve"> </w:t>
            </w:r>
            <w:r w:rsidRPr="009217C5">
              <w:rPr>
                <w:szCs w:val="20"/>
              </w:rPr>
              <w:t>after</w:t>
            </w:r>
            <w:r w:rsidR="001D3ABC">
              <w:rPr>
                <w:szCs w:val="20"/>
              </w:rPr>
              <w:t xml:space="preserve"> the</w:t>
            </w:r>
            <w:r w:rsidR="002E0C65">
              <w:rPr>
                <w:szCs w:val="20"/>
              </w:rPr>
              <w:t xml:space="preserve"> </w:t>
            </w:r>
            <w:r w:rsidRPr="009217C5">
              <w:rPr>
                <w:szCs w:val="20"/>
              </w:rPr>
              <w:t>i</w:t>
            </w:r>
            <w:r w:rsidRPr="009217C5">
              <w:rPr>
                <w:spacing w:val="1"/>
                <w:szCs w:val="20"/>
              </w:rPr>
              <w:t>n</w:t>
            </w:r>
            <w:r w:rsidRPr="009217C5">
              <w:rPr>
                <w:szCs w:val="20"/>
              </w:rPr>
              <w:t>cident</w:t>
            </w:r>
          </w:p>
        </w:tc>
        <w:tc>
          <w:tcPr>
            <w:tcW w:w="1635" w:type="pct"/>
            <w:tcBorders>
              <w:top w:val="single" w:sz="4" w:space="0" w:color="000000"/>
              <w:left w:val="single" w:sz="4" w:space="0" w:color="000000"/>
              <w:bottom w:val="single" w:sz="4" w:space="0" w:color="000000"/>
              <w:right w:val="single" w:sz="4" w:space="0" w:color="000000"/>
            </w:tcBorders>
          </w:tcPr>
          <w:p w14:paraId="368FAB3A" w14:textId="401F45A3" w:rsidR="00F0710D" w:rsidRPr="00715C22" w:rsidRDefault="00F0710D" w:rsidP="00E11E07">
            <w:pPr>
              <w:widowControl w:val="0"/>
              <w:autoSpaceDE w:val="0"/>
              <w:autoSpaceDN w:val="0"/>
              <w:adjustRightInd w:val="0"/>
              <w:ind w:left="102" w:right="-20"/>
              <w:rPr>
                <w:szCs w:val="20"/>
              </w:rPr>
            </w:pPr>
            <w:r w:rsidRPr="009217C5">
              <w:rPr>
                <w:szCs w:val="20"/>
              </w:rPr>
              <w:t>Final</w:t>
            </w:r>
            <w:r w:rsidRPr="009217C5">
              <w:rPr>
                <w:spacing w:val="1"/>
                <w:szCs w:val="20"/>
              </w:rPr>
              <w:t xml:space="preserve"> </w:t>
            </w:r>
            <w:r w:rsidRPr="009217C5">
              <w:rPr>
                <w:szCs w:val="20"/>
              </w:rPr>
              <w:t>r</w:t>
            </w:r>
            <w:r w:rsidRPr="009217C5">
              <w:rPr>
                <w:spacing w:val="-1"/>
                <w:szCs w:val="20"/>
              </w:rPr>
              <w:t>ep</w:t>
            </w:r>
            <w:r w:rsidRPr="009217C5">
              <w:rPr>
                <w:spacing w:val="1"/>
                <w:szCs w:val="20"/>
              </w:rPr>
              <w:t>o</w:t>
            </w:r>
            <w:r w:rsidRPr="009217C5">
              <w:rPr>
                <w:szCs w:val="20"/>
              </w:rPr>
              <w:t>rt</w:t>
            </w:r>
            <w:r w:rsidRPr="009217C5">
              <w:rPr>
                <w:spacing w:val="1"/>
                <w:szCs w:val="20"/>
              </w:rPr>
              <w:t xml:space="preserve"> </w:t>
            </w:r>
            <w:r w:rsidRPr="009217C5">
              <w:rPr>
                <w:spacing w:val="-1"/>
                <w:szCs w:val="20"/>
              </w:rPr>
              <w:t>ch</w:t>
            </w:r>
            <w:r w:rsidRPr="009217C5">
              <w:rPr>
                <w:szCs w:val="20"/>
              </w:rPr>
              <w:t>eck</w:t>
            </w:r>
            <w:r w:rsidRPr="009217C5">
              <w:rPr>
                <w:spacing w:val="-1"/>
                <w:szCs w:val="20"/>
              </w:rPr>
              <w:t xml:space="preserve"> </w:t>
            </w:r>
            <w:r w:rsidRPr="009217C5">
              <w:rPr>
                <w:szCs w:val="20"/>
              </w:rPr>
              <w:t>o</w:t>
            </w:r>
            <w:r w:rsidRPr="009217C5">
              <w:rPr>
                <w:spacing w:val="-1"/>
                <w:szCs w:val="20"/>
              </w:rPr>
              <w:t>f</w:t>
            </w:r>
            <w:r w:rsidRPr="009217C5">
              <w:rPr>
                <w:szCs w:val="20"/>
              </w:rPr>
              <w:t>f</w:t>
            </w:r>
            <w:r>
              <w:rPr>
                <w:szCs w:val="20"/>
              </w:rPr>
              <w:t xml:space="preserve"> </w:t>
            </w:r>
            <w:r w:rsidRPr="009217C5">
              <w:rPr>
                <w:spacing w:val="-1"/>
                <w:szCs w:val="20"/>
              </w:rPr>
              <w:t>an</w:t>
            </w:r>
            <w:r w:rsidRPr="009217C5">
              <w:rPr>
                <w:szCs w:val="20"/>
              </w:rPr>
              <w:t>d</w:t>
            </w:r>
            <w:r w:rsidR="002E0C65">
              <w:rPr>
                <w:szCs w:val="20"/>
              </w:rPr>
              <w:t xml:space="preserve"> </w:t>
            </w:r>
            <w:r w:rsidRPr="009217C5">
              <w:rPr>
                <w:szCs w:val="20"/>
              </w:rPr>
              <w:t>Narrati</w:t>
            </w:r>
            <w:r w:rsidRPr="009217C5">
              <w:rPr>
                <w:spacing w:val="1"/>
                <w:szCs w:val="20"/>
              </w:rPr>
              <w:t>v</w:t>
            </w:r>
            <w:r w:rsidRPr="009217C5">
              <w:rPr>
                <w:szCs w:val="20"/>
              </w:rPr>
              <w:t>e</w:t>
            </w:r>
            <w:r w:rsidRPr="009217C5">
              <w:rPr>
                <w:spacing w:val="-1"/>
                <w:szCs w:val="20"/>
              </w:rPr>
              <w:t xml:space="preserve"> </w:t>
            </w:r>
            <w:r w:rsidRPr="009217C5">
              <w:rPr>
                <w:spacing w:val="1"/>
                <w:szCs w:val="20"/>
              </w:rPr>
              <w:t>d</w:t>
            </w:r>
            <w:r w:rsidRPr="009217C5">
              <w:rPr>
                <w:szCs w:val="20"/>
              </w:rPr>
              <w:t>etails</w:t>
            </w:r>
            <w:r>
              <w:rPr>
                <w:szCs w:val="20"/>
              </w:rPr>
              <w:t xml:space="preserve"> </w:t>
            </w:r>
            <w:r w:rsidRPr="009217C5">
              <w:rPr>
                <w:szCs w:val="20"/>
              </w:rPr>
              <w:t xml:space="preserve">- </w:t>
            </w:r>
            <w:r w:rsidRPr="009217C5">
              <w:rPr>
                <w:spacing w:val="-2"/>
                <w:szCs w:val="20"/>
              </w:rPr>
              <w:t>m</w:t>
            </w:r>
            <w:r w:rsidRPr="009217C5">
              <w:rPr>
                <w:spacing w:val="1"/>
                <w:szCs w:val="20"/>
              </w:rPr>
              <w:t>o</w:t>
            </w:r>
            <w:r w:rsidRPr="009217C5">
              <w:rPr>
                <w:szCs w:val="20"/>
              </w:rPr>
              <w:t xml:space="preserve">re </w:t>
            </w:r>
            <w:r w:rsidRPr="009217C5">
              <w:rPr>
                <w:spacing w:val="1"/>
                <w:szCs w:val="20"/>
              </w:rPr>
              <w:t>d</w:t>
            </w:r>
            <w:r w:rsidRPr="009217C5">
              <w:rPr>
                <w:szCs w:val="20"/>
              </w:rPr>
              <w:t>etailed</w:t>
            </w:r>
            <w:r w:rsidRPr="009217C5">
              <w:rPr>
                <w:spacing w:val="1"/>
                <w:szCs w:val="20"/>
              </w:rPr>
              <w:t xml:space="preserve"> </w:t>
            </w:r>
            <w:r w:rsidRPr="009217C5">
              <w:rPr>
                <w:szCs w:val="20"/>
              </w:rPr>
              <w:t>esti</w:t>
            </w:r>
            <w:r w:rsidRPr="009217C5">
              <w:rPr>
                <w:spacing w:val="-2"/>
                <w:szCs w:val="20"/>
              </w:rPr>
              <w:t>m</w:t>
            </w:r>
            <w:r w:rsidRPr="009217C5">
              <w:rPr>
                <w:spacing w:val="1"/>
                <w:szCs w:val="20"/>
              </w:rPr>
              <w:t>a</w:t>
            </w:r>
            <w:r w:rsidRPr="009217C5">
              <w:rPr>
                <w:szCs w:val="20"/>
              </w:rPr>
              <w:t xml:space="preserve">tes </w:t>
            </w:r>
            <w:r w:rsidRPr="009217C5">
              <w:rPr>
                <w:spacing w:val="1"/>
                <w:szCs w:val="20"/>
              </w:rPr>
              <w:t>o</w:t>
            </w:r>
            <w:r w:rsidRPr="009217C5">
              <w:rPr>
                <w:szCs w:val="20"/>
              </w:rPr>
              <w:t>f i</w:t>
            </w:r>
            <w:r w:rsidRPr="009217C5">
              <w:rPr>
                <w:spacing w:val="-2"/>
                <w:szCs w:val="20"/>
              </w:rPr>
              <w:t>m</w:t>
            </w:r>
            <w:r w:rsidRPr="009217C5">
              <w:rPr>
                <w:spacing w:val="1"/>
                <w:szCs w:val="20"/>
              </w:rPr>
              <w:t>p</w:t>
            </w:r>
            <w:r w:rsidRPr="009217C5">
              <w:rPr>
                <w:szCs w:val="20"/>
              </w:rPr>
              <w:t>act and any atta</w:t>
            </w:r>
            <w:r w:rsidRPr="009217C5">
              <w:rPr>
                <w:spacing w:val="-1"/>
                <w:szCs w:val="20"/>
              </w:rPr>
              <w:t>ch</w:t>
            </w:r>
            <w:r w:rsidRPr="009217C5">
              <w:rPr>
                <w:szCs w:val="20"/>
              </w:rPr>
              <w:t>ments</w:t>
            </w:r>
          </w:p>
        </w:tc>
      </w:tr>
    </w:tbl>
    <w:p w14:paraId="20464FEF" w14:textId="77777777" w:rsidR="00F0710D" w:rsidRPr="00A7737D" w:rsidRDefault="00F0710D" w:rsidP="00F0710D"/>
    <w:p w14:paraId="44753C2C" w14:textId="68FE0A21" w:rsidR="00F0710D" w:rsidRDefault="00F0710D" w:rsidP="008A0C57">
      <w:pPr>
        <w:pStyle w:val="Caption"/>
      </w:pPr>
      <w:r w:rsidRPr="00A7737D">
        <w:t xml:space="preserve">Table </w:t>
      </w:r>
      <w:r w:rsidR="001150FB">
        <w:t>8</w:t>
      </w:r>
      <w:r w:rsidRPr="00A7737D">
        <w:t xml:space="preserve">: </w:t>
      </w:r>
      <w:r w:rsidR="002E0C65">
        <w:t xml:space="preserve">Schedule 1 </w:t>
      </w:r>
      <w:r w:rsidRPr="00A7737D">
        <w:t>Publication Plan</w:t>
      </w:r>
    </w:p>
    <w:tbl>
      <w:tblPr>
        <w:tblW w:w="5000" w:type="pct"/>
        <w:tblCellMar>
          <w:left w:w="0" w:type="dxa"/>
          <w:right w:w="0" w:type="dxa"/>
        </w:tblCellMar>
        <w:tblLook w:val="0000" w:firstRow="0" w:lastRow="0" w:firstColumn="0" w:lastColumn="0" w:noHBand="0" w:noVBand="0"/>
      </w:tblPr>
      <w:tblGrid>
        <w:gridCol w:w="2260"/>
        <w:gridCol w:w="7110"/>
      </w:tblGrid>
      <w:tr w:rsidR="00F0710D" w:rsidRPr="00715C22" w14:paraId="4682D549" w14:textId="77777777" w:rsidTr="00E11E07">
        <w:trPr>
          <w:trHeight w:val="431"/>
        </w:trPr>
        <w:tc>
          <w:tcPr>
            <w:tcW w:w="1206" w:type="pct"/>
            <w:tcBorders>
              <w:top w:val="single" w:sz="4" w:space="0" w:color="000000"/>
              <w:left w:val="single" w:sz="4" w:space="0" w:color="000000"/>
              <w:bottom w:val="single" w:sz="4" w:space="0" w:color="000000"/>
              <w:right w:val="single" w:sz="4" w:space="0" w:color="000000"/>
            </w:tcBorders>
            <w:shd w:val="clear" w:color="auto" w:fill="CCCCCC"/>
            <w:vAlign w:val="center"/>
          </w:tcPr>
          <w:p w14:paraId="60922E3D" w14:textId="74D77218" w:rsidR="00F0710D" w:rsidRPr="00715C22" w:rsidRDefault="002E0C65" w:rsidP="00E11E07">
            <w:pPr>
              <w:keepNext/>
              <w:widowControl w:val="0"/>
              <w:autoSpaceDE w:val="0"/>
              <w:autoSpaceDN w:val="0"/>
              <w:adjustRightInd w:val="0"/>
              <w:spacing w:before="28" w:line="229" w:lineRule="exact"/>
              <w:ind w:right="-20"/>
              <w:jc w:val="center"/>
              <w:rPr>
                <w:szCs w:val="24"/>
              </w:rPr>
            </w:pPr>
            <w:r>
              <w:rPr>
                <w:b/>
                <w:bCs/>
                <w:szCs w:val="20"/>
              </w:rPr>
              <w:t>Source</w:t>
            </w:r>
          </w:p>
        </w:tc>
        <w:tc>
          <w:tcPr>
            <w:tcW w:w="3794" w:type="pct"/>
            <w:tcBorders>
              <w:top w:val="single" w:sz="4" w:space="0" w:color="000000"/>
              <w:left w:val="single" w:sz="4" w:space="0" w:color="000000"/>
              <w:bottom w:val="single" w:sz="4" w:space="0" w:color="000000"/>
              <w:right w:val="single" w:sz="4" w:space="0" w:color="000000"/>
            </w:tcBorders>
            <w:shd w:val="clear" w:color="auto" w:fill="CCCCCC"/>
            <w:vAlign w:val="center"/>
          </w:tcPr>
          <w:p w14:paraId="6304B439" w14:textId="77777777" w:rsidR="00F0710D" w:rsidRPr="00715C22" w:rsidRDefault="00F0710D" w:rsidP="00E11E07">
            <w:pPr>
              <w:keepNext/>
              <w:widowControl w:val="0"/>
              <w:autoSpaceDE w:val="0"/>
              <w:autoSpaceDN w:val="0"/>
              <w:adjustRightInd w:val="0"/>
              <w:spacing w:before="28" w:line="229" w:lineRule="exact"/>
              <w:ind w:right="2202"/>
              <w:jc w:val="center"/>
              <w:rPr>
                <w:szCs w:val="24"/>
              </w:rPr>
            </w:pPr>
            <w:r w:rsidRPr="00715C22">
              <w:rPr>
                <w:b/>
                <w:bCs/>
                <w:szCs w:val="20"/>
              </w:rPr>
              <w:t xml:space="preserve">Elements </w:t>
            </w:r>
            <w:r w:rsidRPr="00715C22">
              <w:rPr>
                <w:b/>
                <w:bCs/>
                <w:spacing w:val="-1"/>
                <w:szCs w:val="20"/>
              </w:rPr>
              <w:t>P</w:t>
            </w:r>
            <w:r w:rsidRPr="00715C22">
              <w:rPr>
                <w:b/>
                <w:bCs/>
                <w:szCs w:val="20"/>
              </w:rPr>
              <w:t>ublished</w:t>
            </w:r>
          </w:p>
        </w:tc>
      </w:tr>
      <w:tr w:rsidR="00F0710D" w:rsidRPr="00715C22" w14:paraId="4DA3107B" w14:textId="77777777" w:rsidTr="00BB630E">
        <w:trPr>
          <w:trHeight w:val="1495"/>
        </w:trPr>
        <w:tc>
          <w:tcPr>
            <w:tcW w:w="1206" w:type="pct"/>
            <w:tcBorders>
              <w:top w:val="single" w:sz="4" w:space="0" w:color="000000"/>
              <w:left w:val="single" w:sz="4" w:space="0" w:color="000000"/>
              <w:bottom w:val="single" w:sz="4" w:space="0" w:color="000000"/>
              <w:right w:val="single" w:sz="4" w:space="0" w:color="000000"/>
            </w:tcBorders>
          </w:tcPr>
          <w:p w14:paraId="57C9B035" w14:textId="0F80568E" w:rsidR="00F0710D" w:rsidRPr="00715C22" w:rsidRDefault="009B2B8D" w:rsidP="00B76132">
            <w:pPr>
              <w:keepNext/>
              <w:widowControl w:val="0"/>
              <w:autoSpaceDE w:val="0"/>
              <w:autoSpaceDN w:val="0"/>
              <w:adjustRightInd w:val="0"/>
              <w:ind w:left="102" w:right="-20"/>
              <w:rPr>
                <w:szCs w:val="24"/>
              </w:rPr>
            </w:pPr>
            <w:hyperlink r:id="rId28" w:history="1">
              <w:r w:rsidR="002E0C65" w:rsidRPr="006064AC">
                <w:rPr>
                  <w:rStyle w:val="Hyperlink"/>
                  <w:szCs w:val="20"/>
                </w:rPr>
                <w:t>Office</w:t>
              </w:r>
              <w:r w:rsidR="002E0C65" w:rsidRPr="006064AC">
                <w:rPr>
                  <w:rStyle w:val="Hyperlink"/>
                  <w:spacing w:val="-1"/>
                  <w:szCs w:val="20"/>
                </w:rPr>
                <w:t xml:space="preserve"> </w:t>
              </w:r>
              <w:r w:rsidR="002E0C65" w:rsidRPr="006064AC">
                <w:rPr>
                  <w:rStyle w:val="Hyperlink"/>
                  <w:szCs w:val="20"/>
                </w:rPr>
                <w:t>of Electricity Delivery and E</w:t>
              </w:r>
              <w:r w:rsidR="002E0C65" w:rsidRPr="006064AC">
                <w:rPr>
                  <w:rStyle w:val="Hyperlink"/>
                  <w:spacing w:val="1"/>
                  <w:szCs w:val="20"/>
                </w:rPr>
                <w:t>n</w:t>
              </w:r>
              <w:r w:rsidR="002E0C65" w:rsidRPr="006064AC">
                <w:rPr>
                  <w:rStyle w:val="Hyperlink"/>
                  <w:szCs w:val="20"/>
                </w:rPr>
                <w:t>er</w:t>
              </w:r>
              <w:r w:rsidR="002E0C65" w:rsidRPr="006064AC">
                <w:rPr>
                  <w:rStyle w:val="Hyperlink"/>
                  <w:spacing w:val="1"/>
                  <w:szCs w:val="20"/>
                </w:rPr>
                <w:t>g</w:t>
              </w:r>
              <w:r w:rsidR="002E0C65" w:rsidRPr="006064AC">
                <w:rPr>
                  <w:rStyle w:val="Hyperlink"/>
                  <w:szCs w:val="20"/>
                </w:rPr>
                <w:t>y Relia</w:t>
              </w:r>
              <w:r w:rsidR="002E0C65" w:rsidRPr="006064AC">
                <w:rPr>
                  <w:rStyle w:val="Hyperlink"/>
                  <w:spacing w:val="1"/>
                  <w:szCs w:val="20"/>
                </w:rPr>
                <w:t>b</w:t>
              </w:r>
              <w:r w:rsidR="002E0C65" w:rsidRPr="006064AC">
                <w:rPr>
                  <w:rStyle w:val="Hyperlink"/>
                  <w:spacing w:val="-2"/>
                  <w:szCs w:val="20"/>
                </w:rPr>
                <w:t>i</w:t>
              </w:r>
              <w:r w:rsidR="002E0C65" w:rsidRPr="006064AC">
                <w:rPr>
                  <w:rStyle w:val="Hyperlink"/>
                  <w:szCs w:val="20"/>
                </w:rPr>
                <w:t>lity’s Electric Dist</w:t>
              </w:r>
              <w:r w:rsidR="002E0C65" w:rsidRPr="006064AC">
                <w:rPr>
                  <w:rStyle w:val="Hyperlink"/>
                  <w:spacing w:val="1"/>
                  <w:szCs w:val="20"/>
                </w:rPr>
                <w:t>u</w:t>
              </w:r>
              <w:r w:rsidR="002E0C65" w:rsidRPr="006064AC">
                <w:rPr>
                  <w:rStyle w:val="Hyperlink"/>
                  <w:spacing w:val="-1"/>
                  <w:szCs w:val="20"/>
                </w:rPr>
                <w:t>r</w:t>
              </w:r>
              <w:r w:rsidR="002E0C65" w:rsidRPr="006064AC">
                <w:rPr>
                  <w:rStyle w:val="Hyperlink"/>
                  <w:spacing w:val="1"/>
                  <w:szCs w:val="20"/>
                </w:rPr>
                <w:t>b</w:t>
              </w:r>
              <w:r w:rsidR="002E0C65" w:rsidRPr="006064AC">
                <w:rPr>
                  <w:rStyle w:val="Hyperlink"/>
                  <w:spacing w:val="-1"/>
                  <w:szCs w:val="20"/>
                </w:rPr>
                <w:t>a</w:t>
              </w:r>
              <w:r w:rsidR="002E0C65" w:rsidRPr="006064AC">
                <w:rPr>
                  <w:rStyle w:val="Hyperlink"/>
                  <w:spacing w:val="1"/>
                  <w:szCs w:val="20"/>
                </w:rPr>
                <w:t>n</w:t>
              </w:r>
              <w:r w:rsidR="002E0C65" w:rsidRPr="006064AC">
                <w:rPr>
                  <w:rStyle w:val="Hyperlink"/>
                  <w:szCs w:val="20"/>
                </w:rPr>
                <w:t>ce E</w:t>
              </w:r>
              <w:r w:rsidR="002E0C65" w:rsidRPr="006064AC">
                <w:rPr>
                  <w:rStyle w:val="Hyperlink"/>
                  <w:spacing w:val="1"/>
                  <w:szCs w:val="20"/>
                </w:rPr>
                <w:t>v</w:t>
              </w:r>
              <w:r w:rsidR="002E0C65" w:rsidRPr="006064AC">
                <w:rPr>
                  <w:rStyle w:val="Hyperlink"/>
                  <w:szCs w:val="20"/>
                </w:rPr>
                <w:t>e</w:t>
              </w:r>
              <w:r w:rsidR="002E0C65" w:rsidRPr="006064AC">
                <w:rPr>
                  <w:rStyle w:val="Hyperlink"/>
                  <w:spacing w:val="1"/>
                  <w:szCs w:val="20"/>
                </w:rPr>
                <w:t>n</w:t>
              </w:r>
              <w:r w:rsidR="002E0C65" w:rsidRPr="006064AC">
                <w:rPr>
                  <w:rStyle w:val="Hyperlink"/>
                  <w:szCs w:val="20"/>
                </w:rPr>
                <w:t>ts (OE-4</w:t>
              </w:r>
              <w:r w:rsidR="002E0C65" w:rsidRPr="006064AC">
                <w:rPr>
                  <w:rStyle w:val="Hyperlink"/>
                  <w:spacing w:val="1"/>
                  <w:szCs w:val="20"/>
                </w:rPr>
                <w:t>1</w:t>
              </w:r>
              <w:r w:rsidR="002E0C65" w:rsidRPr="006064AC">
                <w:rPr>
                  <w:rStyle w:val="Hyperlink"/>
                  <w:szCs w:val="20"/>
                </w:rPr>
                <w:t>7) An</w:t>
              </w:r>
              <w:r w:rsidR="002E0C65" w:rsidRPr="006064AC">
                <w:rPr>
                  <w:rStyle w:val="Hyperlink"/>
                  <w:spacing w:val="1"/>
                  <w:szCs w:val="20"/>
                </w:rPr>
                <w:t>n</w:t>
              </w:r>
              <w:r w:rsidR="002E0C65" w:rsidRPr="006064AC">
                <w:rPr>
                  <w:rStyle w:val="Hyperlink"/>
                  <w:spacing w:val="-1"/>
                  <w:szCs w:val="20"/>
                </w:rPr>
                <w:t>u</w:t>
              </w:r>
              <w:r w:rsidR="002E0C65" w:rsidRPr="006064AC">
                <w:rPr>
                  <w:rStyle w:val="Hyperlink"/>
                  <w:szCs w:val="20"/>
                </w:rPr>
                <w:t>al Su</w:t>
              </w:r>
              <w:r w:rsidR="002E0C65" w:rsidRPr="006064AC">
                <w:rPr>
                  <w:rStyle w:val="Hyperlink"/>
                  <w:spacing w:val="-1"/>
                  <w:szCs w:val="20"/>
                </w:rPr>
                <w:t>m</w:t>
              </w:r>
              <w:r w:rsidR="002E0C65" w:rsidRPr="006064AC">
                <w:rPr>
                  <w:rStyle w:val="Hyperlink"/>
                  <w:spacing w:val="-2"/>
                  <w:szCs w:val="20"/>
                </w:rPr>
                <w:t>m</w:t>
              </w:r>
              <w:r w:rsidR="002E0C65" w:rsidRPr="006064AC">
                <w:rPr>
                  <w:rStyle w:val="Hyperlink"/>
                  <w:szCs w:val="20"/>
                </w:rPr>
                <w:t>aries</w:t>
              </w:r>
              <w:r w:rsidR="002E0C65" w:rsidRPr="006064AC">
                <w:rPr>
                  <w:rStyle w:val="Hyperlink"/>
                  <w:spacing w:val="1"/>
                  <w:szCs w:val="20"/>
                </w:rPr>
                <w:t xml:space="preserve"> </w:t>
              </w:r>
              <w:r w:rsidR="002E0C65" w:rsidRPr="006064AC">
                <w:rPr>
                  <w:rStyle w:val="Hyperlink"/>
                  <w:szCs w:val="20"/>
                </w:rPr>
                <w:t>page</w:t>
              </w:r>
            </w:hyperlink>
          </w:p>
        </w:tc>
        <w:tc>
          <w:tcPr>
            <w:tcW w:w="3794" w:type="pct"/>
            <w:tcBorders>
              <w:top w:val="single" w:sz="4" w:space="0" w:color="000000"/>
              <w:left w:val="single" w:sz="4" w:space="0" w:color="000000"/>
              <w:bottom w:val="single" w:sz="4" w:space="0" w:color="000000"/>
              <w:right w:val="single" w:sz="4" w:space="0" w:color="000000"/>
            </w:tcBorders>
          </w:tcPr>
          <w:p w14:paraId="1EC6DCC9" w14:textId="33E73C76" w:rsidR="00F0710D" w:rsidRPr="002D2F64" w:rsidRDefault="00F0710D">
            <w:pPr>
              <w:pStyle w:val="ListParagraph"/>
              <w:rPr>
                <w:szCs w:val="24"/>
              </w:rPr>
            </w:pPr>
            <w:r w:rsidRPr="002D2F64">
              <w:t xml:space="preserve">Date </w:t>
            </w:r>
            <w:r w:rsidR="00B76132">
              <w:t>Incident</w:t>
            </w:r>
            <w:r w:rsidR="00B76132" w:rsidRPr="002D2F64">
              <w:t xml:space="preserve"> </w:t>
            </w:r>
            <w:r w:rsidRPr="002D2F64">
              <w:t>Began</w:t>
            </w:r>
          </w:p>
          <w:p w14:paraId="4E10D80C" w14:textId="49073A42" w:rsidR="00F0710D" w:rsidRPr="002D2F64" w:rsidRDefault="00F0710D">
            <w:pPr>
              <w:pStyle w:val="ListParagraph"/>
              <w:rPr>
                <w:szCs w:val="24"/>
              </w:rPr>
            </w:pPr>
            <w:r>
              <w:t xml:space="preserve">Time </w:t>
            </w:r>
            <w:r w:rsidR="00B76132">
              <w:t>Incident</w:t>
            </w:r>
            <w:r>
              <w:t xml:space="preserve"> Began</w:t>
            </w:r>
          </w:p>
          <w:p w14:paraId="773D13B5" w14:textId="3552C314" w:rsidR="00F0710D" w:rsidRPr="002D2F64" w:rsidRDefault="00F0710D">
            <w:pPr>
              <w:pStyle w:val="ListParagraph"/>
              <w:rPr>
                <w:szCs w:val="24"/>
              </w:rPr>
            </w:pPr>
            <w:r>
              <w:t xml:space="preserve">Date Final Report Received / </w:t>
            </w:r>
            <w:r w:rsidR="00B76132">
              <w:t>Incident</w:t>
            </w:r>
            <w:r w:rsidR="00B76132" w:rsidDel="00B76132">
              <w:t xml:space="preserve"> </w:t>
            </w:r>
            <w:r>
              <w:t>Ended</w:t>
            </w:r>
          </w:p>
          <w:p w14:paraId="7D29EE4D" w14:textId="4312AC95" w:rsidR="00F0710D" w:rsidRPr="002D2F64" w:rsidRDefault="00F0710D">
            <w:pPr>
              <w:pStyle w:val="ListParagraph"/>
              <w:rPr>
                <w:szCs w:val="24"/>
              </w:rPr>
            </w:pPr>
            <w:r>
              <w:t xml:space="preserve">Time Final Report Received / </w:t>
            </w:r>
            <w:r w:rsidR="00B76132">
              <w:t>Incident</w:t>
            </w:r>
            <w:r w:rsidR="00B76132" w:rsidDel="00B76132">
              <w:t xml:space="preserve"> </w:t>
            </w:r>
            <w:r>
              <w:t>Ended</w:t>
            </w:r>
          </w:p>
          <w:p w14:paraId="4CA80160" w14:textId="77777777" w:rsidR="00F0710D" w:rsidRDefault="00F0710D">
            <w:pPr>
              <w:pStyle w:val="ListParagraph"/>
            </w:pPr>
            <w:r>
              <w:t>North American Electric Reliability Corporation Region</w:t>
            </w:r>
          </w:p>
          <w:p w14:paraId="64498E06" w14:textId="3E73B38F" w:rsidR="00F0710D" w:rsidRDefault="00B76132">
            <w:pPr>
              <w:pStyle w:val="ListParagraph"/>
            </w:pPr>
            <w:r>
              <w:t>Incident</w:t>
            </w:r>
            <w:r w:rsidDel="00B76132">
              <w:t xml:space="preserve"> </w:t>
            </w:r>
            <w:r w:rsidR="00F0710D">
              <w:t>Type</w:t>
            </w:r>
          </w:p>
          <w:p w14:paraId="74DA6753" w14:textId="77BC5035" w:rsidR="00F0710D" w:rsidRDefault="00B76132">
            <w:pPr>
              <w:pStyle w:val="ListParagraph"/>
            </w:pPr>
            <w:r>
              <w:t>Incident</w:t>
            </w:r>
            <w:r w:rsidDel="00B76132">
              <w:t xml:space="preserve"> </w:t>
            </w:r>
            <w:r w:rsidR="00F0710D">
              <w:t xml:space="preserve">Sub-classification </w:t>
            </w:r>
          </w:p>
          <w:p w14:paraId="79BAD19C" w14:textId="77777777" w:rsidR="00F0710D" w:rsidRDefault="00F0710D">
            <w:pPr>
              <w:pStyle w:val="ListParagraph"/>
            </w:pPr>
            <w:r>
              <w:t>Demand Loss</w:t>
            </w:r>
          </w:p>
          <w:p w14:paraId="0F08549F" w14:textId="77777777" w:rsidR="00F0710D" w:rsidRPr="002D2F64" w:rsidRDefault="00F0710D">
            <w:pPr>
              <w:pStyle w:val="ListParagraph"/>
            </w:pPr>
            <w:r>
              <w:t xml:space="preserve">Peak Customers Affected </w:t>
            </w:r>
          </w:p>
        </w:tc>
      </w:tr>
      <w:tr w:rsidR="00F0710D" w:rsidRPr="00715C22" w14:paraId="2A10EA54" w14:textId="77777777" w:rsidTr="00E11E07">
        <w:trPr>
          <w:trHeight w:val="2060"/>
        </w:trPr>
        <w:tc>
          <w:tcPr>
            <w:tcW w:w="1206" w:type="pct"/>
            <w:tcBorders>
              <w:top w:val="single" w:sz="4" w:space="0" w:color="000000"/>
              <w:left w:val="single" w:sz="4" w:space="0" w:color="000000"/>
              <w:bottom w:val="single" w:sz="4" w:space="0" w:color="000000"/>
              <w:right w:val="single" w:sz="4" w:space="0" w:color="000000"/>
            </w:tcBorders>
          </w:tcPr>
          <w:p w14:paraId="03BC2BC8" w14:textId="1D728767" w:rsidR="00F0710D" w:rsidRPr="00715C22" w:rsidRDefault="009B2B8D">
            <w:pPr>
              <w:keepNext/>
              <w:widowControl w:val="0"/>
              <w:autoSpaceDE w:val="0"/>
              <w:autoSpaceDN w:val="0"/>
              <w:adjustRightInd w:val="0"/>
              <w:ind w:left="102" w:right="118"/>
              <w:rPr>
                <w:szCs w:val="24"/>
              </w:rPr>
            </w:pPr>
            <w:hyperlink r:id="rId29" w:history="1">
              <w:r w:rsidR="002E0C65" w:rsidRPr="006064AC">
                <w:rPr>
                  <w:rStyle w:val="Hyperlink"/>
                  <w:i/>
                  <w:iCs/>
                  <w:szCs w:val="20"/>
                </w:rPr>
                <w:t xml:space="preserve">Electric Power </w:t>
              </w:r>
              <w:r w:rsidR="002E0C65" w:rsidRPr="006064AC">
                <w:rPr>
                  <w:rStyle w:val="Hyperlink"/>
                  <w:i/>
                  <w:iCs/>
                  <w:spacing w:val="-1"/>
                  <w:szCs w:val="20"/>
                </w:rPr>
                <w:t>Mo</w:t>
              </w:r>
              <w:r w:rsidR="002E0C65" w:rsidRPr="006064AC">
                <w:rPr>
                  <w:rStyle w:val="Hyperlink"/>
                  <w:i/>
                  <w:iCs/>
                  <w:szCs w:val="20"/>
                </w:rPr>
                <w:t>nth</w:t>
              </w:r>
              <w:r w:rsidR="002E0C65" w:rsidRPr="006064AC">
                <w:rPr>
                  <w:rStyle w:val="Hyperlink"/>
                  <w:i/>
                  <w:iCs/>
                  <w:spacing w:val="-2"/>
                  <w:szCs w:val="20"/>
                </w:rPr>
                <w:t>l</w:t>
              </w:r>
              <w:r w:rsidR="002E0C65" w:rsidRPr="006064AC">
                <w:rPr>
                  <w:rStyle w:val="Hyperlink"/>
                  <w:i/>
                  <w:iCs/>
                  <w:szCs w:val="20"/>
                </w:rPr>
                <w:t>y</w:t>
              </w:r>
              <w:r w:rsidR="006064AC" w:rsidRPr="006064AC">
                <w:rPr>
                  <w:rStyle w:val="Hyperlink"/>
                  <w:i/>
                  <w:iCs/>
                  <w:spacing w:val="-1"/>
                  <w:szCs w:val="20"/>
                </w:rPr>
                <w:t>: Appendix B</w:t>
              </w:r>
            </w:hyperlink>
          </w:p>
        </w:tc>
        <w:tc>
          <w:tcPr>
            <w:tcW w:w="3794" w:type="pct"/>
            <w:tcBorders>
              <w:top w:val="single" w:sz="4" w:space="0" w:color="000000"/>
              <w:left w:val="single" w:sz="4" w:space="0" w:color="000000"/>
              <w:bottom w:val="single" w:sz="4" w:space="0" w:color="000000"/>
              <w:right w:val="single" w:sz="4" w:space="0" w:color="000000"/>
            </w:tcBorders>
          </w:tcPr>
          <w:p w14:paraId="5172D8AE" w14:textId="268C7E20" w:rsidR="002E0C65" w:rsidRPr="00E11E07" w:rsidRDefault="00B76132" w:rsidP="00E11E07">
            <w:pPr>
              <w:pStyle w:val="ListParagraph"/>
              <w:rPr>
                <w:szCs w:val="24"/>
              </w:rPr>
            </w:pPr>
            <w:r>
              <w:t>G</w:t>
            </w:r>
            <w:r w:rsidR="00F0710D" w:rsidRPr="00B76132">
              <w:t>e</w:t>
            </w:r>
            <w:r w:rsidR="00F0710D" w:rsidRPr="00B76132">
              <w:rPr>
                <w:spacing w:val="-1"/>
              </w:rPr>
              <w:t>og</w:t>
            </w:r>
            <w:r w:rsidR="00F0710D" w:rsidRPr="00B76132">
              <w:t>ra</w:t>
            </w:r>
            <w:r w:rsidR="00F0710D" w:rsidRPr="00B76132">
              <w:rPr>
                <w:spacing w:val="-1"/>
              </w:rPr>
              <w:t>p</w:t>
            </w:r>
            <w:r w:rsidR="00F0710D" w:rsidRPr="00B76132">
              <w:t xml:space="preserve">hical </w:t>
            </w:r>
            <w:r>
              <w:t>L</w:t>
            </w:r>
            <w:r w:rsidRPr="00B76132">
              <w:rPr>
                <w:spacing w:val="1"/>
              </w:rPr>
              <w:t>o</w:t>
            </w:r>
            <w:r w:rsidRPr="00B76132">
              <w:t>cati</w:t>
            </w:r>
            <w:r w:rsidRPr="00B76132">
              <w:rPr>
                <w:spacing w:val="1"/>
              </w:rPr>
              <w:t>o</w:t>
            </w:r>
            <w:r w:rsidRPr="00B76132">
              <w:t xml:space="preserve">n </w:t>
            </w:r>
            <w:r w:rsidR="00F0710D" w:rsidRPr="00B76132">
              <w:t>by</w:t>
            </w:r>
            <w:r w:rsidR="00F0710D" w:rsidRPr="00B76132">
              <w:rPr>
                <w:spacing w:val="-1"/>
              </w:rPr>
              <w:t xml:space="preserve"> </w:t>
            </w:r>
            <w:r w:rsidR="00F0710D" w:rsidRPr="002E0C65">
              <w:t>State</w:t>
            </w:r>
            <w:r w:rsidR="00F0710D" w:rsidRPr="002E0C65">
              <w:rPr>
                <w:spacing w:val="1"/>
              </w:rPr>
              <w:t xml:space="preserve"> </w:t>
            </w:r>
          </w:p>
          <w:p w14:paraId="25B67E7F" w14:textId="1AE97360" w:rsidR="002E0C65" w:rsidRPr="00E11E07" w:rsidRDefault="00B76132" w:rsidP="00E11E07">
            <w:pPr>
              <w:pStyle w:val="ListParagraph"/>
              <w:rPr>
                <w:szCs w:val="24"/>
              </w:rPr>
            </w:pPr>
            <w:r>
              <w:t>C</w:t>
            </w:r>
            <w:r w:rsidRPr="00B76132">
              <w:t>o</w:t>
            </w:r>
            <w:r w:rsidRPr="00B76132">
              <w:rPr>
                <w:spacing w:val="-2"/>
              </w:rPr>
              <w:t>m</w:t>
            </w:r>
            <w:r w:rsidRPr="00B76132">
              <w:rPr>
                <w:spacing w:val="1"/>
              </w:rPr>
              <w:t>p</w:t>
            </w:r>
            <w:r w:rsidRPr="00B76132">
              <w:t>any</w:t>
            </w:r>
            <w:r w:rsidRPr="00B76132">
              <w:rPr>
                <w:spacing w:val="-1"/>
              </w:rPr>
              <w:t xml:space="preserve"> </w:t>
            </w:r>
            <w:r>
              <w:t>N</w:t>
            </w:r>
            <w:r w:rsidRPr="00B76132">
              <w:rPr>
                <w:spacing w:val="-1"/>
              </w:rPr>
              <w:t>am</w:t>
            </w:r>
            <w:r w:rsidRPr="00B76132">
              <w:t>e</w:t>
            </w:r>
            <w:r w:rsidR="00F0710D" w:rsidRPr="00B76132">
              <w:rPr>
                <w:spacing w:val="1"/>
              </w:rPr>
              <w:t xml:space="preserve"> </w:t>
            </w:r>
          </w:p>
          <w:p w14:paraId="33E1C4C8" w14:textId="1816C84D" w:rsidR="00B76132" w:rsidRPr="00B76132" w:rsidRDefault="00B76132" w:rsidP="00E11E07">
            <w:pPr>
              <w:pStyle w:val="ListParagraph"/>
              <w:rPr>
                <w:szCs w:val="24"/>
              </w:rPr>
            </w:pPr>
            <w:r>
              <w:t>A</w:t>
            </w:r>
            <w:r w:rsidRPr="00B76132">
              <w:rPr>
                <w:spacing w:val="-2"/>
              </w:rPr>
              <w:t>m</w:t>
            </w:r>
            <w:r w:rsidRPr="00B76132">
              <w:t>ount</w:t>
            </w:r>
            <w:r w:rsidRPr="00B76132">
              <w:rPr>
                <w:spacing w:val="-1"/>
              </w:rPr>
              <w:t xml:space="preserve"> </w:t>
            </w:r>
            <w:r w:rsidR="00F0710D" w:rsidRPr="00B76132">
              <w:rPr>
                <w:spacing w:val="-1"/>
              </w:rPr>
              <w:t>o</w:t>
            </w:r>
            <w:r w:rsidR="00F0710D" w:rsidRPr="00B76132">
              <w:t xml:space="preserve">f </w:t>
            </w:r>
            <w:r>
              <w:t>D</w:t>
            </w:r>
            <w:r w:rsidRPr="00B76132">
              <w:t>e</w:t>
            </w:r>
            <w:r w:rsidRPr="00B76132">
              <w:rPr>
                <w:spacing w:val="-2"/>
              </w:rPr>
              <w:t>m</w:t>
            </w:r>
            <w:r w:rsidRPr="00B76132">
              <w:t>and</w:t>
            </w:r>
            <w:r w:rsidRPr="00B76132">
              <w:rPr>
                <w:spacing w:val="1"/>
              </w:rPr>
              <w:t xml:space="preserve"> </w:t>
            </w:r>
            <w:r w:rsidR="00F0710D" w:rsidRPr="00B76132">
              <w:t>(</w:t>
            </w:r>
            <w:r>
              <w:rPr>
                <w:spacing w:val="-2"/>
              </w:rPr>
              <w:t>L</w:t>
            </w:r>
            <w:r w:rsidR="00F0710D" w:rsidRPr="00B76132">
              <w:t>oa</w:t>
            </w:r>
            <w:r w:rsidR="00F0710D" w:rsidRPr="00B76132">
              <w:rPr>
                <w:spacing w:val="-1"/>
              </w:rPr>
              <w:t>d</w:t>
            </w:r>
            <w:r w:rsidR="00F0710D" w:rsidRPr="00B76132">
              <w:t xml:space="preserve">) </w:t>
            </w:r>
            <w:r>
              <w:t>L</w:t>
            </w:r>
            <w:r w:rsidR="00F0710D" w:rsidRPr="00B76132">
              <w:rPr>
                <w:spacing w:val="1"/>
              </w:rPr>
              <w:t>o</w:t>
            </w:r>
            <w:r w:rsidR="00F0710D" w:rsidRPr="00B76132">
              <w:t>st</w:t>
            </w:r>
          </w:p>
          <w:p w14:paraId="0EA48B14" w14:textId="5C6460BF" w:rsidR="00B76132" w:rsidRPr="00B76132" w:rsidRDefault="00B76132" w:rsidP="00E11E07">
            <w:pPr>
              <w:pStyle w:val="ListParagraph"/>
              <w:rPr>
                <w:szCs w:val="24"/>
              </w:rPr>
            </w:pPr>
            <w:r>
              <w:rPr>
                <w:spacing w:val="-1"/>
              </w:rPr>
              <w:t>C</w:t>
            </w:r>
            <w:r w:rsidR="00F0710D" w:rsidRPr="00B76132">
              <w:rPr>
                <w:spacing w:val="1"/>
              </w:rPr>
              <w:t>o</w:t>
            </w:r>
            <w:r w:rsidR="00F0710D" w:rsidRPr="00B76132">
              <w:rPr>
                <w:spacing w:val="-1"/>
              </w:rPr>
              <w:t>u</w:t>
            </w:r>
            <w:r w:rsidR="00F0710D" w:rsidRPr="00B76132">
              <w:rPr>
                <w:spacing w:val="1"/>
              </w:rPr>
              <w:t>n</w:t>
            </w:r>
            <w:r w:rsidR="00F0710D" w:rsidRPr="00B76132">
              <w:t>t</w:t>
            </w:r>
            <w:r w:rsidR="00F0710D" w:rsidRPr="00B76132">
              <w:rPr>
                <w:spacing w:val="-1"/>
              </w:rPr>
              <w:t xml:space="preserve"> </w:t>
            </w:r>
            <w:r w:rsidR="00F0710D" w:rsidRPr="00B76132">
              <w:t>of</w:t>
            </w:r>
            <w:r w:rsidR="00F0710D" w:rsidRPr="002E0C65">
              <w:rPr>
                <w:spacing w:val="1"/>
              </w:rPr>
              <w:t xml:space="preserve"> </w:t>
            </w:r>
            <w:r>
              <w:rPr>
                <w:spacing w:val="-1"/>
              </w:rPr>
              <w:t>C</w:t>
            </w:r>
            <w:r w:rsidR="00F0710D" w:rsidRPr="00B76132">
              <w:rPr>
                <w:spacing w:val="1"/>
              </w:rPr>
              <w:t>u</w:t>
            </w:r>
            <w:r w:rsidR="00F0710D" w:rsidRPr="00B76132">
              <w:t>sto</w:t>
            </w:r>
            <w:r w:rsidR="00F0710D" w:rsidRPr="00B76132">
              <w:rPr>
                <w:spacing w:val="-2"/>
              </w:rPr>
              <w:t>m</w:t>
            </w:r>
            <w:r w:rsidR="00F0710D" w:rsidRPr="00B76132">
              <w:t>ers</w:t>
            </w:r>
            <w:r w:rsidR="00F0710D" w:rsidRPr="00B76132">
              <w:rPr>
                <w:spacing w:val="1"/>
              </w:rPr>
              <w:t xml:space="preserve"> </w:t>
            </w:r>
            <w:r>
              <w:t>A</w:t>
            </w:r>
            <w:r w:rsidR="00F0710D" w:rsidRPr="00B76132">
              <w:rPr>
                <w:spacing w:val="-1"/>
              </w:rPr>
              <w:t>f</w:t>
            </w:r>
            <w:r w:rsidR="00F0710D" w:rsidRPr="00B76132">
              <w:t>fected</w:t>
            </w:r>
          </w:p>
          <w:p w14:paraId="1D7F9F46" w14:textId="4929C470" w:rsidR="00B76132" w:rsidRPr="00B76132" w:rsidRDefault="00B76132" w:rsidP="00E11E07">
            <w:pPr>
              <w:pStyle w:val="ListParagraph"/>
              <w:rPr>
                <w:szCs w:val="24"/>
              </w:rPr>
            </w:pPr>
            <w:r>
              <w:t>T</w:t>
            </w:r>
            <w:r w:rsidR="00F0710D" w:rsidRPr="00B76132">
              <w:t>i</w:t>
            </w:r>
            <w:r w:rsidR="00F0710D" w:rsidRPr="00B76132">
              <w:rPr>
                <w:spacing w:val="-2"/>
              </w:rPr>
              <w:t>m</w:t>
            </w:r>
            <w:r w:rsidR="00F0710D" w:rsidRPr="00B76132">
              <w:t>e</w:t>
            </w:r>
            <w:r w:rsidR="00F0710D" w:rsidRPr="00B76132">
              <w:rPr>
                <w:spacing w:val="1"/>
              </w:rPr>
              <w:t xml:space="preserve"> </w:t>
            </w:r>
            <w:r w:rsidR="00F0710D" w:rsidRPr="00B76132">
              <w:t>and</w:t>
            </w:r>
            <w:r w:rsidR="00F0710D" w:rsidRPr="00B76132">
              <w:rPr>
                <w:spacing w:val="-1"/>
              </w:rPr>
              <w:t xml:space="preserve"> </w:t>
            </w:r>
            <w:r>
              <w:t>D</w:t>
            </w:r>
            <w:r w:rsidR="00F0710D" w:rsidRPr="00B76132">
              <w:rPr>
                <w:spacing w:val="-1"/>
              </w:rPr>
              <w:t>a</w:t>
            </w:r>
            <w:r w:rsidR="00F0710D" w:rsidRPr="00B76132">
              <w:t xml:space="preserve">te of </w:t>
            </w:r>
            <w:r>
              <w:t>Incident</w:t>
            </w:r>
          </w:p>
          <w:p w14:paraId="0D7B0BA0" w14:textId="2BFC6C4E" w:rsidR="00B76132" w:rsidRPr="00B76132" w:rsidRDefault="00B76132" w:rsidP="00E11E07">
            <w:pPr>
              <w:pStyle w:val="ListParagraph"/>
              <w:rPr>
                <w:szCs w:val="24"/>
              </w:rPr>
            </w:pPr>
            <w:r>
              <w:rPr>
                <w:spacing w:val="-2"/>
              </w:rPr>
              <w:t>L</w:t>
            </w:r>
            <w:r w:rsidR="00F0710D" w:rsidRPr="00B76132">
              <w:t>eng</w:t>
            </w:r>
            <w:r w:rsidR="00F0710D" w:rsidRPr="00B76132">
              <w:rPr>
                <w:spacing w:val="-2"/>
              </w:rPr>
              <w:t>t</w:t>
            </w:r>
            <w:r w:rsidR="00F0710D" w:rsidRPr="00B76132">
              <w:t>h</w:t>
            </w:r>
            <w:r w:rsidR="00F0710D" w:rsidRPr="00B76132">
              <w:rPr>
                <w:spacing w:val="-1"/>
              </w:rPr>
              <w:t xml:space="preserve"> </w:t>
            </w:r>
            <w:r w:rsidR="00F0710D" w:rsidRPr="00B76132">
              <w:t xml:space="preserve">of </w:t>
            </w:r>
            <w:r>
              <w:t>I</w:t>
            </w:r>
            <w:r w:rsidRPr="00B76132">
              <w:rPr>
                <w:spacing w:val="1"/>
              </w:rPr>
              <w:t>n</w:t>
            </w:r>
            <w:r w:rsidRPr="00B76132">
              <w:t>ci</w:t>
            </w:r>
            <w:r w:rsidRPr="00B76132">
              <w:rPr>
                <w:spacing w:val="1"/>
              </w:rPr>
              <w:t>d</w:t>
            </w:r>
            <w:r w:rsidRPr="00B76132">
              <w:t>e</w:t>
            </w:r>
            <w:r w:rsidRPr="00B76132">
              <w:rPr>
                <w:spacing w:val="1"/>
              </w:rPr>
              <w:t>n</w:t>
            </w:r>
            <w:r w:rsidRPr="00B76132">
              <w:t>t</w:t>
            </w:r>
            <w:r w:rsidRPr="002E0C65">
              <w:rPr>
                <w:spacing w:val="-1"/>
              </w:rPr>
              <w:t xml:space="preserve"> </w:t>
            </w:r>
            <w:r>
              <w:t>U</w:t>
            </w:r>
            <w:r w:rsidR="00F0710D" w:rsidRPr="00B76132">
              <w:rPr>
                <w:spacing w:val="1"/>
              </w:rPr>
              <w:t>n</w:t>
            </w:r>
            <w:r w:rsidR="00F0710D" w:rsidRPr="00B76132">
              <w:t xml:space="preserve">til </w:t>
            </w:r>
            <w:r>
              <w:t>R</w:t>
            </w:r>
            <w:r w:rsidR="00F0710D" w:rsidRPr="00B76132">
              <w:t>est</w:t>
            </w:r>
            <w:r w:rsidR="00F0710D" w:rsidRPr="00B76132">
              <w:rPr>
                <w:spacing w:val="1"/>
              </w:rPr>
              <w:t>o</w:t>
            </w:r>
            <w:r w:rsidR="00F0710D" w:rsidRPr="00B76132">
              <w:t>ration (am</w:t>
            </w:r>
            <w:r w:rsidR="00F0710D" w:rsidRPr="00B76132">
              <w:rPr>
                <w:spacing w:val="1"/>
              </w:rPr>
              <w:t>o</w:t>
            </w:r>
            <w:r w:rsidR="00F0710D" w:rsidRPr="00B76132">
              <w:t>u</w:t>
            </w:r>
            <w:r w:rsidR="00F0710D" w:rsidRPr="00B76132">
              <w:rPr>
                <w:spacing w:val="1"/>
              </w:rPr>
              <w:t>n</w:t>
            </w:r>
            <w:r w:rsidR="00F0710D" w:rsidRPr="002E0C65">
              <w:t>t</w:t>
            </w:r>
            <w:r w:rsidR="00F0710D" w:rsidRPr="002E0C65">
              <w:rPr>
                <w:spacing w:val="-1"/>
              </w:rPr>
              <w:t xml:space="preserve"> </w:t>
            </w:r>
            <w:r w:rsidR="00F0710D" w:rsidRPr="002E0C65">
              <w:rPr>
                <w:spacing w:val="1"/>
              </w:rPr>
              <w:t>o</w:t>
            </w:r>
            <w:r w:rsidR="00F0710D" w:rsidRPr="002E0C65">
              <w:t>f t</w:t>
            </w:r>
            <w:r w:rsidR="00F0710D" w:rsidRPr="002E0C65">
              <w:rPr>
                <w:spacing w:val="1"/>
              </w:rPr>
              <w:t>i</w:t>
            </w:r>
            <w:r w:rsidR="00F0710D" w:rsidRPr="002E0C65">
              <w:rPr>
                <w:spacing w:val="-2"/>
              </w:rPr>
              <w:t>m</w:t>
            </w:r>
            <w:r w:rsidR="00F0710D" w:rsidRPr="002E0C65">
              <w:t>e</w:t>
            </w:r>
            <w:r>
              <w:t>)</w:t>
            </w:r>
            <w:r w:rsidR="00F0710D" w:rsidRPr="00B76132">
              <w:t xml:space="preserve"> </w:t>
            </w:r>
          </w:p>
          <w:p w14:paraId="414909FC" w14:textId="305072BD" w:rsidR="00F0710D" w:rsidRPr="00B76132" w:rsidRDefault="00B76132" w:rsidP="00E11E07">
            <w:pPr>
              <w:pStyle w:val="ListParagraph"/>
              <w:rPr>
                <w:szCs w:val="24"/>
              </w:rPr>
            </w:pPr>
            <w:r>
              <w:t>T</w:t>
            </w:r>
            <w:r w:rsidR="00F0710D" w:rsidRPr="00B76132">
              <w:t>y</w:t>
            </w:r>
            <w:r w:rsidR="00F0710D" w:rsidRPr="00B76132">
              <w:rPr>
                <w:spacing w:val="1"/>
              </w:rPr>
              <w:t>p</w:t>
            </w:r>
            <w:r w:rsidR="00F0710D" w:rsidRPr="00B76132">
              <w:t>e</w:t>
            </w:r>
            <w:r w:rsidR="00F0710D" w:rsidRPr="00B76132">
              <w:rPr>
                <w:spacing w:val="-1"/>
              </w:rPr>
              <w:t xml:space="preserve"> </w:t>
            </w:r>
            <w:r w:rsidR="00F0710D" w:rsidRPr="00B76132">
              <w:rPr>
                <w:spacing w:val="1"/>
              </w:rPr>
              <w:t>o</w:t>
            </w:r>
            <w:r w:rsidR="00F0710D" w:rsidRPr="00B76132">
              <w:t xml:space="preserve">f </w:t>
            </w:r>
            <w:r>
              <w:t>Incident</w:t>
            </w:r>
          </w:p>
        </w:tc>
      </w:tr>
      <w:tr w:rsidR="006064AC" w:rsidRPr="00715C22" w14:paraId="5D520195" w14:textId="77777777" w:rsidTr="00E11E07">
        <w:trPr>
          <w:trHeight w:val="170"/>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474C8332" w14:textId="35A4EDCB" w:rsidR="006064AC" w:rsidRPr="00E11E07" w:rsidDel="002E0C65" w:rsidRDefault="006064AC" w:rsidP="00E11E07">
            <w:pPr>
              <w:spacing w:after="0"/>
              <w:ind w:left="360" w:hanging="360"/>
              <w:jc w:val="center"/>
              <w:rPr>
                <w:i/>
              </w:rPr>
            </w:pPr>
            <w:r>
              <w:rPr>
                <w:i/>
              </w:rPr>
              <w:t>Note: Information provided under Schedule 2 of Form OE-417 is not included in the published summaries</w:t>
            </w:r>
          </w:p>
        </w:tc>
      </w:tr>
    </w:tbl>
    <w:p w14:paraId="6DC558A3" w14:textId="638A1170" w:rsidR="00BB630E" w:rsidRDefault="00BB630E" w:rsidP="00E11E07">
      <w:bookmarkStart w:id="62" w:name="_Toc466046225"/>
      <w:bookmarkStart w:id="63" w:name="_Toc487186519"/>
      <w:bookmarkStart w:id="64" w:name="_Toc488240626"/>
      <w:r w:rsidRPr="00212857">
        <w:t>*</w:t>
      </w:r>
      <w:r w:rsidRPr="00C532BC">
        <w:t>Information on Schedule 2 will not be disclosed to the public to the extent that it satisfies the criteria for exemption under the Freedom of Information Act, e.g., exemptions for confidential commercial information and trade secrets, certain information that could endanger the physical safety of an individual, or information designated as Critical Energy Infrastructure Information.</w:t>
      </w:r>
    </w:p>
    <w:p w14:paraId="543E3C04" w14:textId="77777777" w:rsidR="00F056C3" w:rsidRDefault="00F056C3" w:rsidP="00910D61">
      <w:pPr>
        <w:pStyle w:val="Heading2"/>
      </w:pPr>
      <w:r>
        <w:t>A.</w:t>
      </w:r>
      <w:r w:rsidR="00A41763" w:rsidRPr="00A41763">
        <w:t xml:space="preserve">17. </w:t>
      </w:r>
      <w:r w:rsidRPr="00F056C3">
        <w:t>OMB Number and Expiration Date</w:t>
      </w:r>
      <w:bookmarkEnd w:id="62"/>
      <w:bookmarkEnd w:id="63"/>
      <w:bookmarkEnd w:id="64"/>
      <w:r w:rsidRPr="00F056C3">
        <w:t xml:space="preserve"> </w:t>
      </w:r>
    </w:p>
    <w:p w14:paraId="13030EFF" w14:textId="53C68019" w:rsidR="00C66A79" w:rsidRPr="00003535" w:rsidRDefault="00C66A79" w:rsidP="00C66A79">
      <w:pPr>
        <w:spacing w:before="120"/>
      </w:pPr>
      <w:r w:rsidRPr="00003535">
        <w:t xml:space="preserve">The OMB Number </w:t>
      </w:r>
      <w:r w:rsidRPr="00C66A79">
        <w:t>1901-0288</w:t>
      </w:r>
      <w:r w:rsidR="006A699F">
        <w:t xml:space="preserve"> </w:t>
      </w:r>
      <w:r w:rsidRPr="00003535">
        <w:t>and expiration date will be displayed on all the data collection forms and instructions.</w:t>
      </w:r>
    </w:p>
    <w:p w14:paraId="31DFF2D1" w14:textId="77777777" w:rsidR="00F056C3" w:rsidRDefault="00F056C3" w:rsidP="00910D61">
      <w:pPr>
        <w:pStyle w:val="Heading2"/>
      </w:pPr>
      <w:bookmarkStart w:id="65" w:name="_Toc466046226"/>
      <w:bookmarkStart w:id="66" w:name="_Toc487186520"/>
      <w:bookmarkStart w:id="67" w:name="_Toc488240627"/>
      <w:r>
        <w:t>A.</w:t>
      </w:r>
      <w:r w:rsidR="00A41763" w:rsidRPr="00A41763">
        <w:t xml:space="preserve">18. </w:t>
      </w:r>
      <w:r w:rsidRPr="00F056C3">
        <w:t>Certification Statement</w:t>
      </w:r>
      <w:bookmarkEnd w:id="65"/>
      <w:bookmarkEnd w:id="66"/>
      <w:bookmarkEnd w:id="67"/>
      <w:r w:rsidRPr="00F056C3">
        <w:t xml:space="preserve"> </w:t>
      </w:r>
    </w:p>
    <w:p w14:paraId="12735045" w14:textId="77777777" w:rsidR="00F0710D" w:rsidRDefault="00BE37CD" w:rsidP="00F0710D">
      <w:pPr>
        <w:rPr>
          <w:szCs w:val="24"/>
        </w:rPr>
      </w:pPr>
      <w:r>
        <w:rPr>
          <w:szCs w:val="24"/>
        </w:rPr>
        <w:t xml:space="preserve">Form </w:t>
      </w:r>
      <w:r w:rsidR="00F0710D">
        <w:rPr>
          <w:szCs w:val="24"/>
        </w:rPr>
        <w:t xml:space="preserve">OE-417 </w:t>
      </w:r>
      <w:r w:rsidR="00F0710D">
        <w:rPr>
          <w:spacing w:val="-2"/>
          <w:szCs w:val="24"/>
        </w:rPr>
        <w:t>m</w:t>
      </w:r>
      <w:r w:rsidR="00F0710D">
        <w:rPr>
          <w:szCs w:val="24"/>
        </w:rPr>
        <w:t>eets all certific</w:t>
      </w:r>
      <w:r w:rsidR="00F0710D">
        <w:rPr>
          <w:spacing w:val="-1"/>
          <w:szCs w:val="24"/>
        </w:rPr>
        <w:t>a</w:t>
      </w:r>
      <w:r w:rsidR="00F0710D">
        <w:rPr>
          <w:szCs w:val="24"/>
        </w:rPr>
        <w:t>tion require</w:t>
      </w:r>
      <w:r w:rsidR="00F0710D">
        <w:rPr>
          <w:spacing w:val="-2"/>
          <w:szCs w:val="24"/>
        </w:rPr>
        <w:t>m</w:t>
      </w:r>
      <w:r w:rsidR="00F0710D">
        <w:rPr>
          <w:szCs w:val="24"/>
        </w:rPr>
        <w:t>ents of the</w:t>
      </w:r>
      <w:r w:rsidR="00F0710D">
        <w:rPr>
          <w:spacing w:val="1"/>
          <w:szCs w:val="24"/>
        </w:rPr>
        <w:t xml:space="preserve"> </w:t>
      </w:r>
      <w:r w:rsidR="00F0710D">
        <w:rPr>
          <w:szCs w:val="24"/>
        </w:rPr>
        <w:t>"</w:t>
      </w:r>
      <w:r w:rsidR="00F0710D">
        <w:rPr>
          <w:spacing w:val="-1"/>
          <w:szCs w:val="24"/>
        </w:rPr>
        <w:t>C</w:t>
      </w:r>
      <w:r w:rsidR="00F0710D">
        <w:rPr>
          <w:szCs w:val="24"/>
        </w:rPr>
        <w:t xml:space="preserve">ertification for Paperwork Reduction </w:t>
      </w:r>
      <w:r w:rsidR="00F0710D">
        <w:rPr>
          <w:spacing w:val="-2"/>
          <w:szCs w:val="24"/>
        </w:rPr>
        <w:t>A</w:t>
      </w:r>
      <w:r w:rsidR="00F0710D">
        <w:rPr>
          <w:szCs w:val="24"/>
        </w:rPr>
        <w:t>ct Sub</w:t>
      </w:r>
      <w:r w:rsidR="00F0710D">
        <w:rPr>
          <w:spacing w:val="-2"/>
          <w:szCs w:val="24"/>
        </w:rPr>
        <w:t>m</w:t>
      </w:r>
      <w:r w:rsidR="00F0710D">
        <w:rPr>
          <w:szCs w:val="24"/>
        </w:rPr>
        <w:t>issions," of OMB Fo</w:t>
      </w:r>
      <w:r w:rsidR="00F0710D">
        <w:rPr>
          <w:spacing w:val="2"/>
          <w:szCs w:val="24"/>
        </w:rPr>
        <w:t>r</w:t>
      </w:r>
      <w:r w:rsidR="00F0710D">
        <w:rPr>
          <w:szCs w:val="24"/>
        </w:rPr>
        <w:t>m</w:t>
      </w:r>
      <w:r w:rsidR="00F0710D">
        <w:rPr>
          <w:spacing w:val="-2"/>
          <w:szCs w:val="24"/>
        </w:rPr>
        <w:t xml:space="preserve"> </w:t>
      </w:r>
      <w:r w:rsidR="00F0710D">
        <w:rPr>
          <w:szCs w:val="24"/>
        </w:rPr>
        <w:t>83-I.</w:t>
      </w:r>
    </w:p>
    <w:p w14:paraId="6CDB2388" w14:textId="27B51CBA" w:rsidR="00A41763" w:rsidRPr="00A41763" w:rsidRDefault="004D4FCA" w:rsidP="00F0710D">
      <w:r w:rsidRPr="009E304F">
        <w:t xml:space="preserve"> </w:t>
      </w:r>
    </w:p>
    <w:sectPr w:rsidR="00A41763" w:rsidRPr="00A41763" w:rsidSect="00F91E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FE233" w14:textId="77777777" w:rsidR="00E11E07" w:rsidRDefault="00E11E07" w:rsidP="00536CE1">
      <w:pPr>
        <w:spacing w:after="0" w:line="240" w:lineRule="auto"/>
      </w:pPr>
      <w:r>
        <w:separator/>
      </w:r>
    </w:p>
  </w:endnote>
  <w:endnote w:type="continuationSeparator" w:id="0">
    <w:p w14:paraId="718F8341" w14:textId="77777777" w:rsidR="00E11E07" w:rsidRDefault="00E11E07" w:rsidP="00536CE1">
      <w:pPr>
        <w:spacing w:after="0" w:line="240" w:lineRule="auto"/>
      </w:pPr>
      <w:r>
        <w:continuationSeparator/>
      </w:r>
    </w:p>
  </w:endnote>
  <w:endnote w:type="continuationNotice" w:id="1">
    <w:p w14:paraId="298ECDF4" w14:textId="77777777" w:rsidR="00E11E07" w:rsidRDefault="00E11E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55C6D" w14:textId="03A0D852" w:rsidR="00E11E07" w:rsidRPr="001F3A8F" w:rsidRDefault="00E11E07" w:rsidP="007E3BD9">
    <w:pPr>
      <w:pStyle w:val="Footer"/>
    </w:pPr>
    <w:r w:rsidRPr="00CB180D">
      <w:t>U.S. Energy Information Administration</w:t>
    </w:r>
    <w:r>
      <w:t xml:space="preserve"> | </w:t>
    </w:r>
    <w:sdt>
      <w:sdtPr>
        <w:alias w:val="Title"/>
        <w:tag w:val=""/>
        <w:id w:val="-309248682"/>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Electric Emergency Incident and Disturbance Report</w:t>
        </w:r>
      </w:sdtContent>
    </w:sdt>
    <w:r>
      <w:t xml:space="preserve"> </w:t>
    </w:r>
    <w:r>
      <w:tab/>
      <w:t xml:space="preserve"> </w:t>
    </w:r>
    <w:r>
      <w:fldChar w:fldCharType="begin"/>
    </w:r>
    <w:r>
      <w:instrText xml:space="preserve"> PAGE   \* MERGEFORMAT </w:instrText>
    </w:r>
    <w:r>
      <w:fldChar w:fldCharType="separate"/>
    </w:r>
    <w:r w:rsidR="009B2B8D">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13E4F" w14:textId="3A739A16" w:rsidR="00E11E07" w:rsidRDefault="009B2B8D" w:rsidP="007E3BD9">
    <w:pPr>
      <w:pStyle w:val="Footer"/>
    </w:pPr>
    <w:sdt>
      <w:sdtPr>
        <w:id w:val="1494217355"/>
        <w:docPartObj>
          <w:docPartGallery w:val="Page Numbers (Bottom of Page)"/>
          <w:docPartUnique/>
        </w:docPartObj>
      </w:sdtPr>
      <w:sdtEndPr/>
      <w:sdtContent>
        <w:r w:rsidR="00E11E07" w:rsidRPr="00CB180D">
          <w:t>U.S. Energy Information Administration</w:t>
        </w:r>
        <w:r w:rsidR="00E11E07">
          <w:t xml:space="preserve">  </w:t>
        </w:r>
        <w:r w:rsidR="00E11E07" w:rsidRPr="00CB180D">
          <w:t>|</w:t>
        </w:r>
        <w:r w:rsidR="00E11E07">
          <w:t xml:space="preserve">  </w:t>
        </w:r>
        <w:sdt>
          <w:sdtPr>
            <w:alias w:val="Subject"/>
            <w:id w:val="943659401"/>
            <w:dataBinding w:prefixMappings="xmlns:ns0='http://purl.org/dc/elements/1.1/' xmlns:ns1='http://schemas.openxmlformats.org/package/2006/metadata/core-properties' " w:xpath="/ns1:coreProperties[1]/ns0:subject[1]" w:storeItemID="{6C3C8BC8-F283-45AE-878A-BAB7291924A1}"/>
            <w:text/>
          </w:sdtPr>
          <w:sdtEndPr/>
          <w:sdtContent>
            <w:r w:rsidR="00E11E07">
              <w:t>Improving the Quality and Scope of EIA Data</w:t>
            </w:r>
          </w:sdtContent>
        </w:sdt>
        <w:r w:rsidR="00E11E07" w:rsidRPr="00CB180D">
          <w:tab/>
        </w:r>
      </w:sdtContent>
    </w:sdt>
    <w:r w:rsidR="00E11E07" w:rsidRPr="00760677">
      <w:t xml:space="preserve"> </w:t>
    </w:r>
    <w:r w:rsidR="00E11E07">
      <w:fldChar w:fldCharType="begin"/>
    </w:r>
    <w:r w:rsidR="00E11E07">
      <w:instrText xml:space="preserve"> PAGE   \* MERGEFORMAT </w:instrText>
    </w:r>
    <w:r w:rsidR="00E11E07">
      <w:fldChar w:fldCharType="separate"/>
    </w:r>
    <w:r w:rsidR="00E11E07">
      <w:rPr>
        <w:noProof/>
      </w:rPr>
      <w:t>i</w:t>
    </w:r>
    <w:r w:rsidR="00E11E07">
      <w:rPr>
        <w:noProof/>
      </w:rPr>
      <w:fldChar w:fldCharType="end"/>
    </w:r>
  </w:p>
  <w:p w14:paraId="6E404585" w14:textId="77777777" w:rsidR="00E11E07" w:rsidRDefault="00E11E07" w:rsidP="007E3B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EDB4D" w14:textId="69647A85" w:rsidR="00E11E07" w:rsidRDefault="009B2B8D" w:rsidP="007E3BD9">
    <w:pPr>
      <w:pStyle w:val="Footer"/>
    </w:pPr>
    <w:sdt>
      <w:sdtPr>
        <w:id w:val="-277718281"/>
        <w:docPartObj>
          <w:docPartGallery w:val="Page Numbers (Bottom of Page)"/>
          <w:docPartUnique/>
        </w:docPartObj>
      </w:sdtPr>
      <w:sdtEndPr/>
      <w:sdtContent>
        <w:r w:rsidR="00E11E07" w:rsidRPr="00CB180D">
          <w:t>U.S. Energy Information Administration</w:t>
        </w:r>
        <w:r w:rsidR="00E11E07">
          <w:t xml:space="preserve">  </w:t>
        </w:r>
        <w:r w:rsidR="00E11E07" w:rsidRPr="00CB180D">
          <w:t>|</w:t>
        </w:r>
        <w:r w:rsidR="00E11E07">
          <w:t xml:space="preserve">  </w:t>
        </w:r>
        <w:sdt>
          <w:sdtPr>
            <w:alias w:val="Subject"/>
            <w:id w:val="48035802"/>
            <w:dataBinding w:prefixMappings="xmlns:ns0='http://purl.org/dc/elements/1.1/' xmlns:ns1='http://schemas.openxmlformats.org/package/2006/metadata/core-properties' " w:xpath="/ns1:coreProperties[1]/ns0:subject[1]" w:storeItemID="{6C3C8BC8-F283-45AE-878A-BAB7291924A1}"/>
            <w:text/>
          </w:sdtPr>
          <w:sdtEndPr/>
          <w:sdtContent>
            <w:r w:rsidR="00E11E07">
              <w:t>Improving the Quality and Scope of EIA Data</w:t>
            </w:r>
          </w:sdtContent>
        </w:sdt>
        <w:r w:rsidR="00E11E07" w:rsidRPr="00CB180D">
          <w:tab/>
        </w:r>
      </w:sdtContent>
    </w:sdt>
    <w:r w:rsidR="00E11E07" w:rsidRPr="00760677">
      <w:t xml:space="preserve"> </w:t>
    </w:r>
    <w:r w:rsidR="00E11E07">
      <w:fldChar w:fldCharType="begin"/>
    </w:r>
    <w:r w:rsidR="00E11E07">
      <w:instrText xml:space="preserve"> PAGE   \* MERGEFORMAT </w:instrText>
    </w:r>
    <w:r w:rsidR="00E11E07">
      <w:fldChar w:fldCharType="separate"/>
    </w:r>
    <w:r w:rsidR="00E11E07">
      <w:rPr>
        <w:noProof/>
      </w:rPr>
      <w:t>ii</w:t>
    </w:r>
    <w:r w:rsidR="00E11E07">
      <w:rPr>
        <w:noProof/>
      </w:rPr>
      <w:fldChar w:fldCharType="end"/>
    </w:r>
  </w:p>
  <w:p w14:paraId="15B00E9D" w14:textId="77777777" w:rsidR="00E11E07" w:rsidRDefault="00E11E07" w:rsidP="007E3BD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130131"/>
      <w:docPartObj>
        <w:docPartGallery w:val="Page Numbers (Bottom of Page)"/>
        <w:docPartUnique/>
      </w:docPartObj>
    </w:sdtPr>
    <w:sdtEndPr/>
    <w:sdtContent>
      <w:p w14:paraId="046D37F1" w14:textId="26637807" w:rsidR="00E11E07" w:rsidRDefault="00E11E07" w:rsidP="007E3BD9">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w:t>
        </w:r>
        <w:r>
          <w:t xml:space="preserve">  </w:t>
        </w:r>
        <w:r w:rsidRPr="00CB180D">
          <w:t>|</w:t>
        </w:r>
        <w:r>
          <w:t xml:space="preserve">  </w:t>
        </w:r>
        <w:r w:rsidRPr="00CB180D">
          <w:t>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076FF" w14:textId="5656AE1D" w:rsidR="00E11E07" w:rsidRDefault="009B2B8D" w:rsidP="007E3BD9">
    <w:pPr>
      <w:pStyle w:val="Footer"/>
    </w:pPr>
    <w:sdt>
      <w:sdtPr>
        <w:id w:val="-1909529378"/>
        <w:docPartObj>
          <w:docPartGallery w:val="Page Numbers (Bottom of Page)"/>
          <w:docPartUnique/>
        </w:docPartObj>
      </w:sdtPr>
      <w:sdtEndPr/>
      <w:sdtContent>
        <w:r w:rsidR="00E11E07" w:rsidRPr="00CB180D">
          <w:t>U.S. Energy Information Administration</w:t>
        </w:r>
        <w:r w:rsidR="00E11E07">
          <w:t xml:space="preserve">  </w:t>
        </w:r>
        <w:r w:rsidR="00E11E07" w:rsidRPr="00CB180D">
          <w:t>|</w:t>
        </w:r>
        <w:r w:rsidR="00E11E07">
          <w:t xml:space="preserve">  </w:t>
        </w:r>
        <w:sdt>
          <w:sdtPr>
            <w:alias w:val="Subject"/>
            <w:id w:val="-2125908234"/>
            <w:dataBinding w:prefixMappings="xmlns:ns0='http://purl.org/dc/elements/1.1/' xmlns:ns1='http://schemas.openxmlformats.org/package/2006/metadata/core-properties' " w:xpath="/ns1:coreProperties[1]/ns0:subject[1]" w:storeItemID="{6C3C8BC8-F283-45AE-878A-BAB7291924A1}"/>
            <w:text/>
          </w:sdtPr>
          <w:sdtEndPr/>
          <w:sdtContent>
            <w:r w:rsidR="00E11E07">
              <w:t>Improving the Quality and Scope of EIA Data</w:t>
            </w:r>
          </w:sdtContent>
        </w:sdt>
        <w:r w:rsidR="00E11E07" w:rsidRPr="00CB180D">
          <w:tab/>
        </w:r>
      </w:sdtContent>
    </w:sdt>
    <w:r w:rsidR="00E11E07" w:rsidRPr="00760677">
      <w:t xml:space="preserve"> </w:t>
    </w:r>
    <w:r w:rsidR="00E11E07">
      <w:fldChar w:fldCharType="begin"/>
    </w:r>
    <w:r w:rsidR="00E11E07">
      <w:instrText xml:space="preserve"> PAGE   \* MERGEFORMAT </w:instrText>
    </w:r>
    <w:r w:rsidR="00E11E07">
      <w:fldChar w:fldCharType="separate"/>
    </w:r>
    <w:r w:rsidR="00E11E07">
      <w:rPr>
        <w:noProof/>
      </w:rPr>
      <w:t>1</w:t>
    </w:r>
    <w:r w:rsidR="00E11E07">
      <w:rPr>
        <w:noProof/>
      </w:rPr>
      <w:fldChar w:fldCharType="end"/>
    </w:r>
  </w:p>
  <w:p w14:paraId="4A820E65" w14:textId="77777777" w:rsidR="00E11E07" w:rsidRDefault="00E11E07" w:rsidP="007E3B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DFA83" w14:textId="77777777" w:rsidR="00E11E07" w:rsidRDefault="00E11E07" w:rsidP="00536CE1">
      <w:pPr>
        <w:spacing w:after="0" w:line="240" w:lineRule="auto"/>
      </w:pPr>
      <w:r>
        <w:separator/>
      </w:r>
    </w:p>
  </w:footnote>
  <w:footnote w:type="continuationSeparator" w:id="0">
    <w:p w14:paraId="24F5A7E3" w14:textId="77777777" w:rsidR="00E11E07" w:rsidRDefault="00E11E07" w:rsidP="00536CE1">
      <w:pPr>
        <w:spacing w:after="0" w:line="240" w:lineRule="auto"/>
      </w:pPr>
      <w:r>
        <w:continuationSeparator/>
      </w:r>
    </w:p>
  </w:footnote>
  <w:footnote w:type="continuationNotice" w:id="1">
    <w:p w14:paraId="68EB1644" w14:textId="77777777" w:rsidR="00E11E07" w:rsidRDefault="00E11E07">
      <w:pPr>
        <w:spacing w:after="0" w:line="240" w:lineRule="auto"/>
      </w:pPr>
    </w:p>
  </w:footnote>
  <w:footnote w:id="2">
    <w:p w14:paraId="7A1E8EFD" w14:textId="514B06AC" w:rsidR="00E11E07" w:rsidRPr="003216C8" w:rsidRDefault="00E11E07" w:rsidP="002519F9">
      <w:pPr>
        <w:pStyle w:val="FootnoteText"/>
      </w:pPr>
      <w:r w:rsidRPr="003216C8">
        <w:rPr>
          <w:rStyle w:val="FootnoteReference"/>
        </w:rPr>
        <w:footnoteRef/>
      </w:r>
      <w:r w:rsidRPr="003216C8">
        <w:t xml:space="preserve"> There are </w:t>
      </w:r>
      <w:r w:rsidRPr="007E0384">
        <w:t>107 Balancing Authorities (BA) in the contiguous United States</w:t>
      </w:r>
      <w:r w:rsidRPr="00A2224D">
        <w:t>.</w:t>
      </w:r>
      <w:r>
        <w:t xml:space="preserve"> </w:t>
      </w:r>
      <w:r w:rsidRPr="00A2224D">
        <w:t>Balancing Authorities are a defined NERC Functional Entity and is defined by NERC</w:t>
      </w:r>
      <w:r>
        <w:t xml:space="preserve"> as</w:t>
      </w:r>
      <w:r w:rsidRPr="00A2224D">
        <w:t xml:space="preserve"> </w:t>
      </w:r>
      <w:r>
        <w:t>t</w:t>
      </w:r>
      <w:r w:rsidRPr="003216C8">
        <w:t>he responsible entity that integrates resource plans ahead of time, maintains load-interchange-generation balance within a Balancing Authority Area, and supports Interconnection frequency in real time.</w:t>
      </w:r>
    </w:p>
  </w:footnote>
  <w:footnote w:id="3">
    <w:p w14:paraId="016074CD" w14:textId="77777777" w:rsidR="00E11E07" w:rsidRPr="00235964" w:rsidRDefault="00E11E07" w:rsidP="002519F9">
      <w:pPr>
        <w:pStyle w:val="FootnoteText"/>
        <w:rPr>
          <w:highlight w:val="yellow"/>
        </w:rPr>
      </w:pPr>
      <w:r w:rsidRPr="003216C8">
        <w:rPr>
          <w:rStyle w:val="FootnoteReference"/>
        </w:rPr>
        <w:footnoteRef/>
      </w:r>
      <w:r w:rsidRPr="003216C8">
        <w:t>There are 12 Relia</w:t>
      </w:r>
      <w:r w:rsidRPr="003216C8">
        <w:rPr>
          <w:spacing w:val="1"/>
        </w:rPr>
        <w:t>b</w:t>
      </w:r>
      <w:r w:rsidRPr="003216C8">
        <w:t>ility C</w:t>
      </w:r>
      <w:r w:rsidRPr="003216C8">
        <w:rPr>
          <w:spacing w:val="1"/>
        </w:rPr>
        <w:t>oo</w:t>
      </w:r>
      <w:r w:rsidRPr="003216C8">
        <w:rPr>
          <w:spacing w:val="-1"/>
        </w:rPr>
        <w:t>r</w:t>
      </w:r>
      <w:r w:rsidRPr="003216C8">
        <w:rPr>
          <w:spacing w:val="1"/>
        </w:rPr>
        <w:t>d</w:t>
      </w:r>
      <w:r w:rsidRPr="003216C8">
        <w:t>i</w:t>
      </w:r>
      <w:r w:rsidRPr="003216C8">
        <w:rPr>
          <w:spacing w:val="1"/>
        </w:rPr>
        <w:t>n</w:t>
      </w:r>
      <w:r w:rsidRPr="003216C8">
        <w:rPr>
          <w:spacing w:val="-1"/>
        </w:rPr>
        <w:t>a</w:t>
      </w:r>
      <w:r w:rsidRPr="003216C8">
        <w:t>t</w:t>
      </w:r>
      <w:r w:rsidRPr="003216C8">
        <w:rPr>
          <w:spacing w:val="1"/>
        </w:rPr>
        <w:t>o</w:t>
      </w:r>
      <w:r w:rsidRPr="003216C8">
        <w:t>rs within the contiguous</w:t>
      </w:r>
      <w:r w:rsidRPr="003216C8">
        <w:rPr>
          <w:spacing w:val="-1"/>
        </w:rPr>
        <w:t xml:space="preserve"> </w:t>
      </w:r>
      <w:r w:rsidRPr="003216C8">
        <w:t>U</w:t>
      </w:r>
      <w:r w:rsidRPr="003216C8">
        <w:rPr>
          <w:spacing w:val="1"/>
        </w:rPr>
        <w:t>n</w:t>
      </w:r>
      <w:r w:rsidRPr="003216C8">
        <w:t>ited</w:t>
      </w:r>
      <w:r w:rsidRPr="003216C8">
        <w:rPr>
          <w:spacing w:val="1"/>
        </w:rPr>
        <w:t xml:space="preserve"> </w:t>
      </w:r>
      <w:r w:rsidRPr="003216C8">
        <w:t>States. T</w:t>
      </w:r>
      <w:r w:rsidRPr="003216C8">
        <w:rPr>
          <w:spacing w:val="1"/>
        </w:rPr>
        <w:t>h</w:t>
      </w:r>
      <w:r w:rsidRPr="003216C8">
        <w:t>e Rel</w:t>
      </w:r>
      <w:r w:rsidRPr="003216C8">
        <w:rPr>
          <w:spacing w:val="-2"/>
        </w:rPr>
        <w:t>i</w:t>
      </w:r>
      <w:r w:rsidRPr="003216C8">
        <w:t>a</w:t>
      </w:r>
      <w:r w:rsidRPr="003216C8">
        <w:rPr>
          <w:spacing w:val="1"/>
        </w:rPr>
        <w:t>b</w:t>
      </w:r>
      <w:r w:rsidRPr="003216C8">
        <w:t>ility C</w:t>
      </w:r>
      <w:r w:rsidRPr="003216C8">
        <w:rPr>
          <w:spacing w:val="1"/>
        </w:rPr>
        <w:t>o</w:t>
      </w:r>
      <w:r w:rsidRPr="003216C8">
        <w:t>or</w:t>
      </w:r>
      <w:r w:rsidRPr="003216C8">
        <w:rPr>
          <w:spacing w:val="1"/>
        </w:rPr>
        <w:t>d</w:t>
      </w:r>
      <w:r w:rsidRPr="003216C8">
        <w:rPr>
          <w:spacing w:val="-2"/>
        </w:rPr>
        <w:t>i</w:t>
      </w:r>
      <w:r w:rsidRPr="003216C8">
        <w:rPr>
          <w:spacing w:val="1"/>
        </w:rPr>
        <w:t>n</w:t>
      </w:r>
      <w:r w:rsidRPr="003216C8">
        <w:t>ator is the entity with the highest level of authority and who is responsible for the reliable operation of the Bulk Electric System, has the Wide Area view of the Bulk Electric System, and has the operating tools, processes and procedures, including the authority to prevent or mitigate emergency operating situations in both next-day analysis and real-time operations. The Reliability Coordinator has the purview that is broad enough to enable the calculation of Interconnection Reliability Operating Limits, which may be based on the operating parameters of transmission systems beyond any Transmission Operator’s vision.</w:t>
      </w:r>
    </w:p>
  </w:footnote>
  <w:footnote w:id="4">
    <w:p w14:paraId="2DCDE412" w14:textId="77777777" w:rsidR="00E11E07" w:rsidRPr="00A2224D" w:rsidRDefault="00E11E07" w:rsidP="002519F9">
      <w:pPr>
        <w:pStyle w:val="FootnoteText"/>
      </w:pPr>
      <w:r w:rsidRPr="00A2224D">
        <w:rPr>
          <w:rStyle w:val="FootnoteReference"/>
        </w:rPr>
        <w:footnoteRef/>
      </w:r>
      <w:r w:rsidRPr="00A2224D">
        <w:t xml:space="preserve"> The Federal Energy Administration Act of 1974 (Pub. L. No. 93-275) and the DOE Organization</w:t>
      </w:r>
    </w:p>
    <w:p w14:paraId="4EB356DD" w14:textId="77777777" w:rsidR="00E11E07" w:rsidRPr="00A2224D" w:rsidRDefault="00E11E07" w:rsidP="002519F9">
      <w:pPr>
        <w:pStyle w:val="FootnoteText"/>
      </w:pPr>
      <w:r w:rsidRPr="00A2224D">
        <w:t>Act (Pub. L. No. 95-91) provide other authorities.</w:t>
      </w:r>
    </w:p>
  </w:footnote>
  <w:footnote w:id="5">
    <w:p w14:paraId="51182B55" w14:textId="77777777" w:rsidR="00E11E07" w:rsidRPr="00A2224D" w:rsidRDefault="00E11E07" w:rsidP="002519F9">
      <w:pPr>
        <w:pStyle w:val="FootnoteText"/>
      </w:pPr>
      <w:r w:rsidRPr="00A2224D">
        <w:rPr>
          <w:rStyle w:val="FootnoteReference"/>
        </w:rPr>
        <w:footnoteRef/>
      </w:r>
      <w:r w:rsidRPr="00A2224D">
        <w:t xml:space="preserve"> The Department of Energy has initiated four special studies about incidents that happened in the</w:t>
      </w:r>
    </w:p>
    <w:p w14:paraId="27434DEC" w14:textId="77777777" w:rsidR="00E11E07" w:rsidRPr="00E94F10" w:rsidRDefault="00E11E07" w:rsidP="002519F9">
      <w:pPr>
        <w:pStyle w:val="FootnoteText"/>
      </w:pPr>
      <w:r w:rsidRPr="00A2224D">
        <w:t>1990s. The three studies are: The Cold Weather Snap of 1992, The Electric Power Outages in the Western</w:t>
      </w:r>
    </w:p>
    <w:p w14:paraId="5C111BBE" w14:textId="77777777" w:rsidR="00E11E07" w:rsidRPr="00E94F10" w:rsidRDefault="00E11E07" w:rsidP="002519F9">
      <w:pPr>
        <w:pStyle w:val="FootnoteText"/>
      </w:pPr>
      <w:r w:rsidRPr="00E94F10">
        <w:t>United States, July 2-3, 1996</w:t>
      </w:r>
      <w:r>
        <w:t xml:space="preserve"> (DOE/PO-0050), and the </w:t>
      </w:r>
      <w:r w:rsidRPr="00E94F10">
        <w:t>Report of the U.S. Department of Energy’s Power</w:t>
      </w:r>
    </w:p>
    <w:p w14:paraId="17622D08" w14:textId="77777777" w:rsidR="00E11E07" w:rsidRPr="00E94F10" w:rsidRDefault="00E11E07" w:rsidP="002519F9">
      <w:pPr>
        <w:pStyle w:val="FootnoteText"/>
      </w:pPr>
      <w:r w:rsidRPr="00E94F10">
        <w:t>Outage Study Team</w:t>
      </w:r>
      <w:r>
        <w:t xml:space="preserve"> (DOE/PO - March 2000 Final Report); and the </w:t>
      </w:r>
      <w:r w:rsidRPr="00E94F10">
        <w:t>Final Report on August 14, 2003</w:t>
      </w:r>
    </w:p>
    <w:p w14:paraId="2C6639B0" w14:textId="77777777" w:rsidR="00E11E07" w:rsidRDefault="00E11E07" w:rsidP="002519F9">
      <w:pPr>
        <w:pStyle w:val="FootnoteText"/>
      </w:pPr>
      <w:r w:rsidRPr="00E94F10">
        <w:t>Blackout in the United States and Canada: Causes and Recommendations</w:t>
      </w:r>
      <w:r>
        <w:t>, April 2004</w:t>
      </w:r>
    </w:p>
  </w:footnote>
  <w:footnote w:id="6">
    <w:p w14:paraId="68BFEE1A" w14:textId="77777777" w:rsidR="00E11E07" w:rsidRDefault="00E11E07" w:rsidP="002519F9">
      <w:pPr>
        <w:pStyle w:val="FootnoteText"/>
      </w:pPr>
      <w:r>
        <w:rPr>
          <w:rStyle w:val="FootnoteReference"/>
        </w:rPr>
        <w:footnoteRef/>
      </w:r>
      <w:r>
        <w:t xml:space="preserve"> The Annual Summary of Form OE-417 events is available at: </w:t>
      </w:r>
      <w:hyperlink r:id="rId1" w:history="1">
        <w:r w:rsidRPr="00CA03B1">
          <w:rPr>
            <w:rStyle w:val="Hyperlink"/>
          </w:rPr>
          <w:t>https://www.oe.netl.doe.gov/OE417_annual_summary.aspx</w:t>
        </w:r>
      </w:hyperlink>
      <w:r>
        <w:t xml:space="preserve"> </w:t>
      </w:r>
    </w:p>
  </w:footnote>
  <w:footnote w:id="7">
    <w:p w14:paraId="261E3B21" w14:textId="77777777" w:rsidR="00E11E07" w:rsidRDefault="00E11E07" w:rsidP="002519F9">
      <w:pPr>
        <w:pStyle w:val="FootnoteText"/>
      </w:pPr>
      <w:r>
        <w:rPr>
          <w:rStyle w:val="FootnoteReference"/>
        </w:rPr>
        <w:footnoteRef/>
      </w:r>
      <w:r>
        <w:t xml:space="preserve"> Electric Power Monthly, </w:t>
      </w:r>
      <w:r w:rsidRPr="00BC3F0A">
        <w:t>Appendix B. Major Disturbances and Unusual Occurrences</w:t>
      </w:r>
      <w:r>
        <w:t xml:space="preserve">: </w:t>
      </w:r>
      <w:hyperlink r:id="rId2" w:history="1">
        <w:r w:rsidRPr="00CA03B1">
          <w:rPr>
            <w:rStyle w:val="Hyperlink"/>
          </w:rPr>
          <w:t>http://www.eia.gov/electricity/monthly/</w:t>
        </w:r>
      </w:hyperlink>
      <w:r>
        <w:t xml:space="preserve"> </w:t>
      </w:r>
    </w:p>
  </w:footnote>
  <w:footnote w:id="8">
    <w:p w14:paraId="54C0F80F" w14:textId="77777777" w:rsidR="00E11E07" w:rsidRDefault="00E11E07" w:rsidP="002519F9">
      <w:pPr>
        <w:pStyle w:val="FootnoteText"/>
      </w:pPr>
      <w:r>
        <w:rPr>
          <w:rStyle w:val="FootnoteReference"/>
        </w:rPr>
        <w:footnoteRef/>
      </w:r>
      <w:r>
        <w:t xml:space="preserve"> </w:t>
      </w:r>
      <w:r w:rsidRPr="009B2E6B">
        <w:t>Emergency electric incidents and disturbances leading to interruptions of power, such as rotating blackouts, could lead to disruptions of critical infrastructures such as natural gas or petroleum product pipelines, water supplies, and telecommunications systems.</w:t>
      </w:r>
      <w:r>
        <w:t xml:space="preserve"> </w:t>
      </w:r>
      <w:r w:rsidRPr="009B2E6B">
        <w:t>The national security, economic prosperity and social well-being of the nation depends on the continuing reliability of our increasingly complex and interdependent infrastructures, a key one of which is electric power.</w:t>
      </w:r>
    </w:p>
  </w:footnote>
  <w:footnote w:id="9">
    <w:p w14:paraId="401F28E8" w14:textId="77777777" w:rsidR="00E11E07" w:rsidRDefault="00E11E07" w:rsidP="002519F9">
      <w:pPr>
        <w:pStyle w:val="FootnoteText"/>
      </w:pPr>
      <w:r>
        <w:rPr>
          <w:rStyle w:val="FootnoteReference"/>
        </w:rPr>
        <w:footnoteRef/>
      </w:r>
      <w:r>
        <w:t xml:space="preserve"> This activity is undertaken </w:t>
      </w:r>
      <w:r w:rsidRPr="00B326F9">
        <w:t>in the normal course of business within the Office of Electricity Delivery and Energy Reliability</w:t>
      </w:r>
    </w:p>
  </w:footnote>
  <w:footnote w:id="10">
    <w:p w14:paraId="06711CD5" w14:textId="77777777" w:rsidR="00E11E07" w:rsidRDefault="00E11E07" w:rsidP="002519F9">
      <w:pPr>
        <w:pStyle w:val="FootnoteText"/>
      </w:pPr>
      <w:r>
        <w:rPr>
          <w:rStyle w:val="FootnoteReference"/>
        </w:rPr>
        <w:footnoteRef/>
      </w:r>
      <w:r>
        <w:t xml:space="preserve"> This activity is undertaken </w:t>
      </w:r>
      <w:r w:rsidRPr="00B326F9">
        <w:t>in the normal course of business within the Office of Electricity Delivery and Energy Reliability</w:t>
      </w:r>
    </w:p>
  </w:footnote>
  <w:footnote w:id="11">
    <w:p w14:paraId="1A4F17A0" w14:textId="6E8713CA" w:rsidR="00E11E07" w:rsidRDefault="00E11E07">
      <w:pPr>
        <w:pStyle w:val="FootnoteText"/>
      </w:pPr>
      <w:r>
        <w:rPr>
          <w:rStyle w:val="FootnoteReference"/>
        </w:rPr>
        <w:footnoteRef/>
      </w:r>
      <w:r>
        <w:t xml:space="preserve"> </w:t>
      </w:r>
      <w:r w:rsidRPr="0038492A">
        <w:t xml:space="preserve">EIA conducted 20 telephone interviews with Form OE-417 respondents between March 2017 and April 2017 to check the burden per response estimate. The research revealed that the average time it takes respondents to gather the information to complete Schedule 2 of Form OE-417 is 66 minutes (1.1 hours). The average time it takes respondents to record the information in Form OE-417 is 22 minutes (0.37 hours) showing the burden for Schedule 2 is 1.5 hours (approximately 90 minutes total).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13769" w14:textId="77777777" w:rsidR="00E11E07" w:rsidRDefault="00E11E07"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9379F" w14:textId="77777777" w:rsidR="00E11E07" w:rsidRPr="00373208" w:rsidRDefault="00E11E07"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35868" w14:textId="7729E7ED" w:rsidR="00E11E07" w:rsidRPr="00F8298C" w:rsidRDefault="00E11E07" w:rsidP="00041909">
    <w:pPr>
      <w:pStyle w:val="Header"/>
    </w:pPr>
    <w:r>
      <w:t>May 2018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C49FE" w14:textId="77777777" w:rsidR="00E11E07" w:rsidRDefault="00E11E07"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D9626D0"/>
    <w:lvl w:ilvl="0">
      <w:start w:val="1"/>
      <w:numFmt w:val="decimal"/>
      <w:lvlText w:val="%1."/>
      <w:lvlJc w:val="left"/>
      <w:pPr>
        <w:tabs>
          <w:tab w:val="num" w:pos="720"/>
        </w:tabs>
        <w:ind w:left="720" w:hanging="360"/>
      </w:pPr>
    </w:lvl>
  </w:abstractNum>
  <w:abstractNum w:abstractNumId="1">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5">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8">
    <w:nsid w:val="0A6730C4"/>
    <w:multiLevelType w:val="hybridMultilevel"/>
    <w:tmpl w:val="AF889A0E"/>
    <w:lvl w:ilvl="0" w:tplc="7FE04F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223D81"/>
    <w:multiLevelType w:val="hybridMultilevel"/>
    <w:tmpl w:val="AA587FA2"/>
    <w:lvl w:ilvl="0" w:tplc="EAD0D4A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F11BE7"/>
    <w:multiLevelType w:val="hybridMultilevel"/>
    <w:tmpl w:val="0B201B3E"/>
    <w:lvl w:ilvl="0" w:tplc="5E3ECD6E">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21631B"/>
    <w:multiLevelType w:val="hybridMultilevel"/>
    <w:tmpl w:val="12AA85F8"/>
    <w:lvl w:ilvl="0" w:tplc="0C740DC4">
      <w:numFmt w:val="bullet"/>
      <w:lvlText w:val="•"/>
      <w:lvlJc w:val="left"/>
      <w:pPr>
        <w:ind w:left="720" w:hanging="360"/>
      </w:pPr>
      <w:rPr>
        <w:rFonts w:ascii="Times New Roman" w:eastAsia="Times New Roman" w:hAnsi="Times New Roman" w:cs="Times New Roman" w:hint="default"/>
      </w:rPr>
    </w:lvl>
    <w:lvl w:ilvl="1" w:tplc="0409000F">
      <w:start w:val="1"/>
      <w:numFmt w:val="decimal"/>
      <w:lvlText w:val="%2."/>
      <w:lvlJc w:val="left"/>
      <w:pPr>
        <w:ind w:left="1080" w:firstLine="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66778C"/>
    <w:multiLevelType w:val="hybridMultilevel"/>
    <w:tmpl w:val="68B0952A"/>
    <w:lvl w:ilvl="0" w:tplc="04090001">
      <w:start w:val="1"/>
      <w:numFmt w:val="bullet"/>
      <w:lvlText w:val=""/>
      <w:lvlJc w:val="left"/>
      <w:pPr>
        <w:ind w:left="480" w:hanging="360"/>
      </w:pPr>
      <w:rPr>
        <w:rFonts w:ascii="Symbol" w:hAnsi="Symbol" w:hint="default"/>
      </w:rPr>
    </w:lvl>
    <w:lvl w:ilvl="1" w:tplc="04090003">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3">
    <w:nsid w:val="20DB1AAA"/>
    <w:multiLevelType w:val="hybridMultilevel"/>
    <w:tmpl w:val="003AF990"/>
    <w:lvl w:ilvl="0" w:tplc="94981D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7F1DC7"/>
    <w:multiLevelType w:val="hybridMultilevel"/>
    <w:tmpl w:val="D6AAE860"/>
    <w:lvl w:ilvl="0" w:tplc="53E8588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A002C3"/>
    <w:multiLevelType w:val="hybridMultilevel"/>
    <w:tmpl w:val="2FD8F21A"/>
    <w:lvl w:ilvl="0" w:tplc="58FADDB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302785"/>
    <w:multiLevelType w:val="hybridMultilevel"/>
    <w:tmpl w:val="3566FA74"/>
    <w:lvl w:ilvl="0" w:tplc="BBE264F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98F7A96"/>
    <w:multiLevelType w:val="hybridMultilevel"/>
    <w:tmpl w:val="9EB4FCA2"/>
    <w:lvl w:ilvl="0" w:tplc="9C9EF5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D96B4F"/>
    <w:multiLevelType w:val="hybridMultilevel"/>
    <w:tmpl w:val="ADEEF3A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B83A58"/>
    <w:multiLevelType w:val="hybridMultilevel"/>
    <w:tmpl w:val="EDFED8B8"/>
    <w:lvl w:ilvl="0" w:tplc="A52AC4C0">
      <w:start w:val="1"/>
      <w:numFmt w:val="bullet"/>
      <w:pStyle w:val="ListParagraph"/>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F863061"/>
    <w:multiLevelType w:val="multilevel"/>
    <w:tmpl w:val="52EA6F64"/>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21">
    <w:nsid w:val="765F7191"/>
    <w:multiLevelType w:val="hybridMultilevel"/>
    <w:tmpl w:val="6B54F3D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7"/>
  </w:num>
  <w:num w:numId="3">
    <w:abstractNumId w:val="6"/>
  </w:num>
  <w:num w:numId="4">
    <w:abstractNumId w:val="5"/>
  </w:num>
  <w:num w:numId="5">
    <w:abstractNumId w:val="3"/>
  </w:num>
  <w:num w:numId="6">
    <w:abstractNumId w:val="2"/>
  </w:num>
  <w:num w:numId="7">
    <w:abstractNumId w:val="1"/>
  </w:num>
  <w:num w:numId="8">
    <w:abstractNumId w:val="20"/>
  </w:num>
  <w:num w:numId="9">
    <w:abstractNumId w:val="12"/>
  </w:num>
  <w:num w:numId="10">
    <w:abstractNumId w:val="10"/>
  </w:num>
  <w:num w:numId="11">
    <w:abstractNumId w:val="15"/>
  </w:num>
  <w:num w:numId="12">
    <w:abstractNumId w:val="17"/>
  </w:num>
  <w:num w:numId="13">
    <w:abstractNumId w:val="13"/>
  </w:num>
  <w:num w:numId="14">
    <w:abstractNumId w:val="19"/>
  </w:num>
  <w:num w:numId="15">
    <w:abstractNumId w:val="8"/>
  </w:num>
  <w:num w:numId="16">
    <w:abstractNumId w:val="11"/>
  </w:num>
  <w:num w:numId="17">
    <w:abstractNumId w:val="9"/>
  </w:num>
  <w:num w:numId="18">
    <w:abstractNumId w:val="14"/>
  </w:num>
  <w:num w:numId="19">
    <w:abstractNumId w:val="0"/>
  </w:num>
  <w:num w:numId="20">
    <w:abstractNumId w:val="18"/>
  </w:num>
  <w:num w:numId="21">
    <w:abstractNumId w:val="8"/>
  </w:num>
  <w:num w:numId="22">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12289"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U3MTA1MTI3szQ0MbFQ0lEKTi0uzszPAykwNKwFAI3f9/MtAAAA"/>
  </w:docVars>
  <w:rsids>
    <w:rsidRoot w:val="00A41763"/>
    <w:rsid w:val="0000019D"/>
    <w:rsid w:val="0000364C"/>
    <w:rsid w:val="00004135"/>
    <w:rsid w:val="000041A1"/>
    <w:rsid w:val="00004E07"/>
    <w:rsid w:val="000053BB"/>
    <w:rsid w:val="0001041C"/>
    <w:rsid w:val="00011B3F"/>
    <w:rsid w:val="00013373"/>
    <w:rsid w:val="000142E5"/>
    <w:rsid w:val="00015DA7"/>
    <w:rsid w:val="00022653"/>
    <w:rsid w:val="0002441D"/>
    <w:rsid w:val="000248CE"/>
    <w:rsid w:val="00024E1E"/>
    <w:rsid w:val="00031F68"/>
    <w:rsid w:val="00034A4B"/>
    <w:rsid w:val="00036D0F"/>
    <w:rsid w:val="00037A9B"/>
    <w:rsid w:val="0004153B"/>
    <w:rsid w:val="00041909"/>
    <w:rsid w:val="00041DF7"/>
    <w:rsid w:val="000460B6"/>
    <w:rsid w:val="00046593"/>
    <w:rsid w:val="00047C08"/>
    <w:rsid w:val="00053DFC"/>
    <w:rsid w:val="0005401F"/>
    <w:rsid w:val="00055769"/>
    <w:rsid w:val="00056EC3"/>
    <w:rsid w:val="00057A3B"/>
    <w:rsid w:val="00062CFE"/>
    <w:rsid w:val="00067C19"/>
    <w:rsid w:val="0007129A"/>
    <w:rsid w:val="00074770"/>
    <w:rsid w:val="000831C4"/>
    <w:rsid w:val="000844CA"/>
    <w:rsid w:val="00087F0D"/>
    <w:rsid w:val="00092D73"/>
    <w:rsid w:val="000941B9"/>
    <w:rsid w:val="000972E7"/>
    <w:rsid w:val="000A5778"/>
    <w:rsid w:val="000A640D"/>
    <w:rsid w:val="000B3FBE"/>
    <w:rsid w:val="000C28E1"/>
    <w:rsid w:val="000C2F80"/>
    <w:rsid w:val="000C5311"/>
    <w:rsid w:val="000E1067"/>
    <w:rsid w:val="000E77EC"/>
    <w:rsid w:val="000F040A"/>
    <w:rsid w:val="000F10D9"/>
    <w:rsid w:val="000F13BF"/>
    <w:rsid w:val="000F429D"/>
    <w:rsid w:val="000F4EAF"/>
    <w:rsid w:val="00101DE3"/>
    <w:rsid w:val="001034E8"/>
    <w:rsid w:val="00112A69"/>
    <w:rsid w:val="001150FB"/>
    <w:rsid w:val="0011541D"/>
    <w:rsid w:val="00115FCF"/>
    <w:rsid w:val="0012223B"/>
    <w:rsid w:val="00132F4A"/>
    <w:rsid w:val="00133DA9"/>
    <w:rsid w:val="00143E60"/>
    <w:rsid w:val="00147ACF"/>
    <w:rsid w:val="00150E51"/>
    <w:rsid w:val="0015272D"/>
    <w:rsid w:val="00154192"/>
    <w:rsid w:val="00160BC8"/>
    <w:rsid w:val="0016154B"/>
    <w:rsid w:val="00167425"/>
    <w:rsid w:val="00171579"/>
    <w:rsid w:val="00171EF4"/>
    <w:rsid w:val="00172EB9"/>
    <w:rsid w:val="001741BE"/>
    <w:rsid w:val="001807A3"/>
    <w:rsid w:val="00187322"/>
    <w:rsid w:val="00191B0B"/>
    <w:rsid w:val="001947D5"/>
    <w:rsid w:val="00195EA1"/>
    <w:rsid w:val="0019633D"/>
    <w:rsid w:val="001A6AE2"/>
    <w:rsid w:val="001A6E1E"/>
    <w:rsid w:val="001B0E69"/>
    <w:rsid w:val="001B6585"/>
    <w:rsid w:val="001D03A8"/>
    <w:rsid w:val="001D3ABC"/>
    <w:rsid w:val="001E1C19"/>
    <w:rsid w:val="001E315C"/>
    <w:rsid w:val="001E456C"/>
    <w:rsid w:val="001F190E"/>
    <w:rsid w:val="001F3A8F"/>
    <w:rsid w:val="002008B4"/>
    <w:rsid w:val="00201F24"/>
    <w:rsid w:val="002050A2"/>
    <w:rsid w:val="002127CE"/>
    <w:rsid w:val="00215842"/>
    <w:rsid w:val="002207DF"/>
    <w:rsid w:val="00221AC2"/>
    <w:rsid w:val="00224D97"/>
    <w:rsid w:val="00227E4B"/>
    <w:rsid w:val="0023015A"/>
    <w:rsid w:val="00236C38"/>
    <w:rsid w:val="0023708A"/>
    <w:rsid w:val="00241279"/>
    <w:rsid w:val="00241CD0"/>
    <w:rsid w:val="0025022D"/>
    <w:rsid w:val="0025072F"/>
    <w:rsid w:val="002519F9"/>
    <w:rsid w:val="002530BB"/>
    <w:rsid w:val="002556F3"/>
    <w:rsid w:val="00260EDF"/>
    <w:rsid w:val="00262560"/>
    <w:rsid w:val="00264148"/>
    <w:rsid w:val="00264DBB"/>
    <w:rsid w:val="00264F68"/>
    <w:rsid w:val="00267B80"/>
    <w:rsid w:val="00274179"/>
    <w:rsid w:val="00290981"/>
    <w:rsid w:val="002B0FD2"/>
    <w:rsid w:val="002B26B9"/>
    <w:rsid w:val="002B60A9"/>
    <w:rsid w:val="002B68CF"/>
    <w:rsid w:val="002C378C"/>
    <w:rsid w:val="002E0C65"/>
    <w:rsid w:val="002E128F"/>
    <w:rsid w:val="002E3A88"/>
    <w:rsid w:val="002E3FD5"/>
    <w:rsid w:val="002E7A38"/>
    <w:rsid w:val="00306516"/>
    <w:rsid w:val="00325893"/>
    <w:rsid w:val="00330AB5"/>
    <w:rsid w:val="003469CB"/>
    <w:rsid w:val="00350C8B"/>
    <w:rsid w:val="003559FB"/>
    <w:rsid w:val="00363331"/>
    <w:rsid w:val="00371E14"/>
    <w:rsid w:val="00373208"/>
    <w:rsid w:val="00383DB3"/>
    <w:rsid w:val="0038492A"/>
    <w:rsid w:val="003854B2"/>
    <w:rsid w:val="00385AE6"/>
    <w:rsid w:val="00387C8D"/>
    <w:rsid w:val="00392DD0"/>
    <w:rsid w:val="00396BCB"/>
    <w:rsid w:val="00397444"/>
    <w:rsid w:val="00397825"/>
    <w:rsid w:val="003A1073"/>
    <w:rsid w:val="003A10F3"/>
    <w:rsid w:val="003A3906"/>
    <w:rsid w:val="003A4250"/>
    <w:rsid w:val="003B03A4"/>
    <w:rsid w:val="003B65C1"/>
    <w:rsid w:val="003C03EA"/>
    <w:rsid w:val="003C30DA"/>
    <w:rsid w:val="003C690C"/>
    <w:rsid w:val="003D4DF1"/>
    <w:rsid w:val="003E3A14"/>
    <w:rsid w:val="003E40FA"/>
    <w:rsid w:val="003E5AC1"/>
    <w:rsid w:val="003F24ED"/>
    <w:rsid w:val="003F529E"/>
    <w:rsid w:val="00401655"/>
    <w:rsid w:val="00401DFE"/>
    <w:rsid w:val="00417690"/>
    <w:rsid w:val="00426481"/>
    <w:rsid w:val="00432966"/>
    <w:rsid w:val="004329D7"/>
    <w:rsid w:val="004554D0"/>
    <w:rsid w:val="0045608E"/>
    <w:rsid w:val="0045662F"/>
    <w:rsid w:val="0046122A"/>
    <w:rsid w:val="00466959"/>
    <w:rsid w:val="0047784B"/>
    <w:rsid w:val="00483BAC"/>
    <w:rsid w:val="00494269"/>
    <w:rsid w:val="004946F0"/>
    <w:rsid w:val="0049709C"/>
    <w:rsid w:val="00497C2A"/>
    <w:rsid w:val="004B1075"/>
    <w:rsid w:val="004B722B"/>
    <w:rsid w:val="004B7924"/>
    <w:rsid w:val="004C277B"/>
    <w:rsid w:val="004C3A79"/>
    <w:rsid w:val="004D05FB"/>
    <w:rsid w:val="004D29C7"/>
    <w:rsid w:val="004D4FCA"/>
    <w:rsid w:val="004E49D3"/>
    <w:rsid w:val="004E7364"/>
    <w:rsid w:val="00500F04"/>
    <w:rsid w:val="00504119"/>
    <w:rsid w:val="005065CF"/>
    <w:rsid w:val="00506BB4"/>
    <w:rsid w:val="00506FAF"/>
    <w:rsid w:val="0050705F"/>
    <w:rsid w:val="005102D6"/>
    <w:rsid w:val="00513031"/>
    <w:rsid w:val="005130D6"/>
    <w:rsid w:val="005170D3"/>
    <w:rsid w:val="00521E2E"/>
    <w:rsid w:val="00523C2B"/>
    <w:rsid w:val="0052493A"/>
    <w:rsid w:val="0052783E"/>
    <w:rsid w:val="00535CAF"/>
    <w:rsid w:val="00536054"/>
    <w:rsid w:val="0053654B"/>
    <w:rsid w:val="00536CE1"/>
    <w:rsid w:val="0054180D"/>
    <w:rsid w:val="00543E10"/>
    <w:rsid w:val="005472D2"/>
    <w:rsid w:val="00547B53"/>
    <w:rsid w:val="005515CD"/>
    <w:rsid w:val="00554FEC"/>
    <w:rsid w:val="00571D8F"/>
    <w:rsid w:val="0057367D"/>
    <w:rsid w:val="005736F3"/>
    <w:rsid w:val="00574271"/>
    <w:rsid w:val="00575D65"/>
    <w:rsid w:val="00585BE3"/>
    <w:rsid w:val="0059212D"/>
    <w:rsid w:val="005A3650"/>
    <w:rsid w:val="005B2B58"/>
    <w:rsid w:val="005B5E28"/>
    <w:rsid w:val="005C00FA"/>
    <w:rsid w:val="005C2D89"/>
    <w:rsid w:val="005C485B"/>
    <w:rsid w:val="005D0C94"/>
    <w:rsid w:val="005D39D7"/>
    <w:rsid w:val="005D5956"/>
    <w:rsid w:val="005D6F63"/>
    <w:rsid w:val="005E0522"/>
    <w:rsid w:val="005E3089"/>
    <w:rsid w:val="005E41B9"/>
    <w:rsid w:val="005F4848"/>
    <w:rsid w:val="006064AC"/>
    <w:rsid w:val="0060672D"/>
    <w:rsid w:val="00616E46"/>
    <w:rsid w:val="0062008C"/>
    <w:rsid w:val="00620797"/>
    <w:rsid w:val="006244FC"/>
    <w:rsid w:val="00626494"/>
    <w:rsid w:val="00636D32"/>
    <w:rsid w:val="00641DE2"/>
    <w:rsid w:val="00643384"/>
    <w:rsid w:val="0065406F"/>
    <w:rsid w:val="00663580"/>
    <w:rsid w:val="00663EC4"/>
    <w:rsid w:val="00672587"/>
    <w:rsid w:val="00677C5F"/>
    <w:rsid w:val="006905FB"/>
    <w:rsid w:val="0069470E"/>
    <w:rsid w:val="006A0BC7"/>
    <w:rsid w:val="006A38D5"/>
    <w:rsid w:val="006A431F"/>
    <w:rsid w:val="006A699F"/>
    <w:rsid w:val="006C0062"/>
    <w:rsid w:val="006C097E"/>
    <w:rsid w:val="006C2DC3"/>
    <w:rsid w:val="006D0439"/>
    <w:rsid w:val="006D42EC"/>
    <w:rsid w:val="006F4225"/>
    <w:rsid w:val="00704B7D"/>
    <w:rsid w:val="00711414"/>
    <w:rsid w:val="00717230"/>
    <w:rsid w:val="00725453"/>
    <w:rsid w:val="00730DA0"/>
    <w:rsid w:val="007318FE"/>
    <w:rsid w:val="00737591"/>
    <w:rsid w:val="007438F2"/>
    <w:rsid w:val="007460E4"/>
    <w:rsid w:val="00753F83"/>
    <w:rsid w:val="00755C3D"/>
    <w:rsid w:val="007576EF"/>
    <w:rsid w:val="00760677"/>
    <w:rsid w:val="00761C12"/>
    <w:rsid w:val="007658BA"/>
    <w:rsid w:val="00776CF4"/>
    <w:rsid w:val="0078264B"/>
    <w:rsid w:val="00784294"/>
    <w:rsid w:val="00784F89"/>
    <w:rsid w:val="00786336"/>
    <w:rsid w:val="007A0230"/>
    <w:rsid w:val="007A0E7F"/>
    <w:rsid w:val="007A1FC3"/>
    <w:rsid w:val="007A2F63"/>
    <w:rsid w:val="007A4378"/>
    <w:rsid w:val="007A5115"/>
    <w:rsid w:val="007B1C67"/>
    <w:rsid w:val="007B6756"/>
    <w:rsid w:val="007C5CE9"/>
    <w:rsid w:val="007D39CC"/>
    <w:rsid w:val="007D6AAF"/>
    <w:rsid w:val="007E1400"/>
    <w:rsid w:val="007E3BD9"/>
    <w:rsid w:val="007E5A11"/>
    <w:rsid w:val="007E73E6"/>
    <w:rsid w:val="007F1954"/>
    <w:rsid w:val="007F21D7"/>
    <w:rsid w:val="007F2CD9"/>
    <w:rsid w:val="007F4D64"/>
    <w:rsid w:val="0080111A"/>
    <w:rsid w:val="008057F8"/>
    <w:rsid w:val="00812188"/>
    <w:rsid w:val="0081396A"/>
    <w:rsid w:val="008213F9"/>
    <w:rsid w:val="008307E1"/>
    <w:rsid w:val="00836D62"/>
    <w:rsid w:val="0084392D"/>
    <w:rsid w:val="00844524"/>
    <w:rsid w:val="00863566"/>
    <w:rsid w:val="00864FB6"/>
    <w:rsid w:val="00867160"/>
    <w:rsid w:val="0087205B"/>
    <w:rsid w:val="00874FB8"/>
    <w:rsid w:val="00887505"/>
    <w:rsid w:val="008900CB"/>
    <w:rsid w:val="00895042"/>
    <w:rsid w:val="00895669"/>
    <w:rsid w:val="00897946"/>
    <w:rsid w:val="008A0C57"/>
    <w:rsid w:val="008A0ED7"/>
    <w:rsid w:val="008A3276"/>
    <w:rsid w:val="008A3447"/>
    <w:rsid w:val="008B2C77"/>
    <w:rsid w:val="008B55DF"/>
    <w:rsid w:val="008C48EA"/>
    <w:rsid w:val="008C734C"/>
    <w:rsid w:val="008D7A73"/>
    <w:rsid w:val="008D7CBA"/>
    <w:rsid w:val="008E1D69"/>
    <w:rsid w:val="008E4BF2"/>
    <w:rsid w:val="008F1801"/>
    <w:rsid w:val="008F4CBD"/>
    <w:rsid w:val="009017AD"/>
    <w:rsid w:val="00901BED"/>
    <w:rsid w:val="00902DD3"/>
    <w:rsid w:val="00905735"/>
    <w:rsid w:val="00905A78"/>
    <w:rsid w:val="00910D61"/>
    <w:rsid w:val="009131B9"/>
    <w:rsid w:val="0091409C"/>
    <w:rsid w:val="0091688E"/>
    <w:rsid w:val="00935805"/>
    <w:rsid w:val="009368F3"/>
    <w:rsid w:val="00947C42"/>
    <w:rsid w:val="00950489"/>
    <w:rsid w:val="00951C90"/>
    <w:rsid w:val="00954CC5"/>
    <w:rsid w:val="00957DE9"/>
    <w:rsid w:val="009616F7"/>
    <w:rsid w:val="00965A44"/>
    <w:rsid w:val="00967D7C"/>
    <w:rsid w:val="009757AD"/>
    <w:rsid w:val="00980B6A"/>
    <w:rsid w:val="009818F9"/>
    <w:rsid w:val="0098618F"/>
    <w:rsid w:val="00987C32"/>
    <w:rsid w:val="00991646"/>
    <w:rsid w:val="00994421"/>
    <w:rsid w:val="0099448B"/>
    <w:rsid w:val="00994DA4"/>
    <w:rsid w:val="00997347"/>
    <w:rsid w:val="009A1BAC"/>
    <w:rsid w:val="009A4DAA"/>
    <w:rsid w:val="009A5ACA"/>
    <w:rsid w:val="009A703A"/>
    <w:rsid w:val="009B19CE"/>
    <w:rsid w:val="009B2B8D"/>
    <w:rsid w:val="009B79F9"/>
    <w:rsid w:val="009C202F"/>
    <w:rsid w:val="009C76BE"/>
    <w:rsid w:val="009C77F7"/>
    <w:rsid w:val="009E5ABC"/>
    <w:rsid w:val="009E5B9C"/>
    <w:rsid w:val="009F4ED1"/>
    <w:rsid w:val="00A00D71"/>
    <w:rsid w:val="00A00EDF"/>
    <w:rsid w:val="00A01924"/>
    <w:rsid w:val="00A10EE3"/>
    <w:rsid w:val="00A15C25"/>
    <w:rsid w:val="00A17EFE"/>
    <w:rsid w:val="00A262B7"/>
    <w:rsid w:val="00A26A17"/>
    <w:rsid w:val="00A30169"/>
    <w:rsid w:val="00A312A3"/>
    <w:rsid w:val="00A3147A"/>
    <w:rsid w:val="00A33D9F"/>
    <w:rsid w:val="00A37229"/>
    <w:rsid w:val="00A37CEE"/>
    <w:rsid w:val="00A406E9"/>
    <w:rsid w:val="00A4074E"/>
    <w:rsid w:val="00A41763"/>
    <w:rsid w:val="00A418C9"/>
    <w:rsid w:val="00A72AA8"/>
    <w:rsid w:val="00A74C9B"/>
    <w:rsid w:val="00A766F6"/>
    <w:rsid w:val="00A93478"/>
    <w:rsid w:val="00A97FE7"/>
    <w:rsid w:val="00AA25BB"/>
    <w:rsid w:val="00AA3FD0"/>
    <w:rsid w:val="00AA46CA"/>
    <w:rsid w:val="00AA7EFA"/>
    <w:rsid w:val="00AB61B3"/>
    <w:rsid w:val="00AC1221"/>
    <w:rsid w:val="00AC323A"/>
    <w:rsid w:val="00AC59C8"/>
    <w:rsid w:val="00AD08D1"/>
    <w:rsid w:val="00AD2A07"/>
    <w:rsid w:val="00AD6357"/>
    <w:rsid w:val="00AD7F81"/>
    <w:rsid w:val="00AE4CA9"/>
    <w:rsid w:val="00AE70B9"/>
    <w:rsid w:val="00AF367D"/>
    <w:rsid w:val="00AF45FD"/>
    <w:rsid w:val="00B23607"/>
    <w:rsid w:val="00B2386E"/>
    <w:rsid w:val="00B35E2A"/>
    <w:rsid w:val="00B4263D"/>
    <w:rsid w:val="00B4376D"/>
    <w:rsid w:val="00B56F49"/>
    <w:rsid w:val="00B6134C"/>
    <w:rsid w:val="00B63A6B"/>
    <w:rsid w:val="00B67E4C"/>
    <w:rsid w:val="00B7442A"/>
    <w:rsid w:val="00B76132"/>
    <w:rsid w:val="00B76F00"/>
    <w:rsid w:val="00B82640"/>
    <w:rsid w:val="00B86FAA"/>
    <w:rsid w:val="00B879CC"/>
    <w:rsid w:val="00B905E9"/>
    <w:rsid w:val="00B97002"/>
    <w:rsid w:val="00BB0A33"/>
    <w:rsid w:val="00BB2F70"/>
    <w:rsid w:val="00BB630E"/>
    <w:rsid w:val="00BB6CF4"/>
    <w:rsid w:val="00BC14C3"/>
    <w:rsid w:val="00BC1ABE"/>
    <w:rsid w:val="00BC54CC"/>
    <w:rsid w:val="00BC6A5C"/>
    <w:rsid w:val="00BD2F20"/>
    <w:rsid w:val="00BD4F62"/>
    <w:rsid w:val="00BD7F20"/>
    <w:rsid w:val="00BE37CD"/>
    <w:rsid w:val="00BE4AFD"/>
    <w:rsid w:val="00BF5C4D"/>
    <w:rsid w:val="00C00067"/>
    <w:rsid w:val="00C00590"/>
    <w:rsid w:val="00C02F70"/>
    <w:rsid w:val="00C04647"/>
    <w:rsid w:val="00C058CF"/>
    <w:rsid w:val="00C064D0"/>
    <w:rsid w:val="00C12551"/>
    <w:rsid w:val="00C211CD"/>
    <w:rsid w:val="00C25328"/>
    <w:rsid w:val="00C3744D"/>
    <w:rsid w:val="00C43A84"/>
    <w:rsid w:val="00C63242"/>
    <w:rsid w:val="00C63403"/>
    <w:rsid w:val="00C64137"/>
    <w:rsid w:val="00C658E4"/>
    <w:rsid w:val="00C66A79"/>
    <w:rsid w:val="00C7266E"/>
    <w:rsid w:val="00C76C66"/>
    <w:rsid w:val="00C82DF9"/>
    <w:rsid w:val="00C8562C"/>
    <w:rsid w:val="00C86F22"/>
    <w:rsid w:val="00C87190"/>
    <w:rsid w:val="00C9143F"/>
    <w:rsid w:val="00C96E4B"/>
    <w:rsid w:val="00CA1564"/>
    <w:rsid w:val="00CA7C8A"/>
    <w:rsid w:val="00CB0897"/>
    <w:rsid w:val="00CB44E8"/>
    <w:rsid w:val="00CB6C73"/>
    <w:rsid w:val="00CB7978"/>
    <w:rsid w:val="00CC1D12"/>
    <w:rsid w:val="00CC4665"/>
    <w:rsid w:val="00CD7885"/>
    <w:rsid w:val="00CE19C5"/>
    <w:rsid w:val="00CE42E9"/>
    <w:rsid w:val="00CE74B0"/>
    <w:rsid w:val="00CF05C2"/>
    <w:rsid w:val="00D001E4"/>
    <w:rsid w:val="00D00AA8"/>
    <w:rsid w:val="00D02778"/>
    <w:rsid w:val="00D041DA"/>
    <w:rsid w:val="00D102A9"/>
    <w:rsid w:val="00D13E84"/>
    <w:rsid w:val="00D217C5"/>
    <w:rsid w:val="00D2504D"/>
    <w:rsid w:val="00D25834"/>
    <w:rsid w:val="00D300F4"/>
    <w:rsid w:val="00D30EC2"/>
    <w:rsid w:val="00D32779"/>
    <w:rsid w:val="00D3344B"/>
    <w:rsid w:val="00D40175"/>
    <w:rsid w:val="00D42B54"/>
    <w:rsid w:val="00D44D3C"/>
    <w:rsid w:val="00D44F9D"/>
    <w:rsid w:val="00D460EF"/>
    <w:rsid w:val="00D55243"/>
    <w:rsid w:val="00D62F90"/>
    <w:rsid w:val="00D63E74"/>
    <w:rsid w:val="00D70312"/>
    <w:rsid w:val="00D7033F"/>
    <w:rsid w:val="00D715C4"/>
    <w:rsid w:val="00D824E2"/>
    <w:rsid w:val="00D90F3F"/>
    <w:rsid w:val="00D928A2"/>
    <w:rsid w:val="00D928FD"/>
    <w:rsid w:val="00DA371E"/>
    <w:rsid w:val="00DC79E3"/>
    <w:rsid w:val="00DD001C"/>
    <w:rsid w:val="00DD2C17"/>
    <w:rsid w:val="00DD51E1"/>
    <w:rsid w:val="00DE207B"/>
    <w:rsid w:val="00DE2D54"/>
    <w:rsid w:val="00DE6850"/>
    <w:rsid w:val="00E02025"/>
    <w:rsid w:val="00E02BB0"/>
    <w:rsid w:val="00E03CE6"/>
    <w:rsid w:val="00E11E07"/>
    <w:rsid w:val="00E13716"/>
    <w:rsid w:val="00E17B8C"/>
    <w:rsid w:val="00E20E54"/>
    <w:rsid w:val="00E266FF"/>
    <w:rsid w:val="00E27661"/>
    <w:rsid w:val="00E373EC"/>
    <w:rsid w:val="00E47DB3"/>
    <w:rsid w:val="00E509A9"/>
    <w:rsid w:val="00E51F8B"/>
    <w:rsid w:val="00E5242A"/>
    <w:rsid w:val="00E53398"/>
    <w:rsid w:val="00E615CF"/>
    <w:rsid w:val="00E66AE2"/>
    <w:rsid w:val="00E74DA4"/>
    <w:rsid w:val="00E800FB"/>
    <w:rsid w:val="00E81B89"/>
    <w:rsid w:val="00E91432"/>
    <w:rsid w:val="00E91B5A"/>
    <w:rsid w:val="00EB5F4D"/>
    <w:rsid w:val="00EC09B0"/>
    <w:rsid w:val="00EC6062"/>
    <w:rsid w:val="00ED2287"/>
    <w:rsid w:val="00ED6E45"/>
    <w:rsid w:val="00EE2CAF"/>
    <w:rsid w:val="00EE43E4"/>
    <w:rsid w:val="00EF347D"/>
    <w:rsid w:val="00F001EA"/>
    <w:rsid w:val="00F01A19"/>
    <w:rsid w:val="00F05481"/>
    <w:rsid w:val="00F056C3"/>
    <w:rsid w:val="00F0710D"/>
    <w:rsid w:val="00F16B90"/>
    <w:rsid w:val="00F27019"/>
    <w:rsid w:val="00F2753B"/>
    <w:rsid w:val="00F34F19"/>
    <w:rsid w:val="00F3738C"/>
    <w:rsid w:val="00F44A21"/>
    <w:rsid w:val="00F575F0"/>
    <w:rsid w:val="00F62D6B"/>
    <w:rsid w:val="00F6664C"/>
    <w:rsid w:val="00F71857"/>
    <w:rsid w:val="00F750E7"/>
    <w:rsid w:val="00F80AF1"/>
    <w:rsid w:val="00F816CC"/>
    <w:rsid w:val="00F8298C"/>
    <w:rsid w:val="00F84363"/>
    <w:rsid w:val="00F850D9"/>
    <w:rsid w:val="00F90245"/>
    <w:rsid w:val="00F90505"/>
    <w:rsid w:val="00F91E4A"/>
    <w:rsid w:val="00F920D9"/>
    <w:rsid w:val="00F93F5A"/>
    <w:rsid w:val="00F93FEF"/>
    <w:rsid w:val="00F94781"/>
    <w:rsid w:val="00FA5388"/>
    <w:rsid w:val="00FA6217"/>
    <w:rsid w:val="00FB08E3"/>
    <w:rsid w:val="00FB6BF3"/>
    <w:rsid w:val="00FC21AC"/>
    <w:rsid w:val="00FC35CA"/>
    <w:rsid w:val="00FC44F5"/>
    <w:rsid w:val="00FC7E1B"/>
    <w:rsid w:val="00FD397B"/>
    <w:rsid w:val="00FD4B01"/>
    <w:rsid w:val="00FD52F2"/>
    <w:rsid w:val="00FD7CDC"/>
    <w:rsid w:val="00FE3049"/>
    <w:rsid w:val="00FE3258"/>
    <w:rsid w:val="00FE4ACE"/>
    <w:rsid w:val="00FE58E0"/>
    <w:rsid w:val="00FE74D0"/>
    <w:rsid w:val="00FF0BFD"/>
    <w:rsid w:val="00FF1AB6"/>
    <w:rsid w:val="00FF1DCF"/>
    <w:rsid w:val="00FF2834"/>
    <w:rsid w:val="00FF6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fill="f" fillcolor="white" stroke="f">
      <v:fill color="white" on="f"/>
      <v:stroke on="f"/>
    </o:shapedefaults>
    <o:shapelayout v:ext="edit">
      <o:idmap v:ext="edit" data="1"/>
    </o:shapelayout>
  </w:shapeDefaults>
  <w:decimalSymbol w:val="."/>
  <w:listSeparator w:val=","/>
  <w14:docId w14:val="6DBC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qFormat="1"/>
    <w:lsdException w:name="header" w:locked="0" w:qFormat="1"/>
    <w:lsdException w:name="footer" w:locked="0" w:qFormat="1"/>
    <w:lsdException w:name="caption" w:locked="0" w:uiPriority="35" w:qFormat="1"/>
    <w:lsdException w:name="table of figures" w:locked="0"/>
    <w:lsdException w:name="footnote reference" w:locked="0"/>
    <w:lsdException w:name="List Number" w:uiPriority="20"/>
    <w:lsdException w:name="Title" w:semiHidden="0" w:unhideWhenUsed="0" w:qFormat="1"/>
    <w:lsdException w:name="Default Paragraph Font" w:locked="0" w:uiPriority="1"/>
    <w:lsdException w:name="Subtitle" w:uiPriority="11" w:unhideWhenUsed="0"/>
    <w:lsdException w:name="Date" w:uiPriority="4"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150E51"/>
    <w:pPr>
      <w:keepNext/>
      <w:keepLines/>
      <w:numPr>
        <w:numId w:val="8"/>
      </w:numPr>
      <w:spacing w:after="120" w:line="380" w:lineRule="atLeast"/>
      <w:outlineLvl w:val="0"/>
    </w:pPr>
    <w:rPr>
      <w:rFonts w:eastAsiaTheme="majorEastAsia" w:cstheme="majorBidi"/>
      <w:b/>
      <w:bCs/>
      <w:sz w:val="28"/>
      <w:szCs w:val="44"/>
    </w:rPr>
  </w:style>
  <w:style w:type="paragraph" w:styleId="Heading2">
    <w:name w:val="heading 2"/>
    <w:next w:val="Normal"/>
    <w:link w:val="Heading2Char"/>
    <w:autoRedefine/>
    <w:uiPriority w:val="1"/>
    <w:qFormat/>
    <w:rsid w:val="00910D61"/>
    <w:pPr>
      <w:keepNext/>
      <w:keepLines/>
      <w:spacing w:before="200" w:after="24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50E51"/>
    <w:rPr>
      <w:rFonts w:eastAsiaTheme="majorEastAsia" w:cstheme="majorBidi"/>
      <w:b/>
      <w:bCs/>
      <w:sz w:val="28"/>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910D6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5"/>
    <w:qFormat/>
    <w:rsid w:val="008A0C57"/>
    <w:pPr>
      <w:keepNext/>
      <w:spacing w:before="140" w:after="80" w:line="240" w:lineRule="auto"/>
    </w:pPr>
    <w:rPr>
      <w:b/>
      <w:bCs/>
      <w:color w:val="1396D8"/>
      <w:sz w:val="28"/>
      <w:szCs w:val="2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E3BD9"/>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E3BD9"/>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2E0C65"/>
    <w:pPr>
      <w:keepNext/>
      <w:widowControl w:val="0"/>
      <w:numPr>
        <w:numId w:val="14"/>
      </w:numPr>
      <w:autoSpaceDE w:val="0"/>
      <w:autoSpaceDN w:val="0"/>
      <w:adjustRightInd w:val="0"/>
      <w:spacing w:before="2" w:after="0" w:line="276" w:lineRule="auto"/>
      <w:ind w:right="169"/>
      <w:contextualSpacing/>
    </w:pPr>
  </w:style>
  <w:style w:type="paragraph" w:styleId="TOCHeading">
    <w:name w:val="TOC Heading"/>
    <w:basedOn w:val="Heading1"/>
    <w:next w:val="Normal"/>
    <w:autoRedefine/>
    <w:uiPriority w:val="39"/>
    <w:qFormat/>
    <w:rsid w:val="00AC1221"/>
    <w:pPr>
      <w:numPr>
        <w:numId w:val="0"/>
      </w:numPr>
      <w:pBdr>
        <w:bottom w:val="single" w:sz="4" w:space="1" w:color="BFBFBF" w:themeColor="background1" w:themeShade="BF"/>
      </w:pBdr>
      <w:spacing w:before="480" w:line="240" w:lineRule="auto"/>
      <w:outlineLvl w:val="9"/>
    </w:pPr>
    <w:rPr>
      <w:rFonts w:asciiTheme="majorHAnsi" w:hAnsiTheme="majorHAnsi"/>
      <w:color w:val="0096D7" w:themeColor="accent1"/>
      <w:sz w:val="44"/>
    </w:rPr>
  </w:style>
  <w:style w:type="paragraph" w:styleId="TOC1">
    <w:name w:val="toc 1"/>
    <w:basedOn w:val="Normal"/>
    <w:next w:val="Normal"/>
    <w:autoRedefine/>
    <w:uiPriority w:val="39"/>
    <w:qFormat/>
    <w:rsid w:val="00AC1221"/>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rsid w:val="002519F9"/>
    <w:pPr>
      <w:spacing w:after="0" w:line="240" w:lineRule="atLeast"/>
      <w:contextualSpacing/>
    </w:pPr>
    <w:rPr>
      <w:sz w:val="18"/>
    </w:rPr>
  </w:style>
  <w:style w:type="character" w:customStyle="1" w:styleId="FootnoteTextChar">
    <w:name w:val="Footnote Text Char"/>
    <w:basedOn w:val="DefaultParagraphFont"/>
    <w:link w:val="FootnoteText"/>
    <w:uiPriority w:val="99"/>
    <w:rsid w:val="002519F9"/>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CommentText">
    <w:name w:val="annotation text"/>
    <w:basedOn w:val="Normal"/>
    <w:link w:val="CommentTextChar"/>
    <w:uiPriority w:val="99"/>
    <w:unhideWhenUsed/>
    <w:locked/>
    <w:rsid w:val="00E373EC"/>
    <w:pPr>
      <w:spacing w:after="0" w:line="276"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E373EC"/>
    <w:rPr>
      <w:rFonts w:ascii="Times New Roman" w:eastAsiaTheme="minorEastAsia" w:hAnsi="Times New Roman" w:cs="Times New Roman"/>
      <w:sz w:val="20"/>
      <w:szCs w:val="20"/>
    </w:rPr>
  </w:style>
  <w:style w:type="character" w:styleId="CommentReference">
    <w:name w:val="annotation reference"/>
    <w:basedOn w:val="DefaultParagraphFont"/>
    <w:uiPriority w:val="99"/>
    <w:semiHidden/>
    <w:unhideWhenUsed/>
    <w:locked/>
    <w:rsid w:val="00087F0D"/>
    <w:rPr>
      <w:sz w:val="16"/>
      <w:szCs w:val="16"/>
    </w:rPr>
  </w:style>
  <w:style w:type="paragraph" w:styleId="CommentSubject">
    <w:name w:val="annotation subject"/>
    <w:basedOn w:val="CommentText"/>
    <w:next w:val="CommentText"/>
    <w:link w:val="CommentSubjectChar"/>
    <w:uiPriority w:val="99"/>
    <w:semiHidden/>
    <w:unhideWhenUsed/>
    <w:locked/>
    <w:rsid w:val="00087F0D"/>
    <w:pPr>
      <w:spacing w:after="20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87F0D"/>
    <w:rPr>
      <w:rFonts w:ascii="Times New Roman" w:eastAsiaTheme="minorEastAsia" w:hAnsi="Times New Roman" w:cs="Times New Roman"/>
      <w:b/>
      <w:bCs/>
      <w:sz w:val="20"/>
      <w:szCs w:val="20"/>
    </w:rPr>
  </w:style>
  <w:style w:type="paragraph" w:styleId="Revision">
    <w:name w:val="Revision"/>
    <w:hidden/>
    <w:uiPriority w:val="99"/>
    <w:semiHidden/>
    <w:rsid w:val="000941B9"/>
    <w:pPr>
      <w:spacing w:after="0"/>
    </w:pPr>
  </w:style>
  <w:style w:type="character" w:styleId="FollowedHyperlink">
    <w:name w:val="FollowedHyperlink"/>
    <w:basedOn w:val="DefaultParagraphFont"/>
    <w:uiPriority w:val="99"/>
    <w:semiHidden/>
    <w:unhideWhenUsed/>
    <w:locked/>
    <w:rsid w:val="00FF2834"/>
    <w:rPr>
      <w:color w:val="5D973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qFormat="1"/>
    <w:lsdException w:name="header" w:locked="0" w:qFormat="1"/>
    <w:lsdException w:name="footer" w:locked="0" w:qFormat="1"/>
    <w:lsdException w:name="caption" w:locked="0" w:uiPriority="35" w:qFormat="1"/>
    <w:lsdException w:name="table of figures" w:locked="0"/>
    <w:lsdException w:name="footnote reference" w:locked="0"/>
    <w:lsdException w:name="List Number" w:uiPriority="20"/>
    <w:lsdException w:name="Title" w:semiHidden="0" w:unhideWhenUsed="0" w:qFormat="1"/>
    <w:lsdException w:name="Default Paragraph Font" w:locked="0" w:uiPriority="1"/>
    <w:lsdException w:name="Subtitle" w:uiPriority="11" w:unhideWhenUsed="0"/>
    <w:lsdException w:name="Date" w:uiPriority="4"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150E51"/>
    <w:pPr>
      <w:keepNext/>
      <w:keepLines/>
      <w:numPr>
        <w:numId w:val="8"/>
      </w:numPr>
      <w:spacing w:after="120" w:line="380" w:lineRule="atLeast"/>
      <w:outlineLvl w:val="0"/>
    </w:pPr>
    <w:rPr>
      <w:rFonts w:eastAsiaTheme="majorEastAsia" w:cstheme="majorBidi"/>
      <w:b/>
      <w:bCs/>
      <w:sz w:val="28"/>
      <w:szCs w:val="44"/>
    </w:rPr>
  </w:style>
  <w:style w:type="paragraph" w:styleId="Heading2">
    <w:name w:val="heading 2"/>
    <w:next w:val="Normal"/>
    <w:link w:val="Heading2Char"/>
    <w:autoRedefine/>
    <w:uiPriority w:val="1"/>
    <w:qFormat/>
    <w:rsid w:val="00910D61"/>
    <w:pPr>
      <w:keepNext/>
      <w:keepLines/>
      <w:spacing w:before="200" w:after="24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50E51"/>
    <w:rPr>
      <w:rFonts w:eastAsiaTheme="majorEastAsia" w:cstheme="majorBidi"/>
      <w:b/>
      <w:bCs/>
      <w:sz w:val="28"/>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910D6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5"/>
    <w:qFormat/>
    <w:rsid w:val="008A0C57"/>
    <w:pPr>
      <w:keepNext/>
      <w:spacing w:before="140" w:after="80" w:line="240" w:lineRule="auto"/>
    </w:pPr>
    <w:rPr>
      <w:b/>
      <w:bCs/>
      <w:color w:val="1396D8"/>
      <w:sz w:val="28"/>
      <w:szCs w:val="2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E3BD9"/>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E3BD9"/>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2E0C65"/>
    <w:pPr>
      <w:keepNext/>
      <w:widowControl w:val="0"/>
      <w:numPr>
        <w:numId w:val="14"/>
      </w:numPr>
      <w:autoSpaceDE w:val="0"/>
      <w:autoSpaceDN w:val="0"/>
      <w:adjustRightInd w:val="0"/>
      <w:spacing w:before="2" w:after="0" w:line="276" w:lineRule="auto"/>
      <w:ind w:right="169"/>
      <w:contextualSpacing/>
    </w:pPr>
  </w:style>
  <w:style w:type="paragraph" w:styleId="TOCHeading">
    <w:name w:val="TOC Heading"/>
    <w:basedOn w:val="Heading1"/>
    <w:next w:val="Normal"/>
    <w:autoRedefine/>
    <w:uiPriority w:val="39"/>
    <w:qFormat/>
    <w:rsid w:val="00AC1221"/>
    <w:pPr>
      <w:numPr>
        <w:numId w:val="0"/>
      </w:numPr>
      <w:pBdr>
        <w:bottom w:val="single" w:sz="4" w:space="1" w:color="BFBFBF" w:themeColor="background1" w:themeShade="BF"/>
      </w:pBdr>
      <w:spacing w:before="480" w:line="240" w:lineRule="auto"/>
      <w:outlineLvl w:val="9"/>
    </w:pPr>
    <w:rPr>
      <w:rFonts w:asciiTheme="majorHAnsi" w:hAnsiTheme="majorHAnsi"/>
      <w:color w:val="0096D7" w:themeColor="accent1"/>
      <w:sz w:val="44"/>
    </w:rPr>
  </w:style>
  <w:style w:type="paragraph" w:styleId="TOC1">
    <w:name w:val="toc 1"/>
    <w:basedOn w:val="Normal"/>
    <w:next w:val="Normal"/>
    <w:autoRedefine/>
    <w:uiPriority w:val="39"/>
    <w:qFormat/>
    <w:rsid w:val="00AC1221"/>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rsid w:val="002519F9"/>
    <w:pPr>
      <w:spacing w:after="0" w:line="240" w:lineRule="atLeast"/>
      <w:contextualSpacing/>
    </w:pPr>
    <w:rPr>
      <w:sz w:val="18"/>
    </w:rPr>
  </w:style>
  <w:style w:type="character" w:customStyle="1" w:styleId="FootnoteTextChar">
    <w:name w:val="Footnote Text Char"/>
    <w:basedOn w:val="DefaultParagraphFont"/>
    <w:link w:val="FootnoteText"/>
    <w:uiPriority w:val="99"/>
    <w:rsid w:val="002519F9"/>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CommentText">
    <w:name w:val="annotation text"/>
    <w:basedOn w:val="Normal"/>
    <w:link w:val="CommentTextChar"/>
    <w:uiPriority w:val="99"/>
    <w:unhideWhenUsed/>
    <w:locked/>
    <w:rsid w:val="00E373EC"/>
    <w:pPr>
      <w:spacing w:after="0" w:line="276"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E373EC"/>
    <w:rPr>
      <w:rFonts w:ascii="Times New Roman" w:eastAsiaTheme="minorEastAsia" w:hAnsi="Times New Roman" w:cs="Times New Roman"/>
      <w:sz w:val="20"/>
      <w:szCs w:val="20"/>
    </w:rPr>
  </w:style>
  <w:style w:type="character" w:styleId="CommentReference">
    <w:name w:val="annotation reference"/>
    <w:basedOn w:val="DefaultParagraphFont"/>
    <w:uiPriority w:val="99"/>
    <w:semiHidden/>
    <w:unhideWhenUsed/>
    <w:locked/>
    <w:rsid w:val="00087F0D"/>
    <w:rPr>
      <w:sz w:val="16"/>
      <w:szCs w:val="16"/>
    </w:rPr>
  </w:style>
  <w:style w:type="paragraph" w:styleId="CommentSubject">
    <w:name w:val="annotation subject"/>
    <w:basedOn w:val="CommentText"/>
    <w:next w:val="CommentText"/>
    <w:link w:val="CommentSubjectChar"/>
    <w:uiPriority w:val="99"/>
    <w:semiHidden/>
    <w:unhideWhenUsed/>
    <w:locked/>
    <w:rsid w:val="00087F0D"/>
    <w:pPr>
      <w:spacing w:after="20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87F0D"/>
    <w:rPr>
      <w:rFonts w:ascii="Times New Roman" w:eastAsiaTheme="minorEastAsia" w:hAnsi="Times New Roman" w:cs="Times New Roman"/>
      <w:b/>
      <w:bCs/>
      <w:sz w:val="20"/>
      <w:szCs w:val="20"/>
    </w:rPr>
  </w:style>
  <w:style w:type="paragraph" w:styleId="Revision">
    <w:name w:val="Revision"/>
    <w:hidden/>
    <w:uiPriority w:val="99"/>
    <w:semiHidden/>
    <w:rsid w:val="000941B9"/>
    <w:pPr>
      <w:spacing w:after="0"/>
    </w:pPr>
  </w:style>
  <w:style w:type="character" w:styleId="FollowedHyperlink">
    <w:name w:val="FollowedHyperlink"/>
    <w:basedOn w:val="DefaultParagraphFont"/>
    <w:uiPriority w:val="99"/>
    <w:semiHidden/>
    <w:unhideWhenUsed/>
    <w:locked/>
    <w:rsid w:val="00FF2834"/>
    <w:rPr>
      <w:color w:val="5D973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20647942">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48867335">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 w:id="211034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package" Target="embeddings/Microsoft_Excel_Worksheet1.xlsx"/><Relationship Id="rId26" Type="http://schemas.openxmlformats.org/officeDocument/2006/relationships/image" Target="media/image5.emf"/><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package" Target="embeddings/Microsoft_Excel_Worksheet2.xlsx"/><Relationship Id="rId2" Type="http://schemas.openxmlformats.org/officeDocument/2006/relationships/customXml" Target="../customXml/item2.xml"/><Relationship Id="rId16" Type="http://schemas.openxmlformats.org/officeDocument/2006/relationships/hyperlink" Target="http://www.nerc.com/pa/rrm/ea/Pages/EA-Program.aspx" TargetMode="External"/><Relationship Id="rId20" Type="http://schemas.openxmlformats.org/officeDocument/2006/relationships/header" Target="header3.xml"/><Relationship Id="rId29" Type="http://schemas.openxmlformats.org/officeDocument/2006/relationships/hyperlink" Target="https://www.eia.gov/electricity/monthl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4.emf"/><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yperlink" Target="https://www.oe.netl.doe.gov/OE417_annual_summary.aspx" TargetMode="External"/><Relationship Id="rId10" Type="http://schemas.openxmlformats.org/officeDocument/2006/relationships/image" Target="media/image1.png"/><Relationship Id="rId19" Type="http://schemas.openxmlformats.org/officeDocument/2006/relationships/header" Target="header2.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package" Target="embeddings/Microsoft_Excel_Worksheet3.xlsx"/><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ia.gov/electricity/monthly/" TargetMode="External"/><Relationship Id="rId1" Type="http://schemas.openxmlformats.org/officeDocument/2006/relationships/hyperlink" Target="https://www.oe.netl.doe.gov/OE417_annual_summary.asp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8D"/>
    <w:rsid w:val="00044521"/>
    <w:rsid w:val="0004484B"/>
    <w:rsid w:val="00071338"/>
    <w:rsid w:val="000B4080"/>
    <w:rsid w:val="0015217E"/>
    <w:rsid w:val="001A06F1"/>
    <w:rsid w:val="002C698B"/>
    <w:rsid w:val="0042728E"/>
    <w:rsid w:val="004C1587"/>
    <w:rsid w:val="0051597F"/>
    <w:rsid w:val="005762EA"/>
    <w:rsid w:val="005D0844"/>
    <w:rsid w:val="00637F53"/>
    <w:rsid w:val="00642604"/>
    <w:rsid w:val="00682616"/>
    <w:rsid w:val="006C2E16"/>
    <w:rsid w:val="0081097B"/>
    <w:rsid w:val="008E27DB"/>
    <w:rsid w:val="009564AD"/>
    <w:rsid w:val="00962F7F"/>
    <w:rsid w:val="0097548D"/>
    <w:rsid w:val="009E75B6"/>
    <w:rsid w:val="00B00295"/>
    <w:rsid w:val="00BB10E8"/>
    <w:rsid w:val="00C714ED"/>
    <w:rsid w:val="00CD7A02"/>
    <w:rsid w:val="00D003B9"/>
    <w:rsid w:val="00D61217"/>
    <w:rsid w:val="00E860DC"/>
    <w:rsid w:val="00EA37B6"/>
    <w:rsid w:val="00EC1F32"/>
    <w:rsid w:val="00F1697C"/>
    <w:rsid w:val="00F95D2B"/>
    <w:rsid w:val="00FB2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FE90AF-59B7-4BAC-8FB0-F096EE7DB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6922</Words>
  <Characters>39461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Supporting Statement for Electric Emergency Incident and Disturbance Report</vt:lpstr>
    </vt:vector>
  </TitlesOfParts>
  <Company/>
  <LinksUpToDate>false</LinksUpToDate>
  <CharactersWithSpaces>46291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Electric Emergency Incident and Disturbance Report</dc:title>
  <dc:subject>Improving the Quality and Scope of EIA Data</dc:subject>
  <dc:creator>Stroud, Lawrence</dc:creator>
  <cp:keywords/>
  <dc:description/>
  <cp:lastModifiedBy>SYSTEM</cp:lastModifiedBy>
  <cp:revision>2</cp:revision>
  <cp:lastPrinted>2018-05-04T15:35:00Z</cp:lastPrinted>
  <dcterms:created xsi:type="dcterms:W3CDTF">2018-05-04T17:28:00Z</dcterms:created>
  <dcterms:modified xsi:type="dcterms:W3CDTF">2018-05-04T17:28:00Z</dcterms:modified>
</cp:coreProperties>
</file>