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941FC" w14:textId="77777777" w:rsidR="00522F19" w:rsidRPr="00EA2278" w:rsidRDefault="00522F19" w:rsidP="00F62B26">
      <w:pPr>
        <w:rPr>
          <w:sz w:val="36"/>
          <w:szCs w:val="36"/>
        </w:rPr>
      </w:pPr>
      <w:bookmarkStart w:id="0" w:name="_Toc268593743"/>
      <w:bookmarkStart w:id="1" w:name="_GoBack"/>
      <w:bookmarkEnd w:id="1"/>
    </w:p>
    <w:p w14:paraId="36953272" w14:textId="77777777" w:rsidR="00522F19" w:rsidRDefault="00522F19" w:rsidP="00F62B26"/>
    <w:p w14:paraId="68B541E4" w14:textId="77777777" w:rsidR="00C620CB" w:rsidRPr="00477529" w:rsidRDefault="00C620CB" w:rsidP="00C620CB">
      <w:pPr>
        <w:pStyle w:val="Cov-Title"/>
        <w:rPr>
          <w:b/>
          <w:bCs/>
        </w:rPr>
      </w:pPr>
      <w:r w:rsidRPr="00477529">
        <w:t>2017–18 NATIONAL POSTSECONDARY STUDENT AID STUDY ADMINISTRATIVE COLLECTION (NPSAS:18-AC)</w:t>
      </w:r>
    </w:p>
    <w:p w14:paraId="0CADC842" w14:textId="77777777" w:rsidR="00C620CB" w:rsidRPr="00477529" w:rsidRDefault="00C620CB" w:rsidP="00C620CB">
      <w:pPr>
        <w:rPr>
          <w:b/>
          <w:bCs/>
        </w:rPr>
      </w:pPr>
    </w:p>
    <w:p w14:paraId="3E927257" w14:textId="36846F7B" w:rsidR="00C620CB" w:rsidRPr="00477529" w:rsidRDefault="00C620CB" w:rsidP="00C620CB">
      <w:pPr>
        <w:pStyle w:val="Cov-Subtitle"/>
        <w:rPr>
          <w:b/>
          <w:bCs/>
        </w:rPr>
      </w:pPr>
      <w:r w:rsidRPr="00477529">
        <w:t xml:space="preserve">Supporting Statement Part </w:t>
      </w:r>
      <w:r>
        <w:t>B</w:t>
      </w:r>
      <w:r w:rsidRPr="00477529">
        <w:br/>
      </w:r>
      <w:r w:rsidRPr="00477529">
        <w:br/>
        <w:t>OMB # 1850-</w:t>
      </w:r>
      <w:r>
        <w:t>0666</w:t>
      </w:r>
      <w:r w:rsidRPr="00477529">
        <w:t xml:space="preserve"> v.</w:t>
      </w:r>
      <w:r w:rsidR="00071DD8">
        <w:t>21</w:t>
      </w:r>
    </w:p>
    <w:p w14:paraId="1339456E" w14:textId="77777777" w:rsidR="00C620CB" w:rsidRPr="00477529" w:rsidRDefault="00C620CB" w:rsidP="00C620CB">
      <w:pPr>
        <w:tabs>
          <w:tab w:val="left" w:pos="720"/>
          <w:tab w:val="center" w:pos="4680"/>
        </w:tabs>
        <w:autoSpaceDE w:val="0"/>
        <w:autoSpaceDN w:val="0"/>
        <w:adjustRightInd w:val="0"/>
        <w:spacing w:before="180"/>
        <w:rPr>
          <w:b/>
          <w:bCs/>
        </w:rPr>
      </w:pPr>
    </w:p>
    <w:p w14:paraId="1106688F" w14:textId="77777777" w:rsidR="00C620CB" w:rsidRPr="00477529" w:rsidRDefault="00C620CB" w:rsidP="00C620CB">
      <w:pPr>
        <w:tabs>
          <w:tab w:val="left" w:pos="720"/>
          <w:tab w:val="center" w:pos="4680"/>
        </w:tabs>
        <w:autoSpaceDE w:val="0"/>
        <w:autoSpaceDN w:val="0"/>
        <w:adjustRightInd w:val="0"/>
        <w:spacing w:before="180"/>
        <w:rPr>
          <w:b/>
          <w:bCs/>
        </w:rPr>
      </w:pPr>
    </w:p>
    <w:p w14:paraId="3DE5E7DA" w14:textId="77777777" w:rsidR="00C620CB" w:rsidRPr="00477529" w:rsidRDefault="00C620CB" w:rsidP="00C620CB">
      <w:pPr>
        <w:pStyle w:val="Cov-Address"/>
        <w:rPr>
          <w:b/>
        </w:rPr>
      </w:pPr>
      <w:r w:rsidRPr="00477529">
        <w:rPr>
          <w:b/>
        </w:rPr>
        <w:t>Submitted by</w:t>
      </w:r>
    </w:p>
    <w:p w14:paraId="37FC6EFC" w14:textId="77777777" w:rsidR="00C620CB" w:rsidRPr="00477529" w:rsidRDefault="00C620CB" w:rsidP="00C620CB">
      <w:pPr>
        <w:pStyle w:val="Cov-Address"/>
        <w:rPr>
          <w:b/>
        </w:rPr>
      </w:pPr>
      <w:r w:rsidRPr="00477529">
        <w:rPr>
          <w:b/>
        </w:rPr>
        <w:t>National Center for Education Statistics</w:t>
      </w:r>
    </w:p>
    <w:p w14:paraId="6A3A9CC0" w14:textId="77777777" w:rsidR="00C620CB" w:rsidRPr="00477529" w:rsidRDefault="00C620CB" w:rsidP="00C620CB">
      <w:pPr>
        <w:pStyle w:val="Cov-Address"/>
        <w:rPr>
          <w:b/>
          <w:bCs/>
        </w:rPr>
      </w:pPr>
      <w:r w:rsidRPr="00477529">
        <w:rPr>
          <w:b/>
        </w:rPr>
        <w:t>U.S. Department of Education</w:t>
      </w:r>
    </w:p>
    <w:p w14:paraId="659C5E78" w14:textId="77777777" w:rsidR="00C620CB" w:rsidRPr="00477529" w:rsidRDefault="00C620CB" w:rsidP="00C620CB">
      <w:pPr>
        <w:pStyle w:val="Cov-Address"/>
        <w:rPr>
          <w:b/>
          <w:bCs/>
        </w:rPr>
      </w:pPr>
    </w:p>
    <w:p w14:paraId="3AE110F0" w14:textId="77777777" w:rsidR="00C620CB" w:rsidRPr="00477529" w:rsidRDefault="00C620CB" w:rsidP="00C620CB">
      <w:pPr>
        <w:pStyle w:val="Cov-Address"/>
        <w:rPr>
          <w:b/>
          <w:bCs/>
        </w:rPr>
      </w:pPr>
    </w:p>
    <w:p w14:paraId="410EEB71" w14:textId="77777777" w:rsidR="00C620CB" w:rsidRPr="00477529" w:rsidRDefault="00C620CB" w:rsidP="00C620CB">
      <w:pPr>
        <w:pStyle w:val="Cov-Address"/>
        <w:rPr>
          <w:b/>
          <w:bCs/>
        </w:rPr>
      </w:pPr>
    </w:p>
    <w:p w14:paraId="746B2D35" w14:textId="77777777" w:rsidR="00C620CB" w:rsidRPr="00477529" w:rsidRDefault="00C620CB" w:rsidP="00C620CB">
      <w:pPr>
        <w:pStyle w:val="Cov-Address"/>
        <w:rPr>
          <w:b/>
          <w:bCs/>
        </w:rPr>
      </w:pPr>
    </w:p>
    <w:p w14:paraId="4EB23E51" w14:textId="0D8F5282" w:rsidR="00C620CB" w:rsidRDefault="00C620CB" w:rsidP="00C620CB">
      <w:pPr>
        <w:pStyle w:val="Cov-Address"/>
        <w:rPr>
          <w:b/>
          <w:bCs/>
        </w:rPr>
      </w:pPr>
      <w:r>
        <w:rPr>
          <w:b/>
          <w:bCs/>
        </w:rPr>
        <w:t>July</w:t>
      </w:r>
      <w:r w:rsidRPr="00477529">
        <w:rPr>
          <w:b/>
          <w:bCs/>
        </w:rPr>
        <w:t xml:space="preserve"> 2017</w:t>
      </w:r>
    </w:p>
    <w:p w14:paraId="4E5CFCE6" w14:textId="4E76E478" w:rsidR="007A433A" w:rsidRPr="00477529" w:rsidRDefault="0040384C" w:rsidP="00C620CB">
      <w:pPr>
        <w:pStyle w:val="Cov-Address"/>
        <w:rPr>
          <w:b/>
          <w:bCs/>
        </w:rPr>
      </w:pPr>
      <w:r>
        <w:rPr>
          <w:b/>
          <w:bCs/>
        </w:rPr>
        <w:t>r</w:t>
      </w:r>
      <w:r w:rsidR="007A433A">
        <w:rPr>
          <w:b/>
          <w:bCs/>
        </w:rPr>
        <w:t>evised January 2018</w:t>
      </w:r>
    </w:p>
    <w:p w14:paraId="5EC1174C" w14:textId="7E2398EC" w:rsidR="007A433A" w:rsidRPr="00B57CD0" w:rsidRDefault="007A433A">
      <w:pPr>
        <w:rPr>
          <w:rFonts w:ascii="Arial" w:hAnsi="Arial"/>
          <w:b/>
          <w:sz w:val="32"/>
        </w:rPr>
      </w:pPr>
    </w:p>
    <w:p w14:paraId="20B01461" w14:textId="24AB67FD" w:rsidR="0095141E" w:rsidRPr="0095141E" w:rsidRDefault="0095141E" w:rsidP="00F62B26">
      <w:pPr>
        <w:pStyle w:val="TOCHeading"/>
        <w:spacing w:line="240" w:lineRule="auto"/>
      </w:pPr>
      <w:r w:rsidRPr="0095141E">
        <w:t>Contents</w:t>
      </w:r>
    </w:p>
    <w:p w14:paraId="66242297" w14:textId="1BCF3329" w:rsidR="006117BA" w:rsidRDefault="00372B92" w:rsidP="00F62B26">
      <w:pPr>
        <w:pStyle w:val="TOC1"/>
        <w:spacing w:line="240" w:lineRule="auto"/>
        <w:rPr>
          <w:rFonts w:asciiTheme="minorHAnsi" w:eastAsiaTheme="minorEastAsia" w:hAnsiTheme="minorHAnsi" w:cstheme="minorBidi"/>
          <w:b w:val="0"/>
          <w:bCs w:val="0"/>
          <w:kern w:val="0"/>
          <w:sz w:val="22"/>
          <w:szCs w:val="22"/>
        </w:rPr>
      </w:pPr>
      <w:r w:rsidRPr="00372B92">
        <w:fldChar w:fldCharType="begin"/>
      </w:r>
      <w:r w:rsidRPr="00372B92">
        <w:instrText xml:space="preserve"> TOC \h \z \t "Heading 1,1,Heading 2,2,Heading 3,3" </w:instrText>
      </w:r>
      <w:r w:rsidRPr="00372B92">
        <w:fldChar w:fldCharType="separate"/>
      </w:r>
      <w:hyperlink w:anchor="_Toc480552880" w:history="1">
        <w:r w:rsidR="006117BA" w:rsidRPr="00926038">
          <w:rPr>
            <w:rStyle w:val="Hyperlink"/>
          </w:rPr>
          <w:t>B.</w:t>
        </w:r>
        <w:r w:rsidR="006117BA">
          <w:rPr>
            <w:rFonts w:asciiTheme="minorHAnsi" w:eastAsiaTheme="minorEastAsia" w:hAnsiTheme="minorHAnsi" w:cstheme="minorBidi"/>
            <w:b w:val="0"/>
            <w:bCs w:val="0"/>
            <w:kern w:val="0"/>
            <w:sz w:val="22"/>
            <w:szCs w:val="22"/>
          </w:rPr>
          <w:tab/>
        </w:r>
        <w:r w:rsidR="006117BA" w:rsidRPr="00926038">
          <w:rPr>
            <w:rStyle w:val="Hyperlink"/>
          </w:rPr>
          <w:t>Collection of Information Employing Statistical Methods</w:t>
        </w:r>
        <w:r w:rsidR="006117BA">
          <w:rPr>
            <w:webHidden/>
          </w:rPr>
          <w:tab/>
        </w:r>
        <w:r w:rsidR="006117BA">
          <w:rPr>
            <w:webHidden/>
          </w:rPr>
          <w:fldChar w:fldCharType="begin"/>
        </w:r>
        <w:r w:rsidR="006117BA">
          <w:rPr>
            <w:webHidden/>
          </w:rPr>
          <w:instrText xml:space="preserve"> PAGEREF _Toc480552880 \h </w:instrText>
        </w:r>
        <w:r w:rsidR="006117BA">
          <w:rPr>
            <w:webHidden/>
          </w:rPr>
        </w:r>
        <w:r w:rsidR="006117BA">
          <w:rPr>
            <w:webHidden/>
          </w:rPr>
          <w:fldChar w:fldCharType="separate"/>
        </w:r>
        <w:r w:rsidR="002A0082">
          <w:rPr>
            <w:webHidden/>
          </w:rPr>
          <w:t>2</w:t>
        </w:r>
        <w:r w:rsidR="006117BA">
          <w:rPr>
            <w:webHidden/>
          </w:rPr>
          <w:fldChar w:fldCharType="end"/>
        </w:r>
      </w:hyperlink>
    </w:p>
    <w:p w14:paraId="134FEE06" w14:textId="79696E72" w:rsidR="006117BA" w:rsidRDefault="00A5324D" w:rsidP="00F62B26">
      <w:pPr>
        <w:pStyle w:val="TOC2"/>
        <w:rPr>
          <w:rFonts w:asciiTheme="minorHAnsi" w:eastAsiaTheme="minorEastAsia" w:hAnsiTheme="minorHAnsi" w:cstheme="minorBidi"/>
          <w:bCs w:val="0"/>
          <w:kern w:val="0"/>
          <w:szCs w:val="22"/>
        </w:rPr>
      </w:pPr>
      <w:hyperlink w:anchor="_Toc480552881" w:history="1">
        <w:r w:rsidR="006117BA" w:rsidRPr="00926038">
          <w:rPr>
            <w:rStyle w:val="Hyperlink"/>
          </w:rPr>
          <w:t>1.</w:t>
        </w:r>
        <w:r w:rsidR="006117BA">
          <w:rPr>
            <w:rFonts w:asciiTheme="minorHAnsi" w:eastAsiaTheme="minorEastAsia" w:hAnsiTheme="minorHAnsi" w:cstheme="minorBidi"/>
            <w:bCs w:val="0"/>
            <w:kern w:val="0"/>
            <w:szCs w:val="22"/>
          </w:rPr>
          <w:tab/>
        </w:r>
        <w:r w:rsidR="006117BA" w:rsidRPr="00926038">
          <w:rPr>
            <w:rStyle w:val="Hyperlink"/>
          </w:rPr>
          <w:t>Respondent Universe</w:t>
        </w:r>
        <w:r w:rsidR="006117BA">
          <w:rPr>
            <w:webHidden/>
          </w:rPr>
          <w:tab/>
        </w:r>
        <w:r w:rsidR="006117BA">
          <w:rPr>
            <w:webHidden/>
          </w:rPr>
          <w:fldChar w:fldCharType="begin"/>
        </w:r>
        <w:r w:rsidR="006117BA">
          <w:rPr>
            <w:webHidden/>
          </w:rPr>
          <w:instrText xml:space="preserve"> PAGEREF _Toc480552881 \h </w:instrText>
        </w:r>
        <w:r w:rsidR="006117BA">
          <w:rPr>
            <w:webHidden/>
          </w:rPr>
        </w:r>
        <w:r w:rsidR="006117BA">
          <w:rPr>
            <w:webHidden/>
          </w:rPr>
          <w:fldChar w:fldCharType="separate"/>
        </w:r>
        <w:r w:rsidR="002A0082">
          <w:rPr>
            <w:webHidden/>
          </w:rPr>
          <w:t>2</w:t>
        </w:r>
        <w:r w:rsidR="006117BA">
          <w:rPr>
            <w:webHidden/>
          </w:rPr>
          <w:fldChar w:fldCharType="end"/>
        </w:r>
      </w:hyperlink>
    </w:p>
    <w:p w14:paraId="7C6B169F" w14:textId="1FBC2578" w:rsidR="006117BA" w:rsidRDefault="00A5324D" w:rsidP="00F62B26">
      <w:pPr>
        <w:pStyle w:val="TOC3"/>
        <w:rPr>
          <w:rFonts w:asciiTheme="minorHAnsi" w:eastAsiaTheme="minorEastAsia" w:hAnsiTheme="minorHAnsi" w:cstheme="minorBidi"/>
          <w:kern w:val="0"/>
          <w:szCs w:val="22"/>
        </w:rPr>
      </w:pPr>
      <w:hyperlink w:anchor="_Toc480552882" w:history="1">
        <w:r w:rsidR="006117BA" w:rsidRPr="00926038">
          <w:rPr>
            <w:rStyle w:val="Hyperlink"/>
          </w:rPr>
          <w:t>a.</w:t>
        </w:r>
        <w:r w:rsidR="006117BA">
          <w:rPr>
            <w:rFonts w:asciiTheme="minorHAnsi" w:eastAsiaTheme="minorEastAsia" w:hAnsiTheme="minorHAnsi" w:cstheme="minorBidi"/>
            <w:kern w:val="0"/>
            <w:szCs w:val="22"/>
          </w:rPr>
          <w:tab/>
        </w:r>
        <w:r w:rsidR="006117BA" w:rsidRPr="00926038">
          <w:rPr>
            <w:rStyle w:val="Hyperlink"/>
          </w:rPr>
          <w:t>Institution Universe</w:t>
        </w:r>
        <w:r w:rsidR="006117BA">
          <w:rPr>
            <w:webHidden/>
          </w:rPr>
          <w:tab/>
        </w:r>
        <w:r w:rsidR="006117BA">
          <w:rPr>
            <w:webHidden/>
          </w:rPr>
          <w:fldChar w:fldCharType="begin"/>
        </w:r>
        <w:r w:rsidR="006117BA">
          <w:rPr>
            <w:webHidden/>
          </w:rPr>
          <w:instrText xml:space="preserve"> PAGEREF _Toc480552882 \h </w:instrText>
        </w:r>
        <w:r w:rsidR="006117BA">
          <w:rPr>
            <w:webHidden/>
          </w:rPr>
        </w:r>
        <w:r w:rsidR="006117BA">
          <w:rPr>
            <w:webHidden/>
          </w:rPr>
          <w:fldChar w:fldCharType="separate"/>
        </w:r>
        <w:r w:rsidR="002A0082">
          <w:rPr>
            <w:webHidden/>
          </w:rPr>
          <w:t>2</w:t>
        </w:r>
        <w:r w:rsidR="006117BA">
          <w:rPr>
            <w:webHidden/>
          </w:rPr>
          <w:fldChar w:fldCharType="end"/>
        </w:r>
      </w:hyperlink>
    </w:p>
    <w:p w14:paraId="334FC5AD" w14:textId="1A3B92FA" w:rsidR="006117BA" w:rsidRDefault="00A5324D" w:rsidP="00F62B26">
      <w:pPr>
        <w:pStyle w:val="TOC3"/>
        <w:rPr>
          <w:rFonts w:asciiTheme="minorHAnsi" w:eastAsiaTheme="minorEastAsia" w:hAnsiTheme="minorHAnsi" w:cstheme="minorBidi"/>
          <w:kern w:val="0"/>
          <w:szCs w:val="22"/>
        </w:rPr>
      </w:pPr>
      <w:hyperlink w:anchor="_Toc480552883" w:history="1">
        <w:r w:rsidR="006117BA" w:rsidRPr="00926038">
          <w:rPr>
            <w:rStyle w:val="Hyperlink"/>
          </w:rPr>
          <w:t>b.</w:t>
        </w:r>
        <w:r w:rsidR="006117BA">
          <w:rPr>
            <w:rFonts w:asciiTheme="minorHAnsi" w:eastAsiaTheme="minorEastAsia" w:hAnsiTheme="minorHAnsi" w:cstheme="minorBidi"/>
            <w:kern w:val="0"/>
            <w:szCs w:val="22"/>
          </w:rPr>
          <w:tab/>
        </w:r>
        <w:r w:rsidR="006117BA" w:rsidRPr="00926038">
          <w:rPr>
            <w:rStyle w:val="Hyperlink"/>
          </w:rPr>
          <w:t>Student Universe</w:t>
        </w:r>
        <w:r w:rsidR="006117BA">
          <w:rPr>
            <w:webHidden/>
          </w:rPr>
          <w:tab/>
        </w:r>
        <w:r w:rsidR="006117BA">
          <w:rPr>
            <w:webHidden/>
          </w:rPr>
          <w:fldChar w:fldCharType="begin"/>
        </w:r>
        <w:r w:rsidR="006117BA">
          <w:rPr>
            <w:webHidden/>
          </w:rPr>
          <w:instrText xml:space="preserve"> PAGEREF _Toc480552883 \h </w:instrText>
        </w:r>
        <w:r w:rsidR="006117BA">
          <w:rPr>
            <w:webHidden/>
          </w:rPr>
        </w:r>
        <w:r w:rsidR="006117BA">
          <w:rPr>
            <w:webHidden/>
          </w:rPr>
          <w:fldChar w:fldCharType="separate"/>
        </w:r>
        <w:r w:rsidR="002A0082">
          <w:rPr>
            <w:webHidden/>
          </w:rPr>
          <w:t>2</w:t>
        </w:r>
        <w:r w:rsidR="006117BA">
          <w:rPr>
            <w:webHidden/>
          </w:rPr>
          <w:fldChar w:fldCharType="end"/>
        </w:r>
      </w:hyperlink>
    </w:p>
    <w:p w14:paraId="165F57B1" w14:textId="19169365" w:rsidR="006117BA" w:rsidRDefault="00A5324D" w:rsidP="00F62B26">
      <w:pPr>
        <w:pStyle w:val="TOC2"/>
        <w:rPr>
          <w:rFonts w:asciiTheme="minorHAnsi" w:eastAsiaTheme="minorEastAsia" w:hAnsiTheme="minorHAnsi" w:cstheme="minorBidi"/>
          <w:bCs w:val="0"/>
          <w:kern w:val="0"/>
          <w:szCs w:val="22"/>
        </w:rPr>
      </w:pPr>
      <w:hyperlink w:anchor="_Toc480552884" w:history="1">
        <w:r w:rsidR="006117BA" w:rsidRPr="00926038">
          <w:rPr>
            <w:rStyle w:val="Hyperlink"/>
          </w:rPr>
          <w:t>2.</w:t>
        </w:r>
        <w:r w:rsidR="006117BA">
          <w:rPr>
            <w:rFonts w:asciiTheme="minorHAnsi" w:eastAsiaTheme="minorEastAsia" w:hAnsiTheme="minorHAnsi" w:cstheme="minorBidi"/>
            <w:bCs w:val="0"/>
            <w:kern w:val="0"/>
            <w:szCs w:val="22"/>
          </w:rPr>
          <w:tab/>
        </w:r>
        <w:r w:rsidR="006117BA" w:rsidRPr="00926038">
          <w:rPr>
            <w:rStyle w:val="Hyperlink"/>
          </w:rPr>
          <w:t>Statistical Methodology</w:t>
        </w:r>
        <w:r w:rsidR="006117BA">
          <w:rPr>
            <w:webHidden/>
          </w:rPr>
          <w:tab/>
        </w:r>
        <w:r w:rsidR="006117BA">
          <w:rPr>
            <w:webHidden/>
          </w:rPr>
          <w:fldChar w:fldCharType="begin"/>
        </w:r>
        <w:r w:rsidR="006117BA">
          <w:rPr>
            <w:webHidden/>
          </w:rPr>
          <w:instrText xml:space="preserve"> PAGEREF _Toc480552884 \h </w:instrText>
        </w:r>
        <w:r w:rsidR="006117BA">
          <w:rPr>
            <w:webHidden/>
          </w:rPr>
        </w:r>
        <w:r w:rsidR="006117BA">
          <w:rPr>
            <w:webHidden/>
          </w:rPr>
          <w:fldChar w:fldCharType="separate"/>
        </w:r>
        <w:r w:rsidR="002A0082">
          <w:rPr>
            <w:webHidden/>
          </w:rPr>
          <w:t>2</w:t>
        </w:r>
        <w:r w:rsidR="006117BA">
          <w:rPr>
            <w:webHidden/>
          </w:rPr>
          <w:fldChar w:fldCharType="end"/>
        </w:r>
      </w:hyperlink>
    </w:p>
    <w:p w14:paraId="62B3CC9C" w14:textId="7DE34495" w:rsidR="006117BA" w:rsidRDefault="00A5324D" w:rsidP="00F62B26">
      <w:pPr>
        <w:pStyle w:val="TOC3"/>
        <w:rPr>
          <w:rFonts w:asciiTheme="minorHAnsi" w:eastAsiaTheme="minorEastAsia" w:hAnsiTheme="minorHAnsi" w:cstheme="minorBidi"/>
          <w:kern w:val="0"/>
          <w:szCs w:val="22"/>
        </w:rPr>
      </w:pPr>
      <w:hyperlink w:anchor="_Toc480552885" w:history="1">
        <w:r w:rsidR="006117BA" w:rsidRPr="00926038">
          <w:rPr>
            <w:rStyle w:val="Hyperlink"/>
          </w:rPr>
          <w:t>a.</w:t>
        </w:r>
        <w:r w:rsidR="006117BA">
          <w:rPr>
            <w:rFonts w:asciiTheme="minorHAnsi" w:eastAsiaTheme="minorEastAsia" w:hAnsiTheme="minorHAnsi" w:cstheme="minorBidi"/>
            <w:kern w:val="0"/>
            <w:szCs w:val="22"/>
          </w:rPr>
          <w:tab/>
        </w:r>
        <w:r w:rsidR="006117BA" w:rsidRPr="00926038">
          <w:rPr>
            <w:rStyle w:val="Hyperlink"/>
          </w:rPr>
          <w:t>Institution Sample</w:t>
        </w:r>
        <w:r w:rsidR="006117BA">
          <w:rPr>
            <w:webHidden/>
          </w:rPr>
          <w:tab/>
        </w:r>
        <w:r w:rsidR="006117BA">
          <w:rPr>
            <w:webHidden/>
          </w:rPr>
          <w:fldChar w:fldCharType="begin"/>
        </w:r>
        <w:r w:rsidR="006117BA">
          <w:rPr>
            <w:webHidden/>
          </w:rPr>
          <w:instrText xml:space="preserve"> PAGEREF _Toc480552885 \h </w:instrText>
        </w:r>
        <w:r w:rsidR="006117BA">
          <w:rPr>
            <w:webHidden/>
          </w:rPr>
        </w:r>
        <w:r w:rsidR="006117BA">
          <w:rPr>
            <w:webHidden/>
          </w:rPr>
          <w:fldChar w:fldCharType="separate"/>
        </w:r>
        <w:r w:rsidR="002A0082">
          <w:rPr>
            <w:webHidden/>
          </w:rPr>
          <w:t>2</w:t>
        </w:r>
        <w:r w:rsidR="006117BA">
          <w:rPr>
            <w:webHidden/>
          </w:rPr>
          <w:fldChar w:fldCharType="end"/>
        </w:r>
      </w:hyperlink>
    </w:p>
    <w:p w14:paraId="26BD5610" w14:textId="784A1D40" w:rsidR="006117BA" w:rsidRDefault="00A5324D" w:rsidP="00F62B26">
      <w:pPr>
        <w:pStyle w:val="TOC3"/>
        <w:rPr>
          <w:rFonts w:asciiTheme="minorHAnsi" w:eastAsiaTheme="minorEastAsia" w:hAnsiTheme="minorHAnsi" w:cstheme="minorBidi"/>
          <w:kern w:val="0"/>
          <w:szCs w:val="22"/>
        </w:rPr>
      </w:pPr>
      <w:hyperlink w:anchor="_Toc480552886" w:history="1">
        <w:r w:rsidR="006117BA" w:rsidRPr="00926038">
          <w:rPr>
            <w:rStyle w:val="Hyperlink"/>
          </w:rPr>
          <w:t>b.</w:t>
        </w:r>
        <w:r w:rsidR="006117BA">
          <w:rPr>
            <w:rFonts w:asciiTheme="minorHAnsi" w:eastAsiaTheme="minorEastAsia" w:hAnsiTheme="minorHAnsi" w:cstheme="minorBidi"/>
            <w:kern w:val="0"/>
            <w:szCs w:val="22"/>
          </w:rPr>
          <w:tab/>
        </w:r>
        <w:r w:rsidR="006117BA" w:rsidRPr="00926038">
          <w:rPr>
            <w:rStyle w:val="Hyperlink"/>
          </w:rPr>
          <w:t>Student Sample</w:t>
        </w:r>
        <w:r w:rsidR="006117BA">
          <w:rPr>
            <w:webHidden/>
          </w:rPr>
          <w:tab/>
        </w:r>
        <w:r w:rsidR="006117BA">
          <w:rPr>
            <w:webHidden/>
          </w:rPr>
          <w:fldChar w:fldCharType="begin"/>
        </w:r>
        <w:r w:rsidR="006117BA">
          <w:rPr>
            <w:webHidden/>
          </w:rPr>
          <w:instrText xml:space="preserve"> PAGEREF _Toc480552886 \h </w:instrText>
        </w:r>
        <w:r w:rsidR="006117BA">
          <w:rPr>
            <w:webHidden/>
          </w:rPr>
        </w:r>
        <w:r w:rsidR="006117BA">
          <w:rPr>
            <w:webHidden/>
          </w:rPr>
          <w:fldChar w:fldCharType="separate"/>
        </w:r>
        <w:r w:rsidR="002A0082">
          <w:rPr>
            <w:webHidden/>
          </w:rPr>
          <w:t>5</w:t>
        </w:r>
        <w:r w:rsidR="006117BA">
          <w:rPr>
            <w:webHidden/>
          </w:rPr>
          <w:fldChar w:fldCharType="end"/>
        </w:r>
      </w:hyperlink>
    </w:p>
    <w:p w14:paraId="489B720A" w14:textId="77CCC5FB" w:rsidR="006117BA" w:rsidRDefault="00A5324D" w:rsidP="00F62B26">
      <w:pPr>
        <w:pStyle w:val="TOC2"/>
        <w:rPr>
          <w:rFonts w:asciiTheme="minorHAnsi" w:eastAsiaTheme="minorEastAsia" w:hAnsiTheme="minorHAnsi" w:cstheme="minorBidi"/>
          <w:bCs w:val="0"/>
          <w:kern w:val="0"/>
          <w:szCs w:val="22"/>
        </w:rPr>
      </w:pPr>
      <w:hyperlink w:anchor="_Toc480552887" w:history="1">
        <w:r w:rsidR="006117BA" w:rsidRPr="00926038">
          <w:rPr>
            <w:rStyle w:val="Hyperlink"/>
          </w:rPr>
          <w:t>3.</w:t>
        </w:r>
        <w:r w:rsidR="006117BA">
          <w:rPr>
            <w:rFonts w:asciiTheme="minorHAnsi" w:eastAsiaTheme="minorEastAsia" w:hAnsiTheme="minorHAnsi" w:cstheme="minorBidi"/>
            <w:bCs w:val="0"/>
            <w:kern w:val="0"/>
            <w:szCs w:val="22"/>
          </w:rPr>
          <w:tab/>
        </w:r>
        <w:r w:rsidR="006117BA" w:rsidRPr="00926038">
          <w:rPr>
            <w:rStyle w:val="Hyperlink"/>
          </w:rPr>
          <w:t>Methods for Maximizing Response Rates</w:t>
        </w:r>
        <w:r w:rsidR="006117BA">
          <w:rPr>
            <w:webHidden/>
          </w:rPr>
          <w:tab/>
        </w:r>
        <w:r w:rsidR="006117BA">
          <w:rPr>
            <w:webHidden/>
          </w:rPr>
          <w:fldChar w:fldCharType="begin"/>
        </w:r>
        <w:r w:rsidR="006117BA">
          <w:rPr>
            <w:webHidden/>
          </w:rPr>
          <w:instrText xml:space="preserve"> PAGEREF _Toc480552887 \h </w:instrText>
        </w:r>
        <w:r w:rsidR="006117BA">
          <w:rPr>
            <w:webHidden/>
          </w:rPr>
        </w:r>
        <w:r w:rsidR="006117BA">
          <w:rPr>
            <w:webHidden/>
          </w:rPr>
          <w:fldChar w:fldCharType="separate"/>
        </w:r>
        <w:r w:rsidR="002A0082">
          <w:rPr>
            <w:webHidden/>
          </w:rPr>
          <w:t>8</w:t>
        </w:r>
        <w:r w:rsidR="006117BA">
          <w:rPr>
            <w:webHidden/>
          </w:rPr>
          <w:fldChar w:fldCharType="end"/>
        </w:r>
      </w:hyperlink>
    </w:p>
    <w:p w14:paraId="0E72B563" w14:textId="6FBB6D36" w:rsidR="006117BA" w:rsidRDefault="00A5324D" w:rsidP="00F62B26">
      <w:pPr>
        <w:pStyle w:val="TOC2"/>
        <w:rPr>
          <w:rFonts w:asciiTheme="minorHAnsi" w:eastAsiaTheme="minorEastAsia" w:hAnsiTheme="minorHAnsi" w:cstheme="minorBidi"/>
          <w:bCs w:val="0"/>
          <w:kern w:val="0"/>
          <w:szCs w:val="22"/>
        </w:rPr>
      </w:pPr>
      <w:hyperlink w:anchor="_Toc480552888" w:history="1">
        <w:r w:rsidR="006117BA" w:rsidRPr="00926038">
          <w:rPr>
            <w:rStyle w:val="Hyperlink"/>
          </w:rPr>
          <w:t>4.</w:t>
        </w:r>
        <w:r w:rsidR="006117BA">
          <w:rPr>
            <w:rFonts w:asciiTheme="minorHAnsi" w:eastAsiaTheme="minorEastAsia" w:hAnsiTheme="minorHAnsi" w:cstheme="minorBidi"/>
            <w:bCs w:val="0"/>
            <w:kern w:val="0"/>
            <w:szCs w:val="22"/>
          </w:rPr>
          <w:tab/>
        </w:r>
        <w:r w:rsidR="006117BA" w:rsidRPr="00926038">
          <w:rPr>
            <w:rStyle w:val="Hyperlink"/>
          </w:rPr>
          <w:t>Reviewing Statisticians and Individuals Responsible for Designing and Conducting the Study</w:t>
        </w:r>
        <w:r w:rsidR="006117BA">
          <w:rPr>
            <w:webHidden/>
          </w:rPr>
          <w:tab/>
        </w:r>
        <w:r w:rsidR="006117BA">
          <w:rPr>
            <w:webHidden/>
          </w:rPr>
          <w:fldChar w:fldCharType="begin"/>
        </w:r>
        <w:r w:rsidR="006117BA">
          <w:rPr>
            <w:webHidden/>
          </w:rPr>
          <w:instrText xml:space="preserve"> PAGEREF _Toc480552888 \h </w:instrText>
        </w:r>
        <w:r w:rsidR="006117BA">
          <w:rPr>
            <w:webHidden/>
          </w:rPr>
        </w:r>
        <w:r w:rsidR="006117BA">
          <w:rPr>
            <w:webHidden/>
          </w:rPr>
          <w:fldChar w:fldCharType="separate"/>
        </w:r>
        <w:r w:rsidR="002A0082">
          <w:rPr>
            <w:webHidden/>
          </w:rPr>
          <w:t>11</w:t>
        </w:r>
        <w:r w:rsidR="006117BA">
          <w:rPr>
            <w:webHidden/>
          </w:rPr>
          <w:fldChar w:fldCharType="end"/>
        </w:r>
      </w:hyperlink>
    </w:p>
    <w:p w14:paraId="4AB8970C" w14:textId="082F9CEB" w:rsidR="00372B92" w:rsidRPr="00372B92" w:rsidRDefault="00372B92" w:rsidP="00B57CD0">
      <w:pPr>
        <w:tabs>
          <w:tab w:val="left" w:pos="4374"/>
        </w:tabs>
      </w:pPr>
      <w:r w:rsidRPr="00372B92">
        <w:rPr>
          <w:noProof/>
        </w:rPr>
        <w:fldChar w:fldCharType="end"/>
      </w:r>
      <w:r w:rsidR="00FB60FB">
        <w:rPr>
          <w:noProof/>
        </w:rPr>
        <w:tab/>
      </w:r>
    </w:p>
    <w:p w14:paraId="377A12F1" w14:textId="5AAE53E2" w:rsidR="00372B92" w:rsidRPr="0095141E" w:rsidRDefault="00372B92" w:rsidP="00F62B26">
      <w:pPr>
        <w:pStyle w:val="TOCHeading"/>
        <w:spacing w:line="240" w:lineRule="auto"/>
      </w:pPr>
      <w:r w:rsidRPr="0095141E">
        <w:t>Tables</w:t>
      </w:r>
      <w:r w:rsidR="00DA771F">
        <w:t xml:space="preserve"> and Figures</w:t>
      </w:r>
    </w:p>
    <w:p w14:paraId="07BC9185" w14:textId="51D248FF" w:rsidR="005B1CB9" w:rsidRDefault="00372B92">
      <w:pPr>
        <w:pStyle w:val="TOC5"/>
        <w:rPr>
          <w:rFonts w:asciiTheme="minorHAnsi" w:eastAsiaTheme="minorEastAsia" w:hAnsiTheme="minorHAnsi" w:cstheme="minorBidi"/>
          <w:bCs w:val="0"/>
          <w:kern w:val="0"/>
          <w:szCs w:val="22"/>
        </w:rPr>
      </w:pPr>
      <w:r w:rsidRPr="00372B92">
        <w:rPr>
          <w:b/>
          <w:szCs w:val="24"/>
        </w:rPr>
        <w:fldChar w:fldCharType="begin"/>
      </w:r>
      <w:r w:rsidRPr="00372B92">
        <w:rPr>
          <w:b/>
          <w:szCs w:val="24"/>
        </w:rPr>
        <w:instrText xml:space="preserve"> TOC \t "Table Title,5" \h </w:instrText>
      </w:r>
      <w:r w:rsidRPr="00372B92">
        <w:rPr>
          <w:b/>
          <w:szCs w:val="24"/>
        </w:rPr>
        <w:fldChar w:fldCharType="separate"/>
      </w:r>
      <w:hyperlink w:anchor="_Toc503451218" w:history="1">
        <w:r w:rsidR="005B1CB9" w:rsidRPr="004303C4">
          <w:rPr>
            <w:rStyle w:val="Hyperlink"/>
          </w:rPr>
          <w:t>Table 1. NPSAS:18-AC institution sample sizes</w:t>
        </w:r>
        <w:r w:rsidR="005B1CB9">
          <w:tab/>
        </w:r>
        <w:r w:rsidR="005B1CB9">
          <w:fldChar w:fldCharType="begin"/>
        </w:r>
        <w:r w:rsidR="005B1CB9">
          <w:instrText xml:space="preserve"> PAGEREF _Toc503451218 \h </w:instrText>
        </w:r>
        <w:r w:rsidR="005B1CB9">
          <w:fldChar w:fldCharType="separate"/>
        </w:r>
        <w:r w:rsidR="002A0082">
          <w:t>4</w:t>
        </w:r>
        <w:r w:rsidR="005B1CB9">
          <w:fldChar w:fldCharType="end"/>
        </w:r>
      </w:hyperlink>
    </w:p>
    <w:p w14:paraId="682754C9" w14:textId="75CD8CF9" w:rsidR="005B1CB9" w:rsidRDefault="00A5324D">
      <w:pPr>
        <w:pStyle w:val="TOC5"/>
        <w:rPr>
          <w:rFonts w:asciiTheme="minorHAnsi" w:eastAsiaTheme="minorEastAsia" w:hAnsiTheme="minorHAnsi" w:cstheme="minorBidi"/>
          <w:bCs w:val="0"/>
          <w:kern w:val="0"/>
          <w:szCs w:val="22"/>
        </w:rPr>
      </w:pPr>
      <w:hyperlink w:anchor="_Toc503451219" w:history="1">
        <w:r w:rsidR="005B1CB9" w:rsidRPr="004303C4">
          <w:rPr>
            <w:rStyle w:val="Hyperlink"/>
          </w:rPr>
          <w:t>Table 2. NPSAS:18-AC estimated undergraduate-student sample sizes</w:t>
        </w:r>
        <w:r w:rsidR="005B1CB9">
          <w:tab/>
        </w:r>
        <w:r w:rsidR="005B1CB9">
          <w:fldChar w:fldCharType="begin"/>
        </w:r>
        <w:r w:rsidR="005B1CB9">
          <w:instrText xml:space="preserve"> PAGEREF _Toc503451219 \h </w:instrText>
        </w:r>
        <w:r w:rsidR="005B1CB9">
          <w:fldChar w:fldCharType="separate"/>
        </w:r>
        <w:r w:rsidR="002A0082">
          <w:t>6</w:t>
        </w:r>
        <w:r w:rsidR="005B1CB9">
          <w:fldChar w:fldCharType="end"/>
        </w:r>
      </w:hyperlink>
    </w:p>
    <w:p w14:paraId="47EC8912" w14:textId="3A122A15" w:rsidR="005B1CB9" w:rsidRDefault="00A5324D">
      <w:pPr>
        <w:pStyle w:val="TOC5"/>
        <w:rPr>
          <w:rFonts w:asciiTheme="minorHAnsi" w:eastAsiaTheme="minorEastAsia" w:hAnsiTheme="minorHAnsi" w:cstheme="minorBidi"/>
          <w:bCs w:val="0"/>
          <w:kern w:val="0"/>
          <w:szCs w:val="22"/>
        </w:rPr>
      </w:pPr>
      <w:hyperlink w:anchor="_Toc503451220" w:history="1">
        <w:r w:rsidR="005B1CB9" w:rsidRPr="004303C4">
          <w:rPr>
            <w:rStyle w:val="Hyperlink"/>
          </w:rPr>
          <w:t>Table 3. NPSAS:18-AC estimated graduate-student sample sizes</w:t>
        </w:r>
        <w:r w:rsidR="005B1CB9">
          <w:tab/>
        </w:r>
        <w:r w:rsidR="005B1CB9">
          <w:fldChar w:fldCharType="begin"/>
        </w:r>
        <w:r w:rsidR="005B1CB9">
          <w:instrText xml:space="preserve"> PAGEREF _Toc503451220 \h </w:instrText>
        </w:r>
        <w:r w:rsidR="005B1CB9">
          <w:fldChar w:fldCharType="separate"/>
        </w:r>
        <w:r w:rsidR="002A0082">
          <w:t>7</w:t>
        </w:r>
        <w:r w:rsidR="005B1CB9">
          <w:fldChar w:fldCharType="end"/>
        </w:r>
      </w:hyperlink>
    </w:p>
    <w:p w14:paraId="58536083" w14:textId="501AF5F8" w:rsidR="005B1CB9" w:rsidRDefault="00A5324D">
      <w:pPr>
        <w:pStyle w:val="TOC5"/>
        <w:rPr>
          <w:rFonts w:asciiTheme="minorHAnsi" w:eastAsiaTheme="minorEastAsia" w:hAnsiTheme="minorHAnsi" w:cstheme="minorBidi"/>
          <w:bCs w:val="0"/>
          <w:kern w:val="0"/>
          <w:szCs w:val="22"/>
        </w:rPr>
      </w:pPr>
      <w:hyperlink w:anchor="_Toc503451221" w:history="1">
        <w:r w:rsidR="005B1CB9" w:rsidRPr="004303C4">
          <w:rPr>
            <w:rStyle w:val="Hyperlink"/>
          </w:rPr>
          <w:t>Figure 1. Flow chart of institutional contacting activities</w:t>
        </w:r>
        <w:r w:rsidR="005B1CB9">
          <w:tab/>
        </w:r>
        <w:r w:rsidR="005B1CB9">
          <w:fldChar w:fldCharType="begin"/>
        </w:r>
        <w:r w:rsidR="005B1CB9">
          <w:instrText xml:space="preserve"> PAGEREF _Toc503451221 \h </w:instrText>
        </w:r>
        <w:r w:rsidR="005B1CB9">
          <w:fldChar w:fldCharType="separate"/>
        </w:r>
        <w:r w:rsidR="002A0082">
          <w:t>9</w:t>
        </w:r>
        <w:r w:rsidR="005B1CB9">
          <w:fldChar w:fldCharType="end"/>
        </w:r>
      </w:hyperlink>
    </w:p>
    <w:p w14:paraId="11AA6DCA" w14:textId="51C47F20" w:rsidR="005B1CB9" w:rsidRDefault="00A5324D">
      <w:pPr>
        <w:pStyle w:val="TOC5"/>
        <w:rPr>
          <w:rFonts w:asciiTheme="minorHAnsi" w:eastAsiaTheme="minorEastAsia" w:hAnsiTheme="minorHAnsi" w:cstheme="minorBidi"/>
          <w:bCs w:val="0"/>
          <w:kern w:val="0"/>
          <w:szCs w:val="22"/>
        </w:rPr>
      </w:pPr>
      <w:hyperlink w:anchor="_Toc503451222" w:history="1">
        <w:r w:rsidR="005B1CB9" w:rsidRPr="004303C4">
          <w:rPr>
            <w:rStyle w:val="Hyperlink"/>
          </w:rPr>
          <w:t>Figure 2. NPSAS:18-AC, BPS:12, and HSLS:09 PETS data collection overlap</w:t>
        </w:r>
        <w:r w:rsidR="005B1CB9">
          <w:tab/>
        </w:r>
        <w:r w:rsidR="005B1CB9">
          <w:fldChar w:fldCharType="begin"/>
        </w:r>
        <w:r w:rsidR="005B1CB9">
          <w:instrText xml:space="preserve"> PAGEREF _Toc503451222 \h </w:instrText>
        </w:r>
        <w:r w:rsidR="005B1CB9">
          <w:fldChar w:fldCharType="separate"/>
        </w:r>
        <w:r w:rsidR="002A0082">
          <w:t>10</w:t>
        </w:r>
        <w:r w:rsidR="005B1CB9">
          <w:fldChar w:fldCharType="end"/>
        </w:r>
      </w:hyperlink>
    </w:p>
    <w:p w14:paraId="7A9A1A23" w14:textId="31BF0200" w:rsidR="00C84D84" w:rsidRDefault="00372B92" w:rsidP="00C84D84">
      <w:pPr>
        <w:tabs>
          <w:tab w:val="left" w:pos="1179"/>
          <w:tab w:val="right" w:leader="dot" w:pos="10224"/>
        </w:tabs>
        <w:spacing w:before="120" w:after="120"/>
        <w:ind w:left="1179" w:right="778" w:hanging="819"/>
        <w:rPr>
          <w:bCs/>
          <w:noProof/>
          <w:sz w:val="22"/>
        </w:rPr>
      </w:pPr>
      <w:r w:rsidRPr="00372B92">
        <w:rPr>
          <w:bCs/>
          <w:noProof/>
          <w:sz w:val="22"/>
        </w:rPr>
        <w:fldChar w:fldCharType="end"/>
      </w:r>
      <w:r w:rsidR="00C84D84">
        <w:rPr>
          <w:bCs/>
          <w:noProof/>
          <w:sz w:val="22"/>
        </w:rPr>
        <w:br w:type="page"/>
      </w:r>
    </w:p>
    <w:p w14:paraId="1EA4126F" w14:textId="6AB23B52" w:rsidR="002770D7" w:rsidRDefault="002770D7" w:rsidP="00C620CB">
      <w:pPr>
        <w:pStyle w:val="Heading1"/>
      </w:pPr>
      <w:bookmarkStart w:id="2" w:name="_Toc480552880"/>
      <w:r w:rsidRPr="0057105F">
        <w:lastRenderedPageBreak/>
        <w:t>Collection of Information Employing Statistical Methods</w:t>
      </w:r>
      <w:bookmarkEnd w:id="0"/>
      <w:bookmarkEnd w:id="2"/>
    </w:p>
    <w:p w14:paraId="47E52715" w14:textId="7F544F77" w:rsidR="00F66CB3" w:rsidRDefault="008E4476" w:rsidP="00C620CB">
      <w:pPr>
        <w:pStyle w:val="BodyText"/>
        <w:spacing w:before="0" w:line="240" w:lineRule="auto"/>
        <w:ind w:firstLine="0"/>
        <w:rPr>
          <w:kern w:val="0"/>
        </w:rPr>
      </w:pPr>
      <w:bookmarkStart w:id="3" w:name="_Toc255305795"/>
      <w:bookmarkStart w:id="4" w:name="_Toc255888271"/>
      <w:bookmarkStart w:id="5" w:name="_Toc380505275"/>
      <w:bookmarkStart w:id="6" w:name="_Toc381969055"/>
      <w:r w:rsidRPr="00A5283E">
        <w:rPr>
          <w:kern w:val="0"/>
        </w:rPr>
        <w:t xml:space="preserve">This submission requests clearance for the </w:t>
      </w:r>
      <w:r>
        <w:rPr>
          <w:kern w:val="0"/>
        </w:rPr>
        <w:t>2017</w:t>
      </w:r>
      <w:r w:rsidR="003043DF">
        <w:rPr>
          <w:kern w:val="0"/>
        </w:rPr>
        <w:t>–</w:t>
      </w:r>
      <w:r>
        <w:rPr>
          <w:kern w:val="0"/>
        </w:rPr>
        <w:t>18</w:t>
      </w:r>
      <w:r w:rsidRPr="00A5283E">
        <w:rPr>
          <w:kern w:val="0"/>
        </w:rPr>
        <w:t xml:space="preserve"> National Postsecondary Student Aid Study</w:t>
      </w:r>
      <w:r>
        <w:rPr>
          <w:kern w:val="0"/>
        </w:rPr>
        <w:t xml:space="preserve"> Administrative Collection</w:t>
      </w:r>
      <w:r w:rsidRPr="00A5283E">
        <w:rPr>
          <w:kern w:val="0"/>
        </w:rPr>
        <w:t xml:space="preserve"> (NPSAS:</w:t>
      </w:r>
      <w:r>
        <w:rPr>
          <w:kern w:val="0"/>
        </w:rPr>
        <w:t>18-AC</w:t>
      </w:r>
      <w:r w:rsidRPr="00A5283E">
        <w:rPr>
          <w:kern w:val="0"/>
        </w:rPr>
        <w:t>). Specific plans are provided below.</w:t>
      </w:r>
      <w:bookmarkStart w:id="7" w:name="_Toc480552881"/>
    </w:p>
    <w:p w14:paraId="71FCFA0F" w14:textId="51C2048C" w:rsidR="00045E1F" w:rsidRPr="002277CD" w:rsidRDefault="00045E1F" w:rsidP="00C620CB">
      <w:pPr>
        <w:pStyle w:val="Heading2"/>
        <w:spacing w:line="240" w:lineRule="auto"/>
      </w:pPr>
      <w:r w:rsidRPr="002277CD">
        <w:t>Respondent Universe</w:t>
      </w:r>
      <w:bookmarkEnd w:id="3"/>
      <w:bookmarkEnd w:id="4"/>
      <w:bookmarkEnd w:id="5"/>
      <w:bookmarkEnd w:id="6"/>
      <w:bookmarkEnd w:id="7"/>
    </w:p>
    <w:p w14:paraId="111200A5" w14:textId="3B7C16B3" w:rsidR="00045E1F" w:rsidRPr="00407556" w:rsidRDefault="00045E1F" w:rsidP="00C620CB">
      <w:pPr>
        <w:pStyle w:val="Heading3"/>
        <w:spacing w:before="0" w:line="240" w:lineRule="auto"/>
      </w:pPr>
      <w:bookmarkStart w:id="8" w:name="_Toc255305796"/>
      <w:bookmarkStart w:id="9" w:name="_Toc255888272"/>
      <w:bookmarkStart w:id="10" w:name="_Toc380505276"/>
      <w:bookmarkStart w:id="11" w:name="_Toc381969056"/>
      <w:bookmarkStart w:id="12" w:name="_Toc480552882"/>
      <w:r w:rsidRPr="00407556">
        <w:t>Institution Universe</w:t>
      </w:r>
      <w:bookmarkEnd w:id="8"/>
      <w:bookmarkEnd w:id="9"/>
      <w:bookmarkEnd w:id="10"/>
      <w:bookmarkEnd w:id="11"/>
      <w:bookmarkEnd w:id="12"/>
    </w:p>
    <w:p w14:paraId="2D852735" w14:textId="57CC1C71" w:rsidR="008E4476" w:rsidRDefault="008E4476" w:rsidP="00F776C1">
      <w:pPr>
        <w:pStyle w:val="BodyText"/>
        <w:spacing w:before="0" w:after="40" w:line="240" w:lineRule="auto"/>
        <w:ind w:firstLine="0"/>
      </w:pPr>
      <w:bookmarkStart w:id="13" w:name="_Toc255305797"/>
      <w:bookmarkStart w:id="14" w:name="_Toc255888273"/>
      <w:bookmarkStart w:id="15" w:name="_Toc380505277"/>
      <w:bookmarkStart w:id="16" w:name="_Toc381969057"/>
      <w:r w:rsidRPr="008A671D">
        <w:t>To be eligible for NPSAS:</w:t>
      </w:r>
      <w:r>
        <w:t>18-AC</w:t>
      </w:r>
      <w:r w:rsidRPr="008A671D">
        <w:t xml:space="preserve">, an institution </w:t>
      </w:r>
      <w:r w:rsidR="003043DF">
        <w:t xml:space="preserve">must </w:t>
      </w:r>
      <w:r w:rsidR="00F2033D">
        <w:t xml:space="preserve">meet the following requirements </w:t>
      </w:r>
      <w:r w:rsidRPr="008A671D">
        <w:t xml:space="preserve">during the </w:t>
      </w:r>
      <w:r>
        <w:t>2017</w:t>
      </w:r>
      <w:r w:rsidR="003043DF">
        <w:t>–</w:t>
      </w:r>
      <w:r>
        <w:t>18</w:t>
      </w:r>
      <w:r w:rsidRPr="008A671D">
        <w:t xml:space="preserve"> academic year</w:t>
      </w:r>
      <w:r w:rsidR="003043DF">
        <w:t>:</w:t>
      </w:r>
    </w:p>
    <w:p w14:paraId="683DE24F" w14:textId="72BEA990" w:rsidR="008E4476" w:rsidRPr="00EA5B3F" w:rsidRDefault="003043DF" w:rsidP="00F776C1">
      <w:pPr>
        <w:pStyle w:val="bulletround"/>
        <w:spacing w:after="40" w:line="240" w:lineRule="auto"/>
      </w:pPr>
      <w:r>
        <w:t>o</w:t>
      </w:r>
      <w:r w:rsidR="008E4476" w:rsidRPr="00EA5B3F">
        <w:t xml:space="preserve">ffer an educational program designed for persons who </w:t>
      </w:r>
      <w:r w:rsidR="008E4476">
        <w:t>have</w:t>
      </w:r>
      <w:r w:rsidR="008E4476" w:rsidRPr="00EA5B3F">
        <w:t xml:space="preserve"> completed secondary education;</w:t>
      </w:r>
    </w:p>
    <w:p w14:paraId="291FEA89" w14:textId="5CC052A3" w:rsidR="008E4476" w:rsidRPr="00730A06" w:rsidRDefault="003043DF" w:rsidP="00F776C1">
      <w:pPr>
        <w:pStyle w:val="bulletround"/>
        <w:spacing w:after="40" w:line="240" w:lineRule="auto"/>
      </w:pPr>
      <w:r>
        <w:t>o</w:t>
      </w:r>
      <w:r w:rsidR="008E4476" w:rsidRPr="00730A06">
        <w:t>ffer at least one academic, occupational, or vocational program of study lasting at least 3 months or 300 clock hours;</w:t>
      </w:r>
    </w:p>
    <w:p w14:paraId="48754A95" w14:textId="083E3E2B" w:rsidR="008E4476" w:rsidRPr="008A671D" w:rsidRDefault="003043DF" w:rsidP="00F776C1">
      <w:pPr>
        <w:pStyle w:val="bulletround"/>
        <w:spacing w:after="40" w:line="240" w:lineRule="auto"/>
      </w:pPr>
      <w:r>
        <w:t>o</w:t>
      </w:r>
      <w:r w:rsidR="008E4476" w:rsidRPr="008A671D">
        <w:t>ffer courses that are open to more than the employees or members of the company or group (e.g., union) that administered the institution;</w:t>
      </w:r>
    </w:p>
    <w:p w14:paraId="56BB148A" w14:textId="607983B6" w:rsidR="008E4476" w:rsidRPr="008A671D" w:rsidRDefault="003043DF" w:rsidP="00F776C1">
      <w:pPr>
        <w:pStyle w:val="bulletround"/>
        <w:spacing w:after="40" w:line="240" w:lineRule="auto"/>
      </w:pPr>
      <w:r>
        <w:t>b</w:t>
      </w:r>
      <w:r w:rsidR="008E4476" w:rsidRPr="008A671D">
        <w:t xml:space="preserve">e located in </w:t>
      </w:r>
      <w:r w:rsidR="00FC5690">
        <w:t xml:space="preserve">at least one of </w:t>
      </w:r>
      <w:r w:rsidR="008E4476" w:rsidRPr="008A671D">
        <w:t>the 50 states, the District of Columbia, or Puerto Rico;</w:t>
      </w:r>
    </w:p>
    <w:p w14:paraId="620FC6E0" w14:textId="79C4C791" w:rsidR="008E4476" w:rsidRPr="008A671D" w:rsidRDefault="003043DF" w:rsidP="00F776C1">
      <w:pPr>
        <w:pStyle w:val="bulletround"/>
        <w:spacing w:after="40" w:line="240" w:lineRule="auto"/>
      </w:pPr>
      <w:r>
        <w:t>b</w:t>
      </w:r>
      <w:r w:rsidR="008E4476" w:rsidRPr="008A671D">
        <w:t xml:space="preserve">e other than a U.S. </w:t>
      </w:r>
      <w:r>
        <w:t>s</w:t>
      </w:r>
      <w:r w:rsidRPr="008A671D">
        <w:t xml:space="preserve">ervice </w:t>
      </w:r>
      <w:r>
        <w:t>a</w:t>
      </w:r>
      <w:r w:rsidR="008E4476" w:rsidRPr="008A671D">
        <w:t>cademy; and</w:t>
      </w:r>
    </w:p>
    <w:p w14:paraId="124D69ED" w14:textId="096836E4" w:rsidR="008E4476" w:rsidRPr="008A671D" w:rsidRDefault="003043DF" w:rsidP="00C620CB">
      <w:pPr>
        <w:pStyle w:val="bulletround"/>
        <w:spacing w:after="120" w:line="240" w:lineRule="auto"/>
      </w:pPr>
      <w:r>
        <w:t>h</w:t>
      </w:r>
      <w:r w:rsidRPr="008A671D">
        <w:t xml:space="preserve">ave </w:t>
      </w:r>
      <w:r w:rsidR="008E4476" w:rsidRPr="008A671D">
        <w:t>a signed Title IV participation agreement with the U.S. Department of Education.</w:t>
      </w:r>
    </w:p>
    <w:p w14:paraId="3EE567D0" w14:textId="0EF08EA8" w:rsidR="008E4476" w:rsidRPr="008A671D" w:rsidRDefault="008E4476" w:rsidP="00C620CB">
      <w:pPr>
        <w:pStyle w:val="BodyText"/>
        <w:spacing w:before="0" w:line="240" w:lineRule="auto"/>
        <w:ind w:firstLine="0"/>
      </w:pPr>
      <w:r w:rsidRPr="008A671D">
        <w:t xml:space="preserve">Institutions providing only avocational, recreational, or remedial courses or only in-house courses for their own employees will be excluded. The </w:t>
      </w:r>
      <w:r>
        <w:t>seven</w:t>
      </w:r>
      <w:r w:rsidRPr="008A671D">
        <w:t xml:space="preserve"> U.S. </w:t>
      </w:r>
      <w:r w:rsidR="003043DF">
        <w:t>s</w:t>
      </w:r>
      <w:r w:rsidR="003043DF" w:rsidRPr="008A671D">
        <w:t xml:space="preserve">ervice </w:t>
      </w:r>
      <w:r w:rsidR="003043DF">
        <w:t>a</w:t>
      </w:r>
      <w:r w:rsidRPr="008A671D">
        <w:t>cademies</w:t>
      </w:r>
      <w:r w:rsidR="00B920BE">
        <w:rPr>
          <w:rStyle w:val="FootnoteReference"/>
        </w:rPr>
        <w:footnoteReference w:id="2"/>
      </w:r>
      <w:r w:rsidRPr="008A671D">
        <w:t xml:space="preserve"> are excluded because of their unique funding/tuition base.</w:t>
      </w:r>
    </w:p>
    <w:p w14:paraId="18D587B9" w14:textId="77777777" w:rsidR="00045E1F" w:rsidRPr="00E65976" w:rsidRDefault="00045E1F" w:rsidP="00C620CB">
      <w:pPr>
        <w:pStyle w:val="Heading3"/>
        <w:spacing w:before="0" w:line="240" w:lineRule="auto"/>
      </w:pPr>
      <w:bookmarkStart w:id="17" w:name="_Toc480552883"/>
      <w:r w:rsidRPr="00E65976">
        <w:t>Student Universe</w:t>
      </w:r>
      <w:bookmarkEnd w:id="13"/>
      <w:bookmarkEnd w:id="14"/>
      <w:bookmarkEnd w:id="15"/>
      <w:bookmarkEnd w:id="16"/>
      <w:bookmarkEnd w:id="17"/>
    </w:p>
    <w:p w14:paraId="402D109C" w14:textId="00A15EC6" w:rsidR="008E4476" w:rsidRDefault="008E4476" w:rsidP="00C620CB">
      <w:pPr>
        <w:pStyle w:val="BodyText"/>
        <w:spacing w:before="0" w:after="60" w:line="240" w:lineRule="auto"/>
        <w:ind w:firstLine="0"/>
      </w:pPr>
      <w:bookmarkStart w:id="18" w:name="_Toc255305798"/>
      <w:bookmarkStart w:id="19" w:name="_Toc255888274"/>
      <w:bookmarkStart w:id="20" w:name="_Toc380505278"/>
      <w:bookmarkStart w:id="21" w:name="_Toc381969058"/>
      <w:r w:rsidRPr="008A671D">
        <w:t>The students eligible for inclusion in the NPSAS:</w:t>
      </w:r>
      <w:r>
        <w:t>18-AC</w:t>
      </w:r>
      <w:r w:rsidRPr="008A671D">
        <w:t xml:space="preserve"> sample are those who are enrolled in a NPSAS-eligible institution in any term or course of instruction between July 1, 201</w:t>
      </w:r>
      <w:r>
        <w:t>7</w:t>
      </w:r>
      <w:r w:rsidRPr="008A671D">
        <w:t xml:space="preserve"> and April 30, 201</w:t>
      </w:r>
      <w:r>
        <w:t>8</w:t>
      </w:r>
      <w:r w:rsidRPr="008A671D">
        <w:t xml:space="preserve"> who are</w:t>
      </w:r>
    </w:p>
    <w:p w14:paraId="2917AD6C" w14:textId="21778FEB" w:rsidR="00C620CB" w:rsidRDefault="00E41DD8" w:rsidP="00F776C1">
      <w:pPr>
        <w:pStyle w:val="bulletround"/>
        <w:spacing w:after="40" w:line="240" w:lineRule="auto"/>
      </w:pPr>
      <w:r>
        <w:t>e</w:t>
      </w:r>
      <w:r w:rsidRPr="008A671D">
        <w:t xml:space="preserve">nrolled </w:t>
      </w:r>
      <w:r w:rsidR="008E4476" w:rsidRPr="008A671D">
        <w:t>in (</w:t>
      </w:r>
      <w:r>
        <w:t>1</w:t>
      </w:r>
      <w:r w:rsidR="008E4476" w:rsidRPr="008A671D">
        <w:t>)</w:t>
      </w:r>
      <w:r w:rsidR="008E4476">
        <w:t> </w:t>
      </w:r>
      <w:r w:rsidR="008E4476" w:rsidRPr="008A671D">
        <w:t>an academic program; (</w:t>
      </w:r>
      <w:r>
        <w:t>2</w:t>
      </w:r>
      <w:r w:rsidR="008E4476" w:rsidRPr="008A671D">
        <w:t>)</w:t>
      </w:r>
      <w:r w:rsidR="008E4476">
        <w:t> </w:t>
      </w:r>
      <w:r w:rsidR="008E4476" w:rsidRPr="008A671D">
        <w:t>at least one course for credit that could be applied toward fulfilling the requirements for an academic degree; (</w:t>
      </w:r>
      <w:r>
        <w:t>3</w:t>
      </w:r>
      <w:r w:rsidR="008E4476" w:rsidRPr="008A671D">
        <w:t xml:space="preserve">) exclusively noncredit remedial coursework but who the institution has determined are eligible for Title IV aid; </w:t>
      </w:r>
      <w:r w:rsidR="008E4476" w:rsidRPr="008A671D">
        <w:rPr>
          <w:i/>
        </w:rPr>
        <w:t>or</w:t>
      </w:r>
      <w:r w:rsidR="008E4476" w:rsidRPr="008A671D">
        <w:t> (</w:t>
      </w:r>
      <w:r>
        <w:t>4</w:t>
      </w:r>
      <w:r w:rsidR="008E4476" w:rsidRPr="008A671D">
        <w:t>) an occupational or vocational program that require</w:t>
      </w:r>
      <w:r w:rsidR="00FC5690">
        <w:t>s</w:t>
      </w:r>
      <w:r w:rsidR="008E4476" w:rsidRPr="008A671D">
        <w:t xml:space="preserve"> at least 3 months or 300 clock hours of instruction to receive a degree, certificate, or other formal award;</w:t>
      </w:r>
    </w:p>
    <w:p w14:paraId="6FE077B7" w14:textId="2EB32177" w:rsidR="008E4476" w:rsidRPr="008A671D" w:rsidRDefault="00E41DD8" w:rsidP="00F776C1">
      <w:pPr>
        <w:pStyle w:val="bulletround"/>
        <w:spacing w:after="40" w:line="240" w:lineRule="auto"/>
      </w:pPr>
      <w:r>
        <w:t>n</w:t>
      </w:r>
      <w:r w:rsidRPr="008A671D">
        <w:t xml:space="preserve">ot </w:t>
      </w:r>
      <w:r w:rsidR="008E4476" w:rsidRPr="008A671D">
        <w:t xml:space="preserve">currently enrolled in high school; </w:t>
      </w:r>
      <w:r w:rsidR="008E4476" w:rsidRPr="00FC5690">
        <w:rPr>
          <w:i/>
        </w:rPr>
        <w:t>and</w:t>
      </w:r>
    </w:p>
    <w:p w14:paraId="115DA8CF" w14:textId="35E71BCA" w:rsidR="008E4476" w:rsidRPr="008A671D" w:rsidRDefault="00E41DD8" w:rsidP="00C620CB">
      <w:pPr>
        <w:pStyle w:val="bulletround"/>
        <w:spacing w:after="120" w:line="240" w:lineRule="auto"/>
      </w:pPr>
      <w:r>
        <w:t>n</w:t>
      </w:r>
      <w:r w:rsidR="008E4476" w:rsidRPr="008A671D">
        <w:t xml:space="preserve">ot enrolled </w:t>
      </w:r>
      <w:r w:rsidR="008E4476" w:rsidRPr="008A671D">
        <w:rPr>
          <w:i/>
          <w:iCs/>
        </w:rPr>
        <w:t>solely</w:t>
      </w:r>
      <w:r w:rsidR="008E4476" w:rsidRPr="008A671D">
        <w:t xml:space="preserve"> in a high school </w:t>
      </w:r>
      <w:r w:rsidR="0054118B">
        <w:t>equivalency</w:t>
      </w:r>
      <w:r w:rsidR="0054118B" w:rsidRPr="008A671D">
        <w:t xml:space="preserve"> </w:t>
      </w:r>
      <w:r w:rsidR="008E4476" w:rsidRPr="008A671D">
        <w:t>program.</w:t>
      </w:r>
    </w:p>
    <w:p w14:paraId="76049B2C" w14:textId="77777777" w:rsidR="00045E1F" w:rsidRPr="002277CD" w:rsidRDefault="00045E1F" w:rsidP="00C620CB">
      <w:pPr>
        <w:pStyle w:val="Heading2"/>
        <w:spacing w:line="240" w:lineRule="auto"/>
      </w:pPr>
      <w:bookmarkStart w:id="22" w:name="_Toc480552884"/>
      <w:r w:rsidRPr="002277CD">
        <w:t>Statistical Methodology</w:t>
      </w:r>
      <w:bookmarkEnd w:id="18"/>
      <w:bookmarkEnd w:id="19"/>
      <w:bookmarkEnd w:id="20"/>
      <w:bookmarkEnd w:id="21"/>
      <w:bookmarkEnd w:id="22"/>
    </w:p>
    <w:p w14:paraId="29C1E850" w14:textId="55B31F8E" w:rsidR="00045E1F" w:rsidRPr="00CB208E" w:rsidRDefault="00045E1F" w:rsidP="00C620CB">
      <w:pPr>
        <w:pStyle w:val="Heading3"/>
        <w:spacing w:before="0" w:line="240" w:lineRule="auto"/>
      </w:pPr>
      <w:bookmarkStart w:id="23" w:name="_Toc255305799"/>
      <w:bookmarkStart w:id="24" w:name="_Toc255888275"/>
      <w:bookmarkStart w:id="25" w:name="_Toc380505279"/>
      <w:bookmarkStart w:id="26" w:name="_Toc381969059"/>
      <w:bookmarkStart w:id="27" w:name="_Toc480552885"/>
      <w:r w:rsidRPr="00CB208E">
        <w:t>Institution Sample</w:t>
      </w:r>
      <w:bookmarkEnd w:id="23"/>
      <w:bookmarkEnd w:id="24"/>
      <w:bookmarkEnd w:id="25"/>
      <w:bookmarkEnd w:id="26"/>
      <w:bookmarkEnd w:id="27"/>
    </w:p>
    <w:p w14:paraId="6207F298" w14:textId="77777777" w:rsidR="00C620CB" w:rsidRDefault="008E4476" w:rsidP="00C620CB">
      <w:pPr>
        <w:pStyle w:val="BodyText"/>
        <w:spacing w:before="0" w:line="240" w:lineRule="auto"/>
        <w:ind w:firstLine="0"/>
      </w:pPr>
      <w:bookmarkStart w:id="28" w:name="_Toc254356386"/>
      <w:bookmarkStart w:id="29" w:name="_Toc255888153"/>
      <w:bookmarkStart w:id="30" w:name="_Toc255305800"/>
      <w:bookmarkStart w:id="31" w:name="_Toc255888276"/>
      <w:bookmarkStart w:id="32" w:name="_Toc380505280"/>
      <w:bookmarkStart w:id="33" w:name="_Toc381969060"/>
      <w:r>
        <w:t>The NPSAS:18-AC institution sampling frame will be constructed from the Integrated Postsecondary Education Data System (IPEDS) 2016</w:t>
      </w:r>
      <w:r w:rsidR="003043DF">
        <w:t>–</w:t>
      </w:r>
      <w:r>
        <w:t>17 Header and Institutional Characteristics (IC) files, and 2015</w:t>
      </w:r>
      <w:r w:rsidR="003043DF">
        <w:t>–</w:t>
      </w:r>
      <w:r>
        <w:t xml:space="preserve">16 </w:t>
      </w:r>
      <w:r w:rsidR="005A65CA">
        <w:t>12-month</w:t>
      </w:r>
      <w:r>
        <w:t xml:space="preserve"> Enrollment file.</w:t>
      </w:r>
      <w:r>
        <w:rPr>
          <w:rStyle w:val="FootnoteReference"/>
        </w:rPr>
        <w:footnoteReference w:id="3"/>
      </w:r>
    </w:p>
    <w:p w14:paraId="28290974" w14:textId="1ECB9942" w:rsidR="00C620CB" w:rsidRDefault="008E4476" w:rsidP="00C620CB">
      <w:pPr>
        <w:pStyle w:val="BodyText"/>
        <w:spacing w:before="0" w:line="240" w:lineRule="auto"/>
        <w:ind w:firstLine="0"/>
      </w:pPr>
      <w:r>
        <w:t xml:space="preserve">Several for-profit institutions and large chains of for-profit institutions, such as ITT Technical Institute campuses, have been closed or sold recently. </w:t>
      </w:r>
      <w:r w:rsidR="00C92B95">
        <w:t>During construction</w:t>
      </w:r>
      <w:r w:rsidR="009B7474">
        <w:t xml:space="preserve"> </w:t>
      </w:r>
      <w:r w:rsidR="00494F73">
        <w:t>of the</w:t>
      </w:r>
      <w:r w:rsidR="00C92B95">
        <w:t xml:space="preserve"> institution</w:t>
      </w:r>
      <w:r>
        <w:t xml:space="preserve"> sampling frame, </w:t>
      </w:r>
      <w:r w:rsidR="00D91DE7">
        <w:t xml:space="preserve">survey staff </w:t>
      </w:r>
      <w:r>
        <w:t xml:space="preserve">will </w:t>
      </w:r>
      <w:r w:rsidR="00045D04">
        <w:t xml:space="preserve">use all available resources to </w:t>
      </w:r>
      <w:r>
        <w:t>identify institutions that are still in IPEDS but are no longer eligible for NPSAS:18-AC due to closure</w:t>
      </w:r>
      <w:r w:rsidR="00045D04">
        <w:t xml:space="preserve"> and will exclude these institutions from the </w:t>
      </w:r>
      <w:r w:rsidR="00C92B95">
        <w:t xml:space="preserve">institution </w:t>
      </w:r>
      <w:r w:rsidR="00045D04">
        <w:t>sampling frame</w:t>
      </w:r>
      <w:r w:rsidR="003A369F">
        <w:t>.</w:t>
      </w:r>
    </w:p>
    <w:p w14:paraId="7C0C5784" w14:textId="77777777" w:rsidR="00C620CB" w:rsidRDefault="008E4476" w:rsidP="00C620CB">
      <w:pPr>
        <w:pStyle w:val="BodyText"/>
        <w:widowControl w:val="0"/>
        <w:spacing w:before="0" w:line="240" w:lineRule="auto"/>
        <w:ind w:firstLine="0"/>
      </w:pPr>
      <w:r>
        <w:t xml:space="preserve">For the small number of institutions </w:t>
      </w:r>
      <w:r w:rsidR="00C92B95">
        <w:t xml:space="preserve">in </w:t>
      </w:r>
      <w:r>
        <w:t xml:space="preserve">the frame that have missing enrollment information, </w:t>
      </w:r>
      <w:r w:rsidR="00D91DE7">
        <w:t xml:space="preserve">survey staff </w:t>
      </w:r>
      <w:r>
        <w:t xml:space="preserve">will </w:t>
      </w:r>
      <w:r>
        <w:lastRenderedPageBreak/>
        <w:t>impute the data using the latest IPEDS imputation procedures to guarantee complete data for the frame.</w:t>
      </w:r>
    </w:p>
    <w:p w14:paraId="68DDE28E" w14:textId="495C7BF6" w:rsidR="008E4476" w:rsidRDefault="008E4476" w:rsidP="00F776C1">
      <w:pPr>
        <w:pStyle w:val="BodyText"/>
        <w:spacing w:before="0" w:after="40" w:line="240" w:lineRule="auto"/>
        <w:ind w:firstLine="0"/>
      </w:pPr>
      <w:r>
        <w:t>The institution</w:t>
      </w:r>
      <w:r w:rsidR="009B0DC0">
        <w:t xml:space="preserve"> sampling</w:t>
      </w:r>
      <w:r>
        <w:t xml:space="preserve"> strata will be the following three sectors within each state </w:t>
      </w:r>
      <w:r w:rsidR="00A515E6">
        <w:t xml:space="preserve">(50 states) </w:t>
      </w:r>
      <w:r>
        <w:t>and territory</w:t>
      </w:r>
      <w:r w:rsidR="00A515E6">
        <w:t xml:space="preserve"> (</w:t>
      </w:r>
      <w:r w:rsidR="00C30B1B">
        <w:t>two</w:t>
      </w:r>
      <w:r w:rsidR="00BB5966">
        <w:t xml:space="preserve"> territories</w:t>
      </w:r>
      <w:r w:rsidR="00FD2AE1">
        <w:t xml:space="preserve"> </w:t>
      </w:r>
      <w:r w:rsidR="00671D9B">
        <w:t xml:space="preserve">- </w:t>
      </w:r>
      <w:r w:rsidR="00BB5966">
        <w:t xml:space="preserve">the </w:t>
      </w:r>
      <w:r w:rsidR="00A515E6">
        <w:t>District of Columbia and Puerto Rico)</w:t>
      </w:r>
      <w:r>
        <w:t xml:space="preserve">, for a total of 156 </w:t>
      </w:r>
      <w:r w:rsidR="009B0DC0">
        <w:t xml:space="preserve">institution sampling </w:t>
      </w:r>
      <w:r>
        <w:t>strata</w:t>
      </w:r>
      <w:r w:rsidR="00A515E6">
        <w:t xml:space="preserve"> (52 x 3)</w:t>
      </w:r>
      <w:r>
        <w:t>:</w:t>
      </w:r>
    </w:p>
    <w:p w14:paraId="234957FA" w14:textId="44B1B36F" w:rsidR="008E4476" w:rsidRPr="00BA0740" w:rsidRDefault="008E4476" w:rsidP="00F776C1">
      <w:pPr>
        <w:pStyle w:val="ListNumber"/>
        <w:tabs>
          <w:tab w:val="clear" w:pos="360"/>
          <w:tab w:val="left" w:pos="450"/>
        </w:tabs>
        <w:spacing w:after="40"/>
        <w:ind w:left="180" w:firstLine="270"/>
        <w:contextualSpacing w:val="0"/>
      </w:pPr>
      <w:r w:rsidRPr="00BA0740">
        <w:t>public 2</w:t>
      </w:r>
      <w:r w:rsidR="00E41DD8">
        <w:t xml:space="preserve"> </w:t>
      </w:r>
      <w:r w:rsidRPr="00BA0740">
        <w:t>year,</w:t>
      </w:r>
    </w:p>
    <w:p w14:paraId="4FC0C4FF" w14:textId="703D712E" w:rsidR="008E4476" w:rsidRPr="0012066E" w:rsidRDefault="008E4476" w:rsidP="00F776C1">
      <w:pPr>
        <w:pStyle w:val="ListNumber"/>
        <w:tabs>
          <w:tab w:val="clear" w:pos="360"/>
          <w:tab w:val="left" w:pos="450"/>
        </w:tabs>
        <w:spacing w:after="40"/>
        <w:ind w:left="180" w:firstLine="270"/>
        <w:contextualSpacing w:val="0"/>
      </w:pPr>
      <w:r w:rsidRPr="00BA0740">
        <w:t>public 4</w:t>
      </w:r>
      <w:r w:rsidR="00E41DD8">
        <w:t xml:space="preserve"> </w:t>
      </w:r>
      <w:r w:rsidRPr="00BA0740">
        <w:t>year,</w:t>
      </w:r>
      <w:r w:rsidRPr="00BA0740">
        <w:rPr>
          <w:rStyle w:val="FootnoteReference"/>
        </w:rPr>
        <w:footnoteReference w:id="4"/>
      </w:r>
      <w:r w:rsidRPr="00BA0740">
        <w:t xml:space="preserve"> a</w:t>
      </w:r>
      <w:r w:rsidRPr="0012066E">
        <w:t>nd</w:t>
      </w:r>
    </w:p>
    <w:p w14:paraId="315246CD" w14:textId="432E815B" w:rsidR="008E4476" w:rsidRPr="00BA0740" w:rsidRDefault="008E4476" w:rsidP="00F776C1">
      <w:pPr>
        <w:pStyle w:val="ListNumber"/>
        <w:tabs>
          <w:tab w:val="clear" w:pos="360"/>
          <w:tab w:val="left" w:pos="450"/>
        </w:tabs>
        <w:spacing w:after="40"/>
        <w:ind w:left="180" w:firstLine="270"/>
        <w:contextualSpacing w:val="0"/>
      </w:pPr>
      <w:r w:rsidRPr="00BA0740">
        <w:t>all other institutions, including:</w:t>
      </w:r>
    </w:p>
    <w:p w14:paraId="3C72E9FC" w14:textId="6A2560CA" w:rsidR="008E4476" w:rsidRPr="0012066E" w:rsidRDefault="008E4476" w:rsidP="00F776C1">
      <w:pPr>
        <w:pStyle w:val="ListNumber2"/>
        <w:numPr>
          <w:ilvl w:val="0"/>
          <w:numId w:val="22"/>
        </w:numPr>
        <w:tabs>
          <w:tab w:val="left" w:pos="1620"/>
        </w:tabs>
        <w:spacing w:after="40"/>
        <w:ind w:left="1170" w:hanging="270"/>
        <w:contextualSpacing w:val="0"/>
      </w:pPr>
      <w:r w:rsidRPr="0012066E">
        <w:t>public less than 2 year,</w:t>
      </w:r>
    </w:p>
    <w:p w14:paraId="1F873547" w14:textId="36FF1254" w:rsidR="008E4476" w:rsidRDefault="008E4476" w:rsidP="00F776C1">
      <w:pPr>
        <w:pStyle w:val="ListNumber2"/>
        <w:numPr>
          <w:ilvl w:val="0"/>
          <w:numId w:val="22"/>
        </w:numPr>
        <w:tabs>
          <w:tab w:val="left" w:pos="1620"/>
        </w:tabs>
        <w:spacing w:after="40"/>
        <w:ind w:left="1170" w:hanging="270"/>
        <w:contextualSpacing w:val="0"/>
      </w:pPr>
      <w:r>
        <w:t>private nonprofit (all levels), and</w:t>
      </w:r>
    </w:p>
    <w:p w14:paraId="21139845" w14:textId="726EFE66" w:rsidR="008E4476" w:rsidRDefault="008E4476" w:rsidP="00450BBC">
      <w:pPr>
        <w:pStyle w:val="ListNumber2"/>
        <w:numPr>
          <w:ilvl w:val="0"/>
          <w:numId w:val="22"/>
        </w:numPr>
        <w:tabs>
          <w:tab w:val="left" w:pos="1620"/>
        </w:tabs>
        <w:spacing w:after="120"/>
        <w:ind w:left="1170" w:hanging="270"/>
        <w:contextualSpacing w:val="0"/>
      </w:pPr>
      <w:r>
        <w:t>private for</w:t>
      </w:r>
      <w:r w:rsidR="00E41DD8">
        <w:t xml:space="preserve"> </w:t>
      </w:r>
      <w:r>
        <w:t>profit (all levels).</w:t>
      </w:r>
    </w:p>
    <w:p w14:paraId="07C560BE" w14:textId="672CA3B4" w:rsidR="008E4476" w:rsidRDefault="008E4476" w:rsidP="00C620CB">
      <w:pPr>
        <w:pStyle w:val="BodyText"/>
        <w:spacing w:before="0" w:line="240" w:lineRule="auto"/>
        <w:ind w:firstLine="0"/>
      </w:pPr>
      <w:r>
        <w:t>The institution sample sizes by the</w:t>
      </w:r>
      <w:r w:rsidR="00A66486">
        <w:t>se</w:t>
      </w:r>
      <w:r>
        <w:t xml:space="preserve"> 156 institution </w:t>
      </w:r>
      <w:r w:rsidR="009B0DC0">
        <w:t xml:space="preserve">sampling </w:t>
      </w:r>
      <w:r>
        <w:t>strata</w:t>
      </w:r>
      <w:r w:rsidR="00A66486">
        <w:t>,</w:t>
      </w:r>
      <w:r>
        <w:t xml:space="preserve"> presented </w:t>
      </w:r>
      <w:r w:rsidRPr="006A1213">
        <w:t xml:space="preserve">in </w:t>
      </w:r>
      <w:r w:rsidR="00E41DD8">
        <w:t>t</w:t>
      </w:r>
      <w:r w:rsidR="00E41DD8" w:rsidRPr="006A1213">
        <w:t xml:space="preserve">able </w:t>
      </w:r>
      <w:r w:rsidRPr="006A1213">
        <w:t>1</w:t>
      </w:r>
      <w:r w:rsidR="00A66486">
        <w:t xml:space="preserve">, </w:t>
      </w:r>
      <w:r>
        <w:t>will allow us to have state-representative</w:t>
      </w:r>
      <w:r w:rsidR="0054118B">
        <w:rPr>
          <w:rStyle w:val="FootnoteReference"/>
        </w:rPr>
        <w:footnoteReference w:id="5"/>
      </w:r>
      <w:r>
        <w:t xml:space="preserve"> undergraduate student samples for public 2-year and public 4-year institutions as well as overall. The sample will be nationally-representative for both undergraduate and graduate students</w:t>
      </w:r>
      <w:r w:rsidR="00635F20">
        <w:t xml:space="preserve"> across all postsecondary institutions</w:t>
      </w:r>
      <w:r>
        <w:t>.</w:t>
      </w:r>
    </w:p>
    <w:p w14:paraId="3453F5BB" w14:textId="7786F0FB" w:rsidR="005E792A" w:rsidRDefault="00016A6E" w:rsidP="00C620CB">
      <w:pPr>
        <w:pStyle w:val="BodyText"/>
        <w:spacing w:before="0" w:line="240" w:lineRule="auto"/>
        <w:ind w:firstLine="0"/>
      </w:pPr>
      <w:r>
        <w:t xml:space="preserve">We will select a total of </w:t>
      </w:r>
      <w:r w:rsidR="00A63D54">
        <w:t xml:space="preserve">3,126 </w:t>
      </w:r>
      <w:r>
        <w:t xml:space="preserve">institutions that will include a census of all public 2-year and all public 4-year institutions and a sample of </w:t>
      </w:r>
      <w:r w:rsidR="00A63D54">
        <w:t>1,394</w:t>
      </w:r>
      <w:r>
        <w:t xml:space="preserve"> institutions from the “all other institutions” stratum. </w:t>
      </w:r>
      <w:r w:rsidR="005E792A">
        <w:t xml:space="preserve">Within the “all other institutions” stratum, our goal is to sample at least 30 institutions per state so that schools in this stratum will be sufficiently represented within the state and national samples. </w:t>
      </w:r>
      <w:r w:rsidR="00D91DE7">
        <w:t>We</w:t>
      </w:r>
      <w:r w:rsidR="005E792A">
        <w:t xml:space="preserve"> </w:t>
      </w:r>
      <w:r w:rsidR="00C17C38">
        <w:t>will use</w:t>
      </w:r>
      <w:r w:rsidR="005E792A">
        <w:t xml:space="preserve"> the following criteria to determine institution sample sizes within the “all other institutions” stratum:</w:t>
      </w:r>
    </w:p>
    <w:p w14:paraId="3FA7DAEB" w14:textId="77777777" w:rsidR="00C620CB" w:rsidRDefault="005E792A" w:rsidP="00450BBC">
      <w:pPr>
        <w:pStyle w:val="ListNumber"/>
        <w:numPr>
          <w:ilvl w:val="0"/>
          <w:numId w:val="27"/>
        </w:numPr>
        <w:tabs>
          <w:tab w:val="left" w:pos="1800"/>
        </w:tabs>
        <w:spacing w:after="120"/>
        <w:ind w:left="450" w:right="720" w:hanging="270"/>
        <w:contextualSpacing w:val="0"/>
      </w:pPr>
      <w:r w:rsidRPr="00BA0740">
        <w:t>I</w:t>
      </w:r>
      <w:r>
        <w:t xml:space="preserve">n states with 30 or fewer </w:t>
      </w:r>
      <w:r w:rsidR="00D91DE7">
        <w:t>institutions</w:t>
      </w:r>
      <w:r>
        <w:t xml:space="preserve"> in the “all other institutions” strata, we will take a census of institutions</w:t>
      </w:r>
      <w:r w:rsidRPr="00FA60DE">
        <w:t xml:space="preserve"> </w:t>
      </w:r>
      <w:r>
        <w:t>in the “all other institutions” strata.</w:t>
      </w:r>
    </w:p>
    <w:p w14:paraId="298E3A1C" w14:textId="48931089" w:rsidR="00C620CB" w:rsidRDefault="005E792A" w:rsidP="00450BBC">
      <w:pPr>
        <w:pStyle w:val="ListNumber"/>
        <w:numPr>
          <w:ilvl w:val="0"/>
          <w:numId w:val="27"/>
        </w:numPr>
        <w:tabs>
          <w:tab w:val="left" w:pos="1800"/>
        </w:tabs>
        <w:spacing w:after="120"/>
        <w:ind w:left="450" w:right="720" w:hanging="270"/>
        <w:contextualSpacing w:val="0"/>
      </w:pPr>
      <w:r>
        <w:t>In states with more than 30 institutions in the “all other institutions” strata and where selecting only 30 institutions would result in a very high sampling fraction, we will take a census of institutions. We have arbitrarily chosen 36 institutions as the cutoff to avoid high sampling fractions.</w:t>
      </w:r>
      <w:r w:rsidR="00FD2AE1">
        <w:t xml:space="preserve"> </w:t>
      </w:r>
      <w:r>
        <w:t>This cutoff will result in taking a census of institutions in states that have between 31 and 36 institutions in the “all other institutions” strata</w:t>
      </w:r>
      <w:r w:rsidR="00754699">
        <w:t>.</w:t>
      </w:r>
      <w:r w:rsidR="00350244">
        <w:rPr>
          <w:rStyle w:val="FootnoteReference"/>
        </w:rPr>
        <w:footnoteReference w:id="6"/>
      </w:r>
    </w:p>
    <w:p w14:paraId="0F6E08F3" w14:textId="25863AE5" w:rsidR="005E792A" w:rsidRPr="00BA0740" w:rsidRDefault="005E792A" w:rsidP="00450BBC">
      <w:pPr>
        <w:pStyle w:val="ListNumber"/>
        <w:numPr>
          <w:ilvl w:val="0"/>
          <w:numId w:val="27"/>
        </w:numPr>
        <w:tabs>
          <w:tab w:val="left" w:pos="1800"/>
        </w:tabs>
        <w:spacing w:after="120"/>
        <w:ind w:left="450" w:right="720" w:hanging="270"/>
        <w:contextualSpacing w:val="0"/>
      </w:pPr>
      <w:r>
        <w:t>In states with more than 36 institutions in the “all other institutions” strata, we will sample 30 institutions in the “all other institutions” strata.</w:t>
      </w:r>
    </w:p>
    <w:p w14:paraId="5DCF3E6B" w14:textId="3793A44F" w:rsidR="00C620CB" w:rsidRDefault="00016A6E" w:rsidP="00C620CB">
      <w:pPr>
        <w:pStyle w:val="BodyText"/>
        <w:spacing w:before="0" w:line="240" w:lineRule="auto"/>
        <w:ind w:firstLine="0"/>
      </w:pPr>
      <w:r>
        <w:t xml:space="preserve">Within the “all other institutions” stratum, we </w:t>
      </w:r>
      <w:r w:rsidR="00C17C38">
        <w:t>will</w:t>
      </w:r>
      <w:r>
        <w:t xml:space="preserve"> select institutions using stratified random sampling with probabilities proportional to a composite measure of size.</w:t>
      </w:r>
      <w:r>
        <w:rPr>
          <w:rStyle w:val="FootnoteReference"/>
        </w:rPr>
        <w:footnoteReference w:id="7"/>
      </w:r>
      <w:r>
        <w:t xml:space="preserve"> This is the same methodology that we have used since NPSAS:96. Institution measures of size will be determined using the most recent IPEDS </w:t>
      </w:r>
      <w:r w:rsidR="005E792A">
        <w:t>12-month</w:t>
      </w:r>
      <w:r>
        <w:t xml:space="preserve"> enrollment data. Using a composite measure of size will ensure that the target sample sizes are achieved within institution and student sampling strata while also achieving approximately equal student weights across institutions.</w:t>
      </w:r>
    </w:p>
    <w:p w14:paraId="54627C5A" w14:textId="77777777" w:rsidR="00430745" w:rsidRDefault="00016A6E" w:rsidP="00C620CB">
      <w:pPr>
        <w:pStyle w:val="BodyText"/>
        <w:spacing w:before="0" w:line="240" w:lineRule="auto"/>
        <w:ind w:firstLine="0"/>
      </w:pPr>
      <w:r>
        <w:t xml:space="preserve">Within </w:t>
      </w:r>
      <w:r w:rsidR="001C21F6">
        <w:t xml:space="preserve">the “all other institutions” </w:t>
      </w:r>
      <w:r>
        <w:t>stratum, additional implicit stratification is accomplished by sorting the sampling frame by the following classifications: institution sector, Historically Black Colleges and Universities (HBCU) indicator, Hispanic Serving Institutions (HSI) indicator</w:t>
      </w:r>
      <w:r>
        <w:rPr>
          <w:rStyle w:val="FootnoteReference"/>
        </w:rPr>
        <w:footnoteReference w:id="8"/>
      </w:r>
      <w:r>
        <w:t>, Carnegie classifications of postsecondary</w:t>
      </w:r>
    </w:p>
    <w:p w14:paraId="3A1D0C0D" w14:textId="1D189D97" w:rsidR="008E4476" w:rsidRDefault="006117BA" w:rsidP="00F62B26">
      <w:pPr>
        <w:pStyle w:val="TableTitle"/>
        <w:spacing w:before="0"/>
      </w:pPr>
      <w:bookmarkStart w:id="34" w:name="_Toc503451218"/>
      <w:bookmarkStart w:id="35" w:name="_Toc487810866"/>
      <w:bookmarkStart w:id="36" w:name="_Toc381969984"/>
      <w:r>
        <w:t>Table 1. NPSAS:18-AC i</w:t>
      </w:r>
      <w:r w:rsidR="008E4476">
        <w:t>nstitution sample sizes</w:t>
      </w:r>
      <w:bookmarkEnd w:id="34"/>
      <w:bookmarkEnd w:id="35"/>
      <w:r w:rsidR="008E4476">
        <w:t xml:space="preserve"> </w:t>
      </w:r>
    </w:p>
    <w:tbl>
      <w:tblPr>
        <w:tblStyle w:val="TableGrid"/>
        <w:tblW w:w="10098" w:type="dxa"/>
        <w:tblLook w:val="04A0" w:firstRow="1" w:lastRow="0" w:firstColumn="1" w:lastColumn="0" w:noHBand="0" w:noVBand="1"/>
      </w:tblPr>
      <w:tblGrid>
        <w:gridCol w:w="1604"/>
        <w:gridCol w:w="1002"/>
        <w:gridCol w:w="804"/>
        <w:gridCol w:w="261"/>
        <w:gridCol w:w="1033"/>
        <w:gridCol w:w="842"/>
        <w:gridCol w:w="261"/>
        <w:gridCol w:w="1011"/>
        <w:gridCol w:w="826"/>
        <w:gridCol w:w="261"/>
        <w:gridCol w:w="1013"/>
        <w:gridCol w:w="1297"/>
      </w:tblGrid>
      <w:tr w:rsidR="008E4476" w:rsidRPr="00A1705B" w14:paraId="643898E2" w14:textId="77777777" w:rsidTr="00B57CD0">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single" w:sz="12" w:space="0" w:color="auto"/>
              <w:bottom w:val="nil"/>
            </w:tcBorders>
            <w:noWrap/>
          </w:tcPr>
          <w:p w14:paraId="07641CF4" w14:textId="77777777" w:rsidR="008E4476" w:rsidRPr="00A1705B" w:rsidRDefault="008E4476" w:rsidP="00F62B26">
            <w:pPr>
              <w:pStyle w:val="Tabletext"/>
            </w:pPr>
          </w:p>
        </w:tc>
        <w:tc>
          <w:tcPr>
            <w:tcW w:w="8494" w:type="dxa"/>
            <w:gridSpan w:val="11"/>
            <w:tcBorders>
              <w:top w:val="single" w:sz="12" w:space="0" w:color="auto"/>
              <w:bottom w:val="single" w:sz="4" w:space="0" w:color="auto"/>
            </w:tcBorders>
            <w:noWrap/>
          </w:tcPr>
          <w:p w14:paraId="26B76208"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Number of institutions</w:t>
            </w:r>
          </w:p>
        </w:tc>
      </w:tr>
      <w:tr w:rsidR="00BB3C64" w:rsidRPr="00A1705B" w14:paraId="176763FD" w14:textId="77777777" w:rsidTr="00554CA7">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nil"/>
              <w:bottom w:val="nil"/>
            </w:tcBorders>
            <w:noWrap/>
          </w:tcPr>
          <w:p w14:paraId="6A4DF6FB" w14:textId="77777777" w:rsidR="008E4476" w:rsidRPr="00A1705B" w:rsidRDefault="008E4476" w:rsidP="00F62B26">
            <w:pPr>
              <w:pStyle w:val="Tabletext"/>
            </w:pPr>
          </w:p>
        </w:tc>
        <w:tc>
          <w:tcPr>
            <w:tcW w:w="1806" w:type="dxa"/>
            <w:gridSpan w:val="2"/>
            <w:tcBorders>
              <w:top w:val="single" w:sz="4" w:space="0" w:color="auto"/>
            </w:tcBorders>
            <w:noWrap/>
          </w:tcPr>
          <w:p w14:paraId="4C08F611"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Public 2-year</w:t>
            </w:r>
          </w:p>
        </w:tc>
        <w:tc>
          <w:tcPr>
            <w:tcW w:w="222" w:type="dxa"/>
            <w:tcBorders>
              <w:top w:val="single" w:sz="4" w:space="0" w:color="auto"/>
              <w:bottom w:val="nil"/>
            </w:tcBorders>
          </w:tcPr>
          <w:p w14:paraId="0ED4BFD2"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1875" w:type="dxa"/>
            <w:gridSpan w:val="2"/>
            <w:tcBorders>
              <w:top w:val="single" w:sz="4" w:space="0" w:color="auto"/>
            </w:tcBorders>
            <w:noWrap/>
          </w:tcPr>
          <w:p w14:paraId="12CFA65F"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Public 4-year</w:t>
            </w:r>
          </w:p>
        </w:tc>
        <w:tc>
          <w:tcPr>
            <w:tcW w:w="222" w:type="dxa"/>
            <w:tcBorders>
              <w:top w:val="single" w:sz="4" w:space="0" w:color="auto"/>
              <w:bottom w:val="nil"/>
            </w:tcBorders>
          </w:tcPr>
          <w:p w14:paraId="432E3E23"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1837" w:type="dxa"/>
            <w:gridSpan w:val="2"/>
            <w:tcBorders>
              <w:top w:val="single" w:sz="4" w:space="0" w:color="auto"/>
            </w:tcBorders>
            <w:noWrap/>
          </w:tcPr>
          <w:p w14:paraId="6012A452"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Other sectors</w:t>
            </w:r>
          </w:p>
        </w:tc>
        <w:tc>
          <w:tcPr>
            <w:tcW w:w="222" w:type="dxa"/>
            <w:tcBorders>
              <w:top w:val="single" w:sz="4" w:space="0" w:color="auto"/>
              <w:bottom w:val="nil"/>
            </w:tcBorders>
          </w:tcPr>
          <w:p w14:paraId="4636D54D" w14:textId="77777777"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p>
        </w:tc>
        <w:tc>
          <w:tcPr>
            <w:tcW w:w="2310" w:type="dxa"/>
            <w:gridSpan w:val="2"/>
            <w:tcBorders>
              <w:top w:val="single" w:sz="4" w:space="0" w:color="auto"/>
              <w:bottom w:val="single" w:sz="4" w:space="0" w:color="auto"/>
            </w:tcBorders>
            <w:noWrap/>
          </w:tcPr>
          <w:p w14:paraId="40A1B9F3" w14:textId="40AAC3E4" w:rsidR="008E4476" w:rsidRPr="00A1705B" w:rsidRDefault="008E4476" w:rsidP="00F62B26">
            <w:pPr>
              <w:pStyle w:val="Tabletext"/>
              <w:jc w:val="center"/>
              <w:cnfStyle w:val="100000000000" w:firstRow="1" w:lastRow="0" w:firstColumn="0" w:lastColumn="0" w:oddVBand="0" w:evenVBand="0" w:oddHBand="0" w:evenHBand="0" w:firstRowFirstColumn="0" w:firstRowLastColumn="0" w:lastRowFirstColumn="0" w:lastRowLastColumn="0"/>
            </w:pPr>
            <w:r w:rsidRPr="00A1705B">
              <w:rPr>
                <w:bCs/>
              </w:rPr>
              <w:t xml:space="preserve">All </w:t>
            </w:r>
            <w:r w:rsidR="00625133">
              <w:rPr>
                <w:bCs/>
              </w:rPr>
              <w:t>s</w:t>
            </w:r>
            <w:r w:rsidR="00625133" w:rsidRPr="00A1705B">
              <w:rPr>
                <w:bCs/>
              </w:rPr>
              <w:t>ectors</w:t>
            </w:r>
          </w:p>
        </w:tc>
      </w:tr>
      <w:tr w:rsidR="00BB3C64" w:rsidRPr="00A1705B" w14:paraId="10334D89" w14:textId="77777777" w:rsidTr="0095290E">
        <w:trPr>
          <w:cnfStyle w:val="100000000000" w:firstRow="1" w:lastRow="0" w:firstColumn="0" w:lastColumn="0" w:oddVBand="0" w:evenVBand="0" w:oddHBand="0" w:evenHBand="0" w:firstRowFirstColumn="0" w:firstRowLastColumn="0" w:lastRowFirstColumn="0" w:lastRowLastColumn="0"/>
          <w:trHeight w:val="233"/>
          <w:tblHeader/>
        </w:trPr>
        <w:tc>
          <w:tcPr>
            <w:cnfStyle w:val="001000000100" w:firstRow="0" w:lastRow="0" w:firstColumn="1" w:lastColumn="0" w:oddVBand="0" w:evenVBand="0" w:oddHBand="0" w:evenHBand="0" w:firstRowFirstColumn="1" w:firstRowLastColumn="0" w:lastRowFirstColumn="0" w:lastRowLastColumn="0"/>
            <w:tcW w:w="1604" w:type="dxa"/>
            <w:tcBorders>
              <w:top w:val="nil"/>
            </w:tcBorders>
            <w:noWrap/>
          </w:tcPr>
          <w:p w14:paraId="7473AA0A" w14:textId="77777777" w:rsidR="008E4476" w:rsidRPr="00A1705B" w:rsidRDefault="008E4476" w:rsidP="00F62B26">
            <w:pPr>
              <w:pStyle w:val="Tabletext"/>
            </w:pPr>
            <w:r w:rsidRPr="00A1705B">
              <w:rPr>
                <w:bCs/>
              </w:rPr>
              <w:t>State</w:t>
            </w:r>
          </w:p>
        </w:tc>
        <w:tc>
          <w:tcPr>
            <w:tcW w:w="1002" w:type="dxa"/>
            <w:tcBorders>
              <w:top w:val="single" w:sz="4" w:space="0" w:color="auto"/>
            </w:tcBorders>
            <w:noWrap/>
          </w:tcPr>
          <w:p w14:paraId="144F2644" w14:textId="5FD6671C"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04" w:type="dxa"/>
            <w:tcBorders>
              <w:top w:val="single" w:sz="4" w:space="0" w:color="auto"/>
            </w:tcBorders>
            <w:noWrap/>
          </w:tcPr>
          <w:p w14:paraId="3B7BB015"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131EE402"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33" w:type="dxa"/>
            <w:tcBorders>
              <w:top w:val="single" w:sz="4" w:space="0" w:color="auto"/>
            </w:tcBorders>
            <w:noWrap/>
          </w:tcPr>
          <w:p w14:paraId="231DD40E" w14:textId="62FA9815"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42" w:type="dxa"/>
            <w:tcBorders>
              <w:top w:val="single" w:sz="4" w:space="0" w:color="auto"/>
            </w:tcBorders>
            <w:noWrap/>
          </w:tcPr>
          <w:p w14:paraId="4A5CE0D2"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6829B9EB"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11" w:type="dxa"/>
            <w:tcBorders>
              <w:top w:val="single" w:sz="4" w:space="0" w:color="auto"/>
            </w:tcBorders>
            <w:noWrap/>
          </w:tcPr>
          <w:p w14:paraId="23CE6036" w14:textId="25BD8FF2"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826" w:type="dxa"/>
            <w:tcBorders>
              <w:top w:val="single" w:sz="4" w:space="0" w:color="auto"/>
            </w:tcBorders>
            <w:noWrap/>
          </w:tcPr>
          <w:p w14:paraId="3F4DCA6A"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Sample size</w:t>
            </w:r>
          </w:p>
        </w:tc>
        <w:tc>
          <w:tcPr>
            <w:tcW w:w="222" w:type="dxa"/>
            <w:tcBorders>
              <w:top w:val="nil"/>
            </w:tcBorders>
          </w:tcPr>
          <w:p w14:paraId="265B1356"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rPr>
                <w:b/>
                <w:bCs/>
              </w:rPr>
            </w:pPr>
          </w:p>
        </w:tc>
        <w:tc>
          <w:tcPr>
            <w:tcW w:w="1013" w:type="dxa"/>
            <w:tcBorders>
              <w:top w:val="single" w:sz="4" w:space="0" w:color="auto"/>
            </w:tcBorders>
            <w:noWrap/>
          </w:tcPr>
          <w:p w14:paraId="0F018105" w14:textId="064B1CF4"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 xml:space="preserve">Population </w:t>
            </w:r>
            <w:r w:rsidR="00625133">
              <w:rPr>
                <w:bCs/>
              </w:rPr>
              <w:t>e</w:t>
            </w:r>
            <w:r w:rsidR="00625133" w:rsidRPr="00A1705B">
              <w:rPr>
                <w:bCs/>
              </w:rPr>
              <w:t>stimate</w:t>
            </w:r>
          </w:p>
        </w:tc>
        <w:tc>
          <w:tcPr>
            <w:tcW w:w="1297" w:type="dxa"/>
            <w:tcBorders>
              <w:top w:val="single" w:sz="4" w:space="0" w:color="auto"/>
            </w:tcBorders>
            <w:noWrap/>
          </w:tcPr>
          <w:p w14:paraId="47BF47D3" w14:textId="77777777" w:rsidR="008E4476" w:rsidRPr="00A1705B" w:rsidRDefault="008E4476" w:rsidP="00F62B26">
            <w:pPr>
              <w:pStyle w:val="Tabletext"/>
              <w:cnfStyle w:val="100000000000" w:firstRow="1" w:lastRow="0" w:firstColumn="0" w:lastColumn="0" w:oddVBand="0" w:evenVBand="0" w:oddHBand="0" w:evenHBand="0" w:firstRowFirstColumn="0" w:firstRowLastColumn="0" w:lastRowFirstColumn="0" w:lastRowLastColumn="0"/>
            </w:pPr>
            <w:r w:rsidRPr="00A1705B">
              <w:rPr>
                <w:bCs/>
              </w:rPr>
              <w:t>Total sample size</w:t>
            </w:r>
          </w:p>
        </w:tc>
      </w:tr>
      <w:tr w:rsidR="00A63D54" w:rsidRPr="00A1705B" w14:paraId="1F128A3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B32391E" w14:textId="38E11B91" w:rsidR="00A63D54" w:rsidRPr="00A1705B" w:rsidRDefault="00A63D54" w:rsidP="00A63D54">
            <w:pPr>
              <w:pStyle w:val="Tabletext"/>
            </w:pPr>
            <w:r w:rsidRPr="00B57CD0">
              <w:rPr>
                <w:color w:val="000000"/>
              </w:rPr>
              <w:t>Alabama</w:t>
            </w:r>
          </w:p>
        </w:tc>
        <w:tc>
          <w:tcPr>
            <w:tcW w:w="0" w:type="dxa"/>
            <w:noWrap/>
            <w:hideMark/>
          </w:tcPr>
          <w:p w14:paraId="70C5FE26" w14:textId="2EEB5CE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25</w:t>
            </w:r>
          </w:p>
        </w:tc>
        <w:tc>
          <w:tcPr>
            <w:tcW w:w="0" w:type="dxa"/>
            <w:noWrap/>
            <w:hideMark/>
          </w:tcPr>
          <w:p w14:paraId="76B3F83B" w14:textId="16589C0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25</w:t>
            </w:r>
          </w:p>
        </w:tc>
        <w:tc>
          <w:tcPr>
            <w:tcW w:w="0" w:type="dxa"/>
            <w:vAlign w:val="center"/>
          </w:tcPr>
          <w:p w14:paraId="7146D62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592BDEF" w14:textId="6065BD2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noWrap/>
            <w:hideMark/>
          </w:tcPr>
          <w:p w14:paraId="298D47FA" w14:textId="3A15BB5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vAlign w:val="center"/>
          </w:tcPr>
          <w:p w14:paraId="2C0F069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77D3868" w14:textId="6EC0A0F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50</w:t>
            </w:r>
          </w:p>
        </w:tc>
        <w:tc>
          <w:tcPr>
            <w:tcW w:w="0" w:type="dxa"/>
            <w:noWrap/>
            <w:hideMark/>
          </w:tcPr>
          <w:p w14:paraId="79E9CE49" w14:textId="6EED067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199BC4E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7DE7C10" w14:textId="161CF2B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89</w:t>
            </w:r>
          </w:p>
        </w:tc>
        <w:tc>
          <w:tcPr>
            <w:tcW w:w="0" w:type="dxa"/>
            <w:noWrap/>
            <w:vAlign w:val="center"/>
            <w:hideMark/>
          </w:tcPr>
          <w:p w14:paraId="7D4A1B9E" w14:textId="6F9761D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69</w:t>
            </w:r>
          </w:p>
        </w:tc>
      </w:tr>
      <w:tr w:rsidR="00A63D54" w:rsidRPr="00A1705B" w14:paraId="05C41918"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54E1A28" w14:textId="1D906FE3" w:rsidR="00A63D54" w:rsidRPr="00A1705B" w:rsidRDefault="00A63D54" w:rsidP="00A63D54">
            <w:pPr>
              <w:pStyle w:val="Tabletext"/>
            </w:pPr>
            <w:r w:rsidRPr="00B57CD0">
              <w:rPr>
                <w:color w:val="000000"/>
              </w:rPr>
              <w:t>Alaska</w:t>
            </w:r>
          </w:p>
        </w:tc>
        <w:tc>
          <w:tcPr>
            <w:tcW w:w="0" w:type="dxa"/>
            <w:noWrap/>
            <w:hideMark/>
          </w:tcPr>
          <w:p w14:paraId="404E3BC2" w14:textId="49210CB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hideMark/>
          </w:tcPr>
          <w:p w14:paraId="14576968" w14:textId="13F28E1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78736BC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EFACFEA" w14:textId="5B42FE7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noWrap/>
            <w:hideMark/>
          </w:tcPr>
          <w:p w14:paraId="77073260" w14:textId="34293F2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vAlign w:val="center"/>
          </w:tcPr>
          <w:p w14:paraId="6A247C24"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4BB673E" w14:textId="6336F69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w:t>
            </w:r>
          </w:p>
        </w:tc>
        <w:tc>
          <w:tcPr>
            <w:tcW w:w="0" w:type="dxa"/>
            <w:noWrap/>
            <w:hideMark/>
          </w:tcPr>
          <w:p w14:paraId="74747A28" w14:textId="4E9FE76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w:t>
            </w:r>
          </w:p>
        </w:tc>
        <w:tc>
          <w:tcPr>
            <w:tcW w:w="0" w:type="dxa"/>
            <w:vAlign w:val="center"/>
          </w:tcPr>
          <w:p w14:paraId="337F390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32BCB6E9" w14:textId="677D831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w:t>
            </w:r>
          </w:p>
        </w:tc>
        <w:tc>
          <w:tcPr>
            <w:tcW w:w="0" w:type="dxa"/>
            <w:noWrap/>
            <w:vAlign w:val="center"/>
            <w:hideMark/>
          </w:tcPr>
          <w:p w14:paraId="0CC1E6E8" w14:textId="551A919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w:t>
            </w:r>
          </w:p>
        </w:tc>
      </w:tr>
      <w:tr w:rsidR="00A63D54" w:rsidRPr="00A1705B" w14:paraId="2D99D82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F0353C8" w14:textId="128C8924" w:rsidR="00A63D54" w:rsidRPr="00A1705B" w:rsidRDefault="00A63D54" w:rsidP="00A63D54">
            <w:pPr>
              <w:pStyle w:val="Tabletext"/>
            </w:pPr>
            <w:r w:rsidRPr="00B57CD0">
              <w:rPr>
                <w:color w:val="000000"/>
              </w:rPr>
              <w:t>Arizona</w:t>
            </w:r>
          </w:p>
        </w:tc>
        <w:tc>
          <w:tcPr>
            <w:tcW w:w="0" w:type="dxa"/>
            <w:noWrap/>
            <w:hideMark/>
          </w:tcPr>
          <w:p w14:paraId="4DB203FC" w14:textId="3475EFC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20</w:t>
            </w:r>
          </w:p>
        </w:tc>
        <w:tc>
          <w:tcPr>
            <w:tcW w:w="0" w:type="dxa"/>
            <w:noWrap/>
            <w:hideMark/>
          </w:tcPr>
          <w:p w14:paraId="414FBCB4" w14:textId="2B7BE2D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20</w:t>
            </w:r>
          </w:p>
        </w:tc>
        <w:tc>
          <w:tcPr>
            <w:tcW w:w="0" w:type="dxa"/>
            <w:vAlign w:val="center"/>
          </w:tcPr>
          <w:p w14:paraId="2B071D4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AFB2F78" w14:textId="775073A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w:t>
            </w:r>
          </w:p>
        </w:tc>
        <w:tc>
          <w:tcPr>
            <w:tcW w:w="0" w:type="dxa"/>
            <w:noWrap/>
            <w:hideMark/>
          </w:tcPr>
          <w:p w14:paraId="2158E00B" w14:textId="6472663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w:t>
            </w:r>
          </w:p>
        </w:tc>
        <w:tc>
          <w:tcPr>
            <w:tcW w:w="0" w:type="dxa"/>
            <w:vAlign w:val="center"/>
          </w:tcPr>
          <w:p w14:paraId="6997CA7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F3FAB45" w14:textId="13C78EC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92</w:t>
            </w:r>
          </w:p>
        </w:tc>
        <w:tc>
          <w:tcPr>
            <w:tcW w:w="0" w:type="dxa"/>
            <w:noWrap/>
            <w:hideMark/>
          </w:tcPr>
          <w:p w14:paraId="489A670F" w14:textId="5AC3DBB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67080F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5116240" w14:textId="69BCBFA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122</w:t>
            </w:r>
          </w:p>
        </w:tc>
        <w:tc>
          <w:tcPr>
            <w:tcW w:w="0" w:type="dxa"/>
            <w:noWrap/>
            <w:vAlign w:val="center"/>
            <w:hideMark/>
          </w:tcPr>
          <w:p w14:paraId="06F2D9CA" w14:textId="0912652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60</w:t>
            </w:r>
          </w:p>
        </w:tc>
      </w:tr>
      <w:tr w:rsidR="00A63D54" w:rsidRPr="00A1705B" w14:paraId="15A9608A"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20510E1" w14:textId="25ED757E" w:rsidR="00A63D54" w:rsidRPr="00A1705B" w:rsidRDefault="00A63D54" w:rsidP="00A63D54">
            <w:pPr>
              <w:pStyle w:val="Tabletext"/>
            </w:pPr>
            <w:r w:rsidRPr="00B57CD0">
              <w:rPr>
                <w:color w:val="000000"/>
              </w:rPr>
              <w:t>Arkansas</w:t>
            </w:r>
          </w:p>
        </w:tc>
        <w:tc>
          <w:tcPr>
            <w:tcW w:w="0" w:type="dxa"/>
            <w:noWrap/>
            <w:hideMark/>
          </w:tcPr>
          <w:p w14:paraId="176545A2" w14:textId="21C13AB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22</w:t>
            </w:r>
          </w:p>
        </w:tc>
        <w:tc>
          <w:tcPr>
            <w:tcW w:w="0" w:type="dxa"/>
            <w:noWrap/>
            <w:hideMark/>
          </w:tcPr>
          <w:p w14:paraId="232D0CAE" w14:textId="0CF747F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22</w:t>
            </w:r>
          </w:p>
        </w:tc>
        <w:tc>
          <w:tcPr>
            <w:tcW w:w="0" w:type="dxa"/>
            <w:vAlign w:val="center"/>
          </w:tcPr>
          <w:p w14:paraId="124C3BD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1A16029" w14:textId="058FB5E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c>
          <w:tcPr>
            <w:tcW w:w="0" w:type="dxa"/>
            <w:noWrap/>
            <w:hideMark/>
          </w:tcPr>
          <w:p w14:paraId="76F2B452" w14:textId="75413D9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c>
          <w:tcPr>
            <w:tcW w:w="0" w:type="dxa"/>
            <w:vAlign w:val="center"/>
          </w:tcPr>
          <w:p w14:paraId="57FCAD2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38C1C5F" w14:textId="21C06FE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46</w:t>
            </w:r>
          </w:p>
        </w:tc>
        <w:tc>
          <w:tcPr>
            <w:tcW w:w="0" w:type="dxa"/>
            <w:noWrap/>
            <w:hideMark/>
          </w:tcPr>
          <w:p w14:paraId="01292283" w14:textId="037DD5D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221D9F5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5764C01" w14:textId="6E92A53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79</w:t>
            </w:r>
          </w:p>
        </w:tc>
        <w:tc>
          <w:tcPr>
            <w:tcW w:w="0" w:type="dxa"/>
            <w:noWrap/>
            <w:vAlign w:val="center"/>
            <w:hideMark/>
          </w:tcPr>
          <w:p w14:paraId="064EBCB0" w14:textId="3C0389F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63</w:t>
            </w:r>
          </w:p>
        </w:tc>
      </w:tr>
      <w:tr w:rsidR="00A63D54" w:rsidRPr="00A1705B" w14:paraId="7DB74B51"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DE9553E" w14:textId="6ED18A9F" w:rsidR="00A63D54" w:rsidRPr="00A1705B" w:rsidRDefault="00A63D54" w:rsidP="00A63D54">
            <w:pPr>
              <w:pStyle w:val="Tabletext"/>
            </w:pPr>
            <w:r w:rsidRPr="00B57CD0">
              <w:rPr>
                <w:color w:val="000000"/>
              </w:rPr>
              <w:t>California</w:t>
            </w:r>
          </w:p>
        </w:tc>
        <w:tc>
          <w:tcPr>
            <w:tcW w:w="0" w:type="dxa"/>
            <w:noWrap/>
            <w:hideMark/>
          </w:tcPr>
          <w:p w14:paraId="1B77ED77" w14:textId="0ADA4D0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107</w:t>
            </w:r>
          </w:p>
        </w:tc>
        <w:tc>
          <w:tcPr>
            <w:tcW w:w="0" w:type="dxa"/>
            <w:noWrap/>
            <w:hideMark/>
          </w:tcPr>
          <w:p w14:paraId="62DD9BB6" w14:textId="73CA225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107</w:t>
            </w:r>
          </w:p>
        </w:tc>
        <w:tc>
          <w:tcPr>
            <w:tcW w:w="0" w:type="dxa"/>
            <w:vAlign w:val="center"/>
          </w:tcPr>
          <w:p w14:paraId="6AAB78C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F450DBC" w14:textId="2C9550A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46</w:t>
            </w:r>
          </w:p>
        </w:tc>
        <w:tc>
          <w:tcPr>
            <w:tcW w:w="0" w:type="dxa"/>
            <w:noWrap/>
            <w:hideMark/>
          </w:tcPr>
          <w:p w14:paraId="272CBBEA" w14:textId="7744151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46</w:t>
            </w:r>
          </w:p>
        </w:tc>
        <w:tc>
          <w:tcPr>
            <w:tcW w:w="0" w:type="dxa"/>
            <w:vAlign w:val="center"/>
          </w:tcPr>
          <w:p w14:paraId="7A31D8F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55CAD0E" w14:textId="09E93DC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508</w:t>
            </w:r>
          </w:p>
        </w:tc>
        <w:tc>
          <w:tcPr>
            <w:tcW w:w="0" w:type="dxa"/>
            <w:noWrap/>
            <w:hideMark/>
          </w:tcPr>
          <w:p w14:paraId="2F67D6B7" w14:textId="58194E8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DA5022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E503335" w14:textId="53F4379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661</w:t>
            </w:r>
          </w:p>
        </w:tc>
        <w:tc>
          <w:tcPr>
            <w:tcW w:w="0" w:type="dxa"/>
            <w:noWrap/>
            <w:vAlign w:val="center"/>
            <w:hideMark/>
          </w:tcPr>
          <w:p w14:paraId="65C97C6D" w14:textId="5B05611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183</w:t>
            </w:r>
          </w:p>
        </w:tc>
      </w:tr>
      <w:tr w:rsidR="00A63D54" w:rsidRPr="00A1705B" w14:paraId="179A774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BD16DF0" w14:textId="2DC7CF98" w:rsidR="00A63D54" w:rsidRPr="00A1705B" w:rsidRDefault="00A63D54" w:rsidP="00A63D54">
            <w:pPr>
              <w:pStyle w:val="Tabletext"/>
            </w:pPr>
            <w:r w:rsidRPr="00B57CD0">
              <w:rPr>
                <w:color w:val="000000"/>
              </w:rPr>
              <w:t>Colorado</w:t>
            </w:r>
          </w:p>
        </w:tc>
        <w:tc>
          <w:tcPr>
            <w:tcW w:w="0" w:type="dxa"/>
            <w:noWrap/>
            <w:hideMark/>
          </w:tcPr>
          <w:p w14:paraId="2C7398C9" w14:textId="786A82E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w:t>
            </w:r>
          </w:p>
        </w:tc>
        <w:tc>
          <w:tcPr>
            <w:tcW w:w="0" w:type="dxa"/>
            <w:noWrap/>
            <w:hideMark/>
          </w:tcPr>
          <w:p w14:paraId="69B90F97" w14:textId="292C9FB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w:t>
            </w:r>
          </w:p>
        </w:tc>
        <w:tc>
          <w:tcPr>
            <w:tcW w:w="0" w:type="dxa"/>
            <w:vAlign w:val="center"/>
          </w:tcPr>
          <w:p w14:paraId="7B97F303"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F52AE28" w14:textId="2FF7705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noWrap/>
            <w:hideMark/>
          </w:tcPr>
          <w:p w14:paraId="71EFF5F1" w14:textId="429CA88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vAlign w:val="center"/>
          </w:tcPr>
          <w:p w14:paraId="1DBB0E59"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C22201C" w14:textId="0EFAC3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82</w:t>
            </w:r>
          </w:p>
        </w:tc>
        <w:tc>
          <w:tcPr>
            <w:tcW w:w="0" w:type="dxa"/>
            <w:noWrap/>
            <w:hideMark/>
          </w:tcPr>
          <w:p w14:paraId="3436995B" w14:textId="1EB505A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2DA600F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47FD374" w14:textId="452BBC2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112</w:t>
            </w:r>
          </w:p>
        </w:tc>
        <w:tc>
          <w:tcPr>
            <w:tcW w:w="0" w:type="dxa"/>
            <w:noWrap/>
            <w:vAlign w:val="center"/>
            <w:hideMark/>
          </w:tcPr>
          <w:p w14:paraId="46DFED2B" w14:textId="39DE012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60</w:t>
            </w:r>
          </w:p>
        </w:tc>
      </w:tr>
      <w:tr w:rsidR="00A63D54" w:rsidRPr="00A1705B" w14:paraId="5D5BC5F9"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BDE5415" w14:textId="6A57070C" w:rsidR="00A63D54" w:rsidRPr="00A1705B" w:rsidRDefault="00A63D54" w:rsidP="00A63D54">
            <w:pPr>
              <w:pStyle w:val="Tabletext"/>
            </w:pPr>
            <w:r w:rsidRPr="00B57CD0">
              <w:rPr>
                <w:color w:val="000000"/>
              </w:rPr>
              <w:t>Connecticut</w:t>
            </w:r>
          </w:p>
        </w:tc>
        <w:tc>
          <w:tcPr>
            <w:tcW w:w="0" w:type="dxa"/>
            <w:noWrap/>
            <w:hideMark/>
          </w:tcPr>
          <w:p w14:paraId="3B4C5E14" w14:textId="27B652E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noWrap/>
            <w:hideMark/>
          </w:tcPr>
          <w:p w14:paraId="7BC204CC" w14:textId="1897C90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vAlign w:val="center"/>
          </w:tcPr>
          <w:p w14:paraId="5D3EF6A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38937EA" w14:textId="1206F7B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noWrap/>
            <w:hideMark/>
          </w:tcPr>
          <w:p w14:paraId="5232DE47" w14:textId="305A04D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vAlign w:val="center"/>
          </w:tcPr>
          <w:p w14:paraId="0486349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B9B724C" w14:textId="14DF1EF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61</w:t>
            </w:r>
          </w:p>
        </w:tc>
        <w:tc>
          <w:tcPr>
            <w:tcW w:w="0" w:type="dxa"/>
            <w:noWrap/>
            <w:hideMark/>
          </w:tcPr>
          <w:p w14:paraId="057C9C5D" w14:textId="1494911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18874B9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96BB55A" w14:textId="4EB3D5D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83</w:t>
            </w:r>
          </w:p>
        </w:tc>
        <w:tc>
          <w:tcPr>
            <w:tcW w:w="0" w:type="dxa"/>
            <w:noWrap/>
            <w:vAlign w:val="center"/>
            <w:hideMark/>
          </w:tcPr>
          <w:p w14:paraId="5418FAD6" w14:textId="0B1EEAF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52</w:t>
            </w:r>
          </w:p>
        </w:tc>
      </w:tr>
      <w:tr w:rsidR="00A63D54" w:rsidRPr="00A1705B" w14:paraId="5AD0C6F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4C6C051" w14:textId="3C29AE86" w:rsidR="00A63D54" w:rsidRPr="00A1705B" w:rsidRDefault="00A63D54" w:rsidP="00A63D54">
            <w:pPr>
              <w:pStyle w:val="Tabletext"/>
            </w:pPr>
            <w:r w:rsidRPr="00B57CD0">
              <w:rPr>
                <w:color w:val="000000"/>
              </w:rPr>
              <w:t>Delaware</w:t>
            </w:r>
          </w:p>
        </w:tc>
        <w:tc>
          <w:tcPr>
            <w:tcW w:w="0" w:type="dxa"/>
            <w:noWrap/>
            <w:hideMark/>
          </w:tcPr>
          <w:p w14:paraId="77CCBB9D" w14:textId="641FEA2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0</w:t>
            </w:r>
          </w:p>
        </w:tc>
        <w:tc>
          <w:tcPr>
            <w:tcW w:w="0" w:type="dxa"/>
            <w:noWrap/>
            <w:hideMark/>
          </w:tcPr>
          <w:p w14:paraId="04466E39" w14:textId="3766D1D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0</w:t>
            </w:r>
          </w:p>
        </w:tc>
        <w:tc>
          <w:tcPr>
            <w:tcW w:w="0" w:type="dxa"/>
            <w:vAlign w:val="center"/>
          </w:tcPr>
          <w:p w14:paraId="1CFF41A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7872979" w14:textId="7E8C8EE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w:t>
            </w:r>
          </w:p>
        </w:tc>
        <w:tc>
          <w:tcPr>
            <w:tcW w:w="0" w:type="dxa"/>
            <w:noWrap/>
            <w:hideMark/>
          </w:tcPr>
          <w:p w14:paraId="674EAD18" w14:textId="7153FCE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w:t>
            </w:r>
          </w:p>
        </w:tc>
        <w:tc>
          <w:tcPr>
            <w:tcW w:w="0" w:type="dxa"/>
            <w:vAlign w:val="center"/>
          </w:tcPr>
          <w:p w14:paraId="50535D04"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924407D" w14:textId="3E1B006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w:t>
            </w:r>
          </w:p>
        </w:tc>
        <w:tc>
          <w:tcPr>
            <w:tcW w:w="0" w:type="dxa"/>
            <w:noWrap/>
            <w:hideMark/>
          </w:tcPr>
          <w:p w14:paraId="6ECAD3AC" w14:textId="2CEBC72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w:t>
            </w:r>
          </w:p>
        </w:tc>
        <w:tc>
          <w:tcPr>
            <w:tcW w:w="0" w:type="dxa"/>
            <w:vAlign w:val="center"/>
          </w:tcPr>
          <w:p w14:paraId="76276CA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17F8C7E" w14:textId="6C43616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noWrap/>
            <w:vAlign w:val="center"/>
            <w:hideMark/>
          </w:tcPr>
          <w:p w14:paraId="753DB189" w14:textId="6FFBB40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r>
      <w:tr w:rsidR="00A63D54" w:rsidRPr="00A1705B" w14:paraId="1154791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66D9E51" w14:textId="7F04480C" w:rsidR="00A63D54" w:rsidRPr="00A1705B" w:rsidRDefault="00A63D54" w:rsidP="00A63D54">
            <w:pPr>
              <w:pStyle w:val="Tabletext"/>
            </w:pPr>
            <w:r w:rsidRPr="00B57CD0">
              <w:rPr>
                <w:color w:val="000000"/>
              </w:rPr>
              <w:t>District of Columbia</w:t>
            </w:r>
          </w:p>
        </w:tc>
        <w:tc>
          <w:tcPr>
            <w:tcW w:w="0" w:type="dxa"/>
            <w:noWrap/>
            <w:hideMark/>
          </w:tcPr>
          <w:p w14:paraId="065F3FD4" w14:textId="624CDEA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0</w:t>
            </w:r>
          </w:p>
        </w:tc>
        <w:tc>
          <w:tcPr>
            <w:tcW w:w="0" w:type="dxa"/>
            <w:noWrap/>
            <w:hideMark/>
          </w:tcPr>
          <w:p w14:paraId="0F20568D" w14:textId="3A07C6C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0</w:t>
            </w:r>
          </w:p>
        </w:tc>
        <w:tc>
          <w:tcPr>
            <w:tcW w:w="0" w:type="dxa"/>
            <w:vAlign w:val="center"/>
          </w:tcPr>
          <w:p w14:paraId="66A50AF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4A31C05" w14:textId="26358E9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w:t>
            </w:r>
          </w:p>
        </w:tc>
        <w:tc>
          <w:tcPr>
            <w:tcW w:w="0" w:type="dxa"/>
            <w:noWrap/>
            <w:hideMark/>
          </w:tcPr>
          <w:p w14:paraId="6076C7AD" w14:textId="6FACE77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w:t>
            </w:r>
          </w:p>
        </w:tc>
        <w:tc>
          <w:tcPr>
            <w:tcW w:w="0" w:type="dxa"/>
            <w:vAlign w:val="center"/>
          </w:tcPr>
          <w:p w14:paraId="47D72C3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4C7F0D4" w14:textId="57379BB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20</w:t>
            </w:r>
          </w:p>
        </w:tc>
        <w:tc>
          <w:tcPr>
            <w:tcW w:w="0" w:type="dxa"/>
            <w:noWrap/>
            <w:hideMark/>
          </w:tcPr>
          <w:p w14:paraId="256ECD5C" w14:textId="0B5C8D4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20</w:t>
            </w:r>
          </w:p>
        </w:tc>
        <w:tc>
          <w:tcPr>
            <w:tcW w:w="0" w:type="dxa"/>
            <w:vAlign w:val="center"/>
          </w:tcPr>
          <w:p w14:paraId="26C8FBD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7716003" w14:textId="78A4843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22</w:t>
            </w:r>
          </w:p>
        </w:tc>
        <w:tc>
          <w:tcPr>
            <w:tcW w:w="0" w:type="dxa"/>
            <w:noWrap/>
            <w:vAlign w:val="center"/>
            <w:hideMark/>
          </w:tcPr>
          <w:p w14:paraId="237D19D3" w14:textId="5A70AD8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22</w:t>
            </w:r>
          </w:p>
        </w:tc>
      </w:tr>
      <w:tr w:rsidR="00A63D54" w:rsidRPr="00A1705B" w14:paraId="557AD2EE"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0B70F9F" w14:textId="5EB05569" w:rsidR="00A63D54" w:rsidRPr="00A1705B" w:rsidRDefault="00A63D54" w:rsidP="00A63D54">
            <w:pPr>
              <w:pStyle w:val="Tabletext"/>
            </w:pPr>
            <w:r w:rsidRPr="00B57CD0">
              <w:rPr>
                <w:color w:val="000000"/>
              </w:rPr>
              <w:t>Florida</w:t>
            </w:r>
          </w:p>
        </w:tc>
        <w:tc>
          <w:tcPr>
            <w:tcW w:w="0" w:type="dxa"/>
            <w:noWrap/>
            <w:hideMark/>
          </w:tcPr>
          <w:p w14:paraId="39DF288B" w14:textId="2FBF2BB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noWrap/>
            <w:hideMark/>
          </w:tcPr>
          <w:p w14:paraId="412337FC" w14:textId="53FD642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vAlign w:val="center"/>
          </w:tcPr>
          <w:p w14:paraId="7F279011"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BCECDFE" w14:textId="3AF8D18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39</w:t>
            </w:r>
          </w:p>
        </w:tc>
        <w:tc>
          <w:tcPr>
            <w:tcW w:w="0" w:type="dxa"/>
            <w:noWrap/>
            <w:hideMark/>
          </w:tcPr>
          <w:p w14:paraId="37C15FD1" w14:textId="768A6D2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39</w:t>
            </w:r>
          </w:p>
        </w:tc>
        <w:tc>
          <w:tcPr>
            <w:tcW w:w="0" w:type="dxa"/>
            <w:vAlign w:val="center"/>
          </w:tcPr>
          <w:p w14:paraId="1085A6E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2609474" w14:textId="378A2D7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290</w:t>
            </w:r>
          </w:p>
        </w:tc>
        <w:tc>
          <w:tcPr>
            <w:tcW w:w="0" w:type="dxa"/>
            <w:noWrap/>
            <w:hideMark/>
          </w:tcPr>
          <w:p w14:paraId="7E2C0A3E" w14:textId="20E436C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7A91E02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950830B" w14:textId="4AFFD06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364</w:t>
            </w:r>
          </w:p>
        </w:tc>
        <w:tc>
          <w:tcPr>
            <w:tcW w:w="0" w:type="dxa"/>
            <w:noWrap/>
            <w:vAlign w:val="center"/>
            <w:hideMark/>
          </w:tcPr>
          <w:p w14:paraId="30C01F3A" w14:textId="52EBD26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104</w:t>
            </w:r>
          </w:p>
        </w:tc>
      </w:tr>
      <w:tr w:rsidR="00A63D54" w:rsidRPr="00A1705B" w14:paraId="3F9B4D1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3FACCA6" w14:textId="58DDC725" w:rsidR="00A63D54" w:rsidRPr="00A1705B" w:rsidRDefault="00A63D54" w:rsidP="00A63D54">
            <w:pPr>
              <w:pStyle w:val="Tabletext"/>
            </w:pPr>
            <w:r w:rsidRPr="00B57CD0">
              <w:rPr>
                <w:color w:val="000000"/>
              </w:rPr>
              <w:t>Georgia</w:t>
            </w:r>
          </w:p>
        </w:tc>
        <w:tc>
          <w:tcPr>
            <w:tcW w:w="0" w:type="dxa"/>
            <w:noWrap/>
            <w:hideMark/>
          </w:tcPr>
          <w:p w14:paraId="2789F47E" w14:textId="3BF33CA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24</w:t>
            </w:r>
          </w:p>
        </w:tc>
        <w:tc>
          <w:tcPr>
            <w:tcW w:w="0" w:type="dxa"/>
            <w:noWrap/>
            <w:hideMark/>
          </w:tcPr>
          <w:p w14:paraId="727546BC" w14:textId="7D6A322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24</w:t>
            </w:r>
          </w:p>
        </w:tc>
        <w:tc>
          <w:tcPr>
            <w:tcW w:w="0" w:type="dxa"/>
            <w:vAlign w:val="center"/>
          </w:tcPr>
          <w:p w14:paraId="182786A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F653498" w14:textId="6E12BC1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w:t>
            </w:r>
          </w:p>
        </w:tc>
        <w:tc>
          <w:tcPr>
            <w:tcW w:w="0" w:type="dxa"/>
            <w:noWrap/>
            <w:hideMark/>
          </w:tcPr>
          <w:p w14:paraId="289F7E17" w14:textId="5FC6819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w:t>
            </w:r>
          </w:p>
        </w:tc>
        <w:tc>
          <w:tcPr>
            <w:tcW w:w="0" w:type="dxa"/>
            <w:vAlign w:val="center"/>
          </w:tcPr>
          <w:p w14:paraId="09B50E2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1ECA0D3" w14:textId="41F4151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110</w:t>
            </w:r>
          </w:p>
        </w:tc>
        <w:tc>
          <w:tcPr>
            <w:tcW w:w="0" w:type="dxa"/>
            <w:noWrap/>
            <w:hideMark/>
          </w:tcPr>
          <w:p w14:paraId="6DE26A09" w14:textId="4BD8DC0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220ABBA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0CCF0AC" w14:textId="597D005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164</w:t>
            </w:r>
          </w:p>
        </w:tc>
        <w:tc>
          <w:tcPr>
            <w:tcW w:w="0" w:type="dxa"/>
            <w:noWrap/>
            <w:vAlign w:val="center"/>
            <w:hideMark/>
          </w:tcPr>
          <w:p w14:paraId="2139C084" w14:textId="2B8395C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84</w:t>
            </w:r>
          </w:p>
        </w:tc>
      </w:tr>
      <w:tr w:rsidR="00A63D54" w:rsidRPr="00A1705B" w14:paraId="4E39013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3EA1E1D" w14:textId="7215AA4A" w:rsidR="00A63D54" w:rsidRPr="00A1705B" w:rsidRDefault="00A63D54" w:rsidP="00A63D54">
            <w:pPr>
              <w:pStyle w:val="Tabletext"/>
            </w:pPr>
            <w:r w:rsidRPr="00B57CD0">
              <w:rPr>
                <w:color w:val="000000"/>
              </w:rPr>
              <w:t>Hawaii</w:t>
            </w:r>
          </w:p>
        </w:tc>
        <w:tc>
          <w:tcPr>
            <w:tcW w:w="0" w:type="dxa"/>
            <w:noWrap/>
            <w:hideMark/>
          </w:tcPr>
          <w:p w14:paraId="07920A71" w14:textId="4432BF2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noWrap/>
            <w:hideMark/>
          </w:tcPr>
          <w:p w14:paraId="08A7449B" w14:textId="69DC5F7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vAlign w:val="center"/>
          </w:tcPr>
          <w:p w14:paraId="13FFA09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0C06FC3" w14:textId="4647FED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noWrap/>
            <w:hideMark/>
          </w:tcPr>
          <w:p w14:paraId="018C5A72" w14:textId="5308ACC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vAlign w:val="center"/>
          </w:tcPr>
          <w:p w14:paraId="00766949"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9B1CCE4" w14:textId="5D656EF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noWrap/>
            <w:hideMark/>
          </w:tcPr>
          <w:p w14:paraId="150E3516" w14:textId="175EEB0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vAlign w:val="center"/>
          </w:tcPr>
          <w:p w14:paraId="5D17479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12220FA" w14:textId="2F6B113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noWrap/>
            <w:vAlign w:val="center"/>
            <w:hideMark/>
          </w:tcPr>
          <w:p w14:paraId="75580EB4" w14:textId="3980EC4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r>
      <w:tr w:rsidR="00A63D54" w:rsidRPr="00A1705B" w14:paraId="416DAF4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BF024CB" w14:textId="3956F223" w:rsidR="00A63D54" w:rsidRPr="00A1705B" w:rsidRDefault="00A63D54" w:rsidP="00A63D54">
            <w:pPr>
              <w:pStyle w:val="Tabletext"/>
            </w:pPr>
            <w:r w:rsidRPr="00B57CD0">
              <w:rPr>
                <w:color w:val="000000"/>
              </w:rPr>
              <w:t>Idaho</w:t>
            </w:r>
          </w:p>
        </w:tc>
        <w:tc>
          <w:tcPr>
            <w:tcW w:w="0" w:type="dxa"/>
            <w:noWrap/>
            <w:hideMark/>
          </w:tcPr>
          <w:p w14:paraId="46C07815" w14:textId="5793EDB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noWrap/>
            <w:hideMark/>
          </w:tcPr>
          <w:p w14:paraId="60CB8CAD" w14:textId="6113B73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vAlign w:val="center"/>
          </w:tcPr>
          <w:p w14:paraId="7BE0BAE3"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76E81D6" w14:textId="4C6866C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noWrap/>
            <w:hideMark/>
          </w:tcPr>
          <w:p w14:paraId="6577D3D2" w14:textId="5C3B200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w:t>
            </w:r>
          </w:p>
        </w:tc>
        <w:tc>
          <w:tcPr>
            <w:tcW w:w="0" w:type="dxa"/>
            <w:vAlign w:val="center"/>
          </w:tcPr>
          <w:p w14:paraId="4105FA7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D66F656" w14:textId="21F57CE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w:t>
            </w:r>
          </w:p>
        </w:tc>
        <w:tc>
          <w:tcPr>
            <w:tcW w:w="0" w:type="dxa"/>
            <w:noWrap/>
            <w:hideMark/>
          </w:tcPr>
          <w:p w14:paraId="1204F6D2" w14:textId="61C6196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w:t>
            </w:r>
          </w:p>
        </w:tc>
        <w:tc>
          <w:tcPr>
            <w:tcW w:w="0" w:type="dxa"/>
            <w:vAlign w:val="center"/>
          </w:tcPr>
          <w:p w14:paraId="637D84E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1601E48" w14:textId="07C8D8E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38</w:t>
            </w:r>
          </w:p>
        </w:tc>
        <w:tc>
          <w:tcPr>
            <w:tcW w:w="0" w:type="dxa"/>
            <w:noWrap/>
            <w:vAlign w:val="center"/>
            <w:hideMark/>
          </w:tcPr>
          <w:p w14:paraId="3F7688DF" w14:textId="3F3541D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38</w:t>
            </w:r>
          </w:p>
        </w:tc>
      </w:tr>
      <w:tr w:rsidR="00A63D54" w:rsidRPr="00A1705B" w14:paraId="79F8FBEA"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7E8F4BB" w14:textId="04C4A3F0" w:rsidR="00A63D54" w:rsidRPr="00A1705B" w:rsidRDefault="00A63D54" w:rsidP="00A63D54">
            <w:pPr>
              <w:pStyle w:val="Tabletext"/>
            </w:pPr>
            <w:r w:rsidRPr="00B57CD0">
              <w:rPr>
                <w:color w:val="000000"/>
              </w:rPr>
              <w:t>Illinois</w:t>
            </w:r>
          </w:p>
        </w:tc>
        <w:tc>
          <w:tcPr>
            <w:tcW w:w="0" w:type="dxa"/>
            <w:noWrap/>
            <w:hideMark/>
          </w:tcPr>
          <w:p w14:paraId="2F01728A" w14:textId="06D1D7D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48</w:t>
            </w:r>
          </w:p>
        </w:tc>
        <w:tc>
          <w:tcPr>
            <w:tcW w:w="0" w:type="dxa"/>
            <w:noWrap/>
            <w:hideMark/>
          </w:tcPr>
          <w:p w14:paraId="6593F258" w14:textId="3B52795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48</w:t>
            </w:r>
          </w:p>
        </w:tc>
        <w:tc>
          <w:tcPr>
            <w:tcW w:w="0" w:type="dxa"/>
            <w:vAlign w:val="center"/>
          </w:tcPr>
          <w:p w14:paraId="77C50E7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DC96FD4" w14:textId="66070DA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12</w:t>
            </w:r>
          </w:p>
        </w:tc>
        <w:tc>
          <w:tcPr>
            <w:tcW w:w="0" w:type="dxa"/>
            <w:noWrap/>
            <w:hideMark/>
          </w:tcPr>
          <w:p w14:paraId="13D40EA1" w14:textId="37A4695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12</w:t>
            </w:r>
          </w:p>
        </w:tc>
        <w:tc>
          <w:tcPr>
            <w:tcW w:w="0" w:type="dxa"/>
            <w:vAlign w:val="center"/>
          </w:tcPr>
          <w:p w14:paraId="4941FE9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3CFF6D7" w14:textId="792C035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208</w:t>
            </w:r>
          </w:p>
        </w:tc>
        <w:tc>
          <w:tcPr>
            <w:tcW w:w="0" w:type="dxa"/>
            <w:noWrap/>
            <w:hideMark/>
          </w:tcPr>
          <w:p w14:paraId="5C3D5ABD" w14:textId="4E9A7AA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8CEED30"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56E0CD2" w14:textId="2887F9F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268</w:t>
            </w:r>
          </w:p>
        </w:tc>
        <w:tc>
          <w:tcPr>
            <w:tcW w:w="0" w:type="dxa"/>
            <w:noWrap/>
            <w:vAlign w:val="center"/>
            <w:hideMark/>
          </w:tcPr>
          <w:p w14:paraId="19EED1F2" w14:textId="53C5A96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90</w:t>
            </w:r>
          </w:p>
        </w:tc>
      </w:tr>
      <w:tr w:rsidR="00A63D54" w:rsidRPr="00A1705B" w14:paraId="323BD2D4"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FE53964" w14:textId="610188D2" w:rsidR="00A63D54" w:rsidRPr="00A1705B" w:rsidRDefault="00A63D54" w:rsidP="00A63D54">
            <w:pPr>
              <w:pStyle w:val="Tabletext"/>
            </w:pPr>
            <w:r w:rsidRPr="00B57CD0">
              <w:rPr>
                <w:color w:val="000000"/>
              </w:rPr>
              <w:t>Indiana</w:t>
            </w:r>
          </w:p>
        </w:tc>
        <w:tc>
          <w:tcPr>
            <w:tcW w:w="0" w:type="dxa"/>
            <w:noWrap/>
            <w:hideMark/>
          </w:tcPr>
          <w:p w14:paraId="77D7950E" w14:textId="12EAD26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hideMark/>
          </w:tcPr>
          <w:p w14:paraId="247E3139" w14:textId="5596ABC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18332A5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DECA5F1" w14:textId="1048125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noWrap/>
            <w:hideMark/>
          </w:tcPr>
          <w:p w14:paraId="7AA71A4A" w14:textId="37F527F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vAlign w:val="center"/>
          </w:tcPr>
          <w:p w14:paraId="77A87FF1"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6413285" w14:textId="038D53C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102</w:t>
            </w:r>
          </w:p>
        </w:tc>
        <w:tc>
          <w:tcPr>
            <w:tcW w:w="0" w:type="dxa"/>
            <w:noWrap/>
            <w:hideMark/>
          </w:tcPr>
          <w:p w14:paraId="5E3BD66E" w14:textId="46352F3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89E2A0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6C02ABD" w14:textId="5FD37AA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118</w:t>
            </w:r>
          </w:p>
        </w:tc>
        <w:tc>
          <w:tcPr>
            <w:tcW w:w="0" w:type="dxa"/>
            <w:noWrap/>
            <w:vAlign w:val="center"/>
            <w:hideMark/>
          </w:tcPr>
          <w:p w14:paraId="35344B5C" w14:textId="2FF87C3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46</w:t>
            </w:r>
          </w:p>
        </w:tc>
      </w:tr>
      <w:tr w:rsidR="00A63D54" w:rsidRPr="00A1705B" w14:paraId="3646B6A4"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C13D0A7" w14:textId="6AC181AC" w:rsidR="00A63D54" w:rsidRPr="00A1705B" w:rsidRDefault="00A63D54" w:rsidP="00A63D54">
            <w:pPr>
              <w:pStyle w:val="Tabletext"/>
            </w:pPr>
            <w:r w:rsidRPr="00B57CD0">
              <w:rPr>
                <w:color w:val="000000"/>
              </w:rPr>
              <w:t>Iowa</w:t>
            </w:r>
          </w:p>
        </w:tc>
        <w:tc>
          <w:tcPr>
            <w:tcW w:w="0" w:type="dxa"/>
            <w:noWrap/>
            <w:hideMark/>
          </w:tcPr>
          <w:p w14:paraId="5F387500" w14:textId="1C98A45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13ED7524" w14:textId="26E4D77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17B3AE63"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335CA4E" w14:textId="342B163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noWrap/>
            <w:hideMark/>
          </w:tcPr>
          <w:p w14:paraId="219EF0F9" w14:textId="73FF62D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vAlign w:val="center"/>
          </w:tcPr>
          <w:p w14:paraId="698F43B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826AE36" w14:textId="277EBFE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69</w:t>
            </w:r>
          </w:p>
        </w:tc>
        <w:tc>
          <w:tcPr>
            <w:tcW w:w="0" w:type="dxa"/>
            <w:noWrap/>
            <w:hideMark/>
          </w:tcPr>
          <w:p w14:paraId="3EF60D75" w14:textId="44958C0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006F120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01460AD" w14:textId="382A242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88</w:t>
            </w:r>
          </w:p>
        </w:tc>
        <w:tc>
          <w:tcPr>
            <w:tcW w:w="0" w:type="dxa"/>
            <w:noWrap/>
            <w:vAlign w:val="center"/>
            <w:hideMark/>
          </w:tcPr>
          <w:p w14:paraId="68CDB286" w14:textId="43BA328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49</w:t>
            </w:r>
          </w:p>
        </w:tc>
      </w:tr>
      <w:tr w:rsidR="00A63D54" w:rsidRPr="00A1705B" w14:paraId="26A6BE97"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1D98400" w14:textId="59305122" w:rsidR="00A63D54" w:rsidRPr="00A1705B" w:rsidRDefault="00A63D54" w:rsidP="00A63D54">
            <w:pPr>
              <w:pStyle w:val="Tabletext"/>
            </w:pPr>
            <w:r w:rsidRPr="00B57CD0">
              <w:rPr>
                <w:color w:val="000000"/>
              </w:rPr>
              <w:t>Kansas</w:t>
            </w:r>
          </w:p>
        </w:tc>
        <w:tc>
          <w:tcPr>
            <w:tcW w:w="0" w:type="dxa"/>
            <w:noWrap/>
            <w:hideMark/>
          </w:tcPr>
          <w:p w14:paraId="20A9C659" w14:textId="2DA5702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25</w:t>
            </w:r>
          </w:p>
        </w:tc>
        <w:tc>
          <w:tcPr>
            <w:tcW w:w="0" w:type="dxa"/>
            <w:noWrap/>
            <w:hideMark/>
          </w:tcPr>
          <w:p w14:paraId="2C2B0FB6" w14:textId="3ECB4F3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25</w:t>
            </w:r>
          </w:p>
        </w:tc>
        <w:tc>
          <w:tcPr>
            <w:tcW w:w="0" w:type="dxa"/>
            <w:vAlign w:val="center"/>
          </w:tcPr>
          <w:p w14:paraId="0B06889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4B3E487" w14:textId="18ABF2A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noWrap/>
            <w:hideMark/>
          </w:tcPr>
          <w:p w14:paraId="5452BB53" w14:textId="17882D6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vAlign w:val="center"/>
          </w:tcPr>
          <w:p w14:paraId="04E9466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43EC2CD" w14:textId="4F14C9C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49</w:t>
            </w:r>
          </w:p>
        </w:tc>
        <w:tc>
          <w:tcPr>
            <w:tcW w:w="0" w:type="dxa"/>
            <w:noWrap/>
            <w:hideMark/>
          </w:tcPr>
          <w:p w14:paraId="76C3DCBB" w14:textId="1FF2223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52F7DCD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9E09F32" w14:textId="6B8CEBB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82</w:t>
            </w:r>
          </w:p>
        </w:tc>
        <w:tc>
          <w:tcPr>
            <w:tcW w:w="0" w:type="dxa"/>
            <w:noWrap/>
            <w:vAlign w:val="center"/>
            <w:hideMark/>
          </w:tcPr>
          <w:p w14:paraId="0947E848" w14:textId="5637C40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63</w:t>
            </w:r>
          </w:p>
        </w:tc>
      </w:tr>
      <w:tr w:rsidR="00A63D54" w:rsidRPr="00A1705B" w14:paraId="7F55354B"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5EA75AE" w14:textId="3468D88D" w:rsidR="00A63D54" w:rsidRPr="00A1705B" w:rsidRDefault="00A63D54" w:rsidP="00A63D54">
            <w:pPr>
              <w:pStyle w:val="Tabletext"/>
            </w:pPr>
            <w:r w:rsidRPr="00B57CD0">
              <w:rPr>
                <w:color w:val="000000"/>
              </w:rPr>
              <w:t>Kentucky</w:t>
            </w:r>
          </w:p>
        </w:tc>
        <w:tc>
          <w:tcPr>
            <w:tcW w:w="0" w:type="dxa"/>
            <w:noWrap/>
            <w:hideMark/>
          </w:tcPr>
          <w:p w14:paraId="6EB17158" w14:textId="35486B0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285634B5" w14:textId="363F6C5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0E30C16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F791283" w14:textId="3A2B722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noWrap/>
            <w:hideMark/>
          </w:tcPr>
          <w:p w14:paraId="62C83A54" w14:textId="2FC6753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vAlign w:val="center"/>
          </w:tcPr>
          <w:p w14:paraId="3672836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227ECEB" w14:textId="183AEBC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71</w:t>
            </w:r>
          </w:p>
        </w:tc>
        <w:tc>
          <w:tcPr>
            <w:tcW w:w="0" w:type="dxa"/>
            <w:noWrap/>
            <w:hideMark/>
          </w:tcPr>
          <w:p w14:paraId="30B8DFCB" w14:textId="681043D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F6E423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3EF1F29" w14:textId="2774CCC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95</w:t>
            </w:r>
          </w:p>
        </w:tc>
        <w:tc>
          <w:tcPr>
            <w:tcW w:w="0" w:type="dxa"/>
            <w:noWrap/>
            <w:vAlign w:val="center"/>
            <w:hideMark/>
          </w:tcPr>
          <w:p w14:paraId="078B1FF2" w14:textId="4CD926D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54</w:t>
            </w:r>
          </w:p>
        </w:tc>
      </w:tr>
      <w:tr w:rsidR="00A63D54" w:rsidRPr="00A1705B" w14:paraId="4C20E22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2EA68CC" w14:textId="41B2FF03" w:rsidR="00A63D54" w:rsidRPr="00A1705B" w:rsidRDefault="00A63D54" w:rsidP="00A63D54">
            <w:pPr>
              <w:pStyle w:val="Tabletext"/>
            </w:pPr>
            <w:r w:rsidRPr="00B57CD0">
              <w:rPr>
                <w:color w:val="000000"/>
              </w:rPr>
              <w:t>Louisiana</w:t>
            </w:r>
          </w:p>
        </w:tc>
        <w:tc>
          <w:tcPr>
            <w:tcW w:w="0" w:type="dxa"/>
            <w:noWrap/>
            <w:hideMark/>
          </w:tcPr>
          <w:p w14:paraId="75C318F9" w14:textId="0AEDDCD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58A1F182" w14:textId="623D50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57BAEC1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900A685" w14:textId="46DF9AD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noWrap/>
            <w:hideMark/>
          </w:tcPr>
          <w:p w14:paraId="69010691" w14:textId="0B443A0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vAlign w:val="center"/>
          </w:tcPr>
          <w:p w14:paraId="6765E91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BAC7106" w14:textId="53738F3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87</w:t>
            </w:r>
          </w:p>
        </w:tc>
        <w:tc>
          <w:tcPr>
            <w:tcW w:w="0" w:type="dxa"/>
            <w:noWrap/>
            <w:hideMark/>
          </w:tcPr>
          <w:p w14:paraId="3178C035" w14:textId="1BBD373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0072809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3BC7B7F" w14:textId="1349F4F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120</w:t>
            </w:r>
          </w:p>
        </w:tc>
        <w:tc>
          <w:tcPr>
            <w:tcW w:w="0" w:type="dxa"/>
            <w:noWrap/>
            <w:vAlign w:val="center"/>
            <w:hideMark/>
          </w:tcPr>
          <w:p w14:paraId="30DA9207" w14:textId="174691B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63</w:t>
            </w:r>
          </w:p>
        </w:tc>
      </w:tr>
      <w:tr w:rsidR="00A63D54" w:rsidRPr="00A1705B" w14:paraId="7D62D6DF"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49089D9" w14:textId="759AFC8C" w:rsidR="00A63D54" w:rsidRPr="00A1705B" w:rsidRDefault="00A63D54" w:rsidP="00A63D54">
            <w:pPr>
              <w:pStyle w:val="Tabletext"/>
            </w:pPr>
            <w:r w:rsidRPr="00B57CD0">
              <w:rPr>
                <w:color w:val="000000"/>
              </w:rPr>
              <w:t>Maine</w:t>
            </w:r>
          </w:p>
        </w:tc>
        <w:tc>
          <w:tcPr>
            <w:tcW w:w="0" w:type="dxa"/>
            <w:noWrap/>
            <w:hideMark/>
          </w:tcPr>
          <w:p w14:paraId="58050C98" w14:textId="55D76EE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hideMark/>
          </w:tcPr>
          <w:p w14:paraId="54C0F6FD" w14:textId="44C7AC3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09D0249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118CF83" w14:textId="3B26178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noWrap/>
            <w:hideMark/>
          </w:tcPr>
          <w:p w14:paraId="7FDD8477" w14:textId="3F60E78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vAlign w:val="center"/>
          </w:tcPr>
          <w:p w14:paraId="702FCC0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4B4149E" w14:textId="039E6E2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23</w:t>
            </w:r>
          </w:p>
        </w:tc>
        <w:tc>
          <w:tcPr>
            <w:tcW w:w="0" w:type="dxa"/>
            <w:noWrap/>
            <w:hideMark/>
          </w:tcPr>
          <w:p w14:paraId="3B87E204" w14:textId="6FF46E4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23</w:t>
            </w:r>
          </w:p>
        </w:tc>
        <w:tc>
          <w:tcPr>
            <w:tcW w:w="0" w:type="dxa"/>
            <w:vAlign w:val="center"/>
          </w:tcPr>
          <w:p w14:paraId="66F68D9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BA2C767" w14:textId="0F38C9F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38</w:t>
            </w:r>
          </w:p>
        </w:tc>
        <w:tc>
          <w:tcPr>
            <w:tcW w:w="0" w:type="dxa"/>
            <w:noWrap/>
            <w:vAlign w:val="center"/>
            <w:hideMark/>
          </w:tcPr>
          <w:p w14:paraId="4EC88353" w14:textId="10A970A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38</w:t>
            </w:r>
          </w:p>
        </w:tc>
      </w:tr>
      <w:tr w:rsidR="00A63D54" w:rsidRPr="00A1705B" w14:paraId="0ABA57CC"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3DA3367" w14:textId="4F52D782" w:rsidR="00A63D54" w:rsidRPr="00A1705B" w:rsidRDefault="00A63D54" w:rsidP="00A63D54">
            <w:pPr>
              <w:pStyle w:val="Tabletext"/>
            </w:pPr>
            <w:r w:rsidRPr="00B57CD0">
              <w:rPr>
                <w:color w:val="000000"/>
              </w:rPr>
              <w:t>Maryland</w:t>
            </w:r>
          </w:p>
        </w:tc>
        <w:tc>
          <w:tcPr>
            <w:tcW w:w="0" w:type="dxa"/>
            <w:noWrap/>
            <w:hideMark/>
          </w:tcPr>
          <w:p w14:paraId="74F2E323" w14:textId="38227C3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2500A50F" w14:textId="1E03B8E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24C9074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F298FBA" w14:textId="0FD9198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noWrap/>
            <w:hideMark/>
          </w:tcPr>
          <w:p w14:paraId="087BB75A" w14:textId="16B474C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vAlign w:val="center"/>
          </w:tcPr>
          <w:p w14:paraId="0D35B6F0"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0B7D45A" w14:textId="09514DB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58</w:t>
            </w:r>
          </w:p>
        </w:tc>
        <w:tc>
          <w:tcPr>
            <w:tcW w:w="0" w:type="dxa"/>
            <w:noWrap/>
            <w:hideMark/>
          </w:tcPr>
          <w:p w14:paraId="075A5F42" w14:textId="6CCE879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105234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D27D68E" w14:textId="0F1E067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87</w:t>
            </w:r>
          </w:p>
        </w:tc>
        <w:tc>
          <w:tcPr>
            <w:tcW w:w="0" w:type="dxa"/>
            <w:noWrap/>
            <w:vAlign w:val="center"/>
            <w:hideMark/>
          </w:tcPr>
          <w:p w14:paraId="6C5EC50C" w14:textId="56C40B6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59</w:t>
            </w:r>
          </w:p>
        </w:tc>
      </w:tr>
      <w:tr w:rsidR="00A63D54" w:rsidRPr="00A1705B" w14:paraId="50AE49C9"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9C6D918" w14:textId="39F6E23C" w:rsidR="00A63D54" w:rsidRPr="00A1705B" w:rsidRDefault="00A63D54" w:rsidP="00A63D54">
            <w:pPr>
              <w:pStyle w:val="Tabletext"/>
            </w:pPr>
            <w:r w:rsidRPr="00B57CD0">
              <w:rPr>
                <w:color w:val="000000"/>
              </w:rPr>
              <w:t>Massachusetts</w:t>
            </w:r>
          </w:p>
        </w:tc>
        <w:tc>
          <w:tcPr>
            <w:tcW w:w="0" w:type="dxa"/>
            <w:noWrap/>
            <w:hideMark/>
          </w:tcPr>
          <w:p w14:paraId="4C833919" w14:textId="4F51F3E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61324394" w14:textId="1606080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60577A40"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6F9E243" w14:textId="0DEBFA6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noWrap/>
            <w:hideMark/>
          </w:tcPr>
          <w:p w14:paraId="0B69E53B" w14:textId="30F1E0B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vAlign w:val="center"/>
          </w:tcPr>
          <w:p w14:paraId="788BC77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56F5767" w14:textId="4A4789A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146</w:t>
            </w:r>
          </w:p>
        </w:tc>
        <w:tc>
          <w:tcPr>
            <w:tcW w:w="0" w:type="dxa"/>
            <w:noWrap/>
            <w:hideMark/>
          </w:tcPr>
          <w:p w14:paraId="3B78CEFA" w14:textId="15723F9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24A92E61"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96505C0" w14:textId="3578A11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177</w:t>
            </w:r>
          </w:p>
        </w:tc>
        <w:tc>
          <w:tcPr>
            <w:tcW w:w="0" w:type="dxa"/>
            <w:noWrap/>
            <w:vAlign w:val="center"/>
            <w:hideMark/>
          </w:tcPr>
          <w:p w14:paraId="039A474F" w14:textId="6FC8A5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61</w:t>
            </w:r>
          </w:p>
        </w:tc>
      </w:tr>
      <w:tr w:rsidR="00A63D54" w:rsidRPr="00A1705B" w14:paraId="7DDFB9FB"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95184AD" w14:textId="7F687DF0" w:rsidR="00A63D54" w:rsidRPr="00A1705B" w:rsidRDefault="00A63D54" w:rsidP="00A63D54">
            <w:pPr>
              <w:pStyle w:val="Tabletext"/>
            </w:pPr>
            <w:r w:rsidRPr="00B57CD0">
              <w:rPr>
                <w:color w:val="000000"/>
              </w:rPr>
              <w:t>Michigan</w:t>
            </w:r>
          </w:p>
        </w:tc>
        <w:tc>
          <w:tcPr>
            <w:tcW w:w="0" w:type="dxa"/>
            <w:noWrap/>
            <w:hideMark/>
          </w:tcPr>
          <w:p w14:paraId="575BC6D3" w14:textId="7F83126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noWrap/>
            <w:hideMark/>
          </w:tcPr>
          <w:p w14:paraId="76E76EA8" w14:textId="62658B2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vAlign w:val="center"/>
          </w:tcPr>
          <w:p w14:paraId="278D135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A2C21F5" w14:textId="6C99192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noWrap/>
            <w:hideMark/>
          </w:tcPr>
          <w:p w14:paraId="3A1FB209" w14:textId="48661AB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vAlign w:val="center"/>
          </w:tcPr>
          <w:p w14:paraId="6CFDCAA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F552CA8" w14:textId="101CF2B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121</w:t>
            </w:r>
          </w:p>
        </w:tc>
        <w:tc>
          <w:tcPr>
            <w:tcW w:w="0" w:type="dxa"/>
            <w:noWrap/>
            <w:hideMark/>
          </w:tcPr>
          <w:p w14:paraId="619F12C1" w14:textId="6A2C21D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2E9F5B4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327D21C9" w14:textId="419854C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167</w:t>
            </w:r>
          </w:p>
        </w:tc>
        <w:tc>
          <w:tcPr>
            <w:tcW w:w="0" w:type="dxa"/>
            <w:noWrap/>
            <w:vAlign w:val="center"/>
            <w:hideMark/>
          </w:tcPr>
          <w:p w14:paraId="0585ECF2" w14:textId="6F07B57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76</w:t>
            </w:r>
          </w:p>
        </w:tc>
      </w:tr>
      <w:tr w:rsidR="00A63D54" w:rsidRPr="00A1705B" w14:paraId="0008008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AEEC99F" w14:textId="15C90334" w:rsidR="00A63D54" w:rsidRPr="00A1705B" w:rsidRDefault="00A63D54" w:rsidP="00A63D54">
            <w:pPr>
              <w:pStyle w:val="Tabletext"/>
            </w:pPr>
            <w:r w:rsidRPr="00B57CD0">
              <w:rPr>
                <w:color w:val="000000"/>
              </w:rPr>
              <w:t>Minnesota</w:t>
            </w:r>
          </w:p>
        </w:tc>
        <w:tc>
          <w:tcPr>
            <w:tcW w:w="0" w:type="dxa"/>
            <w:noWrap/>
            <w:hideMark/>
          </w:tcPr>
          <w:p w14:paraId="05B9A0EC" w14:textId="5B8C904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31</w:t>
            </w:r>
          </w:p>
        </w:tc>
        <w:tc>
          <w:tcPr>
            <w:tcW w:w="0" w:type="dxa"/>
            <w:noWrap/>
            <w:hideMark/>
          </w:tcPr>
          <w:p w14:paraId="3D5F2E23" w14:textId="3A87919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31</w:t>
            </w:r>
          </w:p>
        </w:tc>
        <w:tc>
          <w:tcPr>
            <w:tcW w:w="0" w:type="dxa"/>
            <w:vAlign w:val="center"/>
          </w:tcPr>
          <w:p w14:paraId="0779DB9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8EA18C1" w14:textId="7DEA19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12</w:t>
            </w:r>
          </w:p>
        </w:tc>
        <w:tc>
          <w:tcPr>
            <w:tcW w:w="0" w:type="dxa"/>
            <w:noWrap/>
            <w:hideMark/>
          </w:tcPr>
          <w:p w14:paraId="77C48957" w14:textId="18D248A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12</w:t>
            </w:r>
          </w:p>
        </w:tc>
        <w:tc>
          <w:tcPr>
            <w:tcW w:w="0" w:type="dxa"/>
            <w:vAlign w:val="center"/>
          </w:tcPr>
          <w:p w14:paraId="49D5B7A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6F374FC" w14:textId="0BFA6C7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71</w:t>
            </w:r>
          </w:p>
        </w:tc>
        <w:tc>
          <w:tcPr>
            <w:tcW w:w="0" w:type="dxa"/>
            <w:noWrap/>
            <w:hideMark/>
          </w:tcPr>
          <w:p w14:paraId="64DBAFED" w14:textId="04ED7F6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5AF902C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DEC1A15" w14:textId="2120780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114</w:t>
            </w:r>
          </w:p>
        </w:tc>
        <w:tc>
          <w:tcPr>
            <w:tcW w:w="0" w:type="dxa"/>
            <w:noWrap/>
            <w:vAlign w:val="center"/>
            <w:hideMark/>
          </w:tcPr>
          <w:p w14:paraId="05B15B4B" w14:textId="0B66815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73</w:t>
            </w:r>
          </w:p>
        </w:tc>
      </w:tr>
      <w:tr w:rsidR="00A63D54" w:rsidRPr="00A1705B" w14:paraId="460006B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E09CC75" w14:textId="767CFA49" w:rsidR="00A63D54" w:rsidRPr="00A1705B" w:rsidRDefault="00A63D54" w:rsidP="00A63D54">
            <w:pPr>
              <w:pStyle w:val="Tabletext"/>
            </w:pPr>
            <w:r w:rsidRPr="00B57CD0">
              <w:rPr>
                <w:color w:val="000000"/>
              </w:rPr>
              <w:t>Mississippi</w:t>
            </w:r>
          </w:p>
        </w:tc>
        <w:tc>
          <w:tcPr>
            <w:tcW w:w="0" w:type="dxa"/>
            <w:noWrap/>
            <w:hideMark/>
          </w:tcPr>
          <w:p w14:paraId="68F576ED" w14:textId="339AC33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noWrap/>
            <w:hideMark/>
          </w:tcPr>
          <w:p w14:paraId="2BE04215" w14:textId="5341241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vAlign w:val="center"/>
          </w:tcPr>
          <w:p w14:paraId="5553ED41"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FC1B759" w14:textId="0513AA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noWrap/>
            <w:hideMark/>
          </w:tcPr>
          <w:p w14:paraId="15A397EB" w14:textId="5E71966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vAlign w:val="center"/>
          </w:tcPr>
          <w:p w14:paraId="4007C9E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5D92086" w14:textId="75A8CFF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34</w:t>
            </w:r>
          </w:p>
        </w:tc>
        <w:tc>
          <w:tcPr>
            <w:tcW w:w="0" w:type="dxa"/>
            <w:noWrap/>
            <w:hideMark/>
          </w:tcPr>
          <w:p w14:paraId="75C16F58" w14:textId="683E745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34</w:t>
            </w:r>
          </w:p>
        </w:tc>
        <w:tc>
          <w:tcPr>
            <w:tcW w:w="0" w:type="dxa"/>
            <w:vAlign w:val="center"/>
          </w:tcPr>
          <w:p w14:paraId="18D98BC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CD491EE" w14:textId="3F02305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57</w:t>
            </w:r>
          </w:p>
        </w:tc>
        <w:tc>
          <w:tcPr>
            <w:tcW w:w="0" w:type="dxa"/>
            <w:noWrap/>
            <w:vAlign w:val="center"/>
            <w:hideMark/>
          </w:tcPr>
          <w:p w14:paraId="31EF5797" w14:textId="5205EB7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57</w:t>
            </w:r>
          </w:p>
        </w:tc>
      </w:tr>
      <w:tr w:rsidR="00A63D54" w:rsidRPr="00A1705B" w14:paraId="5C747E62"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A0E3934" w14:textId="50A5F547" w:rsidR="00A63D54" w:rsidRPr="00A1705B" w:rsidRDefault="00A63D54" w:rsidP="00A63D54">
            <w:pPr>
              <w:pStyle w:val="Tabletext"/>
            </w:pPr>
            <w:r w:rsidRPr="00B57CD0">
              <w:rPr>
                <w:color w:val="000000"/>
              </w:rPr>
              <w:t>Missouri</w:t>
            </w:r>
          </w:p>
        </w:tc>
        <w:tc>
          <w:tcPr>
            <w:tcW w:w="0" w:type="dxa"/>
            <w:noWrap/>
            <w:hideMark/>
          </w:tcPr>
          <w:p w14:paraId="5EB5457F" w14:textId="09BF83C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17</w:t>
            </w:r>
          </w:p>
        </w:tc>
        <w:tc>
          <w:tcPr>
            <w:tcW w:w="0" w:type="dxa"/>
            <w:noWrap/>
            <w:hideMark/>
          </w:tcPr>
          <w:p w14:paraId="6B380F85" w14:textId="1330359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17</w:t>
            </w:r>
          </w:p>
        </w:tc>
        <w:tc>
          <w:tcPr>
            <w:tcW w:w="0" w:type="dxa"/>
            <w:vAlign w:val="center"/>
          </w:tcPr>
          <w:p w14:paraId="60B8613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C767D95" w14:textId="3B851E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noWrap/>
            <w:hideMark/>
          </w:tcPr>
          <w:p w14:paraId="08BC879D" w14:textId="7CF0E2C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vAlign w:val="center"/>
          </w:tcPr>
          <w:p w14:paraId="43AB344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A016202" w14:textId="482767A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149</w:t>
            </w:r>
          </w:p>
        </w:tc>
        <w:tc>
          <w:tcPr>
            <w:tcW w:w="0" w:type="dxa"/>
            <w:noWrap/>
            <w:hideMark/>
          </w:tcPr>
          <w:p w14:paraId="4219B4E1" w14:textId="3C4F31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F3CE08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D7E44C8" w14:textId="2AC17F8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179</w:t>
            </w:r>
          </w:p>
        </w:tc>
        <w:tc>
          <w:tcPr>
            <w:tcW w:w="0" w:type="dxa"/>
            <w:noWrap/>
            <w:vAlign w:val="center"/>
            <w:hideMark/>
          </w:tcPr>
          <w:p w14:paraId="402166E0" w14:textId="3CF32A6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60</w:t>
            </w:r>
          </w:p>
        </w:tc>
      </w:tr>
      <w:tr w:rsidR="00A63D54" w:rsidRPr="00A1705B" w14:paraId="67A6F59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C215BBA" w14:textId="57AE085B" w:rsidR="00A63D54" w:rsidRPr="00A1705B" w:rsidRDefault="00A63D54" w:rsidP="00A63D54">
            <w:pPr>
              <w:pStyle w:val="Tabletext"/>
            </w:pPr>
            <w:r w:rsidRPr="00B57CD0">
              <w:rPr>
                <w:color w:val="000000"/>
              </w:rPr>
              <w:t>Montana</w:t>
            </w:r>
          </w:p>
        </w:tc>
        <w:tc>
          <w:tcPr>
            <w:tcW w:w="0" w:type="dxa"/>
            <w:noWrap/>
            <w:hideMark/>
          </w:tcPr>
          <w:p w14:paraId="26C8DE84" w14:textId="4A83769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c>
          <w:tcPr>
            <w:tcW w:w="0" w:type="dxa"/>
            <w:noWrap/>
            <w:hideMark/>
          </w:tcPr>
          <w:p w14:paraId="030D2FD2" w14:textId="3068FEB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c>
          <w:tcPr>
            <w:tcW w:w="0" w:type="dxa"/>
            <w:vAlign w:val="center"/>
          </w:tcPr>
          <w:p w14:paraId="2BF031C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8B36D40" w14:textId="470031A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noWrap/>
            <w:hideMark/>
          </w:tcPr>
          <w:p w14:paraId="567310AF" w14:textId="6D7DD3F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vAlign w:val="center"/>
          </w:tcPr>
          <w:p w14:paraId="1753DAA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6F7DA51" w14:textId="0F38C38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noWrap/>
            <w:hideMark/>
          </w:tcPr>
          <w:p w14:paraId="6D7EF7E4" w14:textId="0FB2F3E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vAlign w:val="center"/>
          </w:tcPr>
          <w:p w14:paraId="3AF8D4F3"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70E3023" w14:textId="5F44C70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31</w:t>
            </w:r>
          </w:p>
        </w:tc>
        <w:tc>
          <w:tcPr>
            <w:tcW w:w="0" w:type="dxa"/>
            <w:noWrap/>
            <w:vAlign w:val="center"/>
            <w:hideMark/>
          </w:tcPr>
          <w:p w14:paraId="7659A1F4" w14:textId="6C94420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31</w:t>
            </w:r>
          </w:p>
        </w:tc>
      </w:tr>
      <w:tr w:rsidR="00A63D54" w:rsidRPr="00A1705B" w14:paraId="2FBE0C78"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B27931F" w14:textId="0EB57191" w:rsidR="00A63D54" w:rsidRPr="00A1705B" w:rsidRDefault="00A63D54" w:rsidP="00A63D54">
            <w:pPr>
              <w:pStyle w:val="Tabletext"/>
            </w:pPr>
            <w:r w:rsidRPr="00B57CD0">
              <w:rPr>
                <w:color w:val="000000"/>
              </w:rPr>
              <w:t>Nebraska</w:t>
            </w:r>
          </w:p>
        </w:tc>
        <w:tc>
          <w:tcPr>
            <w:tcW w:w="0" w:type="dxa"/>
            <w:noWrap/>
            <w:hideMark/>
          </w:tcPr>
          <w:p w14:paraId="0843BEC4" w14:textId="61D2808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noWrap/>
            <w:hideMark/>
          </w:tcPr>
          <w:p w14:paraId="29FA2904" w14:textId="639A4F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8</w:t>
            </w:r>
          </w:p>
        </w:tc>
        <w:tc>
          <w:tcPr>
            <w:tcW w:w="0" w:type="dxa"/>
            <w:vAlign w:val="center"/>
          </w:tcPr>
          <w:p w14:paraId="7D0440B0"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7328FA8" w14:textId="31E9D1A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hideMark/>
          </w:tcPr>
          <w:p w14:paraId="59BDF346" w14:textId="721BA9F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672ABD10"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DA3F995" w14:textId="5C46983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34</w:t>
            </w:r>
          </w:p>
        </w:tc>
        <w:tc>
          <w:tcPr>
            <w:tcW w:w="0" w:type="dxa"/>
            <w:noWrap/>
            <w:hideMark/>
          </w:tcPr>
          <w:p w14:paraId="46AAC31D" w14:textId="1B4B44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34</w:t>
            </w:r>
          </w:p>
        </w:tc>
        <w:tc>
          <w:tcPr>
            <w:tcW w:w="0" w:type="dxa"/>
            <w:vAlign w:val="center"/>
          </w:tcPr>
          <w:p w14:paraId="200BFE49"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7270CB1" w14:textId="318E36B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49</w:t>
            </w:r>
          </w:p>
        </w:tc>
        <w:tc>
          <w:tcPr>
            <w:tcW w:w="0" w:type="dxa"/>
            <w:noWrap/>
            <w:vAlign w:val="center"/>
            <w:hideMark/>
          </w:tcPr>
          <w:p w14:paraId="001E916F" w14:textId="37D5C7C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49</w:t>
            </w:r>
          </w:p>
        </w:tc>
      </w:tr>
      <w:tr w:rsidR="00A63D54" w:rsidRPr="00A1705B" w14:paraId="0CF21CB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8F11377" w14:textId="7254D156" w:rsidR="00A63D54" w:rsidRPr="00A1705B" w:rsidRDefault="00A63D54" w:rsidP="00A63D54">
            <w:pPr>
              <w:pStyle w:val="Tabletext"/>
            </w:pPr>
            <w:r w:rsidRPr="00B57CD0">
              <w:rPr>
                <w:color w:val="000000"/>
              </w:rPr>
              <w:t>Nevada</w:t>
            </w:r>
          </w:p>
        </w:tc>
        <w:tc>
          <w:tcPr>
            <w:tcW w:w="0" w:type="dxa"/>
            <w:noWrap/>
            <w:hideMark/>
          </w:tcPr>
          <w:p w14:paraId="4384831D" w14:textId="3AEFCC1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hideMark/>
          </w:tcPr>
          <w:p w14:paraId="4DA6C2EE" w14:textId="1C75BEA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119104A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36CF6A8" w14:textId="6C20429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noWrap/>
            <w:hideMark/>
          </w:tcPr>
          <w:p w14:paraId="063F390B" w14:textId="2CA79BF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p>
        </w:tc>
        <w:tc>
          <w:tcPr>
            <w:tcW w:w="0" w:type="dxa"/>
            <w:vAlign w:val="center"/>
          </w:tcPr>
          <w:p w14:paraId="427BFC5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98C68ED" w14:textId="1F5DC0B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noWrap/>
            <w:hideMark/>
          </w:tcPr>
          <w:p w14:paraId="0AA22557" w14:textId="6AB7C2E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vAlign w:val="center"/>
          </w:tcPr>
          <w:p w14:paraId="097F3AE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103372F" w14:textId="26BD63F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42</w:t>
            </w:r>
          </w:p>
        </w:tc>
        <w:tc>
          <w:tcPr>
            <w:tcW w:w="0" w:type="dxa"/>
            <w:noWrap/>
            <w:vAlign w:val="center"/>
            <w:hideMark/>
          </w:tcPr>
          <w:p w14:paraId="2368F7AB" w14:textId="4AB02C0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42</w:t>
            </w:r>
          </w:p>
        </w:tc>
      </w:tr>
      <w:tr w:rsidR="00A63D54" w:rsidRPr="00A1705B" w14:paraId="4631A9F8"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F433CF1" w14:textId="69038023" w:rsidR="00A63D54" w:rsidRPr="00A1705B" w:rsidRDefault="00A63D54" w:rsidP="00A63D54">
            <w:pPr>
              <w:pStyle w:val="Tabletext"/>
            </w:pPr>
            <w:r w:rsidRPr="00B57CD0">
              <w:rPr>
                <w:color w:val="000000"/>
              </w:rPr>
              <w:t>New Hampshire</w:t>
            </w:r>
          </w:p>
        </w:tc>
        <w:tc>
          <w:tcPr>
            <w:tcW w:w="0" w:type="dxa"/>
            <w:noWrap/>
            <w:hideMark/>
          </w:tcPr>
          <w:p w14:paraId="1185BB73" w14:textId="4657A17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hideMark/>
          </w:tcPr>
          <w:p w14:paraId="5274F2B5" w14:textId="2ADA61D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6B8FF1F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C42F710" w14:textId="6396F99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w:t>
            </w:r>
          </w:p>
        </w:tc>
        <w:tc>
          <w:tcPr>
            <w:tcW w:w="0" w:type="dxa"/>
            <w:noWrap/>
            <w:hideMark/>
          </w:tcPr>
          <w:p w14:paraId="000CE261" w14:textId="31F0F96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w:t>
            </w:r>
          </w:p>
        </w:tc>
        <w:tc>
          <w:tcPr>
            <w:tcW w:w="0" w:type="dxa"/>
            <w:vAlign w:val="center"/>
          </w:tcPr>
          <w:p w14:paraId="0955543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98DA06C" w14:textId="09BD198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26</w:t>
            </w:r>
          </w:p>
        </w:tc>
        <w:tc>
          <w:tcPr>
            <w:tcW w:w="0" w:type="dxa"/>
            <w:noWrap/>
            <w:hideMark/>
          </w:tcPr>
          <w:p w14:paraId="395024D2" w14:textId="3689925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26</w:t>
            </w:r>
          </w:p>
        </w:tc>
        <w:tc>
          <w:tcPr>
            <w:tcW w:w="0" w:type="dxa"/>
            <w:vAlign w:val="center"/>
          </w:tcPr>
          <w:p w14:paraId="52A16EE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6282288" w14:textId="049CDA6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39</w:t>
            </w:r>
          </w:p>
        </w:tc>
        <w:tc>
          <w:tcPr>
            <w:tcW w:w="0" w:type="dxa"/>
            <w:noWrap/>
            <w:vAlign w:val="center"/>
            <w:hideMark/>
          </w:tcPr>
          <w:p w14:paraId="1CC17EFE" w14:textId="10748B0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39</w:t>
            </w:r>
          </w:p>
        </w:tc>
      </w:tr>
      <w:tr w:rsidR="00A63D54" w:rsidRPr="00A1705B" w14:paraId="4418EFB7"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A5264CF" w14:textId="226657AC" w:rsidR="00A63D54" w:rsidRPr="00A1705B" w:rsidRDefault="00A63D54" w:rsidP="00A63D54">
            <w:pPr>
              <w:pStyle w:val="Tabletext"/>
            </w:pPr>
            <w:r w:rsidRPr="00B57CD0">
              <w:rPr>
                <w:color w:val="000000"/>
              </w:rPr>
              <w:t>New Jersey</w:t>
            </w:r>
          </w:p>
        </w:tc>
        <w:tc>
          <w:tcPr>
            <w:tcW w:w="0" w:type="dxa"/>
            <w:noWrap/>
            <w:hideMark/>
          </w:tcPr>
          <w:p w14:paraId="45F2519C" w14:textId="4B3E2E9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19</w:t>
            </w:r>
          </w:p>
        </w:tc>
        <w:tc>
          <w:tcPr>
            <w:tcW w:w="0" w:type="dxa"/>
            <w:noWrap/>
            <w:hideMark/>
          </w:tcPr>
          <w:p w14:paraId="7C31A39C" w14:textId="2B8E06D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19</w:t>
            </w:r>
          </w:p>
        </w:tc>
        <w:tc>
          <w:tcPr>
            <w:tcW w:w="0" w:type="dxa"/>
            <w:vAlign w:val="center"/>
          </w:tcPr>
          <w:p w14:paraId="175EA4F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4EC4791" w14:textId="02A816A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noWrap/>
            <w:hideMark/>
          </w:tcPr>
          <w:p w14:paraId="17824E5C" w14:textId="0578F9C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vAlign w:val="center"/>
          </w:tcPr>
          <w:p w14:paraId="7D04DA3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E35468E" w14:textId="62062F9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115</w:t>
            </w:r>
          </w:p>
        </w:tc>
        <w:tc>
          <w:tcPr>
            <w:tcW w:w="0" w:type="dxa"/>
            <w:noWrap/>
            <w:hideMark/>
          </w:tcPr>
          <w:p w14:paraId="1CE07ABF" w14:textId="0B0B7DB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AD1BDF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B7178A3" w14:textId="225C4F2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147</w:t>
            </w:r>
          </w:p>
        </w:tc>
        <w:tc>
          <w:tcPr>
            <w:tcW w:w="0" w:type="dxa"/>
            <w:noWrap/>
            <w:vAlign w:val="center"/>
            <w:hideMark/>
          </w:tcPr>
          <w:p w14:paraId="1B2DB8D8" w14:textId="0719027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62</w:t>
            </w:r>
          </w:p>
        </w:tc>
      </w:tr>
      <w:tr w:rsidR="00A63D54" w:rsidRPr="00A1705B" w14:paraId="62235912"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BB110A2" w14:textId="65812630" w:rsidR="00A63D54" w:rsidRPr="00A1705B" w:rsidRDefault="00A63D54" w:rsidP="00A63D54">
            <w:pPr>
              <w:pStyle w:val="Tabletext"/>
            </w:pPr>
            <w:r w:rsidRPr="00B57CD0">
              <w:rPr>
                <w:color w:val="000000"/>
              </w:rPr>
              <w:t>New Mexico</w:t>
            </w:r>
          </w:p>
        </w:tc>
        <w:tc>
          <w:tcPr>
            <w:tcW w:w="0" w:type="dxa"/>
            <w:noWrap/>
            <w:hideMark/>
          </w:tcPr>
          <w:p w14:paraId="22D7BF77" w14:textId="26A2E2C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19</w:t>
            </w:r>
          </w:p>
        </w:tc>
        <w:tc>
          <w:tcPr>
            <w:tcW w:w="0" w:type="dxa"/>
            <w:noWrap/>
            <w:hideMark/>
          </w:tcPr>
          <w:p w14:paraId="49D8FCF0" w14:textId="51E35A0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19</w:t>
            </w:r>
          </w:p>
        </w:tc>
        <w:tc>
          <w:tcPr>
            <w:tcW w:w="0" w:type="dxa"/>
            <w:vAlign w:val="center"/>
          </w:tcPr>
          <w:p w14:paraId="246C72A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F7861D6" w14:textId="1A0218B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noWrap/>
            <w:hideMark/>
          </w:tcPr>
          <w:p w14:paraId="784E4CC5" w14:textId="5D7BBBB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vAlign w:val="center"/>
          </w:tcPr>
          <w:p w14:paraId="6EE40F7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E32F3DE" w14:textId="4A54835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noWrap/>
            <w:hideMark/>
          </w:tcPr>
          <w:p w14:paraId="43C2742C" w14:textId="273ED4E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vAlign w:val="center"/>
          </w:tcPr>
          <w:p w14:paraId="15EFA4B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58F9797" w14:textId="307B76C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49</w:t>
            </w:r>
          </w:p>
        </w:tc>
        <w:tc>
          <w:tcPr>
            <w:tcW w:w="0" w:type="dxa"/>
            <w:noWrap/>
            <w:vAlign w:val="center"/>
            <w:hideMark/>
          </w:tcPr>
          <w:p w14:paraId="10B746C9" w14:textId="0B8821E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49</w:t>
            </w:r>
          </w:p>
        </w:tc>
      </w:tr>
      <w:tr w:rsidR="00A63D54" w:rsidRPr="00A1705B" w14:paraId="78EFE4B3"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11CEF65" w14:textId="48D4BC4B" w:rsidR="00A63D54" w:rsidRPr="00A1705B" w:rsidRDefault="00A63D54" w:rsidP="00A63D54">
            <w:pPr>
              <w:pStyle w:val="Tabletext"/>
            </w:pPr>
            <w:r w:rsidRPr="00B57CD0">
              <w:rPr>
                <w:color w:val="000000"/>
              </w:rPr>
              <w:t>New York</w:t>
            </w:r>
          </w:p>
        </w:tc>
        <w:tc>
          <w:tcPr>
            <w:tcW w:w="0" w:type="dxa"/>
            <w:noWrap/>
            <w:hideMark/>
          </w:tcPr>
          <w:p w14:paraId="4E189FBA" w14:textId="244854E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38</w:t>
            </w:r>
          </w:p>
        </w:tc>
        <w:tc>
          <w:tcPr>
            <w:tcW w:w="0" w:type="dxa"/>
            <w:noWrap/>
            <w:hideMark/>
          </w:tcPr>
          <w:p w14:paraId="21B47897" w14:textId="05EECD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38</w:t>
            </w:r>
          </w:p>
        </w:tc>
        <w:tc>
          <w:tcPr>
            <w:tcW w:w="0" w:type="dxa"/>
            <w:vAlign w:val="center"/>
          </w:tcPr>
          <w:p w14:paraId="23830BE1"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56B741A" w14:textId="00899FE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43</w:t>
            </w:r>
          </w:p>
        </w:tc>
        <w:tc>
          <w:tcPr>
            <w:tcW w:w="0" w:type="dxa"/>
            <w:noWrap/>
            <w:hideMark/>
          </w:tcPr>
          <w:p w14:paraId="36520095" w14:textId="3AC8BDA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43</w:t>
            </w:r>
          </w:p>
        </w:tc>
        <w:tc>
          <w:tcPr>
            <w:tcW w:w="0" w:type="dxa"/>
            <w:vAlign w:val="center"/>
          </w:tcPr>
          <w:p w14:paraId="02ED26C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EF5612E" w14:textId="4220B43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364</w:t>
            </w:r>
          </w:p>
        </w:tc>
        <w:tc>
          <w:tcPr>
            <w:tcW w:w="0" w:type="dxa"/>
            <w:noWrap/>
            <w:hideMark/>
          </w:tcPr>
          <w:p w14:paraId="069E0718" w14:textId="1898730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7782E4F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397530A" w14:textId="7BAE93A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445</w:t>
            </w:r>
          </w:p>
        </w:tc>
        <w:tc>
          <w:tcPr>
            <w:tcW w:w="0" w:type="dxa"/>
            <w:noWrap/>
            <w:vAlign w:val="center"/>
            <w:hideMark/>
          </w:tcPr>
          <w:p w14:paraId="0F59892B" w14:textId="73630FD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111</w:t>
            </w:r>
          </w:p>
        </w:tc>
      </w:tr>
      <w:tr w:rsidR="00A63D54" w:rsidRPr="00A1705B" w14:paraId="2FD50183"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6259C11" w14:textId="6182675C" w:rsidR="00A63D54" w:rsidRPr="00A1705B" w:rsidRDefault="00A63D54" w:rsidP="00A63D54">
            <w:pPr>
              <w:pStyle w:val="Tabletext"/>
            </w:pPr>
            <w:r w:rsidRPr="00B57CD0">
              <w:rPr>
                <w:color w:val="000000"/>
              </w:rPr>
              <w:t>North Carolina</w:t>
            </w:r>
          </w:p>
        </w:tc>
        <w:tc>
          <w:tcPr>
            <w:tcW w:w="0" w:type="dxa"/>
            <w:noWrap/>
            <w:hideMark/>
          </w:tcPr>
          <w:p w14:paraId="0BE10787" w14:textId="62C420C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60</w:t>
            </w:r>
          </w:p>
        </w:tc>
        <w:tc>
          <w:tcPr>
            <w:tcW w:w="0" w:type="dxa"/>
            <w:noWrap/>
            <w:hideMark/>
          </w:tcPr>
          <w:p w14:paraId="52EA873B" w14:textId="1929F21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60</w:t>
            </w:r>
          </w:p>
        </w:tc>
        <w:tc>
          <w:tcPr>
            <w:tcW w:w="0" w:type="dxa"/>
            <w:vAlign w:val="center"/>
          </w:tcPr>
          <w:p w14:paraId="0A52BD53"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335D94B" w14:textId="79386178"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noWrap/>
            <w:hideMark/>
          </w:tcPr>
          <w:p w14:paraId="63DDD84D" w14:textId="03003CF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16</w:t>
            </w:r>
          </w:p>
        </w:tc>
        <w:tc>
          <w:tcPr>
            <w:tcW w:w="0" w:type="dxa"/>
            <w:vAlign w:val="center"/>
          </w:tcPr>
          <w:p w14:paraId="50BFFBC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02BF502" w14:textId="3A6357F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101</w:t>
            </w:r>
          </w:p>
        </w:tc>
        <w:tc>
          <w:tcPr>
            <w:tcW w:w="0" w:type="dxa"/>
            <w:noWrap/>
            <w:hideMark/>
          </w:tcPr>
          <w:p w14:paraId="6163527F" w14:textId="568DCAC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A60CD3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EAEAE13" w14:textId="1033574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177</w:t>
            </w:r>
          </w:p>
        </w:tc>
        <w:tc>
          <w:tcPr>
            <w:tcW w:w="0" w:type="dxa"/>
            <w:noWrap/>
            <w:vAlign w:val="center"/>
            <w:hideMark/>
          </w:tcPr>
          <w:p w14:paraId="7E58CD9D" w14:textId="43CAA66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106</w:t>
            </w:r>
          </w:p>
        </w:tc>
      </w:tr>
      <w:tr w:rsidR="00A63D54" w:rsidRPr="00A1705B" w14:paraId="44BCE044"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9A7D3A3" w14:textId="505ED06D" w:rsidR="00A63D54" w:rsidRPr="00A1705B" w:rsidRDefault="00A63D54" w:rsidP="00A63D54">
            <w:pPr>
              <w:pStyle w:val="Tabletext"/>
            </w:pPr>
            <w:r w:rsidRPr="00B57CD0">
              <w:rPr>
                <w:color w:val="000000"/>
              </w:rPr>
              <w:t>North Dakota</w:t>
            </w:r>
          </w:p>
        </w:tc>
        <w:tc>
          <w:tcPr>
            <w:tcW w:w="0" w:type="dxa"/>
            <w:noWrap/>
            <w:hideMark/>
          </w:tcPr>
          <w:p w14:paraId="566ECDE9" w14:textId="606ECDF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noWrap/>
            <w:hideMark/>
          </w:tcPr>
          <w:p w14:paraId="73DE383C" w14:textId="15E0A44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vAlign w:val="center"/>
          </w:tcPr>
          <w:p w14:paraId="2F2058C6"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6FA6AE4" w14:textId="660ACA9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noWrap/>
            <w:hideMark/>
          </w:tcPr>
          <w:p w14:paraId="4FE360D4" w14:textId="470B402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vAlign w:val="center"/>
          </w:tcPr>
          <w:p w14:paraId="6106811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193A55A" w14:textId="15A7DEB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noWrap/>
            <w:hideMark/>
          </w:tcPr>
          <w:p w14:paraId="283B3E8B" w14:textId="6418238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15</w:t>
            </w:r>
          </w:p>
        </w:tc>
        <w:tc>
          <w:tcPr>
            <w:tcW w:w="0" w:type="dxa"/>
            <w:vAlign w:val="center"/>
          </w:tcPr>
          <w:p w14:paraId="03DB33F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B653990" w14:textId="0D18582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29</w:t>
            </w:r>
          </w:p>
        </w:tc>
        <w:tc>
          <w:tcPr>
            <w:tcW w:w="0" w:type="dxa"/>
            <w:noWrap/>
            <w:vAlign w:val="center"/>
            <w:hideMark/>
          </w:tcPr>
          <w:p w14:paraId="455E10F2" w14:textId="79FA7CA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29</w:t>
            </w:r>
          </w:p>
        </w:tc>
      </w:tr>
      <w:tr w:rsidR="00A63D54" w:rsidRPr="00A1705B" w14:paraId="3D8B7A77"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CF46E11" w14:textId="198DCEA5" w:rsidR="00A63D54" w:rsidRPr="00A1705B" w:rsidRDefault="00A63D54" w:rsidP="00A63D54">
            <w:pPr>
              <w:pStyle w:val="Tabletext"/>
            </w:pPr>
            <w:r w:rsidRPr="00B57CD0">
              <w:rPr>
                <w:color w:val="000000"/>
              </w:rPr>
              <w:t>Ohio</w:t>
            </w:r>
          </w:p>
        </w:tc>
        <w:tc>
          <w:tcPr>
            <w:tcW w:w="0" w:type="dxa"/>
            <w:noWrap/>
            <w:hideMark/>
          </w:tcPr>
          <w:p w14:paraId="682F4216" w14:textId="1CA74A5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noWrap/>
            <w:hideMark/>
          </w:tcPr>
          <w:p w14:paraId="780743DE" w14:textId="58DC548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vAlign w:val="center"/>
          </w:tcPr>
          <w:p w14:paraId="49C3A1D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124C198" w14:textId="17A4C11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noWrap/>
            <w:hideMark/>
          </w:tcPr>
          <w:p w14:paraId="2A23D42A" w14:textId="268FC88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35</w:t>
            </w:r>
          </w:p>
        </w:tc>
        <w:tc>
          <w:tcPr>
            <w:tcW w:w="0" w:type="dxa"/>
            <w:vAlign w:val="center"/>
          </w:tcPr>
          <w:p w14:paraId="3B8F111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A909F23" w14:textId="750D8A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242</w:t>
            </w:r>
          </w:p>
        </w:tc>
        <w:tc>
          <w:tcPr>
            <w:tcW w:w="0" w:type="dxa"/>
            <w:noWrap/>
            <w:hideMark/>
          </w:tcPr>
          <w:p w14:paraId="1935E97E" w14:textId="5B97BFE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444B504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85394E7" w14:textId="2378398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312</w:t>
            </w:r>
          </w:p>
        </w:tc>
        <w:tc>
          <w:tcPr>
            <w:tcW w:w="0" w:type="dxa"/>
            <w:noWrap/>
            <w:vAlign w:val="center"/>
            <w:hideMark/>
          </w:tcPr>
          <w:p w14:paraId="598424FA" w14:textId="5644A6E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100</w:t>
            </w:r>
          </w:p>
        </w:tc>
      </w:tr>
      <w:tr w:rsidR="00A63D54" w:rsidRPr="00A1705B" w14:paraId="215E9F53"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AE5F36F" w14:textId="6F6CBBA5" w:rsidR="00A63D54" w:rsidRPr="00A1705B" w:rsidRDefault="00A63D54" w:rsidP="00A63D54">
            <w:pPr>
              <w:pStyle w:val="Tabletext"/>
            </w:pPr>
            <w:r w:rsidRPr="00B57CD0">
              <w:rPr>
                <w:color w:val="000000"/>
              </w:rPr>
              <w:t>Oklahoma</w:t>
            </w:r>
          </w:p>
        </w:tc>
        <w:tc>
          <w:tcPr>
            <w:tcW w:w="0" w:type="dxa"/>
            <w:noWrap/>
            <w:hideMark/>
          </w:tcPr>
          <w:p w14:paraId="52B8B8BF" w14:textId="22C4774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noWrap/>
            <w:hideMark/>
          </w:tcPr>
          <w:p w14:paraId="139465E9" w14:textId="662022C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vAlign w:val="center"/>
          </w:tcPr>
          <w:p w14:paraId="3F164C0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5704F3C" w14:textId="79E2F32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noWrap/>
            <w:hideMark/>
          </w:tcPr>
          <w:p w14:paraId="509C99B2" w14:textId="1297D8B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vAlign w:val="center"/>
          </w:tcPr>
          <w:p w14:paraId="22C126E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6FDE1E0" w14:textId="6662D14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90</w:t>
            </w:r>
          </w:p>
        </w:tc>
        <w:tc>
          <w:tcPr>
            <w:tcW w:w="0" w:type="dxa"/>
            <w:noWrap/>
            <w:hideMark/>
          </w:tcPr>
          <w:p w14:paraId="34CF418A" w14:textId="76558AD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0E122BF2"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A2C8A19" w14:textId="780486D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132</w:t>
            </w:r>
          </w:p>
        </w:tc>
        <w:tc>
          <w:tcPr>
            <w:tcW w:w="0" w:type="dxa"/>
            <w:noWrap/>
            <w:vAlign w:val="center"/>
            <w:hideMark/>
          </w:tcPr>
          <w:p w14:paraId="49BAE136" w14:textId="54D9613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72</w:t>
            </w:r>
          </w:p>
        </w:tc>
      </w:tr>
      <w:tr w:rsidR="00A63D54" w:rsidRPr="00A1705B" w14:paraId="64D3E7CE"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612EA4D" w14:textId="3272C615" w:rsidR="00A63D54" w:rsidRPr="00A1705B" w:rsidRDefault="00A63D54" w:rsidP="00A63D54">
            <w:pPr>
              <w:pStyle w:val="Tabletext"/>
            </w:pPr>
            <w:r w:rsidRPr="00B57CD0">
              <w:rPr>
                <w:color w:val="000000"/>
              </w:rPr>
              <w:t>Oregon</w:t>
            </w:r>
          </w:p>
        </w:tc>
        <w:tc>
          <w:tcPr>
            <w:tcW w:w="0" w:type="dxa"/>
            <w:noWrap/>
            <w:hideMark/>
          </w:tcPr>
          <w:p w14:paraId="5EB359D2" w14:textId="7825E45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17</w:t>
            </w:r>
          </w:p>
        </w:tc>
        <w:tc>
          <w:tcPr>
            <w:tcW w:w="0" w:type="dxa"/>
            <w:noWrap/>
            <w:hideMark/>
          </w:tcPr>
          <w:p w14:paraId="2189C2EE" w14:textId="60B5360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17</w:t>
            </w:r>
          </w:p>
        </w:tc>
        <w:tc>
          <w:tcPr>
            <w:tcW w:w="0" w:type="dxa"/>
            <w:vAlign w:val="center"/>
          </w:tcPr>
          <w:p w14:paraId="3D07DEAE"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1F69838" w14:textId="22E7216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noWrap/>
            <w:hideMark/>
          </w:tcPr>
          <w:p w14:paraId="1C3A8279" w14:textId="17FA663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9</w:t>
            </w:r>
          </w:p>
        </w:tc>
        <w:tc>
          <w:tcPr>
            <w:tcW w:w="0" w:type="dxa"/>
            <w:vAlign w:val="center"/>
          </w:tcPr>
          <w:p w14:paraId="0BAC259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62BC0B7" w14:textId="60B58FF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62</w:t>
            </w:r>
          </w:p>
        </w:tc>
        <w:tc>
          <w:tcPr>
            <w:tcW w:w="0" w:type="dxa"/>
            <w:noWrap/>
            <w:hideMark/>
          </w:tcPr>
          <w:p w14:paraId="378D0DAA" w14:textId="51B10A8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951FCC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95B968B" w14:textId="3061CB6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88</w:t>
            </w:r>
          </w:p>
        </w:tc>
        <w:tc>
          <w:tcPr>
            <w:tcW w:w="0" w:type="dxa"/>
            <w:noWrap/>
            <w:vAlign w:val="center"/>
            <w:hideMark/>
          </w:tcPr>
          <w:p w14:paraId="69AB1F12" w14:textId="17DC47A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56</w:t>
            </w:r>
          </w:p>
        </w:tc>
      </w:tr>
      <w:tr w:rsidR="00A63D54" w:rsidRPr="00A1705B" w14:paraId="5D07BFF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3070A3C0" w14:textId="78B4D98E" w:rsidR="00A63D54" w:rsidRPr="00A1705B" w:rsidRDefault="00A63D54" w:rsidP="00A63D54">
            <w:pPr>
              <w:pStyle w:val="Tabletext"/>
            </w:pPr>
            <w:r w:rsidRPr="00B57CD0">
              <w:rPr>
                <w:color w:val="000000"/>
              </w:rPr>
              <w:t>Pennsylvania</w:t>
            </w:r>
          </w:p>
        </w:tc>
        <w:tc>
          <w:tcPr>
            <w:tcW w:w="0" w:type="dxa"/>
            <w:noWrap/>
            <w:hideMark/>
          </w:tcPr>
          <w:p w14:paraId="6C46D563" w14:textId="32C611B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noWrap/>
            <w:hideMark/>
          </w:tcPr>
          <w:p w14:paraId="74753298" w14:textId="73A2F37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17</w:t>
            </w:r>
          </w:p>
        </w:tc>
        <w:tc>
          <w:tcPr>
            <w:tcW w:w="0" w:type="dxa"/>
            <w:vAlign w:val="center"/>
          </w:tcPr>
          <w:p w14:paraId="4F22E65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8EB2120" w14:textId="4D62455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45</w:t>
            </w:r>
          </w:p>
        </w:tc>
        <w:tc>
          <w:tcPr>
            <w:tcW w:w="0" w:type="dxa"/>
            <w:noWrap/>
            <w:hideMark/>
          </w:tcPr>
          <w:p w14:paraId="3F627EB9" w14:textId="4E09F34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45</w:t>
            </w:r>
          </w:p>
        </w:tc>
        <w:tc>
          <w:tcPr>
            <w:tcW w:w="0" w:type="dxa"/>
            <w:vAlign w:val="center"/>
          </w:tcPr>
          <w:p w14:paraId="40A45E9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CCDA975" w14:textId="6EC746E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301</w:t>
            </w:r>
          </w:p>
        </w:tc>
        <w:tc>
          <w:tcPr>
            <w:tcW w:w="0" w:type="dxa"/>
            <w:noWrap/>
            <w:hideMark/>
          </w:tcPr>
          <w:p w14:paraId="78EAEF34" w14:textId="1A58170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7E787E9"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3855F6BF" w14:textId="6DF90BA0"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363</w:t>
            </w:r>
          </w:p>
        </w:tc>
        <w:tc>
          <w:tcPr>
            <w:tcW w:w="0" w:type="dxa"/>
            <w:noWrap/>
            <w:vAlign w:val="center"/>
            <w:hideMark/>
          </w:tcPr>
          <w:p w14:paraId="54E7D5F3" w14:textId="063FDA0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92</w:t>
            </w:r>
          </w:p>
        </w:tc>
      </w:tr>
      <w:tr w:rsidR="00A63D54" w:rsidRPr="00A1705B" w14:paraId="01F7A62F"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0D5B5346" w14:textId="799B0E6B" w:rsidR="00A63D54" w:rsidRPr="00A1705B" w:rsidRDefault="00A63D54" w:rsidP="00A63D54">
            <w:pPr>
              <w:pStyle w:val="Tabletext"/>
            </w:pPr>
            <w:r w:rsidRPr="00B57CD0">
              <w:rPr>
                <w:color w:val="000000"/>
              </w:rPr>
              <w:t>Puerto Rico</w:t>
            </w:r>
          </w:p>
        </w:tc>
        <w:tc>
          <w:tcPr>
            <w:tcW w:w="0" w:type="dxa"/>
            <w:noWrap/>
            <w:hideMark/>
          </w:tcPr>
          <w:p w14:paraId="03966C4A" w14:textId="4C8518D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noWrap/>
            <w:hideMark/>
          </w:tcPr>
          <w:p w14:paraId="3CC50DC7" w14:textId="2917584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vAlign w:val="center"/>
          </w:tcPr>
          <w:p w14:paraId="6EAE5C4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2176A49" w14:textId="7FA3A4D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noWrap/>
            <w:hideMark/>
          </w:tcPr>
          <w:p w14:paraId="47553F79" w14:textId="43F8AE2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14</w:t>
            </w:r>
          </w:p>
        </w:tc>
        <w:tc>
          <w:tcPr>
            <w:tcW w:w="0" w:type="dxa"/>
            <w:vAlign w:val="center"/>
          </w:tcPr>
          <w:p w14:paraId="2C70CD57"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E8247E9" w14:textId="5A9B535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126</w:t>
            </w:r>
          </w:p>
        </w:tc>
        <w:tc>
          <w:tcPr>
            <w:tcW w:w="0" w:type="dxa"/>
            <w:noWrap/>
            <w:hideMark/>
          </w:tcPr>
          <w:p w14:paraId="670DB685" w14:textId="7030DC3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141FF658"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93A4245" w14:textId="13D84D6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145</w:t>
            </w:r>
          </w:p>
        </w:tc>
        <w:tc>
          <w:tcPr>
            <w:tcW w:w="0" w:type="dxa"/>
            <w:noWrap/>
            <w:vAlign w:val="center"/>
            <w:hideMark/>
          </w:tcPr>
          <w:p w14:paraId="3B0D22AA" w14:textId="7729D69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49</w:t>
            </w:r>
          </w:p>
        </w:tc>
      </w:tr>
      <w:tr w:rsidR="00A63D54" w:rsidRPr="00A1705B" w14:paraId="0D83E1C8"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68A6253" w14:textId="1B1B8D65" w:rsidR="00A63D54" w:rsidRPr="00A1705B" w:rsidRDefault="00A63D54" w:rsidP="00A63D54">
            <w:pPr>
              <w:pStyle w:val="Tabletext"/>
            </w:pPr>
            <w:r w:rsidRPr="00B57CD0">
              <w:rPr>
                <w:color w:val="000000"/>
              </w:rPr>
              <w:t>Rhode Island</w:t>
            </w:r>
          </w:p>
        </w:tc>
        <w:tc>
          <w:tcPr>
            <w:tcW w:w="0" w:type="dxa"/>
            <w:noWrap/>
          </w:tcPr>
          <w:p w14:paraId="35EAFD65" w14:textId="0B0C2A7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tcPr>
          <w:p w14:paraId="1307CD42" w14:textId="6CC5073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2D5A0DFB"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72D72814" w14:textId="5DB2C4D6"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w:t>
            </w:r>
          </w:p>
        </w:tc>
        <w:tc>
          <w:tcPr>
            <w:tcW w:w="0" w:type="dxa"/>
            <w:noWrap/>
          </w:tcPr>
          <w:p w14:paraId="4329758F" w14:textId="2E36295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w:t>
            </w:r>
          </w:p>
        </w:tc>
        <w:tc>
          <w:tcPr>
            <w:tcW w:w="0" w:type="dxa"/>
            <w:vAlign w:val="center"/>
          </w:tcPr>
          <w:p w14:paraId="288FD72D"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313EA63A" w14:textId="6C1E2F5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noWrap/>
          </w:tcPr>
          <w:p w14:paraId="4B7BC07B" w14:textId="5D0C503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21</w:t>
            </w:r>
          </w:p>
        </w:tc>
        <w:tc>
          <w:tcPr>
            <w:tcW w:w="0" w:type="dxa"/>
            <w:vAlign w:val="center"/>
          </w:tcPr>
          <w:p w14:paraId="65941E7A"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E620875" w14:textId="3C6F103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24</w:t>
            </w:r>
          </w:p>
        </w:tc>
        <w:tc>
          <w:tcPr>
            <w:tcW w:w="0" w:type="dxa"/>
            <w:noWrap/>
            <w:vAlign w:val="center"/>
          </w:tcPr>
          <w:p w14:paraId="11EB5E0D" w14:textId="0BCF23C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24</w:t>
            </w:r>
          </w:p>
        </w:tc>
      </w:tr>
      <w:tr w:rsidR="00A63D54" w:rsidRPr="00A1705B" w14:paraId="1F32FC2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17796CF5" w14:textId="632301AC" w:rsidR="00A63D54" w:rsidRPr="00A1705B" w:rsidRDefault="00A63D54" w:rsidP="00A63D54">
            <w:pPr>
              <w:pStyle w:val="Tabletext"/>
            </w:pPr>
            <w:r w:rsidRPr="00B57CD0">
              <w:rPr>
                <w:color w:val="000000"/>
              </w:rPr>
              <w:t>South Carolina</w:t>
            </w:r>
          </w:p>
        </w:tc>
        <w:tc>
          <w:tcPr>
            <w:tcW w:w="0" w:type="dxa"/>
            <w:noWrap/>
          </w:tcPr>
          <w:p w14:paraId="2855A86E" w14:textId="5104121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20</w:t>
            </w:r>
          </w:p>
        </w:tc>
        <w:tc>
          <w:tcPr>
            <w:tcW w:w="0" w:type="dxa"/>
            <w:noWrap/>
          </w:tcPr>
          <w:p w14:paraId="792B4AFD" w14:textId="2436670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20</w:t>
            </w:r>
          </w:p>
        </w:tc>
        <w:tc>
          <w:tcPr>
            <w:tcW w:w="0" w:type="dxa"/>
            <w:vAlign w:val="center"/>
          </w:tcPr>
          <w:p w14:paraId="0CE8D39C"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5B0AB959" w14:textId="561A4DC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noWrap/>
          </w:tcPr>
          <w:p w14:paraId="45757595" w14:textId="4A25CE6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13</w:t>
            </w:r>
          </w:p>
        </w:tc>
        <w:tc>
          <w:tcPr>
            <w:tcW w:w="0" w:type="dxa"/>
            <w:vAlign w:val="center"/>
          </w:tcPr>
          <w:p w14:paraId="462C9E55"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38C30E7A" w14:textId="249CF39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72</w:t>
            </w:r>
          </w:p>
        </w:tc>
        <w:tc>
          <w:tcPr>
            <w:tcW w:w="0" w:type="dxa"/>
            <w:noWrap/>
          </w:tcPr>
          <w:p w14:paraId="2E0F31DE" w14:textId="6426D3E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17F8D96F" w14:textId="7777777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0BA2B40" w14:textId="3439E7A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105</w:t>
            </w:r>
          </w:p>
        </w:tc>
        <w:tc>
          <w:tcPr>
            <w:tcW w:w="0" w:type="dxa"/>
            <w:noWrap/>
            <w:vAlign w:val="center"/>
          </w:tcPr>
          <w:p w14:paraId="411A0B5E" w14:textId="66E6ADE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63</w:t>
            </w:r>
          </w:p>
        </w:tc>
      </w:tr>
      <w:tr w:rsidR="00A63D54" w:rsidRPr="00A1705B" w14:paraId="331F34A1"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6C8A7AF9" w14:textId="3AAAC39F" w:rsidR="00A63D54" w:rsidRPr="00A1705B" w:rsidRDefault="00A63D54" w:rsidP="00A63D54">
            <w:pPr>
              <w:pStyle w:val="Tabletext"/>
            </w:pPr>
            <w:r w:rsidRPr="00B57CD0">
              <w:rPr>
                <w:color w:val="000000"/>
              </w:rPr>
              <w:t>South Dakota</w:t>
            </w:r>
          </w:p>
        </w:tc>
        <w:tc>
          <w:tcPr>
            <w:tcW w:w="0" w:type="dxa"/>
            <w:noWrap/>
          </w:tcPr>
          <w:p w14:paraId="179C8B96" w14:textId="441F8DE4"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noWrap/>
          </w:tcPr>
          <w:p w14:paraId="6BA3A6F9" w14:textId="0993499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vAlign w:val="center"/>
          </w:tcPr>
          <w:p w14:paraId="0049821E"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1F115C58" w14:textId="727AA63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tcPr>
          <w:p w14:paraId="78104C39" w14:textId="6647FBC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24490E09"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21AC3554" w14:textId="2C79F9C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noWrap/>
          </w:tcPr>
          <w:p w14:paraId="6686AAFC" w14:textId="5E6FC232"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vAlign w:val="center"/>
          </w:tcPr>
          <w:p w14:paraId="575A6CB9"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309D39E" w14:textId="0079EAE2"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28</w:t>
            </w:r>
          </w:p>
        </w:tc>
        <w:tc>
          <w:tcPr>
            <w:tcW w:w="0" w:type="dxa"/>
            <w:noWrap/>
            <w:vAlign w:val="center"/>
          </w:tcPr>
          <w:p w14:paraId="6B082924" w14:textId="60349719"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28</w:t>
            </w:r>
          </w:p>
        </w:tc>
      </w:tr>
      <w:tr w:rsidR="00A63D54" w:rsidRPr="00A1705B" w14:paraId="58EF8CC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4F32C334" w14:textId="46D53BFD" w:rsidR="00A63D54" w:rsidRPr="00A1705B" w:rsidRDefault="00A63D54" w:rsidP="00A63D54">
            <w:pPr>
              <w:pStyle w:val="Tabletext"/>
            </w:pPr>
            <w:r w:rsidRPr="00B57CD0">
              <w:rPr>
                <w:color w:val="000000"/>
              </w:rPr>
              <w:t>Tennessee</w:t>
            </w:r>
          </w:p>
        </w:tc>
        <w:tc>
          <w:tcPr>
            <w:tcW w:w="0" w:type="dxa"/>
            <w:noWrap/>
          </w:tcPr>
          <w:p w14:paraId="69777D00" w14:textId="5C95805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38</w:t>
            </w:r>
          </w:p>
        </w:tc>
        <w:tc>
          <w:tcPr>
            <w:tcW w:w="0" w:type="dxa"/>
            <w:noWrap/>
          </w:tcPr>
          <w:p w14:paraId="28036469" w14:textId="6E6A2C6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38</w:t>
            </w:r>
          </w:p>
        </w:tc>
        <w:tc>
          <w:tcPr>
            <w:tcW w:w="0" w:type="dxa"/>
            <w:vAlign w:val="center"/>
          </w:tcPr>
          <w:p w14:paraId="252FC9D7"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355F11B3" w14:textId="40101EA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10</w:t>
            </w:r>
          </w:p>
        </w:tc>
        <w:tc>
          <w:tcPr>
            <w:tcW w:w="0" w:type="dxa"/>
            <w:noWrap/>
          </w:tcPr>
          <w:p w14:paraId="1B36DCA4" w14:textId="4574D00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10</w:t>
            </w:r>
          </w:p>
        </w:tc>
        <w:tc>
          <w:tcPr>
            <w:tcW w:w="0" w:type="dxa"/>
            <w:vAlign w:val="center"/>
          </w:tcPr>
          <w:p w14:paraId="22BB468A"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058DD023" w14:textId="7A36433B"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118</w:t>
            </w:r>
          </w:p>
        </w:tc>
        <w:tc>
          <w:tcPr>
            <w:tcW w:w="0" w:type="dxa"/>
            <w:noWrap/>
          </w:tcPr>
          <w:p w14:paraId="2C768471" w14:textId="6EFEEB0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59C39F97"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0CE5B11" w14:textId="0EBE2A2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166</w:t>
            </w:r>
          </w:p>
        </w:tc>
        <w:tc>
          <w:tcPr>
            <w:tcW w:w="0" w:type="dxa"/>
            <w:noWrap/>
            <w:vAlign w:val="center"/>
          </w:tcPr>
          <w:p w14:paraId="478874A4" w14:textId="30637CB9"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78</w:t>
            </w:r>
          </w:p>
        </w:tc>
      </w:tr>
      <w:tr w:rsidR="00A63D54" w:rsidRPr="00A1705B" w14:paraId="1FEEEBD0"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78F84F8F" w14:textId="45594458" w:rsidR="00A63D54" w:rsidRPr="00A1705B" w:rsidRDefault="00A63D54" w:rsidP="00A63D54">
            <w:pPr>
              <w:pStyle w:val="Tabletext"/>
            </w:pPr>
            <w:r w:rsidRPr="00B57CD0">
              <w:rPr>
                <w:color w:val="000000"/>
              </w:rPr>
              <w:t>Texas</w:t>
            </w:r>
          </w:p>
        </w:tc>
        <w:tc>
          <w:tcPr>
            <w:tcW w:w="0" w:type="dxa"/>
            <w:noWrap/>
          </w:tcPr>
          <w:p w14:paraId="691113AA" w14:textId="0C9FC87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60</w:t>
            </w:r>
          </w:p>
        </w:tc>
        <w:tc>
          <w:tcPr>
            <w:tcW w:w="0" w:type="dxa"/>
            <w:noWrap/>
          </w:tcPr>
          <w:p w14:paraId="4F2C3E31" w14:textId="68D9AD8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60</w:t>
            </w:r>
          </w:p>
        </w:tc>
        <w:tc>
          <w:tcPr>
            <w:tcW w:w="0" w:type="dxa"/>
            <w:vAlign w:val="center"/>
          </w:tcPr>
          <w:p w14:paraId="6F5ACB0B"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092C5EC2" w14:textId="73B49048"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47</w:t>
            </w:r>
          </w:p>
        </w:tc>
        <w:tc>
          <w:tcPr>
            <w:tcW w:w="0" w:type="dxa"/>
            <w:noWrap/>
          </w:tcPr>
          <w:p w14:paraId="063BF266" w14:textId="71101A8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47</w:t>
            </w:r>
          </w:p>
        </w:tc>
        <w:tc>
          <w:tcPr>
            <w:tcW w:w="0" w:type="dxa"/>
            <w:vAlign w:val="center"/>
          </w:tcPr>
          <w:p w14:paraId="44CEF631"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52C7860C" w14:textId="11D5CCE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304</w:t>
            </w:r>
          </w:p>
        </w:tc>
        <w:tc>
          <w:tcPr>
            <w:tcW w:w="0" w:type="dxa"/>
            <w:noWrap/>
          </w:tcPr>
          <w:p w14:paraId="4B6E68CE" w14:textId="170DE55D"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5B776A2"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A4F0FD9" w14:textId="5222DED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411</w:t>
            </w:r>
          </w:p>
        </w:tc>
        <w:tc>
          <w:tcPr>
            <w:tcW w:w="0" w:type="dxa"/>
            <w:noWrap/>
            <w:vAlign w:val="center"/>
          </w:tcPr>
          <w:p w14:paraId="561FE05B" w14:textId="1ECB899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137</w:t>
            </w:r>
          </w:p>
        </w:tc>
      </w:tr>
      <w:tr w:rsidR="00A63D54" w:rsidRPr="00A1705B" w14:paraId="436ADCE8"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BD93B7E" w14:textId="2CAA7126" w:rsidR="00A63D54" w:rsidRPr="00A1705B" w:rsidRDefault="00A63D54" w:rsidP="00A63D54">
            <w:pPr>
              <w:pStyle w:val="Tabletext"/>
            </w:pPr>
            <w:r w:rsidRPr="00B57CD0">
              <w:rPr>
                <w:color w:val="000000"/>
              </w:rPr>
              <w:t>Utah</w:t>
            </w:r>
          </w:p>
        </w:tc>
        <w:tc>
          <w:tcPr>
            <w:tcW w:w="0" w:type="dxa"/>
            <w:noWrap/>
          </w:tcPr>
          <w:p w14:paraId="47CC1BB4" w14:textId="016940A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w:t>
            </w:r>
          </w:p>
        </w:tc>
        <w:tc>
          <w:tcPr>
            <w:tcW w:w="0" w:type="dxa"/>
            <w:noWrap/>
          </w:tcPr>
          <w:p w14:paraId="7C4F9471" w14:textId="3DE1999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w:t>
            </w:r>
          </w:p>
        </w:tc>
        <w:tc>
          <w:tcPr>
            <w:tcW w:w="0" w:type="dxa"/>
            <w:vAlign w:val="center"/>
          </w:tcPr>
          <w:p w14:paraId="13FE9AE8"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29896051" w14:textId="4281B9BD"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tcPr>
          <w:p w14:paraId="1640D972" w14:textId="05BF695F"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50E2B1F8"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tcPr>
          <w:p w14:paraId="23D262D8" w14:textId="12CCF5D2"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61</w:t>
            </w:r>
          </w:p>
        </w:tc>
        <w:tc>
          <w:tcPr>
            <w:tcW w:w="0" w:type="dxa"/>
            <w:noWrap/>
          </w:tcPr>
          <w:p w14:paraId="5926B396" w14:textId="1D7508E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3CC46765"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5BF68BA" w14:textId="5BFF2353"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72</w:t>
            </w:r>
          </w:p>
        </w:tc>
        <w:tc>
          <w:tcPr>
            <w:tcW w:w="0" w:type="dxa"/>
            <w:noWrap/>
            <w:vAlign w:val="center"/>
          </w:tcPr>
          <w:p w14:paraId="2B219C03" w14:textId="65FAFD2B"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41</w:t>
            </w:r>
          </w:p>
        </w:tc>
      </w:tr>
      <w:tr w:rsidR="00A63D54" w:rsidRPr="00A1705B" w14:paraId="565CEC97"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75A9847F" w14:textId="3214A9AF" w:rsidR="00A63D54" w:rsidRPr="00A1705B" w:rsidRDefault="00A63D54" w:rsidP="00A63D54">
            <w:pPr>
              <w:pStyle w:val="Tabletext"/>
            </w:pPr>
            <w:r w:rsidRPr="00B57CD0">
              <w:rPr>
                <w:color w:val="000000"/>
              </w:rPr>
              <w:t>Vermont</w:t>
            </w:r>
          </w:p>
        </w:tc>
        <w:tc>
          <w:tcPr>
            <w:tcW w:w="0" w:type="dxa"/>
            <w:noWrap/>
            <w:hideMark/>
          </w:tcPr>
          <w:p w14:paraId="034D02A3" w14:textId="5DBE5E0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hideMark/>
          </w:tcPr>
          <w:p w14:paraId="3C6ADC7D" w14:textId="6B2A79B3"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6A9986DE"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ED7F33A" w14:textId="578BC09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noWrap/>
            <w:hideMark/>
          </w:tcPr>
          <w:p w14:paraId="5D9AC638" w14:textId="27681E6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w:t>
            </w:r>
          </w:p>
        </w:tc>
        <w:tc>
          <w:tcPr>
            <w:tcW w:w="0" w:type="dxa"/>
            <w:vAlign w:val="center"/>
          </w:tcPr>
          <w:p w14:paraId="15B33D7E"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84ADAE0" w14:textId="68CF488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19</w:t>
            </w:r>
          </w:p>
        </w:tc>
        <w:tc>
          <w:tcPr>
            <w:tcW w:w="0" w:type="dxa"/>
            <w:noWrap/>
            <w:hideMark/>
          </w:tcPr>
          <w:p w14:paraId="0ABB7D86" w14:textId="731EC1E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19</w:t>
            </w:r>
          </w:p>
        </w:tc>
        <w:tc>
          <w:tcPr>
            <w:tcW w:w="0" w:type="dxa"/>
            <w:vAlign w:val="center"/>
          </w:tcPr>
          <w:p w14:paraId="55CB2F5B"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EE4A04E" w14:textId="7E00B63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c>
          <w:tcPr>
            <w:tcW w:w="0" w:type="dxa"/>
            <w:noWrap/>
            <w:vAlign w:val="center"/>
            <w:hideMark/>
          </w:tcPr>
          <w:p w14:paraId="53E6BFE7" w14:textId="7C5B685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25</w:t>
            </w:r>
          </w:p>
        </w:tc>
      </w:tr>
      <w:tr w:rsidR="00A63D54" w:rsidRPr="00A1705B" w14:paraId="78D8A73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45ED375E" w14:textId="13F2392A" w:rsidR="00A63D54" w:rsidRPr="00A1705B" w:rsidRDefault="00A63D54" w:rsidP="00A63D54">
            <w:pPr>
              <w:pStyle w:val="Tabletext"/>
            </w:pPr>
            <w:r w:rsidRPr="00B57CD0">
              <w:rPr>
                <w:color w:val="000000"/>
              </w:rPr>
              <w:t>Virginia</w:t>
            </w:r>
          </w:p>
        </w:tc>
        <w:tc>
          <w:tcPr>
            <w:tcW w:w="0" w:type="dxa"/>
            <w:noWrap/>
            <w:hideMark/>
          </w:tcPr>
          <w:p w14:paraId="3871FB2C" w14:textId="4E87A93E"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24</w:t>
            </w:r>
          </w:p>
        </w:tc>
        <w:tc>
          <w:tcPr>
            <w:tcW w:w="0" w:type="dxa"/>
            <w:noWrap/>
            <w:hideMark/>
          </w:tcPr>
          <w:p w14:paraId="07BDA1A7" w14:textId="45749713"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24</w:t>
            </w:r>
          </w:p>
        </w:tc>
        <w:tc>
          <w:tcPr>
            <w:tcW w:w="0" w:type="dxa"/>
            <w:vAlign w:val="center"/>
          </w:tcPr>
          <w:p w14:paraId="10EF2EE8"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2E72657" w14:textId="59BDF3D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noWrap/>
            <w:hideMark/>
          </w:tcPr>
          <w:p w14:paraId="38B6A9F4" w14:textId="67418302"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vAlign w:val="center"/>
          </w:tcPr>
          <w:p w14:paraId="52A2C105"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8D3AC51" w14:textId="574BCB2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119</w:t>
            </w:r>
          </w:p>
        </w:tc>
        <w:tc>
          <w:tcPr>
            <w:tcW w:w="0" w:type="dxa"/>
            <w:noWrap/>
            <w:hideMark/>
          </w:tcPr>
          <w:p w14:paraId="7B866E8C" w14:textId="06D6D32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F4BE9DE"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E57D0F9" w14:textId="11BC7DF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159</w:t>
            </w:r>
          </w:p>
        </w:tc>
        <w:tc>
          <w:tcPr>
            <w:tcW w:w="0" w:type="dxa"/>
            <w:noWrap/>
            <w:vAlign w:val="center"/>
            <w:hideMark/>
          </w:tcPr>
          <w:p w14:paraId="19F8CCE2" w14:textId="07384EEF"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70</w:t>
            </w:r>
          </w:p>
        </w:tc>
      </w:tr>
      <w:tr w:rsidR="00A63D54" w:rsidRPr="00A1705B" w14:paraId="27907D0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2A93836F" w14:textId="3E97C1F7" w:rsidR="00A63D54" w:rsidRPr="00A1705B" w:rsidRDefault="00A63D54" w:rsidP="00A63D54">
            <w:pPr>
              <w:pStyle w:val="Tabletext"/>
            </w:pPr>
            <w:r w:rsidRPr="00B57CD0">
              <w:rPr>
                <w:color w:val="000000"/>
              </w:rPr>
              <w:t>Washington</w:t>
            </w:r>
          </w:p>
        </w:tc>
        <w:tc>
          <w:tcPr>
            <w:tcW w:w="0" w:type="dxa"/>
            <w:noWrap/>
            <w:hideMark/>
          </w:tcPr>
          <w:p w14:paraId="7825F171" w14:textId="1638EC2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w:t>
            </w:r>
          </w:p>
        </w:tc>
        <w:tc>
          <w:tcPr>
            <w:tcW w:w="0" w:type="dxa"/>
            <w:noWrap/>
            <w:hideMark/>
          </w:tcPr>
          <w:p w14:paraId="62AC7E20" w14:textId="20C7AED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12</w:t>
            </w:r>
          </w:p>
        </w:tc>
        <w:tc>
          <w:tcPr>
            <w:tcW w:w="0" w:type="dxa"/>
            <w:vAlign w:val="center"/>
          </w:tcPr>
          <w:p w14:paraId="0E6F780E"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55D702C" w14:textId="278C3E4F"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31</w:t>
            </w:r>
          </w:p>
        </w:tc>
        <w:tc>
          <w:tcPr>
            <w:tcW w:w="0" w:type="dxa"/>
            <w:noWrap/>
            <w:hideMark/>
          </w:tcPr>
          <w:p w14:paraId="4CA545F0" w14:textId="4A3F375D"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31</w:t>
            </w:r>
          </w:p>
        </w:tc>
        <w:tc>
          <w:tcPr>
            <w:tcW w:w="0" w:type="dxa"/>
            <w:vAlign w:val="center"/>
          </w:tcPr>
          <w:p w14:paraId="7B78EEFC"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97541D7" w14:textId="763BBC6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70</w:t>
            </w:r>
          </w:p>
        </w:tc>
        <w:tc>
          <w:tcPr>
            <w:tcW w:w="0" w:type="dxa"/>
            <w:noWrap/>
            <w:hideMark/>
          </w:tcPr>
          <w:p w14:paraId="526BBE87" w14:textId="47A99E3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0A7930B1"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64D9C23" w14:textId="6CB6CE0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113</w:t>
            </w:r>
          </w:p>
        </w:tc>
        <w:tc>
          <w:tcPr>
            <w:tcW w:w="0" w:type="dxa"/>
            <w:noWrap/>
            <w:vAlign w:val="center"/>
            <w:hideMark/>
          </w:tcPr>
          <w:p w14:paraId="4A6BE080" w14:textId="67FD929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73</w:t>
            </w:r>
          </w:p>
        </w:tc>
      </w:tr>
      <w:tr w:rsidR="00A63D54" w:rsidRPr="00A1705B" w14:paraId="5C98D9E1"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D18FF95" w14:textId="05EE1EAD" w:rsidR="00A63D54" w:rsidRPr="00A1705B" w:rsidRDefault="00A63D54" w:rsidP="00A63D54">
            <w:pPr>
              <w:pStyle w:val="Tabletext"/>
            </w:pPr>
            <w:r w:rsidRPr="00B57CD0">
              <w:rPr>
                <w:color w:val="000000"/>
              </w:rPr>
              <w:t>West Virginia</w:t>
            </w:r>
          </w:p>
        </w:tc>
        <w:tc>
          <w:tcPr>
            <w:tcW w:w="0" w:type="dxa"/>
            <w:noWrap/>
            <w:hideMark/>
          </w:tcPr>
          <w:p w14:paraId="7311DE01" w14:textId="3C0A8E87"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w:t>
            </w:r>
          </w:p>
        </w:tc>
        <w:tc>
          <w:tcPr>
            <w:tcW w:w="0" w:type="dxa"/>
            <w:noWrap/>
            <w:hideMark/>
          </w:tcPr>
          <w:p w14:paraId="0F7EB557" w14:textId="7C0A9C7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11</w:t>
            </w:r>
          </w:p>
        </w:tc>
        <w:tc>
          <w:tcPr>
            <w:tcW w:w="0" w:type="dxa"/>
            <w:vAlign w:val="center"/>
          </w:tcPr>
          <w:p w14:paraId="0AFF9084"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957DD7E" w14:textId="3E228A9B"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w:t>
            </w:r>
          </w:p>
        </w:tc>
        <w:tc>
          <w:tcPr>
            <w:tcW w:w="0" w:type="dxa"/>
            <w:noWrap/>
            <w:hideMark/>
          </w:tcPr>
          <w:p w14:paraId="0AD8CD78" w14:textId="4E2C275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13</w:t>
            </w:r>
          </w:p>
        </w:tc>
        <w:tc>
          <w:tcPr>
            <w:tcW w:w="0" w:type="dxa"/>
            <w:vAlign w:val="center"/>
          </w:tcPr>
          <w:p w14:paraId="3A4F2BE4"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A53A59E" w14:textId="57919A8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51</w:t>
            </w:r>
          </w:p>
        </w:tc>
        <w:tc>
          <w:tcPr>
            <w:tcW w:w="0" w:type="dxa"/>
            <w:noWrap/>
            <w:hideMark/>
          </w:tcPr>
          <w:p w14:paraId="4605656E" w14:textId="07E21B0B"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58110E4B"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15E2B37" w14:textId="0EECFB1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75</w:t>
            </w:r>
          </w:p>
        </w:tc>
        <w:tc>
          <w:tcPr>
            <w:tcW w:w="0" w:type="dxa"/>
            <w:noWrap/>
            <w:vAlign w:val="center"/>
            <w:hideMark/>
          </w:tcPr>
          <w:p w14:paraId="34AC99E6" w14:textId="3469385C"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54</w:t>
            </w:r>
          </w:p>
        </w:tc>
      </w:tr>
      <w:tr w:rsidR="00A63D54" w:rsidRPr="00A1705B" w14:paraId="5CE17345"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EEB77F5" w14:textId="4E6E348F" w:rsidR="00A63D54" w:rsidRPr="00A1705B" w:rsidRDefault="00A63D54" w:rsidP="00A63D54">
            <w:pPr>
              <w:pStyle w:val="Tabletext"/>
            </w:pPr>
            <w:r w:rsidRPr="00B57CD0">
              <w:rPr>
                <w:color w:val="000000"/>
              </w:rPr>
              <w:t>Wisconsin</w:t>
            </w:r>
          </w:p>
        </w:tc>
        <w:tc>
          <w:tcPr>
            <w:tcW w:w="0" w:type="dxa"/>
            <w:noWrap/>
            <w:hideMark/>
          </w:tcPr>
          <w:p w14:paraId="5A65EF6F" w14:textId="43A3F23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noWrap/>
            <w:hideMark/>
          </w:tcPr>
          <w:p w14:paraId="139F51B7" w14:textId="038F3AA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16</w:t>
            </w:r>
          </w:p>
        </w:tc>
        <w:tc>
          <w:tcPr>
            <w:tcW w:w="0" w:type="dxa"/>
            <w:vAlign w:val="center"/>
          </w:tcPr>
          <w:p w14:paraId="620E8B88"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30BC722" w14:textId="28CA3EB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noWrap/>
            <w:hideMark/>
          </w:tcPr>
          <w:p w14:paraId="55E33E50" w14:textId="71D4935F"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15</w:t>
            </w:r>
          </w:p>
        </w:tc>
        <w:tc>
          <w:tcPr>
            <w:tcW w:w="0" w:type="dxa"/>
            <w:vAlign w:val="center"/>
          </w:tcPr>
          <w:p w14:paraId="09DA7089"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C1BF9B5" w14:textId="032699C1"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71</w:t>
            </w:r>
          </w:p>
        </w:tc>
        <w:tc>
          <w:tcPr>
            <w:tcW w:w="0" w:type="dxa"/>
            <w:noWrap/>
            <w:hideMark/>
          </w:tcPr>
          <w:p w14:paraId="78476898" w14:textId="340A0D1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30</w:t>
            </w:r>
          </w:p>
        </w:tc>
        <w:tc>
          <w:tcPr>
            <w:tcW w:w="0" w:type="dxa"/>
            <w:vAlign w:val="center"/>
          </w:tcPr>
          <w:p w14:paraId="6684993C"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7F782F8" w14:textId="7AE52659"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color w:val="000000"/>
                <w:szCs w:val="16"/>
              </w:rPr>
              <w:t>102</w:t>
            </w:r>
          </w:p>
        </w:tc>
        <w:tc>
          <w:tcPr>
            <w:tcW w:w="0" w:type="dxa"/>
            <w:noWrap/>
            <w:vAlign w:val="center"/>
            <w:hideMark/>
          </w:tcPr>
          <w:p w14:paraId="3D681459" w14:textId="7B966D43"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61</w:t>
            </w:r>
          </w:p>
        </w:tc>
      </w:tr>
      <w:tr w:rsidR="00A63D54" w:rsidRPr="00A1705B" w14:paraId="086595AC"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50100F35" w14:textId="54EAAAE3" w:rsidR="00A63D54" w:rsidRPr="00A1705B" w:rsidRDefault="00A63D54" w:rsidP="00A63D54">
            <w:pPr>
              <w:pStyle w:val="Tabletext"/>
            </w:pPr>
            <w:r w:rsidRPr="00B57CD0">
              <w:rPr>
                <w:color w:val="000000"/>
              </w:rPr>
              <w:t>Wyoming</w:t>
            </w:r>
          </w:p>
        </w:tc>
        <w:tc>
          <w:tcPr>
            <w:tcW w:w="0" w:type="dxa"/>
            <w:noWrap/>
            <w:hideMark/>
          </w:tcPr>
          <w:p w14:paraId="132448BC" w14:textId="49AA9C1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noWrap/>
            <w:hideMark/>
          </w:tcPr>
          <w:p w14:paraId="72071E06" w14:textId="3133A940"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7</w:t>
            </w:r>
          </w:p>
        </w:tc>
        <w:tc>
          <w:tcPr>
            <w:tcW w:w="0" w:type="dxa"/>
            <w:vAlign w:val="center"/>
          </w:tcPr>
          <w:p w14:paraId="1617C232"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881AEF0" w14:textId="25F0D63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noWrap/>
            <w:hideMark/>
          </w:tcPr>
          <w:p w14:paraId="1220FE90" w14:textId="2357C1C5"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p>
        </w:tc>
        <w:tc>
          <w:tcPr>
            <w:tcW w:w="0" w:type="dxa"/>
            <w:vAlign w:val="center"/>
          </w:tcPr>
          <w:p w14:paraId="16D297D5"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8177EBA" w14:textId="78B173B6"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noWrap/>
            <w:hideMark/>
          </w:tcPr>
          <w:p w14:paraId="28656FD3" w14:textId="4AB10274"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p>
        </w:tc>
        <w:tc>
          <w:tcPr>
            <w:tcW w:w="0" w:type="dxa"/>
            <w:vAlign w:val="center"/>
          </w:tcPr>
          <w:p w14:paraId="567FCBB7" w14:textId="77777777"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FB7120E" w14:textId="03B8075E"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c>
          <w:tcPr>
            <w:tcW w:w="0" w:type="dxa"/>
            <w:noWrap/>
            <w:vAlign w:val="center"/>
            <w:hideMark/>
          </w:tcPr>
          <w:p w14:paraId="2D3C967A" w14:textId="45FF51DA" w:rsidR="00A63D54" w:rsidRPr="00491AD9"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11</w:t>
            </w:r>
          </w:p>
        </w:tc>
      </w:tr>
      <w:tr w:rsidR="00A63D54" w:rsidRPr="00A1705B" w14:paraId="5FE7C54D" w14:textId="77777777" w:rsidTr="00B57CD0">
        <w:trPr>
          <w:trHeight w:val="233"/>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155B5733" w14:textId="6EF3F494" w:rsidR="00A63D54" w:rsidRPr="00A1705B" w:rsidRDefault="00A63D54" w:rsidP="00A63D54">
            <w:pPr>
              <w:pStyle w:val="Tabletext"/>
            </w:pPr>
            <w:r w:rsidRPr="00B57CD0">
              <w:rPr>
                <w:b/>
                <w:color w:val="000000"/>
              </w:rPr>
              <w:t>Total</w:t>
            </w:r>
          </w:p>
        </w:tc>
        <w:tc>
          <w:tcPr>
            <w:tcW w:w="0" w:type="dxa"/>
            <w:noWrap/>
          </w:tcPr>
          <w:p w14:paraId="6C2CF3E6" w14:textId="43FD2F1A"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986</w:t>
            </w:r>
          </w:p>
        </w:tc>
        <w:tc>
          <w:tcPr>
            <w:tcW w:w="0" w:type="dxa"/>
            <w:noWrap/>
          </w:tcPr>
          <w:p w14:paraId="1395BD7C" w14:textId="6304D222"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986</w:t>
            </w:r>
          </w:p>
        </w:tc>
        <w:tc>
          <w:tcPr>
            <w:tcW w:w="0" w:type="dxa"/>
            <w:vAlign w:val="center"/>
          </w:tcPr>
          <w:p w14:paraId="72930C58" w14:textId="45A14AED"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 </w:t>
            </w:r>
          </w:p>
        </w:tc>
        <w:tc>
          <w:tcPr>
            <w:tcW w:w="0" w:type="dxa"/>
            <w:noWrap/>
          </w:tcPr>
          <w:p w14:paraId="0E4D850E" w14:textId="4AFE4C73"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746</w:t>
            </w:r>
          </w:p>
        </w:tc>
        <w:tc>
          <w:tcPr>
            <w:tcW w:w="0" w:type="dxa"/>
            <w:noWrap/>
          </w:tcPr>
          <w:p w14:paraId="4EF631F1" w14:textId="18C7B969"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746</w:t>
            </w:r>
          </w:p>
        </w:tc>
        <w:tc>
          <w:tcPr>
            <w:tcW w:w="0" w:type="dxa"/>
            <w:vAlign w:val="center"/>
          </w:tcPr>
          <w:p w14:paraId="55E6CBCF" w14:textId="2312C81B"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 </w:t>
            </w:r>
          </w:p>
        </w:tc>
        <w:tc>
          <w:tcPr>
            <w:tcW w:w="0" w:type="dxa"/>
            <w:noWrap/>
          </w:tcPr>
          <w:p w14:paraId="12259533" w14:textId="4120BE9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4,981</w:t>
            </w:r>
          </w:p>
        </w:tc>
        <w:tc>
          <w:tcPr>
            <w:tcW w:w="0" w:type="dxa"/>
            <w:noWrap/>
          </w:tcPr>
          <w:p w14:paraId="46D98691" w14:textId="203DAC8F"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b/>
                <w:color w:val="000000"/>
              </w:rPr>
              <w:t>1,</w:t>
            </w:r>
            <w:r>
              <w:rPr>
                <w:rFonts w:cs="Arial"/>
                <w:b/>
                <w:bCs/>
                <w:color w:val="000000"/>
                <w:szCs w:val="16"/>
              </w:rPr>
              <w:t>394</w:t>
            </w:r>
          </w:p>
        </w:tc>
        <w:tc>
          <w:tcPr>
            <w:tcW w:w="0" w:type="dxa"/>
            <w:vAlign w:val="center"/>
          </w:tcPr>
          <w:p w14:paraId="220C35A1" w14:textId="5437F9CC"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Pr>
                <w:rFonts w:cs="Arial"/>
                <w:b/>
                <w:bCs/>
                <w:color w:val="000000"/>
                <w:szCs w:val="16"/>
              </w:rPr>
              <w:t> </w:t>
            </w:r>
          </w:p>
        </w:tc>
        <w:tc>
          <w:tcPr>
            <w:tcW w:w="0" w:type="dxa"/>
            <w:noWrap/>
            <w:vAlign w:val="center"/>
          </w:tcPr>
          <w:p w14:paraId="497229DE" w14:textId="7911B8C5"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b/>
                <w:color w:val="000000"/>
              </w:rPr>
              <w:t>6,</w:t>
            </w:r>
            <w:r>
              <w:rPr>
                <w:rFonts w:cs="Arial"/>
                <w:b/>
                <w:bCs/>
                <w:color w:val="000000"/>
                <w:szCs w:val="16"/>
              </w:rPr>
              <w:t>713</w:t>
            </w:r>
          </w:p>
        </w:tc>
        <w:tc>
          <w:tcPr>
            <w:tcW w:w="0" w:type="dxa"/>
            <w:noWrap/>
            <w:vAlign w:val="center"/>
          </w:tcPr>
          <w:p w14:paraId="3BBD1552" w14:textId="37EA6111" w:rsidR="00A63D54" w:rsidRPr="00A1705B" w:rsidRDefault="00A63D54" w:rsidP="00A63D54">
            <w:pPr>
              <w:pStyle w:val="Tabletext"/>
              <w:cnfStyle w:val="000000000000" w:firstRow="0" w:lastRow="0" w:firstColumn="0" w:lastColumn="0" w:oddVBand="0" w:evenVBand="0" w:oddHBand="0" w:evenHBand="0" w:firstRowFirstColumn="0" w:firstRowLastColumn="0" w:lastRowFirstColumn="0" w:lastRowLastColumn="0"/>
            </w:pPr>
            <w:r w:rsidRPr="00B57CD0">
              <w:rPr>
                <w:b/>
                <w:color w:val="000000"/>
              </w:rPr>
              <w:t>3,</w:t>
            </w:r>
            <w:r>
              <w:rPr>
                <w:rFonts w:cs="Arial"/>
                <w:b/>
                <w:bCs/>
                <w:color w:val="000000"/>
                <w:szCs w:val="16"/>
              </w:rPr>
              <w:t>126</w:t>
            </w:r>
          </w:p>
        </w:tc>
      </w:tr>
    </w:tbl>
    <w:p w14:paraId="54B6E85E" w14:textId="7FAE1278" w:rsidR="00506422" w:rsidRDefault="00506422" w:rsidP="0095290E">
      <w:pPr>
        <w:pStyle w:val="Source75"/>
        <w:keepLines w:val="0"/>
        <w:widowControl w:val="0"/>
        <w:spacing w:after="40" w:line="240" w:lineRule="auto"/>
      </w:pPr>
      <w:r>
        <w:t>NOTE: For some states, the institution population counts represent systems of schools instead of individual campuses (i.e. the pub</w:t>
      </w:r>
      <w:r w:rsidR="001F37DD">
        <w:t>l</w:t>
      </w:r>
      <w:r>
        <w:t xml:space="preserve">ic 2-year schools in Indiana are all counted under the Ivy Tech Community College system, so IPEDS only </w:t>
      </w:r>
      <w:r w:rsidR="00224C11">
        <w:t xml:space="preserve">contains one record for </w:t>
      </w:r>
      <w:r>
        <w:t>public 2-year institution</w:t>
      </w:r>
      <w:r w:rsidR="00224C11">
        <w:t>s</w:t>
      </w:r>
      <w:r>
        <w:t xml:space="preserve"> in Indiana)</w:t>
      </w:r>
    </w:p>
    <w:p w14:paraId="5FF1890B" w14:textId="359A9AA0" w:rsidR="004322C0" w:rsidRDefault="008E4476" w:rsidP="0095290E">
      <w:pPr>
        <w:pStyle w:val="Source75"/>
        <w:keepLines w:val="0"/>
        <w:widowControl w:val="0"/>
        <w:spacing w:after="240" w:line="240" w:lineRule="auto"/>
      </w:pPr>
      <w:r>
        <w:t xml:space="preserve">SOURCE: Population estimates based on </w:t>
      </w:r>
      <w:r w:rsidR="00282BF8">
        <w:t xml:space="preserve">the IPEDS </w:t>
      </w:r>
      <w:r w:rsidR="00A63D54">
        <w:t>2016-17</w:t>
      </w:r>
      <w:r w:rsidR="00192901">
        <w:t xml:space="preserve"> </w:t>
      </w:r>
      <w:r w:rsidR="00956411">
        <w:t>Header</w:t>
      </w:r>
      <w:r w:rsidR="00956411" w:rsidDel="00956411">
        <w:t xml:space="preserve"> </w:t>
      </w:r>
      <w:r>
        <w:t>file.</w:t>
      </w:r>
      <w:bookmarkStart w:id="37" w:name="_Toc480552886"/>
      <w:bookmarkEnd w:id="28"/>
      <w:bookmarkEnd w:id="29"/>
      <w:bookmarkEnd w:id="36"/>
    </w:p>
    <w:p w14:paraId="549FA761" w14:textId="14E76B5C" w:rsidR="00D25928" w:rsidRDefault="00D25928" w:rsidP="00B57CD0">
      <w:r>
        <w:t>institutions</w:t>
      </w:r>
      <w:r>
        <w:rPr>
          <w:rStyle w:val="FootnoteReference"/>
        </w:rPr>
        <w:footnoteReference w:id="9"/>
      </w:r>
      <w:r>
        <w:t>, and the institution measure of size. The objective of this implicit stratification is to approximate proportional representation of institutions on these measures.</w:t>
      </w:r>
    </w:p>
    <w:p w14:paraId="1E5155DD" w14:textId="31368A30" w:rsidR="00D25928" w:rsidRDefault="00D25928" w:rsidP="00B57CD0"/>
    <w:p w14:paraId="479266D5" w14:textId="2AAD8EBB" w:rsidR="00045E1F" w:rsidRPr="005E3FDA" w:rsidRDefault="00045E1F" w:rsidP="00C620CB">
      <w:pPr>
        <w:pStyle w:val="Heading3"/>
        <w:spacing w:before="0" w:line="240" w:lineRule="auto"/>
      </w:pPr>
      <w:r w:rsidRPr="005E3FDA">
        <w:t>Student Sample</w:t>
      </w:r>
      <w:bookmarkEnd w:id="30"/>
      <w:bookmarkEnd w:id="31"/>
      <w:bookmarkEnd w:id="32"/>
      <w:bookmarkEnd w:id="33"/>
      <w:bookmarkEnd w:id="37"/>
    </w:p>
    <w:p w14:paraId="23AC8468" w14:textId="77777777" w:rsidR="008E4476" w:rsidRPr="005E3FDA" w:rsidRDefault="008E4476" w:rsidP="00C620CB">
      <w:pPr>
        <w:pStyle w:val="Heading4"/>
        <w:spacing w:before="0" w:line="240" w:lineRule="auto"/>
      </w:pPr>
      <w:bookmarkStart w:id="38" w:name="_Toc268593746"/>
      <w:r w:rsidRPr="005E3FDA">
        <w:t>Student Enrollment List Collection</w:t>
      </w:r>
    </w:p>
    <w:p w14:paraId="2C603CCF" w14:textId="616791A5" w:rsidR="008E4476" w:rsidRDefault="008E4476" w:rsidP="00C620CB">
      <w:pPr>
        <w:pStyle w:val="BodyText"/>
        <w:spacing w:before="0" w:line="240" w:lineRule="auto"/>
        <w:ind w:firstLine="0"/>
      </w:pPr>
      <w:r w:rsidRPr="008A671D">
        <w:t>To begin NPSAS data collection, sampled institutions are 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C84D84">
        <w:t>.</w:t>
      </w:r>
      <w:r w:rsidRPr="008A671D">
        <w:t xml:space="preserve"> Since NPSAS:2000,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14:paraId="03099F6E" w14:textId="77777777" w:rsidR="008E4476" w:rsidRPr="008A671D" w:rsidRDefault="008E4476" w:rsidP="00C620CB">
      <w:pPr>
        <w:pStyle w:val="Heading4"/>
        <w:spacing w:before="0" w:line="240" w:lineRule="auto"/>
      </w:pPr>
      <w:r w:rsidRPr="008A671D">
        <w:t>Student Stratification</w:t>
      </w:r>
    </w:p>
    <w:p w14:paraId="2335E45A" w14:textId="5F2443AC" w:rsidR="008E4476" w:rsidRPr="009E59A5" w:rsidRDefault="008E4476" w:rsidP="00F776C1">
      <w:pPr>
        <w:pStyle w:val="BodyText"/>
        <w:keepNext/>
        <w:spacing w:before="0" w:after="40" w:line="240" w:lineRule="auto"/>
        <w:ind w:firstLine="0"/>
        <w:rPr>
          <w:szCs w:val="24"/>
        </w:rPr>
      </w:pPr>
      <w:r w:rsidRPr="009E59A5">
        <w:rPr>
          <w:szCs w:val="24"/>
        </w:rPr>
        <w:t>The student sampling strata will be</w:t>
      </w:r>
    </w:p>
    <w:p w14:paraId="65861CAC" w14:textId="652F5EC1"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undergraduate students who are veterans</w:t>
      </w:r>
      <w:r w:rsidR="001D196A">
        <w:rPr>
          <w:szCs w:val="24"/>
        </w:rPr>
        <w:t>;</w:t>
      </w:r>
    </w:p>
    <w:p w14:paraId="6506EA5E" w14:textId="165A77E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other undergraduate students</w:t>
      </w:r>
      <w:r w:rsidR="001D196A">
        <w:rPr>
          <w:szCs w:val="24"/>
        </w:rPr>
        <w:t>;</w:t>
      </w:r>
    </w:p>
    <w:p w14:paraId="555A09F7" w14:textId="25F90B3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graduate students who are veterans</w:t>
      </w:r>
      <w:r w:rsidR="001D196A">
        <w:rPr>
          <w:szCs w:val="24"/>
        </w:rPr>
        <w:t>;</w:t>
      </w:r>
    </w:p>
    <w:p w14:paraId="7A3D1F32" w14:textId="2FBE3974"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science, technology, engineering, and mathematics (STEM) programs</w:t>
      </w:r>
      <w:r w:rsidR="001D196A">
        <w:rPr>
          <w:szCs w:val="24"/>
        </w:rPr>
        <w:t>;</w:t>
      </w:r>
    </w:p>
    <w:p w14:paraId="15E2B289" w14:textId="58AA1C99"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education and business programs</w:t>
      </w:r>
      <w:r w:rsidR="001D196A">
        <w:rPr>
          <w:szCs w:val="24"/>
        </w:rPr>
        <w:t>;</w:t>
      </w:r>
    </w:p>
    <w:p w14:paraId="34E7DE81" w14:textId="7D8305F4"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master’s degree students in other programs</w:t>
      </w:r>
      <w:r w:rsidR="001D196A">
        <w:rPr>
          <w:szCs w:val="24"/>
        </w:rPr>
        <w:t>;</w:t>
      </w:r>
    </w:p>
    <w:p w14:paraId="3E4FBF33" w14:textId="6D663B08"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STEM programs</w:t>
      </w:r>
      <w:r w:rsidR="001D196A">
        <w:rPr>
          <w:szCs w:val="24"/>
        </w:rPr>
        <w:t>;</w:t>
      </w:r>
    </w:p>
    <w:p w14:paraId="1466D42F" w14:textId="01A289CD"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education and business programs</w:t>
      </w:r>
      <w:r w:rsidR="001D196A">
        <w:rPr>
          <w:szCs w:val="24"/>
        </w:rPr>
        <w:t>;</w:t>
      </w:r>
    </w:p>
    <w:p w14:paraId="47E6BB95" w14:textId="28A738D3"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doctoral-research/scholarship/other students in other programs</w:t>
      </w:r>
      <w:r w:rsidR="001D196A">
        <w:rPr>
          <w:szCs w:val="24"/>
        </w:rPr>
        <w:t>;</w:t>
      </w:r>
    </w:p>
    <w:p w14:paraId="79B718EB" w14:textId="1985A6A6" w:rsidR="008E4476" w:rsidRPr="009E59A5" w:rsidRDefault="008E4476" w:rsidP="00F776C1">
      <w:pPr>
        <w:pStyle w:val="ListNumber"/>
        <w:numPr>
          <w:ilvl w:val="0"/>
          <w:numId w:val="26"/>
        </w:numPr>
        <w:tabs>
          <w:tab w:val="left" w:pos="720"/>
        </w:tabs>
        <w:ind w:left="720" w:right="-14"/>
        <w:contextualSpacing w:val="0"/>
        <w:rPr>
          <w:szCs w:val="24"/>
        </w:rPr>
      </w:pPr>
      <w:r w:rsidRPr="009E59A5">
        <w:rPr>
          <w:szCs w:val="24"/>
        </w:rPr>
        <w:t>doctoral-professional practice students</w:t>
      </w:r>
      <w:r w:rsidR="001D196A">
        <w:rPr>
          <w:szCs w:val="24"/>
        </w:rPr>
        <w:t>; and</w:t>
      </w:r>
    </w:p>
    <w:p w14:paraId="0043EEC1" w14:textId="448892E0" w:rsidR="008E4476" w:rsidRPr="009E59A5" w:rsidRDefault="008E4476" w:rsidP="00106E2A">
      <w:pPr>
        <w:pStyle w:val="ListNumber"/>
        <w:numPr>
          <w:ilvl w:val="0"/>
          <w:numId w:val="26"/>
        </w:numPr>
        <w:tabs>
          <w:tab w:val="left" w:pos="720"/>
        </w:tabs>
        <w:spacing w:after="120"/>
        <w:ind w:left="720" w:right="-18"/>
        <w:contextualSpacing w:val="0"/>
        <w:rPr>
          <w:szCs w:val="24"/>
        </w:rPr>
      </w:pPr>
      <w:r w:rsidRPr="009E59A5">
        <w:rPr>
          <w:szCs w:val="24"/>
        </w:rPr>
        <w:t>other graduate students</w:t>
      </w:r>
      <w:r w:rsidR="001D196A">
        <w:rPr>
          <w:szCs w:val="24"/>
        </w:rPr>
        <w:t>.</w:t>
      </w:r>
    </w:p>
    <w:p w14:paraId="492B0D7F" w14:textId="1A2895B1" w:rsidR="008E4476" w:rsidRDefault="008E4476" w:rsidP="00C620CB">
      <w:pPr>
        <w:pStyle w:val="BodyText"/>
        <w:spacing w:before="0" w:line="240" w:lineRule="auto"/>
        <w:ind w:firstLine="0"/>
      </w:pPr>
      <w:r>
        <w:t xml:space="preserve">To be comparable to NPSAS:16, </w:t>
      </w:r>
      <w:r w:rsidR="00084F0A">
        <w:t xml:space="preserve">survey staff </w:t>
      </w:r>
      <w:r>
        <w:t xml:space="preserve">are keeping the graduate </w:t>
      </w:r>
      <w:r w:rsidR="001747B9">
        <w:t xml:space="preserve">student sampling </w:t>
      </w:r>
      <w:r>
        <w:t xml:space="preserve">strata </w:t>
      </w:r>
      <w:r w:rsidR="00BE726F">
        <w:t xml:space="preserve">for NPSAS:18-AC </w:t>
      </w:r>
      <w:r>
        <w:t xml:space="preserve">similar to the </w:t>
      </w:r>
      <w:r w:rsidR="009B0DC0">
        <w:t xml:space="preserve">graduate student </w:t>
      </w:r>
      <w:r>
        <w:t>sampling strata used in NPSAS:16.</w:t>
      </w:r>
    </w:p>
    <w:p w14:paraId="78C2BD43" w14:textId="77777777" w:rsidR="00C620CB" w:rsidRDefault="008E4476" w:rsidP="00C620CB">
      <w:pPr>
        <w:pStyle w:val="BodyText"/>
        <w:spacing w:before="0" w:line="240" w:lineRule="auto"/>
        <w:ind w:firstLine="0"/>
      </w:pPr>
      <w:r>
        <w:t>If students fall into multiple strata, such as graduate students who are veterans or with double majors, the ordering of the strata above will be used to prioritize the stratification.</w:t>
      </w:r>
    </w:p>
    <w:p w14:paraId="208D5DA1" w14:textId="04CE4892" w:rsidR="008E4476" w:rsidRDefault="008E4476" w:rsidP="00F776C1">
      <w:pPr>
        <w:pStyle w:val="BodyText"/>
        <w:spacing w:before="0" w:after="40" w:line="240" w:lineRule="auto"/>
        <w:ind w:firstLine="0"/>
      </w:pPr>
      <w:r>
        <w:t xml:space="preserve">Several student subgroups will be intentionally sampled at rates different </w:t>
      </w:r>
      <w:r w:rsidR="00BE726F">
        <w:t xml:space="preserve">from </w:t>
      </w:r>
      <w:r>
        <w:t>their natural occurrence within the population due to specific analytic objectives. The following groups will be oversampled:</w:t>
      </w:r>
    </w:p>
    <w:p w14:paraId="6A4DB0D1" w14:textId="10F20E83" w:rsidR="008E4476" w:rsidRPr="00DE6A22" w:rsidRDefault="008E4476" w:rsidP="00F776C1">
      <w:pPr>
        <w:pStyle w:val="ListBullet"/>
      </w:pPr>
      <w:r w:rsidRPr="00DE6A22">
        <w:t>undergraduate students who are veterans</w:t>
      </w:r>
      <w:r w:rsidR="00BE726F">
        <w:t>,</w:t>
      </w:r>
    </w:p>
    <w:p w14:paraId="41853F22" w14:textId="3A8C2CE4" w:rsidR="008E4476" w:rsidRPr="00FB7654" w:rsidRDefault="008E4476" w:rsidP="00F776C1">
      <w:pPr>
        <w:pStyle w:val="ListBullet"/>
      </w:pPr>
      <w:r w:rsidRPr="00FB7654">
        <w:t>graduate students who are veterans</w:t>
      </w:r>
      <w:r w:rsidR="00BE726F">
        <w:t>,</w:t>
      </w:r>
    </w:p>
    <w:p w14:paraId="2FD3C2D6" w14:textId="25874461" w:rsidR="008E4476" w:rsidRPr="00FB7654" w:rsidRDefault="008E4476" w:rsidP="00F776C1">
      <w:pPr>
        <w:pStyle w:val="ListBullet"/>
      </w:pPr>
      <w:r w:rsidRPr="00FB7654">
        <w:t>master’s degree students in STEM programs</w:t>
      </w:r>
      <w:r w:rsidR="00BE726F">
        <w:t>,</w:t>
      </w:r>
    </w:p>
    <w:p w14:paraId="69E64A28" w14:textId="5CEA9A34" w:rsidR="008E4476" w:rsidRPr="00DE6A22" w:rsidRDefault="008E4476" w:rsidP="00F776C1">
      <w:pPr>
        <w:pStyle w:val="ListBullet"/>
      </w:pPr>
      <w:r w:rsidRPr="00DE6A22">
        <w:t>doctoral-research/scholarship/other students in STEM programs</w:t>
      </w:r>
      <w:r w:rsidR="00BE726F">
        <w:t>, and</w:t>
      </w:r>
    </w:p>
    <w:p w14:paraId="42B7C622" w14:textId="53056FBF" w:rsidR="008E4476" w:rsidRPr="00DE6A22" w:rsidRDefault="008E4476" w:rsidP="00F776C1">
      <w:pPr>
        <w:pStyle w:val="ListBullet"/>
      </w:pPr>
      <w:r w:rsidRPr="00DE6A22">
        <w:t>master’s degree students enrolled in for-profit institutions</w:t>
      </w:r>
      <w:r w:rsidR="00BE726F">
        <w:t>.</w:t>
      </w:r>
    </w:p>
    <w:p w14:paraId="1F38EBE2" w14:textId="6A0F78CD" w:rsidR="008E4476" w:rsidRPr="00DE6A22" w:rsidRDefault="008E4476" w:rsidP="00F776C1">
      <w:pPr>
        <w:pStyle w:val="BodyText"/>
        <w:spacing w:before="0" w:after="40" w:line="240" w:lineRule="auto"/>
        <w:ind w:firstLine="0"/>
      </w:pPr>
      <w:r w:rsidRPr="00DE6A22">
        <w:t>Similarly, the following groups will be undersampled:</w:t>
      </w:r>
    </w:p>
    <w:p w14:paraId="7524276B" w14:textId="77777777" w:rsidR="00C620CB" w:rsidRDefault="008E4476" w:rsidP="00F776C1">
      <w:pPr>
        <w:pStyle w:val="ListBullet"/>
      </w:pPr>
      <w:r w:rsidRPr="00DE6A22">
        <w:t>master’s degree students in education and business programs</w:t>
      </w:r>
      <w:r w:rsidR="00BE726F">
        <w:t>, and</w:t>
      </w:r>
    </w:p>
    <w:p w14:paraId="4378474A" w14:textId="61E3A454" w:rsidR="008E4476" w:rsidRPr="00DE6A22" w:rsidRDefault="008E4476" w:rsidP="00F776C1">
      <w:pPr>
        <w:pStyle w:val="ListBullet"/>
      </w:pPr>
      <w:r w:rsidRPr="00DE6A22">
        <w:t>doctoral-research/scholarship/other students in education and business programs</w:t>
      </w:r>
      <w:r w:rsidR="00BE726F">
        <w:t>.</w:t>
      </w:r>
    </w:p>
    <w:p w14:paraId="05F1BC28" w14:textId="77777777" w:rsidR="00C620CB" w:rsidRDefault="008E4476" w:rsidP="00C620CB">
      <w:pPr>
        <w:pStyle w:val="BodyText"/>
        <w:spacing w:before="0" w:line="240" w:lineRule="auto"/>
        <w:ind w:firstLine="0"/>
      </w:pPr>
      <w:r>
        <w:t>Because these two groups are so large, sampling in proportion to the population would make it difficult to draw inferences about the experiences of other master’s degree and doctoral students, respectively.</w:t>
      </w:r>
    </w:p>
    <w:p w14:paraId="409A4B44" w14:textId="162D97B3" w:rsidR="008E4476" w:rsidRDefault="008E4476" w:rsidP="00C620CB">
      <w:pPr>
        <w:pStyle w:val="BodyText"/>
        <w:spacing w:before="0" w:line="240" w:lineRule="auto"/>
        <w:ind w:firstLine="0"/>
      </w:pPr>
      <w:r>
        <w:t xml:space="preserve">As was done for NPSAS:16, we will match the student enrollment lists to two supplemental databases. To identify veterans, we will match the student enrollment lists with a list of veterans from the Veterans Benefits Administration (VBA). We will also match the student lists to the National Student Loan Data System (NSLDS) and use the financial aid data for student-implicit stratification. Within the student-explicit strata, we will sort the students by federally aided/unaided, </w:t>
      </w:r>
      <w:r w:rsidR="00C17C38">
        <w:t>which</w:t>
      </w:r>
      <w:r>
        <w:t xml:space="preserve"> will allow the sample proportions of aided and unaided students to approximately match the population within institution and student strata.</w:t>
      </w:r>
    </w:p>
    <w:p w14:paraId="7A4643D8" w14:textId="77777777" w:rsidR="008E4476" w:rsidRPr="008A671D" w:rsidRDefault="008E4476" w:rsidP="00C620CB">
      <w:pPr>
        <w:pStyle w:val="Heading4"/>
        <w:spacing w:before="0" w:line="240" w:lineRule="auto"/>
      </w:pPr>
      <w:r w:rsidRPr="008A671D">
        <w:t>Sample Sizes and Student Sampling</w:t>
      </w:r>
    </w:p>
    <w:p w14:paraId="74A5B4FE" w14:textId="1C4AF6C6" w:rsidR="008E4476" w:rsidRDefault="008E4476" w:rsidP="00F776C1">
      <w:pPr>
        <w:pStyle w:val="BodyText"/>
        <w:widowControl w:val="0"/>
        <w:spacing w:before="0" w:line="240" w:lineRule="auto"/>
        <w:ind w:firstLine="0"/>
        <w:rPr>
          <w:rFonts w:cstheme="minorHAnsi"/>
        </w:rPr>
      </w:pPr>
      <w:r w:rsidRPr="00E6452C">
        <w:rPr>
          <w:rFonts w:cstheme="minorHAnsi"/>
        </w:rPr>
        <w:t xml:space="preserve">NPSAS:18-AC </w:t>
      </w:r>
      <w:r w:rsidR="00C17C38">
        <w:rPr>
          <w:rFonts w:cstheme="minorHAnsi"/>
        </w:rPr>
        <w:t>is</w:t>
      </w:r>
      <w:r>
        <w:rPr>
          <w:rFonts w:cstheme="minorHAnsi"/>
        </w:rPr>
        <w:t xml:space="preserve"> designed to sample a total of 400,000</w:t>
      </w:r>
      <w:r w:rsidRPr="00E6452C">
        <w:rPr>
          <w:rFonts w:cstheme="minorHAnsi"/>
        </w:rPr>
        <w:t xml:space="preserve"> students. </w:t>
      </w:r>
      <w:r w:rsidR="00D624AC">
        <w:rPr>
          <w:rFonts w:cstheme="minorHAnsi"/>
        </w:rPr>
        <w:t>NCES will</w:t>
      </w:r>
      <w:r w:rsidRPr="00E6452C">
        <w:rPr>
          <w:rFonts w:cstheme="minorHAnsi"/>
        </w:rPr>
        <w:t xml:space="preserve"> sample 2</w:t>
      </w:r>
      <w:r>
        <w:rPr>
          <w:rFonts w:cstheme="minorHAnsi"/>
        </w:rPr>
        <w:t>5</w:t>
      </w:r>
      <w:r w:rsidRPr="00E6452C">
        <w:rPr>
          <w:rFonts w:cstheme="minorHAnsi"/>
        </w:rPr>
        <w:t>,000 graduate students</w:t>
      </w:r>
      <w:r>
        <w:rPr>
          <w:rFonts w:cstheme="minorHAnsi"/>
        </w:rPr>
        <w:t>,</w:t>
      </w:r>
      <w:r w:rsidRPr="00E6452C">
        <w:rPr>
          <w:rFonts w:cstheme="minorHAnsi"/>
        </w:rPr>
        <w:t xml:space="preserve"> and the remaining sample will be of undergraduate students.</w:t>
      </w:r>
      <w:r>
        <w:rPr>
          <w:rFonts w:cstheme="minorHAnsi"/>
        </w:rPr>
        <w:t xml:space="preserve"> </w:t>
      </w:r>
      <w:r w:rsidR="005730C3">
        <w:t xml:space="preserve">The undergraduate and graduate student samples will be nationally representative. </w:t>
      </w:r>
      <w:r w:rsidR="005730C3" w:rsidRPr="006A1213">
        <w:rPr>
          <w:rFonts w:cstheme="minorHAnsi"/>
        </w:rPr>
        <w:t>The undergraduate</w:t>
      </w:r>
      <w:r w:rsidR="005730C3">
        <w:rPr>
          <w:rFonts w:cstheme="minorHAnsi"/>
        </w:rPr>
        <w:t xml:space="preserve">-student sample will also be </w:t>
      </w:r>
      <w:r w:rsidR="005730C3" w:rsidRPr="006A1213">
        <w:rPr>
          <w:rFonts w:cstheme="minorHAnsi"/>
        </w:rPr>
        <w:t>state</w:t>
      </w:r>
      <w:r w:rsidR="005730C3">
        <w:rPr>
          <w:rFonts w:cstheme="minorHAnsi"/>
        </w:rPr>
        <w:t xml:space="preserve"> </w:t>
      </w:r>
      <w:r w:rsidR="005730C3" w:rsidRPr="006A1213">
        <w:rPr>
          <w:rFonts w:cstheme="minorHAnsi"/>
        </w:rPr>
        <w:t>representative for public 2-year and public 4-</w:t>
      </w:r>
      <w:r w:rsidR="005730C3">
        <w:rPr>
          <w:rFonts w:cstheme="minorHAnsi"/>
        </w:rPr>
        <w:t>year institutions as well as overall.</w:t>
      </w:r>
    </w:p>
    <w:p w14:paraId="1F6632AF" w14:textId="68B21522" w:rsidR="00C620CB" w:rsidRDefault="008E4476" w:rsidP="00C620CB">
      <w:pPr>
        <w:pStyle w:val="BodyText"/>
        <w:spacing w:before="0" w:line="240" w:lineRule="auto"/>
        <w:ind w:firstLine="0"/>
        <w:rPr>
          <w:rFonts w:cstheme="minorHAnsi"/>
        </w:rPr>
      </w:pPr>
      <w:r w:rsidRPr="006E6DDF">
        <w:rPr>
          <w:rFonts w:cstheme="minorHAnsi"/>
        </w:rPr>
        <w:t xml:space="preserve">The sample </w:t>
      </w:r>
      <w:r w:rsidR="00494F73" w:rsidRPr="006E6DDF">
        <w:rPr>
          <w:rFonts w:cstheme="minorHAnsi"/>
        </w:rPr>
        <w:t>sizes for</w:t>
      </w:r>
      <w:r w:rsidRPr="006E6DDF">
        <w:rPr>
          <w:rFonts w:cstheme="minorHAnsi"/>
        </w:rPr>
        <w:t xml:space="preserve"> </w:t>
      </w:r>
      <w:r w:rsidR="001F0499">
        <w:rPr>
          <w:rFonts w:cstheme="minorHAnsi"/>
        </w:rPr>
        <w:t xml:space="preserve">the </w:t>
      </w:r>
      <w:r w:rsidRPr="006E6DDF">
        <w:rPr>
          <w:rFonts w:cstheme="minorHAnsi"/>
        </w:rPr>
        <w:t xml:space="preserve">undergraduate sample of 375,000 students are presented in </w:t>
      </w:r>
      <w:r w:rsidR="00BE726F">
        <w:rPr>
          <w:rFonts w:cstheme="minorHAnsi"/>
        </w:rPr>
        <w:t>t</w:t>
      </w:r>
      <w:r w:rsidR="00BE726F" w:rsidRPr="006A1213">
        <w:rPr>
          <w:rFonts w:cstheme="minorHAnsi"/>
        </w:rPr>
        <w:t xml:space="preserve">able </w:t>
      </w:r>
      <w:r w:rsidR="001F0499">
        <w:rPr>
          <w:rFonts w:cstheme="minorHAnsi"/>
        </w:rPr>
        <w:t xml:space="preserve">2. </w:t>
      </w:r>
      <w:r w:rsidR="005730C3" w:rsidRPr="00E6452C">
        <w:rPr>
          <w:rFonts w:cstheme="minorHAnsi"/>
        </w:rPr>
        <w:t xml:space="preserve">We </w:t>
      </w:r>
      <w:r w:rsidR="00C17C38">
        <w:rPr>
          <w:rFonts w:cstheme="minorHAnsi"/>
        </w:rPr>
        <w:t xml:space="preserve">will </w:t>
      </w:r>
      <w:r w:rsidR="005730C3" w:rsidRPr="00E6452C">
        <w:rPr>
          <w:rFonts w:cstheme="minorHAnsi"/>
        </w:rPr>
        <w:t>divid</w:t>
      </w:r>
      <w:r w:rsidR="00C17C38">
        <w:rPr>
          <w:rFonts w:cstheme="minorHAnsi"/>
        </w:rPr>
        <w:t>e</w:t>
      </w:r>
      <w:r w:rsidR="005730C3" w:rsidRPr="00E6452C">
        <w:rPr>
          <w:rFonts w:cstheme="minorHAnsi"/>
        </w:rPr>
        <w:t xml:space="preserve"> the </w:t>
      </w:r>
      <w:r w:rsidR="005730C3">
        <w:rPr>
          <w:rFonts w:cstheme="minorHAnsi"/>
        </w:rPr>
        <w:t xml:space="preserve">undergraduate </w:t>
      </w:r>
      <w:r w:rsidR="005730C3" w:rsidRPr="00E6452C">
        <w:rPr>
          <w:rFonts w:cstheme="minorHAnsi"/>
        </w:rPr>
        <w:t xml:space="preserve">sample evenly between states (resulting </w:t>
      </w:r>
      <w:r w:rsidR="005730C3" w:rsidRPr="00D30336">
        <w:rPr>
          <w:rFonts w:cstheme="minorHAnsi"/>
        </w:rPr>
        <w:t>in 7,212 students</w:t>
      </w:r>
      <w:r w:rsidR="005730C3" w:rsidRPr="00E6452C">
        <w:rPr>
          <w:rFonts w:cstheme="minorHAnsi"/>
        </w:rPr>
        <w:t xml:space="preserve"> per state) and proportionally within states to obtain the sample sizes for each stratum. </w:t>
      </w:r>
      <w:r w:rsidR="001F0499">
        <w:rPr>
          <w:rFonts w:cstheme="minorHAnsi"/>
        </w:rPr>
        <w:t xml:space="preserve">The </w:t>
      </w:r>
      <w:r w:rsidR="00C84D84">
        <w:rPr>
          <w:rFonts w:cstheme="minorHAnsi"/>
        </w:rPr>
        <w:t>anticipated</w:t>
      </w:r>
      <w:r w:rsidR="001F0499">
        <w:rPr>
          <w:rFonts w:cstheme="minorHAnsi"/>
        </w:rPr>
        <w:t xml:space="preserve"> sample sizes for the graduate sample of 25,000 students are presented in table 3.</w:t>
      </w:r>
    </w:p>
    <w:p w14:paraId="61D4C1BE" w14:textId="10CF27D0" w:rsidR="00814715" w:rsidRDefault="00814715" w:rsidP="00814715">
      <w:pPr>
        <w:pStyle w:val="BodyText"/>
        <w:spacing w:before="0" w:line="240" w:lineRule="auto"/>
        <w:ind w:firstLine="0"/>
        <w:rPr>
          <w:rFonts w:cstheme="minorHAnsi"/>
        </w:rPr>
      </w:pPr>
      <w:r>
        <w:rPr>
          <w:rFonts w:cstheme="minorHAnsi"/>
        </w:rPr>
        <w:t xml:space="preserve">During the NPSAS:18-AC Technical Review Panel (TRP) meeting, panel members expressed an interest in being able to create their own groupings of institutions for analysis (i.e. institutions within specific university systems). </w:t>
      </w:r>
      <w:r>
        <w:t>We expect to sample approximately 120 undergraduates, on average, per institution</w:t>
      </w:r>
      <w:r w:rsidR="00235E9E">
        <w:t>.</w:t>
      </w:r>
      <w:r w:rsidR="00D5583A">
        <w:rPr>
          <w:rFonts w:cstheme="minorHAnsi"/>
        </w:rPr>
        <w:t xml:space="preserve"> The minimum sample size will vary b</w:t>
      </w:r>
      <w:r w:rsidR="00631AC4">
        <w:rPr>
          <w:rFonts w:cstheme="minorHAnsi"/>
        </w:rPr>
        <w:t>y</w:t>
      </w:r>
      <w:r w:rsidR="00D5583A">
        <w:rPr>
          <w:rFonts w:cstheme="minorHAnsi"/>
        </w:rPr>
        <w:t xml:space="preserve"> institution</w:t>
      </w:r>
      <w:r w:rsidR="00303543">
        <w:rPr>
          <w:rFonts w:cstheme="minorHAnsi"/>
        </w:rPr>
        <w:t xml:space="preserve"> depending on the strata and enrollment size of the institution.</w:t>
      </w:r>
      <w:r>
        <w:rPr>
          <w:rFonts w:cstheme="minorHAnsi"/>
        </w:rPr>
        <w:t xml:space="preserve"> We also expect </w:t>
      </w:r>
      <w:r>
        <w:t>to collect student records for about 90 percent of the sampled students. Therefore, the sample size</w:t>
      </w:r>
      <w:r w:rsidRPr="00723591">
        <w:rPr>
          <w:rFonts w:cstheme="minorHAnsi"/>
        </w:rPr>
        <w:t xml:space="preserve"> </w:t>
      </w:r>
      <w:r>
        <w:rPr>
          <w:rFonts w:cstheme="minorHAnsi"/>
        </w:rPr>
        <w:t>will be sufficient to</w:t>
      </w:r>
      <w:r w:rsidRPr="00723591">
        <w:rPr>
          <w:rFonts w:cstheme="minorHAnsi"/>
        </w:rPr>
        <w:t xml:space="preserve"> achieve institution-level representation for</w:t>
      </w:r>
      <w:r>
        <w:rPr>
          <w:rFonts w:cstheme="minorHAnsi"/>
        </w:rPr>
        <w:t xml:space="preserve"> undergraduate students in</w:t>
      </w:r>
      <w:r w:rsidRPr="00723591">
        <w:rPr>
          <w:rFonts w:cstheme="minorHAnsi"/>
        </w:rPr>
        <w:t xml:space="preserve"> public 2-year and public 4-year institutions</w:t>
      </w:r>
      <w:r>
        <w:rPr>
          <w:rFonts w:cstheme="minorHAnsi"/>
        </w:rPr>
        <w:t xml:space="preserve">. </w:t>
      </w:r>
      <w:r w:rsidRPr="00723591">
        <w:rPr>
          <w:rFonts w:cstheme="minorHAnsi"/>
        </w:rPr>
        <w:t>We will take the institution</w:t>
      </w:r>
      <w:r>
        <w:rPr>
          <w:rFonts w:cstheme="minorHAnsi"/>
        </w:rPr>
        <w:t>-level</w:t>
      </w:r>
      <w:r w:rsidRPr="00723591">
        <w:rPr>
          <w:rFonts w:cstheme="minorHAnsi"/>
        </w:rPr>
        <w:t xml:space="preserve"> representation into account when determining the weighting strategy, but</w:t>
      </w:r>
      <w:r>
        <w:rPr>
          <w:rFonts w:cstheme="minorHAnsi"/>
        </w:rPr>
        <w:t xml:space="preserve"> </w:t>
      </w:r>
      <w:r w:rsidRPr="00723591">
        <w:rPr>
          <w:rFonts w:cstheme="minorHAnsi"/>
        </w:rPr>
        <w:t xml:space="preserve">institution-level weights </w:t>
      </w:r>
      <w:r>
        <w:rPr>
          <w:rFonts w:cstheme="minorHAnsi"/>
        </w:rPr>
        <w:t>will not be produced. Our goal is to have institution-level representation, but the study is not designed to yield institution-level estimates. Although institution-level weights will not be produced, the i</w:t>
      </w:r>
      <w:r w:rsidRPr="00723591">
        <w:rPr>
          <w:rFonts w:cstheme="minorHAnsi"/>
        </w:rPr>
        <w:t>nstitution-level representation for undergraduates at 2-year and 4-year public institutions will allow researchers to aggregate</w:t>
      </w:r>
      <w:r>
        <w:rPr>
          <w:rFonts w:cstheme="minorHAnsi"/>
        </w:rPr>
        <w:t xml:space="preserve"> </w:t>
      </w:r>
      <w:r w:rsidRPr="00723591">
        <w:rPr>
          <w:rFonts w:cstheme="minorHAnsi"/>
        </w:rPr>
        <w:t>institutions for analysis.</w:t>
      </w:r>
    </w:p>
    <w:p w14:paraId="3A196FB7" w14:textId="77777777" w:rsidR="00814715" w:rsidRDefault="00814715" w:rsidP="00814715">
      <w:pPr>
        <w:pStyle w:val="BodyText"/>
        <w:spacing w:before="0" w:line="240" w:lineRule="auto"/>
        <w:ind w:firstLine="0"/>
      </w:pPr>
      <w:r>
        <w:t>Institution-level student sampling rates will be set based on frame data. During the NPSAS:16 list receipt and sampling process, we discovered that the IPEDS data overestimated the enrollment counts for the student lists that we received from sampled institutions. To adjust for this overestimation, we will increase the institution-level student sampling rates by a fixed amount, e.g. 10% within sector. Based on these adjusted rates, students will be sampled on a flow basis as student lists are received. Stratified systematic sampling procedures will be used. Within the graduate-student strata for veterans, the students will be sorted by master’s and doctoral degree seekers to ensure that the sample will be roughly proportional to the frame. As mentioned above, all strata will be sorted (implicitly stratified) by federally aided/unaided students to maintain proportionality between the sample and frame. Sample yield will be monitored by institution and student sampling strata, and the sampling rates will be adjusted early, if necessary, to achieve the desired sample yields.</w:t>
      </w:r>
    </w:p>
    <w:p w14:paraId="497CD583" w14:textId="77777777" w:rsidR="00842AD3" w:rsidRDefault="00842AD3" w:rsidP="00842AD3">
      <w:pPr>
        <w:pStyle w:val="TableTitle"/>
        <w:spacing w:after="60"/>
        <w:ind w:left="1224" w:hanging="1224"/>
      </w:pPr>
      <w:bookmarkStart w:id="39" w:name="_Toc503451219"/>
      <w:bookmarkStart w:id="40" w:name="_Toc487810867"/>
      <w:bookmarkStart w:id="41" w:name="_Toc478996646"/>
      <w:r>
        <w:t>Table 2. NPSAS:18-AC estimated undergraduate-student sample sizes</w:t>
      </w:r>
      <w:bookmarkEnd w:id="39"/>
      <w:bookmarkEnd w:id="40"/>
    </w:p>
    <w:tbl>
      <w:tblPr>
        <w:tblStyle w:val="TableGrid"/>
        <w:tblW w:w="1045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800"/>
        <w:gridCol w:w="1126"/>
        <w:gridCol w:w="875"/>
        <w:gridCol w:w="236"/>
        <w:gridCol w:w="1081"/>
        <w:gridCol w:w="930"/>
        <w:gridCol w:w="270"/>
        <w:gridCol w:w="990"/>
        <w:gridCol w:w="900"/>
        <w:gridCol w:w="270"/>
        <w:gridCol w:w="1080"/>
        <w:gridCol w:w="900"/>
      </w:tblGrid>
      <w:tr w:rsidR="00842AD3" w:rsidRPr="00DD4F55" w14:paraId="39895088" w14:textId="77777777" w:rsidTr="00B57CD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5517ED5D" w14:textId="77777777" w:rsidR="00842AD3" w:rsidRPr="00DD4F55" w:rsidRDefault="00842AD3" w:rsidP="008F2DA9">
            <w:pPr>
              <w:pStyle w:val="Tabletext"/>
            </w:pPr>
          </w:p>
        </w:tc>
        <w:tc>
          <w:tcPr>
            <w:tcW w:w="8658" w:type="dxa"/>
            <w:gridSpan w:val="11"/>
            <w:noWrap/>
          </w:tcPr>
          <w:p w14:paraId="11F9DC69"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r w:rsidRPr="00DD4F55">
              <w:t>Number of students</w:t>
            </w:r>
          </w:p>
        </w:tc>
      </w:tr>
      <w:tr w:rsidR="00BB3C64" w:rsidRPr="00DD4F55" w14:paraId="279942F4" w14:textId="77777777" w:rsidTr="008F2DA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63E34792" w14:textId="77777777" w:rsidR="00842AD3" w:rsidRPr="00DD4F55" w:rsidRDefault="00842AD3" w:rsidP="008F2DA9">
            <w:pPr>
              <w:pStyle w:val="Tabletext"/>
            </w:pPr>
          </w:p>
        </w:tc>
        <w:tc>
          <w:tcPr>
            <w:tcW w:w="2001" w:type="dxa"/>
            <w:gridSpan w:val="2"/>
            <w:noWrap/>
          </w:tcPr>
          <w:p w14:paraId="213DA7E6"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r w:rsidRPr="00DD4F55">
              <w:t>Public 2-year</w:t>
            </w:r>
          </w:p>
        </w:tc>
        <w:tc>
          <w:tcPr>
            <w:tcW w:w="236" w:type="dxa"/>
          </w:tcPr>
          <w:p w14:paraId="555EDFB2"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p>
        </w:tc>
        <w:tc>
          <w:tcPr>
            <w:tcW w:w="2011" w:type="dxa"/>
            <w:gridSpan w:val="2"/>
            <w:noWrap/>
          </w:tcPr>
          <w:p w14:paraId="33B891E5"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r w:rsidRPr="00DD4F55">
              <w:t>Public 4-year</w:t>
            </w:r>
          </w:p>
        </w:tc>
        <w:tc>
          <w:tcPr>
            <w:tcW w:w="270" w:type="dxa"/>
          </w:tcPr>
          <w:p w14:paraId="4AC1DD0D"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p>
        </w:tc>
        <w:tc>
          <w:tcPr>
            <w:tcW w:w="1890" w:type="dxa"/>
            <w:gridSpan w:val="2"/>
            <w:noWrap/>
          </w:tcPr>
          <w:p w14:paraId="0A4A13EB"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r w:rsidRPr="00DD4F55">
              <w:t>Other sectors</w:t>
            </w:r>
          </w:p>
        </w:tc>
        <w:tc>
          <w:tcPr>
            <w:tcW w:w="270" w:type="dxa"/>
          </w:tcPr>
          <w:p w14:paraId="56EAC9D4"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p>
        </w:tc>
        <w:tc>
          <w:tcPr>
            <w:tcW w:w="1980" w:type="dxa"/>
            <w:gridSpan w:val="2"/>
            <w:noWrap/>
          </w:tcPr>
          <w:p w14:paraId="084DB158" w14:textId="77777777" w:rsidR="00842AD3" w:rsidRPr="00DD4F55" w:rsidRDefault="00842AD3" w:rsidP="008F2DA9">
            <w:pPr>
              <w:pStyle w:val="Tabletext"/>
              <w:jc w:val="center"/>
              <w:cnfStyle w:val="100000000000" w:firstRow="1" w:lastRow="0" w:firstColumn="0" w:lastColumn="0" w:oddVBand="0" w:evenVBand="0" w:oddHBand="0" w:evenHBand="0" w:firstRowFirstColumn="0" w:firstRowLastColumn="0" w:lastRowFirstColumn="0" w:lastRowLastColumn="0"/>
            </w:pPr>
            <w:r w:rsidRPr="00DD4F55">
              <w:t>All sectors</w:t>
            </w:r>
          </w:p>
        </w:tc>
      </w:tr>
      <w:tr w:rsidR="00BB3C64" w:rsidRPr="00DD4F55" w14:paraId="63380329" w14:textId="77777777" w:rsidTr="008F2DA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00" w:type="dxa"/>
            <w:noWrap/>
          </w:tcPr>
          <w:p w14:paraId="3DAA5725" w14:textId="77777777" w:rsidR="00842AD3" w:rsidRPr="00DD4F55" w:rsidRDefault="00842AD3" w:rsidP="008F2DA9">
            <w:pPr>
              <w:pStyle w:val="Tabletext"/>
            </w:pPr>
            <w:r w:rsidRPr="00DD4F55">
              <w:t>State</w:t>
            </w:r>
          </w:p>
        </w:tc>
        <w:tc>
          <w:tcPr>
            <w:tcW w:w="1126" w:type="dxa"/>
            <w:noWrap/>
          </w:tcPr>
          <w:p w14:paraId="4ADDEB60"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875" w:type="dxa"/>
            <w:noWrap/>
          </w:tcPr>
          <w:p w14:paraId="3E9B9FE9"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36" w:type="dxa"/>
          </w:tcPr>
          <w:p w14:paraId="735285E8"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p>
        </w:tc>
        <w:tc>
          <w:tcPr>
            <w:tcW w:w="1081" w:type="dxa"/>
            <w:noWrap/>
          </w:tcPr>
          <w:p w14:paraId="3FE8146F"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930" w:type="dxa"/>
            <w:noWrap/>
          </w:tcPr>
          <w:p w14:paraId="4564C99B"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70" w:type="dxa"/>
          </w:tcPr>
          <w:p w14:paraId="46970CA2"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p>
        </w:tc>
        <w:tc>
          <w:tcPr>
            <w:tcW w:w="990" w:type="dxa"/>
            <w:noWrap/>
          </w:tcPr>
          <w:p w14:paraId="2BCC8E13"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900" w:type="dxa"/>
            <w:noWrap/>
          </w:tcPr>
          <w:p w14:paraId="617345F8"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Sample size</w:t>
            </w:r>
          </w:p>
        </w:tc>
        <w:tc>
          <w:tcPr>
            <w:tcW w:w="270" w:type="dxa"/>
          </w:tcPr>
          <w:p w14:paraId="1E50177C"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p>
        </w:tc>
        <w:tc>
          <w:tcPr>
            <w:tcW w:w="1080" w:type="dxa"/>
            <w:noWrap/>
          </w:tcPr>
          <w:p w14:paraId="01A1A21A"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Population estimate</w:t>
            </w:r>
          </w:p>
        </w:tc>
        <w:tc>
          <w:tcPr>
            <w:tcW w:w="900" w:type="dxa"/>
            <w:noWrap/>
          </w:tcPr>
          <w:p w14:paraId="30D47FCF" w14:textId="77777777" w:rsidR="00842AD3" w:rsidRPr="00DD4F55" w:rsidRDefault="00842AD3" w:rsidP="008F2DA9">
            <w:pPr>
              <w:pStyle w:val="Tabletext"/>
              <w:cnfStyle w:val="100000000000" w:firstRow="1" w:lastRow="0" w:firstColumn="0" w:lastColumn="0" w:oddVBand="0" w:evenVBand="0" w:oddHBand="0" w:evenHBand="0" w:firstRowFirstColumn="0" w:firstRowLastColumn="0" w:lastRowFirstColumn="0" w:lastRowLastColumn="0"/>
            </w:pPr>
            <w:r w:rsidRPr="00DD4F55">
              <w:t>Total sample size</w:t>
            </w:r>
          </w:p>
        </w:tc>
      </w:tr>
      <w:tr w:rsidR="00BB3C64" w:rsidRPr="00CC23C9" w14:paraId="0AF8F032"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76DE34DD" w14:textId="77777777" w:rsidR="00842AD3" w:rsidRPr="00CC23C9" w:rsidRDefault="00842AD3" w:rsidP="00B57CD0">
            <w:pPr>
              <w:pStyle w:val="Tabletext"/>
              <w:ind w:left="0" w:firstLine="0"/>
            </w:pPr>
            <w:r w:rsidRPr="00CC23C9">
              <w:t>Alabama</w:t>
            </w:r>
          </w:p>
        </w:tc>
        <w:tc>
          <w:tcPr>
            <w:tcW w:w="0" w:type="dxa"/>
            <w:noWrap/>
            <w:hideMark/>
          </w:tcPr>
          <w:p w14:paraId="459EF945" w14:textId="12E19B5C"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F844A7">
              <w:t>119,569</w:t>
            </w:r>
          </w:p>
        </w:tc>
        <w:tc>
          <w:tcPr>
            <w:tcW w:w="0" w:type="dxa"/>
            <w:noWrap/>
            <w:vAlign w:val="center"/>
            <w:hideMark/>
          </w:tcPr>
          <w:p w14:paraId="7ECDB6FC"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2,577</w:t>
            </w:r>
          </w:p>
        </w:tc>
        <w:tc>
          <w:tcPr>
            <w:tcW w:w="0" w:type="dxa"/>
          </w:tcPr>
          <w:p w14:paraId="34F1E978"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F966740" w14:textId="7411E260"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833920">
              <w:t>149,126</w:t>
            </w:r>
          </w:p>
        </w:tc>
        <w:tc>
          <w:tcPr>
            <w:tcW w:w="0" w:type="dxa"/>
            <w:noWrap/>
            <w:vAlign w:val="center"/>
            <w:hideMark/>
          </w:tcPr>
          <w:p w14:paraId="0803E71B" w14:textId="6D26616D"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214</w:t>
            </w:r>
          </w:p>
        </w:tc>
        <w:tc>
          <w:tcPr>
            <w:tcW w:w="0" w:type="dxa"/>
          </w:tcPr>
          <w:p w14:paraId="18C5BD05"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4F123DB" w14:textId="747489A8"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65,953</w:t>
            </w:r>
          </w:p>
        </w:tc>
        <w:tc>
          <w:tcPr>
            <w:tcW w:w="0" w:type="dxa"/>
            <w:noWrap/>
            <w:vAlign w:val="center"/>
            <w:hideMark/>
          </w:tcPr>
          <w:p w14:paraId="61F98DDB" w14:textId="35D1E400"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421</w:t>
            </w:r>
          </w:p>
        </w:tc>
        <w:tc>
          <w:tcPr>
            <w:tcW w:w="0" w:type="dxa"/>
          </w:tcPr>
          <w:p w14:paraId="3DC3E9CB"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FECE56B" w14:textId="5024921D"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334,648</w:t>
            </w:r>
          </w:p>
        </w:tc>
        <w:tc>
          <w:tcPr>
            <w:tcW w:w="0" w:type="dxa"/>
            <w:noWrap/>
            <w:hideMark/>
          </w:tcPr>
          <w:p w14:paraId="5E29F716"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8F900F2"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0B23628B" w14:textId="77777777" w:rsidR="00842AD3" w:rsidRPr="00CC23C9" w:rsidRDefault="00842AD3" w:rsidP="00B57CD0">
            <w:pPr>
              <w:pStyle w:val="Tabletext"/>
              <w:ind w:left="0" w:firstLine="0"/>
            </w:pPr>
            <w:r w:rsidRPr="00CC23C9">
              <w:t>Alaska</w:t>
            </w:r>
          </w:p>
        </w:tc>
        <w:tc>
          <w:tcPr>
            <w:tcW w:w="0" w:type="dxa"/>
            <w:noWrap/>
            <w:hideMark/>
          </w:tcPr>
          <w:p w14:paraId="678820B2" w14:textId="260652A1"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F844A7">
              <w:t>731</w:t>
            </w:r>
          </w:p>
        </w:tc>
        <w:tc>
          <w:tcPr>
            <w:tcW w:w="0" w:type="dxa"/>
            <w:noWrap/>
            <w:vAlign w:val="center"/>
            <w:hideMark/>
          </w:tcPr>
          <w:p w14:paraId="6C5B4153" w14:textId="5B9CBA23"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113</w:t>
            </w:r>
          </w:p>
        </w:tc>
        <w:tc>
          <w:tcPr>
            <w:tcW w:w="0" w:type="dxa"/>
          </w:tcPr>
          <w:p w14:paraId="03E6063E"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A8A1A05" w14:textId="269DADC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833920">
              <w:t>42,629</w:t>
            </w:r>
          </w:p>
        </w:tc>
        <w:tc>
          <w:tcPr>
            <w:tcW w:w="0" w:type="dxa"/>
            <w:noWrap/>
            <w:vAlign w:val="center"/>
            <w:hideMark/>
          </w:tcPr>
          <w:p w14:paraId="0F14ECB7" w14:textId="0A2075B3"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6,</w:t>
            </w:r>
            <w:r w:rsidRPr="00BB3C64">
              <w:rPr>
                <w:color w:val="000000"/>
              </w:rPr>
              <w:t>616</w:t>
            </w:r>
          </w:p>
        </w:tc>
        <w:tc>
          <w:tcPr>
            <w:tcW w:w="0" w:type="dxa"/>
          </w:tcPr>
          <w:p w14:paraId="30C9D31E"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9B4E6F0" w14:textId="1A5015AB"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3,106</w:t>
            </w:r>
          </w:p>
        </w:tc>
        <w:tc>
          <w:tcPr>
            <w:tcW w:w="0" w:type="dxa"/>
            <w:noWrap/>
            <w:vAlign w:val="center"/>
            <w:hideMark/>
          </w:tcPr>
          <w:p w14:paraId="3C0C5224" w14:textId="0D5BF919"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482</w:t>
            </w:r>
          </w:p>
        </w:tc>
        <w:tc>
          <w:tcPr>
            <w:tcW w:w="0" w:type="dxa"/>
          </w:tcPr>
          <w:p w14:paraId="3FB7F776"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F9D2F2E" w14:textId="1C6FDB7F"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46,466</w:t>
            </w:r>
          </w:p>
        </w:tc>
        <w:tc>
          <w:tcPr>
            <w:tcW w:w="0" w:type="dxa"/>
            <w:noWrap/>
            <w:hideMark/>
          </w:tcPr>
          <w:p w14:paraId="1C27ABDD"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0828ADA"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43A61E94" w14:textId="77777777" w:rsidR="00842AD3" w:rsidRPr="00CC23C9" w:rsidRDefault="00842AD3" w:rsidP="00B57CD0">
            <w:pPr>
              <w:pStyle w:val="Tabletext"/>
              <w:ind w:left="0" w:firstLine="0"/>
            </w:pPr>
            <w:r w:rsidRPr="00CC23C9">
              <w:t>Arizona</w:t>
            </w:r>
          </w:p>
        </w:tc>
        <w:tc>
          <w:tcPr>
            <w:tcW w:w="0" w:type="dxa"/>
            <w:noWrap/>
            <w:hideMark/>
          </w:tcPr>
          <w:p w14:paraId="56EFE55D" w14:textId="0A445F72"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F844A7">
              <w:t>302,896</w:t>
            </w:r>
          </w:p>
        </w:tc>
        <w:tc>
          <w:tcPr>
            <w:tcW w:w="0" w:type="dxa"/>
            <w:noWrap/>
            <w:vAlign w:val="center"/>
            <w:hideMark/>
          </w:tcPr>
          <w:p w14:paraId="4C3EF335" w14:textId="7C0E56C0"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822</w:t>
            </w:r>
          </w:p>
        </w:tc>
        <w:tc>
          <w:tcPr>
            <w:tcW w:w="0" w:type="dxa"/>
          </w:tcPr>
          <w:p w14:paraId="26050A9A"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A748153" w14:textId="4D2308BF"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833920">
              <w:t>155,408</w:t>
            </w:r>
          </w:p>
        </w:tc>
        <w:tc>
          <w:tcPr>
            <w:tcW w:w="0" w:type="dxa"/>
            <w:noWrap/>
            <w:vAlign w:val="center"/>
            <w:hideMark/>
          </w:tcPr>
          <w:p w14:paraId="52921CA7" w14:textId="5413711C"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448</w:t>
            </w:r>
          </w:p>
        </w:tc>
        <w:tc>
          <w:tcPr>
            <w:tcW w:w="0" w:type="dxa"/>
          </w:tcPr>
          <w:p w14:paraId="4A6201CB"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CEB9B65" w14:textId="08E72454"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315,754</w:t>
            </w:r>
          </w:p>
        </w:tc>
        <w:tc>
          <w:tcPr>
            <w:tcW w:w="0" w:type="dxa"/>
            <w:noWrap/>
            <w:vAlign w:val="center"/>
            <w:hideMark/>
          </w:tcPr>
          <w:p w14:paraId="65B53294" w14:textId="2669663C"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2,942</w:t>
            </w:r>
          </w:p>
        </w:tc>
        <w:tc>
          <w:tcPr>
            <w:tcW w:w="0" w:type="dxa"/>
          </w:tcPr>
          <w:p w14:paraId="73623D24"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AD08511" w14:textId="3483DCB8"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774,058</w:t>
            </w:r>
          </w:p>
        </w:tc>
        <w:tc>
          <w:tcPr>
            <w:tcW w:w="0" w:type="dxa"/>
            <w:noWrap/>
            <w:hideMark/>
          </w:tcPr>
          <w:p w14:paraId="4C8DA1BC"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4E6A466"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5B15BA11" w14:textId="77777777" w:rsidR="00842AD3" w:rsidRPr="00CC23C9" w:rsidRDefault="00842AD3" w:rsidP="00B57CD0">
            <w:pPr>
              <w:pStyle w:val="Tabletext"/>
              <w:ind w:left="0" w:firstLine="0"/>
            </w:pPr>
            <w:r w:rsidRPr="00CC23C9">
              <w:t>Arkansas</w:t>
            </w:r>
          </w:p>
        </w:tc>
        <w:tc>
          <w:tcPr>
            <w:tcW w:w="0" w:type="dxa"/>
            <w:noWrap/>
            <w:hideMark/>
          </w:tcPr>
          <w:p w14:paraId="6B8FF52A" w14:textId="41B75F4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F844A7">
              <w:t>72,149</w:t>
            </w:r>
          </w:p>
        </w:tc>
        <w:tc>
          <w:tcPr>
            <w:tcW w:w="0" w:type="dxa"/>
            <w:noWrap/>
            <w:vAlign w:val="center"/>
            <w:hideMark/>
          </w:tcPr>
          <w:p w14:paraId="0CBD480B" w14:textId="32CEF7DE"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793</w:t>
            </w:r>
          </w:p>
        </w:tc>
        <w:tc>
          <w:tcPr>
            <w:tcW w:w="0" w:type="dxa"/>
          </w:tcPr>
          <w:p w14:paraId="5481842B"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7B84BFA" w14:textId="4907C7A8"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833920">
              <w:t>92,024</w:t>
            </w:r>
          </w:p>
        </w:tc>
        <w:tc>
          <w:tcPr>
            <w:tcW w:w="0" w:type="dxa"/>
            <w:noWrap/>
            <w:vAlign w:val="center"/>
            <w:hideMark/>
          </w:tcPr>
          <w:p w14:paraId="44476DF1" w14:textId="4A8340DC"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563</w:t>
            </w:r>
          </w:p>
        </w:tc>
        <w:tc>
          <w:tcPr>
            <w:tcW w:w="0" w:type="dxa"/>
          </w:tcPr>
          <w:p w14:paraId="03519244"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B64FAC4" w14:textId="285C270B"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22,103</w:t>
            </w:r>
          </w:p>
        </w:tc>
        <w:tc>
          <w:tcPr>
            <w:tcW w:w="0" w:type="dxa"/>
            <w:noWrap/>
            <w:vAlign w:val="center"/>
            <w:hideMark/>
          </w:tcPr>
          <w:p w14:paraId="1BF516A9" w14:textId="725292C8"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856</w:t>
            </w:r>
          </w:p>
        </w:tc>
        <w:tc>
          <w:tcPr>
            <w:tcW w:w="0" w:type="dxa"/>
          </w:tcPr>
          <w:p w14:paraId="247319B4"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EADCCBA" w14:textId="64D5EEED"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BB3C64">
              <w:rPr>
                <w:color w:val="000000"/>
              </w:rPr>
              <w:t>186,276</w:t>
            </w:r>
          </w:p>
        </w:tc>
        <w:tc>
          <w:tcPr>
            <w:tcW w:w="0" w:type="dxa"/>
            <w:noWrap/>
            <w:hideMark/>
          </w:tcPr>
          <w:p w14:paraId="1C940092" w14:textId="77777777" w:rsidR="00842AD3" w:rsidRPr="00CC23C9" w:rsidRDefault="00842AD3" w:rsidP="008F2DA9">
            <w:pPr>
              <w:pStyle w:val="Tabletext"/>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6283AB5A"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4F3DC235" w14:textId="77777777" w:rsidR="00842AD3" w:rsidRPr="00CC23C9" w:rsidRDefault="00842AD3" w:rsidP="008F2DA9">
            <w:pPr>
              <w:pStyle w:val="Tabletext"/>
              <w:keepNext w:val="0"/>
              <w:widowControl w:val="0"/>
            </w:pPr>
            <w:r w:rsidRPr="00CC23C9">
              <w:t>California</w:t>
            </w:r>
          </w:p>
        </w:tc>
        <w:tc>
          <w:tcPr>
            <w:tcW w:w="0" w:type="dxa"/>
            <w:noWrap/>
            <w:hideMark/>
          </w:tcPr>
          <w:p w14:paraId="0F504D7D" w14:textId="7E3BE61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1,872,066</w:t>
            </w:r>
          </w:p>
        </w:tc>
        <w:tc>
          <w:tcPr>
            <w:tcW w:w="0" w:type="dxa"/>
            <w:noWrap/>
            <w:vAlign w:val="center"/>
            <w:hideMark/>
          </w:tcPr>
          <w:p w14:paraId="16B96CE9" w14:textId="5AF6109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031</w:t>
            </w:r>
          </w:p>
        </w:tc>
        <w:tc>
          <w:tcPr>
            <w:tcW w:w="0" w:type="dxa"/>
          </w:tcPr>
          <w:p w14:paraId="6293D87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CE46BC7" w14:textId="2CE63DD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961,767</w:t>
            </w:r>
          </w:p>
        </w:tc>
        <w:tc>
          <w:tcPr>
            <w:tcW w:w="0" w:type="dxa"/>
            <w:noWrap/>
            <w:vAlign w:val="center"/>
            <w:hideMark/>
          </w:tcPr>
          <w:p w14:paraId="4207989F" w14:textId="17DFB05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2,071</w:t>
            </w:r>
          </w:p>
        </w:tc>
        <w:tc>
          <w:tcPr>
            <w:tcW w:w="0" w:type="dxa"/>
          </w:tcPr>
          <w:p w14:paraId="3876D1B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15958E4" w14:textId="7B7D7CE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515,204</w:t>
            </w:r>
          </w:p>
        </w:tc>
        <w:tc>
          <w:tcPr>
            <w:tcW w:w="0" w:type="dxa"/>
            <w:noWrap/>
            <w:vAlign w:val="center"/>
            <w:hideMark/>
          </w:tcPr>
          <w:p w14:paraId="1BB3E7C4" w14:textId="182EA98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109</w:t>
            </w:r>
          </w:p>
        </w:tc>
        <w:tc>
          <w:tcPr>
            <w:tcW w:w="0" w:type="dxa"/>
          </w:tcPr>
          <w:p w14:paraId="5FCF01E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387C6A5" w14:textId="512B601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349,037</w:t>
            </w:r>
          </w:p>
        </w:tc>
        <w:tc>
          <w:tcPr>
            <w:tcW w:w="0" w:type="dxa"/>
            <w:noWrap/>
            <w:hideMark/>
          </w:tcPr>
          <w:p w14:paraId="2ADC5A5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AFA4F38"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7051886A" w14:textId="77777777" w:rsidR="00842AD3" w:rsidRPr="00CC23C9" w:rsidRDefault="00842AD3" w:rsidP="008F2DA9">
            <w:pPr>
              <w:pStyle w:val="Tabletext"/>
              <w:keepNext w:val="0"/>
              <w:widowControl w:val="0"/>
            </w:pPr>
            <w:r w:rsidRPr="00CC23C9">
              <w:t>Colorado</w:t>
            </w:r>
          </w:p>
        </w:tc>
        <w:tc>
          <w:tcPr>
            <w:tcW w:w="0" w:type="dxa"/>
            <w:noWrap/>
            <w:hideMark/>
          </w:tcPr>
          <w:p w14:paraId="02EB39DB" w14:textId="0811177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108,507</w:t>
            </w:r>
          </w:p>
        </w:tc>
        <w:tc>
          <w:tcPr>
            <w:tcW w:w="0" w:type="dxa"/>
            <w:noWrap/>
            <w:vAlign w:val="center"/>
            <w:hideMark/>
          </w:tcPr>
          <w:p w14:paraId="1517370A" w14:textId="12BEC97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w:t>
            </w:r>
            <w:r>
              <w:rPr>
                <w:rFonts w:cs="Arial"/>
                <w:color w:val="000000"/>
                <w:szCs w:val="16"/>
              </w:rPr>
              <w:t>899</w:t>
            </w:r>
          </w:p>
        </w:tc>
        <w:tc>
          <w:tcPr>
            <w:tcW w:w="0" w:type="dxa"/>
          </w:tcPr>
          <w:p w14:paraId="36A7421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9A04E51" w14:textId="3C429BE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199,385</w:t>
            </w:r>
          </w:p>
        </w:tc>
        <w:tc>
          <w:tcPr>
            <w:tcW w:w="0" w:type="dxa"/>
            <w:noWrap/>
            <w:vAlign w:val="center"/>
            <w:hideMark/>
          </w:tcPr>
          <w:p w14:paraId="25E955F7" w14:textId="62642BC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w:t>
            </w:r>
            <w:r>
              <w:rPr>
                <w:rFonts w:cs="Arial"/>
                <w:color w:val="000000"/>
                <w:szCs w:val="16"/>
              </w:rPr>
              <w:t>490</w:t>
            </w:r>
          </w:p>
        </w:tc>
        <w:tc>
          <w:tcPr>
            <w:tcW w:w="0" w:type="dxa"/>
          </w:tcPr>
          <w:p w14:paraId="0393A4B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2230554" w14:textId="37EFA3D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104,115</w:t>
            </w:r>
          </w:p>
        </w:tc>
        <w:tc>
          <w:tcPr>
            <w:tcW w:w="0" w:type="dxa"/>
            <w:noWrap/>
            <w:vAlign w:val="center"/>
            <w:hideMark/>
          </w:tcPr>
          <w:p w14:paraId="2490433B" w14:textId="7F6C69C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822</w:t>
            </w:r>
          </w:p>
        </w:tc>
        <w:tc>
          <w:tcPr>
            <w:tcW w:w="0" w:type="dxa"/>
          </w:tcPr>
          <w:p w14:paraId="4D6FEE7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A1D6397" w14:textId="7D23FEB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412,007</w:t>
            </w:r>
          </w:p>
        </w:tc>
        <w:tc>
          <w:tcPr>
            <w:tcW w:w="0" w:type="dxa"/>
            <w:noWrap/>
            <w:hideMark/>
          </w:tcPr>
          <w:p w14:paraId="34826F7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BF97216"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3FBDD2E9" w14:textId="77777777" w:rsidR="00842AD3" w:rsidRPr="00CC23C9" w:rsidRDefault="00842AD3" w:rsidP="008F2DA9">
            <w:pPr>
              <w:pStyle w:val="Tabletext"/>
              <w:keepNext w:val="0"/>
              <w:widowControl w:val="0"/>
            </w:pPr>
            <w:r w:rsidRPr="00CC23C9">
              <w:t>Connecticut</w:t>
            </w:r>
          </w:p>
        </w:tc>
        <w:tc>
          <w:tcPr>
            <w:tcW w:w="0" w:type="dxa"/>
            <w:noWrap/>
            <w:hideMark/>
          </w:tcPr>
          <w:p w14:paraId="70511DFE" w14:textId="68EFAE7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73,781</w:t>
            </w:r>
          </w:p>
        </w:tc>
        <w:tc>
          <w:tcPr>
            <w:tcW w:w="0" w:type="dxa"/>
            <w:noWrap/>
            <w:vAlign w:val="center"/>
            <w:hideMark/>
          </w:tcPr>
          <w:p w14:paraId="72F881F2" w14:textId="4E05BC9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401</w:t>
            </w:r>
          </w:p>
        </w:tc>
        <w:tc>
          <w:tcPr>
            <w:tcW w:w="0" w:type="dxa"/>
          </w:tcPr>
          <w:p w14:paraId="429E17A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5FF1DF1" w14:textId="4D1FC14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60,963</w:t>
            </w:r>
          </w:p>
        </w:tc>
        <w:tc>
          <w:tcPr>
            <w:tcW w:w="0" w:type="dxa"/>
            <w:noWrap/>
            <w:vAlign w:val="center"/>
            <w:hideMark/>
          </w:tcPr>
          <w:p w14:paraId="672C7513" w14:textId="56464F8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984</w:t>
            </w:r>
          </w:p>
        </w:tc>
        <w:tc>
          <w:tcPr>
            <w:tcW w:w="0" w:type="dxa"/>
          </w:tcPr>
          <w:p w14:paraId="2F94418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5A2B9E6" w14:textId="6266CC1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86,821</w:t>
            </w:r>
          </w:p>
        </w:tc>
        <w:tc>
          <w:tcPr>
            <w:tcW w:w="0" w:type="dxa"/>
            <w:noWrap/>
            <w:vAlign w:val="center"/>
            <w:hideMark/>
          </w:tcPr>
          <w:p w14:paraId="2EC28EF0" w14:textId="1CB119A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826</w:t>
            </w:r>
          </w:p>
        </w:tc>
        <w:tc>
          <w:tcPr>
            <w:tcW w:w="0" w:type="dxa"/>
          </w:tcPr>
          <w:p w14:paraId="78F2539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37ECAB7" w14:textId="5130E59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221,565</w:t>
            </w:r>
          </w:p>
        </w:tc>
        <w:tc>
          <w:tcPr>
            <w:tcW w:w="0" w:type="dxa"/>
            <w:noWrap/>
            <w:hideMark/>
          </w:tcPr>
          <w:p w14:paraId="32337AC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5937C6BB"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2B9AC1BC" w14:textId="77777777" w:rsidR="00842AD3" w:rsidRPr="00CC23C9" w:rsidRDefault="00842AD3" w:rsidP="008F2DA9">
            <w:pPr>
              <w:pStyle w:val="Tabletext"/>
              <w:keepNext w:val="0"/>
              <w:widowControl w:val="0"/>
            </w:pPr>
            <w:r w:rsidRPr="00CC23C9">
              <w:t>Delaware</w:t>
            </w:r>
          </w:p>
        </w:tc>
        <w:tc>
          <w:tcPr>
            <w:tcW w:w="0" w:type="dxa"/>
            <w:noWrap/>
            <w:hideMark/>
          </w:tcPr>
          <w:p w14:paraId="6B0719FE" w14:textId="5BE4C33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0</w:t>
            </w:r>
          </w:p>
        </w:tc>
        <w:tc>
          <w:tcPr>
            <w:tcW w:w="0" w:type="dxa"/>
            <w:noWrap/>
            <w:vAlign w:val="center"/>
            <w:hideMark/>
          </w:tcPr>
          <w:p w14:paraId="0A7D172B" w14:textId="722234B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0</w:t>
            </w:r>
          </w:p>
        </w:tc>
        <w:tc>
          <w:tcPr>
            <w:tcW w:w="0" w:type="dxa"/>
          </w:tcPr>
          <w:p w14:paraId="7BEE83B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83F0A8D" w14:textId="254DA74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43,868</w:t>
            </w:r>
          </w:p>
        </w:tc>
        <w:tc>
          <w:tcPr>
            <w:tcW w:w="0" w:type="dxa"/>
            <w:noWrap/>
            <w:vAlign w:val="center"/>
            <w:hideMark/>
          </w:tcPr>
          <w:p w14:paraId="75847067" w14:textId="2F1805D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5,201</w:t>
            </w:r>
          </w:p>
        </w:tc>
        <w:tc>
          <w:tcPr>
            <w:tcW w:w="0" w:type="dxa"/>
          </w:tcPr>
          <w:p w14:paraId="74D90D8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5EA27C0" w14:textId="47A422C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16,959</w:t>
            </w:r>
          </w:p>
        </w:tc>
        <w:tc>
          <w:tcPr>
            <w:tcW w:w="0" w:type="dxa"/>
            <w:noWrap/>
            <w:vAlign w:val="center"/>
            <w:hideMark/>
          </w:tcPr>
          <w:p w14:paraId="4303D3E1" w14:textId="7ED61B4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011</w:t>
            </w:r>
          </w:p>
        </w:tc>
        <w:tc>
          <w:tcPr>
            <w:tcW w:w="0" w:type="dxa"/>
          </w:tcPr>
          <w:p w14:paraId="04E4447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42462E0" w14:textId="76E26D5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60,827</w:t>
            </w:r>
          </w:p>
        </w:tc>
        <w:tc>
          <w:tcPr>
            <w:tcW w:w="0" w:type="dxa"/>
            <w:noWrap/>
            <w:hideMark/>
          </w:tcPr>
          <w:p w14:paraId="42F201B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4753BD6"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4BCFCF32" w14:textId="77777777" w:rsidR="00842AD3" w:rsidRPr="00CC23C9" w:rsidRDefault="00842AD3" w:rsidP="008F2DA9">
            <w:pPr>
              <w:pStyle w:val="Tabletext"/>
              <w:keepNext w:val="0"/>
              <w:widowControl w:val="0"/>
            </w:pPr>
            <w:r w:rsidRPr="00CC23C9">
              <w:t>District of Columbia</w:t>
            </w:r>
          </w:p>
        </w:tc>
        <w:tc>
          <w:tcPr>
            <w:tcW w:w="0" w:type="dxa"/>
            <w:noWrap/>
            <w:hideMark/>
          </w:tcPr>
          <w:p w14:paraId="7E4C942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0</w:t>
            </w:r>
          </w:p>
        </w:tc>
        <w:tc>
          <w:tcPr>
            <w:tcW w:w="0" w:type="dxa"/>
            <w:noWrap/>
            <w:vAlign w:val="center"/>
            <w:hideMark/>
          </w:tcPr>
          <w:p w14:paraId="5ADC274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0</w:t>
            </w:r>
          </w:p>
        </w:tc>
        <w:tc>
          <w:tcPr>
            <w:tcW w:w="0" w:type="dxa"/>
          </w:tcPr>
          <w:p w14:paraId="4ADAE45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A75F35B" w14:textId="6789223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5,754</w:t>
            </w:r>
          </w:p>
        </w:tc>
        <w:tc>
          <w:tcPr>
            <w:tcW w:w="0" w:type="dxa"/>
            <w:noWrap/>
            <w:vAlign w:val="center"/>
            <w:hideMark/>
          </w:tcPr>
          <w:p w14:paraId="2A05D489" w14:textId="12F30ED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687</w:t>
            </w:r>
          </w:p>
        </w:tc>
        <w:tc>
          <w:tcPr>
            <w:tcW w:w="0" w:type="dxa"/>
          </w:tcPr>
          <w:p w14:paraId="3CB7438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DA5FE2F" w14:textId="118E47E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54,671</w:t>
            </w:r>
          </w:p>
        </w:tc>
        <w:tc>
          <w:tcPr>
            <w:tcW w:w="0" w:type="dxa"/>
            <w:noWrap/>
            <w:vAlign w:val="center"/>
            <w:hideMark/>
          </w:tcPr>
          <w:p w14:paraId="44154C1B" w14:textId="1A68EF9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6,</w:t>
            </w:r>
            <w:r w:rsidRPr="00BB3C64">
              <w:rPr>
                <w:color w:val="000000"/>
              </w:rPr>
              <w:t>525</w:t>
            </w:r>
          </w:p>
        </w:tc>
        <w:tc>
          <w:tcPr>
            <w:tcW w:w="0" w:type="dxa"/>
          </w:tcPr>
          <w:p w14:paraId="00158B6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5913E2A" w14:textId="46BC2DB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60,425</w:t>
            </w:r>
          </w:p>
        </w:tc>
        <w:tc>
          <w:tcPr>
            <w:tcW w:w="0" w:type="dxa"/>
            <w:noWrap/>
            <w:hideMark/>
          </w:tcPr>
          <w:p w14:paraId="400AABF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058215A"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508577A7" w14:textId="77777777" w:rsidR="00842AD3" w:rsidRPr="00CC23C9" w:rsidRDefault="00842AD3" w:rsidP="008F2DA9">
            <w:pPr>
              <w:pStyle w:val="Tabletext"/>
              <w:keepNext w:val="0"/>
              <w:widowControl w:val="0"/>
            </w:pPr>
            <w:r w:rsidRPr="00CC23C9">
              <w:t>Florida</w:t>
            </w:r>
          </w:p>
        </w:tc>
        <w:tc>
          <w:tcPr>
            <w:tcW w:w="0" w:type="dxa"/>
            <w:noWrap/>
            <w:hideMark/>
          </w:tcPr>
          <w:p w14:paraId="2B4C25B3" w14:textId="3C320E8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80,606</w:t>
            </w:r>
          </w:p>
        </w:tc>
        <w:tc>
          <w:tcPr>
            <w:tcW w:w="0" w:type="dxa"/>
            <w:noWrap/>
            <w:vAlign w:val="center"/>
            <w:hideMark/>
          </w:tcPr>
          <w:p w14:paraId="234F0A50" w14:textId="6765585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423</w:t>
            </w:r>
          </w:p>
        </w:tc>
        <w:tc>
          <w:tcPr>
            <w:tcW w:w="0" w:type="dxa"/>
          </w:tcPr>
          <w:p w14:paraId="2A4B611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8D7F0B8" w14:textId="35FA097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921,388</w:t>
            </w:r>
          </w:p>
        </w:tc>
        <w:tc>
          <w:tcPr>
            <w:tcW w:w="0" w:type="dxa"/>
            <w:noWrap/>
            <w:vAlign w:val="center"/>
            <w:hideMark/>
          </w:tcPr>
          <w:p w14:paraId="7F3A7C03" w14:textId="544B207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Pr>
                <w:rFonts w:cs="Arial"/>
                <w:color w:val="000000"/>
                <w:szCs w:val="16"/>
              </w:rPr>
              <w:t>834</w:t>
            </w:r>
          </w:p>
        </w:tc>
        <w:tc>
          <w:tcPr>
            <w:tcW w:w="0" w:type="dxa"/>
          </w:tcPr>
          <w:p w14:paraId="01B46FA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22B6D1A" w14:textId="612901B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372,468</w:t>
            </w:r>
          </w:p>
        </w:tc>
        <w:tc>
          <w:tcPr>
            <w:tcW w:w="0" w:type="dxa"/>
            <w:noWrap/>
            <w:vAlign w:val="center"/>
            <w:hideMark/>
          </w:tcPr>
          <w:p w14:paraId="57052A5B" w14:textId="7D34BCA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w:t>
            </w:r>
            <w:r>
              <w:rPr>
                <w:rFonts w:cs="Arial"/>
                <w:color w:val="000000"/>
                <w:szCs w:val="16"/>
              </w:rPr>
              <w:t>954</w:t>
            </w:r>
          </w:p>
        </w:tc>
        <w:tc>
          <w:tcPr>
            <w:tcW w:w="0" w:type="dxa"/>
          </w:tcPr>
          <w:p w14:paraId="7C36C07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B827E81" w14:textId="6B370CD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374,462</w:t>
            </w:r>
          </w:p>
        </w:tc>
        <w:tc>
          <w:tcPr>
            <w:tcW w:w="0" w:type="dxa"/>
            <w:noWrap/>
            <w:hideMark/>
          </w:tcPr>
          <w:p w14:paraId="383BFCA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9FE8FE3"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00046A9E" w14:textId="77777777" w:rsidR="00842AD3" w:rsidRPr="00CC23C9" w:rsidRDefault="00842AD3" w:rsidP="008F2DA9">
            <w:pPr>
              <w:pStyle w:val="Tabletext"/>
              <w:keepNext w:val="0"/>
              <w:widowControl w:val="0"/>
            </w:pPr>
            <w:r w:rsidRPr="00CC23C9">
              <w:t>Georgia</w:t>
            </w:r>
          </w:p>
        </w:tc>
        <w:tc>
          <w:tcPr>
            <w:tcW w:w="0" w:type="dxa"/>
            <w:noWrap/>
            <w:hideMark/>
          </w:tcPr>
          <w:p w14:paraId="447AD8AF" w14:textId="39F485C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166,575</w:t>
            </w:r>
          </w:p>
        </w:tc>
        <w:tc>
          <w:tcPr>
            <w:tcW w:w="0" w:type="dxa"/>
            <w:noWrap/>
            <w:vAlign w:val="center"/>
            <w:hideMark/>
          </w:tcPr>
          <w:p w14:paraId="37D78EA3" w14:textId="74BCC58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024</w:t>
            </w:r>
          </w:p>
        </w:tc>
        <w:tc>
          <w:tcPr>
            <w:tcW w:w="0" w:type="dxa"/>
          </w:tcPr>
          <w:p w14:paraId="6387DB7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DFBD679" w14:textId="08F2F2F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310,481</w:t>
            </w:r>
          </w:p>
        </w:tc>
        <w:tc>
          <w:tcPr>
            <w:tcW w:w="0" w:type="dxa"/>
            <w:noWrap/>
            <w:vAlign w:val="center"/>
            <w:hideMark/>
          </w:tcPr>
          <w:p w14:paraId="715FC329" w14:textId="6B607BB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773</w:t>
            </w:r>
          </w:p>
        </w:tc>
        <w:tc>
          <w:tcPr>
            <w:tcW w:w="0" w:type="dxa"/>
          </w:tcPr>
          <w:p w14:paraId="01CEE89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9BEBE73" w14:textId="6F7646C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116,390</w:t>
            </w:r>
          </w:p>
        </w:tc>
        <w:tc>
          <w:tcPr>
            <w:tcW w:w="0" w:type="dxa"/>
            <w:noWrap/>
            <w:vAlign w:val="center"/>
            <w:hideMark/>
          </w:tcPr>
          <w:p w14:paraId="259D45CE" w14:textId="278769A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414</w:t>
            </w:r>
          </w:p>
        </w:tc>
        <w:tc>
          <w:tcPr>
            <w:tcW w:w="0" w:type="dxa"/>
          </w:tcPr>
          <w:p w14:paraId="1D8BBC5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4C51A8B" w14:textId="10ED58F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593,446</w:t>
            </w:r>
          </w:p>
        </w:tc>
        <w:tc>
          <w:tcPr>
            <w:tcW w:w="0" w:type="dxa"/>
            <w:noWrap/>
            <w:hideMark/>
          </w:tcPr>
          <w:p w14:paraId="6897FE2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3D9A046"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25E2D042" w14:textId="77777777" w:rsidR="00842AD3" w:rsidRPr="00CC23C9" w:rsidRDefault="00842AD3" w:rsidP="008F2DA9">
            <w:pPr>
              <w:pStyle w:val="Tabletext"/>
              <w:keepNext w:val="0"/>
              <w:widowControl w:val="0"/>
            </w:pPr>
            <w:r w:rsidRPr="00CC23C9">
              <w:t>Hawaii</w:t>
            </w:r>
          </w:p>
        </w:tc>
        <w:tc>
          <w:tcPr>
            <w:tcW w:w="0" w:type="dxa"/>
            <w:noWrap/>
            <w:hideMark/>
          </w:tcPr>
          <w:p w14:paraId="095C30D2" w14:textId="7C7B4DD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37,234</w:t>
            </w:r>
          </w:p>
        </w:tc>
        <w:tc>
          <w:tcPr>
            <w:tcW w:w="0" w:type="dxa"/>
            <w:noWrap/>
            <w:vAlign w:val="center"/>
            <w:hideMark/>
          </w:tcPr>
          <w:p w14:paraId="30C9AEA6" w14:textId="2165A42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362</w:t>
            </w:r>
          </w:p>
        </w:tc>
        <w:tc>
          <w:tcPr>
            <w:tcW w:w="0" w:type="dxa"/>
          </w:tcPr>
          <w:p w14:paraId="443DDF4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4ABCA37" w14:textId="5356E91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27,806</w:t>
            </w:r>
          </w:p>
        </w:tc>
        <w:tc>
          <w:tcPr>
            <w:tcW w:w="0" w:type="dxa"/>
            <w:noWrap/>
            <w:vAlign w:val="center"/>
            <w:hideMark/>
          </w:tcPr>
          <w:p w14:paraId="1D795987" w14:textId="48392CC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511</w:t>
            </w:r>
          </w:p>
        </w:tc>
        <w:tc>
          <w:tcPr>
            <w:tcW w:w="0" w:type="dxa"/>
          </w:tcPr>
          <w:p w14:paraId="536C56B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E46F5E1" w14:textId="5477160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14,818</w:t>
            </w:r>
          </w:p>
        </w:tc>
        <w:tc>
          <w:tcPr>
            <w:tcW w:w="0" w:type="dxa"/>
            <w:noWrap/>
            <w:vAlign w:val="center"/>
            <w:hideMark/>
          </w:tcPr>
          <w:p w14:paraId="0353A550" w14:textId="7794AE3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338</w:t>
            </w:r>
          </w:p>
        </w:tc>
        <w:tc>
          <w:tcPr>
            <w:tcW w:w="0" w:type="dxa"/>
          </w:tcPr>
          <w:p w14:paraId="3AF9A92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6DC2F9E" w14:textId="1DEC12C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79,858</w:t>
            </w:r>
          </w:p>
        </w:tc>
        <w:tc>
          <w:tcPr>
            <w:tcW w:w="0" w:type="dxa"/>
            <w:noWrap/>
            <w:hideMark/>
          </w:tcPr>
          <w:p w14:paraId="181B8C1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6DF5218"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7EE6826E" w14:textId="77777777" w:rsidR="00842AD3" w:rsidRPr="00CC23C9" w:rsidRDefault="00842AD3" w:rsidP="008F2DA9">
            <w:pPr>
              <w:pStyle w:val="Tabletext"/>
              <w:keepNext w:val="0"/>
              <w:widowControl w:val="0"/>
            </w:pPr>
            <w:r w:rsidRPr="00CC23C9">
              <w:t>Idaho</w:t>
            </w:r>
          </w:p>
        </w:tc>
        <w:tc>
          <w:tcPr>
            <w:tcW w:w="0" w:type="dxa"/>
            <w:noWrap/>
            <w:hideMark/>
          </w:tcPr>
          <w:p w14:paraId="6C26B077" w14:textId="049928F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33,484</w:t>
            </w:r>
          </w:p>
        </w:tc>
        <w:tc>
          <w:tcPr>
            <w:tcW w:w="0" w:type="dxa"/>
            <w:noWrap/>
            <w:vAlign w:val="center"/>
            <w:hideMark/>
          </w:tcPr>
          <w:p w14:paraId="234CC4D6" w14:textId="02C49EC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511</w:t>
            </w:r>
          </w:p>
        </w:tc>
        <w:tc>
          <w:tcPr>
            <w:tcW w:w="0" w:type="dxa"/>
          </w:tcPr>
          <w:p w14:paraId="5328061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17F14C6" w14:textId="4C0C5AD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51,423</w:t>
            </w:r>
          </w:p>
        </w:tc>
        <w:tc>
          <w:tcPr>
            <w:tcW w:w="0" w:type="dxa"/>
            <w:noWrap/>
            <w:vAlign w:val="center"/>
            <w:hideMark/>
          </w:tcPr>
          <w:p w14:paraId="434CB709" w14:textId="1104B69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321</w:t>
            </w:r>
          </w:p>
        </w:tc>
        <w:tc>
          <w:tcPr>
            <w:tcW w:w="0" w:type="dxa"/>
          </w:tcPr>
          <w:p w14:paraId="7116BC9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04D00E3" w14:textId="7CDD348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74,860</w:t>
            </w:r>
          </w:p>
        </w:tc>
        <w:tc>
          <w:tcPr>
            <w:tcW w:w="0" w:type="dxa"/>
            <w:noWrap/>
            <w:vAlign w:val="center"/>
            <w:hideMark/>
          </w:tcPr>
          <w:p w14:paraId="7527C1D4" w14:textId="4D34833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3,379</w:t>
            </w:r>
          </w:p>
        </w:tc>
        <w:tc>
          <w:tcPr>
            <w:tcW w:w="0" w:type="dxa"/>
          </w:tcPr>
          <w:p w14:paraId="1143D92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2EE7FD0" w14:textId="729BD2E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159,767</w:t>
            </w:r>
          </w:p>
        </w:tc>
        <w:tc>
          <w:tcPr>
            <w:tcW w:w="0" w:type="dxa"/>
            <w:noWrap/>
            <w:hideMark/>
          </w:tcPr>
          <w:p w14:paraId="42AA35D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A56254D"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105D1AEB" w14:textId="77777777" w:rsidR="00842AD3" w:rsidRPr="00CC23C9" w:rsidRDefault="00842AD3" w:rsidP="008F2DA9">
            <w:pPr>
              <w:pStyle w:val="Tabletext"/>
              <w:keepNext w:val="0"/>
              <w:widowControl w:val="0"/>
            </w:pPr>
            <w:r w:rsidRPr="00CC23C9">
              <w:t>Illinois</w:t>
            </w:r>
          </w:p>
        </w:tc>
        <w:tc>
          <w:tcPr>
            <w:tcW w:w="0" w:type="dxa"/>
            <w:noWrap/>
            <w:hideMark/>
          </w:tcPr>
          <w:p w14:paraId="5EDE65B0" w14:textId="5EF647D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597,286</w:t>
            </w:r>
          </w:p>
        </w:tc>
        <w:tc>
          <w:tcPr>
            <w:tcW w:w="0" w:type="dxa"/>
            <w:noWrap/>
            <w:vAlign w:val="center"/>
            <w:hideMark/>
          </w:tcPr>
          <w:p w14:paraId="14EFF33F" w14:textId="292F339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249</w:t>
            </w:r>
          </w:p>
        </w:tc>
        <w:tc>
          <w:tcPr>
            <w:tcW w:w="0" w:type="dxa"/>
          </w:tcPr>
          <w:p w14:paraId="5453775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21168BC4" w14:textId="12D9EC1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157,578</w:t>
            </w:r>
          </w:p>
        </w:tc>
        <w:tc>
          <w:tcPr>
            <w:tcW w:w="0" w:type="dxa"/>
            <w:noWrap/>
            <w:vAlign w:val="center"/>
            <w:hideMark/>
          </w:tcPr>
          <w:p w14:paraId="78FCB065" w14:textId="4D42DA7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121</w:t>
            </w:r>
          </w:p>
        </w:tc>
        <w:tc>
          <w:tcPr>
            <w:tcW w:w="0" w:type="dxa"/>
          </w:tcPr>
          <w:p w14:paraId="11081CD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F47FBA9" w14:textId="18C4C6B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258,917</w:t>
            </w:r>
          </w:p>
        </w:tc>
        <w:tc>
          <w:tcPr>
            <w:tcW w:w="0" w:type="dxa"/>
            <w:noWrap/>
            <w:vAlign w:val="center"/>
            <w:hideMark/>
          </w:tcPr>
          <w:p w14:paraId="078E7723" w14:textId="500894D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842</w:t>
            </w:r>
          </w:p>
        </w:tc>
        <w:tc>
          <w:tcPr>
            <w:tcW w:w="0" w:type="dxa"/>
          </w:tcPr>
          <w:p w14:paraId="7F7D2D3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03B827A" w14:textId="744258E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013,781</w:t>
            </w:r>
          </w:p>
        </w:tc>
        <w:tc>
          <w:tcPr>
            <w:tcW w:w="0" w:type="dxa"/>
            <w:noWrap/>
            <w:hideMark/>
          </w:tcPr>
          <w:p w14:paraId="0609358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44761FF5"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45E1CCDB" w14:textId="77777777" w:rsidR="00842AD3" w:rsidRPr="00CC23C9" w:rsidRDefault="00842AD3" w:rsidP="008F2DA9">
            <w:pPr>
              <w:pStyle w:val="Tabletext"/>
              <w:keepNext w:val="0"/>
              <w:widowControl w:val="0"/>
            </w:pPr>
            <w:r w:rsidRPr="00CC23C9">
              <w:t>Indiana</w:t>
            </w:r>
          </w:p>
        </w:tc>
        <w:tc>
          <w:tcPr>
            <w:tcW w:w="0" w:type="dxa"/>
            <w:noWrap/>
            <w:hideMark/>
          </w:tcPr>
          <w:p w14:paraId="027CC4F7" w14:textId="3058EE6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165,959</w:t>
            </w:r>
          </w:p>
        </w:tc>
        <w:tc>
          <w:tcPr>
            <w:tcW w:w="0" w:type="dxa"/>
            <w:noWrap/>
            <w:vAlign w:val="center"/>
            <w:hideMark/>
          </w:tcPr>
          <w:p w14:paraId="079CF9F9" w14:textId="5EBFD67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379</w:t>
            </w:r>
          </w:p>
        </w:tc>
        <w:tc>
          <w:tcPr>
            <w:tcW w:w="0" w:type="dxa"/>
          </w:tcPr>
          <w:p w14:paraId="2C2E687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B69EDF2" w14:textId="009276C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230,112</w:t>
            </w:r>
          </w:p>
        </w:tc>
        <w:tc>
          <w:tcPr>
            <w:tcW w:w="0" w:type="dxa"/>
            <w:noWrap/>
            <w:vAlign w:val="center"/>
            <w:hideMark/>
          </w:tcPr>
          <w:p w14:paraId="79DA0FE6" w14:textId="0DE3A64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299</w:t>
            </w:r>
          </w:p>
        </w:tc>
        <w:tc>
          <w:tcPr>
            <w:tcW w:w="0" w:type="dxa"/>
          </w:tcPr>
          <w:p w14:paraId="3DA0EED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1F78F23" w14:textId="716FDB6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106,954</w:t>
            </w:r>
          </w:p>
        </w:tc>
        <w:tc>
          <w:tcPr>
            <w:tcW w:w="0" w:type="dxa"/>
            <w:noWrap/>
            <w:vAlign w:val="center"/>
            <w:hideMark/>
          </w:tcPr>
          <w:p w14:paraId="713B142B" w14:textId="6B40ADF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533</w:t>
            </w:r>
          </w:p>
        </w:tc>
        <w:tc>
          <w:tcPr>
            <w:tcW w:w="0" w:type="dxa"/>
          </w:tcPr>
          <w:p w14:paraId="0281A96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34C06DE" w14:textId="2B5E869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503,025</w:t>
            </w:r>
          </w:p>
        </w:tc>
        <w:tc>
          <w:tcPr>
            <w:tcW w:w="0" w:type="dxa"/>
            <w:noWrap/>
            <w:hideMark/>
          </w:tcPr>
          <w:p w14:paraId="56B04C9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34CCA89"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02B4C636" w14:textId="77777777" w:rsidR="00842AD3" w:rsidRPr="00CC23C9" w:rsidRDefault="00842AD3" w:rsidP="008F2DA9">
            <w:pPr>
              <w:pStyle w:val="Tabletext"/>
              <w:keepNext w:val="0"/>
              <w:widowControl w:val="0"/>
            </w:pPr>
            <w:r w:rsidRPr="00CC23C9">
              <w:t>Iowa</w:t>
            </w:r>
          </w:p>
        </w:tc>
        <w:tc>
          <w:tcPr>
            <w:tcW w:w="0" w:type="dxa"/>
            <w:noWrap/>
            <w:hideMark/>
          </w:tcPr>
          <w:p w14:paraId="6C24AEAD" w14:textId="645F238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137,962</w:t>
            </w:r>
          </w:p>
        </w:tc>
        <w:tc>
          <w:tcPr>
            <w:tcW w:w="0" w:type="dxa"/>
            <w:noWrap/>
            <w:vAlign w:val="center"/>
            <w:hideMark/>
          </w:tcPr>
          <w:p w14:paraId="564E115E" w14:textId="30E3D55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134</w:t>
            </w:r>
          </w:p>
        </w:tc>
        <w:tc>
          <w:tcPr>
            <w:tcW w:w="0" w:type="dxa"/>
          </w:tcPr>
          <w:p w14:paraId="0BFD30E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B4A852F" w14:textId="2F7CC49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69,413</w:t>
            </w:r>
          </w:p>
        </w:tc>
        <w:tc>
          <w:tcPr>
            <w:tcW w:w="0" w:type="dxa"/>
            <w:noWrap/>
            <w:vAlign w:val="center"/>
            <w:hideMark/>
          </w:tcPr>
          <w:p w14:paraId="44E41F6F" w14:textId="608DFDF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577</w:t>
            </w:r>
          </w:p>
        </w:tc>
        <w:tc>
          <w:tcPr>
            <w:tcW w:w="0" w:type="dxa"/>
          </w:tcPr>
          <w:p w14:paraId="7E96CA7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9E28C66" w14:textId="4253C56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110,108</w:t>
            </w:r>
          </w:p>
        </w:tc>
        <w:tc>
          <w:tcPr>
            <w:tcW w:w="0" w:type="dxa"/>
            <w:noWrap/>
            <w:vAlign w:val="center"/>
            <w:hideMark/>
          </w:tcPr>
          <w:p w14:paraId="03311C6B" w14:textId="22C95C8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501</w:t>
            </w:r>
          </w:p>
        </w:tc>
        <w:tc>
          <w:tcPr>
            <w:tcW w:w="0" w:type="dxa"/>
          </w:tcPr>
          <w:p w14:paraId="0E1BF5F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1B89878" w14:textId="21F0A6C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317,483</w:t>
            </w:r>
          </w:p>
        </w:tc>
        <w:tc>
          <w:tcPr>
            <w:tcW w:w="0" w:type="dxa"/>
            <w:noWrap/>
            <w:hideMark/>
          </w:tcPr>
          <w:p w14:paraId="01BE0ED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25CC35E"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6402E7F3" w14:textId="77777777" w:rsidR="00842AD3" w:rsidRPr="00CC23C9" w:rsidRDefault="00842AD3" w:rsidP="008F2DA9">
            <w:pPr>
              <w:pStyle w:val="Tabletext"/>
              <w:keepNext w:val="0"/>
              <w:widowControl w:val="0"/>
            </w:pPr>
            <w:r w:rsidRPr="00CC23C9">
              <w:t>Kansas</w:t>
            </w:r>
          </w:p>
        </w:tc>
        <w:tc>
          <w:tcPr>
            <w:tcW w:w="0" w:type="dxa"/>
            <w:noWrap/>
            <w:hideMark/>
          </w:tcPr>
          <w:p w14:paraId="5E8941B2" w14:textId="2839F48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129,996</w:t>
            </w:r>
          </w:p>
        </w:tc>
        <w:tc>
          <w:tcPr>
            <w:tcW w:w="0" w:type="dxa"/>
            <w:noWrap/>
            <w:vAlign w:val="center"/>
            <w:hideMark/>
          </w:tcPr>
          <w:p w14:paraId="52AA437F" w14:textId="5267DF8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514</w:t>
            </w:r>
          </w:p>
        </w:tc>
        <w:tc>
          <w:tcPr>
            <w:tcW w:w="0" w:type="dxa"/>
          </w:tcPr>
          <w:p w14:paraId="68EC465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4B524979" w14:textId="75F60B4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88,106</w:t>
            </w:r>
          </w:p>
        </w:tc>
        <w:tc>
          <w:tcPr>
            <w:tcW w:w="0" w:type="dxa"/>
            <w:noWrap/>
            <w:vAlign w:val="center"/>
            <w:hideMark/>
          </w:tcPr>
          <w:p w14:paraId="2ED97BB4" w14:textId="7B1AFA6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382</w:t>
            </w:r>
          </w:p>
        </w:tc>
        <w:tc>
          <w:tcPr>
            <w:tcW w:w="0" w:type="dxa"/>
          </w:tcPr>
          <w:p w14:paraId="686B6C9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C31287A" w14:textId="5505455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48,686</w:t>
            </w:r>
          </w:p>
        </w:tc>
        <w:tc>
          <w:tcPr>
            <w:tcW w:w="0" w:type="dxa"/>
            <w:noWrap/>
            <w:vAlign w:val="center"/>
            <w:hideMark/>
          </w:tcPr>
          <w:p w14:paraId="04EAD1CD" w14:textId="4642FC0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316</w:t>
            </w:r>
          </w:p>
        </w:tc>
        <w:tc>
          <w:tcPr>
            <w:tcW w:w="0" w:type="dxa"/>
          </w:tcPr>
          <w:p w14:paraId="3F7F542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2CC3C3B" w14:textId="12CC041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266,788</w:t>
            </w:r>
          </w:p>
        </w:tc>
        <w:tc>
          <w:tcPr>
            <w:tcW w:w="0" w:type="dxa"/>
            <w:noWrap/>
            <w:hideMark/>
          </w:tcPr>
          <w:p w14:paraId="402F51A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5FD28D2"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6BBFDA77" w14:textId="77777777" w:rsidR="00842AD3" w:rsidRPr="00CC23C9" w:rsidRDefault="00842AD3" w:rsidP="008F2DA9">
            <w:pPr>
              <w:pStyle w:val="Tabletext"/>
              <w:keepNext w:val="0"/>
              <w:widowControl w:val="0"/>
            </w:pPr>
            <w:r w:rsidRPr="00CC23C9">
              <w:t>Kentucky</w:t>
            </w:r>
          </w:p>
        </w:tc>
        <w:tc>
          <w:tcPr>
            <w:tcW w:w="0" w:type="dxa"/>
            <w:noWrap/>
            <w:hideMark/>
          </w:tcPr>
          <w:p w14:paraId="3A2D0808" w14:textId="37C6CFB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107,432</w:t>
            </w:r>
          </w:p>
        </w:tc>
        <w:tc>
          <w:tcPr>
            <w:tcW w:w="0" w:type="dxa"/>
            <w:noWrap/>
            <w:vAlign w:val="center"/>
            <w:hideMark/>
          </w:tcPr>
          <w:p w14:paraId="6C99FE09" w14:textId="611C3B2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842</w:t>
            </w:r>
          </w:p>
        </w:tc>
        <w:tc>
          <w:tcPr>
            <w:tcW w:w="0" w:type="dxa"/>
          </w:tcPr>
          <w:p w14:paraId="6AB3850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403046F" w14:textId="131661E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116,447</w:t>
            </w:r>
          </w:p>
        </w:tc>
        <w:tc>
          <w:tcPr>
            <w:tcW w:w="0" w:type="dxa"/>
            <w:noWrap/>
            <w:vAlign w:val="center"/>
            <w:hideMark/>
          </w:tcPr>
          <w:p w14:paraId="02CDD438" w14:textId="5CB66B6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3,081</w:t>
            </w:r>
          </w:p>
        </w:tc>
        <w:tc>
          <w:tcPr>
            <w:tcW w:w="0" w:type="dxa"/>
          </w:tcPr>
          <w:p w14:paraId="2D531D2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892D6A2" w14:textId="5D4326C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48,709</w:t>
            </w:r>
          </w:p>
        </w:tc>
        <w:tc>
          <w:tcPr>
            <w:tcW w:w="0" w:type="dxa"/>
            <w:noWrap/>
            <w:vAlign w:val="center"/>
            <w:hideMark/>
          </w:tcPr>
          <w:p w14:paraId="6440F7CA" w14:textId="7432C03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289</w:t>
            </w:r>
          </w:p>
        </w:tc>
        <w:tc>
          <w:tcPr>
            <w:tcW w:w="0" w:type="dxa"/>
          </w:tcPr>
          <w:p w14:paraId="2B6EF2A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A5FA438" w14:textId="5A059CE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272,588</w:t>
            </w:r>
          </w:p>
        </w:tc>
        <w:tc>
          <w:tcPr>
            <w:tcW w:w="0" w:type="dxa"/>
            <w:noWrap/>
            <w:hideMark/>
          </w:tcPr>
          <w:p w14:paraId="222BD0F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E947964"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5C13A886" w14:textId="77777777" w:rsidR="00842AD3" w:rsidRPr="00CC23C9" w:rsidRDefault="00842AD3" w:rsidP="008F2DA9">
            <w:pPr>
              <w:pStyle w:val="Tabletext"/>
              <w:keepNext w:val="0"/>
              <w:widowControl w:val="0"/>
            </w:pPr>
            <w:r w:rsidRPr="00CC23C9">
              <w:t>Louisiana</w:t>
            </w:r>
          </w:p>
        </w:tc>
        <w:tc>
          <w:tcPr>
            <w:tcW w:w="0" w:type="dxa"/>
            <w:noWrap/>
            <w:hideMark/>
          </w:tcPr>
          <w:p w14:paraId="79350B45" w14:textId="246050E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101,722</w:t>
            </w:r>
          </w:p>
        </w:tc>
        <w:tc>
          <w:tcPr>
            <w:tcW w:w="0" w:type="dxa"/>
            <w:noWrap/>
            <w:vAlign w:val="center"/>
            <w:hideMark/>
          </w:tcPr>
          <w:p w14:paraId="02FE5A2B" w14:textId="1E0CC71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500</w:t>
            </w:r>
          </w:p>
        </w:tc>
        <w:tc>
          <w:tcPr>
            <w:tcW w:w="0" w:type="dxa"/>
          </w:tcPr>
          <w:p w14:paraId="72D5E01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2029C3E" w14:textId="6B3DE1D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142,847</w:t>
            </w:r>
          </w:p>
        </w:tc>
        <w:tc>
          <w:tcPr>
            <w:tcW w:w="0" w:type="dxa"/>
            <w:noWrap/>
            <w:vAlign w:val="center"/>
            <w:hideMark/>
          </w:tcPr>
          <w:p w14:paraId="09309E77" w14:textId="400EE3C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510</w:t>
            </w:r>
          </w:p>
        </w:tc>
        <w:tc>
          <w:tcPr>
            <w:tcW w:w="0" w:type="dxa"/>
          </w:tcPr>
          <w:p w14:paraId="293BE79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7A3053B5" w14:textId="16462DB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48,880</w:t>
            </w:r>
          </w:p>
        </w:tc>
        <w:tc>
          <w:tcPr>
            <w:tcW w:w="0" w:type="dxa"/>
            <w:noWrap/>
            <w:vAlign w:val="center"/>
            <w:hideMark/>
          </w:tcPr>
          <w:p w14:paraId="2B084E60" w14:textId="1D5514E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201</w:t>
            </w:r>
          </w:p>
        </w:tc>
        <w:tc>
          <w:tcPr>
            <w:tcW w:w="0" w:type="dxa"/>
          </w:tcPr>
          <w:p w14:paraId="78B38A0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AC2D728" w14:textId="640EF38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293,449</w:t>
            </w:r>
          </w:p>
        </w:tc>
        <w:tc>
          <w:tcPr>
            <w:tcW w:w="0" w:type="dxa"/>
            <w:noWrap/>
            <w:hideMark/>
          </w:tcPr>
          <w:p w14:paraId="3FC4DE6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8DBC1B2"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2101F415" w14:textId="77777777" w:rsidR="00842AD3" w:rsidRPr="00CC23C9" w:rsidRDefault="00842AD3" w:rsidP="008F2DA9">
            <w:pPr>
              <w:pStyle w:val="Tabletext"/>
              <w:keepNext w:val="0"/>
              <w:widowControl w:val="0"/>
            </w:pPr>
            <w:r w:rsidRPr="00CC23C9">
              <w:t>Maine</w:t>
            </w:r>
          </w:p>
        </w:tc>
        <w:tc>
          <w:tcPr>
            <w:tcW w:w="0" w:type="dxa"/>
            <w:noWrap/>
            <w:hideMark/>
          </w:tcPr>
          <w:p w14:paraId="62FD7BC1" w14:textId="2CA22CB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24,207</w:t>
            </w:r>
          </w:p>
        </w:tc>
        <w:tc>
          <w:tcPr>
            <w:tcW w:w="0" w:type="dxa"/>
            <w:noWrap/>
            <w:vAlign w:val="center"/>
            <w:hideMark/>
          </w:tcPr>
          <w:p w14:paraId="318188CF" w14:textId="6499F65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099</w:t>
            </w:r>
          </w:p>
        </w:tc>
        <w:tc>
          <w:tcPr>
            <w:tcW w:w="0" w:type="dxa"/>
          </w:tcPr>
          <w:p w14:paraId="516A440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74C1217A" w14:textId="018C589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31,744</w:t>
            </w:r>
          </w:p>
        </w:tc>
        <w:tc>
          <w:tcPr>
            <w:tcW w:w="0" w:type="dxa"/>
            <w:noWrap/>
            <w:vAlign w:val="center"/>
            <w:hideMark/>
          </w:tcPr>
          <w:p w14:paraId="302E2A1A" w14:textId="002FBC2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752</w:t>
            </w:r>
          </w:p>
        </w:tc>
        <w:tc>
          <w:tcPr>
            <w:tcW w:w="0" w:type="dxa"/>
          </w:tcPr>
          <w:p w14:paraId="7611E6C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7CE8CF9" w14:textId="4250E99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27,220</w:t>
            </w:r>
          </w:p>
        </w:tc>
        <w:tc>
          <w:tcPr>
            <w:tcW w:w="0" w:type="dxa"/>
            <w:noWrap/>
            <w:vAlign w:val="center"/>
            <w:hideMark/>
          </w:tcPr>
          <w:p w14:paraId="3A0306E5" w14:textId="351E6CF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360</w:t>
            </w:r>
          </w:p>
        </w:tc>
        <w:tc>
          <w:tcPr>
            <w:tcW w:w="0" w:type="dxa"/>
          </w:tcPr>
          <w:p w14:paraId="212C624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3EC1E9AC" w14:textId="6B47B7D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83,171</w:t>
            </w:r>
          </w:p>
        </w:tc>
        <w:tc>
          <w:tcPr>
            <w:tcW w:w="0" w:type="dxa"/>
            <w:noWrap/>
            <w:hideMark/>
          </w:tcPr>
          <w:p w14:paraId="302E3CB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5ED61C6F"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21A2B09E" w14:textId="77777777" w:rsidR="00842AD3" w:rsidRPr="00CC23C9" w:rsidRDefault="00842AD3" w:rsidP="008F2DA9">
            <w:pPr>
              <w:pStyle w:val="Tabletext"/>
              <w:keepNext w:val="0"/>
              <w:widowControl w:val="0"/>
            </w:pPr>
            <w:r w:rsidRPr="00CC23C9">
              <w:t>Maryland</w:t>
            </w:r>
          </w:p>
        </w:tc>
        <w:tc>
          <w:tcPr>
            <w:tcW w:w="0" w:type="dxa"/>
            <w:noWrap/>
            <w:hideMark/>
          </w:tcPr>
          <w:p w14:paraId="795E670D" w14:textId="3963B69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179,824</w:t>
            </w:r>
          </w:p>
        </w:tc>
        <w:tc>
          <w:tcPr>
            <w:tcW w:w="0" w:type="dxa"/>
            <w:noWrap/>
            <w:vAlign w:val="center"/>
            <w:hideMark/>
          </w:tcPr>
          <w:p w14:paraId="35A44CC4" w14:textId="4160039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307</w:t>
            </w:r>
          </w:p>
        </w:tc>
        <w:tc>
          <w:tcPr>
            <w:tcW w:w="0" w:type="dxa"/>
          </w:tcPr>
          <w:p w14:paraId="7B21DC8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D164BBC" w14:textId="1B7677B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163,047</w:t>
            </w:r>
          </w:p>
        </w:tc>
        <w:tc>
          <w:tcPr>
            <w:tcW w:w="0" w:type="dxa"/>
            <w:noWrap/>
            <w:vAlign w:val="center"/>
            <w:hideMark/>
          </w:tcPr>
          <w:p w14:paraId="3B644EBA" w14:textId="2ADAB83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999</w:t>
            </w:r>
          </w:p>
        </w:tc>
        <w:tc>
          <w:tcPr>
            <w:tcW w:w="0" w:type="dxa"/>
          </w:tcPr>
          <w:p w14:paraId="122D10D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5EB9E5B" w14:textId="23D9D39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49,211</w:t>
            </w:r>
          </w:p>
        </w:tc>
        <w:tc>
          <w:tcPr>
            <w:tcW w:w="0" w:type="dxa"/>
            <w:noWrap/>
            <w:vAlign w:val="center"/>
            <w:hideMark/>
          </w:tcPr>
          <w:p w14:paraId="1B27073E" w14:textId="76966DB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905</w:t>
            </w:r>
          </w:p>
        </w:tc>
        <w:tc>
          <w:tcPr>
            <w:tcW w:w="0" w:type="dxa"/>
          </w:tcPr>
          <w:p w14:paraId="434D848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FE11E6F" w14:textId="03FBF1F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392,082</w:t>
            </w:r>
          </w:p>
        </w:tc>
        <w:tc>
          <w:tcPr>
            <w:tcW w:w="0" w:type="dxa"/>
            <w:noWrap/>
            <w:hideMark/>
          </w:tcPr>
          <w:p w14:paraId="4A594C6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F85C3A8"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570DAD8F" w14:textId="77777777" w:rsidR="00842AD3" w:rsidRPr="00CC23C9" w:rsidRDefault="00842AD3" w:rsidP="008F2DA9">
            <w:pPr>
              <w:pStyle w:val="Tabletext"/>
              <w:keepNext w:val="0"/>
              <w:widowControl w:val="0"/>
            </w:pPr>
            <w:r w:rsidRPr="00CC23C9">
              <w:t>Massachusetts</w:t>
            </w:r>
          </w:p>
        </w:tc>
        <w:tc>
          <w:tcPr>
            <w:tcW w:w="0" w:type="dxa"/>
            <w:noWrap/>
            <w:hideMark/>
          </w:tcPr>
          <w:p w14:paraId="42C81B9E" w14:textId="737EDE4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132,612</w:t>
            </w:r>
          </w:p>
        </w:tc>
        <w:tc>
          <w:tcPr>
            <w:tcW w:w="0" w:type="dxa"/>
            <w:noWrap/>
            <w:vAlign w:val="center"/>
            <w:hideMark/>
          </w:tcPr>
          <w:p w14:paraId="11D85FFB" w14:textId="65216D0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038</w:t>
            </w:r>
          </w:p>
        </w:tc>
        <w:tc>
          <w:tcPr>
            <w:tcW w:w="0" w:type="dxa"/>
          </w:tcPr>
          <w:p w14:paraId="34E6E30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8A0118F" w14:textId="4E60AAB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116,507</w:t>
            </w:r>
          </w:p>
        </w:tc>
        <w:tc>
          <w:tcPr>
            <w:tcW w:w="0" w:type="dxa"/>
            <w:noWrap/>
            <w:vAlign w:val="center"/>
            <w:hideMark/>
          </w:tcPr>
          <w:p w14:paraId="4FCE4D27" w14:textId="6D81198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791</w:t>
            </w:r>
          </w:p>
        </w:tc>
        <w:tc>
          <w:tcPr>
            <w:tcW w:w="0" w:type="dxa"/>
          </w:tcPr>
          <w:p w14:paraId="38729F7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05C9151" w14:textId="0CBCFFA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220,046</w:t>
            </w:r>
          </w:p>
        </w:tc>
        <w:tc>
          <w:tcPr>
            <w:tcW w:w="0" w:type="dxa"/>
            <w:noWrap/>
            <w:vAlign w:val="center"/>
            <w:hideMark/>
          </w:tcPr>
          <w:p w14:paraId="1A3F9849" w14:textId="49A75DC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382</w:t>
            </w:r>
          </w:p>
        </w:tc>
        <w:tc>
          <w:tcPr>
            <w:tcW w:w="0" w:type="dxa"/>
          </w:tcPr>
          <w:p w14:paraId="14C1E36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D3E2A81" w14:textId="34C5DED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469,165</w:t>
            </w:r>
          </w:p>
        </w:tc>
        <w:tc>
          <w:tcPr>
            <w:tcW w:w="0" w:type="dxa"/>
            <w:noWrap/>
            <w:hideMark/>
          </w:tcPr>
          <w:p w14:paraId="04F17E4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6BE571A6"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9AFCC6A" w14:textId="77777777" w:rsidR="00842AD3" w:rsidRPr="00CC23C9" w:rsidRDefault="00842AD3" w:rsidP="008F2DA9">
            <w:pPr>
              <w:pStyle w:val="Tabletext"/>
              <w:keepNext w:val="0"/>
              <w:widowControl w:val="0"/>
            </w:pPr>
            <w:r w:rsidRPr="00CC23C9">
              <w:t>Michigan</w:t>
            </w:r>
          </w:p>
        </w:tc>
        <w:tc>
          <w:tcPr>
            <w:tcW w:w="0" w:type="dxa"/>
            <w:noWrap/>
          </w:tcPr>
          <w:p w14:paraId="3841C3D1" w14:textId="2603548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236,953</w:t>
            </w:r>
          </w:p>
        </w:tc>
        <w:tc>
          <w:tcPr>
            <w:tcW w:w="0" w:type="dxa"/>
            <w:noWrap/>
            <w:vAlign w:val="center"/>
          </w:tcPr>
          <w:p w14:paraId="4E020370" w14:textId="68CF424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559</w:t>
            </w:r>
          </w:p>
        </w:tc>
        <w:tc>
          <w:tcPr>
            <w:tcW w:w="0" w:type="dxa"/>
          </w:tcPr>
          <w:p w14:paraId="3E4AC9B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562925C8" w14:textId="722F235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314,301</w:t>
            </w:r>
          </w:p>
        </w:tc>
        <w:tc>
          <w:tcPr>
            <w:tcW w:w="0" w:type="dxa"/>
            <w:noWrap/>
            <w:vAlign w:val="center"/>
          </w:tcPr>
          <w:p w14:paraId="039B3B42" w14:textId="156CAB1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395</w:t>
            </w:r>
          </w:p>
        </w:tc>
        <w:tc>
          <w:tcPr>
            <w:tcW w:w="0" w:type="dxa"/>
          </w:tcPr>
          <w:p w14:paraId="753CFF0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010CE9E" w14:textId="04ED227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116,403</w:t>
            </w:r>
          </w:p>
        </w:tc>
        <w:tc>
          <w:tcPr>
            <w:tcW w:w="0" w:type="dxa"/>
            <w:noWrap/>
            <w:vAlign w:val="center"/>
          </w:tcPr>
          <w:p w14:paraId="5FD34EDA" w14:textId="1850328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257</w:t>
            </w:r>
          </w:p>
        </w:tc>
        <w:tc>
          <w:tcPr>
            <w:tcW w:w="0" w:type="dxa"/>
          </w:tcPr>
          <w:p w14:paraId="4884D7A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B525FC3" w14:textId="57AE61B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667,657</w:t>
            </w:r>
          </w:p>
        </w:tc>
        <w:tc>
          <w:tcPr>
            <w:tcW w:w="0" w:type="dxa"/>
            <w:noWrap/>
          </w:tcPr>
          <w:p w14:paraId="12308ED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150E34F"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5C45E470" w14:textId="77777777" w:rsidR="00842AD3" w:rsidRPr="00CC23C9" w:rsidRDefault="00842AD3" w:rsidP="008F2DA9">
            <w:pPr>
              <w:pStyle w:val="Tabletext"/>
              <w:keepNext w:val="0"/>
              <w:widowControl w:val="0"/>
            </w:pPr>
            <w:r w:rsidRPr="00CC23C9">
              <w:t>Minnesota</w:t>
            </w:r>
          </w:p>
        </w:tc>
        <w:tc>
          <w:tcPr>
            <w:tcW w:w="0" w:type="dxa"/>
            <w:noWrap/>
          </w:tcPr>
          <w:p w14:paraId="005995B3" w14:textId="57E6B38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174,564</w:t>
            </w:r>
          </w:p>
        </w:tc>
        <w:tc>
          <w:tcPr>
            <w:tcW w:w="0" w:type="dxa"/>
            <w:noWrap/>
            <w:vAlign w:val="center"/>
          </w:tcPr>
          <w:p w14:paraId="07D0B4EB" w14:textId="4882B91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106</w:t>
            </w:r>
          </w:p>
        </w:tc>
        <w:tc>
          <w:tcPr>
            <w:tcW w:w="0" w:type="dxa"/>
          </w:tcPr>
          <w:p w14:paraId="6CB95A6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1DCD66F8" w14:textId="5A032F7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131,696</w:t>
            </w:r>
          </w:p>
        </w:tc>
        <w:tc>
          <w:tcPr>
            <w:tcW w:w="0" w:type="dxa"/>
            <w:noWrap/>
            <w:vAlign w:val="center"/>
          </w:tcPr>
          <w:p w14:paraId="6BF3E8B8" w14:textId="474019E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343</w:t>
            </w:r>
          </w:p>
        </w:tc>
        <w:tc>
          <w:tcPr>
            <w:tcW w:w="0" w:type="dxa"/>
          </w:tcPr>
          <w:p w14:paraId="0733D6A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6ABD94A9" w14:textId="012FA06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99,011</w:t>
            </w:r>
          </w:p>
        </w:tc>
        <w:tc>
          <w:tcPr>
            <w:tcW w:w="0" w:type="dxa"/>
            <w:noWrap/>
            <w:vAlign w:val="center"/>
          </w:tcPr>
          <w:p w14:paraId="05FCFDC0" w14:textId="1B2A045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762</w:t>
            </w:r>
          </w:p>
        </w:tc>
        <w:tc>
          <w:tcPr>
            <w:tcW w:w="0" w:type="dxa"/>
          </w:tcPr>
          <w:p w14:paraId="559F66D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F3A54B9" w14:textId="35F60EF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405,271</w:t>
            </w:r>
          </w:p>
        </w:tc>
        <w:tc>
          <w:tcPr>
            <w:tcW w:w="0" w:type="dxa"/>
            <w:noWrap/>
          </w:tcPr>
          <w:p w14:paraId="5BD123A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C297B2C"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72CFEEE" w14:textId="77777777" w:rsidR="00842AD3" w:rsidRPr="00CC23C9" w:rsidRDefault="00842AD3" w:rsidP="008F2DA9">
            <w:pPr>
              <w:pStyle w:val="Tabletext"/>
              <w:keepNext w:val="0"/>
              <w:widowControl w:val="0"/>
            </w:pPr>
            <w:r w:rsidRPr="00CC23C9">
              <w:t>Mississippi</w:t>
            </w:r>
          </w:p>
        </w:tc>
        <w:tc>
          <w:tcPr>
            <w:tcW w:w="0" w:type="dxa"/>
            <w:noWrap/>
          </w:tcPr>
          <w:p w14:paraId="343CB0E7" w14:textId="3BA830D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99,755</w:t>
            </w:r>
          </w:p>
        </w:tc>
        <w:tc>
          <w:tcPr>
            <w:tcW w:w="0" w:type="dxa"/>
            <w:noWrap/>
            <w:vAlign w:val="center"/>
          </w:tcPr>
          <w:p w14:paraId="175B54FE" w14:textId="3E6799C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695</w:t>
            </w:r>
          </w:p>
        </w:tc>
        <w:tc>
          <w:tcPr>
            <w:tcW w:w="0" w:type="dxa"/>
          </w:tcPr>
          <w:p w14:paraId="25D83F8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740AA095" w14:textId="27842F8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74,057</w:t>
            </w:r>
          </w:p>
        </w:tc>
        <w:tc>
          <w:tcPr>
            <w:tcW w:w="0" w:type="dxa"/>
            <w:noWrap/>
            <w:vAlign w:val="center"/>
          </w:tcPr>
          <w:p w14:paraId="56BF5798" w14:textId="15212B8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743</w:t>
            </w:r>
          </w:p>
        </w:tc>
        <w:tc>
          <w:tcPr>
            <w:tcW w:w="0" w:type="dxa"/>
          </w:tcPr>
          <w:p w14:paraId="0590543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0CFA737B" w14:textId="348EFAA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20,865</w:t>
            </w:r>
          </w:p>
        </w:tc>
        <w:tc>
          <w:tcPr>
            <w:tcW w:w="0" w:type="dxa"/>
            <w:noWrap/>
            <w:vAlign w:val="center"/>
          </w:tcPr>
          <w:p w14:paraId="7F2CF871" w14:textId="6C32F6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773</w:t>
            </w:r>
          </w:p>
        </w:tc>
        <w:tc>
          <w:tcPr>
            <w:tcW w:w="0" w:type="dxa"/>
          </w:tcPr>
          <w:p w14:paraId="7B44012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AEE44E8" w14:textId="7A26219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194,677</w:t>
            </w:r>
          </w:p>
        </w:tc>
        <w:tc>
          <w:tcPr>
            <w:tcW w:w="0" w:type="dxa"/>
            <w:noWrap/>
          </w:tcPr>
          <w:p w14:paraId="21D67A9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4C5B3F7"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E67270B" w14:textId="77777777" w:rsidR="00842AD3" w:rsidRPr="00CC23C9" w:rsidRDefault="00842AD3" w:rsidP="008F2DA9">
            <w:pPr>
              <w:pStyle w:val="Tabletext"/>
              <w:keepNext w:val="0"/>
              <w:widowControl w:val="0"/>
            </w:pPr>
            <w:r w:rsidRPr="00CC23C9">
              <w:t>Missouri</w:t>
            </w:r>
          </w:p>
        </w:tc>
        <w:tc>
          <w:tcPr>
            <w:tcW w:w="0" w:type="dxa"/>
            <w:noWrap/>
          </w:tcPr>
          <w:p w14:paraId="7651A596" w14:textId="23E3D9D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133,685</w:t>
            </w:r>
          </w:p>
        </w:tc>
        <w:tc>
          <w:tcPr>
            <w:tcW w:w="0" w:type="dxa"/>
            <w:noWrap/>
            <w:vAlign w:val="center"/>
          </w:tcPr>
          <w:p w14:paraId="354A6E78" w14:textId="77294FF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246</w:t>
            </w:r>
          </w:p>
        </w:tc>
        <w:tc>
          <w:tcPr>
            <w:tcW w:w="0" w:type="dxa"/>
          </w:tcPr>
          <w:p w14:paraId="037CB88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62C0D396" w14:textId="06EEAE4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145,315</w:t>
            </w:r>
          </w:p>
        </w:tc>
        <w:tc>
          <w:tcPr>
            <w:tcW w:w="0" w:type="dxa"/>
            <w:noWrap/>
            <w:vAlign w:val="center"/>
          </w:tcPr>
          <w:p w14:paraId="1A81FD95" w14:textId="0DA0759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441</w:t>
            </w:r>
          </w:p>
        </w:tc>
        <w:tc>
          <w:tcPr>
            <w:tcW w:w="0" w:type="dxa"/>
          </w:tcPr>
          <w:p w14:paraId="07E9F9A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61C0C55" w14:textId="5FCC0A9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150,298</w:t>
            </w:r>
          </w:p>
        </w:tc>
        <w:tc>
          <w:tcPr>
            <w:tcW w:w="0" w:type="dxa"/>
            <w:noWrap/>
            <w:vAlign w:val="center"/>
          </w:tcPr>
          <w:p w14:paraId="6D11F257" w14:textId="31BFB39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525</w:t>
            </w:r>
          </w:p>
        </w:tc>
        <w:tc>
          <w:tcPr>
            <w:tcW w:w="0" w:type="dxa"/>
          </w:tcPr>
          <w:p w14:paraId="648AEF2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105E5F7" w14:textId="2259E5E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429,298</w:t>
            </w:r>
          </w:p>
        </w:tc>
        <w:tc>
          <w:tcPr>
            <w:tcW w:w="0" w:type="dxa"/>
            <w:noWrap/>
          </w:tcPr>
          <w:p w14:paraId="1A54080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67E3AB0"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4F95CB05" w14:textId="77777777" w:rsidR="00842AD3" w:rsidRPr="00CC23C9" w:rsidRDefault="00842AD3" w:rsidP="008F2DA9">
            <w:pPr>
              <w:pStyle w:val="Tabletext"/>
              <w:keepNext w:val="0"/>
              <w:widowControl w:val="0"/>
            </w:pPr>
            <w:r w:rsidRPr="00CC23C9">
              <w:t>Montana</w:t>
            </w:r>
          </w:p>
        </w:tc>
        <w:tc>
          <w:tcPr>
            <w:tcW w:w="0" w:type="dxa"/>
            <w:noWrap/>
          </w:tcPr>
          <w:p w14:paraId="409A52D0" w14:textId="6DD48E6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13,372</w:t>
            </w:r>
          </w:p>
        </w:tc>
        <w:tc>
          <w:tcPr>
            <w:tcW w:w="0" w:type="dxa"/>
            <w:noWrap/>
            <w:vAlign w:val="center"/>
          </w:tcPr>
          <w:p w14:paraId="7B67C0CA" w14:textId="0E68D37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674</w:t>
            </w:r>
          </w:p>
        </w:tc>
        <w:tc>
          <w:tcPr>
            <w:tcW w:w="0" w:type="dxa"/>
          </w:tcPr>
          <w:p w14:paraId="565BED4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1FABC725" w14:textId="6684B32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37,997</w:t>
            </w:r>
          </w:p>
        </w:tc>
        <w:tc>
          <w:tcPr>
            <w:tcW w:w="0" w:type="dxa"/>
            <w:noWrap/>
            <w:vAlign w:val="center"/>
          </w:tcPr>
          <w:p w14:paraId="1C0388F2" w14:textId="0BDA9B5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758</w:t>
            </w:r>
          </w:p>
        </w:tc>
        <w:tc>
          <w:tcPr>
            <w:tcW w:w="0" w:type="dxa"/>
          </w:tcPr>
          <w:p w14:paraId="4EA96FB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52FF4CE" w14:textId="5C872CB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6,</w:t>
            </w:r>
            <w:r w:rsidRPr="00BB3C64">
              <w:rPr>
                <w:color w:val="000000"/>
              </w:rPr>
              <w:t>225</w:t>
            </w:r>
          </w:p>
        </w:tc>
        <w:tc>
          <w:tcPr>
            <w:tcW w:w="0" w:type="dxa"/>
            <w:noWrap/>
            <w:vAlign w:val="center"/>
          </w:tcPr>
          <w:p w14:paraId="2BCF728E" w14:textId="48CAE12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779</w:t>
            </w:r>
          </w:p>
        </w:tc>
        <w:tc>
          <w:tcPr>
            <w:tcW w:w="0" w:type="dxa"/>
          </w:tcPr>
          <w:p w14:paraId="506A84C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173D1C8" w14:textId="2A2BDD3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57,594</w:t>
            </w:r>
          </w:p>
        </w:tc>
        <w:tc>
          <w:tcPr>
            <w:tcW w:w="0" w:type="dxa"/>
            <w:noWrap/>
          </w:tcPr>
          <w:p w14:paraId="7343AE2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6269D35D"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339E1DEC" w14:textId="77777777" w:rsidR="00842AD3" w:rsidRPr="00CC23C9" w:rsidRDefault="00842AD3" w:rsidP="008F2DA9">
            <w:pPr>
              <w:pStyle w:val="Tabletext"/>
              <w:keepNext w:val="0"/>
              <w:widowControl w:val="0"/>
            </w:pPr>
            <w:r w:rsidRPr="00CC23C9">
              <w:t>Nebraska</w:t>
            </w:r>
          </w:p>
        </w:tc>
        <w:tc>
          <w:tcPr>
            <w:tcW w:w="0" w:type="dxa"/>
            <w:noWrap/>
          </w:tcPr>
          <w:p w14:paraId="53EEB21D" w14:textId="6FD1AD1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65,121</w:t>
            </w:r>
          </w:p>
        </w:tc>
        <w:tc>
          <w:tcPr>
            <w:tcW w:w="0" w:type="dxa"/>
            <w:noWrap/>
            <w:vAlign w:val="center"/>
          </w:tcPr>
          <w:p w14:paraId="0733D20A" w14:textId="59E9403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152</w:t>
            </w:r>
          </w:p>
        </w:tc>
        <w:tc>
          <w:tcPr>
            <w:tcW w:w="0" w:type="dxa"/>
          </w:tcPr>
          <w:p w14:paraId="6A0D726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20EA5F57" w14:textId="64514C2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51,816</w:t>
            </w:r>
          </w:p>
        </w:tc>
        <w:tc>
          <w:tcPr>
            <w:tcW w:w="0" w:type="dxa"/>
            <w:noWrap/>
            <w:vAlign w:val="center"/>
          </w:tcPr>
          <w:p w14:paraId="5A584D7E" w14:textId="1DE2792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508</w:t>
            </w:r>
          </w:p>
        </w:tc>
        <w:tc>
          <w:tcPr>
            <w:tcW w:w="0" w:type="dxa"/>
          </w:tcPr>
          <w:p w14:paraId="08A1C02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05568CB" w14:textId="144E03D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32,</w:t>
            </w:r>
            <w:r w:rsidRPr="00BB3C64">
              <w:rPr>
                <w:color w:val="000000"/>
              </w:rPr>
              <w:t>047</w:t>
            </w:r>
          </w:p>
        </w:tc>
        <w:tc>
          <w:tcPr>
            <w:tcW w:w="0" w:type="dxa"/>
            <w:noWrap/>
            <w:vAlign w:val="center"/>
          </w:tcPr>
          <w:p w14:paraId="27A1F84F" w14:textId="0FF5231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551</w:t>
            </w:r>
          </w:p>
        </w:tc>
        <w:tc>
          <w:tcPr>
            <w:tcW w:w="0" w:type="dxa"/>
          </w:tcPr>
          <w:p w14:paraId="0BBFA9E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2E57CB3" w14:textId="4A4F419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148,984</w:t>
            </w:r>
          </w:p>
        </w:tc>
        <w:tc>
          <w:tcPr>
            <w:tcW w:w="0" w:type="dxa"/>
            <w:noWrap/>
          </w:tcPr>
          <w:p w14:paraId="48EDB5F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AC7C871"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0DE7772" w14:textId="77777777" w:rsidR="00842AD3" w:rsidRPr="00CC23C9" w:rsidRDefault="00842AD3" w:rsidP="008F2DA9">
            <w:pPr>
              <w:pStyle w:val="Tabletext"/>
              <w:keepNext w:val="0"/>
              <w:widowControl w:val="0"/>
            </w:pPr>
            <w:r w:rsidRPr="00CC23C9">
              <w:t>Nevada</w:t>
            </w:r>
          </w:p>
        </w:tc>
        <w:tc>
          <w:tcPr>
            <w:tcW w:w="0" w:type="dxa"/>
            <w:noWrap/>
          </w:tcPr>
          <w:p w14:paraId="41991007" w14:textId="5D93B50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15,582</w:t>
            </w:r>
          </w:p>
        </w:tc>
        <w:tc>
          <w:tcPr>
            <w:tcW w:w="0" w:type="dxa"/>
            <w:noWrap/>
            <w:vAlign w:val="center"/>
          </w:tcPr>
          <w:p w14:paraId="2808BE8D" w14:textId="069423A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796</w:t>
            </w:r>
          </w:p>
        </w:tc>
        <w:tc>
          <w:tcPr>
            <w:tcW w:w="0" w:type="dxa"/>
          </w:tcPr>
          <w:p w14:paraId="7282F12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246B2FE7" w14:textId="7C28CFA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108,339</w:t>
            </w:r>
          </w:p>
        </w:tc>
        <w:tc>
          <w:tcPr>
            <w:tcW w:w="0" w:type="dxa"/>
            <w:noWrap/>
            <w:vAlign w:val="center"/>
          </w:tcPr>
          <w:p w14:paraId="3F1981C4" w14:textId="44B2270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5,</w:t>
            </w:r>
            <w:r>
              <w:rPr>
                <w:rFonts w:cs="Arial"/>
                <w:color w:val="000000"/>
                <w:szCs w:val="16"/>
              </w:rPr>
              <w:t>537</w:t>
            </w:r>
          </w:p>
        </w:tc>
        <w:tc>
          <w:tcPr>
            <w:tcW w:w="0" w:type="dxa"/>
          </w:tcPr>
          <w:p w14:paraId="509415A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C101650" w14:textId="01904C2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17,171</w:t>
            </w:r>
          </w:p>
        </w:tc>
        <w:tc>
          <w:tcPr>
            <w:tcW w:w="0" w:type="dxa"/>
            <w:noWrap/>
            <w:vAlign w:val="center"/>
          </w:tcPr>
          <w:p w14:paraId="7034E90E" w14:textId="17C548E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878</w:t>
            </w:r>
          </w:p>
        </w:tc>
        <w:tc>
          <w:tcPr>
            <w:tcW w:w="0" w:type="dxa"/>
          </w:tcPr>
          <w:p w14:paraId="38DDB0C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BD485E9" w14:textId="0689D71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141,092</w:t>
            </w:r>
          </w:p>
        </w:tc>
        <w:tc>
          <w:tcPr>
            <w:tcW w:w="0" w:type="dxa"/>
            <w:noWrap/>
          </w:tcPr>
          <w:p w14:paraId="1322028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56DF13A"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7D6150E4" w14:textId="77777777" w:rsidR="00842AD3" w:rsidRPr="00CC23C9" w:rsidRDefault="00842AD3" w:rsidP="008F2DA9">
            <w:pPr>
              <w:pStyle w:val="Tabletext"/>
              <w:keepNext w:val="0"/>
              <w:widowControl w:val="0"/>
            </w:pPr>
            <w:r w:rsidRPr="00CC23C9">
              <w:t>New Hampshire</w:t>
            </w:r>
          </w:p>
        </w:tc>
        <w:tc>
          <w:tcPr>
            <w:tcW w:w="0" w:type="dxa"/>
            <w:noWrap/>
          </w:tcPr>
          <w:p w14:paraId="196943BA" w14:textId="710DCCF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22,129</w:t>
            </w:r>
          </w:p>
        </w:tc>
        <w:tc>
          <w:tcPr>
            <w:tcW w:w="0" w:type="dxa"/>
            <w:noWrap/>
            <w:vAlign w:val="center"/>
          </w:tcPr>
          <w:p w14:paraId="7657E4A6" w14:textId="397DBB2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155</w:t>
            </w:r>
          </w:p>
        </w:tc>
        <w:tc>
          <w:tcPr>
            <w:tcW w:w="0" w:type="dxa"/>
          </w:tcPr>
          <w:p w14:paraId="24EBA95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7FCC6450" w14:textId="2781699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26,820</w:t>
            </w:r>
          </w:p>
        </w:tc>
        <w:tc>
          <w:tcPr>
            <w:tcW w:w="0" w:type="dxa"/>
            <w:noWrap/>
            <w:vAlign w:val="center"/>
          </w:tcPr>
          <w:p w14:paraId="5F315EFA" w14:textId="2ABB7B1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400</w:t>
            </w:r>
          </w:p>
        </w:tc>
        <w:tc>
          <w:tcPr>
            <w:tcW w:w="0" w:type="dxa"/>
          </w:tcPr>
          <w:p w14:paraId="041577D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46A400FF" w14:textId="756E5A5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89,181</w:t>
            </w:r>
          </w:p>
        </w:tc>
        <w:tc>
          <w:tcPr>
            <w:tcW w:w="0" w:type="dxa"/>
            <w:noWrap/>
            <w:vAlign w:val="center"/>
          </w:tcPr>
          <w:p w14:paraId="1CC71AD1" w14:textId="258D1A9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656</w:t>
            </w:r>
          </w:p>
        </w:tc>
        <w:tc>
          <w:tcPr>
            <w:tcW w:w="0" w:type="dxa"/>
          </w:tcPr>
          <w:p w14:paraId="1D5C982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0445A394" w14:textId="3142024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138,130</w:t>
            </w:r>
          </w:p>
        </w:tc>
        <w:tc>
          <w:tcPr>
            <w:tcW w:w="0" w:type="dxa"/>
            <w:noWrap/>
          </w:tcPr>
          <w:p w14:paraId="7EA119F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7B69EAF"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65CBDF1D" w14:textId="77777777" w:rsidR="00842AD3" w:rsidRPr="00CC23C9" w:rsidRDefault="00842AD3" w:rsidP="008F2DA9">
            <w:pPr>
              <w:pStyle w:val="Tabletext"/>
              <w:keepNext w:val="0"/>
              <w:widowControl w:val="0"/>
            </w:pPr>
            <w:r w:rsidRPr="00CC23C9">
              <w:t>New Jersey</w:t>
            </w:r>
          </w:p>
        </w:tc>
        <w:tc>
          <w:tcPr>
            <w:tcW w:w="0" w:type="dxa"/>
            <w:noWrap/>
          </w:tcPr>
          <w:p w14:paraId="593B3958" w14:textId="4C5E151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224,484</w:t>
            </w:r>
          </w:p>
        </w:tc>
        <w:tc>
          <w:tcPr>
            <w:tcW w:w="0" w:type="dxa"/>
            <w:noWrap/>
            <w:vAlign w:val="center"/>
          </w:tcPr>
          <w:p w14:paraId="5013CEB1" w14:textId="505BEF2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322</w:t>
            </w:r>
          </w:p>
        </w:tc>
        <w:tc>
          <w:tcPr>
            <w:tcW w:w="0" w:type="dxa"/>
          </w:tcPr>
          <w:p w14:paraId="22ED417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02F4E13A" w14:textId="71F2257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168,685</w:t>
            </w:r>
          </w:p>
        </w:tc>
        <w:tc>
          <w:tcPr>
            <w:tcW w:w="0" w:type="dxa"/>
            <w:noWrap/>
            <w:vAlign w:val="center"/>
          </w:tcPr>
          <w:p w14:paraId="077118A2" w14:textId="7194744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496</w:t>
            </w:r>
          </w:p>
        </w:tc>
        <w:tc>
          <w:tcPr>
            <w:tcW w:w="0" w:type="dxa"/>
          </w:tcPr>
          <w:p w14:paraId="18CAB8E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4251DCD" w14:textId="673E12E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94,189</w:t>
            </w:r>
          </w:p>
        </w:tc>
        <w:tc>
          <w:tcPr>
            <w:tcW w:w="0" w:type="dxa"/>
            <w:noWrap/>
            <w:vAlign w:val="center"/>
          </w:tcPr>
          <w:p w14:paraId="0EF51788" w14:textId="5368D20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394</w:t>
            </w:r>
          </w:p>
        </w:tc>
        <w:tc>
          <w:tcPr>
            <w:tcW w:w="0" w:type="dxa"/>
          </w:tcPr>
          <w:p w14:paraId="6B94744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93D2B35" w14:textId="774F599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487,358</w:t>
            </w:r>
          </w:p>
        </w:tc>
        <w:tc>
          <w:tcPr>
            <w:tcW w:w="0" w:type="dxa"/>
            <w:noWrap/>
          </w:tcPr>
          <w:p w14:paraId="7AAF720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5FD12976"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73F26A20" w14:textId="77777777" w:rsidR="00842AD3" w:rsidRPr="00CC23C9" w:rsidRDefault="00842AD3" w:rsidP="008F2DA9">
            <w:pPr>
              <w:pStyle w:val="Tabletext"/>
              <w:keepNext w:val="0"/>
              <w:widowControl w:val="0"/>
            </w:pPr>
            <w:r w:rsidRPr="00CC23C9">
              <w:t>New Mexico</w:t>
            </w:r>
          </w:p>
        </w:tc>
        <w:tc>
          <w:tcPr>
            <w:tcW w:w="0" w:type="dxa"/>
            <w:noWrap/>
          </w:tcPr>
          <w:p w14:paraId="35DE4390" w14:textId="3A2E103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105,066</w:t>
            </w:r>
          </w:p>
        </w:tc>
        <w:tc>
          <w:tcPr>
            <w:tcW w:w="0" w:type="dxa"/>
            <w:noWrap/>
            <w:vAlign w:val="center"/>
          </w:tcPr>
          <w:p w14:paraId="2AD2C18E" w14:textId="1431C82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443</w:t>
            </w:r>
          </w:p>
        </w:tc>
        <w:tc>
          <w:tcPr>
            <w:tcW w:w="0" w:type="dxa"/>
          </w:tcPr>
          <w:p w14:paraId="7258410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3EC448BE" w14:textId="54D871C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55,639</w:t>
            </w:r>
          </w:p>
        </w:tc>
        <w:tc>
          <w:tcPr>
            <w:tcW w:w="0" w:type="dxa"/>
            <w:noWrap/>
            <w:vAlign w:val="center"/>
          </w:tcPr>
          <w:p w14:paraId="0B2783B5" w14:textId="0E91076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353</w:t>
            </w:r>
          </w:p>
        </w:tc>
        <w:tc>
          <w:tcPr>
            <w:tcW w:w="0" w:type="dxa"/>
          </w:tcPr>
          <w:p w14:paraId="05F472B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0DE0FC7F" w14:textId="6CD5D1C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9,815</w:t>
            </w:r>
          </w:p>
        </w:tc>
        <w:tc>
          <w:tcPr>
            <w:tcW w:w="0" w:type="dxa"/>
            <w:noWrap/>
            <w:vAlign w:val="center"/>
          </w:tcPr>
          <w:p w14:paraId="0B4341D9" w14:textId="61DDDDE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415</w:t>
            </w:r>
          </w:p>
        </w:tc>
        <w:tc>
          <w:tcPr>
            <w:tcW w:w="0" w:type="dxa"/>
          </w:tcPr>
          <w:p w14:paraId="2E41CDA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D7BD690" w14:textId="1797486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170,520</w:t>
            </w:r>
          </w:p>
        </w:tc>
        <w:tc>
          <w:tcPr>
            <w:tcW w:w="0" w:type="dxa"/>
            <w:noWrap/>
          </w:tcPr>
          <w:p w14:paraId="02E32A0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B8E2344"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76306D8E" w14:textId="77777777" w:rsidR="00842AD3" w:rsidRPr="00CC23C9" w:rsidRDefault="00842AD3" w:rsidP="008F2DA9">
            <w:pPr>
              <w:pStyle w:val="Tabletext"/>
              <w:keepNext w:val="0"/>
              <w:widowControl w:val="0"/>
            </w:pPr>
            <w:r w:rsidRPr="00CC23C9">
              <w:t>New York</w:t>
            </w:r>
          </w:p>
        </w:tc>
        <w:tc>
          <w:tcPr>
            <w:tcW w:w="0" w:type="dxa"/>
            <w:noWrap/>
          </w:tcPr>
          <w:p w14:paraId="3AE7E1B0" w14:textId="21C07A1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444,214</w:t>
            </w:r>
          </w:p>
        </w:tc>
        <w:tc>
          <w:tcPr>
            <w:tcW w:w="0" w:type="dxa"/>
            <w:noWrap/>
            <w:vAlign w:val="center"/>
          </w:tcPr>
          <w:p w14:paraId="6CC9F593" w14:textId="7017CD4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324</w:t>
            </w:r>
          </w:p>
        </w:tc>
        <w:tc>
          <w:tcPr>
            <w:tcW w:w="0" w:type="dxa"/>
          </w:tcPr>
          <w:p w14:paraId="1ADF040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78AA9C04" w14:textId="5C2B9E6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397,157</w:t>
            </w:r>
          </w:p>
        </w:tc>
        <w:tc>
          <w:tcPr>
            <w:tcW w:w="0" w:type="dxa"/>
            <w:noWrap/>
            <w:vAlign w:val="center"/>
          </w:tcPr>
          <w:p w14:paraId="443041FC" w14:textId="106874F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077</w:t>
            </w:r>
          </w:p>
        </w:tc>
        <w:tc>
          <w:tcPr>
            <w:tcW w:w="0" w:type="dxa"/>
          </w:tcPr>
          <w:p w14:paraId="0A60363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80BC0E1" w14:textId="125BED4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537,</w:t>
            </w:r>
            <w:r>
              <w:rPr>
                <w:rFonts w:cs="Arial"/>
                <w:color w:val="000000"/>
                <w:szCs w:val="16"/>
              </w:rPr>
              <w:t>285</w:t>
            </w:r>
          </w:p>
        </w:tc>
        <w:tc>
          <w:tcPr>
            <w:tcW w:w="0" w:type="dxa"/>
            <w:noWrap/>
            <w:vAlign w:val="center"/>
          </w:tcPr>
          <w:p w14:paraId="65F351BA" w14:textId="6BAA12C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810</w:t>
            </w:r>
          </w:p>
        </w:tc>
        <w:tc>
          <w:tcPr>
            <w:tcW w:w="0" w:type="dxa"/>
          </w:tcPr>
          <w:p w14:paraId="42932C2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312B1DC" w14:textId="769E7A2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378,</w:t>
            </w:r>
            <w:r>
              <w:rPr>
                <w:rFonts w:cs="Arial"/>
                <w:color w:val="000000"/>
                <w:szCs w:val="16"/>
              </w:rPr>
              <w:t>656</w:t>
            </w:r>
          </w:p>
        </w:tc>
        <w:tc>
          <w:tcPr>
            <w:tcW w:w="0" w:type="dxa"/>
            <w:noWrap/>
          </w:tcPr>
          <w:p w14:paraId="1F3E13E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D799110"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6EBB0D6" w14:textId="77777777" w:rsidR="00842AD3" w:rsidRPr="00CC23C9" w:rsidRDefault="00842AD3" w:rsidP="008F2DA9">
            <w:pPr>
              <w:pStyle w:val="Tabletext"/>
              <w:keepNext w:val="0"/>
              <w:widowControl w:val="0"/>
            </w:pPr>
            <w:r w:rsidRPr="00CC23C9">
              <w:t>North Carolina</w:t>
            </w:r>
          </w:p>
        </w:tc>
        <w:tc>
          <w:tcPr>
            <w:tcW w:w="0" w:type="dxa"/>
            <w:noWrap/>
          </w:tcPr>
          <w:p w14:paraId="1AEBC003" w14:textId="38C06C8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325,435</w:t>
            </w:r>
          </w:p>
        </w:tc>
        <w:tc>
          <w:tcPr>
            <w:tcW w:w="0" w:type="dxa"/>
            <w:noWrap/>
            <w:vAlign w:val="center"/>
          </w:tcPr>
          <w:p w14:paraId="6131E464" w14:textId="490F57F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665</w:t>
            </w:r>
          </w:p>
        </w:tc>
        <w:tc>
          <w:tcPr>
            <w:tcW w:w="0" w:type="dxa"/>
          </w:tcPr>
          <w:p w14:paraId="5213BE1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5A70A2E4" w14:textId="6CAEAD6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202,368</w:t>
            </w:r>
          </w:p>
        </w:tc>
        <w:tc>
          <w:tcPr>
            <w:tcW w:w="0" w:type="dxa"/>
            <w:noWrap/>
            <w:vAlign w:val="center"/>
          </w:tcPr>
          <w:p w14:paraId="2E25EE8E" w14:textId="043ECF8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279</w:t>
            </w:r>
          </w:p>
        </w:tc>
        <w:tc>
          <w:tcPr>
            <w:tcW w:w="0" w:type="dxa"/>
          </w:tcPr>
          <w:p w14:paraId="003D7C6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1D950F5" w14:textId="78AC9E7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112,575</w:t>
            </w:r>
          </w:p>
        </w:tc>
        <w:tc>
          <w:tcPr>
            <w:tcW w:w="0" w:type="dxa"/>
            <w:noWrap/>
            <w:vAlign w:val="center"/>
          </w:tcPr>
          <w:p w14:paraId="190397EE" w14:textId="1149654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268</w:t>
            </w:r>
          </w:p>
        </w:tc>
        <w:tc>
          <w:tcPr>
            <w:tcW w:w="0" w:type="dxa"/>
          </w:tcPr>
          <w:p w14:paraId="39E84DE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001FCA6" w14:textId="47BF00E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640,378</w:t>
            </w:r>
          </w:p>
        </w:tc>
        <w:tc>
          <w:tcPr>
            <w:tcW w:w="0" w:type="dxa"/>
            <w:noWrap/>
          </w:tcPr>
          <w:p w14:paraId="074642B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006986C"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2BBEE9F5" w14:textId="77777777" w:rsidR="00842AD3" w:rsidRPr="00CC23C9" w:rsidRDefault="00842AD3" w:rsidP="008F2DA9">
            <w:pPr>
              <w:pStyle w:val="Tabletext"/>
              <w:keepNext w:val="0"/>
              <w:widowControl w:val="0"/>
            </w:pPr>
            <w:r w:rsidRPr="00CC23C9">
              <w:t>North Dakota</w:t>
            </w:r>
          </w:p>
        </w:tc>
        <w:tc>
          <w:tcPr>
            <w:tcW w:w="0" w:type="dxa"/>
            <w:noWrap/>
          </w:tcPr>
          <w:p w14:paraId="562218FF" w14:textId="05935D6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9,423</w:t>
            </w:r>
          </w:p>
        </w:tc>
        <w:tc>
          <w:tcPr>
            <w:tcW w:w="0" w:type="dxa"/>
            <w:noWrap/>
            <w:vAlign w:val="center"/>
          </w:tcPr>
          <w:p w14:paraId="7525C2EE" w14:textId="017372C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176</w:t>
            </w:r>
          </w:p>
        </w:tc>
        <w:tc>
          <w:tcPr>
            <w:tcW w:w="0" w:type="dxa"/>
          </w:tcPr>
          <w:p w14:paraId="44B40B9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4A2C6AC1" w14:textId="4506991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41,532</w:t>
            </w:r>
          </w:p>
        </w:tc>
        <w:tc>
          <w:tcPr>
            <w:tcW w:w="0" w:type="dxa"/>
            <w:noWrap/>
            <w:vAlign w:val="center"/>
          </w:tcPr>
          <w:p w14:paraId="250846FB" w14:textId="292B5FD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5,</w:t>
            </w:r>
            <w:r w:rsidRPr="00BB3C64">
              <w:rPr>
                <w:color w:val="000000"/>
              </w:rPr>
              <w:t>185</w:t>
            </w:r>
          </w:p>
        </w:tc>
        <w:tc>
          <w:tcPr>
            <w:tcW w:w="0" w:type="dxa"/>
          </w:tcPr>
          <w:p w14:paraId="4997CEF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FECCEDF" w14:textId="0009B78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6,807</w:t>
            </w:r>
          </w:p>
        </w:tc>
        <w:tc>
          <w:tcPr>
            <w:tcW w:w="0" w:type="dxa"/>
            <w:noWrap/>
            <w:vAlign w:val="center"/>
          </w:tcPr>
          <w:p w14:paraId="1AC930BB" w14:textId="0FD2241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850</w:t>
            </w:r>
          </w:p>
        </w:tc>
        <w:tc>
          <w:tcPr>
            <w:tcW w:w="0" w:type="dxa"/>
          </w:tcPr>
          <w:p w14:paraId="335F491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69845C1C" w14:textId="0BBE3CE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57,762</w:t>
            </w:r>
          </w:p>
        </w:tc>
        <w:tc>
          <w:tcPr>
            <w:tcW w:w="0" w:type="dxa"/>
            <w:noWrap/>
          </w:tcPr>
          <w:p w14:paraId="15CE8D1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38AC7BEA"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8123982" w14:textId="77777777" w:rsidR="00842AD3" w:rsidRPr="00CC23C9" w:rsidRDefault="00842AD3" w:rsidP="008F2DA9">
            <w:pPr>
              <w:pStyle w:val="Tabletext"/>
              <w:keepNext w:val="0"/>
              <w:widowControl w:val="0"/>
            </w:pPr>
            <w:r w:rsidRPr="00CC23C9">
              <w:t>Ohio</w:t>
            </w:r>
          </w:p>
        </w:tc>
        <w:tc>
          <w:tcPr>
            <w:tcW w:w="0" w:type="dxa"/>
            <w:noWrap/>
          </w:tcPr>
          <w:p w14:paraId="3E34F4A3" w14:textId="1C32345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264,456</w:t>
            </w:r>
          </w:p>
        </w:tc>
        <w:tc>
          <w:tcPr>
            <w:tcW w:w="0" w:type="dxa"/>
            <w:noWrap/>
            <w:vAlign w:val="center"/>
          </w:tcPr>
          <w:p w14:paraId="1099E4D7" w14:textId="4D0DA7A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478</w:t>
            </w:r>
          </w:p>
        </w:tc>
        <w:tc>
          <w:tcPr>
            <w:tcW w:w="0" w:type="dxa"/>
          </w:tcPr>
          <w:p w14:paraId="7AECB47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65D51BF0" w14:textId="1FE5FAD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323,021</w:t>
            </w:r>
          </w:p>
        </w:tc>
        <w:tc>
          <w:tcPr>
            <w:tcW w:w="0" w:type="dxa"/>
            <w:noWrap/>
            <w:vAlign w:val="center"/>
          </w:tcPr>
          <w:p w14:paraId="3B9DC232" w14:textId="54D3DBD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w:t>
            </w:r>
            <w:r>
              <w:rPr>
                <w:rFonts w:cs="Arial"/>
                <w:color w:val="000000"/>
                <w:szCs w:val="16"/>
              </w:rPr>
              <w:t>027</w:t>
            </w:r>
          </w:p>
        </w:tc>
        <w:tc>
          <w:tcPr>
            <w:tcW w:w="0" w:type="dxa"/>
          </w:tcPr>
          <w:p w14:paraId="2E2FC33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961FB82" w14:textId="5EA4F47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182,212</w:t>
            </w:r>
          </w:p>
        </w:tc>
        <w:tc>
          <w:tcPr>
            <w:tcW w:w="0" w:type="dxa"/>
            <w:noWrap/>
            <w:vAlign w:val="center"/>
          </w:tcPr>
          <w:p w14:paraId="3EFAB033" w14:textId="79431F4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707</w:t>
            </w:r>
          </w:p>
        </w:tc>
        <w:tc>
          <w:tcPr>
            <w:tcW w:w="0" w:type="dxa"/>
          </w:tcPr>
          <w:p w14:paraId="324665A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1B76CD2" w14:textId="1F14649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769,</w:t>
            </w:r>
            <w:r>
              <w:rPr>
                <w:rFonts w:cs="Arial"/>
                <w:color w:val="000000"/>
                <w:szCs w:val="16"/>
              </w:rPr>
              <w:t>689</w:t>
            </w:r>
          </w:p>
        </w:tc>
        <w:tc>
          <w:tcPr>
            <w:tcW w:w="0" w:type="dxa"/>
            <w:noWrap/>
          </w:tcPr>
          <w:p w14:paraId="04D69F5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58EFDD18"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4C1AA4A3" w14:textId="77777777" w:rsidR="00842AD3" w:rsidRPr="00CC23C9" w:rsidRDefault="00842AD3" w:rsidP="008F2DA9">
            <w:pPr>
              <w:pStyle w:val="Tabletext"/>
              <w:keepNext w:val="0"/>
              <w:widowControl w:val="0"/>
            </w:pPr>
            <w:r w:rsidRPr="00CC23C9">
              <w:t>Oklahoma</w:t>
            </w:r>
          </w:p>
        </w:tc>
        <w:tc>
          <w:tcPr>
            <w:tcW w:w="0" w:type="dxa"/>
            <w:noWrap/>
          </w:tcPr>
          <w:p w14:paraId="352AD8E2" w14:textId="6C633DA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94,852</w:t>
            </w:r>
          </w:p>
        </w:tc>
        <w:tc>
          <w:tcPr>
            <w:tcW w:w="0" w:type="dxa"/>
            <w:noWrap/>
            <w:vAlign w:val="center"/>
          </w:tcPr>
          <w:p w14:paraId="47CF1D82" w14:textId="36404EB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615</w:t>
            </w:r>
          </w:p>
        </w:tc>
        <w:tc>
          <w:tcPr>
            <w:tcW w:w="0" w:type="dxa"/>
          </w:tcPr>
          <w:p w14:paraId="6FABE20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300B5CFF" w14:textId="5C18744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117,736</w:t>
            </w:r>
          </w:p>
        </w:tc>
        <w:tc>
          <w:tcPr>
            <w:tcW w:w="0" w:type="dxa"/>
            <w:noWrap/>
            <w:vAlign w:val="center"/>
          </w:tcPr>
          <w:p w14:paraId="3EFB6180" w14:textId="3132CC8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246</w:t>
            </w:r>
          </w:p>
        </w:tc>
        <w:tc>
          <w:tcPr>
            <w:tcW w:w="0" w:type="dxa"/>
          </w:tcPr>
          <w:p w14:paraId="4CD8548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2307207" w14:textId="04DCF1A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48,990</w:t>
            </w:r>
          </w:p>
        </w:tc>
        <w:tc>
          <w:tcPr>
            <w:tcW w:w="0" w:type="dxa"/>
            <w:noWrap/>
            <w:vAlign w:val="center"/>
          </w:tcPr>
          <w:p w14:paraId="379330FD" w14:textId="2B2F0CE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351</w:t>
            </w:r>
          </w:p>
        </w:tc>
        <w:tc>
          <w:tcPr>
            <w:tcW w:w="0" w:type="dxa"/>
          </w:tcPr>
          <w:p w14:paraId="24CB277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0B5B3A2" w14:textId="470FAC9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261,578</w:t>
            </w:r>
          </w:p>
        </w:tc>
        <w:tc>
          <w:tcPr>
            <w:tcW w:w="0" w:type="dxa"/>
            <w:noWrap/>
          </w:tcPr>
          <w:p w14:paraId="75B9188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6847772F"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501D5F0" w14:textId="77777777" w:rsidR="00842AD3" w:rsidRPr="00CC23C9" w:rsidRDefault="00842AD3" w:rsidP="008F2DA9">
            <w:pPr>
              <w:pStyle w:val="Tabletext"/>
              <w:keepNext w:val="0"/>
              <w:widowControl w:val="0"/>
            </w:pPr>
            <w:r w:rsidRPr="00CC23C9">
              <w:t>Oregon</w:t>
            </w:r>
          </w:p>
        </w:tc>
        <w:tc>
          <w:tcPr>
            <w:tcW w:w="0" w:type="dxa"/>
            <w:noWrap/>
          </w:tcPr>
          <w:p w14:paraId="32790119" w14:textId="3F5D54E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165,123</w:t>
            </w:r>
          </w:p>
        </w:tc>
        <w:tc>
          <w:tcPr>
            <w:tcW w:w="0" w:type="dxa"/>
            <w:noWrap/>
            <w:vAlign w:val="center"/>
          </w:tcPr>
          <w:p w14:paraId="672BFCAA" w14:textId="7A8E19C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867</w:t>
            </w:r>
          </w:p>
        </w:tc>
        <w:tc>
          <w:tcPr>
            <w:tcW w:w="0" w:type="dxa"/>
          </w:tcPr>
          <w:p w14:paraId="1D88E4C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27BD1955" w14:textId="387F993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107,545</w:t>
            </w:r>
          </w:p>
        </w:tc>
        <w:tc>
          <w:tcPr>
            <w:tcW w:w="0" w:type="dxa"/>
            <w:noWrap/>
            <w:vAlign w:val="center"/>
          </w:tcPr>
          <w:p w14:paraId="1C819B76" w14:textId="1224EBF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519</w:t>
            </w:r>
          </w:p>
        </w:tc>
        <w:tc>
          <w:tcPr>
            <w:tcW w:w="0" w:type="dxa"/>
          </w:tcPr>
          <w:p w14:paraId="3335BF9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0037612" w14:textId="2D7CD2D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35,252</w:t>
            </w:r>
          </w:p>
        </w:tc>
        <w:tc>
          <w:tcPr>
            <w:tcW w:w="0" w:type="dxa"/>
            <w:noWrap/>
            <w:vAlign w:val="center"/>
          </w:tcPr>
          <w:p w14:paraId="0FD55A32" w14:textId="28B1953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826</w:t>
            </w:r>
          </w:p>
        </w:tc>
        <w:tc>
          <w:tcPr>
            <w:tcW w:w="0" w:type="dxa"/>
          </w:tcPr>
          <w:p w14:paraId="06F1F8D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0BE457A7" w14:textId="3FB541C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307,</w:t>
            </w:r>
            <w:r>
              <w:rPr>
                <w:rFonts w:cs="Arial"/>
                <w:color w:val="000000"/>
                <w:szCs w:val="16"/>
              </w:rPr>
              <w:t>920</w:t>
            </w:r>
          </w:p>
        </w:tc>
        <w:tc>
          <w:tcPr>
            <w:tcW w:w="0" w:type="dxa"/>
            <w:noWrap/>
          </w:tcPr>
          <w:p w14:paraId="52036BB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98FF241"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8B43904" w14:textId="77777777" w:rsidR="00842AD3" w:rsidRPr="00CC23C9" w:rsidRDefault="00842AD3" w:rsidP="008F2DA9">
            <w:pPr>
              <w:pStyle w:val="Tabletext"/>
              <w:keepNext w:val="0"/>
              <w:widowControl w:val="0"/>
            </w:pPr>
            <w:r w:rsidRPr="00CC23C9">
              <w:t>Pennsylvania</w:t>
            </w:r>
          </w:p>
        </w:tc>
        <w:tc>
          <w:tcPr>
            <w:tcW w:w="0" w:type="dxa"/>
            <w:noWrap/>
          </w:tcPr>
          <w:p w14:paraId="54FC1A5B" w14:textId="27A96C5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191,925</w:t>
            </w:r>
          </w:p>
        </w:tc>
        <w:tc>
          <w:tcPr>
            <w:tcW w:w="0" w:type="dxa"/>
            <w:noWrap/>
            <w:vAlign w:val="center"/>
          </w:tcPr>
          <w:p w14:paraId="668BEEF8" w14:textId="29AE723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790</w:t>
            </w:r>
          </w:p>
        </w:tc>
        <w:tc>
          <w:tcPr>
            <w:tcW w:w="0" w:type="dxa"/>
          </w:tcPr>
          <w:p w14:paraId="215B9F1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52F35759" w14:textId="24617B2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256,369</w:t>
            </w:r>
          </w:p>
        </w:tc>
        <w:tc>
          <w:tcPr>
            <w:tcW w:w="0" w:type="dxa"/>
            <w:noWrap/>
            <w:vAlign w:val="center"/>
          </w:tcPr>
          <w:p w14:paraId="5C6AE64B" w14:textId="4ABF789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392</w:t>
            </w:r>
          </w:p>
        </w:tc>
        <w:tc>
          <w:tcPr>
            <w:tcW w:w="0" w:type="dxa"/>
          </w:tcPr>
          <w:p w14:paraId="0C11B9D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1F134AD8" w14:textId="2E8118E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324,</w:t>
            </w:r>
            <w:r>
              <w:rPr>
                <w:rFonts w:cs="Arial"/>
                <w:color w:val="000000"/>
                <w:szCs w:val="16"/>
              </w:rPr>
              <w:t>726</w:t>
            </w:r>
          </w:p>
        </w:tc>
        <w:tc>
          <w:tcPr>
            <w:tcW w:w="0" w:type="dxa"/>
            <w:noWrap/>
            <w:vAlign w:val="center"/>
          </w:tcPr>
          <w:p w14:paraId="422AFCDC" w14:textId="29A4778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029</w:t>
            </w:r>
          </w:p>
        </w:tc>
        <w:tc>
          <w:tcPr>
            <w:tcW w:w="0" w:type="dxa"/>
          </w:tcPr>
          <w:p w14:paraId="06336D3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DF0F8DE" w14:textId="2589952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773,020</w:t>
            </w:r>
          </w:p>
        </w:tc>
        <w:tc>
          <w:tcPr>
            <w:tcW w:w="0" w:type="dxa"/>
            <w:noWrap/>
          </w:tcPr>
          <w:p w14:paraId="2088577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08BFD4F"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24D7DC9" w14:textId="77777777" w:rsidR="00842AD3" w:rsidRPr="00CC23C9" w:rsidRDefault="00842AD3" w:rsidP="008F2DA9">
            <w:pPr>
              <w:pStyle w:val="Tabletext"/>
              <w:keepNext w:val="0"/>
              <w:widowControl w:val="0"/>
            </w:pPr>
            <w:r w:rsidRPr="00CC23C9">
              <w:t>Puerto Rico</w:t>
            </w:r>
          </w:p>
        </w:tc>
        <w:tc>
          <w:tcPr>
            <w:tcW w:w="0" w:type="dxa"/>
            <w:noWrap/>
          </w:tcPr>
          <w:p w14:paraId="41DF3726" w14:textId="2A2C250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3,410</w:t>
            </w:r>
          </w:p>
        </w:tc>
        <w:tc>
          <w:tcPr>
            <w:tcW w:w="0" w:type="dxa"/>
            <w:noWrap/>
            <w:vAlign w:val="center"/>
          </w:tcPr>
          <w:p w14:paraId="2B539050" w14:textId="7A9657C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95</w:t>
            </w:r>
          </w:p>
        </w:tc>
        <w:tc>
          <w:tcPr>
            <w:tcW w:w="0" w:type="dxa"/>
          </w:tcPr>
          <w:p w14:paraId="3FD408E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44677152" w14:textId="74B2A1B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59,683</w:t>
            </w:r>
          </w:p>
        </w:tc>
        <w:tc>
          <w:tcPr>
            <w:tcW w:w="0" w:type="dxa"/>
            <w:noWrap/>
            <w:vAlign w:val="center"/>
          </w:tcPr>
          <w:p w14:paraId="4F732EFB" w14:textId="03F2F8A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669</w:t>
            </w:r>
          </w:p>
        </w:tc>
        <w:tc>
          <w:tcPr>
            <w:tcW w:w="0" w:type="dxa"/>
          </w:tcPr>
          <w:p w14:paraId="10DE250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53E7EB1" w14:textId="1B3A967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194,718</w:t>
            </w:r>
          </w:p>
        </w:tc>
        <w:tc>
          <w:tcPr>
            <w:tcW w:w="0" w:type="dxa"/>
            <w:noWrap/>
            <w:vAlign w:val="center"/>
          </w:tcPr>
          <w:p w14:paraId="398F1249" w14:textId="31AAD44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5,</w:t>
            </w:r>
            <w:r w:rsidRPr="00BB3C64">
              <w:rPr>
                <w:color w:val="000000"/>
              </w:rPr>
              <w:t>447</w:t>
            </w:r>
          </w:p>
        </w:tc>
        <w:tc>
          <w:tcPr>
            <w:tcW w:w="0" w:type="dxa"/>
          </w:tcPr>
          <w:p w14:paraId="40BD470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85A761D" w14:textId="019E96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257,811</w:t>
            </w:r>
          </w:p>
        </w:tc>
        <w:tc>
          <w:tcPr>
            <w:tcW w:w="0" w:type="dxa"/>
            <w:noWrap/>
          </w:tcPr>
          <w:p w14:paraId="0172149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22CF6F45"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65817220" w14:textId="77777777" w:rsidR="00842AD3" w:rsidRPr="00CC23C9" w:rsidRDefault="00842AD3" w:rsidP="008F2DA9">
            <w:pPr>
              <w:pStyle w:val="Tabletext"/>
              <w:keepNext w:val="0"/>
              <w:widowControl w:val="0"/>
            </w:pPr>
            <w:r w:rsidRPr="00CC23C9">
              <w:t>Rhode Island</w:t>
            </w:r>
          </w:p>
        </w:tc>
        <w:tc>
          <w:tcPr>
            <w:tcW w:w="0" w:type="dxa"/>
            <w:noWrap/>
          </w:tcPr>
          <w:p w14:paraId="32042455" w14:textId="3BFF119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21,677</w:t>
            </w:r>
          </w:p>
        </w:tc>
        <w:tc>
          <w:tcPr>
            <w:tcW w:w="0" w:type="dxa"/>
            <w:noWrap/>
            <w:vAlign w:val="center"/>
          </w:tcPr>
          <w:p w14:paraId="63F2A5D9" w14:textId="4351ECA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792</w:t>
            </w:r>
          </w:p>
        </w:tc>
        <w:tc>
          <w:tcPr>
            <w:tcW w:w="0" w:type="dxa"/>
          </w:tcPr>
          <w:p w14:paraId="6ED14EE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6ECD8C72" w14:textId="38F1779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24,187</w:t>
            </w:r>
          </w:p>
        </w:tc>
        <w:tc>
          <w:tcPr>
            <w:tcW w:w="0" w:type="dxa"/>
            <w:noWrap/>
            <w:vAlign w:val="center"/>
          </w:tcPr>
          <w:p w14:paraId="5E91F403" w14:textId="2285FEC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999</w:t>
            </w:r>
          </w:p>
        </w:tc>
        <w:tc>
          <w:tcPr>
            <w:tcW w:w="0" w:type="dxa"/>
          </w:tcPr>
          <w:p w14:paraId="204B080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97F044C" w14:textId="098AE13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41,</w:t>
            </w:r>
            <w:r w:rsidRPr="00BB3C64">
              <w:rPr>
                <w:color w:val="000000"/>
              </w:rPr>
              <w:t>384</w:t>
            </w:r>
          </w:p>
        </w:tc>
        <w:tc>
          <w:tcPr>
            <w:tcW w:w="0" w:type="dxa"/>
            <w:noWrap/>
            <w:vAlign w:val="center"/>
          </w:tcPr>
          <w:p w14:paraId="18D4D411" w14:textId="2FEFEB0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421</w:t>
            </w:r>
          </w:p>
        </w:tc>
        <w:tc>
          <w:tcPr>
            <w:tcW w:w="0" w:type="dxa"/>
          </w:tcPr>
          <w:p w14:paraId="37D85EC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02B8C087" w14:textId="22184DC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87,248</w:t>
            </w:r>
          </w:p>
        </w:tc>
        <w:tc>
          <w:tcPr>
            <w:tcW w:w="0" w:type="dxa"/>
            <w:noWrap/>
          </w:tcPr>
          <w:p w14:paraId="04BEB26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E3C8E6F"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AEC5D9C" w14:textId="77777777" w:rsidR="00842AD3" w:rsidRPr="00CC23C9" w:rsidRDefault="00842AD3" w:rsidP="008F2DA9">
            <w:pPr>
              <w:pStyle w:val="Tabletext"/>
              <w:keepNext w:val="0"/>
              <w:widowControl w:val="0"/>
            </w:pPr>
            <w:r w:rsidRPr="00CC23C9">
              <w:t>South Carolina</w:t>
            </w:r>
          </w:p>
        </w:tc>
        <w:tc>
          <w:tcPr>
            <w:tcW w:w="0" w:type="dxa"/>
            <w:noWrap/>
          </w:tcPr>
          <w:p w14:paraId="28CFF311" w14:textId="196C83C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123,511</w:t>
            </w:r>
          </w:p>
        </w:tc>
        <w:tc>
          <w:tcPr>
            <w:tcW w:w="0" w:type="dxa"/>
            <w:noWrap/>
            <w:vAlign w:val="center"/>
          </w:tcPr>
          <w:p w14:paraId="4CAC96A6" w14:textId="7308B49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212</w:t>
            </w:r>
          </w:p>
        </w:tc>
        <w:tc>
          <w:tcPr>
            <w:tcW w:w="0" w:type="dxa"/>
          </w:tcPr>
          <w:p w14:paraId="141C3AB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1A05E09E" w14:textId="30043D3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97,899</w:t>
            </w:r>
          </w:p>
        </w:tc>
        <w:tc>
          <w:tcPr>
            <w:tcW w:w="0" w:type="dxa"/>
            <w:noWrap/>
            <w:vAlign w:val="center"/>
          </w:tcPr>
          <w:p w14:paraId="6E86C837" w14:textId="2DAD9B0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546</w:t>
            </w:r>
          </w:p>
        </w:tc>
        <w:tc>
          <w:tcPr>
            <w:tcW w:w="0" w:type="dxa"/>
          </w:tcPr>
          <w:p w14:paraId="43BBD65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181BE609" w14:textId="78216E4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55,888</w:t>
            </w:r>
          </w:p>
        </w:tc>
        <w:tc>
          <w:tcPr>
            <w:tcW w:w="0" w:type="dxa"/>
            <w:noWrap/>
            <w:vAlign w:val="center"/>
          </w:tcPr>
          <w:p w14:paraId="0154B3DA" w14:textId="358F801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453</w:t>
            </w:r>
          </w:p>
        </w:tc>
        <w:tc>
          <w:tcPr>
            <w:tcW w:w="0" w:type="dxa"/>
          </w:tcPr>
          <w:p w14:paraId="298457B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526A136" w14:textId="5D32C3E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277,298</w:t>
            </w:r>
          </w:p>
        </w:tc>
        <w:tc>
          <w:tcPr>
            <w:tcW w:w="0" w:type="dxa"/>
            <w:noWrap/>
          </w:tcPr>
          <w:p w14:paraId="460378C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764319EA"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4430F7A4" w14:textId="77777777" w:rsidR="00842AD3" w:rsidRPr="00CC23C9" w:rsidRDefault="00842AD3" w:rsidP="008F2DA9">
            <w:pPr>
              <w:pStyle w:val="Tabletext"/>
              <w:keepNext w:val="0"/>
              <w:widowControl w:val="0"/>
            </w:pPr>
            <w:r w:rsidRPr="00CC23C9">
              <w:t>South Dakota</w:t>
            </w:r>
          </w:p>
        </w:tc>
        <w:tc>
          <w:tcPr>
            <w:tcW w:w="0" w:type="dxa"/>
            <w:noWrap/>
          </w:tcPr>
          <w:p w14:paraId="259914B7" w14:textId="7F92804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8,312</w:t>
            </w:r>
          </w:p>
        </w:tc>
        <w:tc>
          <w:tcPr>
            <w:tcW w:w="0" w:type="dxa"/>
            <w:noWrap/>
            <w:vAlign w:val="center"/>
          </w:tcPr>
          <w:p w14:paraId="7CBC648D" w14:textId="325044A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970</w:t>
            </w:r>
          </w:p>
        </w:tc>
        <w:tc>
          <w:tcPr>
            <w:tcW w:w="0" w:type="dxa"/>
          </w:tcPr>
          <w:p w14:paraId="626A7EA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2A893884" w14:textId="4C6706F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41,792</w:t>
            </w:r>
          </w:p>
        </w:tc>
        <w:tc>
          <w:tcPr>
            <w:tcW w:w="0" w:type="dxa"/>
            <w:noWrap/>
            <w:vAlign w:val="center"/>
          </w:tcPr>
          <w:p w14:paraId="6D49D8BF" w14:textId="27844B4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sidRPr="00BB3C64">
              <w:rPr>
                <w:color w:val="000000"/>
              </w:rPr>
              <w:t>879</w:t>
            </w:r>
          </w:p>
        </w:tc>
        <w:tc>
          <w:tcPr>
            <w:tcW w:w="0" w:type="dxa"/>
          </w:tcPr>
          <w:p w14:paraId="450D0B7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07D228E" w14:textId="194929E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11,666</w:t>
            </w:r>
          </w:p>
        </w:tc>
        <w:tc>
          <w:tcPr>
            <w:tcW w:w="0" w:type="dxa"/>
            <w:noWrap/>
            <w:vAlign w:val="center"/>
          </w:tcPr>
          <w:p w14:paraId="7BA36B03" w14:textId="26D867F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362</w:t>
            </w:r>
          </w:p>
        </w:tc>
        <w:tc>
          <w:tcPr>
            <w:tcW w:w="0" w:type="dxa"/>
          </w:tcPr>
          <w:p w14:paraId="474D529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7C665879" w14:textId="571956A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61,770</w:t>
            </w:r>
          </w:p>
        </w:tc>
        <w:tc>
          <w:tcPr>
            <w:tcW w:w="0" w:type="dxa"/>
            <w:noWrap/>
          </w:tcPr>
          <w:p w14:paraId="7D5D103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1EA6BE7"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0746186D" w14:textId="77777777" w:rsidR="00842AD3" w:rsidRPr="00CC23C9" w:rsidRDefault="00842AD3" w:rsidP="008F2DA9">
            <w:pPr>
              <w:pStyle w:val="Tabletext"/>
              <w:keepNext w:val="0"/>
              <w:widowControl w:val="0"/>
            </w:pPr>
            <w:r w:rsidRPr="00CC23C9">
              <w:t>Tennessee</w:t>
            </w:r>
          </w:p>
        </w:tc>
        <w:tc>
          <w:tcPr>
            <w:tcW w:w="0" w:type="dxa"/>
            <w:noWrap/>
          </w:tcPr>
          <w:p w14:paraId="2723CF29" w14:textId="021E426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135,385</w:t>
            </w:r>
          </w:p>
        </w:tc>
        <w:tc>
          <w:tcPr>
            <w:tcW w:w="0" w:type="dxa"/>
            <w:noWrap/>
            <w:vAlign w:val="center"/>
          </w:tcPr>
          <w:p w14:paraId="23CF2F43" w14:textId="5DE614F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677</w:t>
            </w:r>
          </w:p>
        </w:tc>
        <w:tc>
          <w:tcPr>
            <w:tcW w:w="0" w:type="dxa"/>
          </w:tcPr>
          <w:p w14:paraId="5E54EF3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7B6ABF17" w14:textId="5EBE9C9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127,671</w:t>
            </w:r>
          </w:p>
        </w:tc>
        <w:tc>
          <w:tcPr>
            <w:tcW w:w="0" w:type="dxa"/>
            <w:noWrap/>
            <w:vAlign w:val="center"/>
          </w:tcPr>
          <w:p w14:paraId="4931BD95" w14:textId="51898C4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525</w:t>
            </w:r>
          </w:p>
        </w:tc>
        <w:tc>
          <w:tcPr>
            <w:tcW w:w="0" w:type="dxa"/>
          </w:tcPr>
          <w:p w14:paraId="1442CA1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614F5002" w14:textId="24D6F6E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101,603</w:t>
            </w:r>
          </w:p>
        </w:tc>
        <w:tc>
          <w:tcPr>
            <w:tcW w:w="0" w:type="dxa"/>
            <w:noWrap/>
            <w:vAlign w:val="center"/>
          </w:tcPr>
          <w:p w14:paraId="3ABD4866" w14:textId="65C9D7F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009</w:t>
            </w:r>
          </w:p>
        </w:tc>
        <w:tc>
          <w:tcPr>
            <w:tcW w:w="0" w:type="dxa"/>
          </w:tcPr>
          <w:p w14:paraId="0A8F4B9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3652E3B3" w14:textId="0B6F5B2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364,659</w:t>
            </w:r>
          </w:p>
        </w:tc>
        <w:tc>
          <w:tcPr>
            <w:tcW w:w="0" w:type="dxa"/>
            <w:noWrap/>
          </w:tcPr>
          <w:p w14:paraId="24F624B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15AF401"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693A28F9" w14:textId="77777777" w:rsidR="00842AD3" w:rsidRPr="00CC23C9" w:rsidRDefault="00842AD3" w:rsidP="008F2DA9">
            <w:pPr>
              <w:pStyle w:val="Tabletext"/>
              <w:keepNext w:val="0"/>
              <w:widowControl w:val="0"/>
            </w:pPr>
            <w:r w:rsidRPr="00CC23C9">
              <w:t>Texas</w:t>
            </w:r>
          </w:p>
        </w:tc>
        <w:tc>
          <w:tcPr>
            <w:tcW w:w="0" w:type="dxa"/>
            <w:noWrap/>
          </w:tcPr>
          <w:p w14:paraId="7742D12A" w14:textId="4A09A08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1,061,421</w:t>
            </w:r>
          </w:p>
        </w:tc>
        <w:tc>
          <w:tcPr>
            <w:tcW w:w="0" w:type="dxa"/>
            <w:noWrap/>
            <w:vAlign w:val="center"/>
          </w:tcPr>
          <w:p w14:paraId="595F29FF" w14:textId="6E5FD99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Pr>
                <w:rFonts w:cs="Arial"/>
                <w:color w:val="000000"/>
                <w:szCs w:val="16"/>
              </w:rPr>
              <w:t>940</w:t>
            </w:r>
          </w:p>
        </w:tc>
        <w:tc>
          <w:tcPr>
            <w:tcW w:w="0" w:type="dxa"/>
          </w:tcPr>
          <w:p w14:paraId="32DB11A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1940EA5E" w14:textId="6E2C714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651,149</w:t>
            </w:r>
          </w:p>
        </w:tc>
        <w:tc>
          <w:tcPr>
            <w:tcW w:w="0" w:type="dxa"/>
            <w:noWrap/>
            <w:vAlign w:val="center"/>
          </w:tcPr>
          <w:p w14:paraId="6A6BE28D" w14:textId="3A031D7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417</w:t>
            </w:r>
          </w:p>
        </w:tc>
        <w:tc>
          <w:tcPr>
            <w:tcW w:w="0" w:type="dxa"/>
          </w:tcPr>
          <w:p w14:paraId="47DF233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5657200A" w14:textId="248F3D1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230,433</w:t>
            </w:r>
          </w:p>
        </w:tc>
        <w:tc>
          <w:tcPr>
            <w:tcW w:w="0" w:type="dxa"/>
            <w:noWrap/>
            <w:vAlign w:val="center"/>
          </w:tcPr>
          <w:p w14:paraId="677513C5" w14:textId="262899A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855</w:t>
            </w:r>
          </w:p>
        </w:tc>
        <w:tc>
          <w:tcPr>
            <w:tcW w:w="0" w:type="dxa"/>
          </w:tcPr>
          <w:p w14:paraId="11845B3D"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1DACF181" w14:textId="7E9AF81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943,003</w:t>
            </w:r>
          </w:p>
        </w:tc>
        <w:tc>
          <w:tcPr>
            <w:tcW w:w="0" w:type="dxa"/>
            <w:noWrap/>
          </w:tcPr>
          <w:p w14:paraId="0EB99A23"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4C164DA" w14:textId="77777777" w:rsidTr="00BB3C64">
        <w:tc>
          <w:tcPr>
            <w:cnfStyle w:val="001000000000" w:firstRow="0" w:lastRow="0" w:firstColumn="1" w:lastColumn="0" w:oddVBand="0" w:evenVBand="0" w:oddHBand="0" w:evenHBand="0" w:firstRowFirstColumn="0" w:firstRowLastColumn="0" w:lastRowFirstColumn="0" w:lastRowLastColumn="0"/>
            <w:tcW w:w="0" w:type="dxa"/>
            <w:noWrap/>
          </w:tcPr>
          <w:p w14:paraId="194F8230" w14:textId="77777777" w:rsidR="00842AD3" w:rsidRPr="00CC23C9" w:rsidRDefault="00842AD3" w:rsidP="008F2DA9">
            <w:pPr>
              <w:pStyle w:val="Tabletext"/>
              <w:keepNext w:val="0"/>
              <w:widowControl w:val="0"/>
            </w:pPr>
            <w:r w:rsidRPr="00CC23C9">
              <w:t>Utah</w:t>
            </w:r>
          </w:p>
        </w:tc>
        <w:tc>
          <w:tcPr>
            <w:tcW w:w="0" w:type="dxa"/>
            <w:noWrap/>
          </w:tcPr>
          <w:p w14:paraId="1A422B48" w14:textId="1A2BE66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54,255</w:t>
            </w:r>
          </w:p>
        </w:tc>
        <w:tc>
          <w:tcPr>
            <w:tcW w:w="0" w:type="dxa"/>
            <w:noWrap/>
            <w:vAlign w:val="center"/>
          </w:tcPr>
          <w:p w14:paraId="77831ED7" w14:textId="21325CF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065</w:t>
            </w:r>
          </w:p>
        </w:tc>
        <w:tc>
          <w:tcPr>
            <w:tcW w:w="0" w:type="dxa"/>
          </w:tcPr>
          <w:p w14:paraId="7C4310B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tcPr>
          <w:p w14:paraId="33E4D5E2" w14:textId="2425A3B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164,501</w:t>
            </w:r>
          </w:p>
        </w:tc>
        <w:tc>
          <w:tcPr>
            <w:tcW w:w="0" w:type="dxa"/>
            <w:noWrap/>
            <w:vAlign w:val="center"/>
          </w:tcPr>
          <w:p w14:paraId="6CEE08C1" w14:textId="53063C2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229</w:t>
            </w:r>
          </w:p>
        </w:tc>
        <w:tc>
          <w:tcPr>
            <w:tcW w:w="0" w:type="dxa"/>
          </w:tcPr>
          <w:p w14:paraId="02D2C329"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6A95B6DC" w14:textId="313DB4F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148,640</w:t>
            </w:r>
          </w:p>
        </w:tc>
        <w:tc>
          <w:tcPr>
            <w:tcW w:w="0" w:type="dxa"/>
            <w:noWrap/>
            <w:vAlign w:val="center"/>
          </w:tcPr>
          <w:p w14:paraId="0C951442" w14:textId="27549F6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918</w:t>
            </w:r>
          </w:p>
        </w:tc>
        <w:tc>
          <w:tcPr>
            <w:tcW w:w="0" w:type="dxa"/>
          </w:tcPr>
          <w:p w14:paraId="4E36D588"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tcPr>
          <w:p w14:paraId="28AAAD08" w14:textId="74732DC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367,396</w:t>
            </w:r>
          </w:p>
        </w:tc>
        <w:tc>
          <w:tcPr>
            <w:tcW w:w="0" w:type="dxa"/>
            <w:noWrap/>
          </w:tcPr>
          <w:p w14:paraId="36BCD19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6781AE18"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0A46AE41" w14:textId="77777777" w:rsidR="00842AD3" w:rsidRPr="00CC23C9" w:rsidRDefault="00842AD3" w:rsidP="008F2DA9">
            <w:pPr>
              <w:pStyle w:val="Tabletext"/>
              <w:keepNext w:val="0"/>
              <w:widowControl w:val="0"/>
            </w:pPr>
            <w:r w:rsidRPr="00CC23C9">
              <w:t>Vermont</w:t>
            </w:r>
          </w:p>
        </w:tc>
        <w:tc>
          <w:tcPr>
            <w:tcW w:w="0" w:type="dxa"/>
            <w:noWrap/>
            <w:hideMark/>
          </w:tcPr>
          <w:p w14:paraId="5497A9C9" w14:textId="01B0B19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9,497</w:t>
            </w:r>
          </w:p>
        </w:tc>
        <w:tc>
          <w:tcPr>
            <w:tcW w:w="0" w:type="dxa"/>
            <w:noWrap/>
            <w:vAlign w:val="center"/>
            <w:hideMark/>
          </w:tcPr>
          <w:p w14:paraId="59596A5F" w14:textId="729AD16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446</w:t>
            </w:r>
          </w:p>
        </w:tc>
        <w:tc>
          <w:tcPr>
            <w:tcW w:w="0" w:type="dxa"/>
          </w:tcPr>
          <w:p w14:paraId="56529CFF"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A5DBE5A" w14:textId="385FBEC0"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19,919</w:t>
            </w:r>
          </w:p>
        </w:tc>
        <w:tc>
          <w:tcPr>
            <w:tcW w:w="0" w:type="dxa"/>
            <w:noWrap/>
            <w:vAlign w:val="center"/>
            <w:hideMark/>
          </w:tcPr>
          <w:p w14:paraId="395C42C2" w14:textId="4C2598D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033</w:t>
            </w:r>
          </w:p>
        </w:tc>
        <w:tc>
          <w:tcPr>
            <w:tcW w:w="0" w:type="dxa"/>
          </w:tcPr>
          <w:p w14:paraId="2379F1E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8430F0E" w14:textId="5965B98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17,949</w:t>
            </w:r>
          </w:p>
        </w:tc>
        <w:tc>
          <w:tcPr>
            <w:tcW w:w="0" w:type="dxa"/>
            <w:noWrap/>
            <w:vAlign w:val="center"/>
            <w:hideMark/>
          </w:tcPr>
          <w:p w14:paraId="5FA54C86" w14:textId="2E8ABA0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733</w:t>
            </w:r>
          </w:p>
        </w:tc>
        <w:tc>
          <w:tcPr>
            <w:tcW w:w="0" w:type="dxa"/>
          </w:tcPr>
          <w:p w14:paraId="6375929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30865406" w14:textId="1B0F2D1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47,</w:t>
            </w:r>
            <w:r w:rsidRPr="00BB3C64">
              <w:rPr>
                <w:color w:val="000000"/>
              </w:rPr>
              <w:t>365</w:t>
            </w:r>
          </w:p>
        </w:tc>
        <w:tc>
          <w:tcPr>
            <w:tcW w:w="0" w:type="dxa"/>
            <w:noWrap/>
            <w:hideMark/>
          </w:tcPr>
          <w:p w14:paraId="2C522C7E"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D0EC3E7"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7500C421" w14:textId="77777777" w:rsidR="00842AD3" w:rsidRPr="00CC23C9" w:rsidRDefault="00842AD3" w:rsidP="008F2DA9">
            <w:pPr>
              <w:pStyle w:val="Tabletext"/>
              <w:keepNext w:val="0"/>
              <w:widowControl w:val="0"/>
            </w:pPr>
            <w:r w:rsidRPr="00CC23C9">
              <w:t>Virginia</w:t>
            </w:r>
          </w:p>
        </w:tc>
        <w:tc>
          <w:tcPr>
            <w:tcW w:w="0" w:type="dxa"/>
            <w:noWrap/>
            <w:hideMark/>
          </w:tcPr>
          <w:p w14:paraId="39711808" w14:textId="30413B3F"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255,360</w:t>
            </w:r>
          </w:p>
        </w:tc>
        <w:tc>
          <w:tcPr>
            <w:tcW w:w="0" w:type="dxa"/>
            <w:noWrap/>
            <w:vAlign w:val="center"/>
            <w:hideMark/>
          </w:tcPr>
          <w:p w14:paraId="42B3B011" w14:textId="518AB7B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977</w:t>
            </w:r>
          </w:p>
        </w:tc>
        <w:tc>
          <w:tcPr>
            <w:tcW w:w="0" w:type="dxa"/>
          </w:tcPr>
          <w:p w14:paraId="027648C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0ED1E005" w14:textId="51B649B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192,691</w:t>
            </w:r>
          </w:p>
        </w:tc>
        <w:tc>
          <w:tcPr>
            <w:tcW w:w="0" w:type="dxa"/>
            <w:noWrap/>
            <w:vAlign w:val="center"/>
            <w:hideMark/>
          </w:tcPr>
          <w:p w14:paraId="248BD35F" w14:textId="593786D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Pr>
                <w:rFonts w:cs="Arial"/>
                <w:color w:val="000000"/>
                <w:szCs w:val="16"/>
              </w:rPr>
              <w:t>246</w:t>
            </w:r>
          </w:p>
        </w:tc>
        <w:tc>
          <w:tcPr>
            <w:tcW w:w="0" w:type="dxa"/>
          </w:tcPr>
          <w:p w14:paraId="2338ACCB"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5049B3F3" w14:textId="423DB6C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170,610</w:t>
            </w:r>
          </w:p>
        </w:tc>
        <w:tc>
          <w:tcPr>
            <w:tcW w:w="0" w:type="dxa"/>
            <w:noWrap/>
            <w:vAlign w:val="center"/>
            <w:hideMark/>
          </w:tcPr>
          <w:p w14:paraId="368940B4" w14:textId="54990E9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w:t>
            </w:r>
            <w:r>
              <w:rPr>
                <w:rFonts w:cs="Arial"/>
                <w:color w:val="000000"/>
                <w:szCs w:val="16"/>
              </w:rPr>
              <w:t>989</w:t>
            </w:r>
          </w:p>
        </w:tc>
        <w:tc>
          <w:tcPr>
            <w:tcW w:w="0" w:type="dxa"/>
          </w:tcPr>
          <w:p w14:paraId="4A84018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53C2EA0" w14:textId="0ED16FB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618,661</w:t>
            </w:r>
          </w:p>
        </w:tc>
        <w:tc>
          <w:tcPr>
            <w:tcW w:w="0" w:type="dxa"/>
            <w:noWrap/>
            <w:hideMark/>
          </w:tcPr>
          <w:p w14:paraId="30D5970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4B1D7B1C"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0A7E33C9" w14:textId="77777777" w:rsidR="00842AD3" w:rsidRPr="00CC23C9" w:rsidRDefault="00842AD3" w:rsidP="008F2DA9">
            <w:pPr>
              <w:pStyle w:val="Tabletext"/>
              <w:keepNext w:val="0"/>
              <w:widowControl w:val="0"/>
            </w:pPr>
            <w:r w:rsidRPr="00CC23C9">
              <w:t>Washington</w:t>
            </w:r>
          </w:p>
        </w:tc>
        <w:tc>
          <w:tcPr>
            <w:tcW w:w="0" w:type="dxa"/>
            <w:noWrap/>
            <w:hideMark/>
          </w:tcPr>
          <w:p w14:paraId="269568B5" w14:textId="13B8073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97,861</w:t>
            </w:r>
          </w:p>
        </w:tc>
        <w:tc>
          <w:tcPr>
            <w:tcW w:w="0" w:type="dxa"/>
            <w:noWrap/>
            <w:vAlign w:val="center"/>
            <w:hideMark/>
          </w:tcPr>
          <w:p w14:paraId="4CDEB48E" w14:textId="15FA92BE"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w:t>
            </w:r>
            <w:r>
              <w:rPr>
                <w:rFonts w:cs="Arial"/>
                <w:color w:val="000000"/>
                <w:szCs w:val="16"/>
              </w:rPr>
              <w:t>528</w:t>
            </w:r>
          </w:p>
        </w:tc>
        <w:tc>
          <w:tcPr>
            <w:tcW w:w="0" w:type="dxa"/>
          </w:tcPr>
          <w:p w14:paraId="16C18C6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1A33CC3F" w14:textId="48DC45D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311,334</w:t>
            </w:r>
          </w:p>
        </w:tc>
        <w:tc>
          <w:tcPr>
            <w:tcW w:w="0" w:type="dxa"/>
            <w:noWrap/>
            <w:vAlign w:val="center"/>
            <w:hideMark/>
          </w:tcPr>
          <w:p w14:paraId="502F4049" w14:textId="4570E3A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4,</w:t>
            </w:r>
            <w:r>
              <w:rPr>
                <w:rFonts w:cs="Arial"/>
                <w:color w:val="000000"/>
                <w:szCs w:val="16"/>
              </w:rPr>
              <w:t>860</w:t>
            </w:r>
          </w:p>
        </w:tc>
        <w:tc>
          <w:tcPr>
            <w:tcW w:w="0" w:type="dxa"/>
          </w:tcPr>
          <w:p w14:paraId="3FC2219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58F5501" w14:textId="16DAA2F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52,796</w:t>
            </w:r>
          </w:p>
        </w:tc>
        <w:tc>
          <w:tcPr>
            <w:tcW w:w="0" w:type="dxa"/>
            <w:noWrap/>
            <w:vAlign w:val="center"/>
            <w:hideMark/>
          </w:tcPr>
          <w:p w14:paraId="36BCD537" w14:textId="5CAA85A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824</w:t>
            </w:r>
          </w:p>
        </w:tc>
        <w:tc>
          <w:tcPr>
            <w:tcW w:w="0" w:type="dxa"/>
          </w:tcPr>
          <w:p w14:paraId="054C6E42"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602E9432" w14:textId="14D6C3D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461,991</w:t>
            </w:r>
          </w:p>
        </w:tc>
        <w:tc>
          <w:tcPr>
            <w:tcW w:w="0" w:type="dxa"/>
            <w:noWrap/>
            <w:hideMark/>
          </w:tcPr>
          <w:p w14:paraId="75F8212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37BF6FF"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4508D131" w14:textId="77777777" w:rsidR="00842AD3" w:rsidRPr="00CC23C9" w:rsidRDefault="00842AD3" w:rsidP="008F2DA9">
            <w:pPr>
              <w:pStyle w:val="Tabletext"/>
              <w:keepNext w:val="0"/>
              <w:widowControl w:val="0"/>
            </w:pPr>
            <w:r w:rsidRPr="00CC23C9">
              <w:t>West Virginia</w:t>
            </w:r>
          </w:p>
        </w:tc>
        <w:tc>
          <w:tcPr>
            <w:tcW w:w="0" w:type="dxa"/>
            <w:noWrap/>
            <w:hideMark/>
          </w:tcPr>
          <w:p w14:paraId="7E4E0D7A" w14:textId="0E23FD5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24,884</w:t>
            </w:r>
          </w:p>
        </w:tc>
        <w:tc>
          <w:tcPr>
            <w:tcW w:w="0" w:type="dxa"/>
            <w:noWrap/>
            <w:vAlign w:val="center"/>
            <w:hideMark/>
          </w:tcPr>
          <w:p w14:paraId="136808DE" w14:textId="15BA3A6A"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950</w:t>
            </w:r>
          </w:p>
        </w:tc>
        <w:tc>
          <w:tcPr>
            <w:tcW w:w="0" w:type="dxa"/>
          </w:tcPr>
          <w:p w14:paraId="1928F6C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538F163D" w14:textId="245F9F25"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63,113</w:t>
            </w:r>
          </w:p>
        </w:tc>
        <w:tc>
          <w:tcPr>
            <w:tcW w:w="0" w:type="dxa"/>
            <w:noWrap/>
            <w:vAlign w:val="center"/>
            <w:hideMark/>
          </w:tcPr>
          <w:p w14:paraId="335510FB" w14:textId="03690F7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411</w:t>
            </w:r>
          </w:p>
        </w:tc>
        <w:tc>
          <w:tcPr>
            <w:tcW w:w="0" w:type="dxa"/>
          </w:tcPr>
          <w:p w14:paraId="6179397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029E3A43" w14:textId="7083AEA2"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100,814</w:t>
            </w:r>
          </w:p>
        </w:tc>
        <w:tc>
          <w:tcPr>
            <w:tcW w:w="0" w:type="dxa"/>
            <w:noWrap/>
            <w:vAlign w:val="center"/>
            <w:hideMark/>
          </w:tcPr>
          <w:p w14:paraId="0B2DE061" w14:textId="06CF6B99"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851</w:t>
            </w:r>
          </w:p>
        </w:tc>
        <w:tc>
          <w:tcPr>
            <w:tcW w:w="0" w:type="dxa"/>
          </w:tcPr>
          <w:p w14:paraId="7A059A04"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43F285CD" w14:textId="5E5F91E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188,811</w:t>
            </w:r>
          </w:p>
        </w:tc>
        <w:tc>
          <w:tcPr>
            <w:tcW w:w="0" w:type="dxa"/>
            <w:noWrap/>
            <w:hideMark/>
          </w:tcPr>
          <w:p w14:paraId="4A03EBD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05CA4DD0"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15BF3E3A" w14:textId="77777777" w:rsidR="00842AD3" w:rsidRPr="00CC23C9" w:rsidRDefault="00842AD3" w:rsidP="008F2DA9">
            <w:pPr>
              <w:pStyle w:val="Tabletext"/>
              <w:keepNext w:val="0"/>
              <w:widowControl w:val="0"/>
            </w:pPr>
            <w:r w:rsidRPr="00CC23C9">
              <w:t>Wisconsin</w:t>
            </w:r>
          </w:p>
        </w:tc>
        <w:tc>
          <w:tcPr>
            <w:tcW w:w="0" w:type="dxa"/>
            <w:noWrap/>
            <w:hideMark/>
          </w:tcPr>
          <w:p w14:paraId="64C2E347" w14:textId="136CB25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131,427</w:t>
            </w:r>
          </w:p>
        </w:tc>
        <w:tc>
          <w:tcPr>
            <w:tcW w:w="0" w:type="dxa"/>
            <w:noWrap/>
            <w:vAlign w:val="center"/>
            <w:hideMark/>
          </w:tcPr>
          <w:p w14:paraId="2395FB14" w14:textId="4C029DA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2,</w:t>
            </w:r>
            <w:r w:rsidRPr="00BB3C64">
              <w:rPr>
                <w:color w:val="000000"/>
              </w:rPr>
              <w:t>439</w:t>
            </w:r>
          </w:p>
        </w:tc>
        <w:tc>
          <w:tcPr>
            <w:tcW w:w="0" w:type="dxa"/>
          </w:tcPr>
          <w:p w14:paraId="4BCDF16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36B2CCAB" w14:textId="1B66042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193,963</w:t>
            </w:r>
          </w:p>
        </w:tc>
        <w:tc>
          <w:tcPr>
            <w:tcW w:w="0" w:type="dxa"/>
            <w:noWrap/>
            <w:vAlign w:val="center"/>
            <w:hideMark/>
          </w:tcPr>
          <w:p w14:paraId="04628435" w14:textId="33BA1DC4"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3,</w:t>
            </w:r>
            <w:r w:rsidRPr="00BB3C64">
              <w:rPr>
                <w:color w:val="000000"/>
              </w:rPr>
              <w:t>600</w:t>
            </w:r>
          </w:p>
        </w:tc>
        <w:tc>
          <w:tcPr>
            <w:tcW w:w="0" w:type="dxa"/>
          </w:tcPr>
          <w:p w14:paraId="52768EB0"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94CE0F0" w14:textId="0614BAA1"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63,197</w:t>
            </w:r>
          </w:p>
        </w:tc>
        <w:tc>
          <w:tcPr>
            <w:tcW w:w="0" w:type="dxa"/>
            <w:noWrap/>
            <w:vAlign w:val="center"/>
            <w:hideMark/>
          </w:tcPr>
          <w:p w14:paraId="055E195A" w14:textId="64485E7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sidRPr="00BB3C64">
              <w:rPr>
                <w:color w:val="000000"/>
              </w:rPr>
              <w:t>173</w:t>
            </w:r>
          </w:p>
        </w:tc>
        <w:tc>
          <w:tcPr>
            <w:tcW w:w="0" w:type="dxa"/>
          </w:tcPr>
          <w:p w14:paraId="05FF5416"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F4980EC" w14:textId="475D135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B3C64">
              <w:rPr>
                <w:color w:val="000000"/>
              </w:rPr>
              <w:t>388,587</w:t>
            </w:r>
          </w:p>
        </w:tc>
        <w:tc>
          <w:tcPr>
            <w:tcW w:w="0" w:type="dxa"/>
            <w:noWrap/>
            <w:hideMark/>
          </w:tcPr>
          <w:p w14:paraId="31E3A8AA"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CC23C9" w14:paraId="1F2F1431"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3D17E60D" w14:textId="77777777" w:rsidR="00842AD3" w:rsidRPr="00CC23C9" w:rsidRDefault="00842AD3" w:rsidP="008F2DA9">
            <w:pPr>
              <w:pStyle w:val="Tabletext"/>
              <w:keepNext w:val="0"/>
              <w:widowControl w:val="0"/>
            </w:pPr>
            <w:r w:rsidRPr="00CC23C9">
              <w:t>Wyoming</w:t>
            </w:r>
          </w:p>
        </w:tc>
        <w:tc>
          <w:tcPr>
            <w:tcW w:w="0" w:type="dxa"/>
            <w:noWrap/>
            <w:hideMark/>
          </w:tcPr>
          <w:p w14:paraId="58E1511F" w14:textId="58BB99B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F844A7">
              <w:t>30,952</w:t>
            </w:r>
          </w:p>
        </w:tc>
        <w:tc>
          <w:tcPr>
            <w:tcW w:w="0" w:type="dxa"/>
            <w:noWrap/>
            <w:vAlign w:val="center"/>
            <w:hideMark/>
          </w:tcPr>
          <w:p w14:paraId="56F1E847" w14:textId="3005DD26"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5,</w:t>
            </w:r>
            <w:r>
              <w:rPr>
                <w:rFonts w:cs="Arial"/>
                <w:color w:val="000000"/>
                <w:szCs w:val="16"/>
              </w:rPr>
              <w:t>175</w:t>
            </w:r>
          </w:p>
        </w:tc>
        <w:tc>
          <w:tcPr>
            <w:tcW w:w="0" w:type="dxa"/>
          </w:tcPr>
          <w:p w14:paraId="1968D9B7"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hideMark/>
          </w:tcPr>
          <w:p w14:paraId="667506DD" w14:textId="6C01CD73"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833920">
              <w:t>11,301</w:t>
            </w:r>
          </w:p>
        </w:tc>
        <w:tc>
          <w:tcPr>
            <w:tcW w:w="0" w:type="dxa"/>
            <w:noWrap/>
            <w:vAlign w:val="center"/>
            <w:hideMark/>
          </w:tcPr>
          <w:p w14:paraId="32952DC5" w14:textId="1C339C08"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B57CD0">
              <w:rPr>
                <w:color w:val="000000"/>
              </w:rPr>
              <w:t>1,</w:t>
            </w:r>
            <w:r>
              <w:rPr>
                <w:rFonts w:cs="Arial"/>
                <w:color w:val="000000"/>
                <w:szCs w:val="16"/>
              </w:rPr>
              <w:t>890</w:t>
            </w:r>
          </w:p>
        </w:tc>
        <w:tc>
          <w:tcPr>
            <w:tcW w:w="0" w:type="dxa"/>
          </w:tcPr>
          <w:p w14:paraId="20099E1C"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2C034CD9" w14:textId="02F59DED"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876</w:t>
            </w:r>
          </w:p>
        </w:tc>
        <w:tc>
          <w:tcPr>
            <w:tcW w:w="0" w:type="dxa"/>
            <w:noWrap/>
            <w:vAlign w:val="center"/>
            <w:hideMark/>
          </w:tcPr>
          <w:p w14:paraId="15A7EEE9" w14:textId="23B8375C"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146</w:t>
            </w:r>
          </w:p>
        </w:tc>
        <w:tc>
          <w:tcPr>
            <w:tcW w:w="0" w:type="dxa"/>
          </w:tcPr>
          <w:p w14:paraId="66851E75"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p>
        </w:tc>
        <w:tc>
          <w:tcPr>
            <w:tcW w:w="0" w:type="dxa"/>
            <w:noWrap/>
            <w:vAlign w:val="center"/>
            <w:hideMark/>
          </w:tcPr>
          <w:p w14:paraId="1BEE6917" w14:textId="6D3088FB"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Pr>
                <w:rFonts w:cs="Arial"/>
                <w:color w:val="000000"/>
                <w:szCs w:val="16"/>
              </w:rPr>
              <w:t>43,129</w:t>
            </w:r>
          </w:p>
        </w:tc>
        <w:tc>
          <w:tcPr>
            <w:tcW w:w="0" w:type="dxa"/>
            <w:noWrap/>
            <w:hideMark/>
          </w:tcPr>
          <w:p w14:paraId="24425121" w14:textId="77777777" w:rsidR="00842AD3" w:rsidRPr="00CC23C9" w:rsidRDefault="00842AD3" w:rsidP="008F2DA9">
            <w:pPr>
              <w:pStyle w:val="Tabletext"/>
              <w:keepNext w:val="0"/>
              <w:widowControl w:val="0"/>
              <w:cnfStyle w:val="000000000000" w:firstRow="0" w:lastRow="0" w:firstColumn="0" w:lastColumn="0" w:oddVBand="0" w:evenVBand="0" w:oddHBand="0" w:evenHBand="0" w:firstRowFirstColumn="0" w:firstRowLastColumn="0" w:lastRowFirstColumn="0" w:lastRowLastColumn="0"/>
            </w:pPr>
            <w:r w:rsidRPr="00CC23C9">
              <w:t>7,212</w:t>
            </w:r>
          </w:p>
        </w:tc>
      </w:tr>
      <w:tr w:rsidR="00BB3C64" w:rsidRPr="001D4306" w14:paraId="4CFFBC7A" w14:textId="77777777" w:rsidTr="00B57CD0">
        <w:tc>
          <w:tcPr>
            <w:cnfStyle w:val="001000000000" w:firstRow="0" w:lastRow="0" w:firstColumn="1" w:lastColumn="0" w:oddVBand="0" w:evenVBand="0" w:oddHBand="0" w:evenHBand="0" w:firstRowFirstColumn="0" w:firstRowLastColumn="0" w:lastRowFirstColumn="0" w:lastRowLastColumn="0"/>
            <w:tcW w:w="0" w:type="dxa"/>
            <w:noWrap/>
            <w:hideMark/>
          </w:tcPr>
          <w:p w14:paraId="6C264DED" w14:textId="77777777" w:rsidR="00842AD3" w:rsidRPr="001D4306" w:rsidRDefault="00842AD3" w:rsidP="008F2DA9">
            <w:pPr>
              <w:pStyle w:val="Tabletext"/>
              <w:keepNext w:val="0"/>
              <w:widowControl w:val="0"/>
              <w:spacing w:before="120"/>
              <w:rPr>
                <w:b/>
              </w:rPr>
            </w:pPr>
            <w:r w:rsidRPr="001D4306">
              <w:rPr>
                <w:b/>
              </w:rPr>
              <w:t>Total</w:t>
            </w:r>
          </w:p>
        </w:tc>
        <w:tc>
          <w:tcPr>
            <w:tcW w:w="0" w:type="dxa"/>
            <w:noWrap/>
            <w:hideMark/>
          </w:tcPr>
          <w:p w14:paraId="14886ACC" w14:textId="7A03FDBD"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F844A7">
              <w:t>8,988,689</w:t>
            </w:r>
          </w:p>
        </w:tc>
        <w:tc>
          <w:tcPr>
            <w:tcW w:w="0" w:type="dxa"/>
            <w:noWrap/>
            <w:hideMark/>
          </w:tcPr>
          <w:p w14:paraId="5075C496" w14:textId="1EC88DB4" w:rsidR="00842AD3" w:rsidRDefault="00842AD3" w:rsidP="008F2DA9">
            <w:pPr>
              <w:cnfStyle w:val="000000000000" w:firstRow="0" w:lastRow="0" w:firstColumn="0" w:lastColumn="0" w:oddVBand="0" w:evenVBand="0" w:oddHBand="0" w:evenHBand="0" w:firstRowFirstColumn="0" w:firstRowLastColumn="0" w:lastRowFirstColumn="0" w:lastRowLastColumn="0"/>
              <w:rPr>
                <w:rFonts w:ascii="Arial" w:hAnsi="Arial" w:cs="Arial"/>
                <w:color w:val="000000"/>
                <w:kern w:val="0"/>
                <w:sz w:val="16"/>
                <w:szCs w:val="16"/>
              </w:rPr>
            </w:pPr>
            <w:r w:rsidRPr="00BB3C64">
              <w:rPr>
                <w:rFonts w:ascii="Arial" w:hAnsi="Arial"/>
                <w:color w:val="000000"/>
                <w:sz w:val="16"/>
              </w:rPr>
              <w:t>122,</w:t>
            </w:r>
            <w:r>
              <w:rPr>
                <w:rFonts w:ascii="Arial" w:hAnsi="Arial" w:cs="Arial"/>
                <w:color w:val="000000"/>
                <w:sz w:val="16"/>
                <w:szCs w:val="16"/>
              </w:rPr>
              <w:t>353</w:t>
            </w:r>
          </w:p>
          <w:p w14:paraId="51039C56" w14:textId="77777777" w:rsidR="00842AD3" w:rsidRPr="001D4306" w:rsidRDefault="00842AD3" w:rsidP="008F2DA9">
            <w:pPr>
              <w:pStyle w:val="Tabletext"/>
              <w:keepNext w:val="0"/>
              <w:widowControl w:val="0"/>
              <w:spacing w:before="120"/>
              <w:ind w:left="46" w:hanging="46"/>
              <w:cnfStyle w:val="000000000000" w:firstRow="0" w:lastRow="0" w:firstColumn="0" w:lastColumn="0" w:oddVBand="0" w:evenVBand="0" w:oddHBand="0" w:evenHBand="0" w:firstRowFirstColumn="0" w:firstRowLastColumn="0" w:lastRowFirstColumn="0" w:lastRowLastColumn="0"/>
              <w:rPr>
                <w:b/>
              </w:rPr>
            </w:pPr>
          </w:p>
        </w:tc>
        <w:tc>
          <w:tcPr>
            <w:tcW w:w="0" w:type="dxa"/>
          </w:tcPr>
          <w:p w14:paraId="12917406" w14:textId="77777777"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0" w:type="dxa"/>
            <w:noWrap/>
            <w:hideMark/>
          </w:tcPr>
          <w:p w14:paraId="711CC96B" w14:textId="0EF1039E"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B57CD0">
              <w:t>8,</w:t>
            </w:r>
            <w:r w:rsidRPr="00833920">
              <w:t>657,419</w:t>
            </w:r>
          </w:p>
        </w:tc>
        <w:tc>
          <w:tcPr>
            <w:tcW w:w="0" w:type="dxa"/>
            <w:noWrap/>
            <w:vAlign w:val="center"/>
            <w:hideMark/>
          </w:tcPr>
          <w:p w14:paraId="7867F365" w14:textId="4F2473FA"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BB3C64">
              <w:rPr>
                <w:color w:val="000000"/>
              </w:rPr>
              <w:t>152,</w:t>
            </w:r>
            <w:r>
              <w:rPr>
                <w:rFonts w:cs="Arial"/>
                <w:color w:val="000000"/>
                <w:szCs w:val="16"/>
              </w:rPr>
              <w:t>227</w:t>
            </w:r>
          </w:p>
        </w:tc>
        <w:tc>
          <w:tcPr>
            <w:tcW w:w="0" w:type="dxa"/>
          </w:tcPr>
          <w:p w14:paraId="46F16EB0" w14:textId="77777777"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0" w:type="dxa"/>
            <w:noWrap/>
            <w:vAlign w:val="center"/>
            <w:hideMark/>
          </w:tcPr>
          <w:p w14:paraId="37303FAA" w14:textId="448224C6"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BB3C64">
              <w:rPr>
                <w:color w:val="000000"/>
              </w:rPr>
              <w:t>5,</w:t>
            </w:r>
            <w:r>
              <w:rPr>
                <w:rFonts w:cs="Arial"/>
                <w:color w:val="000000"/>
                <w:szCs w:val="16"/>
              </w:rPr>
              <w:t>755,579</w:t>
            </w:r>
          </w:p>
        </w:tc>
        <w:tc>
          <w:tcPr>
            <w:tcW w:w="0" w:type="dxa"/>
            <w:noWrap/>
            <w:vAlign w:val="center"/>
            <w:hideMark/>
          </w:tcPr>
          <w:p w14:paraId="51071B8C" w14:textId="4FC9896F"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BB3C64">
              <w:rPr>
                <w:color w:val="000000"/>
              </w:rPr>
              <w:t>100,</w:t>
            </w:r>
            <w:r>
              <w:rPr>
                <w:rFonts w:cs="Arial"/>
                <w:color w:val="000000"/>
                <w:szCs w:val="16"/>
              </w:rPr>
              <w:t>421</w:t>
            </w:r>
          </w:p>
        </w:tc>
        <w:tc>
          <w:tcPr>
            <w:tcW w:w="0" w:type="dxa"/>
          </w:tcPr>
          <w:p w14:paraId="18B8ABF1" w14:textId="77777777"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p>
        </w:tc>
        <w:tc>
          <w:tcPr>
            <w:tcW w:w="0" w:type="dxa"/>
            <w:noWrap/>
            <w:vAlign w:val="center"/>
            <w:hideMark/>
          </w:tcPr>
          <w:p w14:paraId="7FA90D78" w14:textId="01AA486F"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B57CD0">
              <w:rPr>
                <w:color w:val="000000"/>
              </w:rPr>
              <w:t>23,</w:t>
            </w:r>
            <w:r>
              <w:rPr>
                <w:rFonts w:cs="Arial"/>
                <w:color w:val="000000"/>
                <w:szCs w:val="16"/>
              </w:rPr>
              <w:t>401,687</w:t>
            </w:r>
          </w:p>
        </w:tc>
        <w:tc>
          <w:tcPr>
            <w:tcW w:w="0" w:type="dxa"/>
            <w:noWrap/>
            <w:hideMark/>
          </w:tcPr>
          <w:p w14:paraId="1376BB65" w14:textId="77777777" w:rsidR="00842AD3" w:rsidRPr="001D4306" w:rsidRDefault="00842AD3" w:rsidP="008F2DA9">
            <w:pPr>
              <w:pStyle w:val="Tabletext"/>
              <w:keepNext w:val="0"/>
              <w:widowControl w:val="0"/>
              <w:spacing w:before="120"/>
              <w:cnfStyle w:val="000000000000" w:firstRow="0" w:lastRow="0" w:firstColumn="0" w:lastColumn="0" w:oddVBand="0" w:evenVBand="0" w:oddHBand="0" w:evenHBand="0" w:firstRowFirstColumn="0" w:firstRowLastColumn="0" w:lastRowFirstColumn="0" w:lastRowLastColumn="0"/>
              <w:rPr>
                <w:b/>
              </w:rPr>
            </w:pPr>
            <w:r w:rsidRPr="001D4306">
              <w:rPr>
                <w:b/>
              </w:rPr>
              <w:t>375,000</w:t>
            </w:r>
          </w:p>
        </w:tc>
      </w:tr>
    </w:tbl>
    <w:p w14:paraId="09EE634C" w14:textId="77777777" w:rsidR="00842AD3" w:rsidRDefault="00842AD3" w:rsidP="00842AD3">
      <w:pPr>
        <w:pStyle w:val="Source75"/>
        <w:keepLines w:val="0"/>
        <w:widowControl w:val="0"/>
        <w:spacing w:after="40" w:line="240" w:lineRule="auto"/>
      </w:pPr>
      <w:r>
        <w:t>NOTE: Sample sizes may not sum to totals due to rounding.</w:t>
      </w:r>
    </w:p>
    <w:p w14:paraId="19641F52" w14:textId="1DA730A0" w:rsidR="00842AD3" w:rsidRDefault="00842AD3" w:rsidP="00842AD3">
      <w:pPr>
        <w:pStyle w:val="Source75"/>
        <w:keepLines w:val="0"/>
        <w:widowControl w:val="0"/>
        <w:spacing w:before="0" w:after="0" w:line="240" w:lineRule="auto"/>
      </w:pPr>
      <w:r>
        <w:t>SOURCE: Population estimates based on 2015-2016 IPEDS 12-month Enrollment files</w:t>
      </w:r>
    </w:p>
    <w:p w14:paraId="39785C49" w14:textId="26CD91E4" w:rsidR="00D91DE7" w:rsidRPr="001417E4" w:rsidRDefault="00D91DE7" w:rsidP="002D4F60">
      <w:pPr>
        <w:pStyle w:val="TableTitle"/>
        <w:tabs>
          <w:tab w:val="left" w:pos="3960"/>
        </w:tabs>
        <w:spacing w:after="60"/>
        <w:ind w:left="994" w:hanging="994"/>
      </w:pPr>
      <w:bookmarkStart w:id="42" w:name="_Toc503451220"/>
      <w:bookmarkStart w:id="43" w:name="_Toc487810868"/>
      <w:bookmarkEnd w:id="41"/>
      <w:r w:rsidRPr="001417E4">
        <w:t xml:space="preserve">Table </w:t>
      </w:r>
      <w:r>
        <w:t>3</w:t>
      </w:r>
      <w:r w:rsidRPr="001417E4">
        <w:t xml:space="preserve">. NPSAS:18-AC </w:t>
      </w:r>
      <w:r w:rsidR="00727A0B">
        <w:t xml:space="preserve">estimated </w:t>
      </w:r>
      <w:r>
        <w:t>g</w:t>
      </w:r>
      <w:r w:rsidRPr="001417E4">
        <w:t>raduate</w:t>
      </w:r>
      <w:r>
        <w:t>-</w:t>
      </w:r>
      <w:r w:rsidRPr="001417E4">
        <w:t>student sample sizes</w:t>
      </w:r>
      <w:bookmarkEnd w:id="42"/>
      <w:bookmarkEnd w:id="43"/>
    </w:p>
    <w:tbl>
      <w:tblPr>
        <w:tblStyle w:val="TableGrid"/>
        <w:tblW w:w="9360" w:type="dxa"/>
        <w:tblLook w:val="04A0" w:firstRow="1" w:lastRow="0" w:firstColumn="1" w:lastColumn="0" w:noHBand="0" w:noVBand="1"/>
      </w:tblPr>
      <w:tblGrid>
        <w:gridCol w:w="6342"/>
        <w:gridCol w:w="1561"/>
        <w:gridCol w:w="1457"/>
      </w:tblGrid>
      <w:tr w:rsidR="00D91DE7" w:rsidRPr="00510E28" w14:paraId="0909667B" w14:textId="77777777" w:rsidTr="00671D9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6342" w:type="dxa"/>
            <w:noWrap/>
            <w:hideMark/>
          </w:tcPr>
          <w:p w14:paraId="597922CD" w14:textId="77777777" w:rsidR="00D91DE7" w:rsidRPr="00510E28" w:rsidRDefault="00D91DE7" w:rsidP="00671D9B">
            <w:pPr>
              <w:pStyle w:val="Tabletext"/>
            </w:pPr>
            <w:r w:rsidRPr="00510E28">
              <w:t xml:space="preserve">Institution </w:t>
            </w:r>
            <w:r>
              <w:t>s</w:t>
            </w:r>
            <w:r w:rsidRPr="00510E28">
              <w:t>ector</w:t>
            </w:r>
          </w:p>
        </w:tc>
        <w:tc>
          <w:tcPr>
            <w:tcW w:w="1561" w:type="dxa"/>
            <w:noWrap/>
            <w:hideMark/>
          </w:tcPr>
          <w:p w14:paraId="1738FADA" w14:textId="77777777" w:rsidR="00D91DE7" w:rsidRPr="00510E28"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510E28">
              <w:t xml:space="preserve">Population </w:t>
            </w:r>
            <w:r>
              <w:t>e</w:t>
            </w:r>
            <w:r w:rsidRPr="00510E28">
              <w:t>stimate</w:t>
            </w:r>
          </w:p>
        </w:tc>
        <w:tc>
          <w:tcPr>
            <w:tcW w:w="1457" w:type="dxa"/>
            <w:noWrap/>
            <w:hideMark/>
          </w:tcPr>
          <w:p w14:paraId="7FFC31A4" w14:textId="77777777" w:rsidR="00D91DE7" w:rsidRPr="00510E28" w:rsidRDefault="00D91DE7" w:rsidP="00671D9B">
            <w:pPr>
              <w:pStyle w:val="Tabletext"/>
              <w:cnfStyle w:val="100000000000" w:firstRow="1" w:lastRow="0" w:firstColumn="0" w:lastColumn="0" w:oddVBand="0" w:evenVBand="0" w:oddHBand="0" w:evenHBand="0" w:firstRowFirstColumn="0" w:firstRowLastColumn="0" w:lastRowFirstColumn="0" w:lastRowLastColumn="0"/>
            </w:pPr>
            <w:r w:rsidRPr="00510E28">
              <w:t xml:space="preserve">Sample </w:t>
            </w:r>
            <w:r>
              <w:t>s</w:t>
            </w:r>
            <w:r w:rsidRPr="00510E28">
              <w:t>ize</w:t>
            </w:r>
          </w:p>
        </w:tc>
      </w:tr>
      <w:tr w:rsidR="00D91DE7" w:rsidRPr="0097415E" w14:paraId="7EF90A39"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48AD2093" w14:textId="77777777" w:rsidR="00D91DE7" w:rsidRPr="0097415E" w:rsidRDefault="00D91DE7" w:rsidP="00671D9B">
            <w:pPr>
              <w:pStyle w:val="Tabletext"/>
            </w:pPr>
            <w:r w:rsidRPr="0097415E">
              <w:t xml:space="preserve">Public 4-year non-doctorate-granting primarily subbaccalaureate </w:t>
            </w:r>
          </w:p>
        </w:tc>
        <w:tc>
          <w:tcPr>
            <w:tcW w:w="1561" w:type="dxa"/>
            <w:noWrap/>
            <w:hideMark/>
          </w:tcPr>
          <w:p w14:paraId="34C78178" w14:textId="7CA98D62" w:rsidR="00D91DE7" w:rsidRPr="00510E28" w:rsidRDefault="007167F2" w:rsidP="00671D9B">
            <w:pPr>
              <w:pStyle w:val="Tabletext"/>
              <w:cnfStyle w:val="000000000000" w:firstRow="0" w:lastRow="0" w:firstColumn="0" w:lastColumn="0" w:oddVBand="0" w:evenVBand="0" w:oddHBand="0" w:evenHBand="0" w:firstRowFirstColumn="0" w:firstRowLastColumn="0" w:lastRowFirstColumn="0" w:lastRowLastColumn="0"/>
            </w:pPr>
            <w:r>
              <w:t>912</w:t>
            </w:r>
          </w:p>
        </w:tc>
        <w:tc>
          <w:tcPr>
            <w:tcW w:w="1457" w:type="dxa"/>
            <w:noWrap/>
            <w:hideMark/>
          </w:tcPr>
          <w:p w14:paraId="64BE98CE"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78</w:t>
            </w:r>
          </w:p>
        </w:tc>
      </w:tr>
      <w:tr w:rsidR="00D91DE7" w:rsidRPr="0097415E" w14:paraId="590BB1A7"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330A226C" w14:textId="77777777" w:rsidR="00D91DE7" w:rsidRPr="0097415E" w:rsidRDefault="00D91DE7" w:rsidP="00671D9B">
            <w:pPr>
              <w:pStyle w:val="Tabletext"/>
            </w:pPr>
            <w:r w:rsidRPr="0097415E">
              <w:t xml:space="preserve">Public 4-year non-doctorate-granting primarily baccalaureate </w:t>
            </w:r>
          </w:p>
        </w:tc>
        <w:tc>
          <w:tcPr>
            <w:tcW w:w="1561" w:type="dxa"/>
            <w:noWrap/>
            <w:hideMark/>
          </w:tcPr>
          <w:p w14:paraId="26D74A80" w14:textId="0FA1D840" w:rsidR="00D91DE7" w:rsidRPr="00510E28" w:rsidRDefault="007167F2" w:rsidP="00671D9B">
            <w:pPr>
              <w:pStyle w:val="Tabletext"/>
              <w:cnfStyle w:val="000000000000" w:firstRow="0" w:lastRow="0" w:firstColumn="0" w:lastColumn="0" w:oddVBand="0" w:evenVBand="0" w:oddHBand="0" w:evenHBand="0" w:firstRowFirstColumn="0" w:firstRowLastColumn="0" w:lastRowFirstColumn="0" w:lastRowLastColumn="0"/>
            </w:pPr>
            <w:r>
              <w:t>171,424</w:t>
            </w:r>
          </w:p>
        </w:tc>
        <w:tc>
          <w:tcPr>
            <w:tcW w:w="1457" w:type="dxa"/>
            <w:noWrap/>
            <w:hideMark/>
          </w:tcPr>
          <w:p w14:paraId="2C51CBFF"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1,510</w:t>
            </w:r>
          </w:p>
        </w:tc>
      </w:tr>
      <w:tr w:rsidR="00D91DE7" w:rsidRPr="0097415E" w14:paraId="61A3F270"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30AB4077" w14:textId="77777777" w:rsidR="00D91DE7" w:rsidRPr="0097415E" w:rsidRDefault="00D91DE7" w:rsidP="00671D9B">
            <w:pPr>
              <w:pStyle w:val="Tabletext"/>
            </w:pPr>
            <w:r w:rsidRPr="0097415E">
              <w:t>Public 4-year doctorate-granting</w:t>
            </w:r>
          </w:p>
        </w:tc>
        <w:tc>
          <w:tcPr>
            <w:tcW w:w="1561" w:type="dxa"/>
            <w:noWrap/>
            <w:hideMark/>
          </w:tcPr>
          <w:p w14:paraId="34D4E52E" w14:textId="4EF1C0A1" w:rsidR="00D91DE7" w:rsidRPr="00510E28" w:rsidRDefault="007167F2" w:rsidP="00671D9B">
            <w:pPr>
              <w:pStyle w:val="Tabletext"/>
              <w:cnfStyle w:val="000000000000" w:firstRow="0" w:lastRow="0" w:firstColumn="0" w:lastColumn="0" w:oddVBand="0" w:evenVBand="0" w:oddHBand="0" w:evenHBand="0" w:firstRowFirstColumn="0" w:firstRowLastColumn="0" w:lastRowFirstColumn="0" w:lastRowLastColumn="0"/>
            </w:pPr>
            <w:r>
              <w:t>1,618,400</w:t>
            </w:r>
          </w:p>
        </w:tc>
        <w:tc>
          <w:tcPr>
            <w:tcW w:w="1457" w:type="dxa"/>
            <w:noWrap/>
            <w:hideMark/>
          </w:tcPr>
          <w:p w14:paraId="6668E848"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7,040</w:t>
            </w:r>
          </w:p>
        </w:tc>
      </w:tr>
      <w:tr w:rsidR="00D91DE7" w:rsidRPr="0097415E" w14:paraId="6C83EC9D"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69989C2F" w14:textId="77777777" w:rsidR="00D91DE7" w:rsidRPr="0097415E" w:rsidRDefault="00D91DE7" w:rsidP="00671D9B">
            <w:pPr>
              <w:pStyle w:val="Tabletext"/>
            </w:pPr>
            <w:r w:rsidRPr="0097415E">
              <w:t>Private not-for-profit 4-year non-doctorate-granting</w:t>
            </w:r>
          </w:p>
        </w:tc>
        <w:tc>
          <w:tcPr>
            <w:tcW w:w="1561" w:type="dxa"/>
            <w:noWrap/>
            <w:hideMark/>
          </w:tcPr>
          <w:p w14:paraId="1EACADB0" w14:textId="2B77AEDD" w:rsidR="00D91DE7" w:rsidRPr="00510E28" w:rsidRDefault="00857D8D" w:rsidP="00671D9B">
            <w:pPr>
              <w:pStyle w:val="Tabletext"/>
              <w:cnfStyle w:val="000000000000" w:firstRow="0" w:lastRow="0" w:firstColumn="0" w:lastColumn="0" w:oddVBand="0" w:evenVBand="0" w:oddHBand="0" w:evenHBand="0" w:firstRowFirstColumn="0" w:firstRowLastColumn="0" w:lastRowFirstColumn="0" w:lastRowLastColumn="0"/>
            </w:pPr>
            <w:r>
              <w:t>250,031</w:t>
            </w:r>
          </w:p>
        </w:tc>
        <w:tc>
          <w:tcPr>
            <w:tcW w:w="1457" w:type="dxa"/>
            <w:noWrap/>
            <w:hideMark/>
          </w:tcPr>
          <w:p w14:paraId="61900104"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2,623</w:t>
            </w:r>
          </w:p>
        </w:tc>
      </w:tr>
      <w:tr w:rsidR="00D91DE7" w:rsidRPr="0097415E" w14:paraId="411D8A69"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1C192E09" w14:textId="77777777" w:rsidR="00D91DE7" w:rsidRPr="0097415E" w:rsidRDefault="00D91DE7" w:rsidP="00671D9B">
            <w:pPr>
              <w:pStyle w:val="Tabletext"/>
            </w:pPr>
            <w:r w:rsidRPr="0097415E">
              <w:t>Private not-for-profit 4-year doctorate-granting</w:t>
            </w:r>
          </w:p>
        </w:tc>
        <w:tc>
          <w:tcPr>
            <w:tcW w:w="1561" w:type="dxa"/>
            <w:noWrap/>
            <w:hideMark/>
          </w:tcPr>
          <w:p w14:paraId="0D07D16F" w14:textId="297C2DFA" w:rsidR="00D91DE7" w:rsidRPr="00510E28" w:rsidRDefault="007167F2" w:rsidP="00671D9B">
            <w:pPr>
              <w:pStyle w:val="Tabletext"/>
              <w:cnfStyle w:val="000000000000" w:firstRow="0" w:lastRow="0" w:firstColumn="0" w:lastColumn="0" w:oddVBand="0" w:evenVBand="0" w:oddHBand="0" w:evenHBand="0" w:firstRowFirstColumn="0" w:firstRowLastColumn="0" w:lastRowFirstColumn="0" w:lastRowLastColumn="0"/>
            </w:pPr>
            <w:r>
              <w:t>1</w:t>
            </w:r>
            <w:r w:rsidR="00857D8D">
              <w:t>,</w:t>
            </w:r>
            <w:r>
              <w:t>394,812</w:t>
            </w:r>
          </w:p>
        </w:tc>
        <w:tc>
          <w:tcPr>
            <w:tcW w:w="1457" w:type="dxa"/>
            <w:noWrap/>
            <w:hideMark/>
          </w:tcPr>
          <w:p w14:paraId="7FFA51B5"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6,490</w:t>
            </w:r>
          </w:p>
        </w:tc>
      </w:tr>
      <w:tr w:rsidR="00D91DE7" w:rsidRPr="0097415E" w14:paraId="603AAB5F"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2553A926" w14:textId="77777777" w:rsidR="00D91DE7" w:rsidRPr="0097415E" w:rsidRDefault="00D91DE7" w:rsidP="00671D9B">
            <w:pPr>
              <w:pStyle w:val="Tabletext"/>
            </w:pPr>
            <w:r>
              <w:t>Private for-</w:t>
            </w:r>
            <w:r w:rsidRPr="0097415E">
              <w:t>profit 4-year</w:t>
            </w:r>
          </w:p>
        </w:tc>
        <w:tc>
          <w:tcPr>
            <w:tcW w:w="1561" w:type="dxa"/>
            <w:noWrap/>
            <w:hideMark/>
          </w:tcPr>
          <w:p w14:paraId="158CE9D4" w14:textId="1BFC938F" w:rsidR="00D91DE7" w:rsidRPr="00510E28" w:rsidRDefault="007167F2" w:rsidP="00671D9B">
            <w:pPr>
              <w:pStyle w:val="Tabletext"/>
              <w:cnfStyle w:val="000000000000" w:firstRow="0" w:lastRow="0" w:firstColumn="0" w:lastColumn="0" w:oddVBand="0" w:evenVBand="0" w:oddHBand="0" w:evenHBand="0" w:firstRowFirstColumn="0" w:firstRowLastColumn="0" w:lastRowFirstColumn="0" w:lastRowLastColumn="0"/>
            </w:pPr>
            <w:r>
              <w:t>430,276</w:t>
            </w:r>
          </w:p>
        </w:tc>
        <w:tc>
          <w:tcPr>
            <w:tcW w:w="1457" w:type="dxa"/>
            <w:noWrap/>
            <w:hideMark/>
          </w:tcPr>
          <w:p w14:paraId="59F32761" w14:textId="77777777" w:rsidR="00D91DE7" w:rsidRPr="00510E28" w:rsidRDefault="00D91DE7" w:rsidP="00671D9B">
            <w:pPr>
              <w:pStyle w:val="Tabletext"/>
              <w:cnfStyle w:val="000000000000" w:firstRow="0" w:lastRow="0" w:firstColumn="0" w:lastColumn="0" w:oddVBand="0" w:evenVBand="0" w:oddHBand="0" w:evenHBand="0" w:firstRowFirstColumn="0" w:firstRowLastColumn="0" w:lastRowFirstColumn="0" w:lastRowLastColumn="0"/>
            </w:pPr>
            <w:r w:rsidRPr="00510E28">
              <w:t>7,260</w:t>
            </w:r>
          </w:p>
        </w:tc>
      </w:tr>
      <w:tr w:rsidR="00D91DE7" w:rsidRPr="00510E28" w14:paraId="0B754A62" w14:textId="77777777" w:rsidTr="00671D9B">
        <w:tc>
          <w:tcPr>
            <w:cnfStyle w:val="001000000000" w:firstRow="0" w:lastRow="0" w:firstColumn="1" w:lastColumn="0" w:oddVBand="0" w:evenVBand="0" w:oddHBand="0" w:evenHBand="0" w:firstRowFirstColumn="0" w:firstRowLastColumn="0" w:lastRowFirstColumn="0" w:lastRowLastColumn="0"/>
            <w:tcW w:w="6342" w:type="dxa"/>
            <w:noWrap/>
            <w:hideMark/>
          </w:tcPr>
          <w:p w14:paraId="45CD545F" w14:textId="77777777" w:rsidR="00D91DE7" w:rsidRPr="00510E28" w:rsidRDefault="00D91DE7" w:rsidP="00671D9B">
            <w:pPr>
              <w:pStyle w:val="Tabletext"/>
              <w:spacing w:before="120"/>
              <w:rPr>
                <w:b/>
              </w:rPr>
            </w:pPr>
            <w:r w:rsidRPr="00510E28">
              <w:rPr>
                <w:b/>
              </w:rPr>
              <w:t>Total</w:t>
            </w:r>
          </w:p>
        </w:tc>
        <w:tc>
          <w:tcPr>
            <w:tcW w:w="1561" w:type="dxa"/>
            <w:noWrap/>
            <w:hideMark/>
          </w:tcPr>
          <w:p w14:paraId="712A99D3" w14:textId="43B59038" w:rsidR="00D91DE7" w:rsidRPr="00510E28" w:rsidRDefault="00857D8D" w:rsidP="00671D9B">
            <w:pPr>
              <w:pStyle w:val="Tabletext"/>
              <w:spacing w:before="120"/>
              <w:cnfStyle w:val="000000000000" w:firstRow="0" w:lastRow="0" w:firstColumn="0" w:lastColumn="0" w:oddVBand="0" w:evenVBand="0" w:oddHBand="0" w:evenHBand="0" w:firstRowFirstColumn="0" w:firstRowLastColumn="0" w:lastRowFirstColumn="0" w:lastRowLastColumn="0"/>
              <w:rPr>
                <w:b/>
              </w:rPr>
            </w:pPr>
            <w:r>
              <w:rPr>
                <w:b/>
              </w:rPr>
              <w:t>3,865,855</w:t>
            </w:r>
          </w:p>
        </w:tc>
        <w:tc>
          <w:tcPr>
            <w:tcW w:w="1457" w:type="dxa"/>
            <w:noWrap/>
            <w:hideMark/>
          </w:tcPr>
          <w:p w14:paraId="0A5C2147" w14:textId="2BA0F41B" w:rsidR="00D91DE7" w:rsidRPr="00510E28" w:rsidRDefault="00D91DE7" w:rsidP="00671D9B">
            <w:pPr>
              <w:pStyle w:val="Tabletext"/>
              <w:spacing w:before="120"/>
              <w:cnfStyle w:val="000000000000" w:firstRow="0" w:lastRow="0" w:firstColumn="0" w:lastColumn="0" w:oddVBand="0" w:evenVBand="0" w:oddHBand="0" w:evenHBand="0" w:firstRowFirstColumn="0" w:firstRowLastColumn="0" w:lastRowFirstColumn="0" w:lastRowLastColumn="0"/>
              <w:rPr>
                <w:b/>
              </w:rPr>
            </w:pPr>
            <w:r w:rsidRPr="00510E28">
              <w:rPr>
                <w:b/>
              </w:rPr>
              <w:t>25,000</w:t>
            </w:r>
          </w:p>
        </w:tc>
      </w:tr>
    </w:tbl>
    <w:p w14:paraId="6D17A9DE" w14:textId="77777777" w:rsidR="00BC48F2" w:rsidRDefault="00BC48F2" w:rsidP="002D4F60">
      <w:pPr>
        <w:pStyle w:val="Source75"/>
        <w:spacing w:after="40" w:line="240" w:lineRule="auto"/>
      </w:pPr>
      <w:r>
        <w:t>NOTE: Sample sizes may not sum to totals due to rounding.</w:t>
      </w:r>
    </w:p>
    <w:p w14:paraId="3FDC88A8" w14:textId="77777777" w:rsidR="00BC48F2" w:rsidRDefault="00BC48F2" w:rsidP="002D4F60">
      <w:pPr>
        <w:pStyle w:val="Source75"/>
        <w:spacing w:after="240" w:line="240" w:lineRule="auto"/>
      </w:pPr>
      <w:r>
        <w:t>SOURCE: Population estimates based on 2015-2016 IPEDS 12-month Enrollment files</w:t>
      </w:r>
    </w:p>
    <w:p w14:paraId="7CF6E2EA" w14:textId="0C09B239" w:rsidR="008E4476" w:rsidRDefault="008E4476" w:rsidP="00C620CB">
      <w:pPr>
        <w:pStyle w:val="Heading4"/>
        <w:spacing w:before="0" w:line="240" w:lineRule="auto"/>
        <w:rPr>
          <w:rFonts w:ascii="Arial Bold" w:hAnsi="Arial Bold"/>
          <w:spacing w:val="-4"/>
          <w:sz w:val="14"/>
          <w:szCs w:val="14"/>
        </w:rPr>
      </w:pPr>
      <w:r w:rsidRPr="007B64F7">
        <w:t>Quality Control Checks for Lists and Sampling</w:t>
      </w:r>
    </w:p>
    <w:p w14:paraId="1234175D" w14:textId="77777777" w:rsidR="00C620CB" w:rsidRDefault="008E4476" w:rsidP="00C620CB">
      <w:pPr>
        <w:pStyle w:val="BodyText"/>
        <w:spacing w:before="0" w:line="240" w:lineRule="auto"/>
        <w:ind w:firstLine="0"/>
      </w:pPr>
      <w:r>
        <w:t>The number of enrollees on each institution’s student list will be checked against the latest IPEDS full-year enrollment. The comparisons will be made for each student level: undergraduate and graduate. Based on experience with past rounds of NPSAS, we recommend that</w:t>
      </w:r>
      <w:r w:rsidR="00BE726F">
        <w:t>,</w:t>
      </w:r>
      <w:r>
        <w:t xml:space="preserve"> in order for an institution’s student list to pass quality control (QC) and be moved on to student sampling, the student counts must be within 50 percent of non</w:t>
      </w:r>
      <w:r w:rsidR="00FD2AE1">
        <w:t>-</w:t>
      </w:r>
      <w:r>
        <w:t xml:space="preserve">imputed </w:t>
      </w:r>
      <w:r w:rsidR="00BA057D">
        <w:t xml:space="preserve">most recent </w:t>
      </w:r>
      <w:r>
        <w:t>IPEDS counts.</w:t>
      </w:r>
    </w:p>
    <w:p w14:paraId="1BBD4B3B" w14:textId="01541847" w:rsidR="008E4476" w:rsidRDefault="008E4476" w:rsidP="00C620CB">
      <w:pPr>
        <w:pStyle w:val="BodyText"/>
        <w:spacing w:before="0" w:line="240" w:lineRule="auto"/>
        <w:ind w:firstLine="0"/>
      </w:pPr>
      <w:r>
        <w:t xml:space="preserve">Institutions that fail QC will be </w:t>
      </w:r>
      <w:r w:rsidR="00104567">
        <w:t xml:space="preserve">contacted again </w:t>
      </w:r>
      <w:r>
        <w:t>to resolve the discrepancy and to verify that the institution coordinator who prepared the student list clearly understood our request and provided a list of the appropriate students and data items. If we determine that the initial list provided by the institution was not satisfactory, we will request a replacement list. We will proceed with selecting sample students when we have either confirmed that the list received is correct or have received a corrected list.</w:t>
      </w:r>
    </w:p>
    <w:p w14:paraId="532A32BE" w14:textId="353EF1F5" w:rsidR="00C620CB" w:rsidRDefault="000545B0" w:rsidP="00C620CB">
      <w:pPr>
        <w:pStyle w:val="BodyText"/>
        <w:spacing w:before="0" w:line="240" w:lineRule="auto"/>
        <w:ind w:firstLine="0"/>
      </w:pPr>
      <w:r>
        <w:t xml:space="preserve">To improve the quality of the student lists and reduce the number of requests for replacement lists, we will inform institutions </w:t>
      </w:r>
      <w:r w:rsidR="00785628">
        <w:t xml:space="preserve">of </w:t>
      </w:r>
      <w:r>
        <w:t xml:space="preserve">how </w:t>
      </w:r>
      <w:r w:rsidR="00785628">
        <w:t>many students we are expecting</w:t>
      </w:r>
      <w:r w:rsidR="00BA057D">
        <w:t xml:space="preserve"> </w:t>
      </w:r>
      <w:r>
        <w:t>based on IPEDS</w:t>
      </w:r>
      <w:r w:rsidR="00785628">
        <w:t xml:space="preserve"> counts. This </w:t>
      </w:r>
      <w:r w:rsidR="00BA057D">
        <w:t>will</w:t>
      </w:r>
      <w:r w:rsidR="00785628">
        <w:t xml:space="preserve"> happen as part of the list request communication with the institutions</w:t>
      </w:r>
      <w:r>
        <w:t>.</w:t>
      </w:r>
      <w:r w:rsidR="00016A6E">
        <w:t xml:space="preserve"> </w:t>
      </w:r>
      <w:r>
        <w:t xml:space="preserve">Institutions will then be able to tell us reasons for </w:t>
      </w:r>
      <w:r w:rsidR="00785628">
        <w:t>discrepancies</w:t>
      </w:r>
      <w:r>
        <w:t xml:space="preserve"> prior to list receipt and the </w:t>
      </w:r>
      <w:r w:rsidR="00A9583E">
        <w:t xml:space="preserve">IPEDS </w:t>
      </w:r>
      <w:r w:rsidR="00785628">
        <w:t>count</w:t>
      </w:r>
      <w:r w:rsidR="00A9583E">
        <w:t>s</w:t>
      </w:r>
      <w:r>
        <w:t xml:space="preserve"> will act as a guide for institutions as they prepare their lists.</w:t>
      </w:r>
    </w:p>
    <w:p w14:paraId="5D2B7329" w14:textId="77777777" w:rsidR="00C620CB" w:rsidRDefault="008E4476" w:rsidP="00C620CB">
      <w:pPr>
        <w:pStyle w:val="BodyText"/>
        <w:spacing w:before="0" w:line="240" w:lineRule="auto"/>
        <w:ind w:firstLine="0"/>
      </w:pPr>
      <w:r>
        <w:t xml:space="preserve">All statistical procedures will undergo thorough quality-control checks. </w:t>
      </w:r>
      <w:r w:rsidR="00BE0840">
        <w:t>T</w:t>
      </w:r>
      <w:r w:rsidR="00F2033D">
        <w:t>he data collection contractor, has</w:t>
      </w:r>
      <w:r>
        <w:t xml:space="preserve"> technical operating procedures in place for sampling and general programming. These </w:t>
      </w:r>
      <w:r w:rsidR="000F6BB8">
        <w:t xml:space="preserve">procedures </w:t>
      </w:r>
      <w:r>
        <w:t xml:space="preserve">describe how to properly implement statistical procedures and QC checks. </w:t>
      </w:r>
      <w:r w:rsidR="00F2033D">
        <w:t>All</w:t>
      </w:r>
      <w:r>
        <w:t xml:space="preserve"> statisticians </w:t>
      </w:r>
      <w:r w:rsidR="00F2033D">
        <w:t xml:space="preserve">will employ a checklist </w:t>
      </w:r>
      <w:r>
        <w:t xml:space="preserve">to </w:t>
      </w:r>
      <w:r w:rsidR="00F2033D">
        <w:t>ensure</w:t>
      </w:r>
      <w:r>
        <w:t xml:space="preserve"> that all appropriate QC checks are done for student sampling.</w:t>
      </w:r>
    </w:p>
    <w:p w14:paraId="22EAD0E5" w14:textId="14E981F6" w:rsidR="008E4476" w:rsidRDefault="008E4476" w:rsidP="00C620CB">
      <w:pPr>
        <w:pStyle w:val="BodyText"/>
        <w:keepNext/>
        <w:spacing w:before="0" w:after="60" w:line="240" w:lineRule="auto"/>
        <w:ind w:firstLine="0"/>
      </w:pPr>
      <w:r w:rsidRPr="005F2C4D">
        <w:t>Some specific sampling QC checks include, but are not limited to, checking that the</w:t>
      </w:r>
    </w:p>
    <w:p w14:paraId="255CA1EE" w14:textId="7257D509" w:rsidR="008E4476" w:rsidRPr="009B2DAC" w:rsidRDefault="006A7CDA" w:rsidP="00F776C1">
      <w:pPr>
        <w:pStyle w:val="bulletround"/>
        <w:spacing w:after="0" w:line="240" w:lineRule="auto"/>
      </w:pPr>
      <w:r>
        <w:t>i</w:t>
      </w:r>
      <w:r w:rsidR="008E4476" w:rsidRPr="009B2DAC">
        <w:t>nstitutions and students on the sampling frames all have a known, non-zero probability of selection;</w:t>
      </w:r>
    </w:p>
    <w:p w14:paraId="6DBCFEE6" w14:textId="2E94B2E8" w:rsidR="008E4476" w:rsidRPr="009B2DAC" w:rsidRDefault="006A7CDA" w:rsidP="00F776C1">
      <w:pPr>
        <w:pStyle w:val="bulletround"/>
        <w:spacing w:after="0" w:line="240" w:lineRule="auto"/>
      </w:pPr>
      <w:r>
        <w:t>d</w:t>
      </w:r>
      <w:r w:rsidRPr="009B2DAC">
        <w:t xml:space="preserve">istribution </w:t>
      </w:r>
      <w:r w:rsidR="008E4476" w:rsidRPr="009B2DAC">
        <w:t>of implicit stratification for institutions is reasonable; and</w:t>
      </w:r>
    </w:p>
    <w:p w14:paraId="068BBCC9" w14:textId="19A032D8" w:rsidR="008E4476" w:rsidRPr="009B2DAC" w:rsidRDefault="006A7CDA" w:rsidP="00C620CB">
      <w:pPr>
        <w:pStyle w:val="bulletround"/>
        <w:spacing w:after="120" w:line="240" w:lineRule="auto"/>
      </w:pPr>
      <w:r>
        <w:t>n</w:t>
      </w:r>
      <w:r w:rsidR="008E4476" w:rsidRPr="009B2DAC">
        <w:t>umber of institutions and students selected match the target sample sizes.</w:t>
      </w:r>
    </w:p>
    <w:p w14:paraId="1FCA1212" w14:textId="77777777" w:rsidR="002770D7" w:rsidRPr="002277CD" w:rsidRDefault="002770D7" w:rsidP="00C620CB">
      <w:pPr>
        <w:pStyle w:val="Heading2"/>
        <w:spacing w:line="240" w:lineRule="auto"/>
      </w:pPr>
      <w:bookmarkStart w:id="44" w:name="_Toc480552887"/>
      <w:r w:rsidRPr="002277CD">
        <w:t>Methods for Maximizing Response Rates</w:t>
      </w:r>
      <w:bookmarkEnd w:id="38"/>
      <w:bookmarkEnd w:id="44"/>
    </w:p>
    <w:p w14:paraId="48F40F9A" w14:textId="77777777" w:rsidR="00DC6DFD" w:rsidRDefault="00827544" w:rsidP="00C620CB">
      <w:pPr>
        <w:pStyle w:val="BodyText"/>
        <w:spacing w:before="0" w:line="240" w:lineRule="auto"/>
        <w:ind w:firstLine="0"/>
      </w:pPr>
      <w:bookmarkStart w:id="45" w:name="_Toc268593749"/>
      <w:r w:rsidRPr="00016A6E">
        <w:rPr>
          <w:b/>
        </w:rPr>
        <w:t>NPSAS:18</w:t>
      </w:r>
      <w:r>
        <w:rPr>
          <w:b/>
        </w:rPr>
        <w:t>-</w:t>
      </w:r>
      <w:r w:rsidRPr="00016A6E">
        <w:rPr>
          <w:b/>
        </w:rPr>
        <w:t xml:space="preserve">AC Institutional Contacting. </w:t>
      </w:r>
      <w:r w:rsidR="008E4476">
        <w:t>Establishing and maintaining contact with sampled institutions throughout the data collection process is vital to the success of NPSAS:18</w:t>
      </w:r>
      <w:r w:rsidR="006A7CDA">
        <w:t>-</w:t>
      </w:r>
      <w:r w:rsidR="008E4476">
        <w:t xml:space="preserve">AC. Institutional participation is required in order to draw the student sample and collect institutional student records. The process in which institutions will be contacted is </w:t>
      </w:r>
      <w:r w:rsidR="00CA104B">
        <w:t>depicted in figure 1 and described below</w:t>
      </w:r>
      <w:r w:rsidR="008E4476">
        <w:t>.</w:t>
      </w:r>
    </w:p>
    <w:p w14:paraId="4C16CBA1" w14:textId="77777777" w:rsidR="00B12967" w:rsidRDefault="00B12967" w:rsidP="00B12967">
      <w:pPr>
        <w:pStyle w:val="BodyText"/>
        <w:spacing w:before="0" w:line="240" w:lineRule="auto"/>
        <w:ind w:firstLine="0"/>
        <w:rPr>
          <w:rFonts w:asciiTheme="minorHAnsi" w:hAnsiTheme="minorHAnsi"/>
        </w:rPr>
      </w:pPr>
      <w:r w:rsidRPr="00AD24F9">
        <w:rPr>
          <w:rFonts w:asciiTheme="minorHAnsi" w:hAnsiTheme="minorHAnsi"/>
        </w:rPr>
        <w:t xml:space="preserve">The </w:t>
      </w:r>
      <w:r>
        <w:rPr>
          <w:rFonts w:asciiTheme="minorHAnsi" w:hAnsiTheme="minorHAnsi"/>
        </w:rPr>
        <w:t xml:space="preserve">data collection </w:t>
      </w:r>
      <w:r w:rsidRPr="00AD24F9">
        <w:rPr>
          <w:rFonts w:asciiTheme="minorHAnsi" w:hAnsiTheme="minorHAnsi"/>
        </w:rPr>
        <w:t>contractor</w:t>
      </w:r>
      <w:r>
        <w:rPr>
          <w:rFonts w:asciiTheme="minorHAnsi" w:hAnsiTheme="minorHAnsi"/>
        </w:rPr>
        <w:t xml:space="preserve"> </w:t>
      </w:r>
      <w:r w:rsidRPr="00AD24F9">
        <w:rPr>
          <w:rFonts w:asciiTheme="minorHAnsi" w:hAnsiTheme="minorHAnsi"/>
        </w:rPr>
        <w:t xml:space="preserve">will be responsible for contacting institutions on behalf of </w:t>
      </w:r>
      <w:r>
        <w:rPr>
          <w:rFonts w:asciiTheme="minorHAnsi" w:hAnsiTheme="minorHAnsi"/>
        </w:rPr>
        <w:t>the National Center for Education Statistics (</w:t>
      </w:r>
      <w:r w:rsidRPr="00AD24F9">
        <w:rPr>
          <w:rFonts w:asciiTheme="minorHAnsi" w:hAnsiTheme="minorHAnsi"/>
        </w:rPr>
        <w:t>NCES</w:t>
      </w:r>
      <w:r>
        <w:rPr>
          <w:rFonts w:asciiTheme="minorHAnsi" w:hAnsiTheme="minorHAnsi"/>
        </w:rPr>
        <w:t>), U.S. Department of Education</w:t>
      </w:r>
      <w:r w:rsidRPr="00AD24F9">
        <w:rPr>
          <w:rFonts w:asciiTheme="minorHAnsi" w:hAnsiTheme="minorHAnsi"/>
        </w:rPr>
        <w:t>. Each staff member will be assigned a set of institutions that is their responsibility throughout the data collection process. This allows the contractor's staff members to establish rapport with the institution staff and provides a reliable point of contact at the contractor’s call center. Staff members are thoroughly trained in basic financial aid concepts and in the purposes and requirements of the study, which helps them establish credibility with the institution staff.</w:t>
      </w:r>
    </w:p>
    <w:p w14:paraId="218EB103" w14:textId="3E4645D7" w:rsidR="00B12967" w:rsidRPr="00AD24F9" w:rsidRDefault="00B12967" w:rsidP="00B12967">
      <w:pPr>
        <w:pStyle w:val="BodyText"/>
        <w:spacing w:before="0" w:line="240" w:lineRule="auto"/>
        <w:ind w:firstLine="0"/>
        <w:rPr>
          <w:rFonts w:asciiTheme="minorHAnsi" w:hAnsiTheme="minorHAnsi"/>
        </w:rPr>
      </w:pPr>
      <w:r>
        <w:rPr>
          <w:rFonts w:asciiTheme="minorHAnsi" w:hAnsiTheme="minorHAnsi"/>
        </w:rPr>
        <w:t>The first step in the process is verification of the chief administrator’s contact information. Web searches and v</w:t>
      </w:r>
      <w:r w:rsidRPr="00AD24F9">
        <w:rPr>
          <w:rFonts w:asciiTheme="minorHAnsi" w:hAnsiTheme="minorHAnsi"/>
        </w:rPr>
        <w:t xml:space="preserve">erification calls will be </w:t>
      </w:r>
      <w:r>
        <w:rPr>
          <w:rFonts w:asciiTheme="minorHAnsi" w:hAnsiTheme="minorHAnsi"/>
        </w:rPr>
        <w:t xml:space="preserve">conducted as needed </w:t>
      </w:r>
      <w:r w:rsidRPr="00AD24F9">
        <w:rPr>
          <w:rFonts w:asciiTheme="minorHAnsi" w:hAnsiTheme="minorHAnsi"/>
        </w:rPr>
        <w:t xml:space="preserve">to confirm eligibility and confirm contact information obtained from the IPEDS header files </w:t>
      </w:r>
      <w:r>
        <w:rPr>
          <w:rFonts w:asciiTheme="minorHAnsi" w:hAnsiTheme="minorHAnsi"/>
        </w:rPr>
        <w:t>before</w:t>
      </w:r>
      <w:r w:rsidRPr="00AD24F9">
        <w:rPr>
          <w:rFonts w:asciiTheme="minorHAnsi" w:hAnsiTheme="minorHAnsi"/>
        </w:rPr>
        <w:t xml:space="preserve"> study information</w:t>
      </w:r>
      <w:r>
        <w:rPr>
          <w:rFonts w:asciiTheme="minorHAnsi" w:hAnsiTheme="minorHAnsi"/>
        </w:rPr>
        <w:t xml:space="preserve"> is mailed</w:t>
      </w:r>
      <w:r w:rsidRPr="00AD24F9">
        <w:rPr>
          <w:rFonts w:asciiTheme="minorHAnsi" w:hAnsiTheme="minorHAnsi"/>
        </w:rPr>
        <w:t xml:space="preserve">. Once the contact information is verified, we will prepare and send an information packet to the chief administrator of each sampled institution. A copy of the letter and brochure can be found in </w:t>
      </w:r>
      <w:r w:rsidRPr="002277CD">
        <w:rPr>
          <w:rFonts w:asciiTheme="minorHAnsi" w:hAnsiTheme="minorHAnsi"/>
        </w:rPr>
        <w:t>appendix D.</w:t>
      </w:r>
      <w:r w:rsidRPr="00AD24F9">
        <w:rPr>
          <w:rFonts w:asciiTheme="minorHAnsi" w:hAnsiTheme="minorHAnsi"/>
        </w:rPr>
        <w:t xml:space="preserve"> The materials provide information about the purpose of the study and the nature of subsequent requests. </w:t>
      </w:r>
      <w:r>
        <w:rPr>
          <w:rFonts w:asciiTheme="minorHAnsi" w:hAnsiTheme="minorHAnsi"/>
        </w:rPr>
        <w:t xml:space="preserve">Additionally, the letter acknowledges that during 2018 NCES is also collecting postsecondary transcripts from institutions attended by 2011-12 Beginning Postsecondary Students Longitudinal Study (BPS:12) </w:t>
      </w:r>
      <w:r w:rsidR="000844EE">
        <w:rPr>
          <w:rFonts w:asciiTheme="minorHAnsi" w:hAnsiTheme="minorHAnsi"/>
        </w:rPr>
        <w:t xml:space="preserve">and High School Longitudinal Study of 2009 (HSLS:09) </w:t>
      </w:r>
      <w:r>
        <w:rPr>
          <w:rFonts w:asciiTheme="minorHAnsi" w:hAnsiTheme="minorHAnsi"/>
        </w:rPr>
        <w:t xml:space="preserve">sample members. </w:t>
      </w:r>
      <w:r w:rsidRPr="00AD24F9">
        <w:rPr>
          <w:rFonts w:asciiTheme="minorHAnsi" w:hAnsiTheme="minorHAnsi"/>
        </w:rPr>
        <w:t>A few days after the information packet is mailed, institutional contactors will conduct follow-up calls to secure study participation.</w:t>
      </w:r>
    </w:p>
    <w:p w14:paraId="7691343D" w14:textId="77777777" w:rsidR="00DC6DFD" w:rsidRDefault="00CA104B" w:rsidP="00B12967">
      <w:pPr>
        <w:pStyle w:val="TableTitle"/>
        <w:ind w:left="994" w:hanging="994"/>
      </w:pPr>
      <w:bookmarkStart w:id="46" w:name="_Toc503451221"/>
      <w:bookmarkStart w:id="47" w:name="_Toc487810869"/>
      <w:r>
        <w:t xml:space="preserve">Figure 1. </w:t>
      </w:r>
      <w:r w:rsidRPr="005F5ED6">
        <w:t>Flow chart of institutional contacting activities</w:t>
      </w:r>
      <w:bookmarkEnd w:id="46"/>
      <w:bookmarkEnd w:id="47"/>
    </w:p>
    <w:p w14:paraId="4F32240D" w14:textId="56077144" w:rsidR="00CA104B" w:rsidRDefault="00CA104B" w:rsidP="00C620CB">
      <w:pPr>
        <w:pStyle w:val="BodyText"/>
        <w:spacing w:before="0" w:line="240" w:lineRule="auto"/>
        <w:ind w:firstLine="0"/>
      </w:pPr>
      <w:r>
        <w:object w:dxaOrig="9084" w:dyaOrig="8364" w14:anchorId="288710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25pt;height:418.5pt" o:ole="">
            <v:imagedata r:id="rId9" o:title=""/>
          </v:shape>
          <o:OLEObject Type="Embed" ProgID="Visio.Drawing.11" ShapeID="_x0000_i1025" DrawAspect="Content" ObjectID="_1577793419" r:id="rId10"/>
        </w:object>
      </w:r>
    </w:p>
    <w:p w14:paraId="2FED547C" w14:textId="7758F348" w:rsidR="00B12967" w:rsidRDefault="00B12967" w:rsidP="00B12967">
      <w:pPr>
        <w:pStyle w:val="BodyText"/>
        <w:spacing w:before="240" w:line="240" w:lineRule="auto"/>
        <w:ind w:firstLine="0"/>
        <w:rPr>
          <w:rFonts w:asciiTheme="minorHAnsi" w:hAnsiTheme="minorHAnsi"/>
        </w:rPr>
      </w:pPr>
      <w:r w:rsidRPr="00AD24F9">
        <w:rPr>
          <w:rFonts w:asciiTheme="minorHAnsi" w:hAnsiTheme="minorHAnsi"/>
        </w:rPr>
        <w:t xml:space="preserve">The choice of an appropriate coordinator at each institution will be left to the chief administrator, but institution contactors will work with the chief administrator’s office in attempting to designate the most appropriate coordinator. </w:t>
      </w:r>
      <w:r>
        <w:rPr>
          <w:rFonts w:asciiTheme="minorHAnsi" w:hAnsiTheme="minorHAnsi"/>
        </w:rPr>
        <w:t xml:space="preserve">If the institution is part of the BPS:12 </w:t>
      </w:r>
      <w:r w:rsidR="000844EE">
        <w:rPr>
          <w:rFonts w:asciiTheme="minorHAnsi" w:hAnsiTheme="minorHAnsi"/>
        </w:rPr>
        <w:t xml:space="preserve">or HSLS:09 </w:t>
      </w:r>
      <w:r>
        <w:rPr>
          <w:rFonts w:asciiTheme="minorHAnsi" w:hAnsiTheme="minorHAnsi"/>
        </w:rPr>
        <w:t>transcript collection</w:t>
      </w:r>
      <w:r w:rsidR="000844EE">
        <w:rPr>
          <w:rFonts w:asciiTheme="minorHAnsi" w:hAnsiTheme="minorHAnsi"/>
        </w:rPr>
        <w:t>s</w:t>
      </w:r>
      <w:r>
        <w:rPr>
          <w:rFonts w:asciiTheme="minorHAnsi" w:hAnsiTheme="minorHAnsi"/>
        </w:rPr>
        <w:t xml:space="preserve">, and the coordinator selected for NPSAS:18-AC is not the same person as the BPS:12 </w:t>
      </w:r>
      <w:r w:rsidR="000844EE">
        <w:rPr>
          <w:rFonts w:asciiTheme="minorHAnsi" w:hAnsiTheme="minorHAnsi"/>
        </w:rPr>
        <w:t xml:space="preserve">or HSLS:09 </w:t>
      </w:r>
      <w:r>
        <w:rPr>
          <w:rFonts w:asciiTheme="minorHAnsi" w:hAnsiTheme="minorHAnsi"/>
        </w:rPr>
        <w:t xml:space="preserve">transcript coordinator, </w:t>
      </w:r>
      <w:r>
        <w:rPr>
          <w:rFonts w:asciiTheme="minorHAnsi" w:hAnsiTheme="minorHAnsi" w:cstheme="majorBidi"/>
          <w:bCs/>
        </w:rPr>
        <w:t>the data collection contractor’s</w:t>
      </w:r>
      <w:r>
        <w:rPr>
          <w:rFonts w:asciiTheme="minorHAnsi" w:hAnsiTheme="minorHAnsi"/>
        </w:rPr>
        <w:t xml:space="preserve"> staff will contact the BPS:12</w:t>
      </w:r>
      <w:r w:rsidR="000844EE">
        <w:rPr>
          <w:rFonts w:asciiTheme="minorHAnsi" w:hAnsiTheme="minorHAnsi"/>
        </w:rPr>
        <w:t>/HSLS:09</w:t>
      </w:r>
      <w:r>
        <w:rPr>
          <w:rFonts w:asciiTheme="minorHAnsi" w:hAnsiTheme="minorHAnsi"/>
        </w:rPr>
        <w:t xml:space="preserve"> transcript coordinator and coordinate the addition of the new user to the Postsecondary Data Portal.</w:t>
      </w:r>
    </w:p>
    <w:p w14:paraId="3ECEE77F" w14:textId="77777777" w:rsidR="00B12967" w:rsidRPr="00AD24F9" w:rsidRDefault="00B12967" w:rsidP="00B12967">
      <w:pPr>
        <w:pStyle w:val="BodyText"/>
        <w:spacing w:before="0" w:line="240" w:lineRule="auto"/>
        <w:ind w:firstLine="0"/>
        <w:rPr>
          <w:rFonts w:asciiTheme="minorHAnsi" w:hAnsiTheme="minorHAnsi"/>
        </w:rPr>
      </w:pPr>
      <w:r w:rsidRPr="00AD24F9">
        <w:rPr>
          <w:rFonts w:asciiTheme="minorHAnsi" w:hAnsiTheme="minorHAnsi"/>
        </w:rPr>
        <w:t>NCES and its contractor will identify relevant multi</w:t>
      </w:r>
      <w:r>
        <w:rPr>
          <w:rFonts w:asciiTheme="minorHAnsi" w:hAnsiTheme="minorHAnsi"/>
        </w:rPr>
        <w:t>-</w:t>
      </w:r>
      <w:r w:rsidRPr="00AD24F9">
        <w:rPr>
          <w:rFonts w:asciiTheme="minorHAnsi" w:hAnsiTheme="minorHAnsi"/>
        </w:rPr>
        <w:t xml:space="preserve">campus systems within the sample </w:t>
      </w:r>
      <w:r>
        <w:rPr>
          <w:rFonts w:asciiTheme="minorHAnsi" w:hAnsiTheme="minorHAnsi"/>
        </w:rPr>
        <w:t>because</w:t>
      </w:r>
      <w:r w:rsidRPr="00AD24F9">
        <w:rPr>
          <w:rFonts w:asciiTheme="minorHAnsi" w:hAnsiTheme="minorHAnsi"/>
        </w:rPr>
        <w:t xml:space="preserve"> these systems can supply enrollment list data at the system level, minimizing burden on individual campuses. Even when it is not possible for a system to supply data</w:t>
      </w:r>
      <w:r>
        <w:rPr>
          <w:rFonts w:asciiTheme="minorHAnsi" w:hAnsiTheme="minorHAnsi"/>
        </w:rPr>
        <w:t xml:space="preserve"> from a centralized office, the system </w:t>
      </w:r>
      <w:r w:rsidRPr="00AD24F9">
        <w:rPr>
          <w:rFonts w:asciiTheme="minorHAnsi" w:hAnsiTheme="minorHAnsi"/>
        </w:rPr>
        <w:t xml:space="preserve">can lend support in other ways, such as by prompting institutions under </w:t>
      </w:r>
      <w:r>
        <w:rPr>
          <w:rFonts w:asciiTheme="minorHAnsi" w:hAnsiTheme="minorHAnsi"/>
        </w:rPr>
        <w:t>its</w:t>
      </w:r>
      <w:r w:rsidRPr="00AD24F9">
        <w:rPr>
          <w:rFonts w:asciiTheme="minorHAnsi" w:hAnsiTheme="minorHAnsi"/>
        </w:rPr>
        <w:t xml:space="preserve"> jurisdiction to participate.</w:t>
      </w:r>
    </w:p>
    <w:p w14:paraId="2293D3CC" w14:textId="25BFA1C7" w:rsidR="00B12967" w:rsidRDefault="00B12967" w:rsidP="00B12967">
      <w:pPr>
        <w:pStyle w:val="BodyText"/>
        <w:spacing w:before="0" w:line="240" w:lineRule="auto"/>
        <w:ind w:firstLine="0"/>
        <w:rPr>
          <w:rFonts w:asciiTheme="minorHAnsi" w:hAnsiTheme="minorHAnsi"/>
        </w:rPr>
      </w:pPr>
      <w:r w:rsidRPr="00AD24F9">
        <w:rPr>
          <w:rFonts w:asciiTheme="minorHAnsi" w:hAnsiTheme="minorHAnsi"/>
        </w:rPr>
        <w:t xml:space="preserve">The institution coordinator will receive a mailing containing study materials and, </w:t>
      </w:r>
      <w:r w:rsidRPr="002277CD">
        <w:rPr>
          <w:rFonts w:asciiTheme="minorHAnsi" w:hAnsiTheme="minorHAnsi"/>
        </w:rPr>
        <w:t>as a first step, will be asked to complete the online Inst</w:t>
      </w:r>
      <w:r w:rsidR="00EA2278">
        <w:rPr>
          <w:rFonts w:asciiTheme="minorHAnsi" w:hAnsiTheme="minorHAnsi"/>
        </w:rPr>
        <w:t>itution Registration Page (IRP)</w:t>
      </w:r>
      <w:r w:rsidRPr="002277CD">
        <w:rPr>
          <w:rFonts w:asciiTheme="minorHAnsi" w:hAnsiTheme="minorHAnsi"/>
        </w:rPr>
        <w:t xml:space="preserve">. </w:t>
      </w:r>
      <w:r>
        <w:rPr>
          <w:rFonts w:asciiTheme="minorHAnsi" w:hAnsiTheme="minorHAnsi"/>
        </w:rPr>
        <w:t>There will be two versions of the letter</w:t>
      </w:r>
      <w:r w:rsidR="00EA2278">
        <w:rPr>
          <w:rFonts w:asciiTheme="minorHAnsi" w:hAnsiTheme="minorHAnsi"/>
        </w:rPr>
        <w:t xml:space="preserve"> (pp. D-</w:t>
      </w:r>
      <w:r w:rsidR="00D323FB">
        <w:rPr>
          <w:rFonts w:asciiTheme="minorHAnsi" w:hAnsiTheme="minorHAnsi"/>
        </w:rPr>
        <w:t>13</w:t>
      </w:r>
      <w:r w:rsidR="00EA2278">
        <w:rPr>
          <w:rFonts w:asciiTheme="minorHAnsi" w:hAnsiTheme="minorHAnsi"/>
        </w:rPr>
        <w:t>-1</w:t>
      </w:r>
      <w:r w:rsidR="00D323FB">
        <w:rPr>
          <w:rFonts w:asciiTheme="minorHAnsi" w:hAnsiTheme="minorHAnsi"/>
        </w:rPr>
        <w:t>6</w:t>
      </w:r>
      <w:r w:rsidR="00EA2278">
        <w:rPr>
          <w:rFonts w:asciiTheme="minorHAnsi" w:hAnsiTheme="minorHAnsi"/>
        </w:rPr>
        <w:t xml:space="preserve"> in appendix D)</w:t>
      </w:r>
      <w:r>
        <w:rPr>
          <w:rFonts w:asciiTheme="minorHAnsi" w:hAnsiTheme="minorHAnsi"/>
        </w:rPr>
        <w:t xml:space="preserve">: one for coordinators who are also the coordinator for the BPS:12 </w:t>
      </w:r>
      <w:r w:rsidR="000844EE">
        <w:rPr>
          <w:rFonts w:asciiTheme="minorHAnsi" w:hAnsiTheme="minorHAnsi"/>
        </w:rPr>
        <w:t xml:space="preserve">or HSLS:09 </w:t>
      </w:r>
      <w:r>
        <w:rPr>
          <w:rFonts w:asciiTheme="minorHAnsi" w:hAnsiTheme="minorHAnsi"/>
        </w:rPr>
        <w:t xml:space="preserve">transcript collection that acknowledges their role on the other collection, and one for all other coordinators that acknowledges the BPS:12 </w:t>
      </w:r>
      <w:r w:rsidR="000844EE">
        <w:rPr>
          <w:rFonts w:asciiTheme="minorHAnsi" w:hAnsiTheme="minorHAnsi"/>
        </w:rPr>
        <w:t xml:space="preserve">and HSLS:09 </w:t>
      </w:r>
      <w:r>
        <w:rPr>
          <w:rFonts w:asciiTheme="minorHAnsi" w:hAnsiTheme="minorHAnsi"/>
        </w:rPr>
        <w:t>transcript collection</w:t>
      </w:r>
      <w:r w:rsidR="000844EE">
        <w:rPr>
          <w:rFonts w:asciiTheme="minorHAnsi" w:hAnsiTheme="minorHAnsi"/>
        </w:rPr>
        <w:t>s are</w:t>
      </w:r>
      <w:r>
        <w:rPr>
          <w:rFonts w:asciiTheme="minorHAnsi" w:hAnsiTheme="minorHAnsi"/>
        </w:rPr>
        <w:t xml:space="preserve"> occurring in 2018. </w:t>
      </w:r>
      <w:r w:rsidRPr="002277CD">
        <w:rPr>
          <w:rFonts w:asciiTheme="minorHAnsi" w:hAnsiTheme="minorHAnsi"/>
        </w:rPr>
        <w:t>The</w:t>
      </w:r>
      <w:r w:rsidRPr="00AD24F9">
        <w:rPr>
          <w:rFonts w:asciiTheme="minorHAnsi" w:hAnsiTheme="minorHAnsi"/>
        </w:rPr>
        <w:t xml:space="preserve"> primary function of the IRP is to confirm the date the institution will be able to provide the student enrollment list. Based on the information provided, a customized timeline will be created for each institution.</w:t>
      </w:r>
    </w:p>
    <w:p w14:paraId="1C30F8BA" w14:textId="37D2D013" w:rsidR="00B12967" w:rsidRPr="00B12967" w:rsidRDefault="00B12967" w:rsidP="00B12967">
      <w:pPr>
        <w:pStyle w:val="BodyText"/>
        <w:spacing w:before="0" w:line="240" w:lineRule="auto"/>
        <w:ind w:firstLine="0"/>
        <w:rPr>
          <w:rFonts w:asciiTheme="minorHAnsi" w:hAnsiTheme="minorHAnsi" w:cstheme="majorBidi"/>
        </w:rPr>
      </w:pPr>
      <w:r>
        <w:rPr>
          <w:rFonts w:asciiTheme="minorHAnsi" w:hAnsiTheme="minorHAnsi"/>
        </w:rPr>
        <w:t xml:space="preserve">After the IRP is completed, the coordinator is sent a letter requesting an </w:t>
      </w:r>
      <w:r w:rsidRPr="00AD24F9">
        <w:rPr>
          <w:rFonts w:asciiTheme="minorHAnsi" w:hAnsiTheme="minorHAnsi"/>
        </w:rPr>
        <w:t xml:space="preserve">electronic enrollment list of all students enrolled during the academic year. The earliest enrollment lists will be due in </w:t>
      </w:r>
      <w:r>
        <w:rPr>
          <w:rFonts w:asciiTheme="minorHAnsi" w:hAnsiTheme="minorHAnsi"/>
        </w:rPr>
        <w:t>April</w:t>
      </w:r>
      <w:r w:rsidRPr="00AD24F9">
        <w:rPr>
          <w:rFonts w:asciiTheme="minorHAnsi" w:hAnsiTheme="minorHAnsi"/>
        </w:rPr>
        <w:t xml:space="preserve"> 2018. As described above, the lists will serve as the frame from which the student sample will be drawn. </w:t>
      </w:r>
      <w:r>
        <w:rPr>
          <w:rFonts w:asciiTheme="minorHAnsi" w:hAnsiTheme="minorHAnsi"/>
        </w:rPr>
        <w:t>Follow-up c</w:t>
      </w:r>
      <w:r>
        <w:rPr>
          <w:rFonts w:asciiTheme="minorHAnsi" w:hAnsiTheme="minorHAnsi" w:cstheme="majorBidi"/>
        </w:rPr>
        <w:t>ontacts with institutions include telephone prompts, reminder emails, typically sent two weeks prior to a deadline, and touch-base emails typically sent when 3-4 weeks have passed with no outbound contact from study staff</w:t>
      </w:r>
      <w:r w:rsidR="00EA2278">
        <w:rPr>
          <w:rFonts w:asciiTheme="minorHAnsi" w:hAnsiTheme="minorHAnsi" w:cstheme="majorBidi"/>
        </w:rPr>
        <w:t xml:space="preserve"> (see appendix D).</w:t>
      </w:r>
    </w:p>
    <w:p w14:paraId="22B7E695" w14:textId="5843FF55" w:rsidR="0049297B" w:rsidRDefault="0049297B" w:rsidP="00B12967">
      <w:pPr>
        <w:pStyle w:val="BodyText"/>
        <w:spacing w:before="0" w:line="240" w:lineRule="auto"/>
        <w:ind w:firstLine="0"/>
        <w:rPr>
          <w:rFonts w:asciiTheme="minorHAnsi" w:hAnsiTheme="minorHAnsi"/>
          <w:bCs/>
        </w:rPr>
      </w:pPr>
      <w:r>
        <w:rPr>
          <w:rFonts w:asciiTheme="minorHAnsi" w:hAnsiTheme="minorHAnsi"/>
          <w:b/>
        </w:rPr>
        <w:t xml:space="preserve">Overlap with BPS:12 </w:t>
      </w:r>
      <w:r w:rsidR="000844EE">
        <w:rPr>
          <w:rFonts w:asciiTheme="minorHAnsi" w:hAnsiTheme="minorHAnsi"/>
          <w:b/>
        </w:rPr>
        <w:t xml:space="preserve">and HSLS:09 </w:t>
      </w:r>
      <w:r>
        <w:rPr>
          <w:rFonts w:asciiTheme="minorHAnsi" w:hAnsiTheme="minorHAnsi"/>
          <w:b/>
        </w:rPr>
        <w:t>Transcript Collection</w:t>
      </w:r>
      <w:r w:rsidR="000844EE">
        <w:rPr>
          <w:rFonts w:asciiTheme="minorHAnsi" w:hAnsiTheme="minorHAnsi"/>
          <w:b/>
        </w:rPr>
        <w:t>s</w:t>
      </w:r>
      <w:r>
        <w:rPr>
          <w:rFonts w:asciiTheme="minorHAnsi" w:hAnsiTheme="minorHAnsi"/>
          <w:b/>
        </w:rPr>
        <w:t xml:space="preserve">. </w:t>
      </w:r>
      <w:r w:rsidRPr="0049297B">
        <w:rPr>
          <w:rFonts w:asciiTheme="minorHAnsi" w:hAnsiTheme="minorHAnsi"/>
          <w:bCs/>
        </w:rPr>
        <w:t>While NPSAS:18-AC</w:t>
      </w:r>
      <w:r w:rsidR="008F2DA9">
        <w:rPr>
          <w:rFonts w:asciiTheme="minorHAnsi" w:hAnsiTheme="minorHAnsi"/>
          <w:bCs/>
        </w:rPr>
        <w:t xml:space="preserve"> and the BPS:12 and HSLS:09</w:t>
      </w:r>
      <w:r w:rsidRPr="0049297B">
        <w:rPr>
          <w:rFonts w:asciiTheme="minorHAnsi" w:hAnsiTheme="minorHAnsi"/>
          <w:bCs/>
        </w:rPr>
        <w:t xml:space="preserve"> </w:t>
      </w:r>
      <w:r>
        <w:rPr>
          <w:rFonts w:asciiTheme="minorHAnsi" w:hAnsiTheme="minorHAnsi"/>
          <w:bCs/>
        </w:rPr>
        <w:t>transcript collection</w:t>
      </w:r>
      <w:r w:rsidR="008F2DA9">
        <w:rPr>
          <w:rFonts w:asciiTheme="minorHAnsi" w:hAnsiTheme="minorHAnsi"/>
          <w:bCs/>
        </w:rPr>
        <w:t>s</w:t>
      </w:r>
      <w:r>
        <w:rPr>
          <w:rFonts w:asciiTheme="minorHAnsi" w:hAnsiTheme="minorHAnsi"/>
          <w:bCs/>
        </w:rPr>
        <w:t xml:space="preserve"> </w:t>
      </w:r>
      <w:r w:rsidRPr="00754699">
        <w:rPr>
          <w:rFonts w:asciiTheme="minorHAnsi" w:hAnsiTheme="minorHAnsi"/>
          <w:bCs/>
        </w:rPr>
        <w:t>are separate studies collecting different types of data</w:t>
      </w:r>
      <w:r>
        <w:rPr>
          <w:rFonts w:asciiTheme="minorHAnsi" w:hAnsiTheme="minorHAnsi"/>
          <w:bCs/>
        </w:rPr>
        <w:t>, it is important to note that</w:t>
      </w:r>
      <w:r w:rsidR="008840ED">
        <w:rPr>
          <w:rFonts w:asciiTheme="minorHAnsi" w:hAnsiTheme="minorHAnsi"/>
          <w:bCs/>
        </w:rPr>
        <w:t>:</w:t>
      </w:r>
      <w:r>
        <w:rPr>
          <w:rFonts w:asciiTheme="minorHAnsi" w:hAnsiTheme="minorHAnsi"/>
          <w:bCs/>
        </w:rPr>
        <w:t xml:space="preserve"> they will share the same data collection website</w:t>
      </w:r>
      <w:r w:rsidR="00D45EBF">
        <w:rPr>
          <w:rFonts w:asciiTheme="minorHAnsi" w:hAnsiTheme="minorHAnsi"/>
          <w:bCs/>
        </w:rPr>
        <w:t>, the Postsecondary Data Portal</w:t>
      </w:r>
      <w:r>
        <w:rPr>
          <w:rFonts w:asciiTheme="minorHAnsi" w:hAnsiTheme="minorHAnsi"/>
          <w:bCs/>
        </w:rPr>
        <w:t xml:space="preserve"> (described below)</w:t>
      </w:r>
      <w:r w:rsidR="008840ED">
        <w:rPr>
          <w:rFonts w:asciiTheme="minorHAnsi" w:hAnsiTheme="minorHAnsi"/>
          <w:bCs/>
        </w:rPr>
        <w:t xml:space="preserve">; </w:t>
      </w:r>
      <w:r>
        <w:rPr>
          <w:rFonts w:asciiTheme="minorHAnsi" w:hAnsiTheme="minorHAnsi"/>
          <w:bCs/>
        </w:rPr>
        <w:t>their data collection periods will overlap</w:t>
      </w:r>
      <w:r w:rsidR="008840ED">
        <w:rPr>
          <w:rFonts w:asciiTheme="minorHAnsi" w:hAnsiTheme="minorHAnsi"/>
          <w:bCs/>
        </w:rPr>
        <w:t>;</w:t>
      </w:r>
      <w:r>
        <w:rPr>
          <w:rFonts w:asciiTheme="minorHAnsi" w:hAnsiTheme="minorHAnsi"/>
          <w:bCs/>
        </w:rPr>
        <w:t xml:space="preserve"> and there will be many institutions that are sampled for </w:t>
      </w:r>
      <w:r w:rsidR="000844EE">
        <w:rPr>
          <w:rFonts w:asciiTheme="minorHAnsi" w:hAnsiTheme="minorHAnsi"/>
          <w:bCs/>
        </w:rPr>
        <w:t xml:space="preserve">multiple </w:t>
      </w:r>
      <w:r>
        <w:rPr>
          <w:rFonts w:asciiTheme="minorHAnsi" w:hAnsiTheme="minorHAnsi"/>
          <w:bCs/>
        </w:rPr>
        <w:t xml:space="preserve">studies. When NPSAS:18-AC begins data collection in 2018, BPS:12 </w:t>
      </w:r>
      <w:r w:rsidR="008F2DA9">
        <w:rPr>
          <w:rFonts w:asciiTheme="minorHAnsi" w:hAnsiTheme="minorHAnsi"/>
          <w:bCs/>
        </w:rPr>
        <w:t xml:space="preserve">and HSLS:09 </w:t>
      </w:r>
      <w:r>
        <w:rPr>
          <w:rFonts w:asciiTheme="minorHAnsi" w:hAnsiTheme="minorHAnsi"/>
          <w:bCs/>
        </w:rPr>
        <w:t xml:space="preserve">transcript collection will already be underway. As noted above, the NPSAS:18-AC contacting materials will acknowledge the BPS:12 </w:t>
      </w:r>
      <w:r w:rsidR="008F2DA9">
        <w:rPr>
          <w:rFonts w:asciiTheme="minorHAnsi" w:hAnsiTheme="minorHAnsi"/>
          <w:bCs/>
        </w:rPr>
        <w:t xml:space="preserve">and HSLS:09 </w:t>
      </w:r>
      <w:r>
        <w:rPr>
          <w:rFonts w:asciiTheme="minorHAnsi" w:hAnsiTheme="minorHAnsi"/>
          <w:bCs/>
        </w:rPr>
        <w:t>P</w:t>
      </w:r>
      <w:r w:rsidR="00375B64">
        <w:rPr>
          <w:rFonts w:asciiTheme="minorHAnsi" w:hAnsiTheme="minorHAnsi"/>
          <w:bCs/>
        </w:rPr>
        <w:t>ostsecondary Education Transcript Study (P</w:t>
      </w:r>
      <w:r>
        <w:rPr>
          <w:rFonts w:asciiTheme="minorHAnsi" w:hAnsiTheme="minorHAnsi"/>
          <w:bCs/>
        </w:rPr>
        <w:t>ETS</w:t>
      </w:r>
      <w:r w:rsidR="00375B64">
        <w:rPr>
          <w:rFonts w:asciiTheme="minorHAnsi" w:hAnsiTheme="minorHAnsi"/>
          <w:bCs/>
        </w:rPr>
        <w:t>)</w:t>
      </w:r>
      <w:r>
        <w:rPr>
          <w:rFonts w:asciiTheme="minorHAnsi" w:hAnsiTheme="minorHAnsi"/>
          <w:bCs/>
        </w:rPr>
        <w:t xml:space="preserve"> collection</w:t>
      </w:r>
      <w:r w:rsidR="008F2DA9">
        <w:rPr>
          <w:rFonts w:asciiTheme="minorHAnsi" w:hAnsiTheme="minorHAnsi"/>
          <w:bCs/>
        </w:rPr>
        <w:t>s</w:t>
      </w:r>
      <w:r>
        <w:rPr>
          <w:rFonts w:asciiTheme="minorHAnsi" w:hAnsiTheme="minorHAnsi"/>
          <w:bCs/>
        </w:rPr>
        <w:t xml:space="preserve"> for institutions that are sampled for </w:t>
      </w:r>
      <w:r w:rsidR="008F2DA9">
        <w:rPr>
          <w:rFonts w:asciiTheme="minorHAnsi" w:hAnsiTheme="minorHAnsi"/>
          <w:bCs/>
        </w:rPr>
        <w:t xml:space="preserve">multiple </w:t>
      </w:r>
      <w:r>
        <w:rPr>
          <w:rFonts w:asciiTheme="minorHAnsi" w:hAnsiTheme="minorHAnsi"/>
          <w:bCs/>
        </w:rPr>
        <w:t xml:space="preserve">studies. </w:t>
      </w:r>
      <w:r w:rsidR="009441B6">
        <w:rPr>
          <w:rFonts w:asciiTheme="minorHAnsi" w:hAnsiTheme="minorHAnsi"/>
          <w:bCs/>
        </w:rPr>
        <w:t>Figure 2</w:t>
      </w:r>
      <w:r>
        <w:rPr>
          <w:rFonts w:asciiTheme="minorHAnsi" w:hAnsiTheme="minorHAnsi"/>
          <w:bCs/>
        </w:rPr>
        <w:t xml:space="preserve"> shows the overlap between data collection activities </w:t>
      </w:r>
      <w:r w:rsidR="008F2DA9">
        <w:rPr>
          <w:rFonts w:asciiTheme="minorHAnsi" w:hAnsiTheme="minorHAnsi"/>
          <w:bCs/>
        </w:rPr>
        <w:t>across</w:t>
      </w:r>
      <w:r>
        <w:rPr>
          <w:rFonts w:asciiTheme="minorHAnsi" w:hAnsiTheme="minorHAnsi"/>
          <w:bCs/>
        </w:rPr>
        <w:t xml:space="preserve"> studies.</w:t>
      </w:r>
    </w:p>
    <w:p w14:paraId="15FD3D5F" w14:textId="43A74050" w:rsidR="0049297B" w:rsidRPr="008840ED" w:rsidRDefault="009441B6" w:rsidP="008840ED">
      <w:pPr>
        <w:pStyle w:val="TableTitle"/>
        <w:tabs>
          <w:tab w:val="left" w:pos="3960"/>
        </w:tabs>
        <w:spacing w:after="60"/>
        <w:ind w:left="994" w:hanging="994"/>
      </w:pPr>
      <w:bookmarkStart w:id="48" w:name="_Toc503451222"/>
      <w:bookmarkStart w:id="49" w:name="_Toc487810870"/>
      <w:r>
        <w:t>Figure 2</w:t>
      </w:r>
      <w:r w:rsidR="0049297B" w:rsidRPr="001417E4">
        <w:t>. NPSAS:18-AC</w:t>
      </w:r>
      <w:r w:rsidR="00885C4F">
        <w:t>,</w:t>
      </w:r>
      <w:r w:rsidR="005B1CB9">
        <w:t xml:space="preserve"> </w:t>
      </w:r>
      <w:r w:rsidR="0049297B">
        <w:t>BPS</w:t>
      </w:r>
      <w:r w:rsidR="00885C4F">
        <w:t>:12, and HSLS:09</w:t>
      </w:r>
      <w:r w:rsidR="0049297B">
        <w:t xml:space="preserve"> PETS data collection overlap</w:t>
      </w:r>
      <w:bookmarkEnd w:id="48"/>
      <w:bookmarkEnd w:id="49"/>
    </w:p>
    <w:p w14:paraId="7BF4F01F" w14:textId="606A0DCB" w:rsidR="0049297B" w:rsidRDefault="000844EE" w:rsidP="00C620CB">
      <w:pPr>
        <w:pStyle w:val="BodyText"/>
        <w:spacing w:before="0" w:line="240" w:lineRule="auto"/>
        <w:ind w:firstLine="0"/>
        <w:rPr>
          <w:rFonts w:asciiTheme="minorHAnsi" w:hAnsiTheme="minorHAnsi"/>
          <w:b/>
        </w:rPr>
      </w:pPr>
      <w:r>
        <w:object w:dxaOrig="18133" w:dyaOrig="1613" w14:anchorId="4A272D80">
          <v:shape id="_x0000_i1026" type="#_x0000_t75" style="width:517.5pt;height:138.75pt" o:ole="" o:bordertopcolor="this" o:borderleftcolor="this" o:borderbottomcolor="this" o:borderrightcolor="this">
            <v:imagedata r:id="rId11" o:title="" cropbottom="9261f" cropleft="1166f" cropright="45716f"/>
            <w10:bordertop type="single" width="8"/>
            <w10:borderleft type="single" width="8"/>
            <w10:borderbottom type="single" width="8"/>
            <w10:borderright type="single" width="8"/>
          </v:shape>
          <o:OLEObject Type="Embed" ProgID="Visio.Drawing.11" ShapeID="_x0000_i1026" DrawAspect="Content" ObjectID="_1577793420" r:id="rId12"/>
        </w:object>
      </w:r>
    </w:p>
    <w:p w14:paraId="36FBBCED" w14:textId="3730DE09" w:rsidR="008E4476" w:rsidRPr="002277CD" w:rsidRDefault="00827544" w:rsidP="005227C9">
      <w:pPr>
        <w:pStyle w:val="BodyText"/>
        <w:spacing w:before="240" w:line="240" w:lineRule="auto"/>
        <w:ind w:firstLine="0"/>
        <w:rPr>
          <w:rFonts w:asciiTheme="minorHAnsi" w:hAnsiTheme="minorHAnsi"/>
        </w:rPr>
      </w:pPr>
      <w:r w:rsidRPr="00016A6E">
        <w:rPr>
          <w:rFonts w:asciiTheme="minorHAnsi" w:hAnsiTheme="minorHAnsi"/>
          <w:b/>
        </w:rPr>
        <w:t>Matching to Administrative Databases.</w:t>
      </w:r>
      <w:r>
        <w:rPr>
          <w:rFonts w:asciiTheme="minorHAnsi" w:hAnsiTheme="minorHAnsi"/>
        </w:rPr>
        <w:t xml:space="preserve"> </w:t>
      </w:r>
      <w:r w:rsidR="005227C9">
        <w:rPr>
          <w:rFonts w:asciiTheme="minorHAnsi" w:hAnsiTheme="minorHAnsi"/>
        </w:rPr>
        <w:t>I</w:t>
      </w:r>
      <w:r w:rsidR="00854D24">
        <w:rPr>
          <w:rFonts w:asciiTheme="minorHAnsi" w:hAnsiTheme="minorHAnsi"/>
        </w:rPr>
        <w:t xml:space="preserve">nformation about </w:t>
      </w:r>
      <w:r w:rsidR="00135820">
        <w:rPr>
          <w:rFonts w:asciiTheme="minorHAnsi" w:hAnsiTheme="minorHAnsi"/>
        </w:rPr>
        <w:t xml:space="preserve">NPSAS:18-AC sampled students </w:t>
      </w:r>
      <w:r w:rsidR="005227C9">
        <w:rPr>
          <w:rFonts w:asciiTheme="minorHAnsi" w:hAnsiTheme="minorHAnsi"/>
        </w:rPr>
        <w:t xml:space="preserve">will be matched </w:t>
      </w:r>
      <w:r w:rsidR="00135820">
        <w:rPr>
          <w:rFonts w:asciiTheme="minorHAnsi" w:hAnsiTheme="minorHAnsi"/>
        </w:rPr>
        <w:t xml:space="preserve">with </w:t>
      </w:r>
      <w:r w:rsidR="00DC6DFD">
        <w:rPr>
          <w:rFonts w:asciiTheme="minorHAnsi" w:hAnsiTheme="minorHAnsi"/>
        </w:rPr>
        <w:t xml:space="preserve">their data from </w:t>
      </w:r>
      <w:r w:rsidR="00135820">
        <w:rPr>
          <w:rFonts w:asciiTheme="minorHAnsi" w:hAnsiTheme="minorHAnsi"/>
        </w:rPr>
        <w:t>se</w:t>
      </w:r>
      <w:r w:rsidR="005227C9">
        <w:rPr>
          <w:rFonts w:asciiTheme="minorHAnsi" w:hAnsiTheme="minorHAnsi"/>
        </w:rPr>
        <w:t xml:space="preserve">veral administrative databases. </w:t>
      </w:r>
      <w:r w:rsidR="0062738F">
        <w:t xml:space="preserve">The administrative data sources for NPSAS:18-AC will be the National Student Loan Data System (NSLDS), Central Processing System (CPS) including the </w:t>
      </w:r>
      <w:r w:rsidR="0062738F" w:rsidRPr="00477529">
        <w:t>Free Application for Federal Student Aid (FAFSA)</w:t>
      </w:r>
      <w:r w:rsidR="0062738F">
        <w:t>, National Student Clearinghouse (NSC), Veterans Benefits Administration (VBA), ACT and SAT test scores, and student records obtained directly from postsecondary institutions</w:t>
      </w:r>
      <w:r w:rsidR="0062738F">
        <w:rPr>
          <w:rStyle w:val="FootnoteReference"/>
        </w:rPr>
        <w:footnoteReference w:id="10"/>
      </w:r>
      <w:r w:rsidR="0062738F">
        <w:t xml:space="preserve">. </w:t>
      </w:r>
      <w:r w:rsidR="0062738F">
        <w:rPr>
          <w:rFonts w:asciiTheme="minorHAnsi" w:hAnsiTheme="minorHAnsi"/>
        </w:rPr>
        <w:t>Further</w:t>
      </w:r>
      <w:r w:rsidR="005227C9">
        <w:rPr>
          <w:rFonts w:asciiTheme="minorHAnsi" w:hAnsiTheme="minorHAnsi"/>
        </w:rPr>
        <w:t xml:space="preserve"> details </w:t>
      </w:r>
      <w:r w:rsidR="0062738F">
        <w:rPr>
          <w:rFonts w:asciiTheme="minorHAnsi" w:hAnsiTheme="minorHAnsi"/>
        </w:rPr>
        <w:t>about</w:t>
      </w:r>
      <w:r w:rsidR="005227C9">
        <w:rPr>
          <w:rFonts w:asciiTheme="minorHAnsi" w:hAnsiTheme="minorHAnsi"/>
        </w:rPr>
        <w:t xml:space="preserve"> these matches are provided in the Supporting Statement Part A (sections A.1, A.2, A.10, and A.11) and </w:t>
      </w:r>
      <w:r w:rsidR="0062738F">
        <w:rPr>
          <w:rFonts w:asciiTheme="minorHAnsi" w:hAnsiTheme="minorHAnsi"/>
        </w:rPr>
        <w:t xml:space="preserve">in </w:t>
      </w:r>
      <w:r w:rsidR="005227C9">
        <w:rPr>
          <w:rFonts w:asciiTheme="minorHAnsi" w:hAnsiTheme="minorHAnsi"/>
        </w:rPr>
        <w:t>appendix C of this submission.</w:t>
      </w:r>
    </w:p>
    <w:p w14:paraId="1D1AC752" w14:textId="7A3A1CB8" w:rsidR="00DC6DFD" w:rsidRDefault="008E4476" w:rsidP="003112E3">
      <w:pPr>
        <w:pStyle w:val="BodyText"/>
        <w:spacing w:before="0" w:line="240" w:lineRule="auto"/>
        <w:ind w:firstLine="0"/>
        <w:rPr>
          <w:rFonts w:asciiTheme="minorHAnsi" w:hAnsiTheme="minorHAnsi" w:cstheme="majorBidi"/>
        </w:rPr>
      </w:pPr>
      <w:bookmarkStart w:id="50" w:name="_Toc281573446"/>
      <w:r w:rsidRPr="00016A6E">
        <w:rPr>
          <w:rFonts w:asciiTheme="minorHAnsi" w:hAnsiTheme="minorHAnsi" w:cstheme="majorBidi"/>
          <w:b/>
          <w:iCs/>
        </w:rPr>
        <w:t>P</w:t>
      </w:r>
      <w:r w:rsidR="00F62B26" w:rsidRPr="00016A6E">
        <w:rPr>
          <w:rFonts w:asciiTheme="minorHAnsi" w:hAnsiTheme="minorHAnsi" w:cstheme="majorBidi"/>
          <w:b/>
          <w:iCs/>
        </w:rPr>
        <w:t xml:space="preserve">ostsecondary </w:t>
      </w:r>
      <w:r w:rsidRPr="00016A6E">
        <w:rPr>
          <w:rFonts w:asciiTheme="minorHAnsi" w:hAnsiTheme="minorHAnsi" w:cstheme="majorBidi"/>
          <w:b/>
          <w:iCs/>
        </w:rPr>
        <w:t>D</w:t>
      </w:r>
      <w:r w:rsidR="00F62B26" w:rsidRPr="00016A6E">
        <w:rPr>
          <w:rFonts w:asciiTheme="minorHAnsi" w:hAnsiTheme="minorHAnsi" w:cstheme="majorBidi"/>
          <w:b/>
          <w:iCs/>
        </w:rPr>
        <w:t xml:space="preserve">ata </w:t>
      </w:r>
      <w:r w:rsidRPr="00016A6E">
        <w:rPr>
          <w:rFonts w:asciiTheme="minorHAnsi" w:hAnsiTheme="minorHAnsi" w:cstheme="majorBidi"/>
          <w:b/>
          <w:iCs/>
        </w:rPr>
        <w:t>P</w:t>
      </w:r>
      <w:r w:rsidR="00F62B26" w:rsidRPr="00016A6E">
        <w:rPr>
          <w:rFonts w:asciiTheme="minorHAnsi" w:hAnsiTheme="minorHAnsi" w:cstheme="majorBidi"/>
          <w:b/>
          <w:iCs/>
        </w:rPr>
        <w:t>ortal (PDP)</w:t>
      </w:r>
      <w:r w:rsidRPr="00016A6E">
        <w:rPr>
          <w:rFonts w:asciiTheme="minorHAnsi" w:hAnsiTheme="minorHAnsi" w:cstheme="majorBidi"/>
          <w:b/>
          <w:iCs/>
        </w:rPr>
        <w:t>.</w:t>
      </w:r>
      <w:r w:rsidRPr="00AD24F9">
        <w:rPr>
          <w:rFonts w:asciiTheme="minorHAnsi" w:hAnsiTheme="minorHAnsi" w:cstheme="majorBidi"/>
        </w:rPr>
        <w:t xml:space="preserve"> </w:t>
      </w:r>
      <w:r w:rsidR="003112E3">
        <w:rPr>
          <w:rFonts w:asciiTheme="minorHAnsi" w:hAnsiTheme="minorHAnsi" w:cstheme="majorBidi"/>
        </w:rPr>
        <w:t xml:space="preserve">NPSAS:18-AC data collection will utilize NCES’ Postsecondary Data Portal (PDP) website. The PDP is used across NCES postsecondary institution data collections. The flexible design of the website allows it to be used for multiple studies that are in data collection at the same time, even when those studies collect different types of data. For example, when NPSAS:18-AC begins enrollment list and student records collection in 2018, the BPS:12 </w:t>
      </w:r>
      <w:r w:rsidR="000844EE">
        <w:rPr>
          <w:rFonts w:asciiTheme="minorHAnsi" w:hAnsiTheme="minorHAnsi" w:cstheme="majorBidi"/>
        </w:rPr>
        <w:t xml:space="preserve">and HSLS:09 </w:t>
      </w:r>
      <w:r w:rsidR="003112E3">
        <w:rPr>
          <w:rFonts w:asciiTheme="minorHAnsi" w:hAnsiTheme="minorHAnsi" w:cstheme="majorBidi"/>
        </w:rPr>
        <w:t>transcript collection</w:t>
      </w:r>
      <w:r w:rsidR="000844EE">
        <w:rPr>
          <w:rFonts w:asciiTheme="minorHAnsi" w:hAnsiTheme="minorHAnsi" w:cstheme="majorBidi"/>
        </w:rPr>
        <w:t>s</w:t>
      </w:r>
      <w:r w:rsidR="003112E3">
        <w:rPr>
          <w:rFonts w:asciiTheme="minorHAnsi" w:hAnsiTheme="minorHAnsi" w:cstheme="majorBidi"/>
        </w:rPr>
        <w:t xml:space="preserve"> will already be underway using the PDP to collect postsecondary transcripts.</w:t>
      </w:r>
    </w:p>
    <w:p w14:paraId="6205D8A4" w14:textId="3E5D9551" w:rsidR="003112E3" w:rsidRDefault="003112E3" w:rsidP="003112E3">
      <w:pPr>
        <w:pStyle w:val="BodyText"/>
        <w:spacing w:before="0" w:line="240" w:lineRule="auto"/>
        <w:ind w:firstLine="0"/>
        <w:rPr>
          <w:rFonts w:asciiTheme="minorHAnsi" w:hAnsiTheme="minorHAnsi" w:cstheme="majorBidi"/>
        </w:rPr>
      </w:pPr>
      <w:r>
        <w:rPr>
          <w:rFonts w:asciiTheme="minorHAnsi" w:hAnsiTheme="minorHAnsi" w:cstheme="majorBidi"/>
        </w:rPr>
        <w:t>There are two types of content on the PDP: general-purpose content and study-specific content. General-purpose pages provide overview information about NCES postsecondary studies and use of the website. These pages are identified in appendix D as the “pre-login” pages (starting on page D-</w:t>
      </w:r>
      <w:r w:rsidR="00A962B5">
        <w:rPr>
          <w:rFonts w:asciiTheme="minorHAnsi" w:hAnsiTheme="minorHAnsi" w:cstheme="majorBidi"/>
        </w:rPr>
        <w:t>4</w:t>
      </w:r>
      <w:r w:rsidR="00D323FB">
        <w:rPr>
          <w:rFonts w:asciiTheme="minorHAnsi" w:hAnsiTheme="minorHAnsi" w:cstheme="majorBidi"/>
        </w:rPr>
        <w:t>1</w:t>
      </w:r>
      <w:r>
        <w:rPr>
          <w:rFonts w:asciiTheme="minorHAnsi" w:hAnsiTheme="minorHAnsi" w:cstheme="majorBidi"/>
        </w:rPr>
        <w:t>). Once a user logs in, they see pages with study-specific content. These pages are identified in appendix D as the “after login” content (starting on page D-</w:t>
      </w:r>
      <w:r w:rsidR="00D323FB">
        <w:rPr>
          <w:rFonts w:asciiTheme="minorHAnsi" w:hAnsiTheme="minorHAnsi" w:cstheme="majorBidi"/>
        </w:rPr>
        <w:t>49</w:t>
      </w:r>
      <w:r>
        <w:rPr>
          <w:rFonts w:asciiTheme="minorHAnsi" w:hAnsiTheme="minorHAnsi" w:cstheme="majorBidi"/>
        </w:rPr>
        <w:t>). The NPSAS:18-AC study-specific content includes FAQs about NPSAS:18-AC and instructions for providing data (appendix D), and the student records instrument (appendix E).</w:t>
      </w:r>
    </w:p>
    <w:p w14:paraId="4253973C" w14:textId="27361C8B" w:rsidR="00DC6DFD" w:rsidRDefault="003112E3" w:rsidP="00A8543F">
      <w:pPr>
        <w:pStyle w:val="BodyText"/>
        <w:spacing w:before="0" w:line="240" w:lineRule="auto"/>
        <w:ind w:firstLine="0"/>
      </w:pPr>
      <w:r>
        <w:rPr>
          <w:rFonts w:asciiTheme="minorHAnsi" w:hAnsiTheme="minorHAnsi" w:cstheme="majorBidi"/>
        </w:rPr>
        <w:t xml:space="preserve">Institutions </w:t>
      </w:r>
      <w:r w:rsidR="00A8543F">
        <w:rPr>
          <w:rFonts w:asciiTheme="minorHAnsi" w:hAnsiTheme="minorHAnsi" w:cstheme="majorBidi"/>
        </w:rPr>
        <w:t xml:space="preserve">see study-specific PDP content </w:t>
      </w:r>
      <w:r w:rsidR="00A8543F">
        <w:rPr>
          <w:rFonts w:asciiTheme="minorHAnsi" w:hAnsiTheme="minorHAnsi" w:cstheme="majorBidi"/>
          <w:i/>
          <w:iCs/>
        </w:rPr>
        <w:t xml:space="preserve">only </w:t>
      </w:r>
      <w:r w:rsidR="00A8543F">
        <w:rPr>
          <w:rFonts w:asciiTheme="minorHAnsi" w:hAnsiTheme="minorHAnsi" w:cstheme="majorBidi"/>
        </w:rPr>
        <w:t xml:space="preserve">for the study or studies for which they have been sampled. For example, institutions </w:t>
      </w:r>
      <w:r>
        <w:rPr>
          <w:rFonts w:asciiTheme="minorHAnsi" w:hAnsiTheme="minorHAnsi" w:cstheme="majorBidi"/>
        </w:rPr>
        <w:t xml:space="preserve">sampled for </w:t>
      </w:r>
      <w:r w:rsidR="00A8543F">
        <w:rPr>
          <w:rFonts w:asciiTheme="minorHAnsi" w:hAnsiTheme="minorHAnsi" w:cstheme="majorBidi"/>
        </w:rPr>
        <w:t xml:space="preserve">both </w:t>
      </w:r>
      <w:r>
        <w:rPr>
          <w:rFonts w:asciiTheme="minorHAnsi" w:hAnsiTheme="minorHAnsi" w:cstheme="majorBidi"/>
        </w:rPr>
        <w:t xml:space="preserve">NPSAS:18-AC </w:t>
      </w:r>
      <w:r>
        <w:rPr>
          <w:rFonts w:asciiTheme="minorHAnsi" w:hAnsiTheme="minorHAnsi" w:cstheme="majorBidi"/>
          <w:i/>
          <w:iCs/>
        </w:rPr>
        <w:t xml:space="preserve">and </w:t>
      </w:r>
      <w:r>
        <w:rPr>
          <w:rFonts w:asciiTheme="minorHAnsi" w:hAnsiTheme="minorHAnsi" w:cstheme="majorBidi"/>
        </w:rPr>
        <w:t>BPS:12</w:t>
      </w:r>
      <w:r w:rsidR="000844EE">
        <w:rPr>
          <w:rFonts w:asciiTheme="minorHAnsi" w:hAnsiTheme="minorHAnsi" w:cstheme="majorBidi"/>
        </w:rPr>
        <w:t>/HSLS:09</w:t>
      </w:r>
      <w:r>
        <w:rPr>
          <w:rFonts w:asciiTheme="minorHAnsi" w:hAnsiTheme="minorHAnsi" w:cstheme="majorBidi"/>
        </w:rPr>
        <w:t xml:space="preserve"> PETS will see the </w:t>
      </w:r>
      <w:r w:rsidR="00A8543F">
        <w:rPr>
          <w:rFonts w:asciiTheme="minorHAnsi" w:hAnsiTheme="minorHAnsi" w:cstheme="majorBidi"/>
        </w:rPr>
        <w:t xml:space="preserve">NPSAS:18-AC FAQs </w:t>
      </w:r>
      <w:r w:rsidR="00DC6DFD">
        <w:rPr>
          <w:rFonts w:asciiTheme="minorHAnsi" w:hAnsiTheme="minorHAnsi" w:cstheme="majorBidi"/>
        </w:rPr>
        <w:t xml:space="preserve">that are </w:t>
      </w:r>
      <w:r w:rsidR="00A8543F">
        <w:rPr>
          <w:rFonts w:asciiTheme="minorHAnsi" w:hAnsiTheme="minorHAnsi" w:cstheme="majorBidi"/>
        </w:rPr>
        <w:t>included in appendix D of this submission, plus the BPS PETS FAQs approved as part of the BPS:12/17 clearance package (</w:t>
      </w:r>
      <w:r w:rsidR="00A8543F" w:rsidRPr="002C4BD0">
        <w:t>OMB #1850-0631 v.10</w:t>
      </w:r>
      <w:r w:rsidR="00A8543F">
        <w:t>)</w:t>
      </w:r>
      <w:r w:rsidR="00B86E93">
        <w:t xml:space="preserve"> and/or the FAQs approved as part of the HSLS:09 clearance package (OMB </w:t>
      </w:r>
      <w:r w:rsidR="00B86E93" w:rsidRPr="002C4BD0">
        <w:t>#1850-0852 v.17</w:t>
      </w:r>
      <w:r w:rsidR="00B86E93">
        <w:t>)</w:t>
      </w:r>
      <w:r w:rsidR="00A8543F">
        <w:t>. Institutions that are sampled for NPSAS:18-AC only will see the NPSAS:18-AC FAQs, but not the BPS</w:t>
      </w:r>
      <w:r w:rsidR="00B86E93">
        <w:t>:12</w:t>
      </w:r>
      <w:r w:rsidR="00A8543F">
        <w:t xml:space="preserve"> </w:t>
      </w:r>
      <w:r w:rsidR="00B86E93">
        <w:t xml:space="preserve">or HSLS:09 </w:t>
      </w:r>
      <w:r w:rsidR="00A8543F">
        <w:t>PETS FAQs.</w:t>
      </w:r>
    </w:p>
    <w:p w14:paraId="3BF5245F" w14:textId="275D535B" w:rsidR="008E4476" w:rsidRDefault="00A8543F" w:rsidP="00C620CB">
      <w:pPr>
        <w:pStyle w:val="BodyText"/>
        <w:spacing w:before="0" w:line="240" w:lineRule="auto"/>
        <w:ind w:firstLine="0"/>
        <w:rPr>
          <w:rFonts w:asciiTheme="minorHAnsi" w:hAnsiTheme="minorHAnsi" w:cstheme="majorBidi"/>
        </w:rPr>
      </w:pPr>
      <w:r w:rsidRPr="00754699">
        <w:rPr>
          <w:rFonts w:asciiTheme="minorHAnsi" w:hAnsiTheme="minorHAnsi" w:cstheme="majorBidi"/>
          <w:i/>
          <w:iCs/>
        </w:rPr>
        <w:t xml:space="preserve">Data </w:t>
      </w:r>
      <w:r>
        <w:rPr>
          <w:rFonts w:asciiTheme="minorHAnsi" w:hAnsiTheme="minorHAnsi" w:cstheme="majorBidi"/>
          <w:i/>
          <w:iCs/>
        </w:rPr>
        <w:t>S</w:t>
      </w:r>
      <w:r w:rsidRPr="00754699">
        <w:rPr>
          <w:rFonts w:asciiTheme="minorHAnsi" w:hAnsiTheme="minorHAnsi" w:cstheme="majorBidi"/>
          <w:i/>
          <w:iCs/>
        </w:rPr>
        <w:t>ecurity</w:t>
      </w:r>
      <w:r>
        <w:rPr>
          <w:rFonts w:asciiTheme="minorHAnsi" w:hAnsiTheme="minorHAnsi" w:cstheme="majorBidi"/>
          <w:i/>
          <w:iCs/>
        </w:rPr>
        <w:t xml:space="preserve"> on the PDP</w:t>
      </w:r>
      <w:r w:rsidRPr="00754699">
        <w:rPr>
          <w:rFonts w:asciiTheme="minorHAnsi" w:hAnsiTheme="minorHAnsi" w:cstheme="majorBidi"/>
          <w:i/>
          <w:iCs/>
        </w:rPr>
        <w:t>.</w:t>
      </w:r>
      <w:r>
        <w:rPr>
          <w:rFonts w:asciiTheme="minorHAnsi" w:hAnsiTheme="minorHAnsi" w:cstheme="majorBidi"/>
        </w:rPr>
        <w:t xml:space="preserve"> </w:t>
      </w:r>
      <w:r w:rsidR="008E4476" w:rsidRPr="00AD24F9">
        <w:rPr>
          <w:rFonts w:asciiTheme="minorHAnsi" w:hAnsiTheme="minorHAnsi" w:cstheme="majorBidi"/>
        </w:rPr>
        <w:t>Because of the risks associated with transmitting confidential data on the internet, the latest technology systems will be incorporated into the web application to ensure strict adherence to NCES confidentiality guidelines. The web server will include a Secure</w:t>
      </w:r>
      <w:r w:rsidR="00072248">
        <w:rPr>
          <w:rFonts w:asciiTheme="minorHAnsi" w:hAnsiTheme="minorHAnsi" w:cstheme="majorBidi"/>
        </w:rPr>
        <w:t xml:space="preserve"> </w:t>
      </w:r>
      <w:r w:rsidR="008E4476" w:rsidRPr="00AD24F9">
        <w:rPr>
          <w:rFonts w:asciiTheme="minorHAnsi" w:hAnsiTheme="minorHAnsi" w:cstheme="majorBidi"/>
        </w:rPr>
        <w:t xml:space="preserve">Sockets Layer (SSL) </w:t>
      </w:r>
      <w:r w:rsidR="00072248">
        <w:rPr>
          <w:rFonts w:asciiTheme="minorHAnsi" w:hAnsiTheme="minorHAnsi" w:cstheme="majorBidi"/>
        </w:rPr>
        <w:t>c</w:t>
      </w:r>
      <w:r w:rsidR="00072248" w:rsidRPr="00AD24F9">
        <w:rPr>
          <w:rFonts w:asciiTheme="minorHAnsi" w:hAnsiTheme="minorHAnsi" w:cstheme="majorBidi"/>
        </w:rPr>
        <w:t>ertificate</w:t>
      </w:r>
      <w:r w:rsidR="008E4476" w:rsidRPr="00AD24F9">
        <w:rPr>
          <w:rFonts w:asciiTheme="minorHAnsi" w:hAnsiTheme="minorHAnsi" w:cstheme="majorBidi"/>
        </w:rPr>
        <w:t xml:space="preserve"> and will be configured to force encrypted data transmission over the Internet. All data</w:t>
      </w:r>
      <w:r w:rsidR="00072248">
        <w:rPr>
          <w:rFonts w:asciiTheme="minorHAnsi" w:hAnsiTheme="minorHAnsi" w:cstheme="majorBidi"/>
        </w:rPr>
        <w:t>-</w:t>
      </w:r>
      <w:r w:rsidR="008E4476" w:rsidRPr="00AD24F9">
        <w:rPr>
          <w:rFonts w:asciiTheme="minorHAnsi" w:hAnsiTheme="minorHAnsi" w:cstheme="majorBidi"/>
        </w:rPr>
        <w:t xml:space="preserve">entry modules on this site will be password protected, requiring the user to log in to the site before accessing confidential data. </w:t>
      </w:r>
      <w:r w:rsidR="008E4476" w:rsidRPr="00AD24F9">
        <w:rPr>
          <w:rFonts w:asciiTheme="minorHAnsi" w:hAnsiTheme="minorHAnsi"/>
        </w:rPr>
        <w:t xml:space="preserve">To access restricted pages containing confidential information, the user will be required to log in by entering an assigned ID number and password. Through the PDP, the primary coordinators at the institution will be able to use a </w:t>
      </w:r>
      <w:r w:rsidR="00072248">
        <w:rPr>
          <w:rFonts w:asciiTheme="minorHAnsi" w:hAnsiTheme="minorHAnsi"/>
        </w:rPr>
        <w:t>“</w:t>
      </w:r>
      <w:r w:rsidR="008E4476" w:rsidRPr="00AD24F9">
        <w:rPr>
          <w:rFonts w:asciiTheme="minorHAnsi" w:hAnsiTheme="minorHAnsi"/>
        </w:rPr>
        <w:t>Manage Users</w:t>
      </w:r>
      <w:r w:rsidR="00072248">
        <w:rPr>
          <w:rFonts w:asciiTheme="minorHAnsi" w:hAnsiTheme="minorHAnsi"/>
        </w:rPr>
        <w:t>”</w:t>
      </w:r>
      <w:r w:rsidR="008E4476" w:rsidRPr="00AD24F9">
        <w:rPr>
          <w:rFonts w:asciiTheme="minorHAnsi" w:hAnsiTheme="minorHAnsi"/>
        </w:rPr>
        <w:t xml:space="preserve"> link, available only to them, to add and delete users, as well as reset passwords and assign roles. Each user will have a unique user</w:t>
      </w:r>
      <w:r w:rsidR="00072248">
        <w:rPr>
          <w:rFonts w:asciiTheme="minorHAnsi" w:hAnsiTheme="minorHAnsi"/>
        </w:rPr>
        <w:t xml:space="preserve"> </w:t>
      </w:r>
      <w:r w:rsidR="008E4476" w:rsidRPr="00AD24F9">
        <w:rPr>
          <w:rFonts w:asciiTheme="minorHAnsi" w:hAnsiTheme="minorHAnsi"/>
        </w:rPr>
        <w:t>name and will be assigned to one e</w:t>
      </w:r>
      <w:r w:rsidR="00072248">
        <w:rPr>
          <w:rFonts w:asciiTheme="minorHAnsi" w:hAnsiTheme="minorHAnsi"/>
        </w:rPr>
        <w:t>-</w:t>
      </w:r>
      <w:r w:rsidR="008E4476" w:rsidRPr="00AD24F9">
        <w:rPr>
          <w:rFonts w:asciiTheme="minorHAnsi" w:hAnsiTheme="minorHAnsi"/>
        </w:rPr>
        <w:t xml:space="preserve">mail address. Upon account creation, the new user will be sent a temporary password by the PDP. Upon logging in for the first time, the new user will be required to create a new password. </w:t>
      </w:r>
      <w:r w:rsidR="008E4476" w:rsidRPr="00AD24F9">
        <w:rPr>
          <w:rFonts w:asciiTheme="minorHAnsi" w:hAnsiTheme="minorHAnsi" w:cstheme="majorBidi"/>
        </w:rPr>
        <w:t>The system automatically will log out the user after 20 minutes of inactivity. Files uploaded to the secure website will be stored in a secure project folder that is accessible and visible to authorized project staff</w:t>
      </w:r>
      <w:r w:rsidR="00072248">
        <w:rPr>
          <w:rFonts w:asciiTheme="minorHAnsi" w:hAnsiTheme="minorHAnsi" w:cstheme="majorBidi"/>
        </w:rPr>
        <w:t xml:space="preserve"> </w:t>
      </w:r>
      <w:r w:rsidR="00072248" w:rsidRPr="00AD24F9">
        <w:rPr>
          <w:rFonts w:asciiTheme="minorHAnsi" w:hAnsiTheme="minorHAnsi" w:cstheme="majorBidi"/>
        </w:rPr>
        <w:t>only</w:t>
      </w:r>
      <w:r w:rsidR="008E4476" w:rsidRPr="00AD24F9">
        <w:rPr>
          <w:rFonts w:asciiTheme="minorHAnsi" w:hAnsiTheme="minorHAnsi" w:cstheme="majorBidi"/>
        </w:rPr>
        <w:t>.</w:t>
      </w:r>
    </w:p>
    <w:p w14:paraId="468132E4" w14:textId="1BC07E4D" w:rsidR="008E4476" w:rsidRPr="00AD24F9" w:rsidRDefault="008E4476" w:rsidP="00C620CB">
      <w:pPr>
        <w:pStyle w:val="BodyText"/>
        <w:spacing w:before="0" w:line="240" w:lineRule="auto"/>
        <w:ind w:firstLine="0"/>
        <w:rPr>
          <w:rFonts w:asciiTheme="minorHAnsi" w:hAnsiTheme="minorHAnsi" w:cstheme="majorBidi"/>
          <w:bCs/>
        </w:rPr>
      </w:pPr>
      <w:bookmarkStart w:id="51" w:name="_Toc430962813"/>
      <w:bookmarkStart w:id="52" w:name="_Toc433779230"/>
      <w:r w:rsidRPr="00AD24F9">
        <w:rPr>
          <w:rFonts w:asciiTheme="minorHAnsi" w:hAnsiTheme="minorHAnsi" w:cstheme="majorBidi"/>
          <w:b/>
          <w:bCs/>
        </w:rPr>
        <w:t>Student Records Collection</w:t>
      </w:r>
      <w:bookmarkEnd w:id="51"/>
      <w:bookmarkEnd w:id="52"/>
      <w:r w:rsidRPr="00AD24F9">
        <w:rPr>
          <w:rFonts w:asciiTheme="minorHAnsi" w:hAnsiTheme="minorHAnsi" w:cstheme="majorBidi"/>
        </w:rPr>
        <w:t xml:space="preserve">. </w:t>
      </w:r>
      <w:r w:rsidR="00517F8B">
        <w:rPr>
          <w:rFonts w:asciiTheme="minorHAnsi" w:hAnsiTheme="minorHAnsi" w:cstheme="majorBidi"/>
        </w:rPr>
        <w:t>After the students are sampled, t</w:t>
      </w:r>
      <w:r w:rsidR="00517F8B" w:rsidRPr="00AD24F9">
        <w:rPr>
          <w:rFonts w:asciiTheme="minorHAnsi" w:hAnsiTheme="minorHAnsi"/>
        </w:rPr>
        <w:t>he institution coordinator will receive a mailing containing</w:t>
      </w:r>
      <w:r w:rsidR="00517F8B" w:rsidRPr="00AD24F9" w:rsidDel="00517F8B">
        <w:rPr>
          <w:rFonts w:asciiTheme="minorHAnsi" w:hAnsiTheme="minorHAnsi" w:cstheme="majorBidi"/>
          <w:bCs/>
        </w:rPr>
        <w:t xml:space="preserve"> </w:t>
      </w:r>
      <w:r w:rsidR="00517F8B">
        <w:rPr>
          <w:rFonts w:asciiTheme="minorHAnsi" w:hAnsiTheme="minorHAnsi" w:cstheme="majorBidi"/>
          <w:bCs/>
        </w:rPr>
        <w:t xml:space="preserve">a letter requesting student records data for those </w:t>
      </w:r>
      <w:r w:rsidR="00D45EBF">
        <w:rPr>
          <w:rFonts w:asciiTheme="minorHAnsi" w:hAnsiTheme="minorHAnsi" w:cstheme="majorBidi"/>
          <w:bCs/>
        </w:rPr>
        <w:t xml:space="preserve">sampled </w:t>
      </w:r>
      <w:r w:rsidR="00517F8B">
        <w:rPr>
          <w:rFonts w:asciiTheme="minorHAnsi" w:hAnsiTheme="minorHAnsi" w:cstheme="majorBidi"/>
          <w:bCs/>
        </w:rPr>
        <w:t xml:space="preserve">students. </w:t>
      </w:r>
      <w:r w:rsidR="00C32FFE">
        <w:rPr>
          <w:rFonts w:asciiTheme="minorHAnsi" w:hAnsiTheme="minorHAnsi" w:cstheme="majorBidi"/>
          <w:bCs/>
        </w:rPr>
        <w:t>The data collection contractor’s</w:t>
      </w:r>
      <w:r w:rsidRPr="00AD24F9">
        <w:rPr>
          <w:rFonts w:asciiTheme="minorHAnsi" w:hAnsiTheme="minorHAnsi" w:cstheme="majorBidi"/>
          <w:bCs/>
        </w:rPr>
        <w:t xml:space="preserve"> institution contacting staff will follow up </w:t>
      </w:r>
      <w:r w:rsidR="00517F8B" w:rsidRPr="00AD24F9">
        <w:rPr>
          <w:rFonts w:asciiTheme="minorHAnsi" w:hAnsiTheme="minorHAnsi" w:cstheme="majorBidi"/>
        </w:rPr>
        <w:t>after the mailing to ensure receipt of the package and to answer any questions.</w:t>
      </w:r>
      <w:r w:rsidR="00517F8B">
        <w:rPr>
          <w:rFonts w:asciiTheme="minorHAnsi" w:hAnsiTheme="minorHAnsi" w:cstheme="majorBidi"/>
        </w:rPr>
        <w:t xml:space="preserve"> </w:t>
      </w:r>
      <w:r w:rsidR="00C65F56">
        <w:rPr>
          <w:rFonts w:asciiTheme="minorHAnsi" w:hAnsiTheme="minorHAnsi" w:cstheme="majorBidi"/>
        </w:rPr>
        <w:t>Follow</w:t>
      </w:r>
      <w:r w:rsidR="00163FF2">
        <w:rPr>
          <w:rFonts w:asciiTheme="minorHAnsi" w:hAnsiTheme="minorHAnsi" w:cstheme="majorBidi"/>
        </w:rPr>
        <w:t>-up</w:t>
      </w:r>
      <w:r w:rsidR="00C65F56">
        <w:rPr>
          <w:rFonts w:asciiTheme="minorHAnsi" w:hAnsiTheme="minorHAnsi" w:cstheme="majorBidi"/>
        </w:rPr>
        <w:t xml:space="preserve"> </w:t>
      </w:r>
      <w:r w:rsidR="00517F8B">
        <w:rPr>
          <w:rFonts w:asciiTheme="minorHAnsi" w:hAnsiTheme="minorHAnsi" w:cstheme="majorBidi"/>
        </w:rPr>
        <w:t>contacts include telephone prompts, reminder emails, typically sent two weeks prior to a deadline, and touch-base emails typically sent when 3-4 weeks have passed with no outbound contact from study staff.</w:t>
      </w:r>
      <w:r w:rsidR="00DC6DFD">
        <w:rPr>
          <w:rFonts w:asciiTheme="minorHAnsi" w:hAnsiTheme="minorHAnsi" w:cstheme="majorBidi"/>
        </w:rPr>
        <w:t xml:space="preserve"> </w:t>
      </w:r>
      <w:r w:rsidR="00517F8B">
        <w:rPr>
          <w:rFonts w:asciiTheme="minorHAnsi" w:hAnsiTheme="minorHAnsi" w:cstheme="majorBidi"/>
        </w:rPr>
        <w:t xml:space="preserve">Contact materials are included in </w:t>
      </w:r>
      <w:r w:rsidR="00517F8B" w:rsidRPr="002277CD">
        <w:rPr>
          <w:rFonts w:asciiTheme="minorHAnsi" w:hAnsiTheme="minorHAnsi"/>
        </w:rPr>
        <w:t>appendix D</w:t>
      </w:r>
      <w:r w:rsidR="00517F8B">
        <w:rPr>
          <w:rFonts w:asciiTheme="minorHAnsi" w:hAnsiTheme="minorHAnsi"/>
        </w:rPr>
        <w:t>.</w:t>
      </w:r>
      <w:r w:rsidR="00DC6DFD">
        <w:rPr>
          <w:rFonts w:asciiTheme="minorHAnsi" w:hAnsiTheme="minorHAnsi"/>
        </w:rPr>
        <w:t xml:space="preserve"> </w:t>
      </w:r>
      <w:r w:rsidR="00C65F56">
        <w:rPr>
          <w:rFonts w:asciiTheme="minorHAnsi" w:hAnsiTheme="minorHAnsi" w:cstheme="majorBidi"/>
          <w:bCs/>
        </w:rPr>
        <w:t>S</w:t>
      </w:r>
      <w:r w:rsidRPr="00AD24F9">
        <w:rPr>
          <w:rFonts w:asciiTheme="minorHAnsi" w:hAnsiTheme="minorHAnsi" w:cstheme="majorBidi"/>
          <w:bCs/>
        </w:rPr>
        <w:t xml:space="preserve">taff will </w:t>
      </w:r>
      <w:r w:rsidR="00C65F56">
        <w:rPr>
          <w:rFonts w:asciiTheme="minorHAnsi" w:hAnsiTheme="minorHAnsi" w:cstheme="majorBidi"/>
          <w:bCs/>
        </w:rPr>
        <w:t xml:space="preserve">also </w:t>
      </w:r>
      <w:r w:rsidRPr="00AD24F9">
        <w:rPr>
          <w:rFonts w:asciiTheme="minorHAnsi" w:hAnsiTheme="minorHAnsi" w:cstheme="majorBidi"/>
          <w:bCs/>
        </w:rPr>
        <w:t>be available by telephone and e</w:t>
      </w:r>
      <w:r w:rsidR="00072248">
        <w:rPr>
          <w:rFonts w:asciiTheme="minorHAnsi" w:hAnsiTheme="minorHAnsi" w:cstheme="majorBidi"/>
          <w:bCs/>
        </w:rPr>
        <w:t>-</w:t>
      </w:r>
      <w:r w:rsidRPr="00AD24F9">
        <w:rPr>
          <w:rFonts w:asciiTheme="minorHAnsi" w:hAnsiTheme="minorHAnsi" w:cstheme="majorBidi"/>
          <w:bCs/>
        </w:rPr>
        <w:t xml:space="preserve">mail to </w:t>
      </w:r>
      <w:r w:rsidR="00072248">
        <w:rPr>
          <w:rFonts w:asciiTheme="minorHAnsi" w:hAnsiTheme="minorHAnsi" w:cstheme="majorBidi"/>
          <w:bCs/>
        </w:rPr>
        <w:t>help</w:t>
      </w:r>
      <w:r w:rsidRPr="00AD24F9">
        <w:rPr>
          <w:rFonts w:asciiTheme="minorHAnsi" w:hAnsiTheme="minorHAnsi" w:cstheme="majorBidi"/>
          <w:bCs/>
        </w:rPr>
        <w:t xml:space="preserve"> when institution staff have questions or encounter problems.</w:t>
      </w:r>
    </w:p>
    <w:p w14:paraId="658A419F" w14:textId="77777777" w:rsidR="008E4476" w:rsidRPr="00AD24F9" w:rsidRDefault="008E4476" w:rsidP="00C620CB">
      <w:pPr>
        <w:pStyle w:val="BodyTextnoindent"/>
        <w:spacing w:before="0" w:line="240" w:lineRule="auto"/>
        <w:rPr>
          <w:rFonts w:asciiTheme="minorHAnsi" w:hAnsiTheme="minorHAnsi"/>
          <w:b/>
          <w:bCs/>
        </w:rPr>
      </w:pPr>
      <w:r w:rsidRPr="00AD24F9">
        <w:rPr>
          <w:rFonts w:asciiTheme="minorHAnsi" w:hAnsiTheme="minorHAnsi"/>
        </w:rPr>
        <w:t>The following options will be offered to institutions for collecting student records:</w:t>
      </w:r>
    </w:p>
    <w:p w14:paraId="04046714" w14:textId="77777777" w:rsidR="008E4476" w:rsidRPr="00AD24F9" w:rsidRDefault="008E4476" w:rsidP="00C620CB">
      <w:pPr>
        <w:pStyle w:val="BodyText"/>
        <w:numPr>
          <w:ilvl w:val="0"/>
          <w:numId w:val="20"/>
        </w:numPr>
        <w:spacing w:before="0" w:line="240" w:lineRule="auto"/>
        <w:ind w:left="450" w:hanging="270"/>
        <w:rPr>
          <w:rFonts w:asciiTheme="minorHAnsi" w:hAnsiTheme="minorHAnsi" w:cstheme="majorBidi"/>
          <w:bCs/>
        </w:rPr>
      </w:pPr>
      <w:r w:rsidRPr="00AD24F9">
        <w:rPr>
          <w:rFonts w:asciiTheme="minorHAnsi" w:hAnsiTheme="minorHAnsi" w:cstheme="majorBidi"/>
          <w:bCs/>
          <w:i/>
          <w:iCs/>
        </w:rPr>
        <w:t>Web-based data entry interface</w:t>
      </w:r>
      <w:r w:rsidRPr="00AD24F9">
        <w:rPr>
          <w:rFonts w:asciiTheme="minorHAnsi" w:hAnsiTheme="minorHAnsi" w:cstheme="majorBidi"/>
          <w:bCs/>
        </w:rPr>
        <w:t>. The web-based data entry interface allows the coordinator to enter data by student, by year.</w:t>
      </w:r>
    </w:p>
    <w:p w14:paraId="37F31679" w14:textId="77777777" w:rsidR="008E4476" w:rsidRPr="00AD24F9" w:rsidRDefault="008E4476" w:rsidP="00C620CB">
      <w:pPr>
        <w:pStyle w:val="BodyText"/>
        <w:numPr>
          <w:ilvl w:val="0"/>
          <w:numId w:val="20"/>
        </w:numPr>
        <w:spacing w:before="0" w:line="240" w:lineRule="auto"/>
        <w:ind w:left="450" w:hanging="270"/>
        <w:rPr>
          <w:rFonts w:asciiTheme="minorHAnsi" w:hAnsiTheme="minorHAnsi" w:cstheme="majorBidi"/>
          <w:bCs/>
        </w:rPr>
      </w:pPr>
      <w:r w:rsidRPr="00AD24F9">
        <w:rPr>
          <w:rFonts w:asciiTheme="minorHAnsi" w:hAnsiTheme="minorHAnsi" w:cstheme="majorBidi"/>
          <w:bCs/>
          <w:i/>
          <w:iCs/>
        </w:rPr>
        <w:t>Excel workbook</w:t>
      </w:r>
      <w:r w:rsidRPr="00AD24F9">
        <w:rPr>
          <w:rFonts w:asciiTheme="minorHAnsi" w:hAnsiTheme="minorHAnsi" w:cstheme="majorBidi"/>
          <w:bCs/>
        </w:rPr>
        <w:t>.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14:paraId="03B2003E" w14:textId="27E1AAC9" w:rsidR="008E4476" w:rsidRPr="002277CD" w:rsidRDefault="008E4476" w:rsidP="00C620CB">
      <w:pPr>
        <w:pStyle w:val="BodyText"/>
        <w:widowControl w:val="0"/>
        <w:numPr>
          <w:ilvl w:val="0"/>
          <w:numId w:val="20"/>
        </w:numPr>
        <w:spacing w:before="0" w:line="240" w:lineRule="auto"/>
        <w:ind w:left="450" w:hanging="270"/>
        <w:rPr>
          <w:rFonts w:asciiTheme="minorHAnsi" w:hAnsiTheme="minorHAnsi" w:cstheme="majorBidi"/>
          <w:bCs/>
        </w:rPr>
      </w:pPr>
      <w:r w:rsidRPr="002277CD">
        <w:rPr>
          <w:rFonts w:asciiTheme="minorHAnsi" w:hAnsiTheme="minorHAnsi" w:cstheme="majorBidi"/>
          <w:bCs/>
          <w:i/>
          <w:iCs/>
        </w:rPr>
        <w:t>CSV (comma separated values) file</w:t>
      </w:r>
      <w:r w:rsidRPr="002277CD">
        <w:rPr>
          <w:rFonts w:asciiTheme="minorHAnsi" w:hAnsiTheme="minorHAnsi" w:cstheme="majorBidi"/>
          <w:bCs/>
        </w:rPr>
        <w:t xml:space="preserv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w:t>
      </w:r>
      <w:r w:rsidR="00072248">
        <w:rPr>
          <w:rFonts w:asciiTheme="minorHAnsi" w:hAnsiTheme="minorHAnsi" w:cstheme="majorBidi"/>
          <w:bCs/>
        </w:rPr>
        <w:t>so</w:t>
      </w:r>
      <w:r w:rsidR="00072248" w:rsidRPr="002277CD">
        <w:rPr>
          <w:rFonts w:asciiTheme="minorHAnsi" w:hAnsiTheme="minorHAnsi" w:cstheme="majorBidi"/>
          <w:bCs/>
        </w:rPr>
        <w:t xml:space="preserve"> </w:t>
      </w:r>
      <w:r w:rsidRPr="002277CD">
        <w:rPr>
          <w:rFonts w:asciiTheme="minorHAnsi" w:hAnsiTheme="minorHAnsi" w:cstheme="majorBidi"/>
          <w:bCs/>
        </w:rPr>
        <w:t>that institution staff can check their submission before finalizing.</w:t>
      </w:r>
    </w:p>
    <w:p w14:paraId="5EC00DA8" w14:textId="59A53CB9" w:rsidR="008E4476" w:rsidRDefault="008E4476" w:rsidP="00C620CB">
      <w:pPr>
        <w:pStyle w:val="BodyText"/>
        <w:spacing w:before="0" w:line="240" w:lineRule="auto"/>
        <w:ind w:firstLine="0"/>
        <w:rPr>
          <w:rFonts w:asciiTheme="minorHAnsi" w:hAnsiTheme="minorHAnsi"/>
        </w:rPr>
      </w:pPr>
      <w:r w:rsidRPr="002277CD">
        <w:rPr>
          <w:rFonts w:asciiTheme="minorHAnsi" w:hAnsiTheme="minorHAnsi"/>
        </w:rPr>
        <w:t>The instrument content is provided in appendix E.</w:t>
      </w:r>
    </w:p>
    <w:p w14:paraId="71BFC2E3" w14:textId="65461578" w:rsidR="0072259E" w:rsidRPr="002277CD" w:rsidRDefault="0072259E" w:rsidP="00DA17CB">
      <w:pPr>
        <w:pStyle w:val="Heading2"/>
      </w:pPr>
      <w:r w:rsidRPr="0072259E">
        <w:t>Tests of Procedures or Methods</w:t>
      </w:r>
    </w:p>
    <w:p w14:paraId="6A081E54" w14:textId="445474B1" w:rsidR="0072259E" w:rsidRPr="00DA17CB" w:rsidRDefault="00DA17CB" w:rsidP="00DA17CB">
      <w:pPr>
        <w:pStyle w:val="bullet3rdlevel"/>
        <w:widowControl w:val="0"/>
        <w:numPr>
          <w:ilvl w:val="0"/>
          <w:numId w:val="0"/>
        </w:numPr>
        <w:spacing w:before="0" w:after="120" w:line="240" w:lineRule="auto"/>
      </w:pPr>
      <w:r w:rsidRPr="00DA17CB">
        <w:t xml:space="preserve">There will be no tests of procedures or methods as part of </w:t>
      </w:r>
      <w:r>
        <w:t>NPSAS:18-AC</w:t>
      </w:r>
      <w:r w:rsidR="0072259E">
        <w:t>.</w:t>
      </w:r>
    </w:p>
    <w:p w14:paraId="4032B1F9" w14:textId="77777777" w:rsidR="00185D28" w:rsidRPr="002277CD" w:rsidRDefault="002770D7" w:rsidP="00C620CB">
      <w:pPr>
        <w:pStyle w:val="Heading2"/>
        <w:spacing w:line="240" w:lineRule="auto"/>
      </w:pPr>
      <w:bookmarkStart w:id="53" w:name="_Toc268593752"/>
      <w:bookmarkStart w:id="54" w:name="_Toc480552888"/>
      <w:bookmarkEnd w:id="45"/>
      <w:bookmarkEnd w:id="50"/>
      <w:r w:rsidRPr="002277CD">
        <w:t>Reviewing Statisticians and Individuals Responsible for Designing and Conducting the Study</w:t>
      </w:r>
      <w:bookmarkEnd w:id="53"/>
      <w:bookmarkEnd w:id="54"/>
    </w:p>
    <w:p w14:paraId="5FF8EF94" w14:textId="40DDD079" w:rsidR="003B7127" w:rsidRDefault="00B073C8" w:rsidP="00B073C8">
      <w:pPr>
        <w:pStyle w:val="bullet3rdlevel"/>
        <w:widowControl w:val="0"/>
        <w:numPr>
          <w:ilvl w:val="0"/>
          <w:numId w:val="0"/>
        </w:numPr>
        <w:spacing w:before="0" w:after="120" w:line="240" w:lineRule="auto"/>
      </w:pPr>
      <w:r>
        <w:t xml:space="preserve">NPSAS:18-AC </w:t>
      </w:r>
      <w:r w:rsidR="003B7127" w:rsidRPr="00E96434">
        <w:t xml:space="preserve">is being conducted </w:t>
      </w:r>
      <w:r w:rsidR="00D4235B">
        <w:t>by</w:t>
      </w:r>
      <w:r w:rsidR="003B7127" w:rsidRPr="00E96434">
        <w:t xml:space="preserve"> NCES. </w:t>
      </w:r>
      <w:r w:rsidR="00F35C68" w:rsidRPr="00AC22E6">
        <w:t>The following statisticians at NCES are responsible for the statistical aspects of the study:</w:t>
      </w:r>
      <w:r w:rsidR="00F35C68">
        <w:t xml:space="preserve"> </w:t>
      </w:r>
      <w:r w:rsidR="00AD24F9" w:rsidRPr="00AC22E6">
        <w:t>Dr. Sean Simone</w:t>
      </w:r>
      <w:r w:rsidR="00AD24F9">
        <w:t xml:space="preserve">, </w:t>
      </w:r>
      <w:r w:rsidR="00F35C68" w:rsidRPr="00AC22E6">
        <w:t xml:space="preserve">Dr. Tracy Hunt-White, Dr. </w:t>
      </w:r>
      <w:r w:rsidR="00F35C68">
        <w:t>David Richards</w:t>
      </w:r>
      <w:r w:rsidR="00F35C68" w:rsidRPr="00AC22E6">
        <w:t>, Mr. Ted Socha, Dr. Elise Christopher</w:t>
      </w:r>
      <w:r w:rsidR="002106A6">
        <w:t xml:space="preserve">, and </w:t>
      </w:r>
      <w:r w:rsidR="00CB6B68">
        <w:t>Dr</w:t>
      </w:r>
      <w:r w:rsidR="002106A6">
        <w:t>. Gail Mulligan</w:t>
      </w:r>
      <w:r w:rsidR="00F35C68" w:rsidRPr="00AC22E6">
        <w:t xml:space="preserve">. </w:t>
      </w:r>
      <w:r w:rsidR="00F35C68" w:rsidRPr="00E96434">
        <w:t xml:space="preserve">NCES’s prime contractor </w:t>
      </w:r>
      <w:r w:rsidR="00AD24F9">
        <w:t>for NPSAS:18-AC</w:t>
      </w:r>
      <w:r w:rsidR="00D4235B">
        <w:t xml:space="preserve"> </w:t>
      </w:r>
      <w:r w:rsidR="00F35C68" w:rsidRPr="00E96434">
        <w:t>is RTI</w:t>
      </w:r>
      <w:r w:rsidR="001F00DA">
        <w:t xml:space="preserve"> International</w:t>
      </w:r>
      <w:r w:rsidR="00AB106C">
        <w:t xml:space="preserve"> (Contract# ED-IES-13-C-0070), and subcontractors include Coffey Consulting; HR Directions; KForce Government Solutions, Inc.; Research Support Services; and Strategic Communications, Inc. Dr. Anthony Jones is a consultant on the study.</w:t>
      </w:r>
      <w:r>
        <w:t xml:space="preserve"> </w:t>
      </w:r>
      <w:r w:rsidR="008974AF">
        <w:t>The following staff members at</w:t>
      </w:r>
      <w:r w:rsidR="008974AF" w:rsidRPr="00AC22E6">
        <w:t xml:space="preserve"> RTI </w:t>
      </w:r>
      <w:r w:rsidR="008974AF">
        <w:t>are</w:t>
      </w:r>
      <w:r w:rsidR="008974AF" w:rsidRPr="00AC22E6">
        <w:t xml:space="preserve"> working on the statisti</w:t>
      </w:r>
      <w:r w:rsidR="008974AF">
        <w:t xml:space="preserve">cal aspects of the study design: </w:t>
      </w:r>
      <w:r w:rsidR="008974AF" w:rsidRPr="009F7890">
        <w:t>Mr. Peter Siegel</w:t>
      </w:r>
      <w:r w:rsidR="008974AF">
        <w:t xml:space="preserve">, </w:t>
      </w:r>
      <w:r w:rsidR="00AB106C" w:rsidRPr="009F7890">
        <w:t>Dr. Jennifer Wine</w:t>
      </w:r>
      <w:r w:rsidR="00AB106C">
        <w:t xml:space="preserve">, Ms. Ruby Johnson, and </w:t>
      </w:r>
      <w:r w:rsidR="008974AF" w:rsidRPr="009F7890">
        <w:t xml:space="preserve">Dr. </w:t>
      </w:r>
      <w:r w:rsidR="00F35C68">
        <w:t>T. Austin Lacy</w:t>
      </w:r>
      <w:bookmarkStart w:id="55" w:name="_Toc268593753"/>
      <w:r w:rsidR="00AB106C">
        <w:t>.</w:t>
      </w:r>
      <w:bookmarkEnd w:id="55"/>
      <w:r w:rsidR="00AB106C">
        <w:t xml:space="preserve"> </w:t>
      </w:r>
      <w:r w:rsidR="003B7127" w:rsidRPr="00E96434">
        <w:t xml:space="preserve">Principal professional RTI staff, not listed above, who are assigned to the study include Ms. Kristin Dudley, Ms. </w:t>
      </w:r>
      <w:r w:rsidR="00113104">
        <w:t>Jamie Wescott</w:t>
      </w:r>
      <w:r w:rsidR="00AD24F9">
        <w:t>,</w:t>
      </w:r>
      <w:r w:rsidR="003B7127" w:rsidRPr="00E96434">
        <w:t xml:space="preserve"> Ms. Tiffany Mat</w:t>
      </w:r>
      <w:r w:rsidR="00AD24F9">
        <w:t xml:space="preserve">tox, </w:t>
      </w:r>
      <w:r w:rsidR="00ED5FBF">
        <w:t xml:space="preserve">Mr. Austin Caperton, </w:t>
      </w:r>
      <w:r w:rsidR="00AD24F9">
        <w:t>Mr. Johnathan Conzelmann, and Ms. Nichole Smith.</w:t>
      </w:r>
    </w:p>
    <w:sectPr w:rsidR="003B7127" w:rsidSect="00C620CB">
      <w:footerReference w:type="even" r:id="rId13"/>
      <w:footerReference w:type="default" r:id="rId14"/>
      <w:pgSz w:w="12240" w:h="15840" w:code="1"/>
      <w:pgMar w:top="864" w:right="864" w:bottom="720" w:left="864" w:header="432" w:footer="288" w:gutter="0"/>
      <w:pgNumType w:start="1"/>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830F5" w14:textId="77777777" w:rsidR="00A9207D" w:rsidRDefault="00A9207D">
      <w:r>
        <w:separator/>
      </w:r>
    </w:p>
  </w:endnote>
  <w:endnote w:type="continuationSeparator" w:id="0">
    <w:p w14:paraId="13FAF0EB" w14:textId="77777777" w:rsidR="00A9207D" w:rsidRDefault="00A9207D">
      <w:r>
        <w:continuationSeparator/>
      </w:r>
    </w:p>
  </w:endnote>
  <w:endnote w:type="continuationNotice" w:id="1">
    <w:p w14:paraId="1F2B1E9B" w14:textId="77777777" w:rsidR="00A9207D" w:rsidRDefault="00A92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DD56" w14:textId="77777777" w:rsidR="002A0082" w:rsidRDefault="002A0082"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2A0082" w:rsidRDefault="002A00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315619"/>
      <w:docPartObj>
        <w:docPartGallery w:val="Page Numbers (Bottom of Page)"/>
        <w:docPartUnique/>
      </w:docPartObj>
    </w:sdtPr>
    <w:sdtEndPr>
      <w:rPr>
        <w:noProof/>
      </w:rPr>
    </w:sdtEndPr>
    <w:sdtContent>
      <w:p w14:paraId="41612D1D" w14:textId="3ABF0F61" w:rsidR="002A0082" w:rsidRDefault="002A0082" w:rsidP="00803802">
        <w:pPr>
          <w:pStyle w:val="Footer"/>
          <w:jc w:val="center"/>
        </w:pPr>
        <w:r>
          <w:fldChar w:fldCharType="begin"/>
        </w:r>
        <w:r>
          <w:instrText xml:space="preserve"> PAGE   \* MERGEFORMAT </w:instrText>
        </w:r>
        <w:r>
          <w:fldChar w:fldCharType="separate"/>
        </w:r>
        <w:r w:rsidR="00A5324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E1742B" w14:textId="77777777" w:rsidR="00A9207D" w:rsidRDefault="00A9207D">
      <w:r>
        <w:separator/>
      </w:r>
    </w:p>
  </w:footnote>
  <w:footnote w:type="continuationSeparator" w:id="0">
    <w:p w14:paraId="1BD736FA" w14:textId="77777777" w:rsidR="00A9207D" w:rsidRDefault="00A9207D">
      <w:r>
        <w:continuationSeparator/>
      </w:r>
    </w:p>
  </w:footnote>
  <w:footnote w:type="continuationNotice" w:id="1">
    <w:p w14:paraId="79D1C158" w14:textId="77777777" w:rsidR="00A9207D" w:rsidRDefault="00A9207D"/>
  </w:footnote>
  <w:footnote w:id="2">
    <w:p w14:paraId="3D9D7562" w14:textId="3DD86F51" w:rsidR="002A0082" w:rsidRDefault="002A0082" w:rsidP="00C620CB">
      <w:pPr>
        <w:pStyle w:val="FootnoteText"/>
        <w:spacing w:after="40"/>
      </w:pPr>
      <w:r>
        <w:rPr>
          <w:rStyle w:val="FootnoteReference"/>
        </w:rPr>
        <w:footnoteRef/>
      </w:r>
      <w:r>
        <w:t xml:space="preserve"> The seven U.S service academies are U.S. Air Force Academy, U.S. Coast Guard Academy, U.S. Naval Academy, U.S. Merchant Marine Academy, U.S. Military Academy, Naval Postgraduate School, and Air Force Institute of Technology-Graduate School.</w:t>
      </w:r>
    </w:p>
  </w:footnote>
  <w:footnote w:id="3">
    <w:p w14:paraId="745ECA83" w14:textId="0219AA23" w:rsidR="002A0082" w:rsidRDefault="002A0082" w:rsidP="00C620CB">
      <w:pPr>
        <w:pStyle w:val="FootnoteText"/>
        <w:spacing w:after="40"/>
        <w:ind w:right="432"/>
      </w:pPr>
      <w:r>
        <w:rPr>
          <w:rStyle w:val="FootnoteReference"/>
        </w:rPr>
        <w:footnoteRef/>
      </w:r>
      <w:r>
        <w:t xml:space="preserve"> A preliminary sampling frame has been created using 2015-16 IPEDS 12-month enrollment data, and population estimates in tables 1-3 are based on this preliminary frame. The frame will be recreated with the most up-to-date IPEDS data prior to sample selection. </w:t>
      </w:r>
    </w:p>
  </w:footnote>
  <w:footnote w:id="4">
    <w:p w14:paraId="738BE6CB" w14:textId="11990363" w:rsidR="002A0082" w:rsidRDefault="002A0082" w:rsidP="00C620CB">
      <w:pPr>
        <w:pStyle w:val="FootnoteText"/>
        <w:spacing w:after="40"/>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5">
    <w:p w14:paraId="76C13129" w14:textId="77777777" w:rsidR="002A0082" w:rsidRDefault="002A0082" w:rsidP="00C620CB">
      <w:pPr>
        <w:pStyle w:val="FootnoteText"/>
        <w:spacing w:after="40"/>
      </w:pPr>
      <w:r>
        <w:rPr>
          <w:rStyle w:val="FootnoteReference"/>
        </w:rPr>
        <w:footnoteRef/>
      </w:r>
      <w:r>
        <w:t xml:space="preserve"> From this point forward, the word “state” will refer to the 50 states, the District of Columbia, and Puerto Rico.</w:t>
      </w:r>
    </w:p>
  </w:footnote>
  <w:footnote w:id="6">
    <w:p w14:paraId="45CC5720" w14:textId="5376FC62" w:rsidR="002A0082" w:rsidRDefault="002A0082" w:rsidP="00C620CB">
      <w:pPr>
        <w:pStyle w:val="FootnoteText"/>
        <w:spacing w:after="40"/>
      </w:pPr>
      <w:r>
        <w:rPr>
          <w:rStyle w:val="FootnoteReference"/>
        </w:rPr>
        <w:footnoteRef/>
      </w:r>
      <w:r>
        <w:t xml:space="preserve"> Based on the latest IPEDS data, there are only three states (Idaho, Mississippi, and Nebraska) that have between 31 and 36 institutions in the “other” stratum and will be affected by this cutoff.</w:t>
      </w:r>
    </w:p>
  </w:footnote>
  <w:footnote w:id="7">
    <w:p w14:paraId="1D03589E" w14:textId="77777777" w:rsidR="002A0082" w:rsidRDefault="002A0082" w:rsidP="00C620CB">
      <w:pPr>
        <w:pStyle w:val="FootnoteText"/>
        <w:spacing w:after="40"/>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(pp. 792–796).</w:t>
      </w:r>
    </w:p>
  </w:footnote>
  <w:footnote w:id="8">
    <w:p w14:paraId="1B4D8A5A" w14:textId="77777777" w:rsidR="002A0082" w:rsidRDefault="002A0082" w:rsidP="00C620CB">
      <w:pPr>
        <w:pStyle w:val="FootnoteText"/>
        <w:spacing w:after="40"/>
      </w:pPr>
      <w:r>
        <w:rPr>
          <w:rStyle w:val="FootnoteReference"/>
        </w:rPr>
        <w:footnoteRef/>
      </w:r>
      <w:r>
        <w:t xml:space="preserve"> A Hispanic-serving institutions indicator is no longer available from IPEDS, so we will create an indicator following the logic that was previously used for IPEDS.</w:t>
      </w:r>
    </w:p>
  </w:footnote>
  <w:footnote w:id="9">
    <w:p w14:paraId="0D0E699D" w14:textId="77777777" w:rsidR="002A0082" w:rsidRDefault="002A0082" w:rsidP="00D25928">
      <w:pPr>
        <w:pStyle w:val="FootnoteText"/>
        <w:spacing w:after="40"/>
      </w:pPr>
      <w:r>
        <w:rPr>
          <w:rStyle w:val="FootnoteReference"/>
        </w:rPr>
        <w:footnoteRef/>
      </w:r>
      <w:r>
        <w:t xml:space="preserve"> We will decide what, if any, collapsing of the categories is needed for the purposes of implicit stratification.</w:t>
      </w:r>
    </w:p>
  </w:footnote>
  <w:footnote w:id="10">
    <w:p w14:paraId="0198AB0B" w14:textId="7028AB8F" w:rsidR="002A0082" w:rsidRDefault="002A0082" w:rsidP="0062738F">
      <w:pPr>
        <w:pStyle w:val="FootnoteText"/>
      </w:pPr>
      <w:r>
        <w:rPr>
          <w:rStyle w:val="FootnoteReference"/>
        </w:rPr>
        <w:footnoteRef/>
      </w:r>
      <w:r>
        <w:t xml:space="preserve"> Data from the NSC, VBA, ACT, and SAT scores are pending contracts or agreements with those organizations. If NCES is unable to secure an agreement with any of these organizations, a change memo will be submitted by December 17,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nsid w:val="FFFFFF88"/>
    <w:multiLevelType w:val="multilevel"/>
    <w:tmpl w:val="0E7C1FF4"/>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nsid w:val="06440DC3"/>
    <w:multiLevelType w:val="hybridMultilevel"/>
    <w:tmpl w:val="D5D4D2BC"/>
    <w:lvl w:ilvl="0" w:tplc="04090001">
      <w:start w:val="1"/>
      <w:numFmt w:val="bullet"/>
      <w:lvlText w:val=""/>
      <w:lvlJc w:val="left"/>
      <w:pPr>
        <w:ind w:left="720" w:hanging="360"/>
      </w:pPr>
      <w:rPr>
        <w:rFonts w:ascii="Symbol" w:hAnsi="Symbol" w:hint="default"/>
      </w:rPr>
    </w:lvl>
    <w:lvl w:ilvl="1" w:tplc="078A8E0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D7A80"/>
    <w:multiLevelType w:val="hybridMultilevel"/>
    <w:tmpl w:val="B4C6A612"/>
    <w:lvl w:ilvl="0" w:tplc="86C6D50E">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2846DD"/>
    <w:multiLevelType w:val="hybridMultilevel"/>
    <w:tmpl w:val="8B3AC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2857A6"/>
    <w:multiLevelType w:val="hybridMultilevel"/>
    <w:tmpl w:val="CBB209DE"/>
    <w:lvl w:ilvl="0" w:tplc="89761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ED33DCA"/>
    <w:multiLevelType w:val="hybridMultilevel"/>
    <w:tmpl w:val="3F5E5E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53C210E"/>
    <w:multiLevelType w:val="multilevel"/>
    <w:tmpl w:val="0409001D"/>
    <w:lvl w:ilvl="0">
      <w:start w:val="1"/>
      <w:numFmt w:val="decimal"/>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8">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216BA"/>
    <w:multiLevelType w:val="hybridMultilevel"/>
    <w:tmpl w:val="4A24D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1CC0037"/>
    <w:multiLevelType w:val="hybridMultilevel"/>
    <w:tmpl w:val="E23A4A86"/>
    <w:lvl w:ilvl="0" w:tplc="4D9E36D4">
      <w:start w:val="1"/>
      <w:numFmt w:val="bullet"/>
      <w:lvlText w:val=""/>
      <w:lvlJc w:val="left"/>
      <w:pPr>
        <w:tabs>
          <w:tab w:val="num" w:pos="360"/>
        </w:tabs>
        <w:ind w:left="360" w:hanging="360"/>
      </w:pPr>
      <w:rPr>
        <w:rFonts w:ascii="Symbol" w:hAnsi="Symbol" w:hint="default"/>
        <w:sz w:val="24"/>
      </w:rPr>
    </w:lvl>
    <w:lvl w:ilvl="1" w:tplc="E500C300">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5">
    <w:nsid w:val="5B330D57"/>
    <w:multiLevelType w:val="multilevel"/>
    <w:tmpl w:val="DB886CD0"/>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hint="default"/>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EB3344C"/>
    <w:multiLevelType w:val="hybridMultilevel"/>
    <w:tmpl w:val="18C47B6E"/>
    <w:lvl w:ilvl="0" w:tplc="4D9E36D4">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B804EA1"/>
    <w:multiLevelType w:val="hybridMultilevel"/>
    <w:tmpl w:val="24AC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154DBC"/>
    <w:multiLevelType w:val="multilevel"/>
    <w:tmpl w:val="C5DC23E4"/>
    <w:lvl w:ilvl="0">
      <w:start w:val="1"/>
      <w:numFmt w:val="lowerLetter"/>
      <w:lvlText w:val="%1)"/>
      <w:lvlJc w:val="left"/>
      <w:pPr>
        <w:ind w:left="1710" w:hanging="360"/>
      </w:pPr>
    </w:lvl>
    <w:lvl w:ilvl="1">
      <w:start w:val="1"/>
      <w:numFmt w:val="lowerLetter"/>
      <w:lvlText w:val="%2)"/>
      <w:lvlJc w:val="left"/>
      <w:pPr>
        <w:ind w:left="2070" w:hanging="360"/>
      </w:pPr>
    </w:lvl>
    <w:lvl w:ilvl="2">
      <w:start w:val="1"/>
      <w:numFmt w:val="lowerRoman"/>
      <w:lvlText w:val="%3)"/>
      <w:lvlJc w:val="left"/>
      <w:pPr>
        <w:ind w:left="2430" w:hanging="360"/>
      </w:pPr>
    </w:lvl>
    <w:lvl w:ilvl="3">
      <w:start w:val="1"/>
      <w:numFmt w:val="decimal"/>
      <w:lvlText w:val="(%4)"/>
      <w:lvlJc w:val="left"/>
      <w:pPr>
        <w:ind w:left="2790" w:hanging="360"/>
      </w:pPr>
    </w:lvl>
    <w:lvl w:ilvl="4">
      <w:start w:val="1"/>
      <w:numFmt w:val="lowerLetter"/>
      <w:lvlText w:val="(%5)"/>
      <w:lvlJc w:val="left"/>
      <w:pPr>
        <w:ind w:left="3150" w:hanging="360"/>
      </w:pPr>
    </w:lvl>
    <w:lvl w:ilvl="5">
      <w:start w:val="1"/>
      <w:numFmt w:val="lowerRoman"/>
      <w:lvlText w:val="(%6)"/>
      <w:lvlJc w:val="left"/>
      <w:pPr>
        <w:ind w:left="3510" w:hanging="360"/>
      </w:pPr>
    </w:lvl>
    <w:lvl w:ilvl="6">
      <w:start w:val="1"/>
      <w:numFmt w:val="decimal"/>
      <w:lvlText w:val="%7."/>
      <w:lvlJc w:val="left"/>
      <w:pPr>
        <w:ind w:left="3870" w:hanging="360"/>
      </w:pPr>
    </w:lvl>
    <w:lvl w:ilvl="7">
      <w:start w:val="1"/>
      <w:numFmt w:val="lowerLetter"/>
      <w:lvlText w:val="%8."/>
      <w:lvlJc w:val="left"/>
      <w:pPr>
        <w:ind w:left="4230" w:hanging="360"/>
      </w:pPr>
    </w:lvl>
    <w:lvl w:ilvl="8">
      <w:start w:val="1"/>
      <w:numFmt w:val="lowerRoman"/>
      <w:lvlText w:val="%9."/>
      <w:lvlJc w:val="left"/>
      <w:pPr>
        <w:ind w:left="4590" w:hanging="360"/>
      </w:pPr>
    </w:lvl>
  </w:abstractNum>
  <w:abstractNum w:abstractNumId="20">
    <w:nsid w:val="70E145D6"/>
    <w:multiLevelType w:val="hybridMultilevel"/>
    <w:tmpl w:val="E424E4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181C0C"/>
    <w:multiLevelType w:val="hybridMultilevel"/>
    <w:tmpl w:val="8020CC06"/>
    <w:lvl w:ilvl="0" w:tplc="B26C7A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156D75"/>
    <w:multiLevelType w:val="hybridMultilevel"/>
    <w:tmpl w:val="C720C9A8"/>
    <w:lvl w:ilvl="0" w:tplc="A6FA630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D956D7"/>
    <w:multiLevelType w:val="hybridMultilevel"/>
    <w:tmpl w:val="899A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8"/>
  </w:num>
  <w:num w:numId="4">
    <w:abstractNumId w:val="14"/>
  </w:num>
  <w:num w:numId="5">
    <w:abstractNumId w:val="11"/>
  </w:num>
  <w:num w:numId="6">
    <w:abstractNumId w:val="5"/>
  </w:num>
  <w:num w:numId="7">
    <w:abstractNumId w:val="10"/>
  </w:num>
  <w:num w:numId="8">
    <w:abstractNumId w:val="15"/>
  </w:num>
  <w:num w:numId="9">
    <w:abstractNumId w:val="1"/>
  </w:num>
  <w:num w:numId="10">
    <w:abstractNumId w:val="18"/>
  </w:num>
  <w:num w:numId="11">
    <w:abstractNumId w:val="22"/>
  </w:num>
  <w:num w:numId="12">
    <w:abstractNumId w:val="1"/>
    <w:lvlOverride w:ilvl="0">
      <w:startOverride w:val="1"/>
    </w:lvlOverride>
  </w:num>
  <w:num w:numId="13">
    <w:abstractNumId w:val="4"/>
  </w:num>
  <w:num w:numId="14">
    <w:abstractNumId w:val="23"/>
  </w:num>
  <w:num w:numId="15">
    <w:abstractNumId w:val="1"/>
    <w:lvlOverride w:ilvl="0">
      <w:startOverride w:val="1"/>
    </w:lvlOverride>
  </w:num>
  <w:num w:numId="16">
    <w:abstractNumId w:val="13"/>
  </w:num>
  <w:num w:numId="17">
    <w:abstractNumId w:val="17"/>
  </w:num>
  <w:num w:numId="18">
    <w:abstractNumId w:val="16"/>
  </w:num>
  <w:num w:numId="19">
    <w:abstractNumId w:val="2"/>
  </w:num>
  <w:num w:numId="20">
    <w:abstractNumId w:val="12"/>
  </w:num>
  <w:num w:numId="21">
    <w:abstractNumId w:val="0"/>
  </w:num>
  <w:num w:numId="22">
    <w:abstractNumId w:val="19"/>
  </w:num>
  <w:num w:numId="23">
    <w:abstractNumId w:val="7"/>
  </w:num>
  <w:num w:numId="24">
    <w:abstractNumId w:val="21"/>
  </w:num>
  <w:num w:numId="25">
    <w:abstractNumId w:val="3"/>
  </w:num>
  <w:num w:numId="26">
    <w:abstractNumId w:val="6"/>
  </w:num>
  <w:num w:numId="27">
    <w:abstractNumId w:val="20"/>
  </w:num>
  <w:num w:numId="2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scott, Jamie">
    <w15:presenceInfo w15:providerId="AD" w15:userId="S-1-5-21-2101533902-423532799-1776743176-3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A33"/>
    <w:rsid w:val="00000234"/>
    <w:rsid w:val="00000386"/>
    <w:rsid w:val="00002236"/>
    <w:rsid w:val="00002700"/>
    <w:rsid w:val="0000307B"/>
    <w:rsid w:val="00004C74"/>
    <w:rsid w:val="00004D46"/>
    <w:rsid w:val="0000562B"/>
    <w:rsid w:val="000056D7"/>
    <w:rsid w:val="00006190"/>
    <w:rsid w:val="00006839"/>
    <w:rsid w:val="000068C9"/>
    <w:rsid w:val="00006A86"/>
    <w:rsid w:val="00006DD2"/>
    <w:rsid w:val="00006ECC"/>
    <w:rsid w:val="000071C1"/>
    <w:rsid w:val="0000745D"/>
    <w:rsid w:val="00007541"/>
    <w:rsid w:val="0001147D"/>
    <w:rsid w:val="0001207D"/>
    <w:rsid w:val="00012483"/>
    <w:rsid w:val="00013480"/>
    <w:rsid w:val="000135CF"/>
    <w:rsid w:val="00013C7D"/>
    <w:rsid w:val="000142EE"/>
    <w:rsid w:val="00014705"/>
    <w:rsid w:val="00014D25"/>
    <w:rsid w:val="00014EAB"/>
    <w:rsid w:val="000156F8"/>
    <w:rsid w:val="00015CD5"/>
    <w:rsid w:val="00016217"/>
    <w:rsid w:val="000166A8"/>
    <w:rsid w:val="00016A6E"/>
    <w:rsid w:val="00016DC5"/>
    <w:rsid w:val="0001749A"/>
    <w:rsid w:val="00017C1E"/>
    <w:rsid w:val="00020E1D"/>
    <w:rsid w:val="00021560"/>
    <w:rsid w:val="00022672"/>
    <w:rsid w:val="00022F74"/>
    <w:rsid w:val="00023398"/>
    <w:rsid w:val="00023D50"/>
    <w:rsid w:val="00023EA0"/>
    <w:rsid w:val="00024A14"/>
    <w:rsid w:val="00024C64"/>
    <w:rsid w:val="00024CF8"/>
    <w:rsid w:val="00024EFF"/>
    <w:rsid w:val="00025729"/>
    <w:rsid w:val="00026500"/>
    <w:rsid w:val="000307E7"/>
    <w:rsid w:val="00031915"/>
    <w:rsid w:val="00033AF2"/>
    <w:rsid w:val="00033B77"/>
    <w:rsid w:val="00033DF5"/>
    <w:rsid w:val="00034B40"/>
    <w:rsid w:val="00035743"/>
    <w:rsid w:val="00036052"/>
    <w:rsid w:val="00036511"/>
    <w:rsid w:val="000368B0"/>
    <w:rsid w:val="00037631"/>
    <w:rsid w:val="00037845"/>
    <w:rsid w:val="00037B0E"/>
    <w:rsid w:val="00037C3A"/>
    <w:rsid w:val="0004025E"/>
    <w:rsid w:val="00040851"/>
    <w:rsid w:val="00041238"/>
    <w:rsid w:val="00041240"/>
    <w:rsid w:val="00041D5A"/>
    <w:rsid w:val="00042A85"/>
    <w:rsid w:val="00043DC0"/>
    <w:rsid w:val="0004428C"/>
    <w:rsid w:val="00044904"/>
    <w:rsid w:val="00044C62"/>
    <w:rsid w:val="00045D04"/>
    <w:rsid w:val="00045E1F"/>
    <w:rsid w:val="000461E8"/>
    <w:rsid w:val="000468DB"/>
    <w:rsid w:val="00046E26"/>
    <w:rsid w:val="000526B1"/>
    <w:rsid w:val="00052F28"/>
    <w:rsid w:val="000545B0"/>
    <w:rsid w:val="000545DF"/>
    <w:rsid w:val="00054E68"/>
    <w:rsid w:val="0005514E"/>
    <w:rsid w:val="000554B6"/>
    <w:rsid w:val="00055EDB"/>
    <w:rsid w:val="0005687D"/>
    <w:rsid w:val="00057E39"/>
    <w:rsid w:val="00057F84"/>
    <w:rsid w:val="00060019"/>
    <w:rsid w:val="000604CC"/>
    <w:rsid w:val="00060932"/>
    <w:rsid w:val="00060D38"/>
    <w:rsid w:val="000611BF"/>
    <w:rsid w:val="00061737"/>
    <w:rsid w:val="00061BB0"/>
    <w:rsid w:val="00062105"/>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C6B"/>
    <w:rsid w:val="00074FEE"/>
    <w:rsid w:val="00075A85"/>
    <w:rsid w:val="00075FE9"/>
    <w:rsid w:val="000769D8"/>
    <w:rsid w:val="000775AB"/>
    <w:rsid w:val="00081707"/>
    <w:rsid w:val="000830C6"/>
    <w:rsid w:val="0008334E"/>
    <w:rsid w:val="00083935"/>
    <w:rsid w:val="00083A8A"/>
    <w:rsid w:val="0008434D"/>
    <w:rsid w:val="000844EE"/>
    <w:rsid w:val="00084F0A"/>
    <w:rsid w:val="00086659"/>
    <w:rsid w:val="0008668A"/>
    <w:rsid w:val="00086AD0"/>
    <w:rsid w:val="0008770F"/>
    <w:rsid w:val="0009020F"/>
    <w:rsid w:val="000907DE"/>
    <w:rsid w:val="00090FCA"/>
    <w:rsid w:val="00091671"/>
    <w:rsid w:val="00092AA2"/>
    <w:rsid w:val="00093F25"/>
    <w:rsid w:val="0009412E"/>
    <w:rsid w:val="00094CF4"/>
    <w:rsid w:val="00096138"/>
    <w:rsid w:val="00096E71"/>
    <w:rsid w:val="000A11D3"/>
    <w:rsid w:val="000A5159"/>
    <w:rsid w:val="000A5792"/>
    <w:rsid w:val="000A5CE0"/>
    <w:rsid w:val="000A730B"/>
    <w:rsid w:val="000A7DA0"/>
    <w:rsid w:val="000B03CB"/>
    <w:rsid w:val="000B05CA"/>
    <w:rsid w:val="000B0E7E"/>
    <w:rsid w:val="000B25B8"/>
    <w:rsid w:val="000B364C"/>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A71"/>
    <w:rsid w:val="000C7F75"/>
    <w:rsid w:val="000D0D78"/>
    <w:rsid w:val="000D1AE6"/>
    <w:rsid w:val="000D3C0C"/>
    <w:rsid w:val="000D4376"/>
    <w:rsid w:val="000D4786"/>
    <w:rsid w:val="000D49B4"/>
    <w:rsid w:val="000D556C"/>
    <w:rsid w:val="000D56FE"/>
    <w:rsid w:val="000D69D6"/>
    <w:rsid w:val="000D7BC4"/>
    <w:rsid w:val="000D7D39"/>
    <w:rsid w:val="000E0220"/>
    <w:rsid w:val="000E06C8"/>
    <w:rsid w:val="000E32AA"/>
    <w:rsid w:val="000E4EB2"/>
    <w:rsid w:val="000E5DE0"/>
    <w:rsid w:val="000E70B9"/>
    <w:rsid w:val="000E779A"/>
    <w:rsid w:val="000E794B"/>
    <w:rsid w:val="000E7C3E"/>
    <w:rsid w:val="000F02ED"/>
    <w:rsid w:val="000F1B15"/>
    <w:rsid w:val="000F2948"/>
    <w:rsid w:val="000F2CAB"/>
    <w:rsid w:val="000F38FB"/>
    <w:rsid w:val="000F574F"/>
    <w:rsid w:val="000F578D"/>
    <w:rsid w:val="000F64A4"/>
    <w:rsid w:val="000F68CB"/>
    <w:rsid w:val="000F6BB8"/>
    <w:rsid w:val="000F725A"/>
    <w:rsid w:val="000F7BF3"/>
    <w:rsid w:val="00100F59"/>
    <w:rsid w:val="00103C4A"/>
    <w:rsid w:val="001044FB"/>
    <w:rsid w:val="00104567"/>
    <w:rsid w:val="001056C6"/>
    <w:rsid w:val="001056CA"/>
    <w:rsid w:val="001056CB"/>
    <w:rsid w:val="00105FCB"/>
    <w:rsid w:val="001067CB"/>
    <w:rsid w:val="00106E2A"/>
    <w:rsid w:val="001071B0"/>
    <w:rsid w:val="001079B0"/>
    <w:rsid w:val="0011094F"/>
    <w:rsid w:val="00110A18"/>
    <w:rsid w:val="00111E00"/>
    <w:rsid w:val="001123CA"/>
    <w:rsid w:val="00113104"/>
    <w:rsid w:val="00114457"/>
    <w:rsid w:val="001144A0"/>
    <w:rsid w:val="001144D4"/>
    <w:rsid w:val="00115048"/>
    <w:rsid w:val="00115438"/>
    <w:rsid w:val="00115805"/>
    <w:rsid w:val="00116395"/>
    <w:rsid w:val="00116D15"/>
    <w:rsid w:val="0011706B"/>
    <w:rsid w:val="00117191"/>
    <w:rsid w:val="001173D4"/>
    <w:rsid w:val="0011778A"/>
    <w:rsid w:val="00117D29"/>
    <w:rsid w:val="00120034"/>
    <w:rsid w:val="00120AF7"/>
    <w:rsid w:val="00121744"/>
    <w:rsid w:val="00122D4F"/>
    <w:rsid w:val="00122FC2"/>
    <w:rsid w:val="00123689"/>
    <w:rsid w:val="001237E1"/>
    <w:rsid w:val="001239D8"/>
    <w:rsid w:val="001244B3"/>
    <w:rsid w:val="00124B13"/>
    <w:rsid w:val="001254B1"/>
    <w:rsid w:val="00125893"/>
    <w:rsid w:val="0012602E"/>
    <w:rsid w:val="00126924"/>
    <w:rsid w:val="00126B64"/>
    <w:rsid w:val="00127BDB"/>
    <w:rsid w:val="00131B31"/>
    <w:rsid w:val="00131BE8"/>
    <w:rsid w:val="0013244D"/>
    <w:rsid w:val="00132CB2"/>
    <w:rsid w:val="001330AD"/>
    <w:rsid w:val="001340C7"/>
    <w:rsid w:val="00134EE9"/>
    <w:rsid w:val="00135820"/>
    <w:rsid w:val="00136579"/>
    <w:rsid w:val="00137344"/>
    <w:rsid w:val="001403D5"/>
    <w:rsid w:val="00140597"/>
    <w:rsid w:val="00141A6B"/>
    <w:rsid w:val="00142488"/>
    <w:rsid w:val="00142A4B"/>
    <w:rsid w:val="00142E11"/>
    <w:rsid w:val="001431A7"/>
    <w:rsid w:val="00143ACC"/>
    <w:rsid w:val="00143C1C"/>
    <w:rsid w:val="00144A25"/>
    <w:rsid w:val="00144F49"/>
    <w:rsid w:val="00145190"/>
    <w:rsid w:val="001458ED"/>
    <w:rsid w:val="0014606E"/>
    <w:rsid w:val="0014645F"/>
    <w:rsid w:val="00146944"/>
    <w:rsid w:val="00147448"/>
    <w:rsid w:val="0015037C"/>
    <w:rsid w:val="00150741"/>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FEF"/>
    <w:rsid w:val="00155314"/>
    <w:rsid w:val="00155782"/>
    <w:rsid w:val="001557B6"/>
    <w:rsid w:val="00155890"/>
    <w:rsid w:val="00155D19"/>
    <w:rsid w:val="00156286"/>
    <w:rsid w:val="00157807"/>
    <w:rsid w:val="00160371"/>
    <w:rsid w:val="0016046F"/>
    <w:rsid w:val="00161407"/>
    <w:rsid w:val="001632BD"/>
    <w:rsid w:val="00163FF2"/>
    <w:rsid w:val="001653BF"/>
    <w:rsid w:val="0016557F"/>
    <w:rsid w:val="00165BCC"/>
    <w:rsid w:val="00166933"/>
    <w:rsid w:val="00166D14"/>
    <w:rsid w:val="00167A3D"/>
    <w:rsid w:val="00167B91"/>
    <w:rsid w:val="00167DF7"/>
    <w:rsid w:val="00170641"/>
    <w:rsid w:val="00170652"/>
    <w:rsid w:val="00170C78"/>
    <w:rsid w:val="00171277"/>
    <w:rsid w:val="00171DD2"/>
    <w:rsid w:val="001728C0"/>
    <w:rsid w:val="001743C6"/>
    <w:rsid w:val="001747B9"/>
    <w:rsid w:val="00174873"/>
    <w:rsid w:val="0017561E"/>
    <w:rsid w:val="00176538"/>
    <w:rsid w:val="00176938"/>
    <w:rsid w:val="00176A41"/>
    <w:rsid w:val="00176F4B"/>
    <w:rsid w:val="001771C3"/>
    <w:rsid w:val="001775C0"/>
    <w:rsid w:val="00177F97"/>
    <w:rsid w:val="00177FD8"/>
    <w:rsid w:val="00180123"/>
    <w:rsid w:val="001804B1"/>
    <w:rsid w:val="001804FD"/>
    <w:rsid w:val="00181271"/>
    <w:rsid w:val="00181884"/>
    <w:rsid w:val="0018216E"/>
    <w:rsid w:val="0018259F"/>
    <w:rsid w:val="00182F79"/>
    <w:rsid w:val="0018309C"/>
    <w:rsid w:val="001835E8"/>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5334"/>
    <w:rsid w:val="00195846"/>
    <w:rsid w:val="001976CB"/>
    <w:rsid w:val="00197A33"/>
    <w:rsid w:val="00197E75"/>
    <w:rsid w:val="001A054D"/>
    <w:rsid w:val="001A0C6F"/>
    <w:rsid w:val="001A126A"/>
    <w:rsid w:val="001A1405"/>
    <w:rsid w:val="001A1ED0"/>
    <w:rsid w:val="001A3382"/>
    <w:rsid w:val="001A4EB0"/>
    <w:rsid w:val="001A5C20"/>
    <w:rsid w:val="001A6144"/>
    <w:rsid w:val="001A6277"/>
    <w:rsid w:val="001A671D"/>
    <w:rsid w:val="001A6C33"/>
    <w:rsid w:val="001A6F28"/>
    <w:rsid w:val="001B096F"/>
    <w:rsid w:val="001B0AFE"/>
    <w:rsid w:val="001B1A91"/>
    <w:rsid w:val="001B251D"/>
    <w:rsid w:val="001B27F1"/>
    <w:rsid w:val="001B39DE"/>
    <w:rsid w:val="001B3AF9"/>
    <w:rsid w:val="001B5343"/>
    <w:rsid w:val="001B5431"/>
    <w:rsid w:val="001B792F"/>
    <w:rsid w:val="001C0FB8"/>
    <w:rsid w:val="001C14FE"/>
    <w:rsid w:val="001C1602"/>
    <w:rsid w:val="001C19FA"/>
    <w:rsid w:val="001C21F6"/>
    <w:rsid w:val="001C2224"/>
    <w:rsid w:val="001C2607"/>
    <w:rsid w:val="001C32A7"/>
    <w:rsid w:val="001C34DD"/>
    <w:rsid w:val="001C3516"/>
    <w:rsid w:val="001C3BFB"/>
    <w:rsid w:val="001C483E"/>
    <w:rsid w:val="001C4CDA"/>
    <w:rsid w:val="001C4DEE"/>
    <w:rsid w:val="001C568A"/>
    <w:rsid w:val="001C5C35"/>
    <w:rsid w:val="001C6283"/>
    <w:rsid w:val="001C6AAC"/>
    <w:rsid w:val="001C6D72"/>
    <w:rsid w:val="001C735C"/>
    <w:rsid w:val="001C7770"/>
    <w:rsid w:val="001C7A22"/>
    <w:rsid w:val="001C7BE3"/>
    <w:rsid w:val="001D0E45"/>
    <w:rsid w:val="001D196A"/>
    <w:rsid w:val="001D2005"/>
    <w:rsid w:val="001D34C3"/>
    <w:rsid w:val="001D35EC"/>
    <w:rsid w:val="001D3DC6"/>
    <w:rsid w:val="001D4604"/>
    <w:rsid w:val="001D4E6F"/>
    <w:rsid w:val="001D542A"/>
    <w:rsid w:val="001D680B"/>
    <w:rsid w:val="001D6CFC"/>
    <w:rsid w:val="001D7BF6"/>
    <w:rsid w:val="001D7F88"/>
    <w:rsid w:val="001E0439"/>
    <w:rsid w:val="001E0AA3"/>
    <w:rsid w:val="001E0E9C"/>
    <w:rsid w:val="001E1669"/>
    <w:rsid w:val="001E20E3"/>
    <w:rsid w:val="001E2639"/>
    <w:rsid w:val="001E2909"/>
    <w:rsid w:val="001E31AC"/>
    <w:rsid w:val="001E3631"/>
    <w:rsid w:val="001E5D86"/>
    <w:rsid w:val="001E78C7"/>
    <w:rsid w:val="001E7A49"/>
    <w:rsid w:val="001E7F74"/>
    <w:rsid w:val="001F00DA"/>
    <w:rsid w:val="001F0499"/>
    <w:rsid w:val="001F196C"/>
    <w:rsid w:val="001F37DD"/>
    <w:rsid w:val="001F3C27"/>
    <w:rsid w:val="001F4387"/>
    <w:rsid w:val="001F4877"/>
    <w:rsid w:val="001F4E16"/>
    <w:rsid w:val="001F5506"/>
    <w:rsid w:val="001F5547"/>
    <w:rsid w:val="001F5925"/>
    <w:rsid w:val="001F5D38"/>
    <w:rsid w:val="001F74A0"/>
    <w:rsid w:val="0020029C"/>
    <w:rsid w:val="002012F3"/>
    <w:rsid w:val="002015C0"/>
    <w:rsid w:val="00201EEE"/>
    <w:rsid w:val="00202AC1"/>
    <w:rsid w:val="00202FC3"/>
    <w:rsid w:val="002036CF"/>
    <w:rsid w:val="00203FDF"/>
    <w:rsid w:val="00204A71"/>
    <w:rsid w:val="00204B2D"/>
    <w:rsid w:val="00204EC3"/>
    <w:rsid w:val="002069F2"/>
    <w:rsid w:val="00207821"/>
    <w:rsid w:val="002106A6"/>
    <w:rsid w:val="00210843"/>
    <w:rsid w:val="00211048"/>
    <w:rsid w:val="0021121B"/>
    <w:rsid w:val="00211EB0"/>
    <w:rsid w:val="00212E18"/>
    <w:rsid w:val="00214A7F"/>
    <w:rsid w:val="00214BB6"/>
    <w:rsid w:val="0021582F"/>
    <w:rsid w:val="00215DA0"/>
    <w:rsid w:val="00215F16"/>
    <w:rsid w:val="002176F2"/>
    <w:rsid w:val="0021789D"/>
    <w:rsid w:val="00217A53"/>
    <w:rsid w:val="00220D2A"/>
    <w:rsid w:val="0022144B"/>
    <w:rsid w:val="00221455"/>
    <w:rsid w:val="00221C87"/>
    <w:rsid w:val="00221DEF"/>
    <w:rsid w:val="00222853"/>
    <w:rsid w:val="002233A7"/>
    <w:rsid w:val="00223484"/>
    <w:rsid w:val="00223F36"/>
    <w:rsid w:val="002241E3"/>
    <w:rsid w:val="002245DB"/>
    <w:rsid w:val="00224A40"/>
    <w:rsid w:val="00224C11"/>
    <w:rsid w:val="00226A4E"/>
    <w:rsid w:val="002277CD"/>
    <w:rsid w:val="002279F5"/>
    <w:rsid w:val="002302A0"/>
    <w:rsid w:val="00230393"/>
    <w:rsid w:val="00230681"/>
    <w:rsid w:val="002309C4"/>
    <w:rsid w:val="00231A4A"/>
    <w:rsid w:val="002320FF"/>
    <w:rsid w:val="00232D74"/>
    <w:rsid w:val="002346ED"/>
    <w:rsid w:val="00234FBE"/>
    <w:rsid w:val="0023549E"/>
    <w:rsid w:val="00235AFA"/>
    <w:rsid w:val="00235E9E"/>
    <w:rsid w:val="00236014"/>
    <w:rsid w:val="0023649F"/>
    <w:rsid w:val="00241842"/>
    <w:rsid w:val="00241D5E"/>
    <w:rsid w:val="00242FA4"/>
    <w:rsid w:val="0024318E"/>
    <w:rsid w:val="00243FE7"/>
    <w:rsid w:val="002442A7"/>
    <w:rsid w:val="002447B5"/>
    <w:rsid w:val="002449DA"/>
    <w:rsid w:val="0024511F"/>
    <w:rsid w:val="00245507"/>
    <w:rsid w:val="002456CD"/>
    <w:rsid w:val="00246715"/>
    <w:rsid w:val="00246905"/>
    <w:rsid w:val="002474C4"/>
    <w:rsid w:val="00250436"/>
    <w:rsid w:val="00251D8E"/>
    <w:rsid w:val="00252791"/>
    <w:rsid w:val="00252A45"/>
    <w:rsid w:val="00253D60"/>
    <w:rsid w:val="00254BA2"/>
    <w:rsid w:val="00254CED"/>
    <w:rsid w:val="00255253"/>
    <w:rsid w:val="00255CBA"/>
    <w:rsid w:val="002560F3"/>
    <w:rsid w:val="00256245"/>
    <w:rsid w:val="0025744B"/>
    <w:rsid w:val="00261A0E"/>
    <w:rsid w:val="00262A02"/>
    <w:rsid w:val="00262A30"/>
    <w:rsid w:val="00263A0C"/>
    <w:rsid w:val="00263B64"/>
    <w:rsid w:val="00263D6A"/>
    <w:rsid w:val="00264DFF"/>
    <w:rsid w:val="002656C7"/>
    <w:rsid w:val="00265C5F"/>
    <w:rsid w:val="00265D69"/>
    <w:rsid w:val="00266A4B"/>
    <w:rsid w:val="00266B75"/>
    <w:rsid w:val="00266DEE"/>
    <w:rsid w:val="0026703F"/>
    <w:rsid w:val="0026724A"/>
    <w:rsid w:val="00267DEE"/>
    <w:rsid w:val="00267F90"/>
    <w:rsid w:val="0027047D"/>
    <w:rsid w:val="00271F23"/>
    <w:rsid w:val="00272C43"/>
    <w:rsid w:val="00272E77"/>
    <w:rsid w:val="0027343C"/>
    <w:rsid w:val="00273B93"/>
    <w:rsid w:val="002758DC"/>
    <w:rsid w:val="00275919"/>
    <w:rsid w:val="00275B68"/>
    <w:rsid w:val="002764D4"/>
    <w:rsid w:val="00277039"/>
    <w:rsid w:val="0027709A"/>
    <w:rsid w:val="002770D7"/>
    <w:rsid w:val="00280124"/>
    <w:rsid w:val="0028098C"/>
    <w:rsid w:val="00282BF8"/>
    <w:rsid w:val="002834E4"/>
    <w:rsid w:val="0028476A"/>
    <w:rsid w:val="00285517"/>
    <w:rsid w:val="002855DF"/>
    <w:rsid w:val="0028588D"/>
    <w:rsid w:val="00285A1E"/>
    <w:rsid w:val="00286C3F"/>
    <w:rsid w:val="00286EE5"/>
    <w:rsid w:val="0029035C"/>
    <w:rsid w:val="00290396"/>
    <w:rsid w:val="00290768"/>
    <w:rsid w:val="00290FA2"/>
    <w:rsid w:val="0029236F"/>
    <w:rsid w:val="002935A2"/>
    <w:rsid w:val="002936F5"/>
    <w:rsid w:val="00293AF4"/>
    <w:rsid w:val="00294332"/>
    <w:rsid w:val="00294A61"/>
    <w:rsid w:val="00294D8A"/>
    <w:rsid w:val="00295A5F"/>
    <w:rsid w:val="002966E1"/>
    <w:rsid w:val="00296B80"/>
    <w:rsid w:val="00296F54"/>
    <w:rsid w:val="00297E2F"/>
    <w:rsid w:val="002A0082"/>
    <w:rsid w:val="002A29C7"/>
    <w:rsid w:val="002A29DE"/>
    <w:rsid w:val="002A2ABC"/>
    <w:rsid w:val="002A2B44"/>
    <w:rsid w:val="002A34AF"/>
    <w:rsid w:val="002A6C43"/>
    <w:rsid w:val="002A72F8"/>
    <w:rsid w:val="002B0491"/>
    <w:rsid w:val="002B1037"/>
    <w:rsid w:val="002B177B"/>
    <w:rsid w:val="002B285B"/>
    <w:rsid w:val="002B2F7E"/>
    <w:rsid w:val="002B34DC"/>
    <w:rsid w:val="002B3613"/>
    <w:rsid w:val="002B4186"/>
    <w:rsid w:val="002B57C8"/>
    <w:rsid w:val="002B64D5"/>
    <w:rsid w:val="002B6D41"/>
    <w:rsid w:val="002C0158"/>
    <w:rsid w:val="002C0A0F"/>
    <w:rsid w:val="002C227E"/>
    <w:rsid w:val="002C2499"/>
    <w:rsid w:val="002C2EBD"/>
    <w:rsid w:val="002C351A"/>
    <w:rsid w:val="002C4CA0"/>
    <w:rsid w:val="002C6569"/>
    <w:rsid w:val="002C6603"/>
    <w:rsid w:val="002C6E2B"/>
    <w:rsid w:val="002C701C"/>
    <w:rsid w:val="002C7398"/>
    <w:rsid w:val="002D0870"/>
    <w:rsid w:val="002D0AF0"/>
    <w:rsid w:val="002D1DA1"/>
    <w:rsid w:val="002D2120"/>
    <w:rsid w:val="002D24EF"/>
    <w:rsid w:val="002D3078"/>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51A7"/>
    <w:rsid w:val="002E61AA"/>
    <w:rsid w:val="002E6461"/>
    <w:rsid w:val="002E65D3"/>
    <w:rsid w:val="002E6B0A"/>
    <w:rsid w:val="002E6C81"/>
    <w:rsid w:val="002E7552"/>
    <w:rsid w:val="002F008F"/>
    <w:rsid w:val="002F0D15"/>
    <w:rsid w:val="002F26D0"/>
    <w:rsid w:val="002F3813"/>
    <w:rsid w:val="002F3DCD"/>
    <w:rsid w:val="002F41C9"/>
    <w:rsid w:val="002F432B"/>
    <w:rsid w:val="002F46F4"/>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C33"/>
    <w:rsid w:val="0030432F"/>
    <w:rsid w:val="003043DF"/>
    <w:rsid w:val="00305675"/>
    <w:rsid w:val="003063B6"/>
    <w:rsid w:val="00307021"/>
    <w:rsid w:val="003072A5"/>
    <w:rsid w:val="0030760F"/>
    <w:rsid w:val="00307785"/>
    <w:rsid w:val="003077AF"/>
    <w:rsid w:val="00307F9D"/>
    <w:rsid w:val="00310B2A"/>
    <w:rsid w:val="003112E3"/>
    <w:rsid w:val="00311B92"/>
    <w:rsid w:val="0031203F"/>
    <w:rsid w:val="0031253A"/>
    <w:rsid w:val="0031256C"/>
    <w:rsid w:val="00312794"/>
    <w:rsid w:val="003129AB"/>
    <w:rsid w:val="00313956"/>
    <w:rsid w:val="00313FDD"/>
    <w:rsid w:val="00314C6C"/>
    <w:rsid w:val="003150F2"/>
    <w:rsid w:val="00315729"/>
    <w:rsid w:val="00316BBE"/>
    <w:rsid w:val="00321169"/>
    <w:rsid w:val="003212F5"/>
    <w:rsid w:val="003214A7"/>
    <w:rsid w:val="003224F8"/>
    <w:rsid w:val="0032258C"/>
    <w:rsid w:val="00322FF8"/>
    <w:rsid w:val="003247F6"/>
    <w:rsid w:val="0032537F"/>
    <w:rsid w:val="0032552F"/>
    <w:rsid w:val="0032607E"/>
    <w:rsid w:val="00327285"/>
    <w:rsid w:val="0032758A"/>
    <w:rsid w:val="00327A0C"/>
    <w:rsid w:val="00327D55"/>
    <w:rsid w:val="003301DA"/>
    <w:rsid w:val="0033087B"/>
    <w:rsid w:val="00331ADC"/>
    <w:rsid w:val="00331BC0"/>
    <w:rsid w:val="0033209B"/>
    <w:rsid w:val="0033269A"/>
    <w:rsid w:val="00332C07"/>
    <w:rsid w:val="00334786"/>
    <w:rsid w:val="00334BA3"/>
    <w:rsid w:val="00336346"/>
    <w:rsid w:val="00337634"/>
    <w:rsid w:val="00337824"/>
    <w:rsid w:val="00337CC0"/>
    <w:rsid w:val="003409D5"/>
    <w:rsid w:val="00341075"/>
    <w:rsid w:val="00342CBB"/>
    <w:rsid w:val="00343E8D"/>
    <w:rsid w:val="00346080"/>
    <w:rsid w:val="00346186"/>
    <w:rsid w:val="00346705"/>
    <w:rsid w:val="00346809"/>
    <w:rsid w:val="00346BA2"/>
    <w:rsid w:val="003478A4"/>
    <w:rsid w:val="00350244"/>
    <w:rsid w:val="003515F6"/>
    <w:rsid w:val="00353DA4"/>
    <w:rsid w:val="00354128"/>
    <w:rsid w:val="00356870"/>
    <w:rsid w:val="00356ECF"/>
    <w:rsid w:val="00357BD5"/>
    <w:rsid w:val="00361EB3"/>
    <w:rsid w:val="00362401"/>
    <w:rsid w:val="00362FEC"/>
    <w:rsid w:val="00363188"/>
    <w:rsid w:val="0036352C"/>
    <w:rsid w:val="003638AF"/>
    <w:rsid w:val="00363F9E"/>
    <w:rsid w:val="00364598"/>
    <w:rsid w:val="003651C8"/>
    <w:rsid w:val="00365502"/>
    <w:rsid w:val="003661F1"/>
    <w:rsid w:val="003673A2"/>
    <w:rsid w:val="00370178"/>
    <w:rsid w:val="0037043E"/>
    <w:rsid w:val="00370E12"/>
    <w:rsid w:val="003712B0"/>
    <w:rsid w:val="00372B92"/>
    <w:rsid w:val="00373020"/>
    <w:rsid w:val="003731B0"/>
    <w:rsid w:val="00373D70"/>
    <w:rsid w:val="00373FE7"/>
    <w:rsid w:val="003740FB"/>
    <w:rsid w:val="00375850"/>
    <w:rsid w:val="00375B64"/>
    <w:rsid w:val="0037698C"/>
    <w:rsid w:val="0037768A"/>
    <w:rsid w:val="00381E63"/>
    <w:rsid w:val="0038211A"/>
    <w:rsid w:val="003825FC"/>
    <w:rsid w:val="003829A9"/>
    <w:rsid w:val="00382BC3"/>
    <w:rsid w:val="00383B17"/>
    <w:rsid w:val="00383E47"/>
    <w:rsid w:val="00383E67"/>
    <w:rsid w:val="00384755"/>
    <w:rsid w:val="003851CC"/>
    <w:rsid w:val="00385F2F"/>
    <w:rsid w:val="00386221"/>
    <w:rsid w:val="00387262"/>
    <w:rsid w:val="00387444"/>
    <w:rsid w:val="003874DF"/>
    <w:rsid w:val="0039035E"/>
    <w:rsid w:val="00390668"/>
    <w:rsid w:val="00390BF3"/>
    <w:rsid w:val="003911C3"/>
    <w:rsid w:val="003913C5"/>
    <w:rsid w:val="00391C33"/>
    <w:rsid w:val="00393042"/>
    <w:rsid w:val="0039317D"/>
    <w:rsid w:val="0039385A"/>
    <w:rsid w:val="00394BB0"/>
    <w:rsid w:val="00394C8C"/>
    <w:rsid w:val="0039527D"/>
    <w:rsid w:val="0039579D"/>
    <w:rsid w:val="0039675C"/>
    <w:rsid w:val="003967B8"/>
    <w:rsid w:val="00396F06"/>
    <w:rsid w:val="00397085"/>
    <w:rsid w:val="00397707"/>
    <w:rsid w:val="00397BF1"/>
    <w:rsid w:val="003A006F"/>
    <w:rsid w:val="003A1A03"/>
    <w:rsid w:val="003A216F"/>
    <w:rsid w:val="003A2242"/>
    <w:rsid w:val="003A22C6"/>
    <w:rsid w:val="003A369F"/>
    <w:rsid w:val="003A3A89"/>
    <w:rsid w:val="003A45B4"/>
    <w:rsid w:val="003A6A82"/>
    <w:rsid w:val="003A75FA"/>
    <w:rsid w:val="003B008F"/>
    <w:rsid w:val="003B0C51"/>
    <w:rsid w:val="003B1559"/>
    <w:rsid w:val="003B2440"/>
    <w:rsid w:val="003B32CA"/>
    <w:rsid w:val="003B371D"/>
    <w:rsid w:val="003B4B55"/>
    <w:rsid w:val="003B5238"/>
    <w:rsid w:val="003B5304"/>
    <w:rsid w:val="003B536B"/>
    <w:rsid w:val="003B6B60"/>
    <w:rsid w:val="003B6F9D"/>
    <w:rsid w:val="003B7127"/>
    <w:rsid w:val="003B794A"/>
    <w:rsid w:val="003B7A12"/>
    <w:rsid w:val="003C0312"/>
    <w:rsid w:val="003C0A31"/>
    <w:rsid w:val="003C0ACC"/>
    <w:rsid w:val="003C0FCB"/>
    <w:rsid w:val="003C1158"/>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54"/>
    <w:rsid w:val="003D0197"/>
    <w:rsid w:val="003D0A0E"/>
    <w:rsid w:val="003D1503"/>
    <w:rsid w:val="003D1722"/>
    <w:rsid w:val="003D1AC5"/>
    <w:rsid w:val="003D2BAE"/>
    <w:rsid w:val="003D3026"/>
    <w:rsid w:val="003D3496"/>
    <w:rsid w:val="003D3B20"/>
    <w:rsid w:val="003D3EEA"/>
    <w:rsid w:val="003D63E1"/>
    <w:rsid w:val="003D6BDB"/>
    <w:rsid w:val="003D6EFA"/>
    <w:rsid w:val="003D7955"/>
    <w:rsid w:val="003E0233"/>
    <w:rsid w:val="003E199C"/>
    <w:rsid w:val="003E2E9E"/>
    <w:rsid w:val="003E2EBB"/>
    <w:rsid w:val="003E4188"/>
    <w:rsid w:val="003E4895"/>
    <w:rsid w:val="003E5129"/>
    <w:rsid w:val="003E52FC"/>
    <w:rsid w:val="003E5548"/>
    <w:rsid w:val="003E79BA"/>
    <w:rsid w:val="003F0478"/>
    <w:rsid w:val="003F0E49"/>
    <w:rsid w:val="003F11E9"/>
    <w:rsid w:val="003F1F6C"/>
    <w:rsid w:val="003F3046"/>
    <w:rsid w:val="003F3DAA"/>
    <w:rsid w:val="003F45D2"/>
    <w:rsid w:val="003F4F87"/>
    <w:rsid w:val="003F5291"/>
    <w:rsid w:val="003F54AB"/>
    <w:rsid w:val="003F5643"/>
    <w:rsid w:val="003F5810"/>
    <w:rsid w:val="003F5F08"/>
    <w:rsid w:val="003F6787"/>
    <w:rsid w:val="003F753B"/>
    <w:rsid w:val="003F7CA9"/>
    <w:rsid w:val="00401A45"/>
    <w:rsid w:val="004027BC"/>
    <w:rsid w:val="004033A1"/>
    <w:rsid w:val="00403786"/>
    <w:rsid w:val="0040384C"/>
    <w:rsid w:val="00403910"/>
    <w:rsid w:val="00404BF1"/>
    <w:rsid w:val="00405360"/>
    <w:rsid w:val="00405AC6"/>
    <w:rsid w:val="004066C0"/>
    <w:rsid w:val="00406758"/>
    <w:rsid w:val="00407556"/>
    <w:rsid w:val="00407793"/>
    <w:rsid w:val="00410CD6"/>
    <w:rsid w:val="0041228E"/>
    <w:rsid w:val="00413E37"/>
    <w:rsid w:val="004141D1"/>
    <w:rsid w:val="0041532A"/>
    <w:rsid w:val="00415938"/>
    <w:rsid w:val="00415D09"/>
    <w:rsid w:val="00416859"/>
    <w:rsid w:val="004169AC"/>
    <w:rsid w:val="0041703F"/>
    <w:rsid w:val="00417136"/>
    <w:rsid w:val="00417457"/>
    <w:rsid w:val="004177E0"/>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745"/>
    <w:rsid w:val="00430FA1"/>
    <w:rsid w:val="004316EE"/>
    <w:rsid w:val="00431EA1"/>
    <w:rsid w:val="00431FF9"/>
    <w:rsid w:val="00432214"/>
    <w:rsid w:val="004322C0"/>
    <w:rsid w:val="00433772"/>
    <w:rsid w:val="0043377D"/>
    <w:rsid w:val="00434CCA"/>
    <w:rsid w:val="004352C1"/>
    <w:rsid w:val="00435DE9"/>
    <w:rsid w:val="0043671D"/>
    <w:rsid w:val="004405DF"/>
    <w:rsid w:val="00440799"/>
    <w:rsid w:val="00442247"/>
    <w:rsid w:val="00442734"/>
    <w:rsid w:val="00443340"/>
    <w:rsid w:val="00443DCA"/>
    <w:rsid w:val="00444D65"/>
    <w:rsid w:val="00444DB3"/>
    <w:rsid w:val="00444F10"/>
    <w:rsid w:val="0044521D"/>
    <w:rsid w:val="004474C4"/>
    <w:rsid w:val="004478B3"/>
    <w:rsid w:val="00450BBC"/>
    <w:rsid w:val="00451B9B"/>
    <w:rsid w:val="00453EDA"/>
    <w:rsid w:val="004543F7"/>
    <w:rsid w:val="00454EF2"/>
    <w:rsid w:val="004556A9"/>
    <w:rsid w:val="00455877"/>
    <w:rsid w:val="00455B39"/>
    <w:rsid w:val="00461133"/>
    <w:rsid w:val="00461DF5"/>
    <w:rsid w:val="00461EB3"/>
    <w:rsid w:val="00462295"/>
    <w:rsid w:val="00462551"/>
    <w:rsid w:val="00462839"/>
    <w:rsid w:val="00462AAB"/>
    <w:rsid w:val="00464CDE"/>
    <w:rsid w:val="00465698"/>
    <w:rsid w:val="004658DB"/>
    <w:rsid w:val="00466CEB"/>
    <w:rsid w:val="00466E20"/>
    <w:rsid w:val="0046745E"/>
    <w:rsid w:val="004674BE"/>
    <w:rsid w:val="00467769"/>
    <w:rsid w:val="004679AA"/>
    <w:rsid w:val="00467E74"/>
    <w:rsid w:val="00467FFC"/>
    <w:rsid w:val="0047089B"/>
    <w:rsid w:val="00471437"/>
    <w:rsid w:val="00471563"/>
    <w:rsid w:val="00471607"/>
    <w:rsid w:val="00471A1C"/>
    <w:rsid w:val="0047222B"/>
    <w:rsid w:val="0047387F"/>
    <w:rsid w:val="004752F4"/>
    <w:rsid w:val="004755B7"/>
    <w:rsid w:val="00475771"/>
    <w:rsid w:val="00475B0B"/>
    <w:rsid w:val="00477A4D"/>
    <w:rsid w:val="00477E52"/>
    <w:rsid w:val="00480AF9"/>
    <w:rsid w:val="00480E49"/>
    <w:rsid w:val="00484818"/>
    <w:rsid w:val="00484EE6"/>
    <w:rsid w:val="004860F7"/>
    <w:rsid w:val="00487288"/>
    <w:rsid w:val="004908DC"/>
    <w:rsid w:val="004914A0"/>
    <w:rsid w:val="00491817"/>
    <w:rsid w:val="00491A3F"/>
    <w:rsid w:val="0049297B"/>
    <w:rsid w:val="004936C4"/>
    <w:rsid w:val="00494F73"/>
    <w:rsid w:val="004956A8"/>
    <w:rsid w:val="00495820"/>
    <w:rsid w:val="00495920"/>
    <w:rsid w:val="00495DDE"/>
    <w:rsid w:val="00497CF3"/>
    <w:rsid w:val="004A007E"/>
    <w:rsid w:val="004A00B2"/>
    <w:rsid w:val="004A02B4"/>
    <w:rsid w:val="004A0330"/>
    <w:rsid w:val="004A0420"/>
    <w:rsid w:val="004A0799"/>
    <w:rsid w:val="004A0819"/>
    <w:rsid w:val="004A16B6"/>
    <w:rsid w:val="004A17B2"/>
    <w:rsid w:val="004A290F"/>
    <w:rsid w:val="004A2D1A"/>
    <w:rsid w:val="004A3CC6"/>
    <w:rsid w:val="004A45C1"/>
    <w:rsid w:val="004A5199"/>
    <w:rsid w:val="004A7A79"/>
    <w:rsid w:val="004B0934"/>
    <w:rsid w:val="004B0E1C"/>
    <w:rsid w:val="004B0F98"/>
    <w:rsid w:val="004B1253"/>
    <w:rsid w:val="004B1367"/>
    <w:rsid w:val="004B14F5"/>
    <w:rsid w:val="004B1C86"/>
    <w:rsid w:val="004B217A"/>
    <w:rsid w:val="004B21B7"/>
    <w:rsid w:val="004B2788"/>
    <w:rsid w:val="004B40B0"/>
    <w:rsid w:val="004B5AE3"/>
    <w:rsid w:val="004B6916"/>
    <w:rsid w:val="004B6AD9"/>
    <w:rsid w:val="004B6F82"/>
    <w:rsid w:val="004B7367"/>
    <w:rsid w:val="004B77B2"/>
    <w:rsid w:val="004C1098"/>
    <w:rsid w:val="004C1250"/>
    <w:rsid w:val="004C14C6"/>
    <w:rsid w:val="004C203A"/>
    <w:rsid w:val="004C4996"/>
    <w:rsid w:val="004C4DD1"/>
    <w:rsid w:val="004C5255"/>
    <w:rsid w:val="004C6D56"/>
    <w:rsid w:val="004C7173"/>
    <w:rsid w:val="004C7A10"/>
    <w:rsid w:val="004D1761"/>
    <w:rsid w:val="004D1B5D"/>
    <w:rsid w:val="004D1DC7"/>
    <w:rsid w:val="004D2BB8"/>
    <w:rsid w:val="004D2C4C"/>
    <w:rsid w:val="004D2EC8"/>
    <w:rsid w:val="004D32CF"/>
    <w:rsid w:val="004D40E1"/>
    <w:rsid w:val="004D424D"/>
    <w:rsid w:val="004D4848"/>
    <w:rsid w:val="004D586F"/>
    <w:rsid w:val="004D58CA"/>
    <w:rsid w:val="004D6131"/>
    <w:rsid w:val="004D687F"/>
    <w:rsid w:val="004E073B"/>
    <w:rsid w:val="004E14C4"/>
    <w:rsid w:val="004E1AFF"/>
    <w:rsid w:val="004E2160"/>
    <w:rsid w:val="004E303C"/>
    <w:rsid w:val="004E32BC"/>
    <w:rsid w:val="004E355C"/>
    <w:rsid w:val="004E37FE"/>
    <w:rsid w:val="004E383E"/>
    <w:rsid w:val="004E485A"/>
    <w:rsid w:val="004E4968"/>
    <w:rsid w:val="004E4D80"/>
    <w:rsid w:val="004E4D92"/>
    <w:rsid w:val="004E5F80"/>
    <w:rsid w:val="004E6714"/>
    <w:rsid w:val="004E780F"/>
    <w:rsid w:val="004E7E0E"/>
    <w:rsid w:val="004F0C5E"/>
    <w:rsid w:val="004F16C6"/>
    <w:rsid w:val="004F3826"/>
    <w:rsid w:val="004F3BE5"/>
    <w:rsid w:val="004F4E2F"/>
    <w:rsid w:val="004F6344"/>
    <w:rsid w:val="004F687C"/>
    <w:rsid w:val="004F70AF"/>
    <w:rsid w:val="004F767F"/>
    <w:rsid w:val="004F7729"/>
    <w:rsid w:val="00500095"/>
    <w:rsid w:val="005002B0"/>
    <w:rsid w:val="00500BCD"/>
    <w:rsid w:val="00500DE4"/>
    <w:rsid w:val="005013EF"/>
    <w:rsid w:val="005014BA"/>
    <w:rsid w:val="00503E1F"/>
    <w:rsid w:val="00503F69"/>
    <w:rsid w:val="00503F9A"/>
    <w:rsid w:val="00504318"/>
    <w:rsid w:val="00504C42"/>
    <w:rsid w:val="00506422"/>
    <w:rsid w:val="00506C81"/>
    <w:rsid w:val="0050703C"/>
    <w:rsid w:val="00507A07"/>
    <w:rsid w:val="00507AD8"/>
    <w:rsid w:val="005111E1"/>
    <w:rsid w:val="00511CAF"/>
    <w:rsid w:val="00511F6B"/>
    <w:rsid w:val="0051244B"/>
    <w:rsid w:val="00512DBE"/>
    <w:rsid w:val="0051310B"/>
    <w:rsid w:val="005139F7"/>
    <w:rsid w:val="00514566"/>
    <w:rsid w:val="005166DB"/>
    <w:rsid w:val="00516BDE"/>
    <w:rsid w:val="00517F8B"/>
    <w:rsid w:val="005203D7"/>
    <w:rsid w:val="0052062D"/>
    <w:rsid w:val="00521D32"/>
    <w:rsid w:val="005227C9"/>
    <w:rsid w:val="00522889"/>
    <w:rsid w:val="00522EA7"/>
    <w:rsid w:val="00522F19"/>
    <w:rsid w:val="00523251"/>
    <w:rsid w:val="005232F6"/>
    <w:rsid w:val="005234EA"/>
    <w:rsid w:val="0052402F"/>
    <w:rsid w:val="0052497C"/>
    <w:rsid w:val="00524A74"/>
    <w:rsid w:val="00524B91"/>
    <w:rsid w:val="005251AF"/>
    <w:rsid w:val="00526BC2"/>
    <w:rsid w:val="005270FE"/>
    <w:rsid w:val="00530BC2"/>
    <w:rsid w:val="00531991"/>
    <w:rsid w:val="00532F5B"/>
    <w:rsid w:val="005346B9"/>
    <w:rsid w:val="00535419"/>
    <w:rsid w:val="0053628C"/>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7169"/>
    <w:rsid w:val="005473D5"/>
    <w:rsid w:val="00550741"/>
    <w:rsid w:val="00550AE9"/>
    <w:rsid w:val="00551B24"/>
    <w:rsid w:val="0055274E"/>
    <w:rsid w:val="005530A6"/>
    <w:rsid w:val="00553842"/>
    <w:rsid w:val="00554CA7"/>
    <w:rsid w:val="00554CCB"/>
    <w:rsid w:val="00555222"/>
    <w:rsid w:val="00557EAA"/>
    <w:rsid w:val="00560779"/>
    <w:rsid w:val="00561429"/>
    <w:rsid w:val="00561FFE"/>
    <w:rsid w:val="00563618"/>
    <w:rsid w:val="00563D2A"/>
    <w:rsid w:val="0056433E"/>
    <w:rsid w:val="00564C70"/>
    <w:rsid w:val="00564E31"/>
    <w:rsid w:val="0056542E"/>
    <w:rsid w:val="00565A4D"/>
    <w:rsid w:val="00565FFB"/>
    <w:rsid w:val="005705AD"/>
    <w:rsid w:val="005708A4"/>
    <w:rsid w:val="0057090F"/>
    <w:rsid w:val="0057105F"/>
    <w:rsid w:val="00571AAF"/>
    <w:rsid w:val="00571CCD"/>
    <w:rsid w:val="005721C3"/>
    <w:rsid w:val="005730C3"/>
    <w:rsid w:val="005747B6"/>
    <w:rsid w:val="0057509B"/>
    <w:rsid w:val="00575306"/>
    <w:rsid w:val="00575F0D"/>
    <w:rsid w:val="00575FBC"/>
    <w:rsid w:val="00577356"/>
    <w:rsid w:val="00580EC9"/>
    <w:rsid w:val="00581B84"/>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7910"/>
    <w:rsid w:val="00597911"/>
    <w:rsid w:val="0059791E"/>
    <w:rsid w:val="005A03A7"/>
    <w:rsid w:val="005A0C81"/>
    <w:rsid w:val="005A2127"/>
    <w:rsid w:val="005A34E3"/>
    <w:rsid w:val="005A3A05"/>
    <w:rsid w:val="005A4FCF"/>
    <w:rsid w:val="005A51AB"/>
    <w:rsid w:val="005A5251"/>
    <w:rsid w:val="005A65CA"/>
    <w:rsid w:val="005A6619"/>
    <w:rsid w:val="005A6788"/>
    <w:rsid w:val="005A6AB6"/>
    <w:rsid w:val="005A6FD9"/>
    <w:rsid w:val="005A706A"/>
    <w:rsid w:val="005B0A33"/>
    <w:rsid w:val="005B1B38"/>
    <w:rsid w:val="005B1CB9"/>
    <w:rsid w:val="005B1E8A"/>
    <w:rsid w:val="005B1EA5"/>
    <w:rsid w:val="005B238B"/>
    <w:rsid w:val="005B27AA"/>
    <w:rsid w:val="005B29AE"/>
    <w:rsid w:val="005B3863"/>
    <w:rsid w:val="005B4E6C"/>
    <w:rsid w:val="005B51EC"/>
    <w:rsid w:val="005B61E6"/>
    <w:rsid w:val="005B7129"/>
    <w:rsid w:val="005B76EE"/>
    <w:rsid w:val="005C1772"/>
    <w:rsid w:val="005C2C01"/>
    <w:rsid w:val="005C3FAD"/>
    <w:rsid w:val="005C4DAE"/>
    <w:rsid w:val="005C5388"/>
    <w:rsid w:val="005C5765"/>
    <w:rsid w:val="005C6C98"/>
    <w:rsid w:val="005C6FFD"/>
    <w:rsid w:val="005C72BA"/>
    <w:rsid w:val="005C79E2"/>
    <w:rsid w:val="005D0313"/>
    <w:rsid w:val="005D2406"/>
    <w:rsid w:val="005D2D17"/>
    <w:rsid w:val="005D3929"/>
    <w:rsid w:val="005D3F81"/>
    <w:rsid w:val="005D5C06"/>
    <w:rsid w:val="005D657B"/>
    <w:rsid w:val="005D7616"/>
    <w:rsid w:val="005E050E"/>
    <w:rsid w:val="005E0B4E"/>
    <w:rsid w:val="005E0BA8"/>
    <w:rsid w:val="005E0DE2"/>
    <w:rsid w:val="005E1136"/>
    <w:rsid w:val="005E1A10"/>
    <w:rsid w:val="005E1DE2"/>
    <w:rsid w:val="005E353C"/>
    <w:rsid w:val="005E3FDA"/>
    <w:rsid w:val="005E52F6"/>
    <w:rsid w:val="005E5738"/>
    <w:rsid w:val="005E5C36"/>
    <w:rsid w:val="005E792A"/>
    <w:rsid w:val="005E7A06"/>
    <w:rsid w:val="005F01B7"/>
    <w:rsid w:val="005F0DB2"/>
    <w:rsid w:val="005F1B98"/>
    <w:rsid w:val="005F2479"/>
    <w:rsid w:val="005F285C"/>
    <w:rsid w:val="005F2C4D"/>
    <w:rsid w:val="005F3575"/>
    <w:rsid w:val="005F3E08"/>
    <w:rsid w:val="005F4129"/>
    <w:rsid w:val="005F452E"/>
    <w:rsid w:val="005F45A9"/>
    <w:rsid w:val="005F496F"/>
    <w:rsid w:val="005F50DA"/>
    <w:rsid w:val="005F5341"/>
    <w:rsid w:val="005F54A9"/>
    <w:rsid w:val="005F6921"/>
    <w:rsid w:val="005F6BCA"/>
    <w:rsid w:val="005F7540"/>
    <w:rsid w:val="005F76B4"/>
    <w:rsid w:val="00600198"/>
    <w:rsid w:val="00602124"/>
    <w:rsid w:val="006031B3"/>
    <w:rsid w:val="00603B7C"/>
    <w:rsid w:val="00604BBD"/>
    <w:rsid w:val="00606E34"/>
    <w:rsid w:val="006075CF"/>
    <w:rsid w:val="00607B0B"/>
    <w:rsid w:val="00611266"/>
    <w:rsid w:val="006117BA"/>
    <w:rsid w:val="00611930"/>
    <w:rsid w:val="00611ACA"/>
    <w:rsid w:val="00612E4A"/>
    <w:rsid w:val="00612F03"/>
    <w:rsid w:val="00613103"/>
    <w:rsid w:val="00614465"/>
    <w:rsid w:val="0061528B"/>
    <w:rsid w:val="006174C2"/>
    <w:rsid w:val="00620237"/>
    <w:rsid w:val="00623C84"/>
    <w:rsid w:val="0062405E"/>
    <w:rsid w:val="006242E9"/>
    <w:rsid w:val="00624FDD"/>
    <w:rsid w:val="00625133"/>
    <w:rsid w:val="0062516F"/>
    <w:rsid w:val="00626331"/>
    <w:rsid w:val="00626D4C"/>
    <w:rsid w:val="00626D57"/>
    <w:rsid w:val="0062738F"/>
    <w:rsid w:val="0063081A"/>
    <w:rsid w:val="00630CC6"/>
    <w:rsid w:val="0063156D"/>
    <w:rsid w:val="00631677"/>
    <w:rsid w:val="00631845"/>
    <w:rsid w:val="00631AC4"/>
    <w:rsid w:val="00632337"/>
    <w:rsid w:val="0063386F"/>
    <w:rsid w:val="0063394D"/>
    <w:rsid w:val="0063401E"/>
    <w:rsid w:val="00634930"/>
    <w:rsid w:val="00635F20"/>
    <w:rsid w:val="00636ADA"/>
    <w:rsid w:val="00637143"/>
    <w:rsid w:val="00640133"/>
    <w:rsid w:val="006402D6"/>
    <w:rsid w:val="006406A1"/>
    <w:rsid w:val="00641170"/>
    <w:rsid w:val="006413C6"/>
    <w:rsid w:val="00641645"/>
    <w:rsid w:val="00641B0A"/>
    <w:rsid w:val="00642031"/>
    <w:rsid w:val="00642E48"/>
    <w:rsid w:val="00643CAF"/>
    <w:rsid w:val="0064493B"/>
    <w:rsid w:val="0064503E"/>
    <w:rsid w:val="00645751"/>
    <w:rsid w:val="0064593D"/>
    <w:rsid w:val="006465AF"/>
    <w:rsid w:val="00646E15"/>
    <w:rsid w:val="00647BBA"/>
    <w:rsid w:val="006504CF"/>
    <w:rsid w:val="006516C3"/>
    <w:rsid w:val="0065180A"/>
    <w:rsid w:val="00651A44"/>
    <w:rsid w:val="00651C3B"/>
    <w:rsid w:val="006534EF"/>
    <w:rsid w:val="00653819"/>
    <w:rsid w:val="006544A8"/>
    <w:rsid w:val="006551B9"/>
    <w:rsid w:val="00656724"/>
    <w:rsid w:val="00656F97"/>
    <w:rsid w:val="00657932"/>
    <w:rsid w:val="006579F6"/>
    <w:rsid w:val="00657B5A"/>
    <w:rsid w:val="00660240"/>
    <w:rsid w:val="00661934"/>
    <w:rsid w:val="00662C7F"/>
    <w:rsid w:val="00664278"/>
    <w:rsid w:val="00665923"/>
    <w:rsid w:val="00671720"/>
    <w:rsid w:val="00671D9B"/>
    <w:rsid w:val="006724F5"/>
    <w:rsid w:val="00672DBF"/>
    <w:rsid w:val="00675429"/>
    <w:rsid w:val="0067558D"/>
    <w:rsid w:val="0067606F"/>
    <w:rsid w:val="006761BC"/>
    <w:rsid w:val="0068007C"/>
    <w:rsid w:val="00680E51"/>
    <w:rsid w:val="00682089"/>
    <w:rsid w:val="00682A29"/>
    <w:rsid w:val="00684359"/>
    <w:rsid w:val="006854C2"/>
    <w:rsid w:val="006855CF"/>
    <w:rsid w:val="00686809"/>
    <w:rsid w:val="00687019"/>
    <w:rsid w:val="00687372"/>
    <w:rsid w:val="00687650"/>
    <w:rsid w:val="00687CE6"/>
    <w:rsid w:val="00690D4F"/>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777"/>
    <w:rsid w:val="006A1875"/>
    <w:rsid w:val="006A3701"/>
    <w:rsid w:val="006A3D34"/>
    <w:rsid w:val="006A485A"/>
    <w:rsid w:val="006A4A88"/>
    <w:rsid w:val="006A4B5F"/>
    <w:rsid w:val="006A596B"/>
    <w:rsid w:val="006A5999"/>
    <w:rsid w:val="006A5B53"/>
    <w:rsid w:val="006A6147"/>
    <w:rsid w:val="006A6328"/>
    <w:rsid w:val="006A6811"/>
    <w:rsid w:val="006A6EA1"/>
    <w:rsid w:val="006A6ECB"/>
    <w:rsid w:val="006A7CDA"/>
    <w:rsid w:val="006B0188"/>
    <w:rsid w:val="006B0591"/>
    <w:rsid w:val="006B06E1"/>
    <w:rsid w:val="006B0940"/>
    <w:rsid w:val="006B0A6A"/>
    <w:rsid w:val="006B15FB"/>
    <w:rsid w:val="006B18AE"/>
    <w:rsid w:val="006B1B55"/>
    <w:rsid w:val="006B2602"/>
    <w:rsid w:val="006B2A71"/>
    <w:rsid w:val="006B3F93"/>
    <w:rsid w:val="006B45C4"/>
    <w:rsid w:val="006B4910"/>
    <w:rsid w:val="006B4E8B"/>
    <w:rsid w:val="006B6586"/>
    <w:rsid w:val="006B6699"/>
    <w:rsid w:val="006B6C74"/>
    <w:rsid w:val="006C18C5"/>
    <w:rsid w:val="006C2647"/>
    <w:rsid w:val="006C2F92"/>
    <w:rsid w:val="006C3274"/>
    <w:rsid w:val="006C3367"/>
    <w:rsid w:val="006C4952"/>
    <w:rsid w:val="006C4AC5"/>
    <w:rsid w:val="006C574F"/>
    <w:rsid w:val="006C599C"/>
    <w:rsid w:val="006D0819"/>
    <w:rsid w:val="006D14DC"/>
    <w:rsid w:val="006D175A"/>
    <w:rsid w:val="006D1C64"/>
    <w:rsid w:val="006D1E6A"/>
    <w:rsid w:val="006D1EA5"/>
    <w:rsid w:val="006D31C7"/>
    <w:rsid w:val="006D380A"/>
    <w:rsid w:val="006D421B"/>
    <w:rsid w:val="006D4607"/>
    <w:rsid w:val="006D478A"/>
    <w:rsid w:val="006D52CC"/>
    <w:rsid w:val="006D6A87"/>
    <w:rsid w:val="006E022F"/>
    <w:rsid w:val="006E317C"/>
    <w:rsid w:val="006E674F"/>
    <w:rsid w:val="006E6765"/>
    <w:rsid w:val="006F01E4"/>
    <w:rsid w:val="006F16D0"/>
    <w:rsid w:val="006F1E80"/>
    <w:rsid w:val="006F27D1"/>
    <w:rsid w:val="006F362C"/>
    <w:rsid w:val="006F4CBA"/>
    <w:rsid w:val="006F5F1C"/>
    <w:rsid w:val="006F6790"/>
    <w:rsid w:val="006F6CB2"/>
    <w:rsid w:val="006F6EC6"/>
    <w:rsid w:val="006F732E"/>
    <w:rsid w:val="006F7A68"/>
    <w:rsid w:val="00701197"/>
    <w:rsid w:val="00701D4F"/>
    <w:rsid w:val="00703F7A"/>
    <w:rsid w:val="00704C2E"/>
    <w:rsid w:val="007065E5"/>
    <w:rsid w:val="007069B5"/>
    <w:rsid w:val="00706CB7"/>
    <w:rsid w:val="00707932"/>
    <w:rsid w:val="0071011F"/>
    <w:rsid w:val="007109DE"/>
    <w:rsid w:val="007111B6"/>
    <w:rsid w:val="0071176B"/>
    <w:rsid w:val="00714429"/>
    <w:rsid w:val="00714C5E"/>
    <w:rsid w:val="007153E8"/>
    <w:rsid w:val="00715AA0"/>
    <w:rsid w:val="00715C2E"/>
    <w:rsid w:val="007167F2"/>
    <w:rsid w:val="007171AF"/>
    <w:rsid w:val="0071773A"/>
    <w:rsid w:val="00717970"/>
    <w:rsid w:val="00720771"/>
    <w:rsid w:val="00721352"/>
    <w:rsid w:val="00721970"/>
    <w:rsid w:val="00721B6C"/>
    <w:rsid w:val="0072259E"/>
    <w:rsid w:val="0072317D"/>
    <w:rsid w:val="00723540"/>
    <w:rsid w:val="007235B8"/>
    <w:rsid w:val="007237D0"/>
    <w:rsid w:val="00724630"/>
    <w:rsid w:val="00724B53"/>
    <w:rsid w:val="00724E33"/>
    <w:rsid w:val="007253E0"/>
    <w:rsid w:val="00725EA1"/>
    <w:rsid w:val="00725EB8"/>
    <w:rsid w:val="00725FB4"/>
    <w:rsid w:val="007270D4"/>
    <w:rsid w:val="00727A0B"/>
    <w:rsid w:val="00727B8D"/>
    <w:rsid w:val="00727B9C"/>
    <w:rsid w:val="00730A06"/>
    <w:rsid w:val="00730EBF"/>
    <w:rsid w:val="0073134B"/>
    <w:rsid w:val="00731381"/>
    <w:rsid w:val="007314D1"/>
    <w:rsid w:val="00732BB0"/>
    <w:rsid w:val="00732EDE"/>
    <w:rsid w:val="007345D9"/>
    <w:rsid w:val="0073566D"/>
    <w:rsid w:val="00735BD4"/>
    <w:rsid w:val="00737B86"/>
    <w:rsid w:val="00740ACD"/>
    <w:rsid w:val="00740E33"/>
    <w:rsid w:val="00740E8D"/>
    <w:rsid w:val="00741186"/>
    <w:rsid w:val="00741A8F"/>
    <w:rsid w:val="00741F64"/>
    <w:rsid w:val="0074239B"/>
    <w:rsid w:val="00742659"/>
    <w:rsid w:val="0074375C"/>
    <w:rsid w:val="00743BA2"/>
    <w:rsid w:val="00744152"/>
    <w:rsid w:val="00744624"/>
    <w:rsid w:val="0074607C"/>
    <w:rsid w:val="007471F0"/>
    <w:rsid w:val="00747690"/>
    <w:rsid w:val="0074781F"/>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6053"/>
    <w:rsid w:val="007560EF"/>
    <w:rsid w:val="0075656A"/>
    <w:rsid w:val="0075797C"/>
    <w:rsid w:val="00757F38"/>
    <w:rsid w:val="0076080E"/>
    <w:rsid w:val="00760928"/>
    <w:rsid w:val="007618D9"/>
    <w:rsid w:val="00763EFC"/>
    <w:rsid w:val="00764282"/>
    <w:rsid w:val="0076476B"/>
    <w:rsid w:val="00765B77"/>
    <w:rsid w:val="00766E98"/>
    <w:rsid w:val="007676E7"/>
    <w:rsid w:val="007712D4"/>
    <w:rsid w:val="0077135E"/>
    <w:rsid w:val="00772AB8"/>
    <w:rsid w:val="00773321"/>
    <w:rsid w:val="0077432C"/>
    <w:rsid w:val="007748AF"/>
    <w:rsid w:val="00775F78"/>
    <w:rsid w:val="00776CEF"/>
    <w:rsid w:val="00777668"/>
    <w:rsid w:val="00781000"/>
    <w:rsid w:val="007810E6"/>
    <w:rsid w:val="00781F16"/>
    <w:rsid w:val="007822FE"/>
    <w:rsid w:val="00783085"/>
    <w:rsid w:val="007836D1"/>
    <w:rsid w:val="00785628"/>
    <w:rsid w:val="00787578"/>
    <w:rsid w:val="00787581"/>
    <w:rsid w:val="00787BF6"/>
    <w:rsid w:val="00791536"/>
    <w:rsid w:val="00791545"/>
    <w:rsid w:val="007917F1"/>
    <w:rsid w:val="0079362E"/>
    <w:rsid w:val="00793DD1"/>
    <w:rsid w:val="007946EF"/>
    <w:rsid w:val="007950E7"/>
    <w:rsid w:val="00795225"/>
    <w:rsid w:val="00796800"/>
    <w:rsid w:val="00796A6D"/>
    <w:rsid w:val="00796DFF"/>
    <w:rsid w:val="00797ABF"/>
    <w:rsid w:val="007A008E"/>
    <w:rsid w:val="007A04D3"/>
    <w:rsid w:val="007A25FE"/>
    <w:rsid w:val="007A3DD2"/>
    <w:rsid w:val="007A400A"/>
    <w:rsid w:val="007A433A"/>
    <w:rsid w:val="007A59C5"/>
    <w:rsid w:val="007A5D60"/>
    <w:rsid w:val="007A5FA0"/>
    <w:rsid w:val="007A6768"/>
    <w:rsid w:val="007A6B5D"/>
    <w:rsid w:val="007A75F9"/>
    <w:rsid w:val="007B1238"/>
    <w:rsid w:val="007B25CA"/>
    <w:rsid w:val="007B2FEC"/>
    <w:rsid w:val="007B4B9B"/>
    <w:rsid w:val="007B5DCC"/>
    <w:rsid w:val="007B64F7"/>
    <w:rsid w:val="007C05BA"/>
    <w:rsid w:val="007C0B8D"/>
    <w:rsid w:val="007C0C66"/>
    <w:rsid w:val="007C403B"/>
    <w:rsid w:val="007C55BA"/>
    <w:rsid w:val="007C624F"/>
    <w:rsid w:val="007D0553"/>
    <w:rsid w:val="007D12C1"/>
    <w:rsid w:val="007D13E7"/>
    <w:rsid w:val="007D1856"/>
    <w:rsid w:val="007D2EC1"/>
    <w:rsid w:val="007D30B3"/>
    <w:rsid w:val="007D376D"/>
    <w:rsid w:val="007D3C83"/>
    <w:rsid w:val="007D4EB3"/>
    <w:rsid w:val="007D590E"/>
    <w:rsid w:val="007D68F5"/>
    <w:rsid w:val="007D74ED"/>
    <w:rsid w:val="007D7861"/>
    <w:rsid w:val="007D787A"/>
    <w:rsid w:val="007D7996"/>
    <w:rsid w:val="007E03CF"/>
    <w:rsid w:val="007E23A9"/>
    <w:rsid w:val="007E28DC"/>
    <w:rsid w:val="007E2C59"/>
    <w:rsid w:val="007E2D5B"/>
    <w:rsid w:val="007E3287"/>
    <w:rsid w:val="007E3EE5"/>
    <w:rsid w:val="007E4510"/>
    <w:rsid w:val="007E5F04"/>
    <w:rsid w:val="007E6064"/>
    <w:rsid w:val="007E6E55"/>
    <w:rsid w:val="007E7CC1"/>
    <w:rsid w:val="007E7DC0"/>
    <w:rsid w:val="007E7F3C"/>
    <w:rsid w:val="007F0559"/>
    <w:rsid w:val="007F084C"/>
    <w:rsid w:val="007F110B"/>
    <w:rsid w:val="007F4CA0"/>
    <w:rsid w:val="007F6FA0"/>
    <w:rsid w:val="007F74D3"/>
    <w:rsid w:val="007F768A"/>
    <w:rsid w:val="007F7AE0"/>
    <w:rsid w:val="0080059A"/>
    <w:rsid w:val="0080245A"/>
    <w:rsid w:val="008027CB"/>
    <w:rsid w:val="008028E4"/>
    <w:rsid w:val="00802E69"/>
    <w:rsid w:val="00802FFF"/>
    <w:rsid w:val="00803802"/>
    <w:rsid w:val="00803B7D"/>
    <w:rsid w:val="00803BE5"/>
    <w:rsid w:val="00804B2B"/>
    <w:rsid w:val="00804F61"/>
    <w:rsid w:val="00805A33"/>
    <w:rsid w:val="00806930"/>
    <w:rsid w:val="008078FE"/>
    <w:rsid w:val="008108F5"/>
    <w:rsid w:val="0081161A"/>
    <w:rsid w:val="00811FD6"/>
    <w:rsid w:val="008136F9"/>
    <w:rsid w:val="00813B52"/>
    <w:rsid w:val="00813EBE"/>
    <w:rsid w:val="00814715"/>
    <w:rsid w:val="00815663"/>
    <w:rsid w:val="00815B90"/>
    <w:rsid w:val="0081630A"/>
    <w:rsid w:val="008213D0"/>
    <w:rsid w:val="00821757"/>
    <w:rsid w:val="0082195E"/>
    <w:rsid w:val="00822048"/>
    <w:rsid w:val="008226DD"/>
    <w:rsid w:val="00822C4E"/>
    <w:rsid w:val="00822E3B"/>
    <w:rsid w:val="00822F40"/>
    <w:rsid w:val="00822F42"/>
    <w:rsid w:val="00823811"/>
    <w:rsid w:val="00823B85"/>
    <w:rsid w:val="00824363"/>
    <w:rsid w:val="00826B2F"/>
    <w:rsid w:val="00827196"/>
    <w:rsid w:val="008274F1"/>
    <w:rsid w:val="00827544"/>
    <w:rsid w:val="00831797"/>
    <w:rsid w:val="00831E55"/>
    <w:rsid w:val="00833208"/>
    <w:rsid w:val="00833918"/>
    <w:rsid w:val="00834821"/>
    <w:rsid w:val="008353FD"/>
    <w:rsid w:val="00835F5E"/>
    <w:rsid w:val="00835FB4"/>
    <w:rsid w:val="0083626E"/>
    <w:rsid w:val="00837051"/>
    <w:rsid w:val="00837329"/>
    <w:rsid w:val="008376C1"/>
    <w:rsid w:val="00837B6D"/>
    <w:rsid w:val="00840750"/>
    <w:rsid w:val="008409B5"/>
    <w:rsid w:val="00840A4C"/>
    <w:rsid w:val="008415FA"/>
    <w:rsid w:val="008418C9"/>
    <w:rsid w:val="00842AD3"/>
    <w:rsid w:val="00842DE4"/>
    <w:rsid w:val="008438B2"/>
    <w:rsid w:val="00843A8A"/>
    <w:rsid w:val="008456F7"/>
    <w:rsid w:val="00846295"/>
    <w:rsid w:val="00846910"/>
    <w:rsid w:val="008477F8"/>
    <w:rsid w:val="00847AD0"/>
    <w:rsid w:val="0085035D"/>
    <w:rsid w:val="00850D60"/>
    <w:rsid w:val="0085122A"/>
    <w:rsid w:val="00851B62"/>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2F41"/>
    <w:rsid w:val="00863A28"/>
    <w:rsid w:val="008640CC"/>
    <w:rsid w:val="00864362"/>
    <w:rsid w:val="00864462"/>
    <w:rsid w:val="008649F6"/>
    <w:rsid w:val="00864ACF"/>
    <w:rsid w:val="00864D12"/>
    <w:rsid w:val="00865C5F"/>
    <w:rsid w:val="0086657E"/>
    <w:rsid w:val="008669C6"/>
    <w:rsid w:val="00866A02"/>
    <w:rsid w:val="0086742B"/>
    <w:rsid w:val="008705A8"/>
    <w:rsid w:val="0087216C"/>
    <w:rsid w:val="008722A5"/>
    <w:rsid w:val="00872BA1"/>
    <w:rsid w:val="00873C3B"/>
    <w:rsid w:val="00874095"/>
    <w:rsid w:val="008740E2"/>
    <w:rsid w:val="0087411A"/>
    <w:rsid w:val="008753FB"/>
    <w:rsid w:val="008757B7"/>
    <w:rsid w:val="008759ED"/>
    <w:rsid w:val="00877601"/>
    <w:rsid w:val="00877798"/>
    <w:rsid w:val="00877B2B"/>
    <w:rsid w:val="00877DCA"/>
    <w:rsid w:val="0088056F"/>
    <w:rsid w:val="008810D8"/>
    <w:rsid w:val="00882E04"/>
    <w:rsid w:val="008840ED"/>
    <w:rsid w:val="00884612"/>
    <w:rsid w:val="00884A62"/>
    <w:rsid w:val="00885797"/>
    <w:rsid w:val="00885C4F"/>
    <w:rsid w:val="00886ABE"/>
    <w:rsid w:val="00886AEE"/>
    <w:rsid w:val="008878E3"/>
    <w:rsid w:val="00887DBF"/>
    <w:rsid w:val="00892554"/>
    <w:rsid w:val="008959A0"/>
    <w:rsid w:val="00895D06"/>
    <w:rsid w:val="00896595"/>
    <w:rsid w:val="008966D3"/>
    <w:rsid w:val="008974AF"/>
    <w:rsid w:val="00897E5E"/>
    <w:rsid w:val="008A02A2"/>
    <w:rsid w:val="008A2E26"/>
    <w:rsid w:val="008A2FD9"/>
    <w:rsid w:val="008A388E"/>
    <w:rsid w:val="008A3F9D"/>
    <w:rsid w:val="008A4380"/>
    <w:rsid w:val="008A45C0"/>
    <w:rsid w:val="008A53F8"/>
    <w:rsid w:val="008A54D9"/>
    <w:rsid w:val="008A601C"/>
    <w:rsid w:val="008A671D"/>
    <w:rsid w:val="008A74AF"/>
    <w:rsid w:val="008A7FD4"/>
    <w:rsid w:val="008B3BA6"/>
    <w:rsid w:val="008B3D80"/>
    <w:rsid w:val="008B3FF5"/>
    <w:rsid w:val="008B62C9"/>
    <w:rsid w:val="008B6513"/>
    <w:rsid w:val="008B696D"/>
    <w:rsid w:val="008C146F"/>
    <w:rsid w:val="008C16E3"/>
    <w:rsid w:val="008C20E4"/>
    <w:rsid w:val="008C26B8"/>
    <w:rsid w:val="008C2FBB"/>
    <w:rsid w:val="008C3265"/>
    <w:rsid w:val="008C3647"/>
    <w:rsid w:val="008C3ABE"/>
    <w:rsid w:val="008C3DD2"/>
    <w:rsid w:val="008C40D2"/>
    <w:rsid w:val="008C511D"/>
    <w:rsid w:val="008C5951"/>
    <w:rsid w:val="008C7A2B"/>
    <w:rsid w:val="008C7C9F"/>
    <w:rsid w:val="008C7F50"/>
    <w:rsid w:val="008D24C9"/>
    <w:rsid w:val="008D312F"/>
    <w:rsid w:val="008D3581"/>
    <w:rsid w:val="008D42B6"/>
    <w:rsid w:val="008D729C"/>
    <w:rsid w:val="008D79F2"/>
    <w:rsid w:val="008E0EF3"/>
    <w:rsid w:val="008E1D76"/>
    <w:rsid w:val="008E1F65"/>
    <w:rsid w:val="008E2A77"/>
    <w:rsid w:val="008E397C"/>
    <w:rsid w:val="008E41EF"/>
    <w:rsid w:val="008E4476"/>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6E99"/>
    <w:rsid w:val="008F7E60"/>
    <w:rsid w:val="009010B2"/>
    <w:rsid w:val="00901232"/>
    <w:rsid w:val="0090205B"/>
    <w:rsid w:val="00903248"/>
    <w:rsid w:val="00903E66"/>
    <w:rsid w:val="00904587"/>
    <w:rsid w:val="00904C41"/>
    <w:rsid w:val="00904D8A"/>
    <w:rsid w:val="00905892"/>
    <w:rsid w:val="00905DD7"/>
    <w:rsid w:val="009064C5"/>
    <w:rsid w:val="0090718F"/>
    <w:rsid w:val="00907336"/>
    <w:rsid w:val="00907D9D"/>
    <w:rsid w:val="009109DA"/>
    <w:rsid w:val="009116F5"/>
    <w:rsid w:val="00911A99"/>
    <w:rsid w:val="00911E70"/>
    <w:rsid w:val="0091235D"/>
    <w:rsid w:val="00912BD4"/>
    <w:rsid w:val="00913BFB"/>
    <w:rsid w:val="00914527"/>
    <w:rsid w:val="00914C15"/>
    <w:rsid w:val="0091553A"/>
    <w:rsid w:val="00916363"/>
    <w:rsid w:val="009164DD"/>
    <w:rsid w:val="00916E16"/>
    <w:rsid w:val="00917CA6"/>
    <w:rsid w:val="0092048C"/>
    <w:rsid w:val="00920D4F"/>
    <w:rsid w:val="00920E7F"/>
    <w:rsid w:val="009214F4"/>
    <w:rsid w:val="0092238A"/>
    <w:rsid w:val="00922EC7"/>
    <w:rsid w:val="00923330"/>
    <w:rsid w:val="00925066"/>
    <w:rsid w:val="00925301"/>
    <w:rsid w:val="0092671D"/>
    <w:rsid w:val="00926A3E"/>
    <w:rsid w:val="00926B0A"/>
    <w:rsid w:val="00926E04"/>
    <w:rsid w:val="0092702C"/>
    <w:rsid w:val="00927671"/>
    <w:rsid w:val="00927E5A"/>
    <w:rsid w:val="00931796"/>
    <w:rsid w:val="009324AF"/>
    <w:rsid w:val="00932B60"/>
    <w:rsid w:val="00932F12"/>
    <w:rsid w:val="00932F8C"/>
    <w:rsid w:val="00933133"/>
    <w:rsid w:val="00933470"/>
    <w:rsid w:val="00933949"/>
    <w:rsid w:val="00935499"/>
    <w:rsid w:val="00935852"/>
    <w:rsid w:val="00935DC1"/>
    <w:rsid w:val="00940180"/>
    <w:rsid w:val="009404B4"/>
    <w:rsid w:val="00941B0A"/>
    <w:rsid w:val="00942519"/>
    <w:rsid w:val="00943934"/>
    <w:rsid w:val="00943A33"/>
    <w:rsid w:val="00943AC0"/>
    <w:rsid w:val="009441B6"/>
    <w:rsid w:val="0094517F"/>
    <w:rsid w:val="00945192"/>
    <w:rsid w:val="009459A1"/>
    <w:rsid w:val="00945EE4"/>
    <w:rsid w:val="00946515"/>
    <w:rsid w:val="0094690E"/>
    <w:rsid w:val="0094727E"/>
    <w:rsid w:val="00947CA0"/>
    <w:rsid w:val="00947D97"/>
    <w:rsid w:val="009501F1"/>
    <w:rsid w:val="00950257"/>
    <w:rsid w:val="00950ADF"/>
    <w:rsid w:val="0095141E"/>
    <w:rsid w:val="0095236F"/>
    <w:rsid w:val="0095290E"/>
    <w:rsid w:val="00952C21"/>
    <w:rsid w:val="00952D8B"/>
    <w:rsid w:val="009534B8"/>
    <w:rsid w:val="009538A5"/>
    <w:rsid w:val="00953E19"/>
    <w:rsid w:val="0095519E"/>
    <w:rsid w:val="00955681"/>
    <w:rsid w:val="00955E8F"/>
    <w:rsid w:val="00956126"/>
    <w:rsid w:val="00956411"/>
    <w:rsid w:val="00956908"/>
    <w:rsid w:val="00956C66"/>
    <w:rsid w:val="00957446"/>
    <w:rsid w:val="00957B99"/>
    <w:rsid w:val="0096107B"/>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FBC"/>
    <w:rsid w:val="00973C61"/>
    <w:rsid w:val="00974882"/>
    <w:rsid w:val="009755EA"/>
    <w:rsid w:val="00976073"/>
    <w:rsid w:val="00977042"/>
    <w:rsid w:val="00977346"/>
    <w:rsid w:val="009802A9"/>
    <w:rsid w:val="00981089"/>
    <w:rsid w:val="00981092"/>
    <w:rsid w:val="00981331"/>
    <w:rsid w:val="00982F28"/>
    <w:rsid w:val="009837ED"/>
    <w:rsid w:val="00983DDE"/>
    <w:rsid w:val="00985F0B"/>
    <w:rsid w:val="00986B76"/>
    <w:rsid w:val="0098733B"/>
    <w:rsid w:val="00990B33"/>
    <w:rsid w:val="00991AD0"/>
    <w:rsid w:val="0099288C"/>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24FF"/>
    <w:rsid w:val="009A25F6"/>
    <w:rsid w:val="009A28E8"/>
    <w:rsid w:val="009A361E"/>
    <w:rsid w:val="009A3D01"/>
    <w:rsid w:val="009A42FF"/>
    <w:rsid w:val="009A4348"/>
    <w:rsid w:val="009A58C6"/>
    <w:rsid w:val="009A58E8"/>
    <w:rsid w:val="009A60AA"/>
    <w:rsid w:val="009A7D36"/>
    <w:rsid w:val="009B0DC0"/>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1282"/>
    <w:rsid w:val="009C1306"/>
    <w:rsid w:val="009C151E"/>
    <w:rsid w:val="009C16B0"/>
    <w:rsid w:val="009C324F"/>
    <w:rsid w:val="009C3CB2"/>
    <w:rsid w:val="009C46BF"/>
    <w:rsid w:val="009C476E"/>
    <w:rsid w:val="009C4AB5"/>
    <w:rsid w:val="009C7D55"/>
    <w:rsid w:val="009D076D"/>
    <w:rsid w:val="009D084E"/>
    <w:rsid w:val="009D08AB"/>
    <w:rsid w:val="009D0AF9"/>
    <w:rsid w:val="009D17F9"/>
    <w:rsid w:val="009D18EF"/>
    <w:rsid w:val="009D3D07"/>
    <w:rsid w:val="009D47F7"/>
    <w:rsid w:val="009D4913"/>
    <w:rsid w:val="009D505F"/>
    <w:rsid w:val="009D5E72"/>
    <w:rsid w:val="009D707B"/>
    <w:rsid w:val="009D71D8"/>
    <w:rsid w:val="009D720A"/>
    <w:rsid w:val="009D738F"/>
    <w:rsid w:val="009D73DC"/>
    <w:rsid w:val="009D75E9"/>
    <w:rsid w:val="009D767A"/>
    <w:rsid w:val="009E0579"/>
    <w:rsid w:val="009E15C9"/>
    <w:rsid w:val="009E1B5C"/>
    <w:rsid w:val="009E20C3"/>
    <w:rsid w:val="009E2466"/>
    <w:rsid w:val="009E31F7"/>
    <w:rsid w:val="009E3EBF"/>
    <w:rsid w:val="009E43B9"/>
    <w:rsid w:val="009E5497"/>
    <w:rsid w:val="009E5D7F"/>
    <w:rsid w:val="009E67DF"/>
    <w:rsid w:val="009E6949"/>
    <w:rsid w:val="009E7324"/>
    <w:rsid w:val="009F07B3"/>
    <w:rsid w:val="009F0B3B"/>
    <w:rsid w:val="009F14BA"/>
    <w:rsid w:val="009F2899"/>
    <w:rsid w:val="009F2CF0"/>
    <w:rsid w:val="009F4286"/>
    <w:rsid w:val="009F4AB0"/>
    <w:rsid w:val="009F6418"/>
    <w:rsid w:val="009F6466"/>
    <w:rsid w:val="009F775C"/>
    <w:rsid w:val="009F7831"/>
    <w:rsid w:val="009F7890"/>
    <w:rsid w:val="009F7F61"/>
    <w:rsid w:val="00A00F08"/>
    <w:rsid w:val="00A01A7E"/>
    <w:rsid w:val="00A02178"/>
    <w:rsid w:val="00A036BB"/>
    <w:rsid w:val="00A0465E"/>
    <w:rsid w:val="00A04DC6"/>
    <w:rsid w:val="00A05885"/>
    <w:rsid w:val="00A05A65"/>
    <w:rsid w:val="00A05E66"/>
    <w:rsid w:val="00A06199"/>
    <w:rsid w:val="00A062EA"/>
    <w:rsid w:val="00A06BCC"/>
    <w:rsid w:val="00A0741B"/>
    <w:rsid w:val="00A076E4"/>
    <w:rsid w:val="00A07D92"/>
    <w:rsid w:val="00A11116"/>
    <w:rsid w:val="00A128D5"/>
    <w:rsid w:val="00A129AD"/>
    <w:rsid w:val="00A12C8A"/>
    <w:rsid w:val="00A13419"/>
    <w:rsid w:val="00A1468B"/>
    <w:rsid w:val="00A14AD6"/>
    <w:rsid w:val="00A1503A"/>
    <w:rsid w:val="00A15A7D"/>
    <w:rsid w:val="00A164D3"/>
    <w:rsid w:val="00A17214"/>
    <w:rsid w:val="00A17887"/>
    <w:rsid w:val="00A211A0"/>
    <w:rsid w:val="00A21994"/>
    <w:rsid w:val="00A21C9D"/>
    <w:rsid w:val="00A22B53"/>
    <w:rsid w:val="00A23A9A"/>
    <w:rsid w:val="00A23FEE"/>
    <w:rsid w:val="00A24099"/>
    <w:rsid w:val="00A244C6"/>
    <w:rsid w:val="00A25DF8"/>
    <w:rsid w:val="00A25E5D"/>
    <w:rsid w:val="00A26024"/>
    <w:rsid w:val="00A26375"/>
    <w:rsid w:val="00A268E6"/>
    <w:rsid w:val="00A269A6"/>
    <w:rsid w:val="00A27B2B"/>
    <w:rsid w:val="00A30217"/>
    <w:rsid w:val="00A30C8D"/>
    <w:rsid w:val="00A30F28"/>
    <w:rsid w:val="00A31972"/>
    <w:rsid w:val="00A3200F"/>
    <w:rsid w:val="00A32109"/>
    <w:rsid w:val="00A33831"/>
    <w:rsid w:val="00A33D55"/>
    <w:rsid w:val="00A33FAA"/>
    <w:rsid w:val="00A34335"/>
    <w:rsid w:val="00A344D6"/>
    <w:rsid w:val="00A3459F"/>
    <w:rsid w:val="00A34AC5"/>
    <w:rsid w:val="00A34E27"/>
    <w:rsid w:val="00A351C7"/>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2835"/>
    <w:rsid w:val="00A5283E"/>
    <w:rsid w:val="00A52DCF"/>
    <w:rsid w:val="00A52DF6"/>
    <w:rsid w:val="00A5324D"/>
    <w:rsid w:val="00A54DBE"/>
    <w:rsid w:val="00A54EA0"/>
    <w:rsid w:val="00A561E1"/>
    <w:rsid w:val="00A56A71"/>
    <w:rsid w:val="00A574C6"/>
    <w:rsid w:val="00A60547"/>
    <w:rsid w:val="00A61017"/>
    <w:rsid w:val="00A6112E"/>
    <w:rsid w:val="00A6118C"/>
    <w:rsid w:val="00A6215E"/>
    <w:rsid w:val="00A6270C"/>
    <w:rsid w:val="00A63BC0"/>
    <w:rsid w:val="00A63D54"/>
    <w:rsid w:val="00A641A0"/>
    <w:rsid w:val="00A64A5D"/>
    <w:rsid w:val="00A653E8"/>
    <w:rsid w:val="00A65886"/>
    <w:rsid w:val="00A658B5"/>
    <w:rsid w:val="00A659B5"/>
    <w:rsid w:val="00A66486"/>
    <w:rsid w:val="00A675D7"/>
    <w:rsid w:val="00A67A2C"/>
    <w:rsid w:val="00A67B2E"/>
    <w:rsid w:val="00A700B6"/>
    <w:rsid w:val="00A707FD"/>
    <w:rsid w:val="00A70F20"/>
    <w:rsid w:val="00A725B6"/>
    <w:rsid w:val="00A72A95"/>
    <w:rsid w:val="00A7307E"/>
    <w:rsid w:val="00A732A7"/>
    <w:rsid w:val="00A75380"/>
    <w:rsid w:val="00A75C48"/>
    <w:rsid w:val="00A75C76"/>
    <w:rsid w:val="00A7642C"/>
    <w:rsid w:val="00A76E35"/>
    <w:rsid w:val="00A776E8"/>
    <w:rsid w:val="00A8013E"/>
    <w:rsid w:val="00A82AB0"/>
    <w:rsid w:val="00A82EFE"/>
    <w:rsid w:val="00A8355D"/>
    <w:rsid w:val="00A853E8"/>
    <w:rsid w:val="00A8543F"/>
    <w:rsid w:val="00A86285"/>
    <w:rsid w:val="00A86C55"/>
    <w:rsid w:val="00A87AD4"/>
    <w:rsid w:val="00A90704"/>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F04"/>
    <w:rsid w:val="00A97576"/>
    <w:rsid w:val="00A978CB"/>
    <w:rsid w:val="00A97A57"/>
    <w:rsid w:val="00AA0A3C"/>
    <w:rsid w:val="00AA11B7"/>
    <w:rsid w:val="00AA21D0"/>
    <w:rsid w:val="00AA2310"/>
    <w:rsid w:val="00AA233A"/>
    <w:rsid w:val="00AA361C"/>
    <w:rsid w:val="00AA40C2"/>
    <w:rsid w:val="00AA47B4"/>
    <w:rsid w:val="00AA6A77"/>
    <w:rsid w:val="00AA6CEC"/>
    <w:rsid w:val="00AB0688"/>
    <w:rsid w:val="00AB0F1D"/>
    <w:rsid w:val="00AB106C"/>
    <w:rsid w:val="00AB141B"/>
    <w:rsid w:val="00AB1556"/>
    <w:rsid w:val="00AB1CEC"/>
    <w:rsid w:val="00AB1DD5"/>
    <w:rsid w:val="00AB2443"/>
    <w:rsid w:val="00AB2CB1"/>
    <w:rsid w:val="00AB3643"/>
    <w:rsid w:val="00AB45B7"/>
    <w:rsid w:val="00AB4B06"/>
    <w:rsid w:val="00AB5EA0"/>
    <w:rsid w:val="00AC0B1E"/>
    <w:rsid w:val="00AC0BDB"/>
    <w:rsid w:val="00AC155E"/>
    <w:rsid w:val="00AC22E6"/>
    <w:rsid w:val="00AC2536"/>
    <w:rsid w:val="00AC4214"/>
    <w:rsid w:val="00AC4D27"/>
    <w:rsid w:val="00AC5C54"/>
    <w:rsid w:val="00AC6007"/>
    <w:rsid w:val="00AC653C"/>
    <w:rsid w:val="00AC67BD"/>
    <w:rsid w:val="00AC67E7"/>
    <w:rsid w:val="00AC7551"/>
    <w:rsid w:val="00AC7671"/>
    <w:rsid w:val="00AC7EC0"/>
    <w:rsid w:val="00AD0ABF"/>
    <w:rsid w:val="00AD1460"/>
    <w:rsid w:val="00AD1F90"/>
    <w:rsid w:val="00AD24F9"/>
    <w:rsid w:val="00AD26C0"/>
    <w:rsid w:val="00AD28BB"/>
    <w:rsid w:val="00AD2CF4"/>
    <w:rsid w:val="00AD3AC0"/>
    <w:rsid w:val="00AD49A8"/>
    <w:rsid w:val="00AD49C8"/>
    <w:rsid w:val="00AD49E4"/>
    <w:rsid w:val="00AD58D4"/>
    <w:rsid w:val="00AD5E24"/>
    <w:rsid w:val="00AD65A0"/>
    <w:rsid w:val="00AD6E69"/>
    <w:rsid w:val="00AD717C"/>
    <w:rsid w:val="00AD757F"/>
    <w:rsid w:val="00AE14EF"/>
    <w:rsid w:val="00AE28DE"/>
    <w:rsid w:val="00AE2F18"/>
    <w:rsid w:val="00AE36BB"/>
    <w:rsid w:val="00AE4C10"/>
    <w:rsid w:val="00AE4E65"/>
    <w:rsid w:val="00AE5947"/>
    <w:rsid w:val="00AE6ECD"/>
    <w:rsid w:val="00AE7204"/>
    <w:rsid w:val="00AF0DAA"/>
    <w:rsid w:val="00AF14BB"/>
    <w:rsid w:val="00AF1ABB"/>
    <w:rsid w:val="00AF2F3C"/>
    <w:rsid w:val="00AF30C4"/>
    <w:rsid w:val="00AF4700"/>
    <w:rsid w:val="00AF4E9D"/>
    <w:rsid w:val="00AF535E"/>
    <w:rsid w:val="00AF5497"/>
    <w:rsid w:val="00AF5A82"/>
    <w:rsid w:val="00AF6276"/>
    <w:rsid w:val="00AF67E8"/>
    <w:rsid w:val="00AF6AEA"/>
    <w:rsid w:val="00B00304"/>
    <w:rsid w:val="00B00591"/>
    <w:rsid w:val="00B00F7A"/>
    <w:rsid w:val="00B01816"/>
    <w:rsid w:val="00B0370E"/>
    <w:rsid w:val="00B03987"/>
    <w:rsid w:val="00B03D81"/>
    <w:rsid w:val="00B03DED"/>
    <w:rsid w:val="00B04ABA"/>
    <w:rsid w:val="00B0540A"/>
    <w:rsid w:val="00B0621B"/>
    <w:rsid w:val="00B069D5"/>
    <w:rsid w:val="00B073C8"/>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3F3"/>
    <w:rsid w:val="00B20BE7"/>
    <w:rsid w:val="00B21018"/>
    <w:rsid w:val="00B219A5"/>
    <w:rsid w:val="00B23940"/>
    <w:rsid w:val="00B23DCD"/>
    <w:rsid w:val="00B24C88"/>
    <w:rsid w:val="00B2572C"/>
    <w:rsid w:val="00B25B9A"/>
    <w:rsid w:val="00B26891"/>
    <w:rsid w:val="00B26C68"/>
    <w:rsid w:val="00B26D72"/>
    <w:rsid w:val="00B2798D"/>
    <w:rsid w:val="00B27C4C"/>
    <w:rsid w:val="00B30343"/>
    <w:rsid w:val="00B30B53"/>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42711"/>
    <w:rsid w:val="00B42A44"/>
    <w:rsid w:val="00B43BA8"/>
    <w:rsid w:val="00B445A9"/>
    <w:rsid w:val="00B447B5"/>
    <w:rsid w:val="00B45486"/>
    <w:rsid w:val="00B45F03"/>
    <w:rsid w:val="00B47EC1"/>
    <w:rsid w:val="00B50AB5"/>
    <w:rsid w:val="00B50E4D"/>
    <w:rsid w:val="00B51196"/>
    <w:rsid w:val="00B51A02"/>
    <w:rsid w:val="00B5204C"/>
    <w:rsid w:val="00B52F7F"/>
    <w:rsid w:val="00B53366"/>
    <w:rsid w:val="00B533EF"/>
    <w:rsid w:val="00B536B2"/>
    <w:rsid w:val="00B541CE"/>
    <w:rsid w:val="00B55C1E"/>
    <w:rsid w:val="00B56759"/>
    <w:rsid w:val="00B56A98"/>
    <w:rsid w:val="00B57002"/>
    <w:rsid w:val="00B579E6"/>
    <w:rsid w:val="00B57CD0"/>
    <w:rsid w:val="00B606CD"/>
    <w:rsid w:val="00B61509"/>
    <w:rsid w:val="00B6176E"/>
    <w:rsid w:val="00B628D3"/>
    <w:rsid w:val="00B628EE"/>
    <w:rsid w:val="00B6422E"/>
    <w:rsid w:val="00B649DA"/>
    <w:rsid w:val="00B64E10"/>
    <w:rsid w:val="00B671A8"/>
    <w:rsid w:val="00B6755E"/>
    <w:rsid w:val="00B700F3"/>
    <w:rsid w:val="00B71854"/>
    <w:rsid w:val="00B719C0"/>
    <w:rsid w:val="00B71B7D"/>
    <w:rsid w:val="00B7259C"/>
    <w:rsid w:val="00B73107"/>
    <w:rsid w:val="00B7392A"/>
    <w:rsid w:val="00B73A60"/>
    <w:rsid w:val="00B74E15"/>
    <w:rsid w:val="00B76C28"/>
    <w:rsid w:val="00B7723A"/>
    <w:rsid w:val="00B777DF"/>
    <w:rsid w:val="00B77CBA"/>
    <w:rsid w:val="00B77D9A"/>
    <w:rsid w:val="00B80060"/>
    <w:rsid w:val="00B81A20"/>
    <w:rsid w:val="00B8356B"/>
    <w:rsid w:val="00B84A28"/>
    <w:rsid w:val="00B85693"/>
    <w:rsid w:val="00B8582C"/>
    <w:rsid w:val="00B863DC"/>
    <w:rsid w:val="00B8663E"/>
    <w:rsid w:val="00B86E93"/>
    <w:rsid w:val="00B87B37"/>
    <w:rsid w:val="00B87BEA"/>
    <w:rsid w:val="00B906C1"/>
    <w:rsid w:val="00B920BE"/>
    <w:rsid w:val="00B926E1"/>
    <w:rsid w:val="00B92A79"/>
    <w:rsid w:val="00B961CF"/>
    <w:rsid w:val="00B965C0"/>
    <w:rsid w:val="00B9669B"/>
    <w:rsid w:val="00B966E7"/>
    <w:rsid w:val="00B970B3"/>
    <w:rsid w:val="00B97229"/>
    <w:rsid w:val="00B97669"/>
    <w:rsid w:val="00BA057D"/>
    <w:rsid w:val="00BA1597"/>
    <w:rsid w:val="00BA1A6A"/>
    <w:rsid w:val="00BA237D"/>
    <w:rsid w:val="00BA3AE7"/>
    <w:rsid w:val="00BA4531"/>
    <w:rsid w:val="00BA482E"/>
    <w:rsid w:val="00BA560B"/>
    <w:rsid w:val="00BB011C"/>
    <w:rsid w:val="00BB0B12"/>
    <w:rsid w:val="00BB1720"/>
    <w:rsid w:val="00BB3C64"/>
    <w:rsid w:val="00BB47BB"/>
    <w:rsid w:val="00BB5710"/>
    <w:rsid w:val="00BB5966"/>
    <w:rsid w:val="00BB5975"/>
    <w:rsid w:val="00BB7CE5"/>
    <w:rsid w:val="00BC05A8"/>
    <w:rsid w:val="00BC12FE"/>
    <w:rsid w:val="00BC43FC"/>
    <w:rsid w:val="00BC48F2"/>
    <w:rsid w:val="00BC52CE"/>
    <w:rsid w:val="00BC5DCB"/>
    <w:rsid w:val="00BC6E55"/>
    <w:rsid w:val="00BC70BA"/>
    <w:rsid w:val="00BC7A5B"/>
    <w:rsid w:val="00BC7AC4"/>
    <w:rsid w:val="00BC7E9B"/>
    <w:rsid w:val="00BD059F"/>
    <w:rsid w:val="00BD0944"/>
    <w:rsid w:val="00BD2635"/>
    <w:rsid w:val="00BD38FC"/>
    <w:rsid w:val="00BD440B"/>
    <w:rsid w:val="00BD4F2F"/>
    <w:rsid w:val="00BD52E8"/>
    <w:rsid w:val="00BD54C2"/>
    <w:rsid w:val="00BD5CF4"/>
    <w:rsid w:val="00BD62D7"/>
    <w:rsid w:val="00BE0623"/>
    <w:rsid w:val="00BE0840"/>
    <w:rsid w:val="00BE0D88"/>
    <w:rsid w:val="00BE256E"/>
    <w:rsid w:val="00BE27BA"/>
    <w:rsid w:val="00BE27D8"/>
    <w:rsid w:val="00BE28D7"/>
    <w:rsid w:val="00BE32BE"/>
    <w:rsid w:val="00BE38E5"/>
    <w:rsid w:val="00BE3E5B"/>
    <w:rsid w:val="00BE6EA0"/>
    <w:rsid w:val="00BE726F"/>
    <w:rsid w:val="00BE735F"/>
    <w:rsid w:val="00BE7EE6"/>
    <w:rsid w:val="00BF01FF"/>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C17"/>
    <w:rsid w:val="00C14D93"/>
    <w:rsid w:val="00C158CA"/>
    <w:rsid w:val="00C15CDB"/>
    <w:rsid w:val="00C163F7"/>
    <w:rsid w:val="00C179C9"/>
    <w:rsid w:val="00C179FB"/>
    <w:rsid w:val="00C17C38"/>
    <w:rsid w:val="00C20A2F"/>
    <w:rsid w:val="00C238F9"/>
    <w:rsid w:val="00C24331"/>
    <w:rsid w:val="00C25175"/>
    <w:rsid w:val="00C263F6"/>
    <w:rsid w:val="00C2640C"/>
    <w:rsid w:val="00C2678D"/>
    <w:rsid w:val="00C26EB9"/>
    <w:rsid w:val="00C2728C"/>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61A"/>
    <w:rsid w:val="00C45B4F"/>
    <w:rsid w:val="00C46E18"/>
    <w:rsid w:val="00C5034A"/>
    <w:rsid w:val="00C51476"/>
    <w:rsid w:val="00C51C48"/>
    <w:rsid w:val="00C5213C"/>
    <w:rsid w:val="00C52412"/>
    <w:rsid w:val="00C52777"/>
    <w:rsid w:val="00C52855"/>
    <w:rsid w:val="00C52CEB"/>
    <w:rsid w:val="00C53189"/>
    <w:rsid w:val="00C53432"/>
    <w:rsid w:val="00C53D35"/>
    <w:rsid w:val="00C54296"/>
    <w:rsid w:val="00C54ECA"/>
    <w:rsid w:val="00C5534F"/>
    <w:rsid w:val="00C55451"/>
    <w:rsid w:val="00C55DC2"/>
    <w:rsid w:val="00C568D3"/>
    <w:rsid w:val="00C569BD"/>
    <w:rsid w:val="00C60BE4"/>
    <w:rsid w:val="00C60C91"/>
    <w:rsid w:val="00C61B87"/>
    <w:rsid w:val="00C620CB"/>
    <w:rsid w:val="00C6251A"/>
    <w:rsid w:val="00C62D18"/>
    <w:rsid w:val="00C63BDB"/>
    <w:rsid w:val="00C6581B"/>
    <w:rsid w:val="00C65AFF"/>
    <w:rsid w:val="00C65F56"/>
    <w:rsid w:val="00C67015"/>
    <w:rsid w:val="00C67A9E"/>
    <w:rsid w:val="00C67C90"/>
    <w:rsid w:val="00C70949"/>
    <w:rsid w:val="00C70F67"/>
    <w:rsid w:val="00C71B75"/>
    <w:rsid w:val="00C71E99"/>
    <w:rsid w:val="00C7229C"/>
    <w:rsid w:val="00C72502"/>
    <w:rsid w:val="00C72EDB"/>
    <w:rsid w:val="00C73BD4"/>
    <w:rsid w:val="00C73CF0"/>
    <w:rsid w:val="00C74CF1"/>
    <w:rsid w:val="00C7551A"/>
    <w:rsid w:val="00C765FA"/>
    <w:rsid w:val="00C76CEA"/>
    <w:rsid w:val="00C77721"/>
    <w:rsid w:val="00C77AD5"/>
    <w:rsid w:val="00C77C96"/>
    <w:rsid w:val="00C77CB6"/>
    <w:rsid w:val="00C77F53"/>
    <w:rsid w:val="00C800FC"/>
    <w:rsid w:val="00C8141B"/>
    <w:rsid w:val="00C81BAC"/>
    <w:rsid w:val="00C81CE3"/>
    <w:rsid w:val="00C82106"/>
    <w:rsid w:val="00C823B0"/>
    <w:rsid w:val="00C82844"/>
    <w:rsid w:val="00C838CB"/>
    <w:rsid w:val="00C83C5A"/>
    <w:rsid w:val="00C845F7"/>
    <w:rsid w:val="00C848DC"/>
    <w:rsid w:val="00C84C69"/>
    <w:rsid w:val="00C84D62"/>
    <w:rsid w:val="00C84D84"/>
    <w:rsid w:val="00C85512"/>
    <w:rsid w:val="00C86C05"/>
    <w:rsid w:val="00C871C6"/>
    <w:rsid w:val="00C87FDE"/>
    <w:rsid w:val="00C909B1"/>
    <w:rsid w:val="00C90E3D"/>
    <w:rsid w:val="00C91285"/>
    <w:rsid w:val="00C91548"/>
    <w:rsid w:val="00C91EE1"/>
    <w:rsid w:val="00C92594"/>
    <w:rsid w:val="00C92B95"/>
    <w:rsid w:val="00C92CB3"/>
    <w:rsid w:val="00C93056"/>
    <w:rsid w:val="00C94041"/>
    <w:rsid w:val="00C9486F"/>
    <w:rsid w:val="00C96307"/>
    <w:rsid w:val="00C965FE"/>
    <w:rsid w:val="00C96CB0"/>
    <w:rsid w:val="00C96E41"/>
    <w:rsid w:val="00CA03A6"/>
    <w:rsid w:val="00CA0B14"/>
    <w:rsid w:val="00CA0F5D"/>
    <w:rsid w:val="00CA104B"/>
    <w:rsid w:val="00CA1059"/>
    <w:rsid w:val="00CA1B0E"/>
    <w:rsid w:val="00CA1D84"/>
    <w:rsid w:val="00CA2C9F"/>
    <w:rsid w:val="00CA2D93"/>
    <w:rsid w:val="00CA3868"/>
    <w:rsid w:val="00CA41AF"/>
    <w:rsid w:val="00CA699A"/>
    <w:rsid w:val="00CA7A47"/>
    <w:rsid w:val="00CB0CF5"/>
    <w:rsid w:val="00CB1004"/>
    <w:rsid w:val="00CB1905"/>
    <w:rsid w:val="00CB1FB2"/>
    <w:rsid w:val="00CB208E"/>
    <w:rsid w:val="00CB287C"/>
    <w:rsid w:val="00CB339C"/>
    <w:rsid w:val="00CB39FC"/>
    <w:rsid w:val="00CB45D3"/>
    <w:rsid w:val="00CB65F9"/>
    <w:rsid w:val="00CB6B68"/>
    <w:rsid w:val="00CB7731"/>
    <w:rsid w:val="00CC03B0"/>
    <w:rsid w:val="00CC05E4"/>
    <w:rsid w:val="00CC1109"/>
    <w:rsid w:val="00CC2047"/>
    <w:rsid w:val="00CC2F5C"/>
    <w:rsid w:val="00CC30F8"/>
    <w:rsid w:val="00CC4124"/>
    <w:rsid w:val="00CC4573"/>
    <w:rsid w:val="00CC4BDE"/>
    <w:rsid w:val="00CC4F63"/>
    <w:rsid w:val="00CC59C0"/>
    <w:rsid w:val="00CC748F"/>
    <w:rsid w:val="00CC79DA"/>
    <w:rsid w:val="00CD167A"/>
    <w:rsid w:val="00CD1973"/>
    <w:rsid w:val="00CD1A9F"/>
    <w:rsid w:val="00CD2258"/>
    <w:rsid w:val="00CD2D4D"/>
    <w:rsid w:val="00CD3222"/>
    <w:rsid w:val="00CD334E"/>
    <w:rsid w:val="00CD358E"/>
    <w:rsid w:val="00CD4082"/>
    <w:rsid w:val="00CD4236"/>
    <w:rsid w:val="00CD4DE5"/>
    <w:rsid w:val="00CD5A98"/>
    <w:rsid w:val="00CD7161"/>
    <w:rsid w:val="00CD7CB1"/>
    <w:rsid w:val="00CE0EAE"/>
    <w:rsid w:val="00CE1672"/>
    <w:rsid w:val="00CE18AF"/>
    <w:rsid w:val="00CE1B61"/>
    <w:rsid w:val="00CE1E4D"/>
    <w:rsid w:val="00CE2998"/>
    <w:rsid w:val="00CE4828"/>
    <w:rsid w:val="00CE4E50"/>
    <w:rsid w:val="00CE5A28"/>
    <w:rsid w:val="00CE6882"/>
    <w:rsid w:val="00CE6FBC"/>
    <w:rsid w:val="00CE7387"/>
    <w:rsid w:val="00CE774F"/>
    <w:rsid w:val="00CE792C"/>
    <w:rsid w:val="00CF1B99"/>
    <w:rsid w:val="00CF1DD9"/>
    <w:rsid w:val="00CF20DD"/>
    <w:rsid w:val="00CF257A"/>
    <w:rsid w:val="00CF4321"/>
    <w:rsid w:val="00CF4579"/>
    <w:rsid w:val="00CF45DA"/>
    <w:rsid w:val="00CF57E2"/>
    <w:rsid w:val="00CF5BA2"/>
    <w:rsid w:val="00CF5C3D"/>
    <w:rsid w:val="00CF64C4"/>
    <w:rsid w:val="00CF7425"/>
    <w:rsid w:val="00CF793C"/>
    <w:rsid w:val="00CF7FC5"/>
    <w:rsid w:val="00D00383"/>
    <w:rsid w:val="00D02182"/>
    <w:rsid w:val="00D02335"/>
    <w:rsid w:val="00D02B00"/>
    <w:rsid w:val="00D0423E"/>
    <w:rsid w:val="00D04833"/>
    <w:rsid w:val="00D04D1D"/>
    <w:rsid w:val="00D04EDF"/>
    <w:rsid w:val="00D04FC2"/>
    <w:rsid w:val="00D056E8"/>
    <w:rsid w:val="00D05CF6"/>
    <w:rsid w:val="00D05D2A"/>
    <w:rsid w:val="00D06CC8"/>
    <w:rsid w:val="00D07DFE"/>
    <w:rsid w:val="00D101E5"/>
    <w:rsid w:val="00D10DCE"/>
    <w:rsid w:val="00D10FF6"/>
    <w:rsid w:val="00D12962"/>
    <w:rsid w:val="00D12CF9"/>
    <w:rsid w:val="00D14173"/>
    <w:rsid w:val="00D141F0"/>
    <w:rsid w:val="00D1436F"/>
    <w:rsid w:val="00D14457"/>
    <w:rsid w:val="00D1532C"/>
    <w:rsid w:val="00D15A75"/>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1B84"/>
    <w:rsid w:val="00D31F77"/>
    <w:rsid w:val="00D323FB"/>
    <w:rsid w:val="00D327E0"/>
    <w:rsid w:val="00D32A44"/>
    <w:rsid w:val="00D32C57"/>
    <w:rsid w:val="00D33834"/>
    <w:rsid w:val="00D34B46"/>
    <w:rsid w:val="00D36409"/>
    <w:rsid w:val="00D36A38"/>
    <w:rsid w:val="00D37568"/>
    <w:rsid w:val="00D37DDC"/>
    <w:rsid w:val="00D41074"/>
    <w:rsid w:val="00D4235B"/>
    <w:rsid w:val="00D424A7"/>
    <w:rsid w:val="00D43EC7"/>
    <w:rsid w:val="00D44116"/>
    <w:rsid w:val="00D44311"/>
    <w:rsid w:val="00D447DC"/>
    <w:rsid w:val="00D44C31"/>
    <w:rsid w:val="00D44D87"/>
    <w:rsid w:val="00D45E4D"/>
    <w:rsid w:val="00D45EBF"/>
    <w:rsid w:val="00D46261"/>
    <w:rsid w:val="00D46490"/>
    <w:rsid w:val="00D46C71"/>
    <w:rsid w:val="00D47136"/>
    <w:rsid w:val="00D47BCA"/>
    <w:rsid w:val="00D47E67"/>
    <w:rsid w:val="00D50008"/>
    <w:rsid w:val="00D50B14"/>
    <w:rsid w:val="00D518A6"/>
    <w:rsid w:val="00D52D13"/>
    <w:rsid w:val="00D53B6F"/>
    <w:rsid w:val="00D5583A"/>
    <w:rsid w:val="00D564F6"/>
    <w:rsid w:val="00D572E4"/>
    <w:rsid w:val="00D5745B"/>
    <w:rsid w:val="00D57775"/>
    <w:rsid w:val="00D57E69"/>
    <w:rsid w:val="00D60518"/>
    <w:rsid w:val="00D60B86"/>
    <w:rsid w:val="00D624AC"/>
    <w:rsid w:val="00D62900"/>
    <w:rsid w:val="00D62E43"/>
    <w:rsid w:val="00D63140"/>
    <w:rsid w:val="00D6392D"/>
    <w:rsid w:val="00D640C0"/>
    <w:rsid w:val="00D643AD"/>
    <w:rsid w:val="00D652C5"/>
    <w:rsid w:val="00D65D4F"/>
    <w:rsid w:val="00D66B22"/>
    <w:rsid w:val="00D67D75"/>
    <w:rsid w:val="00D708C4"/>
    <w:rsid w:val="00D70F02"/>
    <w:rsid w:val="00D7237E"/>
    <w:rsid w:val="00D7259A"/>
    <w:rsid w:val="00D73EDC"/>
    <w:rsid w:val="00D74599"/>
    <w:rsid w:val="00D74A07"/>
    <w:rsid w:val="00D74C81"/>
    <w:rsid w:val="00D7649B"/>
    <w:rsid w:val="00D769DC"/>
    <w:rsid w:val="00D80592"/>
    <w:rsid w:val="00D80E38"/>
    <w:rsid w:val="00D820A4"/>
    <w:rsid w:val="00D82141"/>
    <w:rsid w:val="00D83938"/>
    <w:rsid w:val="00D847B9"/>
    <w:rsid w:val="00D84891"/>
    <w:rsid w:val="00D85E33"/>
    <w:rsid w:val="00D85EC2"/>
    <w:rsid w:val="00D86571"/>
    <w:rsid w:val="00D87D2F"/>
    <w:rsid w:val="00D87F53"/>
    <w:rsid w:val="00D90572"/>
    <w:rsid w:val="00D91DE7"/>
    <w:rsid w:val="00D94034"/>
    <w:rsid w:val="00D94651"/>
    <w:rsid w:val="00D95178"/>
    <w:rsid w:val="00D95253"/>
    <w:rsid w:val="00D96D9F"/>
    <w:rsid w:val="00D97578"/>
    <w:rsid w:val="00D9774D"/>
    <w:rsid w:val="00D97EF6"/>
    <w:rsid w:val="00DA0299"/>
    <w:rsid w:val="00DA0964"/>
    <w:rsid w:val="00DA0B49"/>
    <w:rsid w:val="00DA0FF2"/>
    <w:rsid w:val="00DA1602"/>
    <w:rsid w:val="00DA17CB"/>
    <w:rsid w:val="00DA1E19"/>
    <w:rsid w:val="00DA3007"/>
    <w:rsid w:val="00DA3632"/>
    <w:rsid w:val="00DA36BF"/>
    <w:rsid w:val="00DA43A7"/>
    <w:rsid w:val="00DA4CC8"/>
    <w:rsid w:val="00DA53E2"/>
    <w:rsid w:val="00DA5C4E"/>
    <w:rsid w:val="00DA5CEF"/>
    <w:rsid w:val="00DA600F"/>
    <w:rsid w:val="00DA6117"/>
    <w:rsid w:val="00DA753C"/>
    <w:rsid w:val="00DA771F"/>
    <w:rsid w:val="00DA78C1"/>
    <w:rsid w:val="00DA7E96"/>
    <w:rsid w:val="00DB0A0C"/>
    <w:rsid w:val="00DB1499"/>
    <w:rsid w:val="00DB1A8F"/>
    <w:rsid w:val="00DB34D5"/>
    <w:rsid w:val="00DB3659"/>
    <w:rsid w:val="00DB436A"/>
    <w:rsid w:val="00DB5615"/>
    <w:rsid w:val="00DB706F"/>
    <w:rsid w:val="00DB7F61"/>
    <w:rsid w:val="00DC05E9"/>
    <w:rsid w:val="00DC0935"/>
    <w:rsid w:val="00DC2E3B"/>
    <w:rsid w:val="00DC4814"/>
    <w:rsid w:val="00DC4C8E"/>
    <w:rsid w:val="00DC5099"/>
    <w:rsid w:val="00DC6070"/>
    <w:rsid w:val="00DC66A8"/>
    <w:rsid w:val="00DC6DFD"/>
    <w:rsid w:val="00DC7B4F"/>
    <w:rsid w:val="00DC7FF4"/>
    <w:rsid w:val="00DD0360"/>
    <w:rsid w:val="00DD0B49"/>
    <w:rsid w:val="00DD2E03"/>
    <w:rsid w:val="00DD348F"/>
    <w:rsid w:val="00DD449F"/>
    <w:rsid w:val="00DD4A69"/>
    <w:rsid w:val="00DD5332"/>
    <w:rsid w:val="00DD543A"/>
    <w:rsid w:val="00DD55CE"/>
    <w:rsid w:val="00DD5E59"/>
    <w:rsid w:val="00DD6DAF"/>
    <w:rsid w:val="00DD7814"/>
    <w:rsid w:val="00DE0BC8"/>
    <w:rsid w:val="00DE14FC"/>
    <w:rsid w:val="00DE4C11"/>
    <w:rsid w:val="00DE50DF"/>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2BE1"/>
    <w:rsid w:val="00E03096"/>
    <w:rsid w:val="00E1061B"/>
    <w:rsid w:val="00E10FEE"/>
    <w:rsid w:val="00E11B4D"/>
    <w:rsid w:val="00E1280A"/>
    <w:rsid w:val="00E14394"/>
    <w:rsid w:val="00E15840"/>
    <w:rsid w:val="00E159A7"/>
    <w:rsid w:val="00E15C38"/>
    <w:rsid w:val="00E162D6"/>
    <w:rsid w:val="00E166F4"/>
    <w:rsid w:val="00E17216"/>
    <w:rsid w:val="00E2002F"/>
    <w:rsid w:val="00E20803"/>
    <w:rsid w:val="00E20F1F"/>
    <w:rsid w:val="00E226D7"/>
    <w:rsid w:val="00E2439E"/>
    <w:rsid w:val="00E251C8"/>
    <w:rsid w:val="00E25F41"/>
    <w:rsid w:val="00E26403"/>
    <w:rsid w:val="00E26657"/>
    <w:rsid w:val="00E26891"/>
    <w:rsid w:val="00E27682"/>
    <w:rsid w:val="00E27E91"/>
    <w:rsid w:val="00E30AB8"/>
    <w:rsid w:val="00E30BDC"/>
    <w:rsid w:val="00E314A2"/>
    <w:rsid w:val="00E35223"/>
    <w:rsid w:val="00E356CA"/>
    <w:rsid w:val="00E3608E"/>
    <w:rsid w:val="00E37395"/>
    <w:rsid w:val="00E40B2D"/>
    <w:rsid w:val="00E40CD6"/>
    <w:rsid w:val="00E4110A"/>
    <w:rsid w:val="00E414F0"/>
    <w:rsid w:val="00E41571"/>
    <w:rsid w:val="00E41DD8"/>
    <w:rsid w:val="00E43C89"/>
    <w:rsid w:val="00E43E2C"/>
    <w:rsid w:val="00E4417C"/>
    <w:rsid w:val="00E4514E"/>
    <w:rsid w:val="00E45E95"/>
    <w:rsid w:val="00E4611B"/>
    <w:rsid w:val="00E4623C"/>
    <w:rsid w:val="00E46B2B"/>
    <w:rsid w:val="00E46D0E"/>
    <w:rsid w:val="00E507DB"/>
    <w:rsid w:val="00E51164"/>
    <w:rsid w:val="00E51FB6"/>
    <w:rsid w:val="00E52775"/>
    <w:rsid w:val="00E52790"/>
    <w:rsid w:val="00E538DE"/>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976"/>
    <w:rsid w:val="00E66068"/>
    <w:rsid w:val="00E6610F"/>
    <w:rsid w:val="00E70103"/>
    <w:rsid w:val="00E70138"/>
    <w:rsid w:val="00E71DBE"/>
    <w:rsid w:val="00E730D4"/>
    <w:rsid w:val="00E73320"/>
    <w:rsid w:val="00E747D0"/>
    <w:rsid w:val="00E74C79"/>
    <w:rsid w:val="00E759BB"/>
    <w:rsid w:val="00E75C0C"/>
    <w:rsid w:val="00E75D12"/>
    <w:rsid w:val="00E7731C"/>
    <w:rsid w:val="00E7742A"/>
    <w:rsid w:val="00E810C4"/>
    <w:rsid w:val="00E82E5C"/>
    <w:rsid w:val="00E84DB5"/>
    <w:rsid w:val="00E85634"/>
    <w:rsid w:val="00E866FA"/>
    <w:rsid w:val="00E8767E"/>
    <w:rsid w:val="00E908A7"/>
    <w:rsid w:val="00E90AB8"/>
    <w:rsid w:val="00E90BD3"/>
    <w:rsid w:val="00E90E1D"/>
    <w:rsid w:val="00E91111"/>
    <w:rsid w:val="00E911C0"/>
    <w:rsid w:val="00E91841"/>
    <w:rsid w:val="00E926BA"/>
    <w:rsid w:val="00E92B15"/>
    <w:rsid w:val="00E9554B"/>
    <w:rsid w:val="00E95BF8"/>
    <w:rsid w:val="00E96280"/>
    <w:rsid w:val="00E96434"/>
    <w:rsid w:val="00E96C31"/>
    <w:rsid w:val="00E97528"/>
    <w:rsid w:val="00E979EC"/>
    <w:rsid w:val="00E97D76"/>
    <w:rsid w:val="00E97E4F"/>
    <w:rsid w:val="00EA142A"/>
    <w:rsid w:val="00EA1D42"/>
    <w:rsid w:val="00EA2278"/>
    <w:rsid w:val="00EA2B53"/>
    <w:rsid w:val="00EA3040"/>
    <w:rsid w:val="00EA3387"/>
    <w:rsid w:val="00EA3AF0"/>
    <w:rsid w:val="00EA3B03"/>
    <w:rsid w:val="00EA598D"/>
    <w:rsid w:val="00EA5B3F"/>
    <w:rsid w:val="00EA6DCA"/>
    <w:rsid w:val="00EA6ED5"/>
    <w:rsid w:val="00EA787F"/>
    <w:rsid w:val="00EA7B6E"/>
    <w:rsid w:val="00EB0198"/>
    <w:rsid w:val="00EB0483"/>
    <w:rsid w:val="00EB16A6"/>
    <w:rsid w:val="00EB16BE"/>
    <w:rsid w:val="00EB198F"/>
    <w:rsid w:val="00EB1C83"/>
    <w:rsid w:val="00EB24E1"/>
    <w:rsid w:val="00EB24F5"/>
    <w:rsid w:val="00EB29F6"/>
    <w:rsid w:val="00EB34D8"/>
    <w:rsid w:val="00EB3DB0"/>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61B9"/>
    <w:rsid w:val="00EC645B"/>
    <w:rsid w:val="00EC6DA7"/>
    <w:rsid w:val="00EC6FC1"/>
    <w:rsid w:val="00EC7157"/>
    <w:rsid w:val="00ED0159"/>
    <w:rsid w:val="00ED129D"/>
    <w:rsid w:val="00ED19E8"/>
    <w:rsid w:val="00ED378F"/>
    <w:rsid w:val="00ED3C35"/>
    <w:rsid w:val="00ED4273"/>
    <w:rsid w:val="00ED4BE0"/>
    <w:rsid w:val="00ED4D1B"/>
    <w:rsid w:val="00ED512D"/>
    <w:rsid w:val="00ED545C"/>
    <w:rsid w:val="00ED5540"/>
    <w:rsid w:val="00ED58BE"/>
    <w:rsid w:val="00ED5D3C"/>
    <w:rsid w:val="00ED5FBF"/>
    <w:rsid w:val="00ED61D5"/>
    <w:rsid w:val="00EE0167"/>
    <w:rsid w:val="00EE0658"/>
    <w:rsid w:val="00EE0E2F"/>
    <w:rsid w:val="00EE15A6"/>
    <w:rsid w:val="00EE382B"/>
    <w:rsid w:val="00EE3D48"/>
    <w:rsid w:val="00EE4B43"/>
    <w:rsid w:val="00EE4B6F"/>
    <w:rsid w:val="00EE4EE1"/>
    <w:rsid w:val="00EE514C"/>
    <w:rsid w:val="00EE5A0A"/>
    <w:rsid w:val="00EE7716"/>
    <w:rsid w:val="00EE793D"/>
    <w:rsid w:val="00EF03D7"/>
    <w:rsid w:val="00EF0682"/>
    <w:rsid w:val="00EF0C22"/>
    <w:rsid w:val="00EF0ED4"/>
    <w:rsid w:val="00EF1FA4"/>
    <w:rsid w:val="00EF29E4"/>
    <w:rsid w:val="00EF2BD5"/>
    <w:rsid w:val="00EF34E0"/>
    <w:rsid w:val="00EF3A67"/>
    <w:rsid w:val="00EF3E1A"/>
    <w:rsid w:val="00EF41A0"/>
    <w:rsid w:val="00EF5227"/>
    <w:rsid w:val="00EF54D1"/>
    <w:rsid w:val="00EF5714"/>
    <w:rsid w:val="00EF6ACC"/>
    <w:rsid w:val="00EF6BD8"/>
    <w:rsid w:val="00EF744C"/>
    <w:rsid w:val="00F009A7"/>
    <w:rsid w:val="00F00DE8"/>
    <w:rsid w:val="00F011E6"/>
    <w:rsid w:val="00F029AE"/>
    <w:rsid w:val="00F02BB7"/>
    <w:rsid w:val="00F03A93"/>
    <w:rsid w:val="00F03BBA"/>
    <w:rsid w:val="00F04332"/>
    <w:rsid w:val="00F04D2B"/>
    <w:rsid w:val="00F04EED"/>
    <w:rsid w:val="00F05862"/>
    <w:rsid w:val="00F06164"/>
    <w:rsid w:val="00F07124"/>
    <w:rsid w:val="00F10147"/>
    <w:rsid w:val="00F113BA"/>
    <w:rsid w:val="00F11BBD"/>
    <w:rsid w:val="00F1234A"/>
    <w:rsid w:val="00F12547"/>
    <w:rsid w:val="00F12AB8"/>
    <w:rsid w:val="00F12DD5"/>
    <w:rsid w:val="00F135CF"/>
    <w:rsid w:val="00F13EDD"/>
    <w:rsid w:val="00F145AA"/>
    <w:rsid w:val="00F148C8"/>
    <w:rsid w:val="00F156B9"/>
    <w:rsid w:val="00F15FA1"/>
    <w:rsid w:val="00F16AB8"/>
    <w:rsid w:val="00F16E5D"/>
    <w:rsid w:val="00F1787A"/>
    <w:rsid w:val="00F178C4"/>
    <w:rsid w:val="00F20337"/>
    <w:rsid w:val="00F2033D"/>
    <w:rsid w:val="00F215C4"/>
    <w:rsid w:val="00F21E87"/>
    <w:rsid w:val="00F2258A"/>
    <w:rsid w:val="00F2495A"/>
    <w:rsid w:val="00F26F9A"/>
    <w:rsid w:val="00F2777B"/>
    <w:rsid w:val="00F27A0E"/>
    <w:rsid w:val="00F27A7F"/>
    <w:rsid w:val="00F27CD5"/>
    <w:rsid w:val="00F27D25"/>
    <w:rsid w:val="00F32250"/>
    <w:rsid w:val="00F32F8A"/>
    <w:rsid w:val="00F332D4"/>
    <w:rsid w:val="00F3351F"/>
    <w:rsid w:val="00F33FF8"/>
    <w:rsid w:val="00F34FD9"/>
    <w:rsid w:val="00F35062"/>
    <w:rsid w:val="00F35AB3"/>
    <w:rsid w:val="00F35C68"/>
    <w:rsid w:val="00F35E56"/>
    <w:rsid w:val="00F360A2"/>
    <w:rsid w:val="00F36BA8"/>
    <w:rsid w:val="00F37B7E"/>
    <w:rsid w:val="00F37BFD"/>
    <w:rsid w:val="00F40133"/>
    <w:rsid w:val="00F40B9E"/>
    <w:rsid w:val="00F4103B"/>
    <w:rsid w:val="00F41E04"/>
    <w:rsid w:val="00F43B60"/>
    <w:rsid w:val="00F44163"/>
    <w:rsid w:val="00F441D0"/>
    <w:rsid w:val="00F4468D"/>
    <w:rsid w:val="00F44864"/>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CB3"/>
    <w:rsid w:val="00F70A77"/>
    <w:rsid w:val="00F71ECC"/>
    <w:rsid w:val="00F722B3"/>
    <w:rsid w:val="00F7277B"/>
    <w:rsid w:val="00F73235"/>
    <w:rsid w:val="00F7353F"/>
    <w:rsid w:val="00F73B3E"/>
    <w:rsid w:val="00F744BB"/>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5D86"/>
    <w:rsid w:val="00F96606"/>
    <w:rsid w:val="00F977A0"/>
    <w:rsid w:val="00F97D96"/>
    <w:rsid w:val="00FA0A6B"/>
    <w:rsid w:val="00FA0BA0"/>
    <w:rsid w:val="00FA186C"/>
    <w:rsid w:val="00FA1C78"/>
    <w:rsid w:val="00FA3F04"/>
    <w:rsid w:val="00FA3F62"/>
    <w:rsid w:val="00FA4345"/>
    <w:rsid w:val="00FA5851"/>
    <w:rsid w:val="00FA5DCE"/>
    <w:rsid w:val="00FA647E"/>
    <w:rsid w:val="00FA6E9B"/>
    <w:rsid w:val="00FA75B5"/>
    <w:rsid w:val="00FA78D3"/>
    <w:rsid w:val="00FB06E6"/>
    <w:rsid w:val="00FB10C0"/>
    <w:rsid w:val="00FB14C3"/>
    <w:rsid w:val="00FB30FA"/>
    <w:rsid w:val="00FB31E9"/>
    <w:rsid w:val="00FB3603"/>
    <w:rsid w:val="00FB3756"/>
    <w:rsid w:val="00FB3E8F"/>
    <w:rsid w:val="00FB531C"/>
    <w:rsid w:val="00FB5FE5"/>
    <w:rsid w:val="00FB60FB"/>
    <w:rsid w:val="00FB62C8"/>
    <w:rsid w:val="00FB675C"/>
    <w:rsid w:val="00FB6807"/>
    <w:rsid w:val="00FB6F6F"/>
    <w:rsid w:val="00FB72F5"/>
    <w:rsid w:val="00FB7602"/>
    <w:rsid w:val="00FC047F"/>
    <w:rsid w:val="00FC1C52"/>
    <w:rsid w:val="00FC28BF"/>
    <w:rsid w:val="00FC3190"/>
    <w:rsid w:val="00FC4D3A"/>
    <w:rsid w:val="00FC51AC"/>
    <w:rsid w:val="00FC5690"/>
    <w:rsid w:val="00FC57BC"/>
    <w:rsid w:val="00FC6335"/>
    <w:rsid w:val="00FC6445"/>
    <w:rsid w:val="00FC77CA"/>
    <w:rsid w:val="00FD0173"/>
    <w:rsid w:val="00FD1559"/>
    <w:rsid w:val="00FD1B79"/>
    <w:rsid w:val="00FD1BBA"/>
    <w:rsid w:val="00FD2155"/>
    <w:rsid w:val="00FD21B4"/>
    <w:rsid w:val="00FD21F5"/>
    <w:rsid w:val="00FD2AE1"/>
    <w:rsid w:val="00FD2DF3"/>
    <w:rsid w:val="00FD3403"/>
    <w:rsid w:val="00FD36B8"/>
    <w:rsid w:val="00FD563C"/>
    <w:rsid w:val="00FD6D7A"/>
    <w:rsid w:val="00FD798B"/>
    <w:rsid w:val="00FD7B02"/>
    <w:rsid w:val="00FD7B8C"/>
    <w:rsid w:val="00FE0450"/>
    <w:rsid w:val="00FE045F"/>
    <w:rsid w:val="00FE0A83"/>
    <w:rsid w:val="00FE0F14"/>
    <w:rsid w:val="00FE1043"/>
    <w:rsid w:val="00FE178A"/>
    <w:rsid w:val="00FE1803"/>
    <w:rsid w:val="00FE34B3"/>
    <w:rsid w:val="00FE3818"/>
    <w:rsid w:val="00FE3FCA"/>
    <w:rsid w:val="00FE4112"/>
    <w:rsid w:val="00FE4E84"/>
    <w:rsid w:val="00FF0A5B"/>
    <w:rsid w:val="00FF15D7"/>
    <w:rsid w:val="00FF3887"/>
    <w:rsid w:val="00FF38D4"/>
    <w:rsid w:val="00FF3E86"/>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F776C1"/>
    <w:pPr>
      <w:numPr>
        <w:numId w:val="25"/>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pPr>
      <w:ind w:firstLine="0"/>
    </w:pPr>
    <w:rPr>
      <w:rFonts w:ascii="Times New Roman" w:hAnsi="Times New Roman"/>
      <w:kern w:val="0"/>
      <w:szCs w:val="24"/>
    </w:rPr>
  </w:style>
  <w:style w:type="paragraph" w:styleId="ListNumber2">
    <w:name w:val="List Number 2"/>
    <w:basedOn w:val="Normal"/>
    <w:semiHidden/>
    <w:unhideWhenUsed/>
    <w:locked/>
    <w:rsid w:val="008E4476"/>
    <w:pPr>
      <w:numPr>
        <w:numId w:val="2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firstLine="0"/>
    </w:pPr>
    <w:rPr>
      <w:rFonts w:eastAsia="Batang"/>
      <w:kern w:val="0"/>
      <w:szCs w:val="24"/>
    </w:rPr>
  </w:style>
  <w:style w:type="paragraph" w:customStyle="1" w:styleId="Bullet1">
    <w:name w:val="Bullet1"/>
    <w:basedOn w:val="bulletround"/>
    <w:rsid w:val="00C620CB"/>
    <w:pPr>
      <w:keepLines w:val="0"/>
      <w:numPr>
        <w:numId w:val="0"/>
      </w:numPr>
      <w:tabs>
        <w:tab w:val="num" w:pos="1440"/>
      </w:tabs>
      <w:spacing w:before="120" w:after="0" w:line="240" w:lineRule="auto"/>
      <w:ind w:left="144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5" w:uiPriority="39"/>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List Number" w:semiHidden="0" w:unhideWhenUsed="0" w:qFormat="1"/>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uiPriority w:val="99"/>
    <w:qFormat/>
    <w:rsid w:val="00037845"/>
    <w:pPr>
      <w:keepNext/>
      <w:numPr>
        <w:ilvl w:val="1"/>
        <w:numId w:val="2"/>
      </w:numPr>
      <w:overflowPunct w:val="0"/>
      <w:autoSpaceDE w:val="0"/>
      <w:autoSpaceDN w:val="0"/>
      <w:adjustRightInd w:val="0"/>
      <w:spacing w:before="24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uiPriority w:val="99"/>
    <w:qFormat/>
    <w:rsid w:val="00407556"/>
    <w:pPr>
      <w:numPr>
        <w:ilvl w:val="2"/>
      </w:numPr>
      <w:tabs>
        <w:tab w:val="clear" w:pos="1440"/>
        <w:tab w:val="left" w:pos="1627"/>
      </w:tabs>
      <w:ind w:left="1627" w:hanging="547"/>
      <w:outlineLvl w:val="2"/>
    </w:pPr>
  </w:style>
  <w:style w:type="paragraph" w:styleId="Heading4">
    <w:name w:val="heading 4"/>
    <w:basedOn w:val="BodyText"/>
    <w:next w:val="Normal"/>
    <w:link w:val="Heading4Char"/>
    <w:uiPriority w:val="99"/>
    <w:qFormat/>
    <w:rsid w:val="005E3FDA"/>
    <w:pPr>
      <w:keepNext/>
      <w:keepLines/>
      <w:outlineLvl w:val="3"/>
    </w:pPr>
    <w:rPr>
      <w:b/>
    </w:rPr>
  </w:style>
  <w:style w:type="paragraph" w:styleId="Heading5">
    <w:name w:val="heading 5"/>
    <w:basedOn w:val="Normal"/>
    <w:next w:val="Normal"/>
    <w:link w:val="Heading5Char"/>
    <w:uiPriority w:val="99"/>
    <w:qFormat/>
    <w:rsid w:val="00B700F3"/>
    <w:pPr>
      <w:keepNext/>
      <w:spacing w:before="240"/>
      <w:ind w:left="360" w:firstLine="360"/>
      <w:outlineLvl w:val="4"/>
    </w:pPr>
    <w:rPr>
      <w:i/>
    </w:rPr>
  </w:style>
  <w:style w:type="paragraph" w:styleId="Heading6">
    <w:name w:val="heading 6"/>
    <w:basedOn w:val="Normal"/>
    <w:next w:val="Normal"/>
    <w:link w:val="Heading6Char"/>
    <w:uiPriority w:val="9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uiPriority w:val="99"/>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uiPriority w:val="99"/>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uiPriority w:val="99"/>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uiPriority w:val="99"/>
    <w:locked/>
    <w:rsid w:val="00037845"/>
    <w:rPr>
      <w:rFonts w:ascii="Arial" w:hAnsi="Arial" w:cs="Arial"/>
      <w:b/>
      <w:bCs/>
      <w:iCs/>
      <w:sz w:val="24"/>
      <w:szCs w:val="28"/>
    </w:rPr>
  </w:style>
  <w:style w:type="character" w:customStyle="1" w:styleId="Heading3Char">
    <w:name w:val="Heading 3 Char"/>
    <w:basedOn w:val="DefaultParagraphFont"/>
    <w:link w:val="Heading3"/>
    <w:uiPriority w:val="99"/>
    <w:locked/>
    <w:rsid w:val="00407556"/>
    <w:rPr>
      <w:rFonts w:ascii="Arial" w:hAnsi="Arial" w:cs="Arial"/>
      <w:b/>
      <w:bCs/>
      <w:iCs/>
      <w:sz w:val="24"/>
      <w:szCs w:val="28"/>
    </w:rPr>
  </w:style>
  <w:style w:type="character" w:customStyle="1" w:styleId="Heading4Char">
    <w:name w:val="Heading 4 Char"/>
    <w:basedOn w:val="DefaultParagraphFont"/>
    <w:link w:val="Heading4"/>
    <w:uiPriority w:val="99"/>
    <w:locked/>
    <w:rsid w:val="005E3FDA"/>
    <w:rPr>
      <w:rFonts w:ascii="Garamond" w:hAnsi="Garamond"/>
      <w:b/>
      <w:kern w:val="16"/>
      <w:sz w:val="24"/>
    </w:rPr>
  </w:style>
  <w:style w:type="character" w:customStyle="1" w:styleId="Heading5Char">
    <w:name w:val="Heading 5 Char"/>
    <w:basedOn w:val="DefaultParagraphFont"/>
    <w:link w:val="Heading5"/>
    <w:uiPriority w:val="99"/>
    <w:locked/>
    <w:rsid w:val="00B700F3"/>
    <w:rPr>
      <w:rFonts w:ascii="Garamond" w:hAnsi="Garamond"/>
      <w:i/>
      <w:kern w:val="16"/>
      <w:sz w:val="24"/>
    </w:rPr>
  </w:style>
  <w:style w:type="character" w:customStyle="1" w:styleId="Heading6Char">
    <w:name w:val="Heading 6 Char"/>
    <w:basedOn w:val="DefaultParagraphFont"/>
    <w:link w:val="Heading6"/>
    <w:uiPriority w:val="99"/>
    <w:locked/>
    <w:rsid w:val="001A126A"/>
    <w:rPr>
      <w:rFonts w:ascii="Arial" w:hAnsi="Arial"/>
      <w:b/>
      <w:sz w:val="28"/>
    </w:rPr>
  </w:style>
  <w:style w:type="character" w:customStyle="1" w:styleId="Heading7Char">
    <w:name w:val="Heading 7 Char"/>
    <w:basedOn w:val="DefaultParagraphFont"/>
    <w:link w:val="Heading7"/>
    <w:uiPriority w:val="99"/>
    <w:locked/>
    <w:rsid w:val="001A126A"/>
    <w:rPr>
      <w:rFonts w:ascii="Arial" w:hAnsi="Arial"/>
      <w:b/>
      <w:sz w:val="24"/>
    </w:rPr>
  </w:style>
  <w:style w:type="character" w:customStyle="1" w:styleId="Heading8Char">
    <w:name w:val="Heading 8 Char"/>
    <w:basedOn w:val="DefaultParagraphFont"/>
    <w:link w:val="Heading8"/>
    <w:uiPriority w:val="99"/>
    <w:locked/>
    <w:rsid w:val="001A126A"/>
    <w:rPr>
      <w:rFonts w:ascii="Arial" w:hAnsi="Arial"/>
      <w:b/>
      <w:sz w:val="24"/>
    </w:rPr>
  </w:style>
  <w:style w:type="character" w:customStyle="1" w:styleId="Heading9Char">
    <w:name w:val="Heading 9 Char"/>
    <w:basedOn w:val="DefaultParagraphFont"/>
    <w:link w:val="Heading9"/>
    <w:uiPriority w:val="99"/>
    <w:locked/>
    <w:rsid w:val="001A126A"/>
    <w:rPr>
      <w:rFonts w:ascii="Arial" w:hAnsi="Arial"/>
      <w:b/>
      <w:sz w:val="40"/>
    </w:rPr>
  </w:style>
  <w:style w:type="paragraph" w:styleId="BodyText">
    <w:name w:val="Body Text"/>
    <w:basedOn w:val="Normal"/>
    <w:link w:val="BodyTextChar"/>
    <w:rsid w:val="00A5283E"/>
    <w:pPr>
      <w:spacing w:before="120" w:after="120" w:line="320" w:lineRule="atLeast"/>
      <w:ind w:firstLine="720"/>
    </w:pPr>
  </w:style>
  <w:style w:type="character" w:customStyle="1" w:styleId="BodyTextChar">
    <w:name w:val="Body Text Char"/>
    <w:basedOn w:val="DefaultParagraphFont"/>
    <w:link w:val="BodyText"/>
    <w:locked/>
    <w:rsid w:val="00A5283E"/>
    <w:rPr>
      <w:rFonts w:ascii="Garamond" w:hAnsi="Garamond"/>
      <w:kern w:val="16"/>
      <w:sz w:val="24"/>
    </w:rPr>
  </w:style>
  <w:style w:type="paragraph" w:styleId="BalloonText">
    <w:name w:val="Balloon Text"/>
    <w:basedOn w:val="Normal"/>
    <w:link w:val="BalloonTextChar"/>
    <w:semiHidden/>
    <w:rsid w:val="00D62900"/>
    <w:rPr>
      <w:rFonts w:ascii="Tahoma" w:hAnsi="Tahoma" w:cs="Tahoma"/>
      <w:sz w:val="16"/>
      <w:szCs w:val="16"/>
    </w:rPr>
  </w:style>
  <w:style w:type="character" w:customStyle="1" w:styleId="BalloonTextChar">
    <w:name w:val="Balloon Text Char"/>
    <w:basedOn w:val="DefaultParagraphFont"/>
    <w:link w:val="BalloonText"/>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uiPriority w:val="99"/>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rsid w:val="00E66068"/>
    <w:pPr>
      <w:keepNext/>
      <w:spacing w:before="40" w:after="40"/>
      <w:ind w:left="908" w:hanging="346"/>
    </w:pPr>
    <w:rPr>
      <w:rFonts w:ascii="Arial" w:hAnsi="Arial" w:cs="Arial"/>
      <w:kern w:val="2"/>
      <w:sz w:val="20"/>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2D24EF"/>
    <w:pPr>
      <w:keepNext/>
      <w:spacing w:before="240" w:after="80"/>
      <w:ind w:left="990" w:hanging="990"/>
    </w:pPr>
    <w:rPr>
      <w:rFonts w:ascii="Arial" w:hAnsi="Arial"/>
      <w:b/>
      <w:sz w:val="20"/>
    </w:rPr>
  </w:style>
  <w:style w:type="character" w:customStyle="1" w:styleId="TableTitleChar">
    <w:name w:val="Table Title Char"/>
    <w:basedOn w:val="DefaultParagraphFont"/>
    <w:link w:val="TableTitle"/>
    <w:locked/>
    <w:rsid w:val="002D24EF"/>
    <w:rPr>
      <w:rFonts w:ascii="Arial" w:hAnsi="Arial" w:cs="Times New Roman"/>
      <w:b/>
      <w:lang w:val="en-US" w:eastAsia="en-US" w:bidi="ar-SA"/>
    </w:rPr>
  </w:style>
  <w:style w:type="paragraph" w:styleId="TOC1">
    <w:name w:val="toc 1"/>
    <w:basedOn w:val="Normal"/>
    <w:next w:val="Normal"/>
    <w:uiPriority w:val="39"/>
    <w:rsid w:val="00372B92"/>
    <w:pPr>
      <w:tabs>
        <w:tab w:val="right" w:leader="dot" w:pos="10224"/>
      </w:tabs>
      <w:spacing w:after="120" w:line="320" w:lineRule="atLeast"/>
      <w:ind w:left="360" w:right="778" w:hanging="360"/>
    </w:pPr>
    <w:rPr>
      <w:b/>
      <w:bCs/>
      <w:noProof/>
    </w:rPr>
  </w:style>
  <w:style w:type="paragraph" w:styleId="TOC2">
    <w:name w:val="toc 2"/>
    <w:basedOn w:val="Normal"/>
    <w:next w:val="Normal"/>
    <w:uiPriority w:val="39"/>
    <w:rsid w:val="00372B92"/>
    <w:pPr>
      <w:tabs>
        <w:tab w:val="left" w:pos="1080"/>
        <w:tab w:val="right" w:leader="dot" w:pos="10224"/>
      </w:tabs>
      <w:spacing w:before="120" w:after="120"/>
      <w:ind w:left="720" w:right="778" w:hanging="360"/>
    </w:pPr>
    <w:rPr>
      <w:bCs/>
      <w:noProof/>
      <w:sz w:val="22"/>
    </w:rPr>
  </w:style>
  <w:style w:type="paragraph" w:styleId="TOC3">
    <w:name w:val="toc 3"/>
    <w:basedOn w:val="Normal"/>
    <w:next w:val="Normal"/>
    <w:uiPriority w:val="39"/>
    <w:rsid w:val="00372B92"/>
    <w:pPr>
      <w:tabs>
        <w:tab w:val="left" w:pos="1440"/>
        <w:tab w:val="right" w:leader="dot" w:pos="10224"/>
      </w:tabs>
      <w:ind w:left="1080" w:hanging="360"/>
    </w:pPr>
    <w:rPr>
      <w:noProof/>
      <w:sz w:val="22"/>
    </w:rPr>
  </w:style>
  <w:style w:type="paragraph" w:styleId="TOC4">
    <w:name w:val="toc 4"/>
    <w:basedOn w:val="Normal"/>
    <w:next w:val="Normal"/>
    <w:autoRedefine/>
    <w:semiHidden/>
    <w:rsid w:val="0063081A"/>
    <w:pPr>
      <w:ind w:left="480"/>
    </w:pPr>
    <w:rPr>
      <w:sz w:val="20"/>
    </w:rPr>
  </w:style>
  <w:style w:type="paragraph" w:styleId="TOC5">
    <w:name w:val="toc 5"/>
    <w:basedOn w:val="Normal"/>
    <w:next w:val="Normal"/>
    <w:uiPriority w:val="39"/>
    <w:rsid w:val="00170641"/>
    <w:pPr>
      <w:tabs>
        <w:tab w:val="left" w:pos="1179"/>
        <w:tab w:val="right" w:leader="dot" w:pos="10224"/>
      </w:tabs>
      <w:spacing w:before="120" w:after="120"/>
      <w:ind w:left="1179" w:right="778" w:hanging="819"/>
    </w:pPr>
    <w:rPr>
      <w:bCs/>
      <w:noProof/>
      <w:sz w:val="22"/>
    </w:rPr>
  </w:style>
  <w:style w:type="paragraph" w:styleId="ListBullet2">
    <w:name w:val="List Bullet 2"/>
    <w:basedOn w:val="Normal"/>
    <w:rsid w:val="007F4CA0"/>
    <w:pPr>
      <w:tabs>
        <w:tab w:val="num" w:pos="1080"/>
      </w:tabs>
      <w:spacing w:before="120"/>
      <w:ind w:left="1080" w:hanging="360"/>
    </w:pPr>
  </w:style>
  <w:style w:type="paragraph" w:customStyle="1" w:styleId="bulletround">
    <w:name w:val="bullet round"/>
    <w:basedOn w:val="Normal"/>
    <w:link w:val="bulletroundChar"/>
    <w:uiPriority w:val="99"/>
    <w:rsid w:val="00850D60"/>
    <w:pPr>
      <w:keepLines/>
      <w:numPr>
        <w:numId w:val="5"/>
      </w:numPr>
      <w:tabs>
        <w:tab w:val="clear" w:pos="1440"/>
        <w:tab w:val="num" w:pos="1080"/>
      </w:tabs>
      <w:spacing w:after="60" w:line="280" w:lineRule="atLeast"/>
    </w:pPr>
    <w:rPr>
      <w:rFonts w:cs="Arial"/>
      <w:kern w:val="0"/>
    </w:rPr>
  </w:style>
  <w:style w:type="character" w:customStyle="1" w:styleId="bulletroundChar">
    <w:name w:val="bullet round Char"/>
    <w:basedOn w:val="DefaultParagraphFont"/>
    <w:link w:val="bulletround"/>
    <w:uiPriority w:val="99"/>
    <w:locked/>
    <w:rsid w:val="00850D6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947CA0"/>
    <w:pPr>
      <w:keepNext/>
      <w:spacing w:before="240" w:after="120"/>
      <w:ind w:left="171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rsid w:val="0032258C"/>
    <w:pPr>
      <w:widowControl w:val="0"/>
      <w:tabs>
        <w:tab w:val="center" w:pos="4320"/>
        <w:tab w:val="right" w:pos="8640"/>
      </w:tabs>
    </w:pPr>
    <w:rPr>
      <w:sz w:val="20"/>
    </w:rPr>
  </w:style>
  <w:style w:type="character" w:customStyle="1" w:styleId="HeaderChar">
    <w:name w:val="Header Char"/>
    <w:basedOn w:val="DefaultParagraphFont"/>
    <w:link w:val="Header"/>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rsid w:val="00F776C1"/>
    <w:pPr>
      <w:numPr>
        <w:numId w:val="25"/>
      </w:numPr>
    </w:pPr>
    <w:rPr>
      <w:szCs w:val="24"/>
    </w:rPr>
  </w:style>
  <w:style w:type="table" w:styleId="TableGrid">
    <w:name w:val="Table Grid"/>
    <w:aliases w:val="RTI NCES Table"/>
    <w:basedOn w:val="TableNormal"/>
    <w:uiPriority w:val="59"/>
    <w:rsid w:val="00526BC2"/>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5C72BA"/>
    <w:pPr>
      <w:keepNext/>
      <w:spacing w:before="20" w:after="20"/>
      <w:ind w:left="144" w:hanging="144"/>
    </w:pPr>
    <w:rPr>
      <w:rFonts w:ascii="Arial" w:hAnsi="Arial"/>
      <w:sz w:val="16"/>
    </w:rPr>
  </w:style>
  <w:style w:type="character" w:customStyle="1" w:styleId="TabletextChar">
    <w:name w:val="Table text Char"/>
    <w:basedOn w:val="DefaultParagraphFont"/>
    <w:link w:val="Tabletext"/>
    <w:locked/>
    <w:rsid w:val="005C72BA"/>
    <w:rPr>
      <w:rFonts w:ascii="Arial" w:hAnsi="Arial"/>
      <w:sz w:val="16"/>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semiHidden/>
    <w:rsid w:val="00160371"/>
    <w:rPr>
      <w:b/>
      <w:bCs/>
    </w:rPr>
  </w:style>
  <w:style w:type="character" w:customStyle="1" w:styleId="CommentSubjectChar">
    <w:name w:val="Comment Subject Char"/>
    <w:basedOn w:val="CommentTextChar"/>
    <w:link w:val="CommentSubject"/>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EF1FA4"/>
    <w:pPr>
      <w:ind w:left="0" w:firstLine="0"/>
      <w:jc w:val="right"/>
    </w:pPr>
  </w:style>
  <w:style w:type="character" w:customStyle="1" w:styleId="TableheadingChar">
    <w:name w:val="Table heading Char"/>
    <w:basedOn w:val="TabletextChar"/>
    <w:link w:val="Tableheading"/>
    <w:locked/>
    <w:rsid w:val="00EF1FA4"/>
    <w:rPr>
      <w:rFonts w:ascii="Arial" w:hAnsi="Arial" w:cs="Times New Roman"/>
      <w:sz w:val="16"/>
      <w:lang w:val="en-US" w:eastAsia="en-US" w:bidi="ar-SA"/>
    </w:rPr>
  </w:style>
  <w:style w:type="paragraph" w:customStyle="1" w:styleId="Tablenotes">
    <w:name w:val="Table notes"/>
    <w:link w:val="TablenotesChar"/>
    <w:rsid w:val="00725EA1"/>
    <w:pPr>
      <w:spacing w:before="60" w:after="240" w:line="200" w:lineRule="atLeast"/>
      <w:contextualSpacing/>
    </w:pPr>
    <w:rPr>
      <w:rFonts w:ascii="Arial" w:hAnsi="Arial"/>
      <w:noProof/>
      <w:sz w:val="16"/>
      <w:szCs w:val="18"/>
    </w:rPr>
  </w:style>
  <w:style w:type="character" w:customStyle="1" w:styleId="TablenotesChar">
    <w:name w:val="Table notes Char"/>
    <w:basedOn w:val="DefaultParagraphFont"/>
    <w:link w:val="Tablenotes"/>
    <w:locked/>
    <w:rsid w:val="00725EA1"/>
    <w:rPr>
      <w:rFonts w:ascii="Arial" w:hAnsi="Arial"/>
      <w:noProof/>
      <w:sz w:val="16"/>
      <w:szCs w:val="18"/>
    </w:rPr>
  </w:style>
  <w:style w:type="paragraph" w:styleId="DocumentMap">
    <w:name w:val="Document Map"/>
    <w:basedOn w:val="Normal"/>
    <w:link w:val="DocumentMapChar"/>
    <w:semiHidden/>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semiHidden/>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firstLine="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semiHidden/>
    <w:rsid w:val="00316BBE"/>
    <w:pPr>
      <w:ind w:left="960"/>
    </w:pPr>
    <w:rPr>
      <w:sz w:val="20"/>
    </w:rPr>
  </w:style>
  <w:style w:type="paragraph" w:styleId="TOC7">
    <w:name w:val="toc 7"/>
    <w:basedOn w:val="Normal"/>
    <w:next w:val="Normal"/>
    <w:autoRedefine/>
    <w:semiHidden/>
    <w:rsid w:val="00316BBE"/>
    <w:pPr>
      <w:ind w:left="1200"/>
    </w:pPr>
    <w:rPr>
      <w:sz w:val="20"/>
    </w:rPr>
  </w:style>
  <w:style w:type="paragraph" w:styleId="TOC8">
    <w:name w:val="toc 8"/>
    <w:basedOn w:val="Normal"/>
    <w:next w:val="Normal"/>
    <w:autoRedefine/>
    <w:semiHidden/>
    <w:rsid w:val="00316BBE"/>
    <w:pPr>
      <w:ind w:left="1440"/>
    </w:pPr>
    <w:rPr>
      <w:sz w:val="20"/>
    </w:rPr>
  </w:style>
  <w:style w:type="paragraph" w:styleId="TOC9">
    <w:name w:val="toc 9"/>
    <w:basedOn w:val="Normal"/>
    <w:next w:val="Normal"/>
    <w:autoRedefine/>
    <w:semiHidden/>
    <w:rsid w:val="00316BBE"/>
    <w:pPr>
      <w:ind w:left="1680"/>
    </w:pPr>
    <w:rPr>
      <w:sz w:val="20"/>
    </w:rPr>
  </w:style>
  <w:style w:type="paragraph" w:styleId="Index1">
    <w:name w:val="index 1"/>
    <w:basedOn w:val="Normal"/>
    <w:next w:val="Normal"/>
    <w:autoRedefine/>
    <w:semiHidden/>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semiHidden/>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firstLine="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rsid w:val="00A3200F"/>
    <w:rPr>
      <w:rFonts w:cs="Times New Roman"/>
      <w:color w:val="800080"/>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7"/>
      </w:numPr>
      <w:spacing w:after="60" w:line="280" w:lineRule="atLeast"/>
    </w:pPr>
    <w:rPr>
      <w:szCs w:val="24"/>
    </w:rPr>
  </w:style>
  <w:style w:type="paragraph" w:customStyle="1" w:styleId="Bulletblocked">
    <w:name w:val="Bullet blocked"/>
    <w:basedOn w:val="BodyText"/>
    <w:rsid w:val="00F60825"/>
    <w:pPr>
      <w:spacing w:line="280" w:lineRule="atLeast"/>
      <w:ind w:left="1080" w:firstLine="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firstLine="0"/>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C12134"/>
    <w:pPr>
      <w:numPr>
        <w:numId w:val="9"/>
      </w:numPr>
      <w:contextualSpacing/>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pPr>
      <w:ind w:firstLine="0"/>
    </w:pPr>
    <w:rPr>
      <w:rFonts w:ascii="Times New Roman" w:hAnsi="Times New Roman"/>
      <w:kern w:val="0"/>
      <w:szCs w:val="24"/>
    </w:rPr>
  </w:style>
  <w:style w:type="paragraph" w:styleId="ListNumber2">
    <w:name w:val="List Number 2"/>
    <w:basedOn w:val="Normal"/>
    <w:semiHidden/>
    <w:unhideWhenUsed/>
    <w:locked/>
    <w:rsid w:val="008E4476"/>
    <w:pPr>
      <w:numPr>
        <w:numId w:val="21"/>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firstLine="0"/>
    </w:pPr>
    <w:rPr>
      <w:rFonts w:eastAsia="Batang"/>
      <w:kern w:val="0"/>
      <w:szCs w:val="24"/>
    </w:rPr>
  </w:style>
  <w:style w:type="paragraph" w:customStyle="1" w:styleId="Bullet1">
    <w:name w:val="Bullet1"/>
    <w:basedOn w:val="bulletround"/>
    <w:rsid w:val="00C620CB"/>
    <w:pPr>
      <w:keepLines w:val="0"/>
      <w:numPr>
        <w:numId w:val="0"/>
      </w:numPr>
      <w:tabs>
        <w:tab w:val="num" w:pos="1440"/>
      </w:tabs>
      <w:spacing w:before="120" w:after="0" w:line="240" w:lineRule="auto"/>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9A8E4-8B5B-47D0-8DA6-BAFDF3625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5420</Words>
  <Characters>30897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Chapter 2</vt:lpstr>
    </vt:vector>
  </TitlesOfParts>
  <Company>RTI International</Company>
  <LinksUpToDate>false</LinksUpToDate>
  <CharactersWithSpaces>36245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spowell</dc:creator>
  <cp:lastModifiedBy>SYSTEM</cp:lastModifiedBy>
  <cp:revision>2</cp:revision>
  <cp:lastPrinted>2017-04-17T12:48:00Z</cp:lastPrinted>
  <dcterms:created xsi:type="dcterms:W3CDTF">2018-01-18T20:11:00Z</dcterms:created>
  <dcterms:modified xsi:type="dcterms:W3CDTF">2018-01-18T20:11:00Z</dcterms:modified>
</cp:coreProperties>
</file>