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4BC" w:rsidRPr="008870F5" w:rsidRDefault="00D664BC" w:rsidP="00D35597">
      <w:pPr>
        <w:tabs>
          <w:tab w:val="left" w:pos="540"/>
        </w:tabs>
        <w:ind w:left="1094" w:hanging="547"/>
        <w:jc w:val="center"/>
        <w:rPr>
          <w:sz w:val="20"/>
          <w:szCs w:val="20"/>
        </w:rPr>
      </w:pPr>
      <w:bookmarkStart w:id="0" w:name="_GoBack"/>
      <w:bookmarkEnd w:id="0"/>
      <w:r w:rsidRPr="008870F5">
        <w:rPr>
          <w:rFonts w:ascii="Tahoma" w:hAnsi="Tahoma" w:cs="Tahoma"/>
          <w:b/>
          <w:bCs/>
          <w:iCs/>
          <w:sz w:val="22"/>
          <w:szCs w:val="22"/>
        </w:rPr>
        <w:t>PART B – JUSTIFICATION</w:t>
      </w:r>
    </w:p>
    <w:p w:rsidR="00D664BC" w:rsidRPr="008870F5" w:rsidRDefault="00D664BC" w:rsidP="00286751">
      <w:pPr>
        <w:rPr>
          <w:sz w:val="20"/>
          <w:szCs w:val="20"/>
        </w:rPr>
      </w:pPr>
    </w:p>
    <w:p w:rsidR="00D664BC" w:rsidRPr="007A4184" w:rsidRDefault="00D664BC" w:rsidP="007D2889">
      <w:pPr>
        <w:pStyle w:val="NoSpacing"/>
        <w:contextualSpacing/>
        <w:rPr>
          <w:rFonts w:ascii="Arial" w:hAnsi="Arial" w:cs="Arial"/>
          <w:b/>
          <w:sz w:val="20"/>
          <w:szCs w:val="20"/>
        </w:rPr>
      </w:pPr>
      <w:r w:rsidRPr="007A4184">
        <w:rPr>
          <w:rFonts w:ascii="Arial" w:hAnsi="Arial" w:cs="Arial"/>
          <w:b/>
          <w:sz w:val="20"/>
          <w:szCs w:val="20"/>
        </w:rPr>
        <w:t>1.  Describe (including a numerical estimate) the potential respondent universe and any sampling or other respondent selection methods to be used.</w:t>
      </w:r>
    </w:p>
    <w:p w:rsidR="00D664BC" w:rsidRPr="008870F5" w:rsidRDefault="00D664BC" w:rsidP="00286751">
      <w:pPr>
        <w:rPr>
          <w:sz w:val="20"/>
          <w:szCs w:val="20"/>
        </w:rPr>
      </w:pPr>
    </w:p>
    <w:p w:rsidR="00D664BC" w:rsidRPr="008870F5" w:rsidRDefault="00616172" w:rsidP="00286751">
      <w:pPr>
        <w:rPr>
          <w:sz w:val="20"/>
          <w:szCs w:val="20"/>
        </w:rPr>
      </w:pPr>
      <w:r w:rsidRPr="008870F5">
        <w:rPr>
          <w:sz w:val="20"/>
          <w:szCs w:val="20"/>
        </w:rPr>
        <w:t>The suite of burden surveys recognizes differences between taxpayers (individuals, corporations, partnerships, tax-exempt organizations</w:t>
      </w:r>
      <w:r>
        <w:rPr>
          <w:sz w:val="20"/>
          <w:szCs w:val="20"/>
        </w:rPr>
        <w:t>, trusts, estates, employers, and information document issuers</w:t>
      </w:r>
      <w:r w:rsidRPr="008870F5">
        <w:rPr>
          <w:sz w:val="20"/>
          <w:szCs w:val="20"/>
        </w:rPr>
        <w:t xml:space="preserve">). However, across all the surveys, the data are captured in an internally consistent manner (in terms of time and money). </w:t>
      </w:r>
      <w:r w:rsidR="00D664BC" w:rsidRPr="008870F5">
        <w:rPr>
          <w:sz w:val="20"/>
          <w:szCs w:val="20"/>
        </w:rPr>
        <w:t xml:space="preserve">Some populations </w:t>
      </w:r>
      <w:r w:rsidR="00167587">
        <w:rPr>
          <w:sz w:val="20"/>
          <w:szCs w:val="20"/>
        </w:rPr>
        <w:t>are</w:t>
      </w:r>
      <w:r w:rsidR="00D664BC" w:rsidRPr="008870F5">
        <w:rPr>
          <w:sz w:val="20"/>
          <w:szCs w:val="20"/>
        </w:rPr>
        <w:t xml:space="preserve"> explicitly excluded from the survey population. This includes minors, deceased taxpayers, and </w:t>
      </w:r>
      <w:r w:rsidR="00167587">
        <w:rPr>
          <w:sz w:val="20"/>
          <w:szCs w:val="20"/>
        </w:rPr>
        <w:t xml:space="preserve">in most circumstances, </w:t>
      </w:r>
      <w:r w:rsidR="00D664BC" w:rsidRPr="008870F5">
        <w:rPr>
          <w:sz w:val="20"/>
          <w:szCs w:val="20"/>
        </w:rPr>
        <w:t xml:space="preserve">taxpayers that have international addresses, including active duty military serving overseas.  </w:t>
      </w:r>
    </w:p>
    <w:p w:rsidR="00D664BC" w:rsidRPr="008870F5" w:rsidRDefault="00D664BC" w:rsidP="00286751">
      <w:pPr>
        <w:rPr>
          <w:sz w:val="20"/>
          <w:szCs w:val="20"/>
        </w:rPr>
      </w:pPr>
    </w:p>
    <w:p w:rsidR="00250C5E" w:rsidRDefault="00470138" w:rsidP="00250C5E">
      <w:pPr>
        <w:rPr>
          <w:sz w:val="20"/>
          <w:szCs w:val="20"/>
        </w:rPr>
      </w:pPr>
      <w:r>
        <w:rPr>
          <w:sz w:val="20"/>
          <w:szCs w:val="20"/>
        </w:rPr>
        <w:t xml:space="preserve">Tables 1 – 8 below show the most recent </w:t>
      </w:r>
      <w:r w:rsidR="00167587">
        <w:rPr>
          <w:sz w:val="20"/>
          <w:szCs w:val="20"/>
        </w:rPr>
        <w:t xml:space="preserve">respondent </w:t>
      </w:r>
      <w:r>
        <w:rPr>
          <w:sz w:val="20"/>
          <w:szCs w:val="20"/>
        </w:rPr>
        <w:t>universe (</w:t>
      </w:r>
      <w:r w:rsidR="00167587">
        <w:rPr>
          <w:sz w:val="20"/>
          <w:szCs w:val="20"/>
        </w:rPr>
        <w:t>population</w:t>
      </w:r>
      <w:r>
        <w:rPr>
          <w:sz w:val="20"/>
          <w:szCs w:val="20"/>
        </w:rPr>
        <w:t xml:space="preserve"> count), stratification plan, and sample allocations</w:t>
      </w:r>
      <w:r w:rsidR="00167587">
        <w:rPr>
          <w:sz w:val="20"/>
          <w:szCs w:val="20"/>
        </w:rPr>
        <w:t xml:space="preserve"> for </w:t>
      </w:r>
      <w:r>
        <w:rPr>
          <w:sz w:val="20"/>
          <w:szCs w:val="20"/>
        </w:rPr>
        <w:t xml:space="preserve">each survey. </w:t>
      </w:r>
      <w:r w:rsidR="00250C5E" w:rsidRPr="008870F5">
        <w:rPr>
          <w:sz w:val="20"/>
          <w:szCs w:val="20"/>
        </w:rPr>
        <w:t>When sub-populations vary considerably, it is advantageous to sample each subpopulation (stratum) independently. Stratification is the process of grouping members of the population into relatively homogeneous sub-groups before sampling.  The strata should be:</w:t>
      </w:r>
    </w:p>
    <w:p w:rsidR="00250C5E" w:rsidRPr="008870F5" w:rsidRDefault="00250C5E" w:rsidP="00250C5E">
      <w:pPr>
        <w:rPr>
          <w:sz w:val="20"/>
          <w:szCs w:val="20"/>
        </w:rPr>
      </w:pPr>
    </w:p>
    <w:p w:rsidR="00250C5E" w:rsidRPr="008870F5" w:rsidRDefault="00250C5E" w:rsidP="00250C5E">
      <w:pPr>
        <w:widowControl/>
        <w:numPr>
          <w:ilvl w:val="0"/>
          <w:numId w:val="6"/>
        </w:numPr>
        <w:tabs>
          <w:tab w:val="clear" w:pos="360"/>
          <w:tab w:val="num" w:pos="720"/>
        </w:tabs>
        <w:autoSpaceDE/>
        <w:autoSpaceDN/>
        <w:adjustRightInd/>
        <w:ind w:left="720"/>
        <w:rPr>
          <w:sz w:val="20"/>
          <w:szCs w:val="20"/>
        </w:rPr>
      </w:pPr>
      <w:r w:rsidRPr="008870F5">
        <w:rPr>
          <w:sz w:val="20"/>
          <w:szCs w:val="20"/>
        </w:rPr>
        <w:t xml:space="preserve">Mutually Exclusive. Members must be assigned to only one stratum, and </w:t>
      </w:r>
    </w:p>
    <w:p w:rsidR="00250C5E" w:rsidRDefault="00250C5E" w:rsidP="00250C5E">
      <w:pPr>
        <w:widowControl/>
        <w:numPr>
          <w:ilvl w:val="0"/>
          <w:numId w:val="6"/>
        </w:numPr>
        <w:tabs>
          <w:tab w:val="clear" w:pos="360"/>
          <w:tab w:val="num" w:pos="720"/>
        </w:tabs>
        <w:autoSpaceDE/>
        <w:autoSpaceDN/>
        <w:adjustRightInd/>
        <w:ind w:left="720"/>
        <w:rPr>
          <w:sz w:val="20"/>
          <w:szCs w:val="20"/>
        </w:rPr>
      </w:pPr>
      <w:r w:rsidRPr="008870F5">
        <w:rPr>
          <w:sz w:val="20"/>
          <w:szCs w:val="20"/>
        </w:rPr>
        <w:t xml:space="preserve">Collectively Exhaustive. No members can be excluded.  </w:t>
      </w:r>
    </w:p>
    <w:p w:rsidR="00D01379" w:rsidRPr="008870F5" w:rsidRDefault="00D01379" w:rsidP="00D01379">
      <w:pPr>
        <w:widowControl/>
        <w:autoSpaceDE/>
        <w:autoSpaceDN/>
        <w:adjustRightInd/>
        <w:ind w:left="720"/>
        <w:rPr>
          <w:sz w:val="20"/>
          <w:szCs w:val="20"/>
        </w:rPr>
      </w:pPr>
    </w:p>
    <w:p w:rsidR="00250C5E" w:rsidRDefault="00250C5E" w:rsidP="00250C5E">
      <w:pPr>
        <w:spacing w:line="180" w:lineRule="exact"/>
        <w:rPr>
          <w:sz w:val="20"/>
          <w:szCs w:val="20"/>
        </w:rPr>
      </w:pPr>
    </w:p>
    <w:p w:rsidR="005329CE" w:rsidRPr="00E2594C" w:rsidRDefault="005329CE" w:rsidP="005329CE">
      <w:pPr>
        <w:pStyle w:val="ListParagraph"/>
        <w:ind w:left="0"/>
        <w:rPr>
          <w:b/>
          <w:bCs/>
          <w:sz w:val="18"/>
          <w:szCs w:val="18"/>
        </w:rPr>
      </w:pPr>
      <w:r w:rsidRPr="00E2594C">
        <w:rPr>
          <w:b/>
          <w:bCs/>
          <w:sz w:val="18"/>
          <w:szCs w:val="18"/>
        </w:rPr>
        <w:t>Table 1 – Tax Year 2015 Individual Taxpayer Burden Survey</w:t>
      </w:r>
    </w:p>
    <w:tbl>
      <w:tblPr>
        <w:tblW w:w="7860" w:type="dxa"/>
        <w:tblInd w:w="108" w:type="dxa"/>
        <w:tblLook w:val="04A0" w:firstRow="1" w:lastRow="0" w:firstColumn="1" w:lastColumn="0" w:noHBand="0" w:noVBand="1"/>
      </w:tblPr>
      <w:tblGrid>
        <w:gridCol w:w="2560"/>
        <w:gridCol w:w="2180"/>
        <w:gridCol w:w="1540"/>
        <w:gridCol w:w="1580"/>
      </w:tblGrid>
      <w:tr w:rsidR="005329CE" w:rsidRPr="00E2594C" w:rsidTr="00E2594C">
        <w:trPr>
          <w:trHeight w:val="300"/>
        </w:trPr>
        <w:tc>
          <w:tcPr>
            <w:tcW w:w="4740" w:type="dxa"/>
            <w:gridSpan w:val="2"/>
            <w:tcBorders>
              <w:top w:val="single" w:sz="8" w:space="0" w:color="auto"/>
              <w:left w:val="single" w:sz="8" w:space="0" w:color="auto"/>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Strata</w:t>
            </w:r>
          </w:p>
        </w:tc>
        <w:tc>
          <w:tcPr>
            <w:tcW w:w="1540" w:type="dxa"/>
            <w:vMerge w:val="restart"/>
            <w:tcBorders>
              <w:top w:val="single" w:sz="8" w:space="0" w:color="auto"/>
              <w:left w:val="single" w:sz="4" w:space="0" w:color="auto"/>
              <w:bottom w:val="single" w:sz="8" w:space="0" w:color="000000"/>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Population Count</w:t>
            </w:r>
          </w:p>
        </w:tc>
        <w:tc>
          <w:tcPr>
            <w:tcW w:w="1580" w:type="dxa"/>
            <w:vMerge w:val="restart"/>
            <w:tcBorders>
              <w:top w:val="single" w:sz="8" w:space="0" w:color="auto"/>
              <w:left w:val="single" w:sz="4" w:space="0" w:color="auto"/>
              <w:bottom w:val="single" w:sz="8" w:space="0" w:color="000000"/>
              <w:right w:val="single" w:sz="8"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Sample Allocation</w:t>
            </w:r>
          </w:p>
        </w:tc>
      </w:tr>
      <w:tr w:rsidR="005329CE" w:rsidRPr="00E2594C" w:rsidTr="00E2594C">
        <w:trPr>
          <w:trHeight w:val="250"/>
        </w:trPr>
        <w:tc>
          <w:tcPr>
            <w:tcW w:w="2560" w:type="dxa"/>
            <w:tcBorders>
              <w:top w:val="nil"/>
              <w:left w:val="single" w:sz="8" w:space="0" w:color="auto"/>
              <w:bottom w:val="single" w:sz="8" w:space="0" w:color="auto"/>
              <w:right w:val="single" w:sz="4" w:space="0" w:color="auto"/>
            </w:tcBorders>
            <w:shd w:val="clear" w:color="auto" w:fill="auto"/>
            <w:noWrap/>
            <w:tcMar>
              <w:left w:w="0" w:type="dxa"/>
              <w:right w:w="14" w:type="dxa"/>
            </w:tcMar>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Preparation Method</w:t>
            </w:r>
          </w:p>
        </w:tc>
        <w:tc>
          <w:tcPr>
            <w:tcW w:w="2180" w:type="dxa"/>
            <w:tcBorders>
              <w:top w:val="nil"/>
              <w:left w:val="nil"/>
              <w:bottom w:val="single" w:sz="8"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Complexity</w:t>
            </w:r>
          </w:p>
        </w:tc>
        <w:tc>
          <w:tcPr>
            <w:tcW w:w="1540" w:type="dxa"/>
            <w:vMerge/>
            <w:tcBorders>
              <w:top w:val="single" w:sz="8" w:space="0" w:color="auto"/>
              <w:left w:val="single" w:sz="4" w:space="0" w:color="auto"/>
              <w:bottom w:val="single" w:sz="8" w:space="0" w:color="000000"/>
              <w:right w:val="single" w:sz="4" w:space="0" w:color="auto"/>
            </w:tcBorders>
            <w:tcMar>
              <w:left w:w="0" w:type="dxa"/>
              <w:right w:w="14" w:type="dxa"/>
            </w:tcMar>
            <w:vAlign w:val="center"/>
            <w:hideMark/>
          </w:tcPr>
          <w:p w:rsidR="005329CE" w:rsidRPr="00E2594C" w:rsidRDefault="005329CE" w:rsidP="00E2594C">
            <w:pPr>
              <w:widowControl/>
              <w:autoSpaceDE/>
              <w:autoSpaceDN/>
              <w:adjustRightInd/>
              <w:rPr>
                <w:sz w:val="18"/>
                <w:szCs w:val="18"/>
              </w:rPr>
            </w:pPr>
          </w:p>
        </w:tc>
        <w:tc>
          <w:tcPr>
            <w:tcW w:w="1580" w:type="dxa"/>
            <w:vMerge/>
            <w:tcBorders>
              <w:top w:val="single" w:sz="8" w:space="0" w:color="auto"/>
              <w:left w:val="single" w:sz="4" w:space="0" w:color="auto"/>
              <w:bottom w:val="single" w:sz="8" w:space="0" w:color="000000"/>
              <w:right w:val="single" w:sz="8" w:space="0" w:color="auto"/>
            </w:tcBorders>
            <w:tcMar>
              <w:left w:w="0" w:type="dxa"/>
              <w:right w:w="14" w:type="dxa"/>
            </w:tcMar>
            <w:vAlign w:val="center"/>
            <w:hideMark/>
          </w:tcPr>
          <w:p w:rsidR="005329CE" w:rsidRPr="00E2594C" w:rsidRDefault="005329CE" w:rsidP="00E2594C">
            <w:pPr>
              <w:widowControl/>
              <w:autoSpaceDE/>
              <w:autoSpaceDN/>
              <w:adjustRightInd/>
              <w:rPr>
                <w:sz w:val="18"/>
                <w:szCs w:val="18"/>
              </w:rPr>
            </w:pPr>
          </w:p>
        </w:tc>
      </w:tr>
      <w:tr w:rsidR="005329CE" w:rsidRPr="00E2594C" w:rsidTr="00470138">
        <w:trPr>
          <w:trHeight w:val="187"/>
        </w:trPr>
        <w:tc>
          <w:tcPr>
            <w:tcW w:w="2560"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Used a Paid Professional</w:t>
            </w:r>
          </w:p>
        </w:tc>
        <w:tc>
          <w:tcPr>
            <w:tcW w:w="218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Low</w:t>
            </w:r>
          </w:p>
        </w:tc>
        <w:tc>
          <w:tcPr>
            <w:tcW w:w="154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9,758,524</w:t>
            </w:r>
          </w:p>
        </w:tc>
        <w:tc>
          <w:tcPr>
            <w:tcW w:w="1580" w:type="dxa"/>
            <w:tcBorders>
              <w:top w:val="nil"/>
              <w:left w:val="nil"/>
              <w:bottom w:val="single" w:sz="4" w:space="0" w:color="auto"/>
              <w:right w:val="single" w:sz="8"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1,109</w:t>
            </w:r>
          </w:p>
        </w:tc>
      </w:tr>
      <w:tr w:rsidR="005329CE" w:rsidRPr="00E2594C" w:rsidTr="00470138">
        <w:trPr>
          <w:trHeight w:val="187"/>
        </w:trPr>
        <w:tc>
          <w:tcPr>
            <w:tcW w:w="2560"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Used a Paid Professional</w:t>
            </w:r>
          </w:p>
        </w:tc>
        <w:tc>
          <w:tcPr>
            <w:tcW w:w="218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Medium-Low</w:t>
            </w:r>
          </w:p>
        </w:tc>
        <w:tc>
          <w:tcPr>
            <w:tcW w:w="154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22,015,186</w:t>
            </w:r>
          </w:p>
        </w:tc>
        <w:tc>
          <w:tcPr>
            <w:tcW w:w="1580" w:type="dxa"/>
            <w:tcBorders>
              <w:top w:val="nil"/>
              <w:left w:val="nil"/>
              <w:bottom w:val="single" w:sz="4" w:space="0" w:color="auto"/>
              <w:right w:val="single" w:sz="8"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2,191</w:t>
            </w:r>
          </w:p>
        </w:tc>
      </w:tr>
      <w:tr w:rsidR="005329CE" w:rsidRPr="00E2594C" w:rsidTr="00470138">
        <w:trPr>
          <w:trHeight w:val="187"/>
        </w:trPr>
        <w:tc>
          <w:tcPr>
            <w:tcW w:w="2560"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Used a Paid Professional</w:t>
            </w:r>
          </w:p>
        </w:tc>
        <w:tc>
          <w:tcPr>
            <w:tcW w:w="218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Medium</w:t>
            </w:r>
          </w:p>
        </w:tc>
        <w:tc>
          <w:tcPr>
            <w:tcW w:w="154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15,372,213</w:t>
            </w:r>
          </w:p>
        </w:tc>
        <w:tc>
          <w:tcPr>
            <w:tcW w:w="1580" w:type="dxa"/>
            <w:tcBorders>
              <w:top w:val="nil"/>
              <w:left w:val="nil"/>
              <w:bottom w:val="single" w:sz="4" w:space="0" w:color="auto"/>
              <w:right w:val="single" w:sz="8"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1,956</w:t>
            </w:r>
          </w:p>
        </w:tc>
      </w:tr>
      <w:tr w:rsidR="005329CE" w:rsidRPr="00E2594C" w:rsidTr="00470138">
        <w:trPr>
          <w:trHeight w:val="187"/>
        </w:trPr>
        <w:tc>
          <w:tcPr>
            <w:tcW w:w="2560"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Used a Paid Professional</w:t>
            </w:r>
          </w:p>
        </w:tc>
        <w:tc>
          <w:tcPr>
            <w:tcW w:w="218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Medium-High - Simpler</w:t>
            </w:r>
          </w:p>
        </w:tc>
        <w:tc>
          <w:tcPr>
            <w:tcW w:w="154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6,496,505</w:t>
            </w:r>
          </w:p>
        </w:tc>
        <w:tc>
          <w:tcPr>
            <w:tcW w:w="1580" w:type="dxa"/>
            <w:tcBorders>
              <w:top w:val="nil"/>
              <w:left w:val="nil"/>
              <w:bottom w:val="single" w:sz="4" w:space="0" w:color="auto"/>
              <w:right w:val="single" w:sz="8"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773</w:t>
            </w:r>
          </w:p>
        </w:tc>
      </w:tr>
      <w:tr w:rsidR="005329CE" w:rsidRPr="00E2594C" w:rsidTr="00470138">
        <w:trPr>
          <w:trHeight w:val="187"/>
        </w:trPr>
        <w:tc>
          <w:tcPr>
            <w:tcW w:w="2560"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Used a Paid Professional</w:t>
            </w:r>
          </w:p>
        </w:tc>
        <w:tc>
          <w:tcPr>
            <w:tcW w:w="218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Medium-High - Moderate</w:t>
            </w:r>
          </w:p>
        </w:tc>
        <w:tc>
          <w:tcPr>
            <w:tcW w:w="154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4,455,117</w:t>
            </w:r>
          </w:p>
        </w:tc>
        <w:tc>
          <w:tcPr>
            <w:tcW w:w="1580" w:type="dxa"/>
            <w:tcBorders>
              <w:top w:val="nil"/>
              <w:left w:val="nil"/>
              <w:bottom w:val="single" w:sz="4" w:space="0" w:color="auto"/>
              <w:right w:val="single" w:sz="8"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633</w:t>
            </w:r>
          </w:p>
        </w:tc>
      </w:tr>
      <w:tr w:rsidR="005329CE" w:rsidRPr="00E2594C" w:rsidTr="00470138">
        <w:trPr>
          <w:trHeight w:val="187"/>
        </w:trPr>
        <w:tc>
          <w:tcPr>
            <w:tcW w:w="2560"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Used a Paid Professional</w:t>
            </w:r>
          </w:p>
        </w:tc>
        <w:tc>
          <w:tcPr>
            <w:tcW w:w="218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Medium-High - Difficult</w:t>
            </w:r>
          </w:p>
        </w:tc>
        <w:tc>
          <w:tcPr>
            <w:tcW w:w="154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5,235,768</w:t>
            </w:r>
          </w:p>
        </w:tc>
        <w:tc>
          <w:tcPr>
            <w:tcW w:w="1580" w:type="dxa"/>
            <w:tcBorders>
              <w:top w:val="nil"/>
              <w:left w:val="nil"/>
              <w:bottom w:val="single" w:sz="4" w:space="0" w:color="auto"/>
              <w:right w:val="single" w:sz="8"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1,243</w:t>
            </w:r>
          </w:p>
        </w:tc>
      </w:tr>
      <w:tr w:rsidR="005329CE" w:rsidRPr="00E2594C" w:rsidTr="00470138">
        <w:trPr>
          <w:trHeight w:val="187"/>
        </w:trPr>
        <w:tc>
          <w:tcPr>
            <w:tcW w:w="2560"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Used a Paid Professional</w:t>
            </w:r>
          </w:p>
        </w:tc>
        <w:tc>
          <w:tcPr>
            <w:tcW w:w="218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High-Simpler</w:t>
            </w:r>
          </w:p>
        </w:tc>
        <w:tc>
          <w:tcPr>
            <w:tcW w:w="154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4,333,619</w:t>
            </w:r>
          </w:p>
        </w:tc>
        <w:tc>
          <w:tcPr>
            <w:tcW w:w="1580" w:type="dxa"/>
            <w:tcBorders>
              <w:top w:val="nil"/>
              <w:left w:val="nil"/>
              <w:bottom w:val="single" w:sz="4" w:space="0" w:color="auto"/>
              <w:right w:val="single" w:sz="8"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662</w:t>
            </w:r>
          </w:p>
        </w:tc>
      </w:tr>
      <w:tr w:rsidR="005329CE" w:rsidRPr="00E2594C" w:rsidTr="00470138">
        <w:trPr>
          <w:trHeight w:val="187"/>
        </w:trPr>
        <w:tc>
          <w:tcPr>
            <w:tcW w:w="2560"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Used a Paid Professional</w:t>
            </w:r>
          </w:p>
        </w:tc>
        <w:tc>
          <w:tcPr>
            <w:tcW w:w="218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High-Moderate</w:t>
            </w:r>
          </w:p>
        </w:tc>
        <w:tc>
          <w:tcPr>
            <w:tcW w:w="154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2,500,073</w:t>
            </w:r>
          </w:p>
        </w:tc>
        <w:tc>
          <w:tcPr>
            <w:tcW w:w="1580" w:type="dxa"/>
            <w:tcBorders>
              <w:top w:val="nil"/>
              <w:left w:val="nil"/>
              <w:bottom w:val="single" w:sz="4" w:space="0" w:color="auto"/>
              <w:right w:val="single" w:sz="8"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651</w:t>
            </w:r>
          </w:p>
        </w:tc>
      </w:tr>
      <w:tr w:rsidR="005329CE" w:rsidRPr="00E2594C" w:rsidTr="00470138">
        <w:trPr>
          <w:trHeight w:val="187"/>
        </w:trPr>
        <w:tc>
          <w:tcPr>
            <w:tcW w:w="2560" w:type="dxa"/>
            <w:tcBorders>
              <w:top w:val="nil"/>
              <w:left w:val="single" w:sz="8" w:space="0" w:color="auto"/>
              <w:bottom w:val="single" w:sz="8" w:space="0" w:color="auto"/>
              <w:right w:val="single" w:sz="4" w:space="0" w:color="auto"/>
            </w:tcBorders>
            <w:shd w:val="clear" w:color="auto" w:fill="auto"/>
            <w:noWrap/>
            <w:tcMar>
              <w:left w:w="0" w:type="dxa"/>
              <w:right w:w="14" w:type="dxa"/>
            </w:tcMar>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Used a Paid Professional</w:t>
            </w:r>
          </w:p>
        </w:tc>
        <w:tc>
          <w:tcPr>
            <w:tcW w:w="2180" w:type="dxa"/>
            <w:tcBorders>
              <w:top w:val="nil"/>
              <w:left w:val="nil"/>
              <w:bottom w:val="single" w:sz="8"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High-Difficult</w:t>
            </w:r>
          </w:p>
        </w:tc>
        <w:tc>
          <w:tcPr>
            <w:tcW w:w="1540" w:type="dxa"/>
            <w:tcBorders>
              <w:top w:val="nil"/>
              <w:left w:val="nil"/>
              <w:bottom w:val="single" w:sz="8"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4,446,633</w:t>
            </w:r>
          </w:p>
        </w:tc>
        <w:tc>
          <w:tcPr>
            <w:tcW w:w="1580" w:type="dxa"/>
            <w:tcBorders>
              <w:top w:val="nil"/>
              <w:left w:val="nil"/>
              <w:bottom w:val="single" w:sz="8" w:space="0" w:color="auto"/>
              <w:right w:val="single" w:sz="8"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1,818</w:t>
            </w:r>
          </w:p>
        </w:tc>
      </w:tr>
      <w:tr w:rsidR="005329CE" w:rsidRPr="00E2594C" w:rsidTr="00470138">
        <w:trPr>
          <w:trHeight w:val="187"/>
        </w:trPr>
        <w:tc>
          <w:tcPr>
            <w:tcW w:w="2560"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5329CE" w:rsidRPr="00E2594C" w:rsidRDefault="00034131" w:rsidP="00E2594C">
            <w:pPr>
              <w:widowControl/>
              <w:autoSpaceDE/>
              <w:autoSpaceDN/>
              <w:adjustRightInd/>
              <w:jc w:val="center"/>
              <w:rPr>
                <w:color w:val="000000"/>
                <w:sz w:val="18"/>
                <w:szCs w:val="18"/>
              </w:rPr>
            </w:pPr>
            <w:r w:rsidRPr="00E2594C">
              <w:rPr>
                <w:color w:val="000000"/>
                <w:sz w:val="18"/>
                <w:szCs w:val="18"/>
              </w:rPr>
              <w:t>Self-Prepared</w:t>
            </w:r>
            <w:r w:rsidR="005329CE" w:rsidRPr="00E2594C">
              <w:rPr>
                <w:color w:val="000000"/>
                <w:sz w:val="18"/>
                <w:szCs w:val="18"/>
              </w:rPr>
              <w:t xml:space="preserve"> by Hand</w:t>
            </w:r>
          </w:p>
        </w:tc>
        <w:tc>
          <w:tcPr>
            <w:tcW w:w="218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Low</w:t>
            </w:r>
          </w:p>
        </w:tc>
        <w:tc>
          <w:tcPr>
            <w:tcW w:w="154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1,277,493</w:t>
            </w:r>
          </w:p>
        </w:tc>
        <w:tc>
          <w:tcPr>
            <w:tcW w:w="1580" w:type="dxa"/>
            <w:tcBorders>
              <w:top w:val="nil"/>
              <w:left w:val="nil"/>
              <w:bottom w:val="single" w:sz="4" w:space="0" w:color="auto"/>
              <w:right w:val="single" w:sz="8"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763</w:t>
            </w:r>
          </w:p>
        </w:tc>
      </w:tr>
      <w:tr w:rsidR="005329CE" w:rsidRPr="00E2594C" w:rsidTr="00470138">
        <w:trPr>
          <w:trHeight w:val="187"/>
        </w:trPr>
        <w:tc>
          <w:tcPr>
            <w:tcW w:w="2560"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5329CE" w:rsidRPr="00E2594C" w:rsidRDefault="00034131" w:rsidP="00E2594C">
            <w:pPr>
              <w:widowControl/>
              <w:autoSpaceDE/>
              <w:autoSpaceDN/>
              <w:adjustRightInd/>
              <w:jc w:val="center"/>
              <w:rPr>
                <w:color w:val="000000"/>
                <w:sz w:val="18"/>
                <w:szCs w:val="18"/>
              </w:rPr>
            </w:pPr>
            <w:r w:rsidRPr="00E2594C">
              <w:rPr>
                <w:color w:val="000000"/>
                <w:sz w:val="18"/>
                <w:szCs w:val="18"/>
              </w:rPr>
              <w:t>Self-Prepared</w:t>
            </w:r>
            <w:r w:rsidR="005329CE" w:rsidRPr="00E2594C">
              <w:rPr>
                <w:color w:val="000000"/>
                <w:sz w:val="18"/>
                <w:szCs w:val="18"/>
              </w:rPr>
              <w:t xml:space="preserve"> by Hand</w:t>
            </w:r>
          </w:p>
        </w:tc>
        <w:tc>
          <w:tcPr>
            <w:tcW w:w="218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Medium-Low</w:t>
            </w:r>
          </w:p>
        </w:tc>
        <w:tc>
          <w:tcPr>
            <w:tcW w:w="154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1,581,900</w:t>
            </w:r>
          </w:p>
        </w:tc>
        <w:tc>
          <w:tcPr>
            <w:tcW w:w="1580" w:type="dxa"/>
            <w:tcBorders>
              <w:top w:val="nil"/>
              <w:left w:val="nil"/>
              <w:bottom w:val="single" w:sz="4" w:space="0" w:color="auto"/>
              <w:right w:val="single" w:sz="8"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423</w:t>
            </w:r>
          </w:p>
        </w:tc>
      </w:tr>
      <w:tr w:rsidR="005329CE" w:rsidRPr="00E2594C" w:rsidTr="00470138">
        <w:trPr>
          <w:trHeight w:val="187"/>
        </w:trPr>
        <w:tc>
          <w:tcPr>
            <w:tcW w:w="2560"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5329CE" w:rsidRPr="00E2594C" w:rsidRDefault="00034131" w:rsidP="00E2594C">
            <w:pPr>
              <w:widowControl/>
              <w:autoSpaceDE/>
              <w:autoSpaceDN/>
              <w:adjustRightInd/>
              <w:jc w:val="center"/>
              <w:rPr>
                <w:color w:val="000000"/>
                <w:sz w:val="18"/>
                <w:szCs w:val="18"/>
              </w:rPr>
            </w:pPr>
            <w:r w:rsidRPr="00E2594C">
              <w:rPr>
                <w:color w:val="000000"/>
                <w:sz w:val="18"/>
                <w:szCs w:val="18"/>
              </w:rPr>
              <w:t>Self-Prepared</w:t>
            </w:r>
            <w:r w:rsidR="005329CE" w:rsidRPr="00E2594C">
              <w:rPr>
                <w:color w:val="000000"/>
                <w:sz w:val="18"/>
                <w:szCs w:val="18"/>
              </w:rPr>
              <w:t xml:space="preserve"> by Hand</w:t>
            </w:r>
          </w:p>
        </w:tc>
        <w:tc>
          <w:tcPr>
            <w:tcW w:w="218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Medium</w:t>
            </w:r>
          </w:p>
        </w:tc>
        <w:tc>
          <w:tcPr>
            <w:tcW w:w="154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932,670</w:t>
            </w:r>
          </w:p>
        </w:tc>
        <w:tc>
          <w:tcPr>
            <w:tcW w:w="1580" w:type="dxa"/>
            <w:tcBorders>
              <w:top w:val="nil"/>
              <w:left w:val="nil"/>
              <w:bottom w:val="single" w:sz="4" w:space="0" w:color="auto"/>
              <w:right w:val="single" w:sz="8"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422</w:t>
            </w:r>
          </w:p>
        </w:tc>
      </w:tr>
      <w:tr w:rsidR="005329CE" w:rsidRPr="00E2594C" w:rsidTr="00470138">
        <w:trPr>
          <w:trHeight w:val="187"/>
        </w:trPr>
        <w:tc>
          <w:tcPr>
            <w:tcW w:w="2560"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5329CE" w:rsidRPr="00E2594C" w:rsidRDefault="00034131" w:rsidP="00E2594C">
            <w:pPr>
              <w:widowControl/>
              <w:autoSpaceDE/>
              <w:autoSpaceDN/>
              <w:adjustRightInd/>
              <w:jc w:val="center"/>
              <w:rPr>
                <w:color w:val="000000"/>
                <w:sz w:val="18"/>
                <w:szCs w:val="18"/>
              </w:rPr>
            </w:pPr>
            <w:r w:rsidRPr="00E2594C">
              <w:rPr>
                <w:color w:val="000000"/>
                <w:sz w:val="18"/>
                <w:szCs w:val="18"/>
              </w:rPr>
              <w:t>Self-Prepared</w:t>
            </w:r>
            <w:r w:rsidR="005329CE" w:rsidRPr="00E2594C">
              <w:rPr>
                <w:color w:val="000000"/>
                <w:sz w:val="18"/>
                <w:szCs w:val="18"/>
              </w:rPr>
              <w:t xml:space="preserve"> by Hand</w:t>
            </w:r>
          </w:p>
        </w:tc>
        <w:tc>
          <w:tcPr>
            <w:tcW w:w="218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Medium-High</w:t>
            </w:r>
          </w:p>
        </w:tc>
        <w:tc>
          <w:tcPr>
            <w:tcW w:w="154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525,801</w:t>
            </w:r>
          </w:p>
        </w:tc>
        <w:tc>
          <w:tcPr>
            <w:tcW w:w="1580" w:type="dxa"/>
            <w:tcBorders>
              <w:top w:val="nil"/>
              <w:left w:val="nil"/>
              <w:bottom w:val="single" w:sz="4" w:space="0" w:color="auto"/>
              <w:right w:val="single" w:sz="8"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395</w:t>
            </w:r>
          </w:p>
        </w:tc>
      </w:tr>
      <w:tr w:rsidR="005329CE" w:rsidRPr="00E2594C" w:rsidTr="00470138">
        <w:trPr>
          <w:trHeight w:val="187"/>
        </w:trPr>
        <w:tc>
          <w:tcPr>
            <w:tcW w:w="2560" w:type="dxa"/>
            <w:tcBorders>
              <w:top w:val="nil"/>
              <w:left w:val="single" w:sz="8" w:space="0" w:color="auto"/>
              <w:bottom w:val="single" w:sz="8" w:space="0" w:color="auto"/>
              <w:right w:val="single" w:sz="4" w:space="0" w:color="auto"/>
            </w:tcBorders>
            <w:shd w:val="clear" w:color="auto" w:fill="auto"/>
            <w:noWrap/>
            <w:tcMar>
              <w:left w:w="0" w:type="dxa"/>
              <w:right w:w="14" w:type="dxa"/>
            </w:tcMar>
            <w:vAlign w:val="bottom"/>
            <w:hideMark/>
          </w:tcPr>
          <w:p w:rsidR="005329CE" w:rsidRPr="00E2594C" w:rsidRDefault="00034131" w:rsidP="00E2594C">
            <w:pPr>
              <w:widowControl/>
              <w:autoSpaceDE/>
              <w:autoSpaceDN/>
              <w:adjustRightInd/>
              <w:jc w:val="center"/>
              <w:rPr>
                <w:color w:val="000000"/>
                <w:sz w:val="18"/>
                <w:szCs w:val="18"/>
              </w:rPr>
            </w:pPr>
            <w:r w:rsidRPr="00E2594C">
              <w:rPr>
                <w:color w:val="000000"/>
                <w:sz w:val="18"/>
                <w:szCs w:val="18"/>
              </w:rPr>
              <w:t>Self-Prepared</w:t>
            </w:r>
            <w:r w:rsidR="005329CE" w:rsidRPr="00E2594C">
              <w:rPr>
                <w:color w:val="000000"/>
                <w:sz w:val="18"/>
                <w:szCs w:val="18"/>
              </w:rPr>
              <w:t xml:space="preserve"> by Hand</w:t>
            </w:r>
          </w:p>
        </w:tc>
        <w:tc>
          <w:tcPr>
            <w:tcW w:w="2180" w:type="dxa"/>
            <w:tcBorders>
              <w:top w:val="nil"/>
              <w:left w:val="nil"/>
              <w:bottom w:val="single" w:sz="8"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High</w:t>
            </w:r>
          </w:p>
        </w:tc>
        <w:tc>
          <w:tcPr>
            <w:tcW w:w="1540" w:type="dxa"/>
            <w:tcBorders>
              <w:top w:val="nil"/>
              <w:left w:val="nil"/>
              <w:bottom w:val="single" w:sz="8"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201,726</w:t>
            </w:r>
          </w:p>
        </w:tc>
        <w:tc>
          <w:tcPr>
            <w:tcW w:w="1580" w:type="dxa"/>
            <w:tcBorders>
              <w:top w:val="nil"/>
              <w:left w:val="nil"/>
              <w:bottom w:val="single" w:sz="8" w:space="0" w:color="auto"/>
              <w:right w:val="single" w:sz="8"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403</w:t>
            </w:r>
          </w:p>
        </w:tc>
      </w:tr>
      <w:tr w:rsidR="005329CE" w:rsidRPr="00E2594C" w:rsidTr="00470138">
        <w:trPr>
          <w:trHeight w:val="187"/>
        </w:trPr>
        <w:tc>
          <w:tcPr>
            <w:tcW w:w="2560"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5329CE" w:rsidRPr="00E2594C" w:rsidRDefault="00034131" w:rsidP="00E2594C">
            <w:pPr>
              <w:widowControl/>
              <w:autoSpaceDE/>
              <w:autoSpaceDN/>
              <w:adjustRightInd/>
              <w:jc w:val="center"/>
              <w:rPr>
                <w:color w:val="000000"/>
                <w:sz w:val="18"/>
                <w:szCs w:val="18"/>
              </w:rPr>
            </w:pPr>
            <w:r w:rsidRPr="00E2594C">
              <w:rPr>
                <w:color w:val="000000"/>
                <w:sz w:val="18"/>
                <w:szCs w:val="18"/>
              </w:rPr>
              <w:t>Self-Prepared</w:t>
            </w:r>
            <w:r w:rsidR="005329CE" w:rsidRPr="00E2594C">
              <w:rPr>
                <w:color w:val="000000"/>
                <w:sz w:val="18"/>
                <w:szCs w:val="18"/>
              </w:rPr>
              <w:t xml:space="preserve"> by Software</w:t>
            </w:r>
          </w:p>
        </w:tc>
        <w:tc>
          <w:tcPr>
            <w:tcW w:w="218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Low</w:t>
            </w:r>
          </w:p>
        </w:tc>
        <w:tc>
          <w:tcPr>
            <w:tcW w:w="154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13,352,100</w:t>
            </w:r>
          </w:p>
        </w:tc>
        <w:tc>
          <w:tcPr>
            <w:tcW w:w="1580" w:type="dxa"/>
            <w:tcBorders>
              <w:top w:val="nil"/>
              <w:left w:val="nil"/>
              <w:bottom w:val="single" w:sz="4" w:space="0" w:color="auto"/>
              <w:right w:val="single" w:sz="8"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1,009</w:t>
            </w:r>
          </w:p>
        </w:tc>
      </w:tr>
      <w:tr w:rsidR="005329CE" w:rsidRPr="00E2594C" w:rsidTr="00470138">
        <w:trPr>
          <w:trHeight w:val="187"/>
        </w:trPr>
        <w:tc>
          <w:tcPr>
            <w:tcW w:w="2560"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5329CE" w:rsidRPr="00E2594C" w:rsidRDefault="00034131" w:rsidP="00E2594C">
            <w:pPr>
              <w:widowControl/>
              <w:autoSpaceDE/>
              <w:autoSpaceDN/>
              <w:adjustRightInd/>
              <w:jc w:val="center"/>
              <w:rPr>
                <w:color w:val="000000"/>
                <w:sz w:val="18"/>
                <w:szCs w:val="18"/>
              </w:rPr>
            </w:pPr>
            <w:r w:rsidRPr="00E2594C">
              <w:rPr>
                <w:color w:val="000000"/>
                <w:sz w:val="18"/>
                <w:szCs w:val="18"/>
              </w:rPr>
              <w:t>Self-Prepared</w:t>
            </w:r>
            <w:r w:rsidR="005329CE" w:rsidRPr="00E2594C">
              <w:rPr>
                <w:color w:val="000000"/>
                <w:sz w:val="18"/>
                <w:szCs w:val="18"/>
              </w:rPr>
              <w:t xml:space="preserve"> by Software</w:t>
            </w:r>
          </w:p>
        </w:tc>
        <w:tc>
          <w:tcPr>
            <w:tcW w:w="218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Medium-Low</w:t>
            </w:r>
          </w:p>
        </w:tc>
        <w:tc>
          <w:tcPr>
            <w:tcW w:w="154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21,713,432</w:t>
            </w:r>
          </w:p>
        </w:tc>
        <w:tc>
          <w:tcPr>
            <w:tcW w:w="1580" w:type="dxa"/>
            <w:tcBorders>
              <w:top w:val="nil"/>
              <w:left w:val="nil"/>
              <w:bottom w:val="single" w:sz="4" w:space="0" w:color="auto"/>
              <w:right w:val="single" w:sz="8"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2,001</w:t>
            </w:r>
          </w:p>
        </w:tc>
      </w:tr>
      <w:tr w:rsidR="005329CE" w:rsidRPr="00E2594C" w:rsidTr="00470138">
        <w:trPr>
          <w:trHeight w:val="187"/>
        </w:trPr>
        <w:tc>
          <w:tcPr>
            <w:tcW w:w="2560"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5329CE" w:rsidRPr="00E2594C" w:rsidRDefault="00034131" w:rsidP="00E2594C">
            <w:pPr>
              <w:widowControl/>
              <w:autoSpaceDE/>
              <w:autoSpaceDN/>
              <w:adjustRightInd/>
              <w:jc w:val="center"/>
              <w:rPr>
                <w:color w:val="000000"/>
                <w:sz w:val="18"/>
                <w:szCs w:val="18"/>
              </w:rPr>
            </w:pPr>
            <w:r w:rsidRPr="00E2594C">
              <w:rPr>
                <w:color w:val="000000"/>
                <w:sz w:val="18"/>
                <w:szCs w:val="18"/>
              </w:rPr>
              <w:t>Self-Prepared</w:t>
            </w:r>
            <w:r w:rsidR="005329CE" w:rsidRPr="00E2594C">
              <w:rPr>
                <w:color w:val="000000"/>
                <w:sz w:val="18"/>
                <w:szCs w:val="18"/>
              </w:rPr>
              <w:t xml:space="preserve"> by Software</w:t>
            </w:r>
          </w:p>
        </w:tc>
        <w:tc>
          <w:tcPr>
            <w:tcW w:w="218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Medium</w:t>
            </w:r>
          </w:p>
        </w:tc>
        <w:tc>
          <w:tcPr>
            <w:tcW w:w="154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11,570,065</w:t>
            </w:r>
          </w:p>
        </w:tc>
        <w:tc>
          <w:tcPr>
            <w:tcW w:w="1580" w:type="dxa"/>
            <w:tcBorders>
              <w:top w:val="nil"/>
              <w:left w:val="nil"/>
              <w:bottom w:val="single" w:sz="4" w:space="0" w:color="auto"/>
              <w:right w:val="single" w:sz="8"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1,520</w:t>
            </w:r>
          </w:p>
        </w:tc>
      </w:tr>
      <w:tr w:rsidR="005329CE" w:rsidRPr="00E2594C" w:rsidTr="00470138">
        <w:trPr>
          <w:trHeight w:val="187"/>
        </w:trPr>
        <w:tc>
          <w:tcPr>
            <w:tcW w:w="2560"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5329CE" w:rsidRPr="00E2594C" w:rsidRDefault="00034131" w:rsidP="00E2594C">
            <w:pPr>
              <w:widowControl/>
              <w:autoSpaceDE/>
              <w:autoSpaceDN/>
              <w:adjustRightInd/>
              <w:jc w:val="center"/>
              <w:rPr>
                <w:color w:val="000000"/>
                <w:sz w:val="18"/>
                <w:szCs w:val="18"/>
              </w:rPr>
            </w:pPr>
            <w:r w:rsidRPr="00E2594C">
              <w:rPr>
                <w:color w:val="000000"/>
                <w:sz w:val="18"/>
                <w:szCs w:val="18"/>
              </w:rPr>
              <w:t>Self-Prepared</w:t>
            </w:r>
            <w:r w:rsidR="005329CE" w:rsidRPr="00E2594C">
              <w:rPr>
                <w:color w:val="000000"/>
                <w:sz w:val="18"/>
                <w:szCs w:val="18"/>
              </w:rPr>
              <w:t xml:space="preserve"> by Software</w:t>
            </w:r>
          </w:p>
        </w:tc>
        <w:tc>
          <w:tcPr>
            <w:tcW w:w="218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Medium-High</w:t>
            </w:r>
          </w:p>
        </w:tc>
        <w:tc>
          <w:tcPr>
            <w:tcW w:w="154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7,571,992</w:t>
            </w:r>
          </w:p>
        </w:tc>
        <w:tc>
          <w:tcPr>
            <w:tcW w:w="1580" w:type="dxa"/>
            <w:tcBorders>
              <w:top w:val="nil"/>
              <w:left w:val="nil"/>
              <w:bottom w:val="single" w:sz="4" w:space="0" w:color="auto"/>
              <w:right w:val="single" w:sz="8"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1,065</w:t>
            </w:r>
          </w:p>
        </w:tc>
      </w:tr>
      <w:tr w:rsidR="005329CE" w:rsidRPr="00E2594C" w:rsidTr="00470138">
        <w:trPr>
          <w:trHeight w:val="187"/>
        </w:trPr>
        <w:tc>
          <w:tcPr>
            <w:tcW w:w="2560" w:type="dxa"/>
            <w:tcBorders>
              <w:top w:val="nil"/>
              <w:left w:val="single" w:sz="8" w:space="0" w:color="auto"/>
              <w:bottom w:val="single" w:sz="8" w:space="0" w:color="auto"/>
              <w:right w:val="single" w:sz="4" w:space="0" w:color="auto"/>
            </w:tcBorders>
            <w:shd w:val="clear" w:color="auto" w:fill="auto"/>
            <w:noWrap/>
            <w:tcMar>
              <w:left w:w="0" w:type="dxa"/>
              <w:right w:w="14" w:type="dxa"/>
            </w:tcMar>
            <w:vAlign w:val="bottom"/>
            <w:hideMark/>
          </w:tcPr>
          <w:p w:rsidR="005329CE" w:rsidRPr="00E2594C" w:rsidRDefault="00034131" w:rsidP="00E2594C">
            <w:pPr>
              <w:widowControl/>
              <w:autoSpaceDE/>
              <w:autoSpaceDN/>
              <w:adjustRightInd/>
              <w:jc w:val="center"/>
              <w:rPr>
                <w:color w:val="000000"/>
                <w:sz w:val="18"/>
                <w:szCs w:val="18"/>
              </w:rPr>
            </w:pPr>
            <w:r w:rsidRPr="00E2594C">
              <w:rPr>
                <w:color w:val="000000"/>
                <w:sz w:val="18"/>
                <w:szCs w:val="18"/>
              </w:rPr>
              <w:t>Self-Prepared</w:t>
            </w:r>
            <w:r w:rsidR="005329CE" w:rsidRPr="00E2594C">
              <w:rPr>
                <w:color w:val="000000"/>
                <w:sz w:val="18"/>
                <w:szCs w:val="18"/>
              </w:rPr>
              <w:t xml:space="preserve"> by Software</w:t>
            </w:r>
          </w:p>
        </w:tc>
        <w:tc>
          <w:tcPr>
            <w:tcW w:w="2180" w:type="dxa"/>
            <w:tcBorders>
              <w:top w:val="nil"/>
              <w:left w:val="nil"/>
              <w:bottom w:val="single" w:sz="8"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High</w:t>
            </w:r>
          </w:p>
        </w:tc>
        <w:tc>
          <w:tcPr>
            <w:tcW w:w="1540" w:type="dxa"/>
            <w:tcBorders>
              <w:top w:val="nil"/>
              <w:left w:val="nil"/>
              <w:bottom w:val="single" w:sz="8"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1,681,784</w:t>
            </w:r>
          </w:p>
        </w:tc>
        <w:tc>
          <w:tcPr>
            <w:tcW w:w="1580" w:type="dxa"/>
            <w:tcBorders>
              <w:top w:val="nil"/>
              <w:left w:val="nil"/>
              <w:bottom w:val="single" w:sz="8" w:space="0" w:color="auto"/>
              <w:right w:val="single" w:sz="8"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474</w:t>
            </w:r>
          </w:p>
        </w:tc>
      </w:tr>
      <w:tr w:rsidR="005329CE" w:rsidRPr="00E2594C" w:rsidTr="00470138">
        <w:trPr>
          <w:trHeight w:val="187"/>
        </w:trPr>
        <w:tc>
          <w:tcPr>
            <w:tcW w:w="2560" w:type="dxa"/>
            <w:tcBorders>
              <w:top w:val="nil"/>
              <w:left w:val="single" w:sz="8" w:space="0" w:color="auto"/>
              <w:bottom w:val="single" w:sz="8" w:space="0" w:color="auto"/>
              <w:right w:val="single" w:sz="4" w:space="0" w:color="auto"/>
            </w:tcBorders>
            <w:shd w:val="clear" w:color="auto" w:fill="auto"/>
            <w:noWrap/>
            <w:tcMar>
              <w:left w:w="0" w:type="dxa"/>
              <w:right w:w="14" w:type="dxa"/>
            </w:tcMar>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VITA Prepared</w:t>
            </w:r>
          </w:p>
        </w:tc>
        <w:tc>
          <w:tcPr>
            <w:tcW w:w="2180" w:type="dxa"/>
            <w:tcBorders>
              <w:top w:val="nil"/>
              <w:left w:val="nil"/>
              <w:bottom w:val="single" w:sz="8"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ANY</w:t>
            </w:r>
          </w:p>
        </w:tc>
        <w:tc>
          <w:tcPr>
            <w:tcW w:w="1540" w:type="dxa"/>
            <w:tcBorders>
              <w:top w:val="nil"/>
              <w:left w:val="nil"/>
              <w:bottom w:val="single" w:sz="8" w:space="0" w:color="auto"/>
              <w:right w:val="single" w:sz="4"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3,421,941</w:t>
            </w:r>
          </w:p>
        </w:tc>
        <w:tc>
          <w:tcPr>
            <w:tcW w:w="1580" w:type="dxa"/>
            <w:tcBorders>
              <w:top w:val="nil"/>
              <w:left w:val="nil"/>
              <w:bottom w:val="single" w:sz="8" w:space="0" w:color="auto"/>
              <w:right w:val="single" w:sz="8" w:space="0" w:color="auto"/>
            </w:tcBorders>
            <w:shd w:val="clear" w:color="auto" w:fill="auto"/>
            <w:tcMar>
              <w:left w:w="0" w:type="dxa"/>
              <w:right w:w="14" w:type="dxa"/>
            </w:tcMar>
            <w:vAlign w:val="center"/>
            <w:hideMark/>
          </w:tcPr>
          <w:p w:rsidR="005329CE" w:rsidRPr="00E2594C" w:rsidRDefault="005329CE" w:rsidP="00E2594C">
            <w:pPr>
              <w:widowControl/>
              <w:autoSpaceDE/>
              <w:autoSpaceDN/>
              <w:adjustRightInd/>
              <w:jc w:val="right"/>
              <w:rPr>
                <w:sz w:val="18"/>
                <w:szCs w:val="18"/>
              </w:rPr>
            </w:pPr>
            <w:r w:rsidRPr="00E2594C">
              <w:rPr>
                <w:sz w:val="18"/>
                <w:szCs w:val="18"/>
              </w:rPr>
              <w:t>489</w:t>
            </w:r>
          </w:p>
        </w:tc>
      </w:tr>
      <w:tr w:rsidR="005329CE" w:rsidRPr="00E2594C" w:rsidTr="00E2594C">
        <w:trPr>
          <w:trHeight w:val="315"/>
        </w:trPr>
        <w:tc>
          <w:tcPr>
            <w:tcW w:w="2560" w:type="dxa"/>
            <w:tcBorders>
              <w:top w:val="nil"/>
              <w:left w:val="nil"/>
              <w:bottom w:val="nil"/>
              <w:right w:val="nil"/>
            </w:tcBorders>
            <w:shd w:val="clear" w:color="auto" w:fill="auto"/>
            <w:noWrap/>
            <w:tcMar>
              <w:left w:w="0" w:type="dxa"/>
              <w:right w:w="14" w:type="dxa"/>
            </w:tcMar>
            <w:vAlign w:val="bottom"/>
            <w:hideMark/>
          </w:tcPr>
          <w:p w:rsidR="005329CE" w:rsidRPr="00E2594C" w:rsidRDefault="005329CE" w:rsidP="00E2594C">
            <w:pPr>
              <w:widowControl/>
              <w:autoSpaceDE/>
              <w:autoSpaceDN/>
              <w:adjustRightInd/>
              <w:jc w:val="right"/>
              <w:rPr>
                <w:sz w:val="18"/>
                <w:szCs w:val="18"/>
              </w:rPr>
            </w:pPr>
          </w:p>
        </w:tc>
        <w:tc>
          <w:tcPr>
            <w:tcW w:w="2180" w:type="dxa"/>
            <w:tcBorders>
              <w:top w:val="nil"/>
              <w:left w:val="nil"/>
              <w:bottom w:val="nil"/>
              <w:right w:val="nil"/>
            </w:tcBorders>
            <w:shd w:val="clear" w:color="auto" w:fill="auto"/>
            <w:noWrap/>
            <w:tcMar>
              <w:left w:w="0" w:type="dxa"/>
              <w:right w:w="14" w:type="dxa"/>
            </w:tcMar>
            <w:vAlign w:val="bottom"/>
            <w:hideMark/>
          </w:tcPr>
          <w:p w:rsidR="005329CE" w:rsidRPr="00E2594C" w:rsidRDefault="005329CE" w:rsidP="00E2594C">
            <w:pPr>
              <w:widowControl/>
              <w:autoSpaceDE/>
              <w:autoSpaceDN/>
              <w:adjustRightInd/>
              <w:rPr>
                <w:sz w:val="18"/>
                <w:szCs w:val="18"/>
              </w:rPr>
            </w:pPr>
          </w:p>
        </w:tc>
        <w:tc>
          <w:tcPr>
            <w:tcW w:w="1540" w:type="dxa"/>
            <w:tcBorders>
              <w:top w:val="nil"/>
              <w:left w:val="nil"/>
              <w:bottom w:val="nil"/>
              <w:right w:val="nil"/>
            </w:tcBorders>
            <w:shd w:val="clear" w:color="auto" w:fill="auto"/>
            <w:noWrap/>
            <w:tcMar>
              <w:left w:w="0" w:type="dxa"/>
              <w:right w:w="14" w:type="dxa"/>
            </w:tcMar>
            <w:vAlign w:val="bottom"/>
            <w:hideMark/>
          </w:tcPr>
          <w:p w:rsidR="005329CE" w:rsidRPr="00E2594C" w:rsidRDefault="005329CE" w:rsidP="00E2594C">
            <w:pPr>
              <w:widowControl/>
              <w:autoSpaceDE/>
              <w:autoSpaceDN/>
              <w:adjustRightInd/>
              <w:rPr>
                <w:sz w:val="18"/>
                <w:szCs w:val="18"/>
              </w:rPr>
            </w:pPr>
          </w:p>
        </w:tc>
        <w:tc>
          <w:tcPr>
            <w:tcW w:w="1580" w:type="dxa"/>
            <w:tcBorders>
              <w:top w:val="nil"/>
              <w:left w:val="single" w:sz="8" w:space="0" w:color="auto"/>
              <w:bottom w:val="single" w:sz="8" w:space="0" w:color="auto"/>
              <w:right w:val="single" w:sz="8" w:space="0" w:color="auto"/>
            </w:tcBorders>
            <w:shd w:val="clear" w:color="auto" w:fill="auto"/>
            <w:noWrap/>
            <w:tcMar>
              <w:left w:w="0" w:type="dxa"/>
              <w:right w:w="14" w:type="dxa"/>
            </w:tcMar>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20,000</w:t>
            </w:r>
          </w:p>
        </w:tc>
      </w:tr>
    </w:tbl>
    <w:p w:rsidR="005329CE" w:rsidRDefault="005329CE" w:rsidP="005329CE">
      <w:pPr>
        <w:pStyle w:val="ListParagraph"/>
        <w:ind w:left="0"/>
        <w:rPr>
          <w:b/>
          <w:bCs/>
          <w:sz w:val="18"/>
          <w:szCs w:val="18"/>
        </w:rPr>
      </w:pPr>
    </w:p>
    <w:p w:rsidR="00ED0BAF" w:rsidRDefault="00ED0BAF" w:rsidP="005329CE">
      <w:pPr>
        <w:pStyle w:val="ListParagraph"/>
        <w:ind w:left="0"/>
        <w:rPr>
          <w:b/>
          <w:bCs/>
          <w:sz w:val="18"/>
          <w:szCs w:val="18"/>
        </w:rPr>
      </w:pPr>
    </w:p>
    <w:p w:rsidR="00ED0BAF" w:rsidRDefault="00ED0BAF" w:rsidP="005329CE">
      <w:pPr>
        <w:pStyle w:val="ListParagraph"/>
        <w:ind w:left="0"/>
        <w:rPr>
          <w:b/>
          <w:bCs/>
          <w:sz w:val="18"/>
          <w:szCs w:val="18"/>
        </w:rPr>
      </w:pPr>
    </w:p>
    <w:p w:rsidR="00ED0BAF" w:rsidRDefault="00ED0BAF" w:rsidP="005329CE">
      <w:pPr>
        <w:pStyle w:val="ListParagraph"/>
        <w:widowControl w:val="0"/>
        <w:autoSpaceDE w:val="0"/>
        <w:autoSpaceDN w:val="0"/>
        <w:adjustRightInd w:val="0"/>
        <w:ind w:left="0"/>
        <w:rPr>
          <w:b/>
          <w:bCs/>
          <w:sz w:val="18"/>
          <w:szCs w:val="18"/>
        </w:rPr>
      </w:pPr>
    </w:p>
    <w:p w:rsidR="00ED0BAF" w:rsidRDefault="00ED0BAF" w:rsidP="005329CE">
      <w:pPr>
        <w:pStyle w:val="ListParagraph"/>
        <w:widowControl w:val="0"/>
        <w:autoSpaceDE w:val="0"/>
        <w:autoSpaceDN w:val="0"/>
        <w:adjustRightInd w:val="0"/>
        <w:ind w:left="0"/>
        <w:rPr>
          <w:b/>
          <w:bCs/>
          <w:sz w:val="18"/>
          <w:szCs w:val="18"/>
        </w:rPr>
      </w:pPr>
    </w:p>
    <w:p w:rsidR="005329CE" w:rsidRPr="00E2594C" w:rsidRDefault="00F95E5D" w:rsidP="005329CE">
      <w:pPr>
        <w:pStyle w:val="ListParagraph"/>
        <w:widowControl w:val="0"/>
        <w:autoSpaceDE w:val="0"/>
        <w:autoSpaceDN w:val="0"/>
        <w:adjustRightInd w:val="0"/>
        <w:ind w:left="0"/>
        <w:rPr>
          <w:b/>
          <w:bCs/>
          <w:sz w:val="18"/>
          <w:szCs w:val="18"/>
        </w:rPr>
      </w:pPr>
      <w:r>
        <w:rPr>
          <w:b/>
          <w:bCs/>
          <w:sz w:val="18"/>
          <w:szCs w:val="18"/>
        </w:rPr>
        <w:br w:type="page"/>
      </w:r>
      <w:r w:rsidR="00470138">
        <w:rPr>
          <w:b/>
          <w:bCs/>
          <w:sz w:val="18"/>
          <w:szCs w:val="18"/>
        </w:rPr>
        <w:lastRenderedPageBreak/>
        <w:t>T</w:t>
      </w:r>
      <w:r w:rsidR="005329CE" w:rsidRPr="00E2594C">
        <w:rPr>
          <w:b/>
          <w:bCs/>
          <w:sz w:val="18"/>
          <w:szCs w:val="18"/>
        </w:rPr>
        <w:t>able 2 –  Calendar Year 2014 Taxpayer Compliance Burden Survey</w:t>
      </w:r>
    </w:p>
    <w:tbl>
      <w:tblPr>
        <w:tblW w:w="8275" w:type="dxa"/>
        <w:tblInd w:w="113" w:type="dxa"/>
        <w:tblLook w:val="04A0" w:firstRow="1" w:lastRow="0" w:firstColumn="1" w:lastColumn="0" w:noHBand="0" w:noVBand="1"/>
      </w:tblPr>
      <w:tblGrid>
        <w:gridCol w:w="1525"/>
        <w:gridCol w:w="2430"/>
        <w:gridCol w:w="2070"/>
        <w:gridCol w:w="1170"/>
        <w:gridCol w:w="1080"/>
      </w:tblGrid>
      <w:tr w:rsidR="005329CE" w:rsidRPr="00E2594C" w:rsidTr="00FD69E8">
        <w:tc>
          <w:tcPr>
            <w:tcW w:w="602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Strata</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sz w:val="18"/>
                <w:szCs w:val="18"/>
              </w:rPr>
            </w:pPr>
            <w:r w:rsidRPr="00E2594C">
              <w:rPr>
                <w:sz w:val="18"/>
                <w:szCs w:val="18"/>
              </w:rPr>
              <w:t>Population Count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sz w:val="18"/>
                <w:szCs w:val="18"/>
              </w:rPr>
            </w:pPr>
            <w:r w:rsidRPr="00E2594C">
              <w:rPr>
                <w:sz w:val="18"/>
                <w:szCs w:val="18"/>
              </w:rPr>
              <w:t>Sample Allocation</w:t>
            </w:r>
          </w:p>
        </w:tc>
      </w:tr>
      <w:tr w:rsidR="005329CE" w:rsidRPr="00E2594C" w:rsidTr="00FD69E8">
        <w:tc>
          <w:tcPr>
            <w:tcW w:w="1525" w:type="dxa"/>
            <w:tcBorders>
              <w:top w:val="nil"/>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b/>
                <w:bCs/>
                <w:color w:val="000000"/>
                <w:sz w:val="18"/>
                <w:szCs w:val="18"/>
              </w:rPr>
            </w:pPr>
            <w:r w:rsidRPr="00E2594C">
              <w:rPr>
                <w:b/>
                <w:bCs/>
                <w:color w:val="000000"/>
                <w:sz w:val="18"/>
                <w:szCs w:val="18"/>
              </w:rPr>
              <w:t>Post Filing Issue Complexity</w:t>
            </w:r>
          </w:p>
        </w:tc>
        <w:tc>
          <w:tcPr>
            <w:tcW w:w="243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b/>
                <w:bCs/>
                <w:color w:val="000000"/>
                <w:sz w:val="18"/>
                <w:szCs w:val="18"/>
              </w:rPr>
            </w:pPr>
            <w:r w:rsidRPr="00E2594C">
              <w:rPr>
                <w:b/>
                <w:bCs/>
                <w:color w:val="000000"/>
                <w:sz w:val="18"/>
                <w:szCs w:val="18"/>
              </w:rPr>
              <w:t>Return Complexity</w:t>
            </w:r>
          </w:p>
        </w:tc>
        <w:tc>
          <w:tcPr>
            <w:tcW w:w="20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b/>
                <w:bCs/>
                <w:color w:val="000000"/>
                <w:sz w:val="18"/>
                <w:szCs w:val="18"/>
              </w:rPr>
            </w:pPr>
            <w:r w:rsidRPr="00E2594C">
              <w:rPr>
                <w:b/>
                <w:bCs/>
                <w:color w:val="000000"/>
                <w:sz w:val="18"/>
                <w:szCs w:val="18"/>
              </w:rPr>
              <w:t>Preparation Method</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r>
      <w:tr w:rsidR="005329CE" w:rsidRPr="00E2594C" w:rsidTr="00FD69E8">
        <w:tc>
          <w:tcPr>
            <w:tcW w:w="1525" w:type="dxa"/>
            <w:tcBorders>
              <w:top w:val="nil"/>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Appeal</w:t>
            </w:r>
          </w:p>
        </w:tc>
        <w:tc>
          <w:tcPr>
            <w:tcW w:w="243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 xml:space="preserve">Other than High </w:t>
            </w:r>
          </w:p>
        </w:tc>
        <w:tc>
          <w:tcPr>
            <w:tcW w:w="20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Other than Assisted</w:t>
            </w:r>
          </w:p>
        </w:tc>
        <w:tc>
          <w:tcPr>
            <w:tcW w:w="11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2,552</w:t>
            </w:r>
          </w:p>
        </w:tc>
        <w:tc>
          <w:tcPr>
            <w:tcW w:w="108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591</w:t>
            </w:r>
          </w:p>
        </w:tc>
      </w:tr>
      <w:tr w:rsidR="005329CE" w:rsidRPr="00E2594C" w:rsidTr="00FD69E8">
        <w:tc>
          <w:tcPr>
            <w:tcW w:w="1525" w:type="dxa"/>
            <w:tcBorders>
              <w:top w:val="nil"/>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High</w:t>
            </w:r>
          </w:p>
        </w:tc>
        <w:tc>
          <w:tcPr>
            <w:tcW w:w="243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 xml:space="preserve">Other than High </w:t>
            </w:r>
          </w:p>
        </w:tc>
        <w:tc>
          <w:tcPr>
            <w:tcW w:w="20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Other than Assisted</w:t>
            </w:r>
          </w:p>
        </w:tc>
        <w:tc>
          <w:tcPr>
            <w:tcW w:w="11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4,548</w:t>
            </w:r>
          </w:p>
        </w:tc>
        <w:tc>
          <w:tcPr>
            <w:tcW w:w="108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591</w:t>
            </w:r>
          </w:p>
        </w:tc>
      </w:tr>
      <w:tr w:rsidR="005329CE" w:rsidRPr="00E2594C" w:rsidTr="00FD69E8">
        <w:tc>
          <w:tcPr>
            <w:tcW w:w="1525" w:type="dxa"/>
            <w:tcBorders>
              <w:top w:val="nil"/>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Appeal</w:t>
            </w:r>
          </w:p>
        </w:tc>
        <w:tc>
          <w:tcPr>
            <w:tcW w:w="243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High</w:t>
            </w:r>
          </w:p>
        </w:tc>
        <w:tc>
          <w:tcPr>
            <w:tcW w:w="20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Assisted</w:t>
            </w:r>
          </w:p>
        </w:tc>
        <w:tc>
          <w:tcPr>
            <w:tcW w:w="11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8,294</w:t>
            </w:r>
          </w:p>
        </w:tc>
        <w:tc>
          <w:tcPr>
            <w:tcW w:w="108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591</w:t>
            </w:r>
          </w:p>
        </w:tc>
      </w:tr>
      <w:tr w:rsidR="005329CE" w:rsidRPr="00E2594C" w:rsidTr="00FD69E8">
        <w:tc>
          <w:tcPr>
            <w:tcW w:w="1525" w:type="dxa"/>
            <w:tcBorders>
              <w:top w:val="nil"/>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Medium</w:t>
            </w:r>
          </w:p>
        </w:tc>
        <w:tc>
          <w:tcPr>
            <w:tcW w:w="243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 xml:space="preserve">Other than High </w:t>
            </w:r>
          </w:p>
        </w:tc>
        <w:tc>
          <w:tcPr>
            <w:tcW w:w="20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Other than Assisted</w:t>
            </w:r>
          </w:p>
        </w:tc>
        <w:tc>
          <w:tcPr>
            <w:tcW w:w="11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10,168</w:t>
            </w:r>
          </w:p>
        </w:tc>
        <w:tc>
          <w:tcPr>
            <w:tcW w:w="108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591</w:t>
            </w:r>
          </w:p>
        </w:tc>
      </w:tr>
      <w:tr w:rsidR="005329CE" w:rsidRPr="00E2594C" w:rsidTr="00FD69E8">
        <w:tc>
          <w:tcPr>
            <w:tcW w:w="1525" w:type="dxa"/>
            <w:tcBorders>
              <w:top w:val="nil"/>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Collection - High</w:t>
            </w:r>
          </w:p>
        </w:tc>
        <w:tc>
          <w:tcPr>
            <w:tcW w:w="243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High</w:t>
            </w:r>
          </w:p>
        </w:tc>
        <w:tc>
          <w:tcPr>
            <w:tcW w:w="20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Unassisted</w:t>
            </w:r>
          </w:p>
        </w:tc>
        <w:tc>
          <w:tcPr>
            <w:tcW w:w="11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17,175</w:t>
            </w:r>
          </w:p>
        </w:tc>
        <w:tc>
          <w:tcPr>
            <w:tcW w:w="108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591</w:t>
            </w:r>
          </w:p>
        </w:tc>
      </w:tr>
      <w:tr w:rsidR="005329CE" w:rsidRPr="00E2594C" w:rsidTr="00FD69E8">
        <w:tc>
          <w:tcPr>
            <w:tcW w:w="1525" w:type="dxa"/>
            <w:tcBorders>
              <w:top w:val="nil"/>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Collection - High</w:t>
            </w:r>
          </w:p>
        </w:tc>
        <w:tc>
          <w:tcPr>
            <w:tcW w:w="243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Low</w:t>
            </w:r>
          </w:p>
        </w:tc>
        <w:tc>
          <w:tcPr>
            <w:tcW w:w="20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Unassisted</w:t>
            </w:r>
          </w:p>
        </w:tc>
        <w:tc>
          <w:tcPr>
            <w:tcW w:w="11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23,015</w:t>
            </w:r>
          </w:p>
        </w:tc>
        <w:tc>
          <w:tcPr>
            <w:tcW w:w="108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591</w:t>
            </w:r>
          </w:p>
        </w:tc>
      </w:tr>
      <w:tr w:rsidR="005329CE" w:rsidRPr="00E2594C" w:rsidTr="00FD69E8">
        <w:tc>
          <w:tcPr>
            <w:tcW w:w="1525" w:type="dxa"/>
            <w:tcBorders>
              <w:top w:val="nil"/>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Amended</w:t>
            </w:r>
          </w:p>
        </w:tc>
        <w:tc>
          <w:tcPr>
            <w:tcW w:w="243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High</w:t>
            </w:r>
          </w:p>
        </w:tc>
        <w:tc>
          <w:tcPr>
            <w:tcW w:w="20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Unassisted</w:t>
            </w:r>
          </w:p>
        </w:tc>
        <w:tc>
          <w:tcPr>
            <w:tcW w:w="11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27,091</w:t>
            </w:r>
          </w:p>
        </w:tc>
        <w:tc>
          <w:tcPr>
            <w:tcW w:w="108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591</w:t>
            </w:r>
          </w:p>
        </w:tc>
      </w:tr>
      <w:tr w:rsidR="005329CE" w:rsidRPr="00E2594C" w:rsidTr="00FD69E8">
        <w:tc>
          <w:tcPr>
            <w:tcW w:w="1525" w:type="dxa"/>
            <w:tcBorders>
              <w:top w:val="nil"/>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Amended</w:t>
            </w:r>
          </w:p>
        </w:tc>
        <w:tc>
          <w:tcPr>
            <w:tcW w:w="243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Low</w:t>
            </w:r>
          </w:p>
        </w:tc>
        <w:tc>
          <w:tcPr>
            <w:tcW w:w="20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Unassisted</w:t>
            </w:r>
          </w:p>
        </w:tc>
        <w:tc>
          <w:tcPr>
            <w:tcW w:w="11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32,183</w:t>
            </w:r>
          </w:p>
        </w:tc>
        <w:tc>
          <w:tcPr>
            <w:tcW w:w="108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591</w:t>
            </w:r>
          </w:p>
        </w:tc>
      </w:tr>
      <w:tr w:rsidR="005329CE" w:rsidRPr="00E2594C" w:rsidTr="00FD69E8">
        <w:tc>
          <w:tcPr>
            <w:tcW w:w="1525" w:type="dxa"/>
            <w:tcBorders>
              <w:top w:val="nil"/>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High</w:t>
            </w:r>
          </w:p>
        </w:tc>
        <w:tc>
          <w:tcPr>
            <w:tcW w:w="243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High</w:t>
            </w:r>
          </w:p>
        </w:tc>
        <w:tc>
          <w:tcPr>
            <w:tcW w:w="20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Assisted</w:t>
            </w:r>
          </w:p>
        </w:tc>
        <w:tc>
          <w:tcPr>
            <w:tcW w:w="11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65,083</w:t>
            </w:r>
          </w:p>
        </w:tc>
        <w:tc>
          <w:tcPr>
            <w:tcW w:w="108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591</w:t>
            </w:r>
          </w:p>
        </w:tc>
      </w:tr>
      <w:tr w:rsidR="005329CE" w:rsidRPr="00E2594C" w:rsidTr="00FD69E8">
        <w:tc>
          <w:tcPr>
            <w:tcW w:w="1525" w:type="dxa"/>
            <w:tcBorders>
              <w:top w:val="nil"/>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Coll - High</w:t>
            </w:r>
          </w:p>
        </w:tc>
        <w:tc>
          <w:tcPr>
            <w:tcW w:w="243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Low</w:t>
            </w:r>
          </w:p>
        </w:tc>
        <w:tc>
          <w:tcPr>
            <w:tcW w:w="20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Assisted</w:t>
            </w:r>
          </w:p>
        </w:tc>
        <w:tc>
          <w:tcPr>
            <w:tcW w:w="11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74,933</w:t>
            </w:r>
          </w:p>
        </w:tc>
        <w:tc>
          <w:tcPr>
            <w:tcW w:w="108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591</w:t>
            </w:r>
          </w:p>
        </w:tc>
      </w:tr>
      <w:tr w:rsidR="005329CE" w:rsidRPr="00E2594C" w:rsidTr="00FD69E8">
        <w:tc>
          <w:tcPr>
            <w:tcW w:w="1525" w:type="dxa"/>
            <w:tcBorders>
              <w:top w:val="nil"/>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Low</w:t>
            </w:r>
          </w:p>
        </w:tc>
        <w:tc>
          <w:tcPr>
            <w:tcW w:w="243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High</w:t>
            </w:r>
          </w:p>
        </w:tc>
        <w:tc>
          <w:tcPr>
            <w:tcW w:w="20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Unassisted</w:t>
            </w:r>
          </w:p>
        </w:tc>
        <w:tc>
          <w:tcPr>
            <w:tcW w:w="11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90,776</w:t>
            </w:r>
          </w:p>
        </w:tc>
        <w:tc>
          <w:tcPr>
            <w:tcW w:w="108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591</w:t>
            </w:r>
          </w:p>
        </w:tc>
      </w:tr>
      <w:tr w:rsidR="005329CE" w:rsidRPr="00E2594C" w:rsidTr="00FD69E8">
        <w:tc>
          <w:tcPr>
            <w:tcW w:w="1525" w:type="dxa"/>
            <w:tcBorders>
              <w:top w:val="nil"/>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Medium</w:t>
            </w:r>
          </w:p>
        </w:tc>
        <w:tc>
          <w:tcPr>
            <w:tcW w:w="243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High</w:t>
            </w:r>
          </w:p>
        </w:tc>
        <w:tc>
          <w:tcPr>
            <w:tcW w:w="20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Assisted</w:t>
            </w:r>
          </w:p>
        </w:tc>
        <w:tc>
          <w:tcPr>
            <w:tcW w:w="11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92,153</w:t>
            </w:r>
          </w:p>
        </w:tc>
        <w:tc>
          <w:tcPr>
            <w:tcW w:w="108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591</w:t>
            </w:r>
          </w:p>
        </w:tc>
      </w:tr>
      <w:tr w:rsidR="005329CE" w:rsidRPr="00E2594C" w:rsidTr="00FD69E8">
        <w:tc>
          <w:tcPr>
            <w:tcW w:w="1525" w:type="dxa"/>
            <w:tcBorders>
              <w:top w:val="nil"/>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Low</w:t>
            </w:r>
          </w:p>
        </w:tc>
        <w:tc>
          <w:tcPr>
            <w:tcW w:w="243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Low</w:t>
            </w:r>
          </w:p>
        </w:tc>
        <w:tc>
          <w:tcPr>
            <w:tcW w:w="20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Unassisted</w:t>
            </w:r>
          </w:p>
        </w:tc>
        <w:tc>
          <w:tcPr>
            <w:tcW w:w="11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132,179</w:t>
            </w:r>
          </w:p>
        </w:tc>
        <w:tc>
          <w:tcPr>
            <w:tcW w:w="108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591</w:t>
            </w:r>
          </w:p>
        </w:tc>
      </w:tr>
      <w:tr w:rsidR="005329CE" w:rsidRPr="00E2594C" w:rsidTr="00FD69E8">
        <w:tc>
          <w:tcPr>
            <w:tcW w:w="1525" w:type="dxa"/>
            <w:tcBorders>
              <w:top w:val="nil"/>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Coll - High</w:t>
            </w:r>
          </w:p>
        </w:tc>
        <w:tc>
          <w:tcPr>
            <w:tcW w:w="243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High</w:t>
            </w:r>
          </w:p>
        </w:tc>
        <w:tc>
          <w:tcPr>
            <w:tcW w:w="20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Assisted</w:t>
            </w:r>
          </w:p>
        </w:tc>
        <w:tc>
          <w:tcPr>
            <w:tcW w:w="11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193,443</w:t>
            </w:r>
          </w:p>
        </w:tc>
        <w:tc>
          <w:tcPr>
            <w:tcW w:w="108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591</w:t>
            </w:r>
          </w:p>
        </w:tc>
      </w:tr>
      <w:tr w:rsidR="005329CE" w:rsidRPr="00E2594C" w:rsidTr="00FD69E8">
        <w:tc>
          <w:tcPr>
            <w:tcW w:w="1525" w:type="dxa"/>
            <w:tcBorders>
              <w:top w:val="nil"/>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Amended</w:t>
            </w:r>
          </w:p>
        </w:tc>
        <w:tc>
          <w:tcPr>
            <w:tcW w:w="243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Low</w:t>
            </w:r>
          </w:p>
        </w:tc>
        <w:tc>
          <w:tcPr>
            <w:tcW w:w="20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Assisted</w:t>
            </w:r>
          </w:p>
        </w:tc>
        <w:tc>
          <w:tcPr>
            <w:tcW w:w="11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257,990</w:t>
            </w:r>
          </w:p>
        </w:tc>
        <w:tc>
          <w:tcPr>
            <w:tcW w:w="108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591</w:t>
            </w:r>
          </w:p>
        </w:tc>
      </w:tr>
      <w:tr w:rsidR="005329CE" w:rsidRPr="00E2594C" w:rsidTr="00FD69E8">
        <w:tc>
          <w:tcPr>
            <w:tcW w:w="1525" w:type="dxa"/>
            <w:tcBorders>
              <w:top w:val="nil"/>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Coll - Low</w:t>
            </w:r>
          </w:p>
        </w:tc>
        <w:tc>
          <w:tcPr>
            <w:tcW w:w="243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High</w:t>
            </w:r>
          </w:p>
        </w:tc>
        <w:tc>
          <w:tcPr>
            <w:tcW w:w="20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Unassisted</w:t>
            </w:r>
          </w:p>
        </w:tc>
        <w:tc>
          <w:tcPr>
            <w:tcW w:w="11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308,263</w:t>
            </w:r>
          </w:p>
        </w:tc>
        <w:tc>
          <w:tcPr>
            <w:tcW w:w="108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591</w:t>
            </w:r>
          </w:p>
        </w:tc>
      </w:tr>
      <w:tr w:rsidR="005329CE" w:rsidRPr="00E2594C" w:rsidTr="00FD69E8">
        <w:tc>
          <w:tcPr>
            <w:tcW w:w="1525" w:type="dxa"/>
            <w:tcBorders>
              <w:top w:val="nil"/>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Coll - Low</w:t>
            </w:r>
          </w:p>
        </w:tc>
        <w:tc>
          <w:tcPr>
            <w:tcW w:w="243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Low</w:t>
            </w:r>
          </w:p>
        </w:tc>
        <w:tc>
          <w:tcPr>
            <w:tcW w:w="20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Unassisted</w:t>
            </w:r>
          </w:p>
        </w:tc>
        <w:tc>
          <w:tcPr>
            <w:tcW w:w="11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386,219</w:t>
            </w:r>
          </w:p>
        </w:tc>
        <w:tc>
          <w:tcPr>
            <w:tcW w:w="108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591</w:t>
            </w:r>
          </w:p>
        </w:tc>
      </w:tr>
      <w:tr w:rsidR="005329CE" w:rsidRPr="00E2594C" w:rsidTr="00FD69E8">
        <w:tc>
          <w:tcPr>
            <w:tcW w:w="1525" w:type="dxa"/>
            <w:tcBorders>
              <w:top w:val="nil"/>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Amended</w:t>
            </w:r>
          </w:p>
        </w:tc>
        <w:tc>
          <w:tcPr>
            <w:tcW w:w="243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High</w:t>
            </w:r>
          </w:p>
        </w:tc>
        <w:tc>
          <w:tcPr>
            <w:tcW w:w="20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Assisted</w:t>
            </w:r>
          </w:p>
        </w:tc>
        <w:tc>
          <w:tcPr>
            <w:tcW w:w="11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472,121</w:t>
            </w:r>
          </w:p>
        </w:tc>
        <w:tc>
          <w:tcPr>
            <w:tcW w:w="108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591</w:t>
            </w:r>
          </w:p>
        </w:tc>
      </w:tr>
      <w:tr w:rsidR="005329CE" w:rsidRPr="00E2594C" w:rsidTr="00FD69E8">
        <w:tc>
          <w:tcPr>
            <w:tcW w:w="1525" w:type="dxa"/>
            <w:tcBorders>
              <w:top w:val="nil"/>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Low</w:t>
            </w:r>
          </w:p>
        </w:tc>
        <w:tc>
          <w:tcPr>
            <w:tcW w:w="243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Low</w:t>
            </w:r>
          </w:p>
        </w:tc>
        <w:tc>
          <w:tcPr>
            <w:tcW w:w="20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Assisted</w:t>
            </w:r>
          </w:p>
        </w:tc>
        <w:tc>
          <w:tcPr>
            <w:tcW w:w="11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1,459,608</w:t>
            </w:r>
          </w:p>
        </w:tc>
        <w:tc>
          <w:tcPr>
            <w:tcW w:w="108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591</w:t>
            </w:r>
          </w:p>
        </w:tc>
      </w:tr>
      <w:tr w:rsidR="005329CE" w:rsidRPr="00E2594C" w:rsidTr="00FD69E8">
        <w:tc>
          <w:tcPr>
            <w:tcW w:w="1525" w:type="dxa"/>
            <w:tcBorders>
              <w:top w:val="nil"/>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Low</w:t>
            </w:r>
          </w:p>
        </w:tc>
        <w:tc>
          <w:tcPr>
            <w:tcW w:w="243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High</w:t>
            </w:r>
          </w:p>
        </w:tc>
        <w:tc>
          <w:tcPr>
            <w:tcW w:w="20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Assisted</w:t>
            </w:r>
          </w:p>
        </w:tc>
        <w:tc>
          <w:tcPr>
            <w:tcW w:w="11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2,055,678</w:t>
            </w:r>
          </w:p>
        </w:tc>
        <w:tc>
          <w:tcPr>
            <w:tcW w:w="108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591</w:t>
            </w:r>
          </w:p>
        </w:tc>
      </w:tr>
      <w:tr w:rsidR="005329CE" w:rsidRPr="00E2594C" w:rsidTr="00FD69E8">
        <w:tc>
          <w:tcPr>
            <w:tcW w:w="1525" w:type="dxa"/>
            <w:tcBorders>
              <w:top w:val="nil"/>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Coll - Low</w:t>
            </w:r>
          </w:p>
        </w:tc>
        <w:tc>
          <w:tcPr>
            <w:tcW w:w="243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Low</w:t>
            </w:r>
          </w:p>
        </w:tc>
        <w:tc>
          <w:tcPr>
            <w:tcW w:w="20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Assisted</w:t>
            </w:r>
          </w:p>
        </w:tc>
        <w:tc>
          <w:tcPr>
            <w:tcW w:w="11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2,361,685</w:t>
            </w:r>
          </w:p>
        </w:tc>
        <w:tc>
          <w:tcPr>
            <w:tcW w:w="108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591</w:t>
            </w:r>
          </w:p>
        </w:tc>
      </w:tr>
      <w:tr w:rsidR="005329CE" w:rsidRPr="00E2594C" w:rsidTr="00FD69E8">
        <w:tc>
          <w:tcPr>
            <w:tcW w:w="1525" w:type="dxa"/>
            <w:tcBorders>
              <w:top w:val="nil"/>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Coll - Low</w:t>
            </w:r>
          </w:p>
        </w:tc>
        <w:tc>
          <w:tcPr>
            <w:tcW w:w="243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High</w:t>
            </w:r>
          </w:p>
        </w:tc>
        <w:tc>
          <w:tcPr>
            <w:tcW w:w="20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Assisted</w:t>
            </w:r>
          </w:p>
        </w:tc>
        <w:tc>
          <w:tcPr>
            <w:tcW w:w="117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4,037,175</w:t>
            </w:r>
          </w:p>
        </w:tc>
        <w:tc>
          <w:tcPr>
            <w:tcW w:w="1080" w:type="dxa"/>
            <w:tcBorders>
              <w:top w:val="nil"/>
              <w:left w:val="nil"/>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591</w:t>
            </w:r>
          </w:p>
        </w:tc>
      </w:tr>
      <w:tr w:rsidR="005329CE" w:rsidRPr="00E2594C" w:rsidTr="00FD69E8">
        <w:tc>
          <w:tcPr>
            <w:tcW w:w="1525" w:type="dxa"/>
            <w:tcBorders>
              <w:top w:val="nil"/>
              <w:left w:val="nil"/>
              <w:bottom w:val="nil"/>
              <w:right w:val="nil"/>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p>
        </w:tc>
        <w:tc>
          <w:tcPr>
            <w:tcW w:w="2430" w:type="dxa"/>
            <w:tcBorders>
              <w:top w:val="nil"/>
              <w:left w:val="nil"/>
              <w:bottom w:val="nil"/>
              <w:right w:val="nil"/>
            </w:tcBorders>
            <w:shd w:val="clear" w:color="auto" w:fill="auto"/>
            <w:noWrap/>
            <w:vAlign w:val="bottom"/>
            <w:hideMark/>
          </w:tcPr>
          <w:p w:rsidR="005329CE" w:rsidRPr="00E2594C" w:rsidRDefault="005329CE" w:rsidP="00E2594C">
            <w:pPr>
              <w:widowControl/>
              <w:autoSpaceDE/>
              <w:autoSpaceDN/>
              <w:adjustRightInd/>
              <w:rPr>
                <w:sz w:val="18"/>
                <w:szCs w:val="18"/>
              </w:rPr>
            </w:pPr>
          </w:p>
        </w:tc>
        <w:tc>
          <w:tcPr>
            <w:tcW w:w="2070" w:type="dxa"/>
            <w:tcBorders>
              <w:top w:val="nil"/>
              <w:left w:val="nil"/>
              <w:bottom w:val="nil"/>
              <w:right w:val="nil"/>
            </w:tcBorders>
            <w:shd w:val="clear" w:color="auto" w:fill="auto"/>
            <w:noWrap/>
            <w:vAlign w:val="bottom"/>
            <w:hideMark/>
          </w:tcPr>
          <w:p w:rsidR="005329CE" w:rsidRPr="00E2594C" w:rsidRDefault="005329CE" w:rsidP="00E2594C">
            <w:pPr>
              <w:widowControl/>
              <w:autoSpaceDE/>
              <w:autoSpaceDN/>
              <w:adjustRightInd/>
              <w:rPr>
                <w:sz w:val="18"/>
                <w:szCs w:val="18"/>
              </w:rPr>
            </w:pPr>
          </w:p>
        </w:tc>
        <w:tc>
          <w:tcPr>
            <w:tcW w:w="1170" w:type="dxa"/>
            <w:tcBorders>
              <w:top w:val="nil"/>
              <w:left w:val="nil"/>
              <w:bottom w:val="nil"/>
              <w:right w:val="nil"/>
            </w:tcBorders>
            <w:shd w:val="clear" w:color="auto" w:fill="auto"/>
            <w:noWrap/>
            <w:vAlign w:val="bottom"/>
            <w:hideMark/>
          </w:tcPr>
          <w:p w:rsidR="005329CE" w:rsidRPr="00E2594C" w:rsidRDefault="005329CE" w:rsidP="00E2594C">
            <w:pPr>
              <w:widowControl/>
              <w:autoSpaceDE/>
              <w:autoSpaceDN/>
              <w:adjustRightInd/>
              <w:rPr>
                <w:sz w:val="18"/>
                <w:szCs w:val="18"/>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13002</w:t>
            </w:r>
          </w:p>
        </w:tc>
      </w:tr>
    </w:tbl>
    <w:p w:rsidR="00F54262" w:rsidRPr="00E2594C" w:rsidRDefault="00F54262" w:rsidP="00950FBE">
      <w:pPr>
        <w:pStyle w:val="ListParagraph"/>
        <w:widowControl w:val="0"/>
        <w:autoSpaceDE w:val="0"/>
        <w:autoSpaceDN w:val="0"/>
        <w:adjustRightInd w:val="0"/>
        <w:ind w:left="0"/>
        <w:rPr>
          <w:b/>
          <w:bCs/>
          <w:sz w:val="18"/>
          <w:szCs w:val="18"/>
        </w:rPr>
      </w:pPr>
    </w:p>
    <w:p w:rsidR="00950FBE" w:rsidRPr="00E2594C" w:rsidRDefault="00950FBE" w:rsidP="00950FBE">
      <w:pPr>
        <w:pStyle w:val="ListParagraph"/>
        <w:widowControl w:val="0"/>
        <w:autoSpaceDE w:val="0"/>
        <w:autoSpaceDN w:val="0"/>
        <w:adjustRightInd w:val="0"/>
        <w:ind w:left="0"/>
        <w:rPr>
          <w:b/>
          <w:bCs/>
          <w:sz w:val="18"/>
          <w:szCs w:val="18"/>
        </w:rPr>
      </w:pPr>
      <w:r w:rsidRPr="00E2594C">
        <w:rPr>
          <w:b/>
          <w:bCs/>
          <w:sz w:val="18"/>
          <w:szCs w:val="18"/>
        </w:rPr>
        <w:t xml:space="preserve">Table </w:t>
      </w:r>
      <w:r>
        <w:rPr>
          <w:b/>
          <w:bCs/>
          <w:sz w:val="18"/>
          <w:szCs w:val="18"/>
        </w:rPr>
        <w:t>3</w:t>
      </w:r>
      <w:r w:rsidRPr="00E2594C">
        <w:rPr>
          <w:b/>
          <w:bCs/>
          <w:sz w:val="18"/>
          <w:szCs w:val="18"/>
        </w:rPr>
        <w:t xml:space="preserve"> – Tax Year 2014 Information Return Burden Survey</w:t>
      </w:r>
    </w:p>
    <w:tbl>
      <w:tblPr>
        <w:tblW w:w="9720" w:type="dxa"/>
        <w:tblInd w:w="108" w:type="dxa"/>
        <w:tblLook w:val="04A0" w:firstRow="1" w:lastRow="0" w:firstColumn="1" w:lastColumn="0" w:noHBand="0" w:noVBand="1"/>
      </w:tblPr>
      <w:tblGrid>
        <w:gridCol w:w="4140"/>
        <w:gridCol w:w="1710"/>
        <w:gridCol w:w="1890"/>
        <w:gridCol w:w="1006"/>
        <w:gridCol w:w="976"/>
      </w:tblGrid>
      <w:tr w:rsidR="00950FBE" w:rsidRPr="00E2594C" w:rsidTr="00EA5B09">
        <w:tc>
          <w:tcPr>
            <w:tcW w:w="77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0FBE" w:rsidRPr="00E2594C" w:rsidRDefault="00950FBE" w:rsidP="00566078">
            <w:pPr>
              <w:widowControl/>
              <w:autoSpaceDE/>
              <w:autoSpaceDN/>
              <w:adjustRightInd/>
              <w:jc w:val="center"/>
              <w:rPr>
                <w:color w:val="000000"/>
                <w:sz w:val="18"/>
                <w:szCs w:val="18"/>
              </w:rPr>
            </w:pPr>
            <w:r w:rsidRPr="00E2594C">
              <w:rPr>
                <w:color w:val="000000"/>
                <w:sz w:val="18"/>
                <w:szCs w:val="18"/>
              </w:rPr>
              <w:t>Strata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0FBE" w:rsidRPr="00E2594C" w:rsidRDefault="00950FBE" w:rsidP="00566078">
            <w:pPr>
              <w:widowControl/>
              <w:autoSpaceDE/>
              <w:autoSpaceDN/>
              <w:adjustRightInd/>
              <w:jc w:val="center"/>
              <w:rPr>
                <w:sz w:val="18"/>
                <w:szCs w:val="18"/>
              </w:rPr>
            </w:pPr>
            <w:r w:rsidRPr="00E2594C">
              <w:rPr>
                <w:sz w:val="18"/>
                <w:szCs w:val="18"/>
              </w:rPr>
              <w:t>Population Count</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0FBE" w:rsidRPr="00E2594C" w:rsidRDefault="00950FBE" w:rsidP="00566078">
            <w:pPr>
              <w:widowControl/>
              <w:autoSpaceDE/>
              <w:autoSpaceDN/>
              <w:adjustRightInd/>
              <w:jc w:val="center"/>
              <w:rPr>
                <w:sz w:val="18"/>
                <w:szCs w:val="18"/>
              </w:rPr>
            </w:pPr>
            <w:r w:rsidRPr="00E2594C">
              <w:rPr>
                <w:sz w:val="18"/>
                <w:szCs w:val="18"/>
              </w:rPr>
              <w:t>Sample Allocation</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Forms</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Clients</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Types</w:t>
            </w:r>
          </w:p>
        </w:tc>
        <w:tc>
          <w:tcPr>
            <w:tcW w:w="1006" w:type="dxa"/>
            <w:tcBorders>
              <w:top w:val="single" w:sz="4" w:space="0" w:color="auto"/>
              <w:left w:val="single" w:sz="4" w:space="0" w:color="auto"/>
              <w:bottom w:val="single" w:sz="4" w:space="0" w:color="auto"/>
              <w:right w:val="single" w:sz="4" w:space="0" w:color="auto"/>
            </w:tcBorders>
            <w:vAlign w:val="center"/>
            <w:hideMark/>
          </w:tcPr>
          <w:p w:rsidR="00950FBE" w:rsidRPr="00E2594C" w:rsidRDefault="00950FBE" w:rsidP="00566078">
            <w:pPr>
              <w:widowControl/>
              <w:autoSpaceDE/>
              <w:autoSpaceDN/>
              <w:adjustRightInd/>
              <w:rPr>
                <w:sz w:val="18"/>
                <w:szCs w:val="18"/>
              </w:rPr>
            </w:pPr>
          </w:p>
        </w:tc>
        <w:tc>
          <w:tcPr>
            <w:tcW w:w="974" w:type="dxa"/>
            <w:tcBorders>
              <w:top w:val="single" w:sz="4" w:space="0" w:color="auto"/>
              <w:left w:val="single" w:sz="4" w:space="0" w:color="auto"/>
              <w:bottom w:val="single" w:sz="4" w:space="0" w:color="auto"/>
              <w:right w:val="single" w:sz="4" w:space="0" w:color="auto"/>
            </w:tcBorders>
            <w:vAlign w:val="center"/>
            <w:hideMark/>
          </w:tcPr>
          <w:p w:rsidR="00950FBE" w:rsidRPr="00E2594C" w:rsidRDefault="00950FBE" w:rsidP="00566078">
            <w:pPr>
              <w:widowControl/>
              <w:autoSpaceDE/>
              <w:autoSpaceDN/>
              <w:adjustRightInd/>
              <w:rPr>
                <w:sz w:val="18"/>
                <w:szCs w:val="18"/>
              </w:rPr>
            </w:pP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Form 1099-MISC - Rent and Nonemployee Comp</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500 or Less</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1 Type</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697,013</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750</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Form 1099-MISC – Rent only</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500 or Less</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1 Type</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247,676</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300</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Form 1099-MISC - Nonemployee Comp only</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500 or Less</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1 Type</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3,269,130</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2,850</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Form 1099-MISC – Not Rent and Nonemployee Comp</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500 or Less</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1 Type</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161,198</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300</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Form 1098</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500 or Less</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1 Type</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56,694</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800</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Form 1099-INT</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500 or Less</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1 Type</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85,536</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800</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Form 1099-R</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500 or Less</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1 Type</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49,662</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800</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Form 1099-DIV</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500 or Less</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1 Type</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23,409</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800</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Form 1098-T</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500 or Less</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1 Type</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18,261</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500</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Form 1099-S</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500 or Less</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1 Type</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11,962</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250</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Form 1042-S</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500 or Less</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1 Type</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8,844</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800</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Form 1099-B</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500 or Less</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1 Type</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1,225</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600</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Form 1099-C</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500 or Less</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1 Type</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1,595</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200</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Form 1099-K</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500 or Less</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1 Type</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471</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250</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Form 5498</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500 or Less</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1 Type</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172</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172</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Form 1099-MISC, No Interest, No Dividends</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500 or Less</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2 or More Types</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74,885</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400</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Form 1099-MISC, No Interest, With Dividends</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500 or Less</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2 or More Types</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28,955</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400</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Form 1099-MISC, With Interest</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500 or Less</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2 or More Types</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191,562</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500</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No Form 1099-MISC, No Interest</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500 or Less</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2 or More Types</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4,545</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400</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No Form 1099-MISC, With Interest, With Sch B</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500 or Less</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2 or More Types</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5,477</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400</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No 1099-MISC, With Interest, No Sch B</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500 or Less</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2 or More Types</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9,069</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400</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Form 1099-MISC</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More than 500</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1 Type</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6,914</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500</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No Form 1099-MISC</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More than 500</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1 Type</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1,692</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500</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Form 1099-MISC</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More than 500</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2 or More Types</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9,613</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1,000</w:t>
            </w:r>
          </w:p>
        </w:tc>
      </w:tr>
      <w:tr w:rsidR="00950FBE" w:rsidRPr="00E2594C" w:rsidTr="00EA5B09">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No Form 1099-MISC</w:t>
            </w:r>
          </w:p>
        </w:tc>
        <w:tc>
          <w:tcPr>
            <w:tcW w:w="171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More than 500</w:t>
            </w:r>
          </w:p>
        </w:tc>
        <w:tc>
          <w:tcPr>
            <w:tcW w:w="1890"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rPr>
                <w:color w:val="000000"/>
                <w:sz w:val="18"/>
                <w:szCs w:val="18"/>
              </w:rPr>
            </w:pPr>
            <w:r w:rsidRPr="00E2594C">
              <w:rPr>
                <w:color w:val="000000"/>
                <w:sz w:val="18"/>
                <w:szCs w:val="18"/>
              </w:rPr>
              <w:t>Filed 2 or More Types</w:t>
            </w:r>
          </w:p>
        </w:tc>
        <w:tc>
          <w:tcPr>
            <w:tcW w:w="1006"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3,289</w:t>
            </w:r>
          </w:p>
        </w:tc>
        <w:tc>
          <w:tcPr>
            <w:tcW w:w="974" w:type="dxa"/>
            <w:tcBorders>
              <w:top w:val="nil"/>
              <w:left w:val="nil"/>
              <w:bottom w:val="single" w:sz="4" w:space="0" w:color="auto"/>
              <w:right w:val="single" w:sz="4" w:space="0" w:color="auto"/>
            </w:tcBorders>
            <w:shd w:val="clear" w:color="auto" w:fill="auto"/>
            <w:noWrap/>
            <w:vAlign w:val="center"/>
            <w:hideMark/>
          </w:tcPr>
          <w:p w:rsidR="00950FBE" w:rsidRPr="00E2594C" w:rsidRDefault="00950FBE" w:rsidP="00566078">
            <w:pPr>
              <w:widowControl/>
              <w:autoSpaceDE/>
              <w:autoSpaceDN/>
              <w:adjustRightInd/>
              <w:jc w:val="right"/>
              <w:rPr>
                <w:color w:val="000000"/>
                <w:sz w:val="18"/>
                <w:szCs w:val="18"/>
              </w:rPr>
            </w:pPr>
            <w:r w:rsidRPr="00E2594C">
              <w:rPr>
                <w:color w:val="000000"/>
                <w:sz w:val="18"/>
                <w:szCs w:val="18"/>
              </w:rPr>
              <w:t>500</w:t>
            </w:r>
          </w:p>
        </w:tc>
      </w:tr>
      <w:tr w:rsidR="008944A9" w:rsidRPr="00E2594C" w:rsidTr="00EA5B09">
        <w:tc>
          <w:tcPr>
            <w:tcW w:w="4140" w:type="dxa"/>
            <w:tcBorders>
              <w:top w:val="nil"/>
              <w:left w:val="nil"/>
              <w:bottom w:val="nil"/>
              <w:right w:val="nil"/>
            </w:tcBorders>
            <w:shd w:val="clear" w:color="auto" w:fill="auto"/>
            <w:noWrap/>
            <w:vAlign w:val="bottom"/>
            <w:hideMark/>
          </w:tcPr>
          <w:p w:rsidR="008944A9" w:rsidRPr="00E2594C" w:rsidRDefault="008944A9" w:rsidP="00566078">
            <w:pPr>
              <w:widowControl/>
              <w:autoSpaceDE/>
              <w:autoSpaceDN/>
              <w:adjustRightInd/>
              <w:rPr>
                <w:color w:val="000000"/>
                <w:sz w:val="18"/>
                <w:szCs w:val="18"/>
              </w:rPr>
            </w:pPr>
          </w:p>
        </w:tc>
        <w:tc>
          <w:tcPr>
            <w:tcW w:w="1710" w:type="dxa"/>
            <w:tcBorders>
              <w:top w:val="nil"/>
              <w:left w:val="nil"/>
              <w:bottom w:val="nil"/>
              <w:right w:val="nil"/>
            </w:tcBorders>
            <w:shd w:val="clear" w:color="auto" w:fill="auto"/>
            <w:noWrap/>
            <w:vAlign w:val="bottom"/>
            <w:hideMark/>
          </w:tcPr>
          <w:p w:rsidR="008944A9" w:rsidRPr="00E2594C" w:rsidRDefault="008944A9" w:rsidP="00566078">
            <w:pPr>
              <w:widowControl/>
              <w:autoSpaceDE/>
              <w:autoSpaceDN/>
              <w:adjustRightInd/>
              <w:rPr>
                <w:sz w:val="18"/>
                <w:szCs w:val="18"/>
              </w:rPr>
            </w:pPr>
          </w:p>
        </w:tc>
        <w:tc>
          <w:tcPr>
            <w:tcW w:w="1890" w:type="dxa"/>
            <w:tcBorders>
              <w:top w:val="nil"/>
              <w:left w:val="nil"/>
              <w:bottom w:val="nil"/>
              <w:right w:val="nil"/>
            </w:tcBorders>
            <w:shd w:val="clear" w:color="auto" w:fill="auto"/>
            <w:noWrap/>
            <w:vAlign w:val="bottom"/>
            <w:hideMark/>
          </w:tcPr>
          <w:p w:rsidR="008944A9" w:rsidRPr="00E2594C" w:rsidRDefault="008944A9" w:rsidP="00566078">
            <w:pPr>
              <w:widowControl/>
              <w:autoSpaceDE/>
              <w:autoSpaceDN/>
              <w:adjustRightInd/>
              <w:rPr>
                <w:sz w:val="18"/>
                <w:szCs w:val="18"/>
              </w:rPr>
            </w:pPr>
          </w:p>
        </w:tc>
        <w:tc>
          <w:tcPr>
            <w:tcW w:w="1006" w:type="dxa"/>
            <w:tcBorders>
              <w:top w:val="nil"/>
              <w:left w:val="nil"/>
              <w:bottom w:val="nil"/>
              <w:right w:val="nil"/>
            </w:tcBorders>
            <w:shd w:val="clear" w:color="auto" w:fill="auto"/>
            <w:noWrap/>
            <w:vAlign w:val="bottom"/>
            <w:hideMark/>
          </w:tcPr>
          <w:p w:rsidR="008944A9" w:rsidRPr="00E2594C" w:rsidRDefault="008944A9" w:rsidP="00566078">
            <w:pPr>
              <w:widowControl/>
              <w:autoSpaceDE/>
              <w:autoSpaceDN/>
              <w:adjustRightInd/>
              <w:rPr>
                <w:sz w:val="18"/>
                <w:szCs w:val="18"/>
              </w:rPr>
            </w:pP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8944A9" w:rsidRPr="00E2594C" w:rsidRDefault="008944A9" w:rsidP="00566078">
            <w:pPr>
              <w:widowControl/>
              <w:autoSpaceDE/>
              <w:autoSpaceDN/>
              <w:adjustRightInd/>
              <w:jc w:val="right"/>
              <w:rPr>
                <w:color w:val="000000"/>
                <w:sz w:val="18"/>
                <w:szCs w:val="18"/>
              </w:rPr>
            </w:pPr>
            <w:r w:rsidRPr="00E2594C">
              <w:rPr>
                <w:color w:val="000000"/>
                <w:sz w:val="18"/>
                <w:szCs w:val="18"/>
              </w:rPr>
              <w:t>15,172</w:t>
            </w:r>
          </w:p>
        </w:tc>
      </w:tr>
    </w:tbl>
    <w:p w:rsidR="00F54262" w:rsidRDefault="00F54262" w:rsidP="005329CE">
      <w:pPr>
        <w:pStyle w:val="ListParagraph"/>
        <w:widowControl w:val="0"/>
        <w:autoSpaceDE w:val="0"/>
        <w:autoSpaceDN w:val="0"/>
        <w:adjustRightInd w:val="0"/>
        <w:ind w:left="0"/>
        <w:rPr>
          <w:b/>
          <w:bCs/>
          <w:sz w:val="18"/>
          <w:szCs w:val="18"/>
        </w:rPr>
      </w:pPr>
    </w:p>
    <w:p w:rsidR="00BD588B" w:rsidRDefault="00BD588B" w:rsidP="005329CE">
      <w:pPr>
        <w:pStyle w:val="ListParagraph"/>
        <w:widowControl w:val="0"/>
        <w:autoSpaceDE w:val="0"/>
        <w:autoSpaceDN w:val="0"/>
        <w:adjustRightInd w:val="0"/>
        <w:ind w:left="0"/>
        <w:rPr>
          <w:b/>
          <w:bCs/>
          <w:sz w:val="18"/>
          <w:szCs w:val="18"/>
        </w:rPr>
      </w:pPr>
    </w:p>
    <w:p w:rsidR="005329CE" w:rsidRPr="00E2594C" w:rsidRDefault="005329CE" w:rsidP="005329CE">
      <w:pPr>
        <w:pStyle w:val="ListParagraph"/>
        <w:widowControl w:val="0"/>
        <w:autoSpaceDE w:val="0"/>
        <w:autoSpaceDN w:val="0"/>
        <w:adjustRightInd w:val="0"/>
        <w:ind w:left="0"/>
        <w:rPr>
          <w:b/>
          <w:bCs/>
          <w:sz w:val="18"/>
          <w:szCs w:val="18"/>
        </w:rPr>
      </w:pPr>
      <w:r w:rsidRPr="00E2594C">
        <w:rPr>
          <w:b/>
          <w:bCs/>
          <w:sz w:val="18"/>
          <w:szCs w:val="18"/>
        </w:rPr>
        <w:t xml:space="preserve">Table </w:t>
      </w:r>
      <w:r w:rsidR="00BD588B">
        <w:rPr>
          <w:b/>
          <w:bCs/>
          <w:sz w:val="18"/>
          <w:szCs w:val="18"/>
        </w:rPr>
        <w:t>4</w:t>
      </w:r>
      <w:r w:rsidRPr="00E2594C">
        <w:rPr>
          <w:b/>
          <w:bCs/>
          <w:sz w:val="18"/>
          <w:szCs w:val="18"/>
        </w:rPr>
        <w:t xml:space="preserve"> – Tax Year 2012 Business Taxpayer Burden Survey</w:t>
      </w:r>
    </w:p>
    <w:tbl>
      <w:tblPr>
        <w:tblW w:w="9895" w:type="dxa"/>
        <w:tblInd w:w="113" w:type="dxa"/>
        <w:tblLook w:val="04A0" w:firstRow="1" w:lastRow="0" w:firstColumn="1" w:lastColumn="0" w:noHBand="0" w:noVBand="1"/>
      </w:tblPr>
      <w:tblGrid>
        <w:gridCol w:w="1345"/>
        <w:gridCol w:w="1530"/>
        <w:gridCol w:w="4680"/>
        <w:gridCol w:w="1260"/>
        <w:gridCol w:w="1080"/>
      </w:tblGrid>
      <w:tr w:rsidR="005329CE" w:rsidRPr="00E2594C" w:rsidTr="00EA5B09">
        <w:tc>
          <w:tcPr>
            <w:tcW w:w="755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lastRenderedPageBreak/>
              <w:t>Strata</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sz w:val="18"/>
                <w:szCs w:val="18"/>
              </w:rPr>
            </w:pPr>
            <w:r w:rsidRPr="00E2594C">
              <w:rPr>
                <w:sz w:val="18"/>
                <w:szCs w:val="18"/>
              </w:rPr>
              <w:t>Population Count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sz w:val="18"/>
                <w:szCs w:val="18"/>
              </w:rPr>
            </w:pPr>
            <w:r w:rsidRPr="00E2594C">
              <w:rPr>
                <w:sz w:val="18"/>
                <w:szCs w:val="18"/>
              </w:rPr>
              <w:t>Sample Allocation</w:t>
            </w:r>
          </w:p>
        </w:tc>
      </w:tr>
      <w:tr w:rsidR="00D9369F" w:rsidRPr="00E2594C" w:rsidTr="00EA5B09">
        <w:tc>
          <w:tcPr>
            <w:tcW w:w="1345" w:type="dxa"/>
            <w:tcBorders>
              <w:top w:val="nil"/>
              <w:left w:val="single" w:sz="4" w:space="0" w:color="auto"/>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 </w:t>
            </w: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Industry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Business Size</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r>
      <w:tr w:rsidR="00D9369F" w:rsidRPr="00E2594C" w:rsidTr="00EA5B09">
        <w:tc>
          <w:tcPr>
            <w:tcW w:w="134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Form 1120</w:t>
            </w: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No Business Activity</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228,888</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97</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Under 50k and Turnover Under 20k</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103,537</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234</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50k to 175k or Turnover From 20k to 70k</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236,542</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291</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175k to 500k or Turnover From 70k to 200k</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355,616</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543</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500k to 1.5M or Turnover From 200k to 600k</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401,104</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1,103</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1.5M to 5M or Turnover From 600k to 2M</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280,805</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1,244</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5M to 15M or Turnover From 2M to 6M</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100,893</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581</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15M to 50M or Turnover From 6M to 20M</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37,835</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312</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50M to 1000M or Turnover From 20M to 400M</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25,089</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1,032</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Over 1B or Turnover Over 400M</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4,117</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518</w:t>
            </w:r>
          </w:p>
        </w:tc>
      </w:tr>
      <w:tr w:rsidR="00D9369F" w:rsidRPr="00E2594C" w:rsidTr="00EA5B09">
        <w:tc>
          <w:tcPr>
            <w:tcW w:w="134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Form 1120-S</w:t>
            </w: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No Business Activity</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288,954</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71</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Under 50k and Turnover Under 20k</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254,220</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331</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50k to 175k or Turnover From 20k to 70k</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564,484</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235</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175k to 500k or Turnover From 70k to 200k</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1,033,935</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1,067</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500k to 1.5M or Turnover From 200k to 600k</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1,159,960</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1,946</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1.5M to 5M or Turnover From 600k to 2M</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674,430</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2,085</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5M to 15M or Turnover From 2M to 6M</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205,973</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829</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15M to 50M or Turnover From 6M to 20M</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64,795</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364</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50M to 1000M or Turnover From 20M to 400M</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18,105</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1,053</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Over 1B or Turnover Over 400M</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340</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81</w:t>
            </w:r>
          </w:p>
        </w:tc>
      </w:tr>
      <w:tr w:rsidR="00D9369F" w:rsidRPr="00E2594C" w:rsidTr="00EA5B09">
        <w:tc>
          <w:tcPr>
            <w:tcW w:w="134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329CE" w:rsidRPr="00E2594C" w:rsidRDefault="005329CE" w:rsidP="00E2594C">
            <w:pPr>
              <w:widowControl/>
              <w:autoSpaceDE/>
              <w:autoSpaceDN/>
              <w:adjustRightInd/>
              <w:jc w:val="center"/>
              <w:rPr>
                <w:sz w:val="18"/>
                <w:szCs w:val="18"/>
              </w:rPr>
            </w:pPr>
            <w:r w:rsidRPr="00E2594C">
              <w:rPr>
                <w:sz w:val="18"/>
                <w:szCs w:val="18"/>
              </w:rPr>
              <w:t>Form 1065</w:t>
            </w: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No Business Activity</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406,475</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127</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Not Real Estate</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Under 50k and Turnover Under 20k</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184,659</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422</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Not Real Estate</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50k to 175k or Turnover From 20k to 70k</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278,394</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253</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Not Real Estate</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175k to 500k or Turnover From 70k to 200k</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333,036</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270</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Not Real Estate</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500k to 1.5M or Turnover From 200k to 600k</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326,013</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415</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Not Real Estate</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1.5M to 5M or Turnover From 600k to 2M</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239,858</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775</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Not Real Estate</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5M to 15M or Turnover From 2M to 6M</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113,223</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386</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Not Real Estate</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15M to 50M or Turnover From 6M to 20M</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54,065</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292</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Not Real Estate</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50M to 1000M or Turnover From 20M to 400M</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34,831</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1,337</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Not Real Estate</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Over 1B or Turnover Over 400M</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2,998</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378</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Real Estate</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Under 50k and Turnover Under 20k</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64,650</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325</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Real Estate</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50k to 175k or Turnover From 20k to 70k</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203,755</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199</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Real Estate</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175k to 500k or Turnover From 70k to 200k</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319,652</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207</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Real Estate</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500k to 1.5M or Turnover From 200k to 600k</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383,401</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759</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Real Estate</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1.5M to 5M or Turnover From 600k to 2M</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284,757</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905</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Real Estate</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5M to 15M or Turnover From 2M to 6M</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110,804</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551</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Real Estate</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15M to 50M or Turnover From 6M to 20M</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37,463</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282</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Real Estate</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From 50M to 1000M or Turnover From 20M to 400M</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11,924</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531</w:t>
            </w:r>
          </w:p>
        </w:tc>
      </w:tr>
      <w:tr w:rsidR="00D9369F" w:rsidRPr="00E2594C" w:rsidTr="00EA5B09">
        <w:tc>
          <w:tcPr>
            <w:tcW w:w="1345"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Real Estate</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center"/>
              <w:rPr>
                <w:sz w:val="18"/>
                <w:szCs w:val="18"/>
              </w:rPr>
            </w:pPr>
            <w:r w:rsidRPr="00E2594C">
              <w:rPr>
                <w:sz w:val="18"/>
                <w:szCs w:val="18"/>
              </w:rPr>
              <w:t>Assets Over 1B or Turnover Over 400M</w:t>
            </w:r>
          </w:p>
        </w:tc>
        <w:tc>
          <w:tcPr>
            <w:tcW w:w="126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405</w:t>
            </w:r>
          </w:p>
        </w:tc>
        <w:tc>
          <w:tcPr>
            <w:tcW w:w="10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E2594C">
            <w:pPr>
              <w:widowControl/>
              <w:autoSpaceDE/>
              <w:autoSpaceDN/>
              <w:adjustRightInd/>
              <w:jc w:val="right"/>
              <w:rPr>
                <w:sz w:val="18"/>
                <w:szCs w:val="18"/>
              </w:rPr>
            </w:pPr>
            <w:r w:rsidRPr="00E2594C">
              <w:rPr>
                <w:sz w:val="18"/>
                <w:szCs w:val="18"/>
              </w:rPr>
              <w:t>70</w:t>
            </w:r>
          </w:p>
        </w:tc>
      </w:tr>
      <w:tr w:rsidR="00D9369F" w:rsidRPr="00E2594C" w:rsidTr="00EA5B09">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5329CE" w:rsidRPr="00E2594C" w:rsidRDefault="005329CE" w:rsidP="007D6CB2">
            <w:pPr>
              <w:widowControl/>
              <w:autoSpaceDE/>
              <w:autoSpaceDN/>
              <w:adjustRightInd/>
              <w:rPr>
                <w:color w:val="000000"/>
                <w:sz w:val="18"/>
                <w:szCs w:val="18"/>
              </w:rPr>
            </w:pPr>
            <w:r w:rsidRPr="00E2594C">
              <w:rPr>
                <w:color w:val="000000"/>
                <w:sz w:val="18"/>
                <w:szCs w:val="18"/>
              </w:rPr>
              <w:t>Form 1120-L</w:t>
            </w: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7D6CB2">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7D6CB2">
            <w:pPr>
              <w:widowControl/>
              <w:autoSpaceDE/>
              <w:autoSpaceDN/>
              <w:adjustRightInd/>
              <w:jc w:val="center"/>
              <w:rPr>
                <w:sz w:val="18"/>
                <w:szCs w:val="18"/>
              </w:rPr>
            </w:pPr>
            <w:r w:rsidRPr="00E2594C">
              <w:rPr>
                <w:sz w:val="18"/>
                <w:szCs w:val="18"/>
              </w:rPr>
              <w:t>ANY</w:t>
            </w:r>
          </w:p>
        </w:tc>
        <w:tc>
          <w:tcPr>
            <w:tcW w:w="1260" w:type="dxa"/>
            <w:tcBorders>
              <w:top w:val="nil"/>
              <w:left w:val="nil"/>
              <w:bottom w:val="single" w:sz="4" w:space="0" w:color="auto"/>
              <w:right w:val="single" w:sz="4" w:space="0" w:color="auto"/>
            </w:tcBorders>
            <w:shd w:val="clear" w:color="auto" w:fill="auto"/>
            <w:noWrap/>
            <w:vAlign w:val="bottom"/>
            <w:hideMark/>
          </w:tcPr>
          <w:p w:rsidR="005329CE" w:rsidRPr="00E2594C" w:rsidRDefault="007D6CB2" w:rsidP="007D6CB2">
            <w:pPr>
              <w:widowControl/>
              <w:autoSpaceDE/>
              <w:autoSpaceDN/>
              <w:adjustRightInd/>
              <w:jc w:val="right"/>
              <w:rPr>
                <w:color w:val="000000"/>
                <w:sz w:val="18"/>
                <w:szCs w:val="18"/>
              </w:rPr>
            </w:pPr>
            <w:r w:rsidRPr="00E2594C">
              <w:rPr>
                <w:color w:val="000000"/>
                <w:sz w:val="18"/>
                <w:szCs w:val="18"/>
              </w:rPr>
              <w:t xml:space="preserve">             </w:t>
            </w:r>
            <w:r w:rsidR="005329CE" w:rsidRPr="00E2594C">
              <w:rPr>
                <w:color w:val="000000"/>
                <w:sz w:val="18"/>
                <w:szCs w:val="18"/>
              </w:rPr>
              <w:t xml:space="preserve"> 491 </w:t>
            </w:r>
          </w:p>
        </w:tc>
        <w:tc>
          <w:tcPr>
            <w:tcW w:w="10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150</w:t>
            </w:r>
          </w:p>
        </w:tc>
      </w:tr>
      <w:tr w:rsidR="00D9369F" w:rsidRPr="00E2594C" w:rsidTr="00EA5B09">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Form 1120-REIT</w:t>
            </w: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7D6CB2">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7D6CB2">
            <w:pPr>
              <w:widowControl/>
              <w:autoSpaceDE/>
              <w:autoSpaceDN/>
              <w:adjustRightInd/>
              <w:jc w:val="center"/>
              <w:rPr>
                <w:sz w:val="18"/>
                <w:szCs w:val="18"/>
              </w:rPr>
            </w:pPr>
            <w:r w:rsidRPr="00E2594C">
              <w:rPr>
                <w:sz w:val="18"/>
                <w:szCs w:val="18"/>
              </w:rPr>
              <w:t>ANY</w:t>
            </w:r>
          </w:p>
        </w:tc>
        <w:tc>
          <w:tcPr>
            <w:tcW w:w="12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7D6CB2">
            <w:pPr>
              <w:widowControl/>
              <w:autoSpaceDE/>
              <w:autoSpaceDN/>
              <w:adjustRightInd/>
              <w:jc w:val="right"/>
              <w:rPr>
                <w:color w:val="000000"/>
                <w:sz w:val="18"/>
                <w:szCs w:val="18"/>
              </w:rPr>
            </w:pPr>
            <w:r w:rsidRPr="00E2594C">
              <w:rPr>
                <w:color w:val="000000"/>
                <w:sz w:val="18"/>
                <w:szCs w:val="18"/>
              </w:rPr>
              <w:t xml:space="preserve">                    1,543 </w:t>
            </w:r>
          </w:p>
        </w:tc>
        <w:tc>
          <w:tcPr>
            <w:tcW w:w="10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450</w:t>
            </w:r>
          </w:p>
        </w:tc>
      </w:tr>
      <w:tr w:rsidR="00D9369F" w:rsidRPr="00E2594C" w:rsidTr="00EA5B09">
        <w:trPr>
          <w:trHeight w:val="386"/>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Form 1120-PC</w:t>
            </w: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8E04B6">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8E04B6">
            <w:pPr>
              <w:widowControl/>
              <w:autoSpaceDE/>
              <w:autoSpaceDN/>
              <w:adjustRightInd/>
              <w:jc w:val="center"/>
              <w:rPr>
                <w:sz w:val="18"/>
                <w:szCs w:val="18"/>
              </w:rPr>
            </w:pPr>
            <w:r w:rsidRPr="00E2594C">
              <w:rPr>
                <w:sz w:val="18"/>
                <w:szCs w:val="18"/>
              </w:rPr>
              <w:t>ANY</w:t>
            </w:r>
          </w:p>
        </w:tc>
        <w:tc>
          <w:tcPr>
            <w:tcW w:w="1260" w:type="dxa"/>
            <w:tcBorders>
              <w:top w:val="nil"/>
              <w:left w:val="nil"/>
              <w:bottom w:val="single" w:sz="4" w:space="0" w:color="auto"/>
              <w:right w:val="single" w:sz="4" w:space="0" w:color="auto"/>
            </w:tcBorders>
            <w:shd w:val="clear" w:color="auto" w:fill="auto"/>
            <w:noWrap/>
            <w:vAlign w:val="bottom"/>
            <w:hideMark/>
          </w:tcPr>
          <w:p w:rsidR="005329CE" w:rsidRPr="00E2594C" w:rsidRDefault="008E04B6" w:rsidP="008E04B6">
            <w:pPr>
              <w:widowControl/>
              <w:autoSpaceDE/>
              <w:autoSpaceDN/>
              <w:adjustRightInd/>
              <w:jc w:val="right"/>
              <w:rPr>
                <w:color w:val="000000"/>
                <w:sz w:val="18"/>
                <w:szCs w:val="18"/>
              </w:rPr>
            </w:pPr>
            <w:r w:rsidRPr="00E2594C">
              <w:rPr>
                <w:color w:val="000000"/>
                <w:sz w:val="18"/>
                <w:szCs w:val="18"/>
              </w:rPr>
              <w:t xml:space="preserve">                  </w:t>
            </w:r>
            <w:r w:rsidR="005329CE" w:rsidRPr="00E2594C">
              <w:rPr>
                <w:color w:val="000000"/>
                <w:sz w:val="18"/>
                <w:szCs w:val="18"/>
              </w:rPr>
              <w:t xml:space="preserve">7,774 </w:t>
            </w:r>
          </w:p>
        </w:tc>
        <w:tc>
          <w:tcPr>
            <w:tcW w:w="10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8E04B6">
            <w:pPr>
              <w:widowControl/>
              <w:autoSpaceDE/>
              <w:autoSpaceDN/>
              <w:adjustRightInd/>
              <w:jc w:val="right"/>
              <w:rPr>
                <w:color w:val="000000"/>
                <w:sz w:val="18"/>
                <w:szCs w:val="18"/>
              </w:rPr>
            </w:pPr>
            <w:r w:rsidRPr="00E2594C">
              <w:rPr>
                <w:color w:val="000000"/>
                <w:sz w:val="18"/>
                <w:szCs w:val="18"/>
              </w:rPr>
              <w:t>750</w:t>
            </w:r>
          </w:p>
        </w:tc>
      </w:tr>
      <w:tr w:rsidR="00D9369F" w:rsidRPr="00E2594C" w:rsidTr="00EA5B09">
        <w:trPr>
          <w:trHeight w:val="269"/>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5329CE" w:rsidRPr="00E2594C" w:rsidRDefault="005329CE" w:rsidP="008E04B6">
            <w:pPr>
              <w:widowControl/>
              <w:autoSpaceDE/>
              <w:autoSpaceDN/>
              <w:adjustRightInd/>
              <w:rPr>
                <w:color w:val="000000"/>
                <w:sz w:val="18"/>
                <w:szCs w:val="18"/>
              </w:rPr>
            </w:pPr>
            <w:r w:rsidRPr="00E2594C">
              <w:rPr>
                <w:color w:val="000000"/>
                <w:sz w:val="18"/>
                <w:szCs w:val="18"/>
              </w:rPr>
              <w:t>Form 1120-F</w:t>
            </w:r>
          </w:p>
        </w:tc>
        <w:tc>
          <w:tcPr>
            <w:tcW w:w="153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8E04B6">
            <w:pPr>
              <w:widowControl/>
              <w:autoSpaceDE/>
              <w:autoSpaceDN/>
              <w:adjustRightInd/>
              <w:jc w:val="center"/>
              <w:rPr>
                <w:sz w:val="18"/>
                <w:szCs w:val="18"/>
              </w:rPr>
            </w:pPr>
            <w:r w:rsidRPr="00E2594C">
              <w:rPr>
                <w:sz w:val="18"/>
                <w:szCs w:val="18"/>
              </w:rPr>
              <w:t>ANY</w:t>
            </w:r>
          </w:p>
        </w:tc>
        <w:tc>
          <w:tcPr>
            <w:tcW w:w="4680" w:type="dxa"/>
            <w:tcBorders>
              <w:top w:val="nil"/>
              <w:left w:val="nil"/>
              <w:bottom w:val="single" w:sz="4" w:space="0" w:color="auto"/>
              <w:right w:val="single" w:sz="4" w:space="0" w:color="auto"/>
            </w:tcBorders>
            <w:shd w:val="clear" w:color="auto" w:fill="auto"/>
            <w:vAlign w:val="bottom"/>
            <w:hideMark/>
          </w:tcPr>
          <w:p w:rsidR="005329CE" w:rsidRPr="00E2594C" w:rsidRDefault="005329CE" w:rsidP="008E04B6">
            <w:pPr>
              <w:widowControl/>
              <w:autoSpaceDE/>
              <w:autoSpaceDN/>
              <w:adjustRightInd/>
              <w:jc w:val="center"/>
              <w:rPr>
                <w:sz w:val="18"/>
                <w:szCs w:val="18"/>
              </w:rPr>
            </w:pPr>
            <w:r w:rsidRPr="00E2594C">
              <w:rPr>
                <w:sz w:val="18"/>
                <w:szCs w:val="18"/>
              </w:rPr>
              <w:t>ANY</w:t>
            </w:r>
          </w:p>
        </w:tc>
        <w:tc>
          <w:tcPr>
            <w:tcW w:w="1260" w:type="dxa"/>
            <w:tcBorders>
              <w:top w:val="nil"/>
              <w:left w:val="nil"/>
              <w:bottom w:val="single" w:sz="4" w:space="0" w:color="auto"/>
              <w:right w:val="single" w:sz="4" w:space="0" w:color="auto"/>
            </w:tcBorders>
            <w:shd w:val="clear" w:color="auto" w:fill="auto"/>
            <w:noWrap/>
            <w:vAlign w:val="bottom"/>
            <w:hideMark/>
          </w:tcPr>
          <w:p w:rsidR="005329CE" w:rsidRPr="00E2594C" w:rsidRDefault="008E04B6" w:rsidP="008E04B6">
            <w:pPr>
              <w:widowControl/>
              <w:autoSpaceDE/>
              <w:autoSpaceDN/>
              <w:adjustRightInd/>
              <w:jc w:val="right"/>
              <w:rPr>
                <w:color w:val="000000"/>
                <w:sz w:val="18"/>
                <w:szCs w:val="18"/>
              </w:rPr>
            </w:pPr>
            <w:r w:rsidRPr="00E2594C">
              <w:rPr>
                <w:color w:val="000000"/>
                <w:sz w:val="18"/>
                <w:szCs w:val="18"/>
              </w:rPr>
              <w:t xml:space="preserve">       </w:t>
            </w:r>
            <w:r w:rsidR="005329CE" w:rsidRPr="00E2594C">
              <w:rPr>
                <w:color w:val="000000"/>
                <w:sz w:val="18"/>
                <w:szCs w:val="18"/>
              </w:rPr>
              <w:t xml:space="preserve">26,516 </w:t>
            </w:r>
          </w:p>
        </w:tc>
        <w:tc>
          <w:tcPr>
            <w:tcW w:w="10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8E04B6">
            <w:pPr>
              <w:widowControl/>
              <w:autoSpaceDE/>
              <w:autoSpaceDN/>
              <w:adjustRightInd/>
              <w:jc w:val="right"/>
              <w:rPr>
                <w:color w:val="000000"/>
                <w:sz w:val="18"/>
                <w:szCs w:val="18"/>
              </w:rPr>
            </w:pPr>
            <w:r w:rsidRPr="00E2594C">
              <w:rPr>
                <w:color w:val="000000"/>
                <w:sz w:val="18"/>
                <w:szCs w:val="18"/>
              </w:rPr>
              <w:t>1,150</w:t>
            </w:r>
          </w:p>
        </w:tc>
      </w:tr>
      <w:tr w:rsidR="00D9369F" w:rsidRPr="00E2594C" w:rsidTr="00EA5B09">
        <w:tc>
          <w:tcPr>
            <w:tcW w:w="1345" w:type="dxa"/>
            <w:tcBorders>
              <w:top w:val="nil"/>
              <w:left w:val="nil"/>
              <w:bottom w:val="nil"/>
              <w:right w:val="nil"/>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p>
        </w:tc>
        <w:tc>
          <w:tcPr>
            <w:tcW w:w="1530" w:type="dxa"/>
            <w:tcBorders>
              <w:top w:val="nil"/>
              <w:left w:val="nil"/>
              <w:bottom w:val="nil"/>
              <w:right w:val="nil"/>
            </w:tcBorders>
            <w:shd w:val="clear" w:color="auto" w:fill="auto"/>
            <w:noWrap/>
            <w:vAlign w:val="bottom"/>
            <w:hideMark/>
          </w:tcPr>
          <w:p w:rsidR="005329CE" w:rsidRPr="00E2594C" w:rsidRDefault="005329CE" w:rsidP="00E2594C">
            <w:pPr>
              <w:widowControl/>
              <w:autoSpaceDE/>
              <w:autoSpaceDN/>
              <w:adjustRightInd/>
              <w:rPr>
                <w:sz w:val="18"/>
                <w:szCs w:val="18"/>
              </w:rPr>
            </w:pPr>
          </w:p>
        </w:tc>
        <w:tc>
          <w:tcPr>
            <w:tcW w:w="4680" w:type="dxa"/>
            <w:tcBorders>
              <w:top w:val="nil"/>
              <w:left w:val="nil"/>
              <w:bottom w:val="nil"/>
              <w:right w:val="nil"/>
            </w:tcBorders>
            <w:shd w:val="clear" w:color="auto" w:fill="auto"/>
            <w:noWrap/>
            <w:vAlign w:val="bottom"/>
            <w:hideMark/>
          </w:tcPr>
          <w:p w:rsidR="005329CE" w:rsidRPr="00E2594C" w:rsidRDefault="005329CE" w:rsidP="00E2594C">
            <w:pPr>
              <w:widowControl/>
              <w:autoSpaceDE/>
              <w:autoSpaceDN/>
              <w:adjustRightInd/>
              <w:rPr>
                <w:sz w:val="18"/>
                <w:szCs w:val="18"/>
              </w:rPr>
            </w:pPr>
          </w:p>
        </w:tc>
        <w:tc>
          <w:tcPr>
            <w:tcW w:w="1260" w:type="dxa"/>
            <w:tcBorders>
              <w:top w:val="nil"/>
              <w:left w:val="nil"/>
              <w:bottom w:val="nil"/>
              <w:right w:val="nil"/>
            </w:tcBorders>
            <w:shd w:val="clear" w:color="auto" w:fill="auto"/>
            <w:noWrap/>
            <w:vAlign w:val="bottom"/>
            <w:hideMark/>
          </w:tcPr>
          <w:p w:rsidR="005329CE" w:rsidRPr="00E2594C" w:rsidRDefault="005329CE" w:rsidP="00E2594C">
            <w:pPr>
              <w:widowControl/>
              <w:autoSpaceDE/>
              <w:autoSpaceDN/>
              <w:adjustRightInd/>
              <w:rPr>
                <w:sz w:val="18"/>
                <w:szCs w:val="18"/>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25,001</w:t>
            </w:r>
          </w:p>
        </w:tc>
      </w:tr>
    </w:tbl>
    <w:p w:rsidR="005329CE" w:rsidRPr="00E2594C" w:rsidRDefault="005329CE" w:rsidP="005329CE">
      <w:pPr>
        <w:pStyle w:val="ListParagraph"/>
        <w:widowControl w:val="0"/>
        <w:autoSpaceDE w:val="0"/>
        <w:autoSpaceDN w:val="0"/>
        <w:adjustRightInd w:val="0"/>
        <w:ind w:left="0"/>
        <w:rPr>
          <w:b/>
          <w:bCs/>
          <w:sz w:val="18"/>
          <w:szCs w:val="18"/>
        </w:rPr>
      </w:pPr>
    </w:p>
    <w:p w:rsidR="005329CE" w:rsidRPr="00E2594C" w:rsidRDefault="005329CE" w:rsidP="005329CE">
      <w:pPr>
        <w:pStyle w:val="ListParagraph"/>
        <w:widowControl w:val="0"/>
        <w:autoSpaceDE w:val="0"/>
        <w:autoSpaceDN w:val="0"/>
        <w:adjustRightInd w:val="0"/>
        <w:ind w:hanging="720"/>
        <w:rPr>
          <w:b/>
          <w:bCs/>
          <w:sz w:val="18"/>
          <w:szCs w:val="18"/>
        </w:rPr>
      </w:pPr>
    </w:p>
    <w:p w:rsidR="005329CE" w:rsidRDefault="005329CE" w:rsidP="005329CE">
      <w:pPr>
        <w:pStyle w:val="ListParagraph"/>
        <w:widowControl w:val="0"/>
        <w:autoSpaceDE w:val="0"/>
        <w:autoSpaceDN w:val="0"/>
        <w:adjustRightInd w:val="0"/>
        <w:ind w:hanging="720"/>
        <w:rPr>
          <w:b/>
          <w:bCs/>
          <w:sz w:val="18"/>
          <w:szCs w:val="18"/>
        </w:rPr>
      </w:pPr>
    </w:p>
    <w:p w:rsidR="00470138" w:rsidRDefault="00470138" w:rsidP="005329CE">
      <w:pPr>
        <w:pStyle w:val="ListParagraph"/>
        <w:widowControl w:val="0"/>
        <w:autoSpaceDE w:val="0"/>
        <w:autoSpaceDN w:val="0"/>
        <w:adjustRightInd w:val="0"/>
        <w:ind w:hanging="720"/>
        <w:rPr>
          <w:b/>
          <w:bCs/>
          <w:sz w:val="18"/>
          <w:szCs w:val="18"/>
        </w:rPr>
      </w:pPr>
    </w:p>
    <w:p w:rsidR="00470138" w:rsidRDefault="00470138" w:rsidP="005329CE">
      <w:pPr>
        <w:pStyle w:val="ListParagraph"/>
        <w:widowControl w:val="0"/>
        <w:autoSpaceDE w:val="0"/>
        <w:autoSpaceDN w:val="0"/>
        <w:adjustRightInd w:val="0"/>
        <w:ind w:hanging="720"/>
        <w:rPr>
          <w:b/>
          <w:bCs/>
          <w:sz w:val="18"/>
          <w:szCs w:val="18"/>
        </w:rPr>
      </w:pPr>
    </w:p>
    <w:p w:rsidR="00470138" w:rsidRDefault="00470138" w:rsidP="005329CE">
      <w:pPr>
        <w:pStyle w:val="ListParagraph"/>
        <w:widowControl w:val="0"/>
        <w:autoSpaceDE w:val="0"/>
        <w:autoSpaceDN w:val="0"/>
        <w:adjustRightInd w:val="0"/>
        <w:ind w:hanging="720"/>
        <w:rPr>
          <w:b/>
          <w:bCs/>
          <w:sz w:val="18"/>
          <w:szCs w:val="18"/>
        </w:rPr>
      </w:pPr>
    </w:p>
    <w:p w:rsidR="00470138" w:rsidRDefault="00470138" w:rsidP="005329CE">
      <w:pPr>
        <w:pStyle w:val="ListParagraph"/>
        <w:widowControl w:val="0"/>
        <w:autoSpaceDE w:val="0"/>
        <w:autoSpaceDN w:val="0"/>
        <w:adjustRightInd w:val="0"/>
        <w:ind w:hanging="720"/>
        <w:rPr>
          <w:b/>
          <w:bCs/>
          <w:sz w:val="18"/>
          <w:szCs w:val="18"/>
        </w:rPr>
      </w:pPr>
    </w:p>
    <w:p w:rsidR="00470138" w:rsidRDefault="00470138" w:rsidP="005329CE">
      <w:pPr>
        <w:pStyle w:val="ListParagraph"/>
        <w:widowControl w:val="0"/>
        <w:autoSpaceDE w:val="0"/>
        <w:autoSpaceDN w:val="0"/>
        <w:adjustRightInd w:val="0"/>
        <w:ind w:hanging="720"/>
        <w:rPr>
          <w:b/>
          <w:bCs/>
          <w:sz w:val="18"/>
          <w:szCs w:val="18"/>
        </w:rPr>
      </w:pPr>
    </w:p>
    <w:p w:rsidR="00D01379" w:rsidRDefault="00D01379" w:rsidP="005329CE">
      <w:pPr>
        <w:pStyle w:val="ListParagraph"/>
        <w:widowControl w:val="0"/>
        <w:autoSpaceDE w:val="0"/>
        <w:autoSpaceDN w:val="0"/>
        <w:adjustRightInd w:val="0"/>
        <w:ind w:hanging="720"/>
        <w:rPr>
          <w:b/>
          <w:bCs/>
          <w:sz w:val="18"/>
          <w:szCs w:val="18"/>
        </w:rPr>
        <w:sectPr w:rsidR="00D01379" w:rsidSect="00950FBE">
          <w:footerReference w:type="default" r:id="rId9"/>
          <w:pgSz w:w="12240" w:h="15840"/>
          <w:pgMar w:top="1296" w:right="1440" w:bottom="1008" w:left="1440" w:header="1080" w:footer="662" w:gutter="0"/>
          <w:cols w:space="720"/>
          <w:noEndnote/>
          <w:docGrid w:linePitch="326"/>
        </w:sectPr>
      </w:pPr>
    </w:p>
    <w:p w:rsidR="005329CE" w:rsidRPr="00E2594C" w:rsidRDefault="005329CE" w:rsidP="00BD588B">
      <w:pPr>
        <w:pStyle w:val="ListParagraph"/>
        <w:widowControl w:val="0"/>
        <w:autoSpaceDE w:val="0"/>
        <w:autoSpaceDN w:val="0"/>
        <w:adjustRightInd w:val="0"/>
        <w:ind w:left="0"/>
        <w:rPr>
          <w:b/>
          <w:bCs/>
          <w:sz w:val="18"/>
          <w:szCs w:val="18"/>
        </w:rPr>
      </w:pPr>
      <w:r w:rsidRPr="00E2594C">
        <w:rPr>
          <w:b/>
          <w:bCs/>
          <w:sz w:val="18"/>
          <w:szCs w:val="18"/>
        </w:rPr>
        <w:t xml:space="preserve">Table </w:t>
      </w:r>
      <w:r w:rsidR="00BD588B">
        <w:rPr>
          <w:b/>
          <w:bCs/>
          <w:sz w:val="18"/>
          <w:szCs w:val="18"/>
        </w:rPr>
        <w:t>5</w:t>
      </w:r>
      <w:r w:rsidRPr="00E2594C">
        <w:rPr>
          <w:b/>
          <w:bCs/>
          <w:sz w:val="18"/>
          <w:szCs w:val="18"/>
        </w:rPr>
        <w:t xml:space="preserve"> – Calendar Year Business Compliance Burden Survey</w:t>
      </w:r>
    </w:p>
    <w:tbl>
      <w:tblPr>
        <w:tblW w:w="9840" w:type="dxa"/>
        <w:tblInd w:w="113" w:type="dxa"/>
        <w:tblLook w:val="04A0" w:firstRow="1" w:lastRow="0" w:firstColumn="1" w:lastColumn="0" w:noHBand="0" w:noVBand="1"/>
      </w:tblPr>
      <w:tblGrid>
        <w:gridCol w:w="2174"/>
        <w:gridCol w:w="4106"/>
        <w:gridCol w:w="1740"/>
        <w:gridCol w:w="1820"/>
      </w:tblGrid>
      <w:tr w:rsidR="005329CE" w:rsidRPr="00E2594C" w:rsidTr="00E2594C">
        <w:tc>
          <w:tcPr>
            <w:tcW w:w="62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Strata</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sz w:val="18"/>
                <w:szCs w:val="18"/>
              </w:rPr>
            </w:pPr>
            <w:r w:rsidRPr="00E2594C">
              <w:rPr>
                <w:sz w:val="18"/>
                <w:szCs w:val="18"/>
              </w:rPr>
              <w:t>Population Count</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sz w:val="18"/>
                <w:szCs w:val="18"/>
              </w:rPr>
            </w:pPr>
            <w:r w:rsidRPr="00E2594C">
              <w:rPr>
                <w:sz w:val="18"/>
                <w:szCs w:val="18"/>
              </w:rPr>
              <w:t>Sample Allocation</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Post-Filing Complexity</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 Category</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Collection - Low</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Negative Assets</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3,649</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Collection - Low</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$0 and &lt; $250K</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385,775</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Collection - Low</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$250K and &lt; $1M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71,521</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Collection - Low</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$1M and &lt; $5M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38,676</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Collection - Low</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$5M and &lt; $50M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13,743</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Collection - Low</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$50M and &lt; $250M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1,954</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Collection - Low</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$250M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1,003</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Collection - High</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Zero Assets</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972</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Collection - High</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&gt;$0 and &lt; $250K</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2,173</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Collection - High</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$250K and &lt; $1M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826</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Collection - High</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$1M and &lt; $5M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351</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351</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Collection - High</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All other Asset Categories</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152</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152</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Appeals</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Negative Assets or Assets &gt;= $0 and &lt;$1M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349</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349</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Appeals</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$1M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242</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242</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Low</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Negative or Zero Assets</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339</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339</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Low</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$250K and &lt; $5M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335</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335</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Low</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$5M and &lt; $10M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875</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Low</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$10M and &lt; $50M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235</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235</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Low</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$50M and &lt; $250M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397</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397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Low</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$50M and &lt; $250M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236</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236</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Low</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$250M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154</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154</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High</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Negative Assets</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259</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259</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High</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Zero Assets</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3,354</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High</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&gt;$0 and &lt; $250K</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8,102</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High</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$250K and &lt; $5M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7,566</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High</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$5M and &lt; $10M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1,574</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High</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$10M and &lt; $50M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3,425</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High</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$50M and &lt; $250M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1,684</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High</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$250M and &lt; $5B</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992</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Exam - High</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$5B</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109</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109</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Amended</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Negative Assets</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1,540</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Amended</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Zero Assets</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42,732</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Amended</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&gt;$0 and &lt; $250K</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64,257</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Amended</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$250K and &lt; $1M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29,833</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Amended</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$1M and &lt; $5M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22,684</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Amended</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$5M and &lt; $10M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5,666</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Amended</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$10M and &lt; $100M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6,859</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Amended</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$100M and &lt; $250M</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751</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Amended</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$250M and &lt; $5B</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960</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Amended</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Assets &gt;= $5B</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111</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111</w:t>
            </w:r>
          </w:p>
        </w:tc>
      </w:tr>
      <w:tr w:rsidR="005329CE" w:rsidRPr="00E2594C" w:rsidTr="00E2594C">
        <w:tc>
          <w:tcPr>
            <w:tcW w:w="2174"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Schedule K Strata</w:t>
            </w:r>
          </w:p>
        </w:tc>
        <w:tc>
          <w:tcPr>
            <w:tcW w:w="4106"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Any Asset Class</w:t>
            </w:r>
          </w:p>
        </w:tc>
        <w:tc>
          <w:tcPr>
            <w:tcW w:w="174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3,089</w:t>
            </w:r>
          </w:p>
        </w:tc>
        <w:tc>
          <w:tcPr>
            <w:tcW w:w="1820"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A5B09">
            <w:pPr>
              <w:widowControl/>
              <w:autoSpaceDE/>
              <w:autoSpaceDN/>
              <w:adjustRightInd/>
              <w:jc w:val="right"/>
              <w:rPr>
                <w:color w:val="000000"/>
                <w:sz w:val="18"/>
                <w:szCs w:val="18"/>
              </w:rPr>
            </w:pPr>
            <w:r w:rsidRPr="00E2594C">
              <w:rPr>
                <w:color w:val="000000"/>
                <w:sz w:val="18"/>
                <w:szCs w:val="18"/>
              </w:rPr>
              <w:t>527</w:t>
            </w:r>
          </w:p>
        </w:tc>
      </w:tr>
      <w:tr w:rsidR="005329CE" w:rsidRPr="00E2594C" w:rsidTr="00E2594C">
        <w:tc>
          <w:tcPr>
            <w:tcW w:w="2174" w:type="dxa"/>
            <w:tcBorders>
              <w:top w:val="nil"/>
              <w:left w:val="nil"/>
              <w:bottom w:val="nil"/>
              <w:right w:val="nil"/>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p>
        </w:tc>
        <w:tc>
          <w:tcPr>
            <w:tcW w:w="4106" w:type="dxa"/>
            <w:tcBorders>
              <w:top w:val="nil"/>
              <w:left w:val="nil"/>
              <w:bottom w:val="nil"/>
              <w:right w:val="nil"/>
            </w:tcBorders>
            <w:shd w:val="clear" w:color="auto" w:fill="auto"/>
            <w:noWrap/>
            <w:vAlign w:val="bottom"/>
            <w:hideMark/>
          </w:tcPr>
          <w:p w:rsidR="005329CE" w:rsidRPr="00E2594C" w:rsidRDefault="005329CE" w:rsidP="00E2594C">
            <w:pPr>
              <w:widowControl/>
              <w:autoSpaceDE/>
              <w:autoSpaceDN/>
              <w:adjustRightInd/>
              <w:rPr>
                <w:sz w:val="18"/>
                <w:szCs w:val="18"/>
              </w:rPr>
            </w:pPr>
          </w:p>
        </w:tc>
        <w:tc>
          <w:tcPr>
            <w:tcW w:w="1740" w:type="dxa"/>
            <w:tcBorders>
              <w:top w:val="nil"/>
              <w:left w:val="nil"/>
              <w:bottom w:val="nil"/>
              <w:right w:val="nil"/>
            </w:tcBorders>
            <w:shd w:val="clear" w:color="auto" w:fill="auto"/>
            <w:noWrap/>
            <w:vAlign w:val="bottom"/>
            <w:hideMark/>
          </w:tcPr>
          <w:p w:rsidR="005329CE" w:rsidRPr="00E2594C" w:rsidRDefault="005329CE" w:rsidP="00E2594C">
            <w:pPr>
              <w:widowControl/>
              <w:autoSpaceDE/>
              <w:autoSpaceDN/>
              <w:adjustRightInd/>
              <w:rPr>
                <w:sz w:val="18"/>
                <w:szCs w:val="18"/>
              </w:rPr>
            </w:pP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18025</w:t>
            </w:r>
          </w:p>
        </w:tc>
      </w:tr>
    </w:tbl>
    <w:p w:rsidR="00D01379" w:rsidRPr="00E2594C" w:rsidRDefault="00D01379" w:rsidP="00D01379">
      <w:pPr>
        <w:pStyle w:val="ListParagraph"/>
        <w:widowControl w:val="0"/>
        <w:autoSpaceDE w:val="0"/>
        <w:autoSpaceDN w:val="0"/>
        <w:adjustRightInd w:val="0"/>
        <w:ind w:left="0"/>
        <w:rPr>
          <w:b/>
          <w:bCs/>
          <w:sz w:val="18"/>
          <w:szCs w:val="18"/>
        </w:rPr>
      </w:pPr>
      <w:r w:rsidRPr="00E2594C">
        <w:rPr>
          <w:b/>
          <w:bCs/>
          <w:sz w:val="18"/>
          <w:szCs w:val="18"/>
        </w:rPr>
        <w:t xml:space="preserve">Table </w:t>
      </w:r>
      <w:r w:rsidR="00BD588B">
        <w:rPr>
          <w:b/>
          <w:bCs/>
          <w:sz w:val="18"/>
          <w:szCs w:val="18"/>
        </w:rPr>
        <w:t>6</w:t>
      </w:r>
      <w:r w:rsidRPr="00E2594C">
        <w:rPr>
          <w:b/>
          <w:bCs/>
          <w:sz w:val="18"/>
          <w:szCs w:val="18"/>
        </w:rPr>
        <w:t xml:space="preserve"> – Tax Year 2010 Tax-Exempt Organization Burden Survey</w:t>
      </w:r>
    </w:p>
    <w:tbl>
      <w:tblPr>
        <w:tblW w:w="7880" w:type="dxa"/>
        <w:tblInd w:w="113" w:type="dxa"/>
        <w:tblLook w:val="04A0" w:firstRow="1" w:lastRow="0" w:firstColumn="1" w:lastColumn="0" w:noHBand="0" w:noVBand="1"/>
      </w:tblPr>
      <w:tblGrid>
        <w:gridCol w:w="2329"/>
        <w:gridCol w:w="2431"/>
        <w:gridCol w:w="1540"/>
        <w:gridCol w:w="1580"/>
      </w:tblGrid>
      <w:tr w:rsidR="00D01379" w:rsidRPr="00E2594C" w:rsidTr="001A683C">
        <w:tc>
          <w:tcPr>
            <w:tcW w:w="4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center"/>
              <w:rPr>
                <w:color w:val="000000"/>
                <w:sz w:val="18"/>
                <w:szCs w:val="18"/>
              </w:rPr>
            </w:pPr>
            <w:r w:rsidRPr="00E2594C">
              <w:rPr>
                <w:color w:val="000000"/>
                <w:sz w:val="18"/>
                <w:szCs w:val="18"/>
              </w:rPr>
              <w:t>Strata</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1379" w:rsidRPr="00E2594C" w:rsidRDefault="00D01379" w:rsidP="001A683C">
            <w:pPr>
              <w:widowControl/>
              <w:autoSpaceDE/>
              <w:autoSpaceDN/>
              <w:adjustRightInd/>
              <w:jc w:val="center"/>
              <w:rPr>
                <w:sz w:val="18"/>
                <w:szCs w:val="18"/>
              </w:rPr>
            </w:pPr>
            <w:r w:rsidRPr="00E2594C">
              <w:rPr>
                <w:sz w:val="18"/>
                <w:szCs w:val="18"/>
              </w:rPr>
              <w:t>Population Count</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1379" w:rsidRPr="00E2594C" w:rsidRDefault="00D01379" w:rsidP="001A683C">
            <w:pPr>
              <w:widowControl/>
              <w:autoSpaceDE/>
              <w:autoSpaceDN/>
              <w:adjustRightInd/>
              <w:jc w:val="center"/>
              <w:rPr>
                <w:sz w:val="18"/>
                <w:szCs w:val="18"/>
              </w:rPr>
            </w:pPr>
            <w:r w:rsidRPr="00E2594C">
              <w:rPr>
                <w:sz w:val="18"/>
                <w:szCs w:val="18"/>
              </w:rPr>
              <w:t>Sample Allocation</w:t>
            </w:r>
          </w:p>
        </w:tc>
      </w:tr>
      <w:tr w:rsidR="00D01379" w:rsidRPr="00E2594C" w:rsidTr="001A683C">
        <w:tc>
          <w:tcPr>
            <w:tcW w:w="2329" w:type="dxa"/>
            <w:tcBorders>
              <w:top w:val="nil"/>
              <w:left w:val="single" w:sz="4" w:space="0" w:color="auto"/>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rPr>
                <w:color w:val="000000"/>
                <w:sz w:val="18"/>
                <w:szCs w:val="18"/>
              </w:rPr>
            </w:pPr>
            <w:r w:rsidRPr="00E2594C">
              <w:rPr>
                <w:color w:val="000000"/>
                <w:sz w:val="18"/>
                <w:szCs w:val="18"/>
              </w:rPr>
              <w:t>Preparation Method</w:t>
            </w:r>
          </w:p>
        </w:tc>
        <w:tc>
          <w:tcPr>
            <w:tcW w:w="2431"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rPr>
                <w:color w:val="000000"/>
                <w:sz w:val="18"/>
                <w:szCs w:val="18"/>
              </w:rPr>
            </w:pPr>
            <w:r w:rsidRPr="00E2594C">
              <w:rPr>
                <w:color w:val="000000"/>
                <w:sz w:val="18"/>
                <w:szCs w:val="18"/>
              </w:rPr>
              <w:t>Total Revenue</w:t>
            </w: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D01379" w:rsidRPr="00E2594C" w:rsidRDefault="00D01379" w:rsidP="001A683C">
            <w:pPr>
              <w:widowControl/>
              <w:autoSpaceDE/>
              <w:autoSpaceDN/>
              <w:adjustRightInd/>
              <w:rPr>
                <w:sz w:val="18"/>
                <w:szCs w:val="18"/>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D01379" w:rsidRPr="00E2594C" w:rsidRDefault="00D01379" w:rsidP="001A683C">
            <w:pPr>
              <w:widowControl/>
              <w:autoSpaceDE/>
              <w:autoSpaceDN/>
              <w:adjustRightInd/>
              <w:rPr>
                <w:sz w:val="18"/>
                <w:szCs w:val="18"/>
              </w:rPr>
            </w:pPr>
          </w:p>
        </w:tc>
      </w:tr>
      <w:tr w:rsidR="00D01379" w:rsidRPr="00E2594C" w:rsidTr="001A683C">
        <w:tc>
          <w:tcPr>
            <w:tcW w:w="2329" w:type="dxa"/>
            <w:tcBorders>
              <w:top w:val="nil"/>
              <w:left w:val="single" w:sz="4" w:space="0" w:color="auto"/>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rPr>
                <w:color w:val="000000"/>
                <w:sz w:val="18"/>
                <w:szCs w:val="18"/>
              </w:rPr>
            </w:pPr>
            <w:r w:rsidRPr="00E2594C">
              <w:rPr>
                <w:color w:val="000000"/>
                <w:sz w:val="18"/>
                <w:szCs w:val="18"/>
              </w:rPr>
              <w:t>Self-Prepared</w:t>
            </w:r>
          </w:p>
        </w:tc>
        <w:tc>
          <w:tcPr>
            <w:tcW w:w="2431"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rPr>
                <w:color w:val="000000"/>
                <w:sz w:val="18"/>
                <w:szCs w:val="18"/>
              </w:rPr>
            </w:pPr>
            <w:r w:rsidRPr="00E2594C">
              <w:rPr>
                <w:color w:val="000000"/>
                <w:sz w:val="18"/>
                <w:szCs w:val="18"/>
              </w:rPr>
              <w:t>Less than $5,000</w:t>
            </w:r>
          </w:p>
        </w:tc>
        <w:tc>
          <w:tcPr>
            <w:tcW w:w="154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31,081</w:t>
            </w:r>
          </w:p>
        </w:tc>
        <w:tc>
          <w:tcPr>
            <w:tcW w:w="158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499</w:t>
            </w:r>
          </w:p>
        </w:tc>
      </w:tr>
      <w:tr w:rsidR="00D01379" w:rsidRPr="00E2594C" w:rsidTr="001A683C">
        <w:tc>
          <w:tcPr>
            <w:tcW w:w="2329" w:type="dxa"/>
            <w:tcBorders>
              <w:top w:val="nil"/>
              <w:left w:val="single" w:sz="4" w:space="0" w:color="auto"/>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rPr>
                <w:color w:val="000000"/>
                <w:sz w:val="18"/>
                <w:szCs w:val="18"/>
              </w:rPr>
            </w:pPr>
            <w:r w:rsidRPr="00E2594C">
              <w:rPr>
                <w:color w:val="000000"/>
                <w:sz w:val="18"/>
                <w:szCs w:val="18"/>
              </w:rPr>
              <w:t>Self-Prepared</w:t>
            </w:r>
          </w:p>
        </w:tc>
        <w:tc>
          <w:tcPr>
            <w:tcW w:w="2431"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rPr>
                <w:color w:val="000000"/>
                <w:sz w:val="18"/>
                <w:szCs w:val="18"/>
              </w:rPr>
            </w:pPr>
            <w:r w:rsidRPr="00E2594C">
              <w:rPr>
                <w:color w:val="000000"/>
                <w:sz w:val="18"/>
                <w:szCs w:val="18"/>
              </w:rPr>
              <w:t>$5,001 - $100,000</w:t>
            </w:r>
          </w:p>
        </w:tc>
        <w:tc>
          <w:tcPr>
            <w:tcW w:w="154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81,248</w:t>
            </w:r>
          </w:p>
        </w:tc>
        <w:tc>
          <w:tcPr>
            <w:tcW w:w="158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423</w:t>
            </w:r>
          </w:p>
        </w:tc>
      </w:tr>
      <w:tr w:rsidR="00D01379" w:rsidRPr="00E2594C" w:rsidTr="001A683C">
        <w:tc>
          <w:tcPr>
            <w:tcW w:w="2329" w:type="dxa"/>
            <w:tcBorders>
              <w:top w:val="nil"/>
              <w:left w:val="single" w:sz="4" w:space="0" w:color="auto"/>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rPr>
                <w:color w:val="000000"/>
                <w:sz w:val="18"/>
                <w:szCs w:val="18"/>
              </w:rPr>
            </w:pPr>
            <w:r w:rsidRPr="00E2594C">
              <w:rPr>
                <w:color w:val="000000"/>
                <w:sz w:val="18"/>
                <w:szCs w:val="18"/>
              </w:rPr>
              <w:t>Self-Prepared</w:t>
            </w:r>
          </w:p>
        </w:tc>
        <w:tc>
          <w:tcPr>
            <w:tcW w:w="2431"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rPr>
                <w:color w:val="000000"/>
                <w:sz w:val="18"/>
                <w:szCs w:val="18"/>
              </w:rPr>
            </w:pPr>
            <w:r w:rsidRPr="00E2594C">
              <w:rPr>
                <w:color w:val="000000"/>
                <w:sz w:val="18"/>
                <w:szCs w:val="18"/>
              </w:rPr>
              <w:t>$100,001 - $1,000,000</w:t>
            </w:r>
          </w:p>
        </w:tc>
        <w:tc>
          <w:tcPr>
            <w:tcW w:w="154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48,578</w:t>
            </w:r>
          </w:p>
        </w:tc>
        <w:tc>
          <w:tcPr>
            <w:tcW w:w="158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894</w:t>
            </w:r>
          </w:p>
        </w:tc>
      </w:tr>
      <w:tr w:rsidR="00D01379" w:rsidRPr="00E2594C" w:rsidTr="001A683C">
        <w:tc>
          <w:tcPr>
            <w:tcW w:w="2329" w:type="dxa"/>
            <w:tcBorders>
              <w:top w:val="nil"/>
              <w:left w:val="single" w:sz="4" w:space="0" w:color="auto"/>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rPr>
                <w:color w:val="000000"/>
                <w:sz w:val="18"/>
                <w:szCs w:val="18"/>
              </w:rPr>
            </w:pPr>
            <w:r w:rsidRPr="00E2594C">
              <w:rPr>
                <w:color w:val="000000"/>
                <w:sz w:val="18"/>
                <w:szCs w:val="18"/>
              </w:rPr>
              <w:t>Self-Prepared</w:t>
            </w:r>
          </w:p>
        </w:tc>
        <w:tc>
          <w:tcPr>
            <w:tcW w:w="2431"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rPr>
                <w:color w:val="000000"/>
                <w:sz w:val="18"/>
                <w:szCs w:val="18"/>
              </w:rPr>
            </w:pPr>
            <w:r w:rsidRPr="00E2594C">
              <w:rPr>
                <w:color w:val="000000"/>
                <w:sz w:val="18"/>
                <w:szCs w:val="18"/>
              </w:rPr>
              <w:t xml:space="preserve"> $1,000,001 or more</w:t>
            </w:r>
          </w:p>
        </w:tc>
        <w:tc>
          <w:tcPr>
            <w:tcW w:w="154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18,489</w:t>
            </w:r>
          </w:p>
        </w:tc>
        <w:tc>
          <w:tcPr>
            <w:tcW w:w="158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460</w:t>
            </w:r>
          </w:p>
        </w:tc>
      </w:tr>
      <w:tr w:rsidR="00D01379" w:rsidRPr="00E2594C" w:rsidTr="001A683C">
        <w:tc>
          <w:tcPr>
            <w:tcW w:w="2329" w:type="dxa"/>
            <w:tcBorders>
              <w:top w:val="nil"/>
              <w:left w:val="single" w:sz="4" w:space="0" w:color="auto"/>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center"/>
              <w:rPr>
                <w:color w:val="000000"/>
                <w:sz w:val="18"/>
                <w:szCs w:val="18"/>
              </w:rPr>
            </w:pPr>
            <w:r w:rsidRPr="00E2594C">
              <w:rPr>
                <w:color w:val="000000"/>
                <w:sz w:val="18"/>
                <w:szCs w:val="18"/>
              </w:rPr>
              <w:t>Used a Paid Professional</w:t>
            </w:r>
          </w:p>
        </w:tc>
        <w:tc>
          <w:tcPr>
            <w:tcW w:w="2431"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rPr>
                <w:color w:val="000000"/>
                <w:sz w:val="18"/>
                <w:szCs w:val="18"/>
              </w:rPr>
            </w:pPr>
            <w:r w:rsidRPr="00E2594C">
              <w:rPr>
                <w:color w:val="000000"/>
                <w:sz w:val="18"/>
                <w:szCs w:val="18"/>
              </w:rPr>
              <w:t xml:space="preserve"> Equal to zero</w:t>
            </w:r>
          </w:p>
        </w:tc>
        <w:tc>
          <w:tcPr>
            <w:tcW w:w="154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6,273</w:t>
            </w:r>
          </w:p>
        </w:tc>
        <w:tc>
          <w:tcPr>
            <w:tcW w:w="158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344</w:t>
            </w:r>
          </w:p>
        </w:tc>
      </w:tr>
      <w:tr w:rsidR="00D01379" w:rsidRPr="00E2594C" w:rsidTr="001A683C">
        <w:tc>
          <w:tcPr>
            <w:tcW w:w="2329" w:type="dxa"/>
            <w:tcBorders>
              <w:top w:val="nil"/>
              <w:left w:val="single" w:sz="4" w:space="0" w:color="auto"/>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center"/>
              <w:rPr>
                <w:color w:val="000000"/>
                <w:sz w:val="18"/>
                <w:szCs w:val="18"/>
              </w:rPr>
            </w:pPr>
            <w:r w:rsidRPr="00E2594C">
              <w:rPr>
                <w:color w:val="000000"/>
                <w:sz w:val="18"/>
                <w:szCs w:val="18"/>
              </w:rPr>
              <w:t>Used a Paid Professional</w:t>
            </w:r>
          </w:p>
        </w:tc>
        <w:tc>
          <w:tcPr>
            <w:tcW w:w="2431"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rPr>
                <w:color w:val="000000"/>
                <w:sz w:val="18"/>
                <w:szCs w:val="18"/>
              </w:rPr>
            </w:pPr>
            <w:r w:rsidRPr="00E2594C">
              <w:rPr>
                <w:color w:val="000000"/>
                <w:sz w:val="18"/>
                <w:szCs w:val="18"/>
              </w:rPr>
              <w:t>$1 - $5,000</w:t>
            </w:r>
          </w:p>
        </w:tc>
        <w:tc>
          <w:tcPr>
            <w:tcW w:w="154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16,889</w:t>
            </w:r>
          </w:p>
        </w:tc>
        <w:tc>
          <w:tcPr>
            <w:tcW w:w="158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279</w:t>
            </w:r>
          </w:p>
        </w:tc>
      </w:tr>
      <w:tr w:rsidR="00D01379" w:rsidRPr="00E2594C" w:rsidTr="001A683C">
        <w:tc>
          <w:tcPr>
            <w:tcW w:w="2329" w:type="dxa"/>
            <w:tcBorders>
              <w:top w:val="nil"/>
              <w:left w:val="single" w:sz="4" w:space="0" w:color="auto"/>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center"/>
              <w:rPr>
                <w:color w:val="000000"/>
                <w:sz w:val="18"/>
                <w:szCs w:val="18"/>
              </w:rPr>
            </w:pPr>
            <w:r w:rsidRPr="00E2594C">
              <w:rPr>
                <w:color w:val="000000"/>
                <w:sz w:val="18"/>
                <w:szCs w:val="18"/>
              </w:rPr>
              <w:t>Used a Paid Professional</w:t>
            </w:r>
          </w:p>
        </w:tc>
        <w:tc>
          <w:tcPr>
            <w:tcW w:w="2431"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rPr>
                <w:color w:val="000000"/>
                <w:sz w:val="18"/>
                <w:szCs w:val="18"/>
              </w:rPr>
            </w:pPr>
            <w:r w:rsidRPr="00E2594C">
              <w:rPr>
                <w:color w:val="000000"/>
                <w:sz w:val="18"/>
                <w:szCs w:val="18"/>
              </w:rPr>
              <w:t>$5,001 – 50,000</w:t>
            </w:r>
          </w:p>
        </w:tc>
        <w:tc>
          <w:tcPr>
            <w:tcW w:w="154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80,604</w:t>
            </w:r>
          </w:p>
        </w:tc>
        <w:tc>
          <w:tcPr>
            <w:tcW w:w="158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354</w:t>
            </w:r>
          </w:p>
        </w:tc>
      </w:tr>
      <w:tr w:rsidR="00D01379" w:rsidRPr="00E2594C" w:rsidTr="001A683C">
        <w:tc>
          <w:tcPr>
            <w:tcW w:w="2329" w:type="dxa"/>
            <w:tcBorders>
              <w:top w:val="nil"/>
              <w:left w:val="single" w:sz="4" w:space="0" w:color="auto"/>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center"/>
              <w:rPr>
                <w:color w:val="000000"/>
                <w:sz w:val="18"/>
                <w:szCs w:val="18"/>
              </w:rPr>
            </w:pPr>
            <w:r w:rsidRPr="00E2594C">
              <w:rPr>
                <w:color w:val="000000"/>
                <w:sz w:val="18"/>
                <w:szCs w:val="18"/>
              </w:rPr>
              <w:t>Used a Paid Professional</w:t>
            </w:r>
          </w:p>
        </w:tc>
        <w:tc>
          <w:tcPr>
            <w:tcW w:w="2431"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rPr>
                <w:color w:val="000000"/>
                <w:sz w:val="18"/>
                <w:szCs w:val="18"/>
              </w:rPr>
            </w:pPr>
            <w:r w:rsidRPr="00E2594C">
              <w:rPr>
                <w:color w:val="000000"/>
                <w:sz w:val="18"/>
                <w:szCs w:val="18"/>
              </w:rPr>
              <w:t>$50,001 - $100,000</w:t>
            </w:r>
          </w:p>
        </w:tc>
        <w:tc>
          <w:tcPr>
            <w:tcW w:w="154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69,488</w:t>
            </w:r>
          </w:p>
        </w:tc>
        <w:tc>
          <w:tcPr>
            <w:tcW w:w="158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666</w:t>
            </w:r>
          </w:p>
        </w:tc>
      </w:tr>
      <w:tr w:rsidR="00D01379" w:rsidRPr="00E2594C" w:rsidTr="001A683C">
        <w:tc>
          <w:tcPr>
            <w:tcW w:w="2329" w:type="dxa"/>
            <w:tcBorders>
              <w:top w:val="nil"/>
              <w:left w:val="single" w:sz="4" w:space="0" w:color="auto"/>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center"/>
              <w:rPr>
                <w:color w:val="000000"/>
                <w:sz w:val="18"/>
                <w:szCs w:val="18"/>
              </w:rPr>
            </w:pPr>
            <w:r w:rsidRPr="00E2594C">
              <w:rPr>
                <w:color w:val="000000"/>
                <w:sz w:val="18"/>
                <w:szCs w:val="18"/>
              </w:rPr>
              <w:t>Used a Paid Professional</w:t>
            </w:r>
          </w:p>
        </w:tc>
        <w:tc>
          <w:tcPr>
            <w:tcW w:w="2431"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rPr>
                <w:color w:val="000000"/>
                <w:sz w:val="18"/>
                <w:szCs w:val="18"/>
              </w:rPr>
            </w:pPr>
            <w:r w:rsidRPr="00E2594C">
              <w:rPr>
                <w:color w:val="000000"/>
                <w:sz w:val="18"/>
                <w:szCs w:val="18"/>
              </w:rPr>
              <w:t>$100,001 - $500,000</w:t>
            </w:r>
          </w:p>
        </w:tc>
        <w:tc>
          <w:tcPr>
            <w:tcW w:w="154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134,164</w:t>
            </w:r>
          </w:p>
        </w:tc>
        <w:tc>
          <w:tcPr>
            <w:tcW w:w="158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2,153</w:t>
            </w:r>
          </w:p>
        </w:tc>
      </w:tr>
      <w:tr w:rsidR="00D01379" w:rsidRPr="00E2594C" w:rsidTr="001A683C">
        <w:tc>
          <w:tcPr>
            <w:tcW w:w="2329" w:type="dxa"/>
            <w:tcBorders>
              <w:top w:val="nil"/>
              <w:left w:val="single" w:sz="4" w:space="0" w:color="auto"/>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center"/>
              <w:rPr>
                <w:color w:val="000000"/>
                <w:sz w:val="18"/>
                <w:szCs w:val="18"/>
              </w:rPr>
            </w:pPr>
            <w:r w:rsidRPr="00E2594C">
              <w:rPr>
                <w:color w:val="000000"/>
                <w:sz w:val="18"/>
                <w:szCs w:val="18"/>
              </w:rPr>
              <w:t>Used a Paid Professional</w:t>
            </w:r>
          </w:p>
        </w:tc>
        <w:tc>
          <w:tcPr>
            <w:tcW w:w="2431"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rPr>
                <w:color w:val="000000"/>
                <w:sz w:val="18"/>
                <w:szCs w:val="18"/>
              </w:rPr>
            </w:pPr>
            <w:r w:rsidRPr="00E2594C">
              <w:rPr>
                <w:color w:val="000000"/>
                <w:sz w:val="18"/>
                <w:szCs w:val="18"/>
              </w:rPr>
              <w:t>$500,001 - $1,000,000</w:t>
            </w:r>
          </w:p>
        </w:tc>
        <w:tc>
          <w:tcPr>
            <w:tcW w:w="154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41,783</w:t>
            </w:r>
          </w:p>
        </w:tc>
        <w:tc>
          <w:tcPr>
            <w:tcW w:w="158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651</w:t>
            </w:r>
          </w:p>
        </w:tc>
      </w:tr>
      <w:tr w:rsidR="00D01379" w:rsidRPr="00E2594C" w:rsidTr="001A683C">
        <w:tc>
          <w:tcPr>
            <w:tcW w:w="2329" w:type="dxa"/>
            <w:tcBorders>
              <w:top w:val="nil"/>
              <w:left w:val="single" w:sz="4" w:space="0" w:color="auto"/>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center"/>
              <w:rPr>
                <w:color w:val="000000"/>
                <w:sz w:val="18"/>
                <w:szCs w:val="18"/>
              </w:rPr>
            </w:pPr>
            <w:r w:rsidRPr="00E2594C">
              <w:rPr>
                <w:color w:val="000000"/>
                <w:sz w:val="18"/>
                <w:szCs w:val="18"/>
              </w:rPr>
              <w:t>Used a Paid Professional</w:t>
            </w:r>
          </w:p>
        </w:tc>
        <w:tc>
          <w:tcPr>
            <w:tcW w:w="2431"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rPr>
                <w:color w:val="000000"/>
                <w:sz w:val="18"/>
                <w:szCs w:val="18"/>
              </w:rPr>
            </w:pPr>
            <w:r w:rsidRPr="00E2594C">
              <w:rPr>
                <w:color w:val="000000"/>
                <w:sz w:val="18"/>
                <w:szCs w:val="18"/>
              </w:rPr>
              <w:t>$1,000,001 - $5,000,000</w:t>
            </w:r>
          </w:p>
        </w:tc>
        <w:tc>
          <w:tcPr>
            <w:tcW w:w="154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55,838</w:t>
            </w:r>
          </w:p>
        </w:tc>
        <w:tc>
          <w:tcPr>
            <w:tcW w:w="158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2,839</w:t>
            </w:r>
          </w:p>
        </w:tc>
      </w:tr>
      <w:tr w:rsidR="00D01379" w:rsidRPr="00E2594C" w:rsidTr="001A683C">
        <w:tc>
          <w:tcPr>
            <w:tcW w:w="2329" w:type="dxa"/>
            <w:tcBorders>
              <w:top w:val="nil"/>
              <w:left w:val="single" w:sz="4" w:space="0" w:color="auto"/>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center"/>
              <w:rPr>
                <w:color w:val="000000"/>
                <w:sz w:val="18"/>
                <w:szCs w:val="18"/>
              </w:rPr>
            </w:pPr>
            <w:r w:rsidRPr="00E2594C">
              <w:rPr>
                <w:color w:val="000000"/>
                <w:sz w:val="18"/>
                <w:szCs w:val="18"/>
              </w:rPr>
              <w:t>Used a Paid Professional</w:t>
            </w:r>
          </w:p>
        </w:tc>
        <w:tc>
          <w:tcPr>
            <w:tcW w:w="2431"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rPr>
                <w:color w:val="000000"/>
                <w:sz w:val="18"/>
                <w:szCs w:val="18"/>
              </w:rPr>
            </w:pPr>
            <w:r w:rsidRPr="00E2594C">
              <w:rPr>
                <w:color w:val="000000"/>
                <w:sz w:val="18"/>
                <w:szCs w:val="18"/>
              </w:rPr>
              <w:t>$5,000,001 - $10,000,000</w:t>
            </w:r>
          </w:p>
        </w:tc>
        <w:tc>
          <w:tcPr>
            <w:tcW w:w="154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12,481</w:t>
            </w:r>
          </w:p>
        </w:tc>
        <w:tc>
          <w:tcPr>
            <w:tcW w:w="158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626</w:t>
            </w:r>
          </w:p>
        </w:tc>
      </w:tr>
      <w:tr w:rsidR="00D01379" w:rsidRPr="00E2594C" w:rsidTr="001A683C">
        <w:tc>
          <w:tcPr>
            <w:tcW w:w="2329" w:type="dxa"/>
            <w:tcBorders>
              <w:top w:val="nil"/>
              <w:left w:val="single" w:sz="4" w:space="0" w:color="auto"/>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center"/>
              <w:rPr>
                <w:color w:val="000000"/>
                <w:sz w:val="18"/>
                <w:szCs w:val="18"/>
              </w:rPr>
            </w:pPr>
            <w:r w:rsidRPr="00E2594C">
              <w:rPr>
                <w:color w:val="000000"/>
                <w:sz w:val="18"/>
                <w:szCs w:val="18"/>
              </w:rPr>
              <w:t>Used a Paid Professional</w:t>
            </w:r>
          </w:p>
        </w:tc>
        <w:tc>
          <w:tcPr>
            <w:tcW w:w="2431"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rPr>
                <w:color w:val="000000"/>
                <w:sz w:val="18"/>
                <w:szCs w:val="18"/>
              </w:rPr>
            </w:pPr>
            <w:r w:rsidRPr="00E2594C">
              <w:rPr>
                <w:color w:val="000000"/>
                <w:sz w:val="18"/>
                <w:szCs w:val="18"/>
              </w:rPr>
              <w:t>$10,000,001 or more</w:t>
            </w:r>
          </w:p>
        </w:tc>
        <w:tc>
          <w:tcPr>
            <w:tcW w:w="154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19,014</w:t>
            </w:r>
          </w:p>
        </w:tc>
        <w:tc>
          <w:tcPr>
            <w:tcW w:w="1580" w:type="dxa"/>
            <w:tcBorders>
              <w:top w:val="nil"/>
              <w:left w:val="nil"/>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1,812</w:t>
            </w:r>
          </w:p>
        </w:tc>
      </w:tr>
      <w:tr w:rsidR="00D01379" w:rsidRPr="00E2594C" w:rsidTr="001A683C">
        <w:tc>
          <w:tcPr>
            <w:tcW w:w="2329" w:type="dxa"/>
            <w:tcBorders>
              <w:top w:val="nil"/>
              <w:left w:val="nil"/>
              <w:bottom w:val="nil"/>
              <w:right w:val="nil"/>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p>
        </w:tc>
        <w:tc>
          <w:tcPr>
            <w:tcW w:w="2431" w:type="dxa"/>
            <w:tcBorders>
              <w:top w:val="nil"/>
              <w:left w:val="nil"/>
              <w:bottom w:val="nil"/>
              <w:right w:val="nil"/>
            </w:tcBorders>
            <w:shd w:val="clear" w:color="auto" w:fill="auto"/>
            <w:noWrap/>
            <w:vAlign w:val="bottom"/>
            <w:hideMark/>
          </w:tcPr>
          <w:p w:rsidR="00D01379" w:rsidRPr="00E2594C" w:rsidRDefault="00D01379" w:rsidP="001A683C">
            <w:pPr>
              <w:widowControl/>
              <w:autoSpaceDE/>
              <w:autoSpaceDN/>
              <w:adjustRightInd/>
              <w:rPr>
                <w:sz w:val="18"/>
                <w:szCs w:val="18"/>
              </w:rPr>
            </w:pPr>
          </w:p>
        </w:tc>
        <w:tc>
          <w:tcPr>
            <w:tcW w:w="1540" w:type="dxa"/>
            <w:tcBorders>
              <w:top w:val="nil"/>
              <w:left w:val="nil"/>
              <w:bottom w:val="nil"/>
              <w:right w:val="nil"/>
            </w:tcBorders>
            <w:shd w:val="clear" w:color="auto" w:fill="auto"/>
            <w:noWrap/>
            <w:vAlign w:val="bottom"/>
            <w:hideMark/>
          </w:tcPr>
          <w:p w:rsidR="00D01379" w:rsidRPr="00E2594C" w:rsidRDefault="00D01379" w:rsidP="001A683C">
            <w:pPr>
              <w:widowControl/>
              <w:autoSpaceDE/>
              <w:autoSpaceDN/>
              <w:adjustRightInd/>
              <w:rPr>
                <w:sz w:val="18"/>
                <w:szCs w:val="18"/>
              </w:rPr>
            </w:pP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01379" w:rsidRPr="00E2594C" w:rsidRDefault="00D01379" w:rsidP="001A683C">
            <w:pPr>
              <w:widowControl/>
              <w:autoSpaceDE/>
              <w:autoSpaceDN/>
              <w:adjustRightInd/>
              <w:jc w:val="right"/>
              <w:rPr>
                <w:color w:val="000000"/>
                <w:sz w:val="18"/>
                <w:szCs w:val="18"/>
              </w:rPr>
            </w:pPr>
            <w:r w:rsidRPr="00E2594C">
              <w:rPr>
                <w:color w:val="000000"/>
                <w:sz w:val="18"/>
                <w:szCs w:val="18"/>
              </w:rPr>
              <w:t>12,000</w:t>
            </w:r>
          </w:p>
        </w:tc>
      </w:tr>
    </w:tbl>
    <w:p w:rsidR="00D01379" w:rsidRDefault="00D01379" w:rsidP="005329CE">
      <w:pPr>
        <w:pStyle w:val="ListParagraph"/>
        <w:widowControl w:val="0"/>
        <w:autoSpaceDE w:val="0"/>
        <w:autoSpaceDN w:val="0"/>
        <w:adjustRightInd w:val="0"/>
        <w:ind w:left="0"/>
        <w:rPr>
          <w:b/>
          <w:bCs/>
          <w:sz w:val="18"/>
          <w:szCs w:val="18"/>
        </w:rPr>
      </w:pPr>
    </w:p>
    <w:p w:rsidR="005329CE" w:rsidRPr="00E2594C" w:rsidRDefault="005329CE" w:rsidP="005329CE">
      <w:pPr>
        <w:pStyle w:val="ListParagraph"/>
        <w:widowControl w:val="0"/>
        <w:autoSpaceDE w:val="0"/>
        <w:autoSpaceDN w:val="0"/>
        <w:adjustRightInd w:val="0"/>
        <w:ind w:left="0"/>
        <w:rPr>
          <w:b/>
          <w:bCs/>
          <w:sz w:val="18"/>
          <w:szCs w:val="18"/>
        </w:rPr>
      </w:pPr>
      <w:r w:rsidRPr="00E2594C">
        <w:rPr>
          <w:b/>
          <w:bCs/>
          <w:sz w:val="18"/>
          <w:szCs w:val="18"/>
        </w:rPr>
        <w:t xml:space="preserve">Table </w:t>
      </w:r>
      <w:r w:rsidR="00034131">
        <w:rPr>
          <w:b/>
          <w:bCs/>
          <w:sz w:val="18"/>
          <w:szCs w:val="18"/>
        </w:rPr>
        <w:t>7</w:t>
      </w:r>
      <w:r w:rsidR="00034131" w:rsidRPr="00E2594C">
        <w:rPr>
          <w:b/>
          <w:bCs/>
          <w:sz w:val="18"/>
          <w:szCs w:val="18"/>
        </w:rPr>
        <w:t xml:space="preserve"> –</w:t>
      </w:r>
      <w:r w:rsidRPr="00E2594C">
        <w:rPr>
          <w:b/>
          <w:bCs/>
          <w:sz w:val="18"/>
          <w:szCs w:val="18"/>
        </w:rPr>
        <w:t xml:space="preserve"> Tax Year 2013 Employment Tax Burden Survey</w:t>
      </w:r>
    </w:p>
    <w:tbl>
      <w:tblPr>
        <w:tblW w:w="8471" w:type="dxa"/>
        <w:tblInd w:w="108" w:type="dxa"/>
        <w:tblLook w:val="04A0" w:firstRow="1" w:lastRow="0" w:firstColumn="1" w:lastColumn="0" w:noHBand="0" w:noVBand="1"/>
      </w:tblPr>
      <w:tblGrid>
        <w:gridCol w:w="1360"/>
        <w:gridCol w:w="1560"/>
        <w:gridCol w:w="1840"/>
        <w:gridCol w:w="606"/>
        <w:gridCol w:w="1540"/>
        <w:gridCol w:w="1580"/>
      </w:tblGrid>
      <w:tr w:rsidR="005329CE" w:rsidRPr="00E2594C" w:rsidTr="00E2594C">
        <w:tc>
          <w:tcPr>
            <w:tcW w:w="535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329CE" w:rsidRPr="00E2594C" w:rsidRDefault="005329CE" w:rsidP="00E2594C">
            <w:pPr>
              <w:widowControl/>
              <w:autoSpaceDE/>
              <w:autoSpaceDN/>
              <w:adjustRightInd/>
              <w:jc w:val="center"/>
              <w:rPr>
                <w:sz w:val="18"/>
                <w:szCs w:val="18"/>
              </w:rPr>
            </w:pPr>
            <w:r w:rsidRPr="00E2594C">
              <w:rPr>
                <w:sz w:val="18"/>
                <w:szCs w:val="18"/>
              </w:rPr>
              <w:t>Strata</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sz w:val="18"/>
                <w:szCs w:val="18"/>
              </w:rPr>
            </w:pPr>
            <w:r w:rsidRPr="00E2594C">
              <w:rPr>
                <w:sz w:val="18"/>
                <w:szCs w:val="18"/>
              </w:rPr>
              <w:t>Population Count</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sz w:val="18"/>
                <w:szCs w:val="18"/>
              </w:rPr>
            </w:pPr>
            <w:r w:rsidRPr="00E2594C">
              <w:rPr>
                <w:sz w:val="18"/>
                <w:szCs w:val="18"/>
              </w:rPr>
              <w:t>Sample Allocation</w:t>
            </w:r>
          </w:p>
        </w:tc>
      </w:tr>
      <w:tr w:rsidR="005329CE" w:rsidRPr="00E2594C" w:rsidTr="00E2594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Primary Form</w:t>
            </w: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Number of W2s</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 xml:space="preserve">Share with </w:t>
            </w:r>
            <w:r w:rsidR="005C5EB9" w:rsidRPr="00E2594C">
              <w:rPr>
                <w:color w:val="000000"/>
                <w:sz w:val="18"/>
                <w:szCs w:val="18"/>
              </w:rPr>
              <w:t>Benefits</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Tips</w:t>
            </w: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r>
      <w:tr w:rsidR="005329CE" w:rsidRPr="00E2594C" w:rsidTr="00E2594C">
        <w:tc>
          <w:tcPr>
            <w:tcW w:w="136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Form 941</w:t>
            </w: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1 to 4</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None</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ANY</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1,846,642</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1,755</w:t>
            </w:r>
          </w:p>
        </w:tc>
      </w:tr>
      <w:tr w:rsidR="005329CE" w:rsidRPr="00E2594C" w:rsidTr="00E2594C">
        <w:tc>
          <w:tcPr>
            <w:tcW w:w="1360" w:type="dxa"/>
            <w:vMerge/>
            <w:tcBorders>
              <w:top w:val="nil"/>
              <w:left w:val="single" w:sz="4" w:space="0" w:color="auto"/>
              <w:bottom w:val="single" w:sz="4" w:space="0" w:color="000000"/>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5 to 19</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None</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ANY</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768,328</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638</w:t>
            </w:r>
          </w:p>
        </w:tc>
      </w:tr>
      <w:tr w:rsidR="005329CE" w:rsidRPr="00E2594C" w:rsidTr="00E2594C">
        <w:tc>
          <w:tcPr>
            <w:tcW w:w="1360" w:type="dxa"/>
            <w:vMerge/>
            <w:tcBorders>
              <w:top w:val="nil"/>
              <w:left w:val="single" w:sz="4" w:space="0" w:color="auto"/>
              <w:bottom w:val="single" w:sz="4" w:space="0" w:color="000000"/>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20 to 99</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None</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271,569</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413</w:t>
            </w:r>
          </w:p>
        </w:tc>
      </w:tr>
      <w:tr w:rsidR="005329CE" w:rsidRPr="00E2594C" w:rsidTr="00E2594C">
        <w:tc>
          <w:tcPr>
            <w:tcW w:w="1360" w:type="dxa"/>
            <w:vMerge/>
            <w:tcBorders>
              <w:top w:val="nil"/>
              <w:left w:val="single" w:sz="4" w:space="0" w:color="auto"/>
              <w:bottom w:val="single" w:sz="4" w:space="0" w:color="000000"/>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100 to 299</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None</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23,184</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335</w:t>
            </w:r>
          </w:p>
        </w:tc>
      </w:tr>
      <w:tr w:rsidR="005329CE" w:rsidRPr="00E2594C" w:rsidTr="00E2594C">
        <w:tc>
          <w:tcPr>
            <w:tcW w:w="1360" w:type="dxa"/>
            <w:vMerge/>
            <w:tcBorders>
              <w:top w:val="nil"/>
              <w:left w:val="single" w:sz="4" w:space="0" w:color="auto"/>
              <w:bottom w:val="single" w:sz="4" w:space="0" w:color="000000"/>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300 to 999</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None</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3,664</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299</w:t>
            </w:r>
          </w:p>
        </w:tc>
      </w:tr>
      <w:tr w:rsidR="005329CE" w:rsidRPr="00E2594C" w:rsidTr="00E2594C">
        <w:tc>
          <w:tcPr>
            <w:tcW w:w="1360" w:type="dxa"/>
            <w:vMerge/>
            <w:tcBorders>
              <w:top w:val="nil"/>
              <w:left w:val="single" w:sz="4" w:space="0" w:color="auto"/>
              <w:bottom w:val="single" w:sz="4" w:space="0" w:color="000000"/>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Over 1000</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None</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792</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300</w:t>
            </w:r>
          </w:p>
        </w:tc>
      </w:tr>
      <w:tr w:rsidR="005329CE" w:rsidRPr="00E2594C" w:rsidTr="00E2594C">
        <w:tc>
          <w:tcPr>
            <w:tcW w:w="1360" w:type="dxa"/>
            <w:vMerge/>
            <w:tcBorders>
              <w:top w:val="nil"/>
              <w:left w:val="single" w:sz="4" w:space="0" w:color="auto"/>
              <w:bottom w:val="single" w:sz="4" w:space="0" w:color="000000"/>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1 to 19</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Less Than 10%</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410,266</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567</w:t>
            </w:r>
          </w:p>
        </w:tc>
      </w:tr>
      <w:tr w:rsidR="005329CE" w:rsidRPr="00E2594C" w:rsidTr="00E2594C">
        <w:tc>
          <w:tcPr>
            <w:tcW w:w="1360" w:type="dxa"/>
            <w:vMerge/>
            <w:tcBorders>
              <w:top w:val="nil"/>
              <w:left w:val="single" w:sz="4" w:space="0" w:color="auto"/>
              <w:bottom w:val="single" w:sz="4" w:space="0" w:color="000000"/>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20 to 99</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Less Than 10%</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252,724</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413</w:t>
            </w:r>
          </w:p>
        </w:tc>
      </w:tr>
      <w:tr w:rsidR="005329CE" w:rsidRPr="00E2594C" w:rsidTr="00E2594C">
        <w:tc>
          <w:tcPr>
            <w:tcW w:w="1360" w:type="dxa"/>
            <w:vMerge/>
            <w:tcBorders>
              <w:top w:val="nil"/>
              <w:left w:val="single" w:sz="4" w:space="0" w:color="auto"/>
              <w:bottom w:val="single" w:sz="4" w:space="0" w:color="000000"/>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100 to 299</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Less Than 10%</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56,339</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335</w:t>
            </w:r>
          </w:p>
        </w:tc>
      </w:tr>
      <w:tr w:rsidR="005329CE" w:rsidRPr="00E2594C" w:rsidTr="00E2594C">
        <w:tc>
          <w:tcPr>
            <w:tcW w:w="1360" w:type="dxa"/>
            <w:vMerge/>
            <w:tcBorders>
              <w:top w:val="nil"/>
              <w:left w:val="single" w:sz="4" w:space="0" w:color="auto"/>
              <w:bottom w:val="single" w:sz="4" w:space="0" w:color="000000"/>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300 to 999</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Less Than 10%</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11,699</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302</w:t>
            </w:r>
          </w:p>
        </w:tc>
      </w:tr>
      <w:tr w:rsidR="005329CE" w:rsidRPr="00E2594C" w:rsidTr="00E2594C">
        <w:tc>
          <w:tcPr>
            <w:tcW w:w="1360" w:type="dxa"/>
            <w:vMerge/>
            <w:tcBorders>
              <w:top w:val="nil"/>
              <w:left w:val="single" w:sz="4" w:space="0" w:color="auto"/>
              <w:bottom w:val="single" w:sz="4" w:space="0" w:color="000000"/>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Over 1000</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Less Than 10%</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3,192</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314</w:t>
            </w:r>
          </w:p>
        </w:tc>
      </w:tr>
      <w:tr w:rsidR="005329CE" w:rsidRPr="00E2594C" w:rsidTr="00E2594C">
        <w:tc>
          <w:tcPr>
            <w:tcW w:w="1360" w:type="dxa"/>
            <w:vMerge/>
            <w:tcBorders>
              <w:top w:val="nil"/>
              <w:left w:val="single" w:sz="4" w:space="0" w:color="auto"/>
              <w:bottom w:val="single" w:sz="4" w:space="0" w:color="000000"/>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1 to 19</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Greater Than 10%</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167,492</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567</w:t>
            </w:r>
          </w:p>
        </w:tc>
      </w:tr>
      <w:tr w:rsidR="005329CE" w:rsidRPr="00E2594C" w:rsidTr="00E2594C">
        <w:tc>
          <w:tcPr>
            <w:tcW w:w="1360" w:type="dxa"/>
            <w:vMerge/>
            <w:tcBorders>
              <w:top w:val="nil"/>
              <w:left w:val="single" w:sz="4" w:space="0" w:color="auto"/>
              <w:bottom w:val="single" w:sz="4" w:space="0" w:color="000000"/>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20 to 99</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Greater Than 10%</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20,499</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412</w:t>
            </w:r>
          </w:p>
        </w:tc>
      </w:tr>
      <w:tr w:rsidR="005329CE" w:rsidRPr="00E2594C" w:rsidTr="00E2594C">
        <w:tc>
          <w:tcPr>
            <w:tcW w:w="1360" w:type="dxa"/>
            <w:vMerge/>
            <w:tcBorders>
              <w:top w:val="nil"/>
              <w:left w:val="single" w:sz="4" w:space="0" w:color="auto"/>
              <w:bottom w:val="single" w:sz="4" w:space="0" w:color="000000"/>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100 to 299</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Greater Than 10%</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10,684</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334</w:t>
            </w:r>
          </w:p>
        </w:tc>
      </w:tr>
      <w:tr w:rsidR="005329CE" w:rsidRPr="00E2594C" w:rsidTr="00E2594C">
        <w:tc>
          <w:tcPr>
            <w:tcW w:w="1360" w:type="dxa"/>
            <w:vMerge/>
            <w:tcBorders>
              <w:top w:val="nil"/>
              <w:left w:val="single" w:sz="4" w:space="0" w:color="auto"/>
              <w:bottom w:val="single" w:sz="4" w:space="0" w:color="000000"/>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300 to 999</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Greater Than 10%</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11,572</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303</w:t>
            </w:r>
          </w:p>
        </w:tc>
      </w:tr>
      <w:tr w:rsidR="005329CE" w:rsidRPr="00E2594C" w:rsidTr="00E2594C">
        <w:tc>
          <w:tcPr>
            <w:tcW w:w="1360" w:type="dxa"/>
            <w:vMerge/>
            <w:tcBorders>
              <w:top w:val="nil"/>
              <w:left w:val="single" w:sz="4" w:space="0" w:color="auto"/>
              <w:bottom w:val="single" w:sz="4" w:space="0" w:color="000000"/>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Over 1000</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Greater Than 10%</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NO</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4,839</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316</w:t>
            </w:r>
          </w:p>
        </w:tc>
      </w:tr>
      <w:tr w:rsidR="005329CE" w:rsidRPr="00E2594C" w:rsidTr="00E2594C">
        <w:tc>
          <w:tcPr>
            <w:tcW w:w="1360" w:type="dxa"/>
            <w:vMerge/>
            <w:tcBorders>
              <w:top w:val="nil"/>
              <w:left w:val="single" w:sz="4" w:space="0" w:color="auto"/>
              <w:bottom w:val="single" w:sz="4" w:space="0" w:color="000000"/>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1 to 19</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ANY</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YES</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82,030</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567</w:t>
            </w:r>
          </w:p>
        </w:tc>
      </w:tr>
      <w:tr w:rsidR="005329CE" w:rsidRPr="00E2594C" w:rsidTr="00E2594C">
        <w:tc>
          <w:tcPr>
            <w:tcW w:w="1360" w:type="dxa"/>
            <w:vMerge/>
            <w:tcBorders>
              <w:top w:val="nil"/>
              <w:left w:val="single" w:sz="4" w:space="0" w:color="auto"/>
              <w:bottom w:val="single" w:sz="4" w:space="0" w:color="000000"/>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20 to 99</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ANY</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YES</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90,295</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413</w:t>
            </w:r>
          </w:p>
        </w:tc>
      </w:tr>
      <w:tr w:rsidR="005329CE" w:rsidRPr="00E2594C" w:rsidTr="00E2594C">
        <w:tc>
          <w:tcPr>
            <w:tcW w:w="1360" w:type="dxa"/>
            <w:vMerge/>
            <w:tcBorders>
              <w:top w:val="nil"/>
              <w:left w:val="single" w:sz="4" w:space="0" w:color="auto"/>
              <w:bottom w:val="single" w:sz="4" w:space="0" w:color="000000"/>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100 to 299</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ANY</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YES</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14,041</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334</w:t>
            </w:r>
          </w:p>
        </w:tc>
      </w:tr>
      <w:tr w:rsidR="005329CE" w:rsidRPr="00E2594C" w:rsidTr="00E2594C">
        <w:tc>
          <w:tcPr>
            <w:tcW w:w="1360" w:type="dxa"/>
            <w:vMerge/>
            <w:tcBorders>
              <w:top w:val="nil"/>
              <w:left w:val="single" w:sz="4" w:space="0" w:color="auto"/>
              <w:bottom w:val="single" w:sz="4" w:space="0" w:color="000000"/>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300 to 999</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ANY</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YES</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2,198</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297</w:t>
            </w:r>
          </w:p>
        </w:tc>
      </w:tr>
      <w:tr w:rsidR="005329CE" w:rsidRPr="00E2594C" w:rsidTr="00E2594C">
        <w:tc>
          <w:tcPr>
            <w:tcW w:w="1360" w:type="dxa"/>
            <w:vMerge/>
            <w:tcBorders>
              <w:top w:val="nil"/>
              <w:left w:val="single" w:sz="4" w:space="0" w:color="auto"/>
              <w:bottom w:val="single" w:sz="4" w:space="0" w:color="000000"/>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Over 1000</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ANY</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YES</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924</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305</w:t>
            </w:r>
          </w:p>
        </w:tc>
      </w:tr>
      <w:tr w:rsidR="005329CE" w:rsidRPr="00E2594C" w:rsidTr="00E2594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Form 944</w:t>
            </w: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ANY</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ANY</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ANY</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31,693</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318</w:t>
            </w:r>
          </w:p>
        </w:tc>
      </w:tr>
      <w:tr w:rsidR="005329CE" w:rsidRPr="00E2594C" w:rsidTr="00E2594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Form 943</w:t>
            </w:r>
          </w:p>
        </w:tc>
        <w:tc>
          <w:tcPr>
            <w:tcW w:w="156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ANY</w:t>
            </w:r>
          </w:p>
        </w:tc>
        <w:tc>
          <w:tcPr>
            <w:tcW w:w="18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ANY</w:t>
            </w:r>
          </w:p>
        </w:tc>
        <w:tc>
          <w:tcPr>
            <w:tcW w:w="591"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ANY</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75,426</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271</w:t>
            </w:r>
          </w:p>
        </w:tc>
      </w:tr>
      <w:tr w:rsidR="005329CE" w:rsidRPr="00E2594C" w:rsidTr="00E2594C">
        <w:tc>
          <w:tcPr>
            <w:tcW w:w="1360" w:type="dxa"/>
            <w:tcBorders>
              <w:top w:val="nil"/>
              <w:left w:val="nil"/>
              <w:bottom w:val="nil"/>
              <w:right w:val="nil"/>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p>
        </w:tc>
        <w:tc>
          <w:tcPr>
            <w:tcW w:w="1560" w:type="dxa"/>
            <w:tcBorders>
              <w:top w:val="nil"/>
              <w:left w:val="nil"/>
              <w:bottom w:val="nil"/>
              <w:right w:val="nil"/>
            </w:tcBorders>
            <w:shd w:val="clear" w:color="auto" w:fill="auto"/>
            <w:noWrap/>
            <w:vAlign w:val="bottom"/>
            <w:hideMark/>
          </w:tcPr>
          <w:p w:rsidR="005329CE" w:rsidRPr="00E2594C" w:rsidRDefault="005329CE" w:rsidP="00E2594C">
            <w:pPr>
              <w:widowControl/>
              <w:autoSpaceDE/>
              <w:autoSpaceDN/>
              <w:adjustRightInd/>
              <w:rPr>
                <w:sz w:val="18"/>
                <w:szCs w:val="18"/>
              </w:rPr>
            </w:pPr>
          </w:p>
        </w:tc>
        <w:tc>
          <w:tcPr>
            <w:tcW w:w="1840" w:type="dxa"/>
            <w:tcBorders>
              <w:top w:val="nil"/>
              <w:left w:val="nil"/>
              <w:bottom w:val="nil"/>
              <w:right w:val="nil"/>
            </w:tcBorders>
            <w:shd w:val="clear" w:color="auto" w:fill="auto"/>
            <w:noWrap/>
            <w:vAlign w:val="bottom"/>
            <w:hideMark/>
          </w:tcPr>
          <w:p w:rsidR="005329CE" w:rsidRPr="00E2594C" w:rsidRDefault="005329CE" w:rsidP="00E2594C">
            <w:pPr>
              <w:widowControl/>
              <w:autoSpaceDE/>
              <w:autoSpaceDN/>
              <w:adjustRightInd/>
              <w:rPr>
                <w:sz w:val="18"/>
                <w:szCs w:val="18"/>
              </w:rPr>
            </w:pPr>
          </w:p>
        </w:tc>
        <w:tc>
          <w:tcPr>
            <w:tcW w:w="591" w:type="dxa"/>
            <w:tcBorders>
              <w:top w:val="nil"/>
              <w:left w:val="nil"/>
              <w:bottom w:val="nil"/>
              <w:right w:val="nil"/>
            </w:tcBorders>
            <w:shd w:val="clear" w:color="auto" w:fill="auto"/>
            <w:noWrap/>
            <w:vAlign w:val="bottom"/>
            <w:hideMark/>
          </w:tcPr>
          <w:p w:rsidR="005329CE" w:rsidRPr="00E2594C" w:rsidRDefault="005329CE" w:rsidP="00E2594C">
            <w:pPr>
              <w:widowControl/>
              <w:autoSpaceDE/>
              <w:autoSpaceDN/>
              <w:adjustRightInd/>
              <w:rPr>
                <w:sz w:val="18"/>
                <w:szCs w:val="18"/>
              </w:rPr>
            </w:pPr>
          </w:p>
        </w:tc>
        <w:tc>
          <w:tcPr>
            <w:tcW w:w="1540" w:type="dxa"/>
            <w:tcBorders>
              <w:top w:val="nil"/>
              <w:left w:val="nil"/>
              <w:bottom w:val="nil"/>
              <w:right w:val="nil"/>
            </w:tcBorders>
            <w:shd w:val="clear" w:color="auto" w:fill="auto"/>
            <w:noWrap/>
            <w:vAlign w:val="bottom"/>
            <w:hideMark/>
          </w:tcPr>
          <w:p w:rsidR="005329CE" w:rsidRPr="00E2594C" w:rsidRDefault="005329CE" w:rsidP="00E2594C">
            <w:pPr>
              <w:widowControl/>
              <w:autoSpaceDE/>
              <w:autoSpaceDN/>
              <w:adjustRightInd/>
              <w:rPr>
                <w:sz w:val="18"/>
                <w:szCs w:val="18"/>
              </w:rPr>
            </w:pP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10,108</w:t>
            </w:r>
          </w:p>
        </w:tc>
      </w:tr>
    </w:tbl>
    <w:p w:rsidR="005329CE" w:rsidRPr="00E2594C" w:rsidRDefault="005329CE" w:rsidP="005329CE">
      <w:pPr>
        <w:pStyle w:val="ListParagraph"/>
        <w:widowControl w:val="0"/>
        <w:autoSpaceDE w:val="0"/>
        <w:autoSpaceDN w:val="0"/>
        <w:adjustRightInd w:val="0"/>
        <w:ind w:left="0"/>
        <w:rPr>
          <w:b/>
          <w:bCs/>
          <w:sz w:val="18"/>
          <w:szCs w:val="18"/>
        </w:rPr>
      </w:pPr>
    </w:p>
    <w:p w:rsidR="005329CE" w:rsidRPr="00E2594C" w:rsidRDefault="005329CE" w:rsidP="005329CE">
      <w:pPr>
        <w:pStyle w:val="ListParagraph"/>
        <w:widowControl w:val="0"/>
        <w:autoSpaceDE w:val="0"/>
        <w:autoSpaceDN w:val="0"/>
        <w:adjustRightInd w:val="0"/>
        <w:ind w:left="0"/>
        <w:rPr>
          <w:b/>
          <w:bCs/>
          <w:sz w:val="18"/>
          <w:szCs w:val="18"/>
        </w:rPr>
      </w:pPr>
    </w:p>
    <w:p w:rsidR="005329CE" w:rsidRPr="00E2594C" w:rsidRDefault="005329CE" w:rsidP="005329CE">
      <w:pPr>
        <w:pStyle w:val="ListParagraph"/>
        <w:widowControl w:val="0"/>
        <w:autoSpaceDE w:val="0"/>
        <w:autoSpaceDN w:val="0"/>
        <w:adjustRightInd w:val="0"/>
        <w:ind w:left="0"/>
        <w:rPr>
          <w:b/>
          <w:bCs/>
          <w:sz w:val="18"/>
          <w:szCs w:val="18"/>
        </w:rPr>
      </w:pPr>
      <w:r w:rsidRPr="00E2594C">
        <w:rPr>
          <w:b/>
          <w:bCs/>
          <w:sz w:val="18"/>
          <w:szCs w:val="18"/>
        </w:rPr>
        <w:t>Table 8 – Tax Year 2016 Trust and Estate Income Tax Return</w:t>
      </w:r>
    </w:p>
    <w:tbl>
      <w:tblPr>
        <w:tblW w:w="8840" w:type="dxa"/>
        <w:tblInd w:w="113" w:type="dxa"/>
        <w:tblLook w:val="04A0" w:firstRow="1" w:lastRow="0" w:firstColumn="1" w:lastColumn="0" w:noHBand="0" w:noVBand="1"/>
      </w:tblPr>
      <w:tblGrid>
        <w:gridCol w:w="4591"/>
        <w:gridCol w:w="1129"/>
        <w:gridCol w:w="1540"/>
        <w:gridCol w:w="1580"/>
      </w:tblGrid>
      <w:tr w:rsidR="005329CE" w:rsidRPr="00E2594C" w:rsidTr="00E2594C">
        <w:tc>
          <w:tcPr>
            <w:tcW w:w="5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center"/>
              <w:rPr>
                <w:color w:val="000000"/>
                <w:sz w:val="18"/>
                <w:szCs w:val="18"/>
              </w:rPr>
            </w:pPr>
            <w:r w:rsidRPr="00E2594C">
              <w:rPr>
                <w:color w:val="000000"/>
                <w:sz w:val="18"/>
                <w:szCs w:val="18"/>
              </w:rPr>
              <w:t>Strata</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sz w:val="18"/>
                <w:szCs w:val="18"/>
              </w:rPr>
            </w:pPr>
            <w:r w:rsidRPr="00E2594C">
              <w:rPr>
                <w:sz w:val="18"/>
                <w:szCs w:val="18"/>
              </w:rPr>
              <w:t>Population Count</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29CE" w:rsidRPr="00E2594C" w:rsidRDefault="005329CE" w:rsidP="00E2594C">
            <w:pPr>
              <w:widowControl/>
              <w:autoSpaceDE/>
              <w:autoSpaceDN/>
              <w:adjustRightInd/>
              <w:jc w:val="center"/>
              <w:rPr>
                <w:sz w:val="18"/>
                <w:szCs w:val="18"/>
              </w:rPr>
            </w:pPr>
            <w:r w:rsidRPr="00E2594C">
              <w:rPr>
                <w:sz w:val="18"/>
                <w:szCs w:val="18"/>
              </w:rPr>
              <w:t>Sample Allocation</w:t>
            </w:r>
          </w:p>
        </w:tc>
      </w:tr>
      <w:tr w:rsidR="005329CE" w:rsidRPr="00E2594C" w:rsidTr="00E2594C">
        <w:tc>
          <w:tcPr>
            <w:tcW w:w="4591" w:type="dxa"/>
            <w:tcBorders>
              <w:top w:val="nil"/>
              <w:left w:val="single" w:sz="4" w:space="0" w:color="auto"/>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Form 1041 Type</w:t>
            </w:r>
          </w:p>
        </w:tc>
        <w:tc>
          <w:tcPr>
            <w:tcW w:w="1129"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Complexity</w:t>
            </w: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sz w:val="18"/>
                <w:szCs w:val="18"/>
              </w:rPr>
            </w:pPr>
          </w:p>
        </w:tc>
      </w:tr>
      <w:tr w:rsidR="005329CE" w:rsidRPr="00E2594C" w:rsidTr="00E2594C">
        <w:tc>
          <w:tcPr>
            <w:tcW w:w="45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Complex trust or Generation-Skipping Trust</w:t>
            </w:r>
          </w:p>
        </w:tc>
        <w:tc>
          <w:tcPr>
            <w:tcW w:w="1129"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Low</w:t>
            </w:r>
          </w:p>
        </w:tc>
        <w:tc>
          <w:tcPr>
            <w:tcW w:w="1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1,750,000</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3267</w:t>
            </w:r>
          </w:p>
        </w:tc>
      </w:tr>
      <w:tr w:rsidR="005329CE" w:rsidRPr="00E2594C" w:rsidTr="00E2594C">
        <w:tc>
          <w:tcPr>
            <w:tcW w:w="4591"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129"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High</w:t>
            </w:r>
          </w:p>
        </w:tc>
        <w:tc>
          <w:tcPr>
            <w:tcW w:w="1540"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2178</w:t>
            </w:r>
          </w:p>
        </w:tc>
      </w:tr>
      <w:tr w:rsidR="005329CE" w:rsidRPr="00E2594C" w:rsidTr="00E2594C">
        <w:tc>
          <w:tcPr>
            <w:tcW w:w="45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Simple Trust or Taxable Grantor Type Trust</w:t>
            </w:r>
          </w:p>
        </w:tc>
        <w:tc>
          <w:tcPr>
            <w:tcW w:w="1129"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Low</w:t>
            </w:r>
          </w:p>
        </w:tc>
        <w:tc>
          <w:tcPr>
            <w:tcW w:w="1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750,000</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1805</w:t>
            </w:r>
          </w:p>
        </w:tc>
      </w:tr>
      <w:tr w:rsidR="005329CE" w:rsidRPr="00E2594C" w:rsidTr="00E2594C">
        <w:tc>
          <w:tcPr>
            <w:tcW w:w="4591"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129"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High</w:t>
            </w:r>
          </w:p>
        </w:tc>
        <w:tc>
          <w:tcPr>
            <w:tcW w:w="1540"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1203</w:t>
            </w:r>
          </w:p>
        </w:tc>
      </w:tr>
      <w:tr w:rsidR="005329CE" w:rsidRPr="00E2594C" w:rsidTr="00E2594C">
        <w:tc>
          <w:tcPr>
            <w:tcW w:w="45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Non-taxable Grantor Type Trust</w:t>
            </w:r>
          </w:p>
        </w:tc>
        <w:tc>
          <w:tcPr>
            <w:tcW w:w="1129"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Low</w:t>
            </w:r>
          </w:p>
        </w:tc>
        <w:tc>
          <w:tcPr>
            <w:tcW w:w="1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500,000</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1491</w:t>
            </w:r>
          </w:p>
        </w:tc>
      </w:tr>
      <w:tr w:rsidR="005329CE" w:rsidRPr="00E2594C" w:rsidTr="00E2594C">
        <w:tc>
          <w:tcPr>
            <w:tcW w:w="4591"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129"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High</w:t>
            </w:r>
          </w:p>
        </w:tc>
        <w:tc>
          <w:tcPr>
            <w:tcW w:w="1540"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994</w:t>
            </w:r>
          </w:p>
        </w:tc>
      </w:tr>
      <w:tr w:rsidR="005329CE" w:rsidRPr="00E2594C" w:rsidTr="00E2594C">
        <w:tc>
          <w:tcPr>
            <w:tcW w:w="45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Decedent’s estate</w:t>
            </w:r>
          </w:p>
        </w:tc>
        <w:tc>
          <w:tcPr>
            <w:tcW w:w="1129"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Low</w:t>
            </w:r>
          </w:p>
        </w:tc>
        <w:tc>
          <w:tcPr>
            <w:tcW w:w="1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400,000</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1246</w:t>
            </w:r>
          </w:p>
        </w:tc>
      </w:tr>
      <w:tr w:rsidR="005329CE" w:rsidRPr="00E2594C" w:rsidTr="00E2594C">
        <w:tc>
          <w:tcPr>
            <w:tcW w:w="4591"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129"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High</w:t>
            </w:r>
          </w:p>
        </w:tc>
        <w:tc>
          <w:tcPr>
            <w:tcW w:w="1540" w:type="dxa"/>
            <w:vMerge/>
            <w:tcBorders>
              <w:top w:val="nil"/>
              <w:left w:val="single" w:sz="4" w:space="0" w:color="auto"/>
              <w:bottom w:val="single" w:sz="4" w:space="0" w:color="auto"/>
              <w:right w:val="single" w:sz="4" w:space="0" w:color="auto"/>
            </w:tcBorders>
            <w:vAlign w:val="center"/>
            <w:hideMark/>
          </w:tcPr>
          <w:p w:rsidR="005329CE" w:rsidRPr="00E2594C" w:rsidRDefault="005329CE" w:rsidP="00E2594C">
            <w:pPr>
              <w:widowControl/>
              <w:autoSpaceDE/>
              <w:autoSpaceDN/>
              <w:adjustRightInd/>
              <w:rPr>
                <w:color w:val="000000"/>
                <w:sz w:val="18"/>
                <w:szCs w:val="18"/>
              </w:rPr>
            </w:pP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831</w:t>
            </w:r>
          </w:p>
        </w:tc>
      </w:tr>
      <w:tr w:rsidR="005329CE" w:rsidRPr="00E2594C" w:rsidTr="00E2594C">
        <w:tc>
          <w:tcPr>
            <w:tcW w:w="4591"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Qualified Disability Trust</w:t>
            </w:r>
          </w:p>
        </w:tc>
        <w:tc>
          <w:tcPr>
            <w:tcW w:w="1129"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ANY</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25,000</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500</w:t>
            </w:r>
          </w:p>
        </w:tc>
      </w:tr>
      <w:tr w:rsidR="005329CE" w:rsidRPr="00E2594C" w:rsidTr="00E2594C">
        <w:tc>
          <w:tcPr>
            <w:tcW w:w="4591"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Non-Exempt Charitable and Split Interest Trust</w:t>
            </w:r>
          </w:p>
        </w:tc>
        <w:tc>
          <w:tcPr>
            <w:tcW w:w="1129"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ANY</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7,500</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500</w:t>
            </w:r>
          </w:p>
        </w:tc>
      </w:tr>
      <w:tr w:rsidR="005329CE" w:rsidRPr="00E2594C" w:rsidTr="00E2594C">
        <w:tc>
          <w:tcPr>
            <w:tcW w:w="4591" w:type="dxa"/>
            <w:tcBorders>
              <w:top w:val="nil"/>
              <w:left w:val="single" w:sz="4" w:space="0" w:color="auto"/>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Bankruptcy Estate</w:t>
            </w:r>
          </w:p>
        </w:tc>
        <w:tc>
          <w:tcPr>
            <w:tcW w:w="1129" w:type="dxa"/>
            <w:tcBorders>
              <w:top w:val="nil"/>
              <w:left w:val="nil"/>
              <w:bottom w:val="single" w:sz="4" w:space="0" w:color="auto"/>
              <w:right w:val="single" w:sz="4" w:space="0" w:color="auto"/>
            </w:tcBorders>
            <w:shd w:val="clear" w:color="auto" w:fill="auto"/>
            <w:noWrap/>
            <w:vAlign w:val="center"/>
            <w:hideMark/>
          </w:tcPr>
          <w:p w:rsidR="005329CE" w:rsidRPr="00E2594C" w:rsidRDefault="005329CE" w:rsidP="00E2594C">
            <w:pPr>
              <w:widowControl/>
              <w:autoSpaceDE/>
              <w:autoSpaceDN/>
              <w:adjustRightInd/>
              <w:rPr>
                <w:color w:val="000000"/>
                <w:sz w:val="18"/>
                <w:szCs w:val="18"/>
              </w:rPr>
            </w:pPr>
            <w:r w:rsidRPr="00E2594C">
              <w:rPr>
                <w:color w:val="000000"/>
                <w:sz w:val="18"/>
                <w:szCs w:val="18"/>
              </w:rPr>
              <w:t>ANY</w:t>
            </w:r>
          </w:p>
        </w:tc>
        <w:tc>
          <w:tcPr>
            <w:tcW w:w="154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750</w:t>
            </w:r>
          </w:p>
        </w:tc>
        <w:tc>
          <w:tcPr>
            <w:tcW w:w="1580" w:type="dxa"/>
            <w:tcBorders>
              <w:top w:val="nil"/>
              <w:left w:val="nil"/>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500</w:t>
            </w:r>
          </w:p>
        </w:tc>
      </w:tr>
      <w:tr w:rsidR="005329CE" w:rsidRPr="00E2594C" w:rsidTr="00E2594C">
        <w:tc>
          <w:tcPr>
            <w:tcW w:w="4591" w:type="dxa"/>
            <w:tcBorders>
              <w:top w:val="nil"/>
              <w:left w:val="nil"/>
              <w:bottom w:val="nil"/>
              <w:right w:val="nil"/>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p>
        </w:tc>
        <w:tc>
          <w:tcPr>
            <w:tcW w:w="1129" w:type="dxa"/>
            <w:tcBorders>
              <w:top w:val="nil"/>
              <w:left w:val="nil"/>
              <w:bottom w:val="nil"/>
              <w:right w:val="nil"/>
            </w:tcBorders>
            <w:shd w:val="clear" w:color="auto" w:fill="auto"/>
            <w:noWrap/>
            <w:vAlign w:val="bottom"/>
            <w:hideMark/>
          </w:tcPr>
          <w:p w:rsidR="005329CE" w:rsidRPr="00E2594C" w:rsidRDefault="005329CE" w:rsidP="00E2594C">
            <w:pPr>
              <w:widowControl/>
              <w:autoSpaceDE/>
              <w:autoSpaceDN/>
              <w:adjustRightInd/>
              <w:rPr>
                <w:sz w:val="18"/>
                <w:szCs w:val="18"/>
              </w:rPr>
            </w:pPr>
          </w:p>
        </w:tc>
        <w:tc>
          <w:tcPr>
            <w:tcW w:w="1540" w:type="dxa"/>
            <w:tcBorders>
              <w:top w:val="nil"/>
              <w:left w:val="nil"/>
              <w:bottom w:val="nil"/>
              <w:right w:val="nil"/>
            </w:tcBorders>
            <w:shd w:val="clear" w:color="auto" w:fill="auto"/>
            <w:noWrap/>
            <w:vAlign w:val="bottom"/>
            <w:hideMark/>
          </w:tcPr>
          <w:p w:rsidR="005329CE" w:rsidRPr="00E2594C" w:rsidRDefault="005329CE" w:rsidP="00E2594C">
            <w:pPr>
              <w:widowControl/>
              <w:autoSpaceDE/>
              <w:autoSpaceDN/>
              <w:adjustRightInd/>
              <w:rPr>
                <w:sz w:val="18"/>
                <w:szCs w:val="18"/>
              </w:rPr>
            </w:pP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5329CE" w:rsidRPr="00E2594C" w:rsidRDefault="005329CE" w:rsidP="00E2594C">
            <w:pPr>
              <w:widowControl/>
              <w:autoSpaceDE/>
              <w:autoSpaceDN/>
              <w:adjustRightInd/>
              <w:jc w:val="right"/>
              <w:rPr>
                <w:color w:val="000000"/>
                <w:sz w:val="18"/>
                <w:szCs w:val="18"/>
              </w:rPr>
            </w:pPr>
            <w:r w:rsidRPr="00E2594C">
              <w:rPr>
                <w:color w:val="000000"/>
                <w:sz w:val="18"/>
                <w:szCs w:val="18"/>
              </w:rPr>
              <w:t>14,514</w:t>
            </w:r>
          </w:p>
        </w:tc>
      </w:tr>
    </w:tbl>
    <w:p w:rsidR="00167587" w:rsidRPr="00E2594C" w:rsidRDefault="00167587" w:rsidP="00167587">
      <w:pPr>
        <w:rPr>
          <w:sz w:val="18"/>
          <w:szCs w:val="18"/>
        </w:rPr>
      </w:pPr>
    </w:p>
    <w:p w:rsidR="00167587" w:rsidRDefault="00167587" w:rsidP="00167587">
      <w:pPr>
        <w:rPr>
          <w:sz w:val="20"/>
          <w:szCs w:val="20"/>
        </w:rPr>
      </w:pPr>
    </w:p>
    <w:p w:rsidR="00D664BC" w:rsidRPr="008870F5" w:rsidRDefault="00D664BC" w:rsidP="00533368">
      <w:pPr>
        <w:pStyle w:val="NoSpacing"/>
        <w:numPr>
          <w:ilvl w:val="0"/>
          <w:numId w:val="8"/>
        </w:numPr>
        <w:tabs>
          <w:tab w:val="clear" w:pos="720"/>
          <w:tab w:val="num" w:pos="360"/>
        </w:tabs>
        <w:ind w:left="360"/>
        <w:contextualSpacing/>
        <w:rPr>
          <w:rFonts w:ascii="Times New Roman" w:hAnsi="Times New Roman"/>
          <w:b/>
          <w:sz w:val="20"/>
          <w:szCs w:val="20"/>
        </w:rPr>
      </w:pPr>
      <w:r w:rsidRPr="008870F5">
        <w:rPr>
          <w:rFonts w:ascii="Times New Roman" w:hAnsi="Times New Roman"/>
          <w:b/>
          <w:sz w:val="20"/>
          <w:szCs w:val="20"/>
        </w:rPr>
        <w:t xml:space="preserve">Describe the procedures for the collection of information. </w:t>
      </w:r>
    </w:p>
    <w:p w:rsidR="00D664BC" w:rsidRPr="008870F5" w:rsidRDefault="00D664BC" w:rsidP="00013F66">
      <w:pPr>
        <w:pStyle w:val="NoSpacing"/>
        <w:spacing w:line="240" w:lineRule="exact"/>
        <w:contextualSpacing/>
        <w:rPr>
          <w:rFonts w:ascii="Times New Roman" w:hAnsi="Times New Roman"/>
          <w:sz w:val="20"/>
          <w:szCs w:val="20"/>
        </w:rPr>
      </w:pPr>
    </w:p>
    <w:p w:rsidR="004838D5" w:rsidRDefault="00D664BC" w:rsidP="00875AA0">
      <w:pPr>
        <w:pStyle w:val="NoSpacing"/>
        <w:contextualSpacing/>
        <w:rPr>
          <w:rFonts w:ascii="Times New Roman" w:hAnsi="Times New Roman"/>
          <w:bCs/>
          <w:sz w:val="20"/>
          <w:szCs w:val="20"/>
        </w:rPr>
      </w:pPr>
      <w:r w:rsidRPr="008870F5">
        <w:rPr>
          <w:rFonts w:ascii="Times New Roman" w:hAnsi="Times New Roman"/>
          <w:sz w:val="20"/>
          <w:szCs w:val="20"/>
        </w:rPr>
        <w:t>We have two objectives in the design of th</w:t>
      </w:r>
      <w:r w:rsidR="00941603" w:rsidRPr="008870F5">
        <w:rPr>
          <w:rFonts w:ascii="Times New Roman" w:hAnsi="Times New Roman"/>
          <w:sz w:val="20"/>
          <w:szCs w:val="20"/>
        </w:rPr>
        <w:t>e following</w:t>
      </w:r>
      <w:r w:rsidRPr="008870F5">
        <w:rPr>
          <w:rFonts w:ascii="Times New Roman" w:hAnsi="Times New Roman"/>
          <w:sz w:val="20"/>
          <w:szCs w:val="20"/>
        </w:rPr>
        <w:t xml:space="preserve"> protocol</w:t>
      </w:r>
      <w:r w:rsidR="00941603" w:rsidRPr="008870F5">
        <w:rPr>
          <w:rFonts w:ascii="Times New Roman" w:hAnsi="Times New Roman"/>
          <w:sz w:val="20"/>
          <w:szCs w:val="20"/>
        </w:rPr>
        <w:t>s</w:t>
      </w:r>
      <w:r w:rsidRPr="008870F5">
        <w:rPr>
          <w:rFonts w:ascii="Times New Roman" w:hAnsi="Times New Roman"/>
          <w:sz w:val="20"/>
          <w:szCs w:val="20"/>
        </w:rPr>
        <w:t xml:space="preserve">. The first is the efficient collection of the current sample; the second is to inform the design of future studies. </w:t>
      </w:r>
      <w:r w:rsidRPr="008870F5">
        <w:rPr>
          <w:rFonts w:ascii="Times New Roman" w:hAnsi="Times New Roman"/>
          <w:bCs/>
          <w:sz w:val="20"/>
          <w:szCs w:val="20"/>
        </w:rPr>
        <w:t xml:space="preserve">The exact form of each of these contacts </w:t>
      </w:r>
      <w:r w:rsidR="00C01431">
        <w:rPr>
          <w:rFonts w:ascii="Times New Roman" w:hAnsi="Times New Roman"/>
          <w:bCs/>
          <w:sz w:val="20"/>
          <w:szCs w:val="20"/>
        </w:rPr>
        <w:t>may</w:t>
      </w:r>
      <w:r w:rsidR="00C01431" w:rsidRPr="008870F5">
        <w:rPr>
          <w:rFonts w:ascii="Times New Roman" w:hAnsi="Times New Roman"/>
          <w:bCs/>
          <w:sz w:val="20"/>
          <w:szCs w:val="20"/>
        </w:rPr>
        <w:t xml:space="preserve"> </w:t>
      </w:r>
      <w:r w:rsidRPr="008870F5">
        <w:rPr>
          <w:rFonts w:ascii="Times New Roman" w:hAnsi="Times New Roman"/>
          <w:bCs/>
          <w:sz w:val="20"/>
          <w:szCs w:val="20"/>
        </w:rPr>
        <w:t xml:space="preserve">vary somewhat, depending </w:t>
      </w:r>
      <w:r w:rsidR="00FF5BED">
        <w:rPr>
          <w:rFonts w:ascii="Times New Roman" w:hAnsi="Times New Roman"/>
          <w:bCs/>
          <w:sz w:val="20"/>
          <w:szCs w:val="20"/>
        </w:rPr>
        <w:t xml:space="preserve">on </w:t>
      </w:r>
      <w:r w:rsidR="00C01431">
        <w:rPr>
          <w:rFonts w:ascii="Times New Roman" w:hAnsi="Times New Roman"/>
          <w:bCs/>
          <w:sz w:val="20"/>
          <w:szCs w:val="20"/>
        </w:rPr>
        <w:t>whether any survey-related research is conducted during survey administration</w:t>
      </w:r>
      <w:r w:rsidRPr="008870F5">
        <w:rPr>
          <w:rFonts w:ascii="Times New Roman" w:hAnsi="Times New Roman"/>
          <w:bCs/>
          <w:sz w:val="20"/>
          <w:szCs w:val="20"/>
        </w:rPr>
        <w:t>.</w:t>
      </w:r>
      <w:r w:rsidR="00C01431">
        <w:rPr>
          <w:rFonts w:ascii="Times New Roman" w:hAnsi="Times New Roman"/>
          <w:bCs/>
          <w:sz w:val="20"/>
          <w:szCs w:val="20"/>
        </w:rPr>
        <w:t xml:space="preserve"> Examples of such potential research are timing of mailings, messaging, shorter-length surveys, or response mode options.</w:t>
      </w:r>
    </w:p>
    <w:p w:rsidR="00180AA7" w:rsidRPr="008870F5" w:rsidRDefault="00180AA7" w:rsidP="00180AA7">
      <w:pPr>
        <w:pStyle w:val="L1-FlLSp12"/>
        <w:rPr>
          <w:b/>
          <w:sz w:val="20"/>
        </w:rPr>
      </w:pPr>
    </w:p>
    <w:p w:rsidR="00AC4280" w:rsidRDefault="00AC4280" w:rsidP="00286751">
      <w:pPr>
        <w:rPr>
          <w:b/>
          <w:sz w:val="20"/>
          <w:szCs w:val="20"/>
        </w:rPr>
      </w:pPr>
    </w:p>
    <w:p w:rsidR="00AC4280" w:rsidRDefault="00AC4280" w:rsidP="00286751">
      <w:pPr>
        <w:rPr>
          <w:b/>
          <w:sz w:val="20"/>
          <w:szCs w:val="20"/>
        </w:rPr>
      </w:pPr>
    </w:p>
    <w:p w:rsidR="008051B1" w:rsidRDefault="008051B1" w:rsidP="00286751">
      <w:pPr>
        <w:rPr>
          <w:b/>
          <w:sz w:val="20"/>
          <w:szCs w:val="20"/>
        </w:rPr>
      </w:pPr>
    </w:p>
    <w:p w:rsidR="008051B1" w:rsidRDefault="008051B1" w:rsidP="00286751">
      <w:pPr>
        <w:rPr>
          <w:b/>
          <w:sz w:val="20"/>
          <w:szCs w:val="20"/>
        </w:rPr>
      </w:pPr>
    </w:p>
    <w:p w:rsidR="008051B1" w:rsidRDefault="008051B1" w:rsidP="00286751">
      <w:pPr>
        <w:rPr>
          <w:b/>
          <w:sz w:val="20"/>
          <w:szCs w:val="20"/>
        </w:rPr>
      </w:pPr>
    </w:p>
    <w:p w:rsidR="00D01379" w:rsidRDefault="00D01379" w:rsidP="00286751">
      <w:pPr>
        <w:rPr>
          <w:b/>
          <w:sz w:val="20"/>
          <w:szCs w:val="20"/>
        </w:rPr>
        <w:sectPr w:rsidR="00D01379" w:rsidSect="00BD588B">
          <w:pgSz w:w="12240" w:h="15840"/>
          <w:pgMar w:top="1008" w:right="1440" w:bottom="1008" w:left="1440" w:header="1080" w:footer="662" w:gutter="0"/>
          <w:cols w:space="720"/>
          <w:noEndnote/>
          <w:docGrid w:linePitch="326"/>
        </w:sectPr>
      </w:pPr>
    </w:p>
    <w:p w:rsidR="008051B1" w:rsidRDefault="008051B1" w:rsidP="00286751">
      <w:pPr>
        <w:rPr>
          <w:b/>
          <w:sz w:val="20"/>
          <w:szCs w:val="20"/>
        </w:rPr>
      </w:pPr>
    </w:p>
    <w:p w:rsidR="008051B1" w:rsidRDefault="008051B1" w:rsidP="00286751">
      <w:pPr>
        <w:rPr>
          <w:b/>
          <w:sz w:val="20"/>
          <w:szCs w:val="20"/>
        </w:rPr>
      </w:pPr>
    </w:p>
    <w:p w:rsidR="00B52505" w:rsidRPr="008870F5" w:rsidRDefault="00B52505" w:rsidP="00286751">
      <w:pPr>
        <w:rPr>
          <w:b/>
          <w:sz w:val="20"/>
          <w:szCs w:val="20"/>
        </w:rPr>
      </w:pPr>
      <w:r w:rsidRPr="008870F5">
        <w:rPr>
          <w:b/>
          <w:sz w:val="20"/>
          <w:szCs w:val="20"/>
        </w:rPr>
        <w:t>Individual Taxpayer Burden Survey</w:t>
      </w:r>
      <w:r w:rsidR="00180AA7" w:rsidRPr="008870F5">
        <w:rPr>
          <w:b/>
          <w:sz w:val="20"/>
          <w:szCs w:val="20"/>
        </w:rPr>
        <w:t>s (</w:t>
      </w:r>
      <w:r w:rsidR="00317E67">
        <w:rPr>
          <w:b/>
          <w:sz w:val="20"/>
          <w:szCs w:val="20"/>
        </w:rPr>
        <w:t>TY</w:t>
      </w:r>
      <w:r w:rsidR="00E92E47">
        <w:rPr>
          <w:b/>
          <w:sz w:val="20"/>
          <w:szCs w:val="20"/>
        </w:rPr>
        <w:t xml:space="preserve">2016, </w:t>
      </w:r>
      <w:r w:rsidR="00317E67">
        <w:rPr>
          <w:b/>
          <w:sz w:val="20"/>
          <w:szCs w:val="20"/>
        </w:rPr>
        <w:t>TY</w:t>
      </w:r>
      <w:r w:rsidR="00E92E47">
        <w:rPr>
          <w:b/>
          <w:sz w:val="20"/>
          <w:szCs w:val="20"/>
        </w:rPr>
        <w:t xml:space="preserve">2017 </w:t>
      </w:r>
      <w:r w:rsidR="00317E67">
        <w:rPr>
          <w:b/>
          <w:sz w:val="20"/>
          <w:szCs w:val="20"/>
        </w:rPr>
        <w:t>TY</w:t>
      </w:r>
      <w:r w:rsidR="00E92E47">
        <w:rPr>
          <w:b/>
          <w:sz w:val="20"/>
          <w:szCs w:val="20"/>
        </w:rPr>
        <w:t>2018</w:t>
      </w:r>
      <w:r w:rsidR="00180AA7" w:rsidRPr="008870F5">
        <w:rPr>
          <w:b/>
          <w:sz w:val="20"/>
          <w:szCs w:val="20"/>
        </w:rPr>
        <w:t>)</w:t>
      </w:r>
      <w:r w:rsidRPr="008870F5">
        <w:rPr>
          <w:b/>
          <w:sz w:val="20"/>
          <w:szCs w:val="20"/>
        </w:rPr>
        <w:t xml:space="preserve"> </w:t>
      </w:r>
      <w:r w:rsidR="00D271F9" w:rsidRPr="008870F5">
        <w:rPr>
          <w:b/>
          <w:sz w:val="20"/>
          <w:szCs w:val="20"/>
        </w:rPr>
        <w:t xml:space="preserve">and </w:t>
      </w:r>
      <w:r w:rsidR="00E92E47" w:rsidRPr="008870F5">
        <w:rPr>
          <w:b/>
          <w:sz w:val="20"/>
          <w:szCs w:val="20"/>
        </w:rPr>
        <w:t>201</w:t>
      </w:r>
      <w:r w:rsidR="00E92E47">
        <w:rPr>
          <w:b/>
          <w:sz w:val="20"/>
          <w:szCs w:val="20"/>
        </w:rPr>
        <w:t>8</w:t>
      </w:r>
      <w:r w:rsidR="00E92E47" w:rsidRPr="008870F5">
        <w:rPr>
          <w:b/>
          <w:sz w:val="20"/>
          <w:szCs w:val="20"/>
        </w:rPr>
        <w:t xml:space="preserve"> </w:t>
      </w:r>
      <w:r w:rsidR="005C6823" w:rsidRPr="008870F5">
        <w:rPr>
          <w:b/>
          <w:sz w:val="20"/>
          <w:szCs w:val="20"/>
        </w:rPr>
        <w:t>Taxpayer Compliance</w:t>
      </w:r>
      <w:r w:rsidRPr="008870F5">
        <w:rPr>
          <w:b/>
          <w:sz w:val="20"/>
          <w:szCs w:val="20"/>
        </w:rPr>
        <w:t xml:space="preserve"> Burden Survey</w:t>
      </w:r>
      <w:r w:rsidR="00180AA7" w:rsidRPr="008870F5">
        <w:rPr>
          <w:b/>
          <w:sz w:val="20"/>
          <w:szCs w:val="20"/>
        </w:rPr>
        <w:t>s</w:t>
      </w:r>
      <w:r w:rsidRPr="008870F5">
        <w:rPr>
          <w:b/>
          <w:sz w:val="20"/>
          <w:szCs w:val="20"/>
        </w:rPr>
        <w:t xml:space="preserve"> </w:t>
      </w:r>
    </w:p>
    <w:tbl>
      <w:tblPr>
        <w:tblW w:w="9288" w:type="dxa"/>
        <w:tblBorders>
          <w:top w:val="single" w:sz="18" w:space="0" w:color="7F7F7F"/>
          <w:left w:val="single" w:sz="18" w:space="0" w:color="7F7F7F"/>
          <w:bottom w:val="single" w:sz="18" w:space="0" w:color="7F7F7F"/>
          <w:right w:val="single" w:sz="18" w:space="0" w:color="7F7F7F"/>
        </w:tblBorders>
        <w:tblLook w:val="04A0" w:firstRow="1" w:lastRow="0" w:firstColumn="1" w:lastColumn="0" w:noHBand="0" w:noVBand="1"/>
      </w:tblPr>
      <w:tblGrid>
        <w:gridCol w:w="2448"/>
        <w:gridCol w:w="4770"/>
        <w:gridCol w:w="2070"/>
      </w:tblGrid>
      <w:tr w:rsidR="002415F8" w:rsidRPr="008870F5" w:rsidTr="008905E3">
        <w:tc>
          <w:tcPr>
            <w:tcW w:w="2448" w:type="dxa"/>
            <w:tcBorders>
              <w:top w:val="single" w:sz="4" w:space="0" w:color="7F7F7F"/>
              <w:left w:val="single" w:sz="4" w:space="0" w:color="7F7F7F"/>
              <w:bottom w:val="single" w:sz="4" w:space="0" w:color="7F7F7F"/>
              <w:right w:val="single" w:sz="4" w:space="0" w:color="7F7F7F"/>
            </w:tcBorders>
          </w:tcPr>
          <w:p w:rsidR="002415F8" w:rsidRPr="008870F5" w:rsidRDefault="002415F8" w:rsidP="002415F8">
            <w:pPr>
              <w:jc w:val="center"/>
              <w:rPr>
                <w:sz w:val="20"/>
                <w:szCs w:val="20"/>
              </w:rPr>
            </w:pPr>
            <w:r w:rsidRPr="008870F5">
              <w:rPr>
                <w:sz w:val="20"/>
                <w:szCs w:val="20"/>
              </w:rPr>
              <w:t>Contact</w:t>
            </w:r>
          </w:p>
        </w:tc>
        <w:tc>
          <w:tcPr>
            <w:tcW w:w="4770" w:type="dxa"/>
            <w:tcBorders>
              <w:top w:val="single" w:sz="4" w:space="0" w:color="7F7F7F"/>
              <w:left w:val="single" w:sz="4" w:space="0" w:color="7F7F7F"/>
              <w:bottom w:val="single" w:sz="4" w:space="0" w:color="7F7F7F"/>
              <w:right w:val="single" w:sz="4" w:space="0" w:color="7F7F7F"/>
            </w:tcBorders>
          </w:tcPr>
          <w:p w:rsidR="002415F8" w:rsidRPr="008870F5" w:rsidRDefault="002415F8" w:rsidP="002415F8">
            <w:pPr>
              <w:jc w:val="center"/>
              <w:rPr>
                <w:sz w:val="20"/>
              </w:rPr>
            </w:pPr>
            <w:r w:rsidRPr="008870F5">
              <w:rPr>
                <w:sz w:val="20"/>
              </w:rPr>
              <w:t>Description</w:t>
            </w:r>
          </w:p>
        </w:tc>
        <w:tc>
          <w:tcPr>
            <w:tcW w:w="2070" w:type="dxa"/>
            <w:tcBorders>
              <w:top w:val="single" w:sz="4" w:space="0" w:color="7F7F7F"/>
              <w:left w:val="single" w:sz="4" w:space="0" w:color="7F7F7F"/>
              <w:bottom w:val="single" w:sz="4" w:space="0" w:color="7F7F7F"/>
              <w:right w:val="single" w:sz="4" w:space="0" w:color="7F7F7F"/>
            </w:tcBorders>
          </w:tcPr>
          <w:p w:rsidR="002415F8" w:rsidRPr="008870F5" w:rsidRDefault="002415F8" w:rsidP="002415F8">
            <w:pPr>
              <w:jc w:val="center"/>
              <w:rPr>
                <w:sz w:val="20"/>
                <w:szCs w:val="20"/>
              </w:rPr>
            </w:pPr>
            <w:r w:rsidRPr="008870F5">
              <w:rPr>
                <w:sz w:val="20"/>
                <w:szCs w:val="20"/>
              </w:rPr>
              <w:t>Schedule</w:t>
            </w:r>
          </w:p>
        </w:tc>
      </w:tr>
      <w:tr w:rsidR="002415F8" w:rsidRPr="008870F5" w:rsidTr="008905E3">
        <w:tc>
          <w:tcPr>
            <w:tcW w:w="2448" w:type="dxa"/>
            <w:tcBorders>
              <w:top w:val="single" w:sz="4" w:space="0" w:color="7F7F7F"/>
              <w:left w:val="single" w:sz="4" w:space="0" w:color="7F7F7F"/>
              <w:bottom w:val="single" w:sz="4" w:space="0" w:color="7F7F7F"/>
              <w:right w:val="single" w:sz="4" w:space="0" w:color="7F7F7F"/>
            </w:tcBorders>
          </w:tcPr>
          <w:p w:rsidR="002415F8" w:rsidRPr="008870F5" w:rsidRDefault="002415F8" w:rsidP="00DE290D">
            <w:pPr>
              <w:rPr>
                <w:sz w:val="20"/>
                <w:szCs w:val="20"/>
              </w:rPr>
            </w:pPr>
            <w:r w:rsidRPr="008870F5">
              <w:rPr>
                <w:sz w:val="20"/>
                <w:szCs w:val="20"/>
              </w:rPr>
              <w:t>Contact 1: Pre-note</w:t>
            </w:r>
          </w:p>
        </w:tc>
        <w:tc>
          <w:tcPr>
            <w:tcW w:w="4770" w:type="dxa"/>
            <w:tcBorders>
              <w:top w:val="single" w:sz="4" w:space="0" w:color="7F7F7F"/>
              <w:left w:val="single" w:sz="4" w:space="0" w:color="7F7F7F"/>
              <w:bottom w:val="single" w:sz="4" w:space="0" w:color="7F7F7F"/>
              <w:right w:val="single" w:sz="4" w:space="0" w:color="7F7F7F"/>
            </w:tcBorders>
          </w:tcPr>
          <w:p w:rsidR="002415F8" w:rsidRPr="008870F5" w:rsidRDefault="002415F8" w:rsidP="00DE290D">
            <w:pPr>
              <w:rPr>
                <w:sz w:val="20"/>
                <w:szCs w:val="20"/>
              </w:rPr>
            </w:pPr>
            <w:r w:rsidRPr="008870F5">
              <w:rPr>
                <w:sz w:val="20"/>
              </w:rPr>
              <w:t xml:space="preserve">The pre-note is a hardcopy letter from an IRS official endorsing the survey and emphasizing the importance </w:t>
            </w:r>
            <w:r w:rsidR="001A178B" w:rsidRPr="008870F5">
              <w:rPr>
                <w:sz w:val="20"/>
              </w:rPr>
              <w:t xml:space="preserve">of the data collection effort. </w:t>
            </w:r>
            <w:r w:rsidRPr="008870F5">
              <w:rPr>
                <w:sz w:val="20"/>
              </w:rPr>
              <w:t>It notifies the respondent of selection for the survey, as well as provides information about the survey and assurances that there is no risk associated with participation. In addition, respondents will be given directions on how to view the survey on the taxstats website.</w:t>
            </w:r>
            <w:r w:rsidR="00E92E47">
              <w:rPr>
                <w:sz w:val="20"/>
              </w:rPr>
              <w:t xml:space="preserve"> Provided in English and Spanish.</w:t>
            </w:r>
          </w:p>
        </w:tc>
        <w:tc>
          <w:tcPr>
            <w:tcW w:w="2070" w:type="dxa"/>
            <w:tcBorders>
              <w:top w:val="single" w:sz="4" w:space="0" w:color="7F7F7F"/>
              <w:left w:val="single" w:sz="4" w:space="0" w:color="7F7F7F"/>
              <w:bottom w:val="single" w:sz="4" w:space="0" w:color="7F7F7F"/>
              <w:right w:val="single" w:sz="4" w:space="0" w:color="7F7F7F"/>
            </w:tcBorders>
          </w:tcPr>
          <w:p w:rsidR="002415F8" w:rsidRPr="008870F5" w:rsidRDefault="002415F8" w:rsidP="00DE290D">
            <w:pPr>
              <w:rPr>
                <w:sz w:val="20"/>
                <w:szCs w:val="20"/>
              </w:rPr>
            </w:pPr>
            <w:r w:rsidRPr="008870F5">
              <w:rPr>
                <w:sz w:val="20"/>
                <w:szCs w:val="20"/>
              </w:rPr>
              <w:t>Beginning of data collection period</w:t>
            </w:r>
          </w:p>
        </w:tc>
      </w:tr>
      <w:tr w:rsidR="002415F8" w:rsidRPr="008870F5" w:rsidTr="008905E3">
        <w:tc>
          <w:tcPr>
            <w:tcW w:w="2448" w:type="dxa"/>
            <w:tcBorders>
              <w:top w:val="single" w:sz="4" w:space="0" w:color="7F7F7F"/>
              <w:left w:val="single" w:sz="4" w:space="0" w:color="7F7F7F"/>
              <w:bottom w:val="single" w:sz="4" w:space="0" w:color="7F7F7F"/>
              <w:right w:val="single" w:sz="4" w:space="0" w:color="7F7F7F"/>
            </w:tcBorders>
          </w:tcPr>
          <w:p w:rsidR="002415F8" w:rsidRPr="008870F5" w:rsidRDefault="002415F8" w:rsidP="00DE290D">
            <w:pPr>
              <w:rPr>
                <w:sz w:val="20"/>
                <w:szCs w:val="20"/>
              </w:rPr>
            </w:pPr>
            <w:r w:rsidRPr="008870F5">
              <w:rPr>
                <w:sz w:val="20"/>
                <w:szCs w:val="20"/>
              </w:rPr>
              <w:t>Contact 2: Survey packet</w:t>
            </w:r>
          </w:p>
        </w:tc>
        <w:tc>
          <w:tcPr>
            <w:tcW w:w="4770" w:type="dxa"/>
            <w:tcBorders>
              <w:top w:val="single" w:sz="4" w:space="0" w:color="7F7F7F"/>
              <w:left w:val="single" w:sz="4" w:space="0" w:color="7F7F7F"/>
              <w:bottom w:val="single" w:sz="4" w:space="0" w:color="7F7F7F"/>
              <w:right w:val="single" w:sz="4" w:space="0" w:color="7F7F7F"/>
            </w:tcBorders>
          </w:tcPr>
          <w:p w:rsidR="002415F8" w:rsidRPr="008870F5" w:rsidRDefault="002415F8" w:rsidP="005C5EB9">
            <w:pPr>
              <w:rPr>
                <w:sz w:val="20"/>
                <w:szCs w:val="20"/>
              </w:rPr>
            </w:pPr>
            <w:r w:rsidRPr="008870F5">
              <w:rPr>
                <w:sz w:val="20"/>
              </w:rPr>
              <w:t>The survey packet consists of a paper-and-pencil questionnaire, a pre-addressed postage paid reply envelope, and a letter from the survey vendor indicating that the enclosed survey is the one referred to in the previously-received pre-note</w:t>
            </w:r>
            <w:r w:rsidR="00C130C9" w:rsidRPr="008870F5">
              <w:rPr>
                <w:sz w:val="20"/>
              </w:rPr>
              <w:t>,</w:t>
            </w:r>
            <w:r w:rsidR="001C5D5E">
              <w:rPr>
                <w:sz w:val="20"/>
              </w:rPr>
              <w:t xml:space="preserve"> and</w:t>
            </w:r>
            <w:r w:rsidR="00C130C9" w:rsidRPr="008870F5">
              <w:rPr>
                <w:sz w:val="20"/>
              </w:rPr>
              <w:t xml:space="preserve"> a reminder that completing the survey is voluntary</w:t>
            </w:r>
            <w:r w:rsidR="001C5D5E">
              <w:rPr>
                <w:sz w:val="20"/>
              </w:rPr>
              <w:t>.</w:t>
            </w:r>
            <w:r w:rsidR="00C130C9" w:rsidRPr="008870F5">
              <w:rPr>
                <w:sz w:val="20"/>
              </w:rPr>
              <w:t xml:space="preserve"> </w:t>
            </w:r>
            <w:r w:rsidRPr="008870F5">
              <w:rPr>
                <w:sz w:val="20"/>
              </w:rPr>
              <w:t xml:space="preserve">The paper survey also includes information on how the respondents may complete the survey on the web, if so desired. </w:t>
            </w:r>
            <w:r w:rsidR="00E92E47">
              <w:rPr>
                <w:sz w:val="20"/>
              </w:rPr>
              <w:t xml:space="preserve">ITB only: </w:t>
            </w:r>
            <w:r w:rsidR="00C130C9" w:rsidRPr="008870F5">
              <w:rPr>
                <w:sz w:val="20"/>
              </w:rPr>
              <w:t>A $2 incentive will be enclosed in this mailing only.</w:t>
            </w:r>
            <w:r w:rsidR="00E92E47">
              <w:rPr>
                <w:sz w:val="20"/>
              </w:rPr>
              <w:t xml:space="preserve">  The survey vendor letter states</w:t>
            </w:r>
            <w:r w:rsidR="00E92E47" w:rsidRPr="008870F5">
              <w:rPr>
                <w:sz w:val="20"/>
              </w:rPr>
              <w:t xml:space="preserve"> that the incentive is a token of appreciation.</w:t>
            </w:r>
          </w:p>
        </w:tc>
        <w:tc>
          <w:tcPr>
            <w:tcW w:w="2070" w:type="dxa"/>
            <w:tcBorders>
              <w:top w:val="single" w:sz="4" w:space="0" w:color="7F7F7F"/>
              <w:left w:val="single" w:sz="4" w:space="0" w:color="7F7F7F"/>
              <w:bottom w:val="single" w:sz="4" w:space="0" w:color="7F7F7F"/>
              <w:right w:val="single" w:sz="4" w:space="0" w:color="7F7F7F"/>
            </w:tcBorders>
          </w:tcPr>
          <w:p w:rsidR="002415F8" w:rsidRPr="008870F5" w:rsidRDefault="00180AA7" w:rsidP="00180AA7">
            <w:pPr>
              <w:rPr>
                <w:sz w:val="20"/>
                <w:szCs w:val="20"/>
              </w:rPr>
            </w:pPr>
            <w:r w:rsidRPr="008870F5">
              <w:rPr>
                <w:sz w:val="20"/>
                <w:szCs w:val="20"/>
              </w:rPr>
              <w:t>1</w:t>
            </w:r>
            <w:r w:rsidR="002415F8" w:rsidRPr="008870F5">
              <w:rPr>
                <w:sz w:val="20"/>
                <w:szCs w:val="20"/>
              </w:rPr>
              <w:t xml:space="preserve"> – </w:t>
            </w:r>
            <w:r w:rsidRPr="008870F5">
              <w:rPr>
                <w:sz w:val="20"/>
                <w:szCs w:val="20"/>
              </w:rPr>
              <w:t>2</w:t>
            </w:r>
            <w:r w:rsidR="002415F8" w:rsidRPr="008870F5">
              <w:rPr>
                <w:sz w:val="20"/>
                <w:szCs w:val="20"/>
              </w:rPr>
              <w:t xml:space="preserve"> weeks after Contact 1 mails</w:t>
            </w:r>
          </w:p>
        </w:tc>
      </w:tr>
      <w:tr w:rsidR="002415F8" w:rsidRPr="008870F5" w:rsidTr="008905E3">
        <w:tc>
          <w:tcPr>
            <w:tcW w:w="2448" w:type="dxa"/>
            <w:tcBorders>
              <w:top w:val="single" w:sz="4" w:space="0" w:color="7F7F7F"/>
              <w:left w:val="single" w:sz="4" w:space="0" w:color="7F7F7F"/>
              <w:bottom w:val="single" w:sz="4" w:space="0" w:color="7F7F7F"/>
              <w:right w:val="single" w:sz="4" w:space="0" w:color="7F7F7F"/>
            </w:tcBorders>
          </w:tcPr>
          <w:p w:rsidR="002415F8" w:rsidRPr="008870F5" w:rsidRDefault="002415F8" w:rsidP="00DE290D">
            <w:pPr>
              <w:rPr>
                <w:sz w:val="20"/>
                <w:szCs w:val="20"/>
              </w:rPr>
            </w:pPr>
            <w:r w:rsidRPr="008870F5">
              <w:rPr>
                <w:sz w:val="20"/>
                <w:szCs w:val="20"/>
              </w:rPr>
              <w:t xml:space="preserve">Contact 3: </w:t>
            </w:r>
          </w:p>
        </w:tc>
        <w:tc>
          <w:tcPr>
            <w:tcW w:w="4770" w:type="dxa"/>
            <w:tcBorders>
              <w:top w:val="single" w:sz="4" w:space="0" w:color="7F7F7F"/>
              <w:left w:val="single" w:sz="4" w:space="0" w:color="7F7F7F"/>
              <w:bottom w:val="single" w:sz="4" w:space="0" w:color="7F7F7F"/>
              <w:right w:val="single" w:sz="4" w:space="0" w:color="7F7F7F"/>
            </w:tcBorders>
          </w:tcPr>
          <w:p w:rsidR="002415F8" w:rsidRPr="008870F5" w:rsidRDefault="002415F8" w:rsidP="00DE290D">
            <w:pPr>
              <w:rPr>
                <w:sz w:val="20"/>
                <w:szCs w:val="20"/>
              </w:rPr>
            </w:pPr>
            <w:r w:rsidRPr="008870F5">
              <w:rPr>
                <w:sz w:val="20"/>
              </w:rPr>
              <w:t>All respondents will be maile</w:t>
            </w:r>
            <w:r w:rsidR="00511919">
              <w:rPr>
                <w:sz w:val="20"/>
              </w:rPr>
              <w:t>d a thank you/reminder postcard.</w:t>
            </w:r>
            <w:r w:rsidRPr="008870F5">
              <w:rPr>
                <w:sz w:val="20"/>
              </w:rPr>
              <w:t xml:space="preserve"> The postcard will thank those who have already submitted a completed survey and ask those who have not</w:t>
            </w:r>
            <w:r w:rsidR="00E92E47">
              <w:rPr>
                <w:sz w:val="20"/>
              </w:rPr>
              <w:t xml:space="preserve"> responded</w:t>
            </w:r>
            <w:r w:rsidRPr="008870F5">
              <w:rPr>
                <w:sz w:val="20"/>
              </w:rPr>
              <w:t xml:space="preserve"> to please do so. </w:t>
            </w:r>
          </w:p>
        </w:tc>
        <w:tc>
          <w:tcPr>
            <w:tcW w:w="2070" w:type="dxa"/>
            <w:tcBorders>
              <w:top w:val="single" w:sz="4" w:space="0" w:color="7F7F7F"/>
              <w:left w:val="single" w:sz="4" w:space="0" w:color="7F7F7F"/>
              <w:bottom w:val="single" w:sz="4" w:space="0" w:color="7F7F7F"/>
              <w:right w:val="single" w:sz="4" w:space="0" w:color="7F7F7F"/>
            </w:tcBorders>
          </w:tcPr>
          <w:p w:rsidR="002415F8" w:rsidRPr="008870F5" w:rsidRDefault="002415F8" w:rsidP="00DE290D">
            <w:pPr>
              <w:rPr>
                <w:sz w:val="20"/>
                <w:szCs w:val="20"/>
              </w:rPr>
            </w:pPr>
            <w:r w:rsidRPr="008870F5">
              <w:rPr>
                <w:sz w:val="20"/>
                <w:szCs w:val="20"/>
              </w:rPr>
              <w:t>3 weeks after Contact 2 mails</w:t>
            </w:r>
          </w:p>
        </w:tc>
      </w:tr>
      <w:tr w:rsidR="002415F8" w:rsidRPr="008870F5" w:rsidTr="008905E3">
        <w:tc>
          <w:tcPr>
            <w:tcW w:w="2448" w:type="dxa"/>
            <w:tcBorders>
              <w:top w:val="single" w:sz="4" w:space="0" w:color="7F7F7F"/>
              <w:left w:val="single" w:sz="4" w:space="0" w:color="7F7F7F"/>
              <w:bottom w:val="single" w:sz="4" w:space="0" w:color="7F7F7F"/>
              <w:right w:val="single" w:sz="4" w:space="0" w:color="7F7F7F"/>
            </w:tcBorders>
          </w:tcPr>
          <w:p w:rsidR="002415F8" w:rsidRPr="008870F5" w:rsidRDefault="002415F8" w:rsidP="00DE290D">
            <w:pPr>
              <w:rPr>
                <w:sz w:val="20"/>
                <w:szCs w:val="20"/>
              </w:rPr>
            </w:pPr>
            <w:r w:rsidRPr="008870F5">
              <w:rPr>
                <w:sz w:val="20"/>
                <w:szCs w:val="20"/>
              </w:rPr>
              <w:t>Contact 4: Survey packet</w:t>
            </w:r>
          </w:p>
        </w:tc>
        <w:tc>
          <w:tcPr>
            <w:tcW w:w="4770" w:type="dxa"/>
            <w:tcBorders>
              <w:top w:val="single" w:sz="4" w:space="0" w:color="7F7F7F"/>
              <w:left w:val="single" w:sz="4" w:space="0" w:color="7F7F7F"/>
              <w:bottom w:val="single" w:sz="4" w:space="0" w:color="7F7F7F"/>
              <w:right w:val="single" w:sz="4" w:space="0" w:color="7F7F7F"/>
            </w:tcBorders>
          </w:tcPr>
          <w:p w:rsidR="002415F8" w:rsidRPr="008870F5" w:rsidRDefault="002415F8" w:rsidP="00DE290D">
            <w:pPr>
              <w:rPr>
                <w:sz w:val="20"/>
                <w:szCs w:val="20"/>
              </w:rPr>
            </w:pPr>
            <w:r w:rsidRPr="008870F5">
              <w:rPr>
                <w:sz w:val="20"/>
              </w:rPr>
              <w:t xml:space="preserve">Nonrespondents are sent the </w:t>
            </w:r>
            <w:r w:rsidR="00E92E47">
              <w:rPr>
                <w:sz w:val="20"/>
              </w:rPr>
              <w:t xml:space="preserve">Contact 2 </w:t>
            </w:r>
            <w:r w:rsidRPr="008870F5">
              <w:rPr>
                <w:sz w:val="20"/>
              </w:rPr>
              <w:t>survey packet</w:t>
            </w:r>
            <w:r w:rsidR="00E92E47">
              <w:rPr>
                <w:sz w:val="20"/>
              </w:rPr>
              <w:t>. ITB only: No incentive is included. The survey vendor letter is replaced with a letter that does not mention an incentive.</w:t>
            </w:r>
          </w:p>
        </w:tc>
        <w:tc>
          <w:tcPr>
            <w:tcW w:w="2070" w:type="dxa"/>
            <w:tcBorders>
              <w:top w:val="single" w:sz="4" w:space="0" w:color="7F7F7F"/>
              <w:left w:val="single" w:sz="4" w:space="0" w:color="7F7F7F"/>
              <w:bottom w:val="single" w:sz="4" w:space="0" w:color="7F7F7F"/>
              <w:right w:val="single" w:sz="4" w:space="0" w:color="7F7F7F"/>
            </w:tcBorders>
          </w:tcPr>
          <w:p w:rsidR="002415F8" w:rsidRPr="008870F5" w:rsidRDefault="002415F8" w:rsidP="00DE290D">
            <w:pPr>
              <w:rPr>
                <w:sz w:val="20"/>
                <w:szCs w:val="20"/>
              </w:rPr>
            </w:pPr>
            <w:r w:rsidRPr="008870F5">
              <w:rPr>
                <w:sz w:val="20"/>
                <w:szCs w:val="20"/>
              </w:rPr>
              <w:t>2 weeks after Contact 3 mails</w:t>
            </w:r>
          </w:p>
        </w:tc>
      </w:tr>
      <w:tr w:rsidR="002415F8" w:rsidRPr="008870F5" w:rsidTr="008905E3">
        <w:tc>
          <w:tcPr>
            <w:tcW w:w="2448" w:type="dxa"/>
            <w:tcBorders>
              <w:top w:val="single" w:sz="4" w:space="0" w:color="7F7F7F"/>
              <w:left w:val="single" w:sz="4" w:space="0" w:color="7F7F7F"/>
              <w:bottom w:val="single" w:sz="4" w:space="0" w:color="7F7F7F"/>
              <w:right w:val="single" w:sz="4" w:space="0" w:color="7F7F7F"/>
            </w:tcBorders>
          </w:tcPr>
          <w:p w:rsidR="002415F8" w:rsidRPr="008870F5" w:rsidRDefault="002415F8" w:rsidP="00DE290D">
            <w:pPr>
              <w:rPr>
                <w:sz w:val="20"/>
                <w:szCs w:val="20"/>
              </w:rPr>
            </w:pPr>
            <w:r w:rsidRPr="008870F5">
              <w:rPr>
                <w:sz w:val="20"/>
                <w:szCs w:val="20"/>
              </w:rPr>
              <w:t xml:space="preserve">Contact 5: </w:t>
            </w:r>
            <w:r w:rsidR="00317E67" w:rsidRPr="008870F5">
              <w:rPr>
                <w:sz w:val="20"/>
                <w:szCs w:val="20"/>
              </w:rPr>
              <w:t xml:space="preserve">Thank you/reminder Postcard </w:t>
            </w:r>
            <w:r w:rsidR="00317E67">
              <w:rPr>
                <w:sz w:val="20"/>
                <w:szCs w:val="20"/>
              </w:rPr>
              <w:t xml:space="preserve">(ITB only: </w:t>
            </w:r>
            <w:r w:rsidR="00317E67" w:rsidRPr="008870F5">
              <w:rPr>
                <w:sz w:val="20"/>
                <w:szCs w:val="20"/>
              </w:rPr>
              <w:t xml:space="preserve">Thank you/reminder Postcard </w:t>
            </w:r>
            <w:r w:rsidR="00317E67">
              <w:rPr>
                <w:sz w:val="20"/>
                <w:szCs w:val="20"/>
              </w:rPr>
              <w:t xml:space="preserve">or </w:t>
            </w:r>
            <w:r w:rsidRPr="008870F5">
              <w:rPr>
                <w:sz w:val="20"/>
                <w:szCs w:val="20"/>
              </w:rPr>
              <w:t xml:space="preserve">Phone </w:t>
            </w:r>
            <w:r w:rsidR="00511919" w:rsidRPr="008870F5">
              <w:rPr>
                <w:sz w:val="20"/>
                <w:szCs w:val="20"/>
              </w:rPr>
              <w:t>call)</w:t>
            </w:r>
          </w:p>
        </w:tc>
        <w:tc>
          <w:tcPr>
            <w:tcW w:w="4770" w:type="dxa"/>
            <w:tcBorders>
              <w:top w:val="single" w:sz="4" w:space="0" w:color="7F7F7F"/>
              <w:left w:val="single" w:sz="4" w:space="0" w:color="7F7F7F"/>
              <w:bottom w:val="single" w:sz="4" w:space="0" w:color="7F7F7F"/>
              <w:right w:val="single" w:sz="4" w:space="0" w:color="7F7F7F"/>
            </w:tcBorders>
          </w:tcPr>
          <w:p w:rsidR="002415F8" w:rsidRPr="008870F5" w:rsidRDefault="002415F8" w:rsidP="005C5EB9">
            <w:pPr>
              <w:rPr>
                <w:sz w:val="20"/>
                <w:szCs w:val="20"/>
              </w:rPr>
            </w:pPr>
            <w:r w:rsidRPr="008870F5">
              <w:rPr>
                <w:sz w:val="20"/>
              </w:rPr>
              <w:t xml:space="preserve">If no completed survey is received, nonrespondents </w:t>
            </w:r>
            <w:r w:rsidR="00E92E47">
              <w:rPr>
                <w:sz w:val="20"/>
              </w:rPr>
              <w:t>will receive a follow-up thank you/reminder postcard, similar to Contact 3</w:t>
            </w:r>
            <w:r w:rsidR="00317E67">
              <w:rPr>
                <w:sz w:val="20"/>
              </w:rPr>
              <w:t>. ITB only</w:t>
            </w:r>
            <w:r w:rsidR="001C5D5E">
              <w:rPr>
                <w:sz w:val="20"/>
              </w:rPr>
              <w:t>:</w:t>
            </w:r>
            <w:r w:rsidR="00317E67">
              <w:rPr>
                <w:sz w:val="20"/>
              </w:rPr>
              <w:t xml:space="preserve"> N</w:t>
            </w:r>
            <w:r w:rsidR="00B66387">
              <w:rPr>
                <w:sz w:val="20"/>
              </w:rPr>
              <w:t>o</w:t>
            </w:r>
            <w:r w:rsidR="00E92E47">
              <w:rPr>
                <w:sz w:val="20"/>
              </w:rPr>
              <w:t xml:space="preserve">nrespondents </w:t>
            </w:r>
            <w:r w:rsidRPr="008870F5">
              <w:rPr>
                <w:sz w:val="20"/>
              </w:rPr>
              <w:t xml:space="preserve">that have been matched to a phone number will receive </w:t>
            </w:r>
            <w:r w:rsidR="00317E67">
              <w:rPr>
                <w:sz w:val="20"/>
              </w:rPr>
              <w:t>an IVR prompt that will ask them complete and return the survey or call the su</w:t>
            </w:r>
            <w:r w:rsidR="00B66387">
              <w:rPr>
                <w:sz w:val="20"/>
              </w:rPr>
              <w:t>r</w:t>
            </w:r>
            <w:r w:rsidR="00317E67">
              <w:rPr>
                <w:sz w:val="20"/>
              </w:rPr>
              <w:t>vey vendor if the respondent has questions.</w:t>
            </w:r>
          </w:p>
        </w:tc>
        <w:tc>
          <w:tcPr>
            <w:tcW w:w="2070" w:type="dxa"/>
            <w:tcBorders>
              <w:top w:val="single" w:sz="4" w:space="0" w:color="7F7F7F"/>
              <w:left w:val="single" w:sz="4" w:space="0" w:color="7F7F7F"/>
              <w:bottom w:val="single" w:sz="4" w:space="0" w:color="7F7F7F"/>
              <w:right w:val="single" w:sz="4" w:space="0" w:color="7F7F7F"/>
            </w:tcBorders>
          </w:tcPr>
          <w:p w:rsidR="002415F8" w:rsidRPr="008870F5" w:rsidRDefault="002415F8" w:rsidP="00DE290D">
            <w:pPr>
              <w:rPr>
                <w:sz w:val="20"/>
                <w:szCs w:val="20"/>
              </w:rPr>
            </w:pPr>
            <w:r w:rsidRPr="008870F5">
              <w:rPr>
                <w:sz w:val="20"/>
                <w:szCs w:val="20"/>
              </w:rPr>
              <w:t>2 weeks after Contact 4 mails</w:t>
            </w:r>
          </w:p>
        </w:tc>
      </w:tr>
      <w:tr w:rsidR="002415F8" w:rsidRPr="008870F5" w:rsidTr="008905E3">
        <w:tc>
          <w:tcPr>
            <w:tcW w:w="2448" w:type="dxa"/>
            <w:tcBorders>
              <w:top w:val="single" w:sz="4" w:space="0" w:color="7F7F7F"/>
              <w:left w:val="single" w:sz="4" w:space="0" w:color="7F7F7F"/>
              <w:bottom w:val="single" w:sz="4" w:space="0" w:color="7F7F7F"/>
              <w:right w:val="single" w:sz="4" w:space="0" w:color="7F7F7F"/>
            </w:tcBorders>
          </w:tcPr>
          <w:p w:rsidR="002415F8" w:rsidRPr="008870F5" w:rsidRDefault="002415F8" w:rsidP="00DE290D">
            <w:pPr>
              <w:rPr>
                <w:sz w:val="20"/>
                <w:szCs w:val="20"/>
              </w:rPr>
            </w:pPr>
            <w:r w:rsidRPr="008870F5">
              <w:rPr>
                <w:sz w:val="20"/>
                <w:szCs w:val="20"/>
              </w:rPr>
              <w:t>Contact 6: Survey packet</w:t>
            </w:r>
          </w:p>
        </w:tc>
        <w:tc>
          <w:tcPr>
            <w:tcW w:w="4770" w:type="dxa"/>
            <w:tcBorders>
              <w:top w:val="single" w:sz="4" w:space="0" w:color="7F7F7F"/>
              <w:left w:val="single" w:sz="4" w:space="0" w:color="7F7F7F"/>
              <w:bottom w:val="single" w:sz="4" w:space="0" w:color="7F7F7F"/>
              <w:right w:val="single" w:sz="4" w:space="0" w:color="7F7F7F"/>
            </w:tcBorders>
          </w:tcPr>
          <w:p w:rsidR="002415F8" w:rsidRPr="008870F5" w:rsidRDefault="002415F8" w:rsidP="00DE290D">
            <w:pPr>
              <w:rPr>
                <w:sz w:val="20"/>
                <w:szCs w:val="20"/>
              </w:rPr>
            </w:pPr>
            <w:r w:rsidRPr="008870F5">
              <w:rPr>
                <w:sz w:val="20"/>
              </w:rPr>
              <w:t>Nonrespondents are sent the survey packet, which provides a third copy of the paper-and-pencil questionnaire, a pre-addressed postage paid reply envelope, and a letter from the survey vendor asking for response. As with the first and second survey packets, the paper survey also includes information on how the respondents may complete the survey on the web, if so desired.</w:t>
            </w:r>
          </w:p>
        </w:tc>
        <w:tc>
          <w:tcPr>
            <w:tcW w:w="2070" w:type="dxa"/>
            <w:tcBorders>
              <w:top w:val="single" w:sz="4" w:space="0" w:color="7F7F7F"/>
              <w:left w:val="single" w:sz="4" w:space="0" w:color="7F7F7F"/>
              <w:bottom w:val="single" w:sz="4" w:space="0" w:color="7F7F7F"/>
              <w:right w:val="single" w:sz="4" w:space="0" w:color="7F7F7F"/>
            </w:tcBorders>
          </w:tcPr>
          <w:p w:rsidR="002415F8" w:rsidRPr="008870F5" w:rsidRDefault="002415F8" w:rsidP="00DE290D">
            <w:pPr>
              <w:rPr>
                <w:sz w:val="20"/>
                <w:szCs w:val="20"/>
              </w:rPr>
            </w:pPr>
            <w:r w:rsidRPr="008870F5">
              <w:rPr>
                <w:sz w:val="20"/>
                <w:szCs w:val="20"/>
              </w:rPr>
              <w:t>2 weeks after Contact 5 phone or postcard follow-up</w:t>
            </w:r>
          </w:p>
        </w:tc>
      </w:tr>
    </w:tbl>
    <w:p w:rsidR="008905E3" w:rsidRPr="008870F5" w:rsidRDefault="008905E3"/>
    <w:p w:rsidR="00B52505" w:rsidRDefault="00B52505" w:rsidP="00286751">
      <w:pPr>
        <w:rPr>
          <w:sz w:val="20"/>
          <w:szCs w:val="20"/>
        </w:rPr>
      </w:pPr>
    </w:p>
    <w:p w:rsidR="00317E67" w:rsidRDefault="00317E67" w:rsidP="00286751">
      <w:pPr>
        <w:rPr>
          <w:sz w:val="20"/>
          <w:szCs w:val="20"/>
        </w:rPr>
      </w:pPr>
    </w:p>
    <w:p w:rsidR="00317E67" w:rsidRDefault="00317E67" w:rsidP="00286751">
      <w:pPr>
        <w:rPr>
          <w:sz w:val="20"/>
          <w:szCs w:val="20"/>
        </w:rPr>
      </w:pPr>
    </w:p>
    <w:p w:rsidR="00B66387" w:rsidRDefault="00B66387" w:rsidP="00286751">
      <w:pPr>
        <w:rPr>
          <w:sz w:val="20"/>
          <w:szCs w:val="20"/>
        </w:rPr>
      </w:pPr>
    </w:p>
    <w:p w:rsidR="008051B1" w:rsidRDefault="008051B1" w:rsidP="00286751">
      <w:pPr>
        <w:rPr>
          <w:sz w:val="20"/>
          <w:szCs w:val="20"/>
        </w:rPr>
      </w:pPr>
    </w:p>
    <w:p w:rsidR="008051B1" w:rsidRDefault="008051B1" w:rsidP="00286751">
      <w:pPr>
        <w:rPr>
          <w:sz w:val="20"/>
          <w:szCs w:val="20"/>
        </w:rPr>
      </w:pPr>
    </w:p>
    <w:p w:rsidR="008051B1" w:rsidRDefault="008051B1" w:rsidP="00286751">
      <w:pPr>
        <w:rPr>
          <w:sz w:val="20"/>
          <w:szCs w:val="20"/>
        </w:rPr>
      </w:pPr>
    </w:p>
    <w:p w:rsidR="008051B1" w:rsidRDefault="008051B1" w:rsidP="00286751">
      <w:pPr>
        <w:rPr>
          <w:sz w:val="20"/>
          <w:szCs w:val="20"/>
        </w:rPr>
      </w:pPr>
    </w:p>
    <w:p w:rsidR="008051B1" w:rsidRDefault="008051B1" w:rsidP="00286751">
      <w:pPr>
        <w:rPr>
          <w:sz w:val="20"/>
          <w:szCs w:val="20"/>
        </w:rPr>
      </w:pPr>
    </w:p>
    <w:p w:rsidR="008051B1" w:rsidRDefault="008051B1" w:rsidP="00286751">
      <w:pPr>
        <w:rPr>
          <w:sz w:val="20"/>
          <w:szCs w:val="20"/>
        </w:rPr>
      </w:pPr>
    </w:p>
    <w:p w:rsidR="00B66387" w:rsidRPr="008870F5" w:rsidRDefault="00B66387" w:rsidP="00286751">
      <w:pPr>
        <w:rPr>
          <w:sz w:val="20"/>
          <w:szCs w:val="20"/>
        </w:rPr>
      </w:pPr>
    </w:p>
    <w:p w:rsidR="00332BE3" w:rsidRPr="008870F5" w:rsidRDefault="00317E67" w:rsidP="00332BE3">
      <w:pPr>
        <w:rPr>
          <w:b/>
          <w:sz w:val="20"/>
          <w:szCs w:val="20"/>
        </w:rPr>
      </w:pPr>
      <w:r>
        <w:rPr>
          <w:b/>
          <w:sz w:val="20"/>
          <w:szCs w:val="20"/>
        </w:rPr>
        <w:t>All Other Surveys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20"/>
        <w:gridCol w:w="2160"/>
      </w:tblGrid>
      <w:tr w:rsidR="00332BE3" w:rsidRPr="008870F5" w:rsidTr="00332BE3">
        <w:tc>
          <w:tcPr>
            <w:tcW w:w="2808" w:type="dxa"/>
          </w:tcPr>
          <w:p w:rsidR="00332BE3" w:rsidRPr="008870F5" w:rsidRDefault="00332BE3" w:rsidP="00332BE3">
            <w:pPr>
              <w:jc w:val="center"/>
              <w:rPr>
                <w:sz w:val="20"/>
                <w:szCs w:val="20"/>
              </w:rPr>
            </w:pPr>
            <w:r w:rsidRPr="008870F5">
              <w:rPr>
                <w:sz w:val="20"/>
                <w:szCs w:val="20"/>
              </w:rPr>
              <w:t>Contact</w:t>
            </w:r>
          </w:p>
        </w:tc>
        <w:tc>
          <w:tcPr>
            <w:tcW w:w="4320" w:type="dxa"/>
          </w:tcPr>
          <w:p w:rsidR="00332BE3" w:rsidRPr="008870F5" w:rsidRDefault="00332BE3" w:rsidP="00332BE3">
            <w:pPr>
              <w:jc w:val="center"/>
              <w:rPr>
                <w:sz w:val="20"/>
              </w:rPr>
            </w:pPr>
            <w:r w:rsidRPr="008870F5">
              <w:rPr>
                <w:sz w:val="20"/>
              </w:rPr>
              <w:t>Description</w:t>
            </w:r>
          </w:p>
        </w:tc>
        <w:tc>
          <w:tcPr>
            <w:tcW w:w="2160" w:type="dxa"/>
          </w:tcPr>
          <w:p w:rsidR="00332BE3" w:rsidRPr="008870F5" w:rsidRDefault="00332BE3" w:rsidP="00332BE3">
            <w:pPr>
              <w:jc w:val="center"/>
              <w:rPr>
                <w:sz w:val="20"/>
                <w:szCs w:val="20"/>
              </w:rPr>
            </w:pPr>
            <w:r w:rsidRPr="008870F5">
              <w:rPr>
                <w:sz w:val="20"/>
                <w:szCs w:val="20"/>
              </w:rPr>
              <w:t>Schedule</w:t>
            </w:r>
          </w:p>
        </w:tc>
      </w:tr>
      <w:tr w:rsidR="00332BE3" w:rsidRPr="008870F5" w:rsidTr="00332BE3">
        <w:tc>
          <w:tcPr>
            <w:tcW w:w="2808" w:type="dxa"/>
          </w:tcPr>
          <w:p w:rsidR="00332BE3" w:rsidRPr="008870F5" w:rsidRDefault="00332BE3" w:rsidP="00DE290D">
            <w:pPr>
              <w:rPr>
                <w:sz w:val="20"/>
                <w:szCs w:val="20"/>
              </w:rPr>
            </w:pPr>
            <w:r w:rsidRPr="008870F5">
              <w:rPr>
                <w:sz w:val="20"/>
                <w:szCs w:val="20"/>
              </w:rPr>
              <w:t>Contact 1: Initial survey packet</w:t>
            </w:r>
          </w:p>
        </w:tc>
        <w:tc>
          <w:tcPr>
            <w:tcW w:w="4320" w:type="dxa"/>
          </w:tcPr>
          <w:p w:rsidR="00332BE3" w:rsidRPr="008870F5" w:rsidRDefault="00332BE3" w:rsidP="00DA7688">
            <w:pPr>
              <w:rPr>
                <w:sz w:val="20"/>
                <w:szCs w:val="20"/>
              </w:rPr>
            </w:pPr>
            <w:r w:rsidRPr="008870F5">
              <w:rPr>
                <w:sz w:val="20"/>
                <w:szCs w:val="20"/>
              </w:rPr>
              <w:t xml:space="preserve">The initial survey packet consists of a paper-and-pencil (TeleForm) survey, a letter from the IRS endorsing the survey, a letter from </w:t>
            </w:r>
            <w:r w:rsidR="00DA7688" w:rsidRPr="008870F5">
              <w:rPr>
                <w:sz w:val="20"/>
                <w:szCs w:val="20"/>
              </w:rPr>
              <w:t>the survey vendor</w:t>
            </w:r>
            <w:r w:rsidRPr="008870F5">
              <w:rPr>
                <w:sz w:val="20"/>
                <w:szCs w:val="20"/>
              </w:rPr>
              <w:t xml:space="preserve"> with instructions on completing the survey online, and a postage-paid return envelope. </w:t>
            </w:r>
          </w:p>
        </w:tc>
        <w:tc>
          <w:tcPr>
            <w:tcW w:w="2160" w:type="dxa"/>
          </w:tcPr>
          <w:p w:rsidR="00332BE3" w:rsidRPr="008870F5" w:rsidRDefault="00332BE3" w:rsidP="00DE290D">
            <w:pPr>
              <w:rPr>
                <w:sz w:val="20"/>
                <w:szCs w:val="20"/>
              </w:rPr>
            </w:pPr>
            <w:r w:rsidRPr="008870F5">
              <w:rPr>
                <w:sz w:val="20"/>
                <w:szCs w:val="20"/>
              </w:rPr>
              <w:t>Beginning of data collection period</w:t>
            </w:r>
          </w:p>
        </w:tc>
      </w:tr>
      <w:tr w:rsidR="00332BE3" w:rsidRPr="008870F5" w:rsidTr="00332BE3">
        <w:tc>
          <w:tcPr>
            <w:tcW w:w="2808" w:type="dxa"/>
          </w:tcPr>
          <w:p w:rsidR="00332BE3" w:rsidRPr="008870F5" w:rsidRDefault="00332BE3" w:rsidP="00DE290D">
            <w:pPr>
              <w:rPr>
                <w:sz w:val="20"/>
                <w:szCs w:val="20"/>
              </w:rPr>
            </w:pPr>
            <w:r w:rsidRPr="008870F5">
              <w:rPr>
                <w:sz w:val="20"/>
                <w:szCs w:val="20"/>
              </w:rPr>
              <w:t>Contact 2: Thank you/reminder Postcard</w:t>
            </w:r>
          </w:p>
        </w:tc>
        <w:tc>
          <w:tcPr>
            <w:tcW w:w="4320" w:type="dxa"/>
          </w:tcPr>
          <w:p w:rsidR="00332BE3" w:rsidRPr="008870F5" w:rsidRDefault="00317E67" w:rsidP="00DE290D">
            <w:pPr>
              <w:rPr>
                <w:sz w:val="20"/>
                <w:szCs w:val="20"/>
              </w:rPr>
            </w:pPr>
            <w:r w:rsidRPr="008870F5">
              <w:rPr>
                <w:sz w:val="20"/>
              </w:rPr>
              <w:t>All respondents will be mailed a thank you/reminder postcard</w:t>
            </w:r>
            <w:r w:rsidR="00511919">
              <w:rPr>
                <w:sz w:val="20"/>
              </w:rPr>
              <w:t>.</w:t>
            </w:r>
            <w:r w:rsidRPr="008870F5">
              <w:rPr>
                <w:sz w:val="20"/>
              </w:rPr>
              <w:t xml:space="preserve"> The postcard will thank those who have already submitted a completed survey and ask those who have not</w:t>
            </w:r>
            <w:r>
              <w:rPr>
                <w:sz w:val="20"/>
              </w:rPr>
              <w:t xml:space="preserve"> responded</w:t>
            </w:r>
            <w:r w:rsidRPr="008870F5">
              <w:rPr>
                <w:sz w:val="20"/>
              </w:rPr>
              <w:t xml:space="preserve"> to please do so.</w:t>
            </w:r>
          </w:p>
        </w:tc>
        <w:tc>
          <w:tcPr>
            <w:tcW w:w="2160" w:type="dxa"/>
          </w:tcPr>
          <w:p w:rsidR="00332BE3" w:rsidRPr="008870F5" w:rsidRDefault="00332BE3" w:rsidP="00DE290D">
            <w:pPr>
              <w:rPr>
                <w:sz w:val="20"/>
                <w:szCs w:val="20"/>
              </w:rPr>
            </w:pPr>
            <w:r w:rsidRPr="008870F5">
              <w:rPr>
                <w:sz w:val="20"/>
                <w:szCs w:val="20"/>
              </w:rPr>
              <w:t>7 – 10 days after Contact 1 mails</w:t>
            </w:r>
          </w:p>
        </w:tc>
      </w:tr>
      <w:tr w:rsidR="00332BE3" w:rsidRPr="008870F5" w:rsidTr="00332BE3">
        <w:tc>
          <w:tcPr>
            <w:tcW w:w="2808" w:type="dxa"/>
          </w:tcPr>
          <w:p w:rsidR="00332BE3" w:rsidRPr="008870F5" w:rsidRDefault="00332BE3" w:rsidP="00DE290D">
            <w:pPr>
              <w:rPr>
                <w:sz w:val="20"/>
                <w:szCs w:val="20"/>
              </w:rPr>
            </w:pPr>
            <w:r w:rsidRPr="008870F5">
              <w:rPr>
                <w:sz w:val="20"/>
                <w:szCs w:val="20"/>
              </w:rPr>
              <w:t>Contact 3: Follow-up survey packet</w:t>
            </w:r>
          </w:p>
        </w:tc>
        <w:tc>
          <w:tcPr>
            <w:tcW w:w="4320" w:type="dxa"/>
          </w:tcPr>
          <w:p w:rsidR="00332BE3" w:rsidRPr="008870F5" w:rsidRDefault="00332BE3" w:rsidP="00DA7688">
            <w:pPr>
              <w:rPr>
                <w:sz w:val="20"/>
                <w:szCs w:val="20"/>
              </w:rPr>
            </w:pPr>
            <w:r w:rsidRPr="008870F5">
              <w:rPr>
                <w:sz w:val="20"/>
                <w:szCs w:val="20"/>
              </w:rPr>
              <w:t xml:space="preserve">All sampled organizations will receive a follow-up survey packet, which will include the paper-and-pencil (TeleForm) survey, a letter from the IRS endorsing the survey, and a letter from </w:t>
            </w:r>
            <w:r w:rsidR="00DA7688" w:rsidRPr="008870F5">
              <w:rPr>
                <w:sz w:val="20"/>
                <w:szCs w:val="20"/>
              </w:rPr>
              <w:t>the survey vendor</w:t>
            </w:r>
            <w:r w:rsidRPr="008870F5">
              <w:rPr>
                <w:sz w:val="20"/>
                <w:szCs w:val="20"/>
              </w:rPr>
              <w:t xml:space="preserve"> with instructions on completing the survey online.4 The letters will be tailored to acknowledge the earlier survey package sent to the respondent.</w:t>
            </w:r>
          </w:p>
        </w:tc>
        <w:tc>
          <w:tcPr>
            <w:tcW w:w="2160" w:type="dxa"/>
          </w:tcPr>
          <w:p w:rsidR="00332BE3" w:rsidRPr="008870F5" w:rsidRDefault="00332BE3" w:rsidP="00DE290D">
            <w:pPr>
              <w:rPr>
                <w:sz w:val="20"/>
                <w:szCs w:val="20"/>
              </w:rPr>
            </w:pPr>
            <w:r w:rsidRPr="008870F5">
              <w:rPr>
                <w:sz w:val="20"/>
                <w:szCs w:val="20"/>
              </w:rPr>
              <w:t>7 – 10 days after Contact 1 mails</w:t>
            </w:r>
          </w:p>
        </w:tc>
      </w:tr>
      <w:tr w:rsidR="00317E67" w:rsidRPr="008870F5" w:rsidTr="00F95382">
        <w:tc>
          <w:tcPr>
            <w:tcW w:w="2808" w:type="dxa"/>
            <w:tcBorders>
              <w:top w:val="single" w:sz="4" w:space="0" w:color="7F7F7F"/>
              <w:left w:val="single" w:sz="4" w:space="0" w:color="7F7F7F"/>
              <w:bottom w:val="single" w:sz="4" w:space="0" w:color="7F7F7F"/>
              <w:right w:val="single" w:sz="4" w:space="0" w:color="7F7F7F"/>
            </w:tcBorders>
          </w:tcPr>
          <w:p w:rsidR="00317E67" w:rsidRPr="008870F5" w:rsidRDefault="00317E67" w:rsidP="00317E67">
            <w:pPr>
              <w:rPr>
                <w:sz w:val="20"/>
                <w:szCs w:val="20"/>
              </w:rPr>
            </w:pPr>
            <w:r>
              <w:rPr>
                <w:sz w:val="20"/>
                <w:szCs w:val="20"/>
              </w:rPr>
              <w:t>Contact 4</w:t>
            </w:r>
            <w:r w:rsidRPr="008870F5">
              <w:rPr>
                <w:sz w:val="20"/>
                <w:szCs w:val="20"/>
              </w:rPr>
              <w:t xml:space="preserve">: Thank you/reminder Postcard </w:t>
            </w:r>
            <w:r>
              <w:rPr>
                <w:sz w:val="20"/>
                <w:szCs w:val="20"/>
              </w:rPr>
              <w:t xml:space="preserve">or </w:t>
            </w:r>
            <w:r w:rsidRPr="008870F5">
              <w:rPr>
                <w:sz w:val="20"/>
                <w:szCs w:val="20"/>
              </w:rPr>
              <w:t xml:space="preserve">Phone </w:t>
            </w:r>
            <w:r w:rsidR="00511919" w:rsidRPr="008870F5">
              <w:rPr>
                <w:sz w:val="20"/>
                <w:szCs w:val="20"/>
              </w:rPr>
              <w:t>call)</w:t>
            </w:r>
          </w:p>
        </w:tc>
        <w:tc>
          <w:tcPr>
            <w:tcW w:w="4320" w:type="dxa"/>
            <w:tcBorders>
              <w:top w:val="single" w:sz="4" w:space="0" w:color="7F7F7F"/>
              <w:left w:val="single" w:sz="4" w:space="0" w:color="7F7F7F"/>
              <w:bottom w:val="single" w:sz="4" w:space="0" w:color="7F7F7F"/>
              <w:right w:val="single" w:sz="4" w:space="0" w:color="7F7F7F"/>
            </w:tcBorders>
          </w:tcPr>
          <w:p w:rsidR="00317E67" w:rsidRPr="008870F5" w:rsidRDefault="00317E67" w:rsidP="00317E67">
            <w:pPr>
              <w:rPr>
                <w:sz w:val="20"/>
                <w:szCs w:val="20"/>
              </w:rPr>
            </w:pPr>
            <w:r w:rsidRPr="008870F5">
              <w:rPr>
                <w:sz w:val="20"/>
              </w:rPr>
              <w:t xml:space="preserve">If no completed survey is received, nonrespondents </w:t>
            </w:r>
            <w:r>
              <w:rPr>
                <w:sz w:val="20"/>
              </w:rPr>
              <w:t>will either receive a follow-up thank you/reminder postcard, similar to Contact 3, or if they have been matched to a phone number, an IVR prompt will ask them complete and return the survey or call the su</w:t>
            </w:r>
            <w:r w:rsidR="00B66387">
              <w:rPr>
                <w:sz w:val="20"/>
              </w:rPr>
              <w:t>r</w:t>
            </w:r>
            <w:r>
              <w:rPr>
                <w:sz w:val="20"/>
              </w:rPr>
              <w:t>vey vendor if the respondent has questions.</w:t>
            </w:r>
          </w:p>
        </w:tc>
        <w:tc>
          <w:tcPr>
            <w:tcW w:w="2160" w:type="dxa"/>
          </w:tcPr>
          <w:p w:rsidR="00317E67" w:rsidRPr="008870F5" w:rsidRDefault="00317E67" w:rsidP="00317E67">
            <w:pPr>
              <w:rPr>
                <w:sz w:val="20"/>
                <w:szCs w:val="20"/>
              </w:rPr>
            </w:pPr>
            <w:r w:rsidRPr="008870F5">
              <w:rPr>
                <w:sz w:val="20"/>
                <w:szCs w:val="20"/>
              </w:rPr>
              <w:t>7 – 10 days after Contact 1 mails</w:t>
            </w:r>
          </w:p>
        </w:tc>
      </w:tr>
      <w:tr w:rsidR="00317E67" w:rsidRPr="008870F5" w:rsidTr="00F95382">
        <w:tblPrEx>
          <w:tblBorders>
            <w:top w:val="single" w:sz="18" w:space="0" w:color="7F7F7F"/>
            <w:left w:val="single" w:sz="18" w:space="0" w:color="7F7F7F"/>
            <w:bottom w:val="single" w:sz="18" w:space="0" w:color="7F7F7F"/>
            <w:right w:val="single" w:sz="18" w:space="0" w:color="7F7F7F"/>
            <w:insideH w:val="none" w:sz="0" w:space="0" w:color="auto"/>
            <w:insideV w:val="none" w:sz="0" w:space="0" w:color="auto"/>
          </w:tblBorders>
        </w:tblPrEx>
        <w:tc>
          <w:tcPr>
            <w:tcW w:w="2808" w:type="dxa"/>
            <w:tcBorders>
              <w:top w:val="single" w:sz="4" w:space="0" w:color="7F7F7F"/>
              <w:left w:val="single" w:sz="4" w:space="0" w:color="7F7F7F"/>
              <w:bottom w:val="single" w:sz="4" w:space="0" w:color="7F7F7F"/>
              <w:right w:val="single" w:sz="4" w:space="0" w:color="7F7F7F"/>
            </w:tcBorders>
          </w:tcPr>
          <w:p w:rsidR="00317E67" w:rsidRPr="008870F5" w:rsidRDefault="00317E67" w:rsidP="00E2594C">
            <w:pPr>
              <w:rPr>
                <w:sz w:val="20"/>
                <w:szCs w:val="20"/>
              </w:rPr>
            </w:pPr>
            <w:r w:rsidRPr="008870F5">
              <w:rPr>
                <w:sz w:val="20"/>
                <w:szCs w:val="20"/>
              </w:rPr>
              <w:t xml:space="preserve">Contact </w:t>
            </w:r>
            <w:r>
              <w:rPr>
                <w:sz w:val="20"/>
                <w:szCs w:val="20"/>
              </w:rPr>
              <w:t>5</w:t>
            </w:r>
            <w:r w:rsidRPr="008870F5">
              <w:rPr>
                <w:sz w:val="20"/>
                <w:szCs w:val="20"/>
              </w:rPr>
              <w:t>: Survey packet</w:t>
            </w:r>
          </w:p>
        </w:tc>
        <w:tc>
          <w:tcPr>
            <w:tcW w:w="4320" w:type="dxa"/>
            <w:tcBorders>
              <w:top w:val="single" w:sz="4" w:space="0" w:color="7F7F7F"/>
              <w:left w:val="single" w:sz="4" w:space="0" w:color="7F7F7F"/>
              <w:bottom w:val="single" w:sz="4" w:space="0" w:color="7F7F7F"/>
              <w:right w:val="single" w:sz="4" w:space="0" w:color="7F7F7F"/>
            </w:tcBorders>
          </w:tcPr>
          <w:p w:rsidR="00317E67" w:rsidRPr="008870F5" w:rsidRDefault="00317E67" w:rsidP="00E2594C">
            <w:pPr>
              <w:rPr>
                <w:sz w:val="20"/>
                <w:szCs w:val="20"/>
              </w:rPr>
            </w:pPr>
            <w:r w:rsidRPr="008870F5">
              <w:rPr>
                <w:sz w:val="20"/>
              </w:rPr>
              <w:t>Nonrespondents are sent the survey packet, which provides a third copy of the paper-and-pencil questionnaire, a pre-addressed postage paid reply envelope, and a letter from the survey vendor asking for response. As with the first and second survey packets, the paper survey also includes information on how the respondents may complete the survey on the web, if so desired.</w:t>
            </w:r>
          </w:p>
        </w:tc>
        <w:tc>
          <w:tcPr>
            <w:tcW w:w="2160" w:type="dxa"/>
            <w:tcBorders>
              <w:top w:val="single" w:sz="4" w:space="0" w:color="7F7F7F"/>
              <w:left w:val="single" w:sz="4" w:space="0" w:color="7F7F7F"/>
              <w:bottom w:val="single" w:sz="4" w:space="0" w:color="7F7F7F"/>
              <w:right w:val="single" w:sz="4" w:space="0" w:color="7F7F7F"/>
            </w:tcBorders>
          </w:tcPr>
          <w:p w:rsidR="00317E67" w:rsidRPr="008870F5" w:rsidRDefault="00317E67" w:rsidP="00E2594C">
            <w:pPr>
              <w:rPr>
                <w:sz w:val="20"/>
                <w:szCs w:val="20"/>
              </w:rPr>
            </w:pPr>
            <w:r w:rsidRPr="008870F5">
              <w:rPr>
                <w:sz w:val="20"/>
                <w:szCs w:val="20"/>
              </w:rPr>
              <w:t>2 weeks after Contact 5 phone or postcard follow-up</w:t>
            </w:r>
          </w:p>
        </w:tc>
      </w:tr>
    </w:tbl>
    <w:p w:rsidR="00E01D27" w:rsidRDefault="00E01D27" w:rsidP="00286751">
      <w:pPr>
        <w:rPr>
          <w:sz w:val="20"/>
          <w:szCs w:val="20"/>
        </w:rPr>
      </w:pPr>
    </w:p>
    <w:p w:rsidR="00D664BC" w:rsidRPr="008870F5" w:rsidRDefault="002777A6" w:rsidP="00286751">
      <w:pPr>
        <w:rPr>
          <w:sz w:val="20"/>
          <w:szCs w:val="20"/>
        </w:rPr>
      </w:pPr>
      <w:r w:rsidRPr="008870F5">
        <w:rPr>
          <w:b/>
          <w:sz w:val="20"/>
          <w:szCs w:val="20"/>
        </w:rPr>
        <w:t>Web survey.</w:t>
      </w:r>
      <w:r w:rsidRPr="008870F5">
        <w:rPr>
          <w:sz w:val="20"/>
          <w:szCs w:val="20"/>
        </w:rPr>
        <w:t xml:space="preserve"> </w:t>
      </w:r>
      <w:r w:rsidR="00D664BC" w:rsidRPr="008870F5">
        <w:rPr>
          <w:sz w:val="20"/>
          <w:szCs w:val="20"/>
        </w:rPr>
        <w:t>The secure web survey will be posted online using a proprietary web survey delivery system developed by our contractor. The software easily accommodates different question formats, including open-ended response fields.  It also allows participants to skip questions and complete the survey in more than one session (i.e., the respondent can leave the web survey and come back to finish it at a later time).  Development and testing of the web survey will follow well-established, documented best methods.</w:t>
      </w:r>
    </w:p>
    <w:p w:rsidR="00D664BC" w:rsidRPr="008870F5" w:rsidRDefault="00D664BC" w:rsidP="00D35597">
      <w:pPr>
        <w:spacing w:line="180" w:lineRule="exact"/>
        <w:rPr>
          <w:sz w:val="20"/>
          <w:szCs w:val="20"/>
        </w:rPr>
      </w:pPr>
    </w:p>
    <w:p w:rsidR="00D664BC" w:rsidRPr="008870F5" w:rsidRDefault="002777A6" w:rsidP="00286751">
      <w:pPr>
        <w:rPr>
          <w:sz w:val="20"/>
          <w:szCs w:val="20"/>
        </w:rPr>
      </w:pPr>
      <w:r w:rsidRPr="008870F5">
        <w:rPr>
          <w:b/>
          <w:sz w:val="20"/>
          <w:szCs w:val="20"/>
        </w:rPr>
        <w:t>Paper-and-pencil survey.</w:t>
      </w:r>
      <w:r w:rsidRPr="008870F5">
        <w:rPr>
          <w:sz w:val="20"/>
          <w:szCs w:val="20"/>
        </w:rPr>
        <w:t xml:space="preserve"> </w:t>
      </w:r>
      <w:r w:rsidR="00D664BC" w:rsidRPr="008870F5">
        <w:rPr>
          <w:sz w:val="20"/>
          <w:szCs w:val="20"/>
        </w:rPr>
        <w:t>The paper-and-pencil mail survey will be designed to be user friendly, easy to navigate, and with clear and simple instructions.  The survey will be created using TeleForm technology, a software system for intelligent data capture and image processing.  The software extracts indexing information automatically from any document type through the use of multiple recognition engines. TeleForm reads hand print, machine print, optical marks, bar codes, and signatures. </w:t>
      </w:r>
    </w:p>
    <w:p w:rsidR="00D664BC" w:rsidRPr="008870F5" w:rsidRDefault="00D664BC" w:rsidP="00286751">
      <w:pPr>
        <w:rPr>
          <w:sz w:val="20"/>
          <w:szCs w:val="20"/>
        </w:rPr>
      </w:pPr>
    </w:p>
    <w:p w:rsidR="00D664BC" w:rsidRPr="008870F5" w:rsidRDefault="002777A6" w:rsidP="00286751">
      <w:pPr>
        <w:rPr>
          <w:sz w:val="20"/>
          <w:szCs w:val="20"/>
        </w:rPr>
      </w:pPr>
      <w:r w:rsidRPr="008870F5">
        <w:rPr>
          <w:b/>
          <w:sz w:val="20"/>
          <w:szCs w:val="20"/>
        </w:rPr>
        <w:t>Data storage and usage.</w:t>
      </w:r>
      <w:r w:rsidRPr="008870F5">
        <w:rPr>
          <w:sz w:val="20"/>
          <w:szCs w:val="20"/>
        </w:rPr>
        <w:t xml:space="preserve"> </w:t>
      </w:r>
      <w:r w:rsidR="00D664BC" w:rsidRPr="008870F5">
        <w:rPr>
          <w:sz w:val="20"/>
          <w:szCs w:val="20"/>
        </w:rPr>
        <w:t xml:space="preserve">Response data will be stored and tracked in a response database which can then </w:t>
      </w:r>
      <w:r w:rsidR="00DD2DB5">
        <w:rPr>
          <w:sz w:val="20"/>
          <w:szCs w:val="20"/>
        </w:rPr>
        <w:t xml:space="preserve">be </w:t>
      </w:r>
      <w:r w:rsidR="00D664BC" w:rsidRPr="008870F5">
        <w:rPr>
          <w:sz w:val="20"/>
          <w:szCs w:val="20"/>
        </w:rPr>
        <w:t>used to update and extend the IRS compliance burden model. In addition, a tailored Survey Management System will track cases throughout all modes of contact, including mail, telephone, and IVR.</w:t>
      </w:r>
    </w:p>
    <w:p w:rsidR="00180AA7" w:rsidRPr="008870F5" w:rsidRDefault="00180AA7" w:rsidP="00286751">
      <w:pPr>
        <w:rPr>
          <w:sz w:val="20"/>
          <w:szCs w:val="20"/>
        </w:rPr>
      </w:pPr>
    </w:p>
    <w:p w:rsidR="00A17D59" w:rsidRPr="008870F5" w:rsidRDefault="00A17D59" w:rsidP="00A17D59">
      <w:pPr>
        <w:rPr>
          <w:sz w:val="20"/>
          <w:szCs w:val="20"/>
        </w:rPr>
      </w:pPr>
      <w:r w:rsidRPr="00A17D59">
        <w:rPr>
          <w:b/>
          <w:sz w:val="20"/>
          <w:szCs w:val="20"/>
        </w:rPr>
        <w:t>Focus groups.</w:t>
      </w:r>
      <w:r>
        <w:rPr>
          <w:sz w:val="20"/>
          <w:szCs w:val="20"/>
        </w:rPr>
        <w:t xml:space="preserve"> </w:t>
      </w:r>
      <w:r w:rsidRPr="008870F5">
        <w:rPr>
          <w:sz w:val="20"/>
          <w:szCs w:val="20"/>
        </w:rPr>
        <w:t>Focus groups allow the IRS to speak directly to industry stakeholders and other resources regarding the primary drivers of burden to inform survey instrument design. They are extremely important to the design of a new survey because they offer the opportunity to increase and validate the understanding of the burden incurred by the relevant population as well as to develop and test meaningful survey questions.</w:t>
      </w:r>
    </w:p>
    <w:p w:rsidR="00180AA7" w:rsidRPr="008870F5" w:rsidRDefault="00180AA7" w:rsidP="00286751">
      <w:pPr>
        <w:rPr>
          <w:sz w:val="20"/>
          <w:szCs w:val="20"/>
        </w:rPr>
      </w:pPr>
    </w:p>
    <w:p w:rsidR="00D664BC" w:rsidRPr="008870F5" w:rsidRDefault="005230D1" w:rsidP="00533368">
      <w:pPr>
        <w:pStyle w:val="NoSpacing"/>
        <w:numPr>
          <w:ilvl w:val="0"/>
          <w:numId w:val="7"/>
        </w:numPr>
        <w:tabs>
          <w:tab w:val="clear" w:pos="720"/>
          <w:tab w:val="num" w:pos="360"/>
        </w:tabs>
        <w:ind w:left="360"/>
        <w:contextualSpacing/>
        <w:rPr>
          <w:rFonts w:ascii="Arial" w:hAnsi="Arial" w:cs="Arial"/>
          <w:b/>
        </w:rPr>
      </w:pPr>
      <w:r w:rsidRPr="008870F5">
        <w:rPr>
          <w:rFonts w:ascii="Arial" w:hAnsi="Arial" w:cs="Arial"/>
          <w:b/>
        </w:rPr>
        <w:t>D</w:t>
      </w:r>
      <w:r w:rsidR="00D664BC" w:rsidRPr="008870F5">
        <w:rPr>
          <w:rFonts w:ascii="Arial" w:hAnsi="Arial" w:cs="Arial"/>
          <w:b/>
        </w:rPr>
        <w:t>escribe methods to maximize response rates and to deal with issues of non-response.</w:t>
      </w:r>
    </w:p>
    <w:p w:rsidR="00D664BC" w:rsidRPr="008870F5" w:rsidRDefault="00D664BC" w:rsidP="00A511A9">
      <w:pPr>
        <w:pStyle w:val="NoSpacing"/>
        <w:spacing w:line="180" w:lineRule="exact"/>
        <w:contextualSpacing/>
        <w:rPr>
          <w:rFonts w:ascii="Times New Roman" w:hAnsi="Times New Roman"/>
          <w:sz w:val="20"/>
          <w:szCs w:val="20"/>
        </w:rPr>
      </w:pPr>
    </w:p>
    <w:p w:rsidR="00CA1A34" w:rsidRDefault="00043499" w:rsidP="00CA1A34">
      <w:pPr>
        <w:rPr>
          <w:sz w:val="20"/>
          <w:szCs w:val="20"/>
        </w:rPr>
      </w:pPr>
      <w:r>
        <w:rPr>
          <w:sz w:val="20"/>
          <w:szCs w:val="20"/>
        </w:rPr>
        <w:t>The survey instrument design and administration protocol are informed by currently-accepted</w:t>
      </w:r>
      <w:r w:rsidR="001C5D5E">
        <w:rPr>
          <w:sz w:val="20"/>
          <w:szCs w:val="20"/>
        </w:rPr>
        <w:t xml:space="preserve"> best</w:t>
      </w:r>
      <w:r>
        <w:rPr>
          <w:sz w:val="20"/>
          <w:szCs w:val="20"/>
        </w:rPr>
        <w:t xml:space="preserve"> practices</w:t>
      </w:r>
      <w:r w:rsidR="00E10A3A">
        <w:rPr>
          <w:sz w:val="20"/>
          <w:szCs w:val="20"/>
        </w:rPr>
        <w:t xml:space="preserve"> that support survey response rates</w:t>
      </w:r>
      <w:r w:rsidR="00CA1A34">
        <w:rPr>
          <w:sz w:val="20"/>
          <w:szCs w:val="20"/>
        </w:rPr>
        <w:t>, such as including official IRS letter as a pre-note,</w:t>
      </w:r>
      <w:r w:rsidR="00E10A3A">
        <w:rPr>
          <w:sz w:val="20"/>
          <w:szCs w:val="20"/>
        </w:rPr>
        <w:t xml:space="preserve"> item formatting, and survey length. IRS </w:t>
      </w:r>
      <w:r w:rsidR="001C5D5E">
        <w:rPr>
          <w:sz w:val="20"/>
          <w:szCs w:val="20"/>
        </w:rPr>
        <w:t xml:space="preserve">conducted </w:t>
      </w:r>
      <w:r w:rsidR="00E10A3A">
        <w:rPr>
          <w:sz w:val="20"/>
          <w:szCs w:val="20"/>
        </w:rPr>
        <w:t>survey research during prior burden survey administrations, such as the</w:t>
      </w:r>
      <w:r w:rsidR="00E10A3A" w:rsidRPr="00E10A3A">
        <w:rPr>
          <w:sz w:val="20"/>
          <w:szCs w:val="20"/>
        </w:rPr>
        <w:t xml:space="preserve"> </w:t>
      </w:r>
      <w:r w:rsidR="00E10A3A">
        <w:rPr>
          <w:sz w:val="20"/>
          <w:szCs w:val="20"/>
        </w:rPr>
        <w:t xml:space="preserve">incentive studies discussed in Section A9, </w:t>
      </w:r>
      <w:r w:rsidR="005C5EB9">
        <w:rPr>
          <w:sz w:val="20"/>
          <w:szCs w:val="20"/>
        </w:rPr>
        <w:t xml:space="preserve">that </w:t>
      </w:r>
      <w:r w:rsidR="00E10A3A">
        <w:rPr>
          <w:sz w:val="20"/>
          <w:szCs w:val="20"/>
        </w:rPr>
        <w:t>have also provided important insight</w:t>
      </w:r>
      <w:r w:rsidR="005C5EB9">
        <w:rPr>
          <w:sz w:val="20"/>
          <w:szCs w:val="20"/>
        </w:rPr>
        <w:t>.</w:t>
      </w:r>
    </w:p>
    <w:p w:rsidR="00E10A3A" w:rsidRDefault="00E10A3A" w:rsidP="00CA1A34">
      <w:pPr>
        <w:rPr>
          <w:sz w:val="20"/>
          <w:szCs w:val="20"/>
        </w:rPr>
      </w:pPr>
    </w:p>
    <w:p w:rsidR="00D664BC" w:rsidRPr="008870F5" w:rsidRDefault="00D664BC" w:rsidP="00286751">
      <w:pPr>
        <w:rPr>
          <w:sz w:val="20"/>
          <w:szCs w:val="20"/>
        </w:rPr>
      </w:pPr>
      <w:r w:rsidRPr="008870F5">
        <w:rPr>
          <w:sz w:val="20"/>
          <w:szCs w:val="20"/>
        </w:rPr>
        <w:t xml:space="preserve">Upon completion of </w:t>
      </w:r>
      <w:r w:rsidR="00CE5D45">
        <w:rPr>
          <w:sz w:val="20"/>
          <w:szCs w:val="20"/>
        </w:rPr>
        <w:t>each</w:t>
      </w:r>
      <w:r w:rsidR="00CE5D45" w:rsidRPr="008870F5">
        <w:rPr>
          <w:sz w:val="20"/>
          <w:szCs w:val="20"/>
        </w:rPr>
        <w:t xml:space="preserve"> </w:t>
      </w:r>
      <w:r w:rsidRPr="008870F5">
        <w:rPr>
          <w:sz w:val="20"/>
          <w:szCs w:val="20"/>
        </w:rPr>
        <w:t xml:space="preserve">survey </w:t>
      </w:r>
      <w:r w:rsidR="008B4FCF">
        <w:rPr>
          <w:sz w:val="20"/>
          <w:szCs w:val="20"/>
        </w:rPr>
        <w:t>data collection</w:t>
      </w:r>
      <w:r w:rsidR="00CE5D45">
        <w:rPr>
          <w:sz w:val="20"/>
          <w:szCs w:val="20"/>
        </w:rPr>
        <w:t>,</w:t>
      </w:r>
      <w:r w:rsidRPr="008870F5">
        <w:rPr>
          <w:sz w:val="20"/>
          <w:szCs w:val="20"/>
        </w:rPr>
        <w:t xml:space="preserve"> we will conduct</w:t>
      </w:r>
      <w:r w:rsidR="00180AA7" w:rsidRPr="008870F5">
        <w:rPr>
          <w:sz w:val="20"/>
          <w:szCs w:val="20"/>
        </w:rPr>
        <w:t xml:space="preserve"> a nonresponse bias analysis. </w:t>
      </w:r>
      <w:r w:rsidRPr="008870F5">
        <w:rPr>
          <w:sz w:val="20"/>
          <w:szCs w:val="20"/>
        </w:rPr>
        <w:t xml:space="preserve">This analysis will </w:t>
      </w:r>
      <w:r w:rsidR="00CE5D45">
        <w:rPr>
          <w:sz w:val="20"/>
          <w:szCs w:val="20"/>
        </w:rPr>
        <w:t>use</w:t>
      </w:r>
      <w:r w:rsidRPr="008870F5">
        <w:rPr>
          <w:sz w:val="20"/>
          <w:szCs w:val="20"/>
        </w:rPr>
        <w:t xml:space="preserve"> a raking technique to control for </w:t>
      </w:r>
      <w:r w:rsidR="005C5EB9">
        <w:rPr>
          <w:sz w:val="20"/>
          <w:szCs w:val="20"/>
        </w:rPr>
        <w:t>the difference between the characteristics of those who respond and those who do not</w:t>
      </w:r>
      <w:r w:rsidRPr="008870F5">
        <w:rPr>
          <w:sz w:val="20"/>
          <w:szCs w:val="20"/>
        </w:rPr>
        <w:t xml:space="preserve">. The process is further outlined in the paper “Response Mode and Bias Analysis in the IRS’ Individual Taxpayer Burden Survey”, by J. Michael Brick, George Contos, Karen Masken, and Roy Nord.  </w:t>
      </w:r>
    </w:p>
    <w:p w:rsidR="00D664BC" w:rsidRPr="008870F5" w:rsidRDefault="00D664BC" w:rsidP="00A511A9">
      <w:pPr>
        <w:spacing w:line="280" w:lineRule="exact"/>
        <w:rPr>
          <w:sz w:val="20"/>
          <w:szCs w:val="20"/>
        </w:rPr>
      </w:pPr>
    </w:p>
    <w:p w:rsidR="00D664BC" w:rsidRPr="008870F5" w:rsidRDefault="00D664BC" w:rsidP="00533368">
      <w:pPr>
        <w:pStyle w:val="NoSpacing"/>
        <w:numPr>
          <w:ilvl w:val="0"/>
          <w:numId w:val="7"/>
        </w:numPr>
        <w:tabs>
          <w:tab w:val="clear" w:pos="720"/>
          <w:tab w:val="num" w:pos="360"/>
        </w:tabs>
        <w:ind w:left="360"/>
        <w:contextualSpacing/>
        <w:rPr>
          <w:rFonts w:ascii="Arial" w:hAnsi="Arial" w:cs="Arial"/>
          <w:b/>
        </w:rPr>
      </w:pPr>
      <w:r w:rsidRPr="008870F5">
        <w:rPr>
          <w:rFonts w:ascii="Arial" w:hAnsi="Arial" w:cs="Arial"/>
          <w:b/>
        </w:rPr>
        <w:t xml:space="preserve">Describe any tests of procedures or methods to be undertaken. </w:t>
      </w:r>
    </w:p>
    <w:p w:rsidR="00D664BC" w:rsidRPr="008870F5" w:rsidRDefault="00D664BC" w:rsidP="00A511A9">
      <w:pPr>
        <w:spacing w:line="180" w:lineRule="exact"/>
        <w:rPr>
          <w:sz w:val="20"/>
          <w:szCs w:val="20"/>
        </w:rPr>
      </w:pPr>
    </w:p>
    <w:p w:rsidR="00D664BC" w:rsidRPr="008870F5" w:rsidRDefault="00D664BC" w:rsidP="00286751">
      <w:pPr>
        <w:rPr>
          <w:sz w:val="20"/>
          <w:szCs w:val="20"/>
        </w:rPr>
      </w:pPr>
      <w:r w:rsidRPr="008870F5">
        <w:rPr>
          <w:sz w:val="20"/>
          <w:szCs w:val="20"/>
        </w:rPr>
        <w:t>To ensure that the collection of information is not burdensome and that the questions are clearly written and will produce accurate and valid results, the IRS will conduct cognitive testing for any new or revised survey instrument. Cognitive testing is a well-established qualitative research method intended to identify problems respondents have with comprehension of survey questions (Willis 2005)</w:t>
      </w:r>
      <w:r w:rsidRPr="008870F5">
        <w:rPr>
          <w:rStyle w:val="FootnoteReference"/>
          <w:sz w:val="20"/>
          <w:szCs w:val="20"/>
          <w:vertAlign w:val="superscript"/>
        </w:rPr>
        <w:footnoteReference w:id="1"/>
      </w:r>
      <w:r w:rsidRPr="008870F5">
        <w:rPr>
          <w:sz w:val="20"/>
          <w:szCs w:val="20"/>
        </w:rPr>
        <w:t>.  The testing will be conducted with taxpayers in the Washington, D.C. area.  Respondents will be recruited according to specific criteria (e.g., filing status, complexity of return, and filing method). Efforts will be made to recruit respondents who are demographically representative of the population being surveyed.</w:t>
      </w:r>
    </w:p>
    <w:p w:rsidR="00D664BC" w:rsidRPr="008870F5" w:rsidRDefault="00D664BC" w:rsidP="00286751">
      <w:pPr>
        <w:rPr>
          <w:sz w:val="20"/>
          <w:szCs w:val="20"/>
        </w:rPr>
      </w:pPr>
    </w:p>
    <w:p w:rsidR="00D664BC" w:rsidRPr="008870F5" w:rsidRDefault="00D664BC" w:rsidP="00286751">
      <w:pPr>
        <w:rPr>
          <w:sz w:val="20"/>
          <w:szCs w:val="20"/>
        </w:rPr>
      </w:pPr>
      <w:r w:rsidRPr="008870F5">
        <w:rPr>
          <w:sz w:val="20"/>
          <w:szCs w:val="20"/>
        </w:rPr>
        <w:t>In addition, at the outset as well as after each interaction of testing, the instrument will undergo extensive review by the IRS, the contractor, and stakeholders.</w:t>
      </w:r>
    </w:p>
    <w:p w:rsidR="00D664BC" w:rsidRPr="008870F5" w:rsidRDefault="00D664BC" w:rsidP="00286751">
      <w:pPr>
        <w:rPr>
          <w:sz w:val="20"/>
          <w:szCs w:val="20"/>
        </w:rPr>
      </w:pPr>
    </w:p>
    <w:p w:rsidR="00D664BC" w:rsidRPr="008870F5" w:rsidRDefault="00D664BC" w:rsidP="00533368">
      <w:pPr>
        <w:pStyle w:val="ListParagraph"/>
        <w:numPr>
          <w:ilvl w:val="0"/>
          <w:numId w:val="7"/>
        </w:numPr>
        <w:tabs>
          <w:tab w:val="clear" w:pos="720"/>
          <w:tab w:val="num" w:pos="360"/>
        </w:tabs>
        <w:ind w:left="360"/>
        <w:rPr>
          <w:rFonts w:ascii="Arial" w:hAnsi="Arial" w:cs="Arial"/>
          <w:b/>
          <w:sz w:val="22"/>
          <w:szCs w:val="22"/>
        </w:rPr>
      </w:pPr>
      <w:r w:rsidRPr="008870F5">
        <w:rPr>
          <w:rFonts w:ascii="Arial" w:hAnsi="Arial" w:cs="Arial"/>
          <w:b/>
          <w:sz w:val="22"/>
          <w:szCs w:val="22"/>
        </w:rPr>
        <w:t xml:space="preserve">Provide the names and telephone numbers of individuals consulted on statistical aspects of the design and the name of the agency unit, contractor(s), grantee(s), or other person(s) who will actually collect and/or analyze the information for the agency. </w:t>
      </w:r>
    </w:p>
    <w:p w:rsidR="00D664BC" w:rsidRPr="008870F5" w:rsidRDefault="00D664BC" w:rsidP="00367A09">
      <w:pPr>
        <w:pStyle w:val="ListParagraph"/>
        <w:ind w:left="360"/>
        <w:rPr>
          <w:sz w:val="20"/>
          <w:szCs w:val="20"/>
        </w:rPr>
      </w:pPr>
    </w:p>
    <w:p w:rsidR="00D664BC" w:rsidRPr="008870F5" w:rsidRDefault="00D664BC" w:rsidP="0068062D">
      <w:pPr>
        <w:pStyle w:val="ListParagraph"/>
        <w:ind w:left="0"/>
        <w:rPr>
          <w:sz w:val="20"/>
          <w:szCs w:val="20"/>
          <w:u w:val="single"/>
        </w:rPr>
      </w:pPr>
      <w:r w:rsidRPr="008870F5">
        <w:rPr>
          <w:sz w:val="20"/>
          <w:szCs w:val="20"/>
          <w:u w:val="single"/>
        </w:rPr>
        <w:t xml:space="preserve">IRS </w:t>
      </w:r>
      <w:r w:rsidR="003E406C">
        <w:rPr>
          <w:sz w:val="20"/>
          <w:szCs w:val="20"/>
          <w:u w:val="single"/>
        </w:rPr>
        <w:t>Research, Applied Analytics, and Statistics and</w:t>
      </w:r>
      <w:r w:rsidR="008102AD" w:rsidRPr="008870F5">
        <w:rPr>
          <w:sz w:val="20"/>
          <w:szCs w:val="20"/>
          <w:u w:val="single"/>
        </w:rPr>
        <w:t xml:space="preserve"> Treasury Office of Tax Analysis</w:t>
      </w:r>
    </w:p>
    <w:p w:rsidR="008102AD" w:rsidRPr="008870F5" w:rsidRDefault="008102AD" w:rsidP="0068062D">
      <w:pPr>
        <w:pStyle w:val="ListParagraph"/>
        <w:ind w:left="0"/>
        <w:rPr>
          <w:sz w:val="20"/>
          <w:szCs w:val="20"/>
        </w:rPr>
      </w:pPr>
    </w:p>
    <w:p w:rsidR="00D664BC" w:rsidRPr="008870F5" w:rsidRDefault="00D664BC" w:rsidP="0068062D">
      <w:pPr>
        <w:pStyle w:val="ListParagraph"/>
        <w:ind w:left="0"/>
        <w:rPr>
          <w:sz w:val="20"/>
          <w:szCs w:val="20"/>
        </w:rPr>
      </w:pPr>
      <w:r w:rsidRPr="008870F5">
        <w:rPr>
          <w:sz w:val="20"/>
          <w:szCs w:val="20"/>
        </w:rPr>
        <w:t xml:space="preserve">Statistical Design:  </w:t>
      </w:r>
    </w:p>
    <w:p w:rsidR="00D664BC" w:rsidRPr="008870F5" w:rsidRDefault="00D664BC" w:rsidP="0068062D">
      <w:pPr>
        <w:pStyle w:val="ListParagraph"/>
        <w:ind w:left="0"/>
        <w:rPr>
          <w:sz w:val="20"/>
          <w:szCs w:val="20"/>
          <w:lang w:val="de-DE"/>
        </w:rPr>
      </w:pPr>
      <w:r w:rsidRPr="008870F5">
        <w:rPr>
          <w:sz w:val="20"/>
          <w:szCs w:val="20"/>
          <w:lang w:val="de-DE"/>
        </w:rPr>
        <w:t>Michael Sebastiani</w:t>
      </w:r>
      <w:r w:rsidR="008102AD" w:rsidRPr="008870F5">
        <w:rPr>
          <w:sz w:val="20"/>
          <w:szCs w:val="20"/>
          <w:lang w:val="de-DE"/>
        </w:rPr>
        <w:t xml:space="preserve"> (</w:t>
      </w:r>
      <w:r w:rsidR="00811A6F" w:rsidRPr="008870F5">
        <w:rPr>
          <w:sz w:val="20"/>
          <w:szCs w:val="20"/>
          <w:lang w:val="de-DE"/>
        </w:rPr>
        <w:t xml:space="preserve">statistical </w:t>
      </w:r>
      <w:r w:rsidR="008102AD" w:rsidRPr="008870F5">
        <w:rPr>
          <w:sz w:val="20"/>
          <w:szCs w:val="20"/>
          <w:lang w:val="de-DE"/>
        </w:rPr>
        <w:t>lead)</w:t>
      </w:r>
      <w:r w:rsidRPr="008870F5">
        <w:rPr>
          <w:sz w:val="20"/>
          <w:szCs w:val="20"/>
          <w:lang w:val="de-DE"/>
        </w:rPr>
        <w:t xml:space="preserve">, </w:t>
      </w:r>
      <w:r w:rsidR="008102AD" w:rsidRPr="008870F5">
        <w:rPr>
          <w:sz w:val="20"/>
          <w:szCs w:val="20"/>
        </w:rPr>
        <w:t>IRS Research, Analysis, &amp; Statistics</w:t>
      </w:r>
      <w:r w:rsidR="008102AD" w:rsidRPr="008870F5">
        <w:rPr>
          <w:sz w:val="20"/>
          <w:szCs w:val="20"/>
          <w:lang w:val="de-DE"/>
        </w:rPr>
        <w:t xml:space="preserve"> </w:t>
      </w:r>
      <w:r w:rsidR="002376F0" w:rsidRPr="008870F5">
        <w:rPr>
          <w:sz w:val="20"/>
          <w:szCs w:val="20"/>
          <w:lang w:val="de-DE"/>
        </w:rPr>
        <w:t xml:space="preserve">  202-803-9155</w:t>
      </w:r>
    </w:p>
    <w:p w:rsidR="00A01B15" w:rsidRPr="008870F5" w:rsidRDefault="00A01B15" w:rsidP="0068062D">
      <w:pPr>
        <w:pStyle w:val="ListParagraph"/>
        <w:ind w:left="0"/>
        <w:rPr>
          <w:sz w:val="20"/>
          <w:szCs w:val="20"/>
          <w:lang w:val="de-DE"/>
        </w:rPr>
      </w:pPr>
      <w:r w:rsidRPr="008870F5">
        <w:rPr>
          <w:sz w:val="20"/>
          <w:szCs w:val="20"/>
          <w:lang w:val="de-DE"/>
        </w:rPr>
        <w:t xml:space="preserve">Ahmad Qadri </w:t>
      </w:r>
      <w:r w:rsidR="008102AD" w:rsidRPr="008870F5">
        <w:rPr>
          <w:sz w:val="20"/>
          <w:szCs w:val="20"/>
        </w:rPr>
        <w:t>IRS Research, Analysis, &amp; Statistics</w:t>
      </w:r>
      <w:r w:rsidR="00D73D12" w:rsidRPr="008870F5">
        <w:rPr>
          <w:sz w:val="20"/>
          <w:szCs w:val="20"/>
        </w:rPr>
        <w:t xml:space="preserve">  202-803-9373</w:t>
      </w:r>
    </w:p>
    <w:p w:rsidR="0043505D" w:rsidRPr="008870F5" w:rsidRDefault="00DA7688" w:rsidP="0043505D">
      <w:pPr>
        <w:shd w:val="clear" w:color="auto" w:fill="FFFFFF"/>
        <w:rPr>
          <w:rFonts w:ascii="MS Shell Dlg 2" w:hAnsi="MS Shell Dlg 2"/>
          <w:sz w:val="18"/>
          <w:szCs w:val="18"/>
        </w:rPr>
      </w:pPr>
      <w:r w:rsidRPr="008870F5">
        <w:rPr>
          <w:sz w:val="20"/>
          <w:szCs w:val="20"/>
        </w:rPr>
        <w:t xml:space="preserve">Ishani Roy, IRS Research, Analysis, &amp; </w:t>
      </w:r>
      <w:r w:rsidR="00856858" w:rsidRPr="008870F5">
        <w:rPr>
          <w:sz w:val="20"/>
          <w:szCs w:val="20"/>
        </w:rPr>
        <w:t>Statistics 202</w:t>
      </w:r>
      <w:r w:rsidR="0043505D" w:rsidRPr="008870F5">
        <w:rPr>
          <w:sz w:val="20"/>
          <w:szCs w:val="20"/>
        </w:rPr>
        <w:t>-803-9372</w:t>
      </w:r>
    </w:p>
    <w:p w:rsidR="00DA7688" w:rsidRPr="008870F5" w:rsidRDefault="003E406C" w:rsidP="0068062D">
      <w:pPr>
        <w:pStyle w:val="ListParagraph"/>
        <w:ind w:left="0"/>
        <w:rPr>
          <w:sz w:val="20"/>
          <w:szCs w:val="20"/>
        </w:rPr>
      </w:pPr>
      <w:r>
        <w:rPr>
          <w:sz w:val="20"/>
          <w:szCs w:val="20"/>
        </w:rPr>
        <w:t>Luann Weyl</w:t>
      </w:r>
    </w:p>
    <w:p w:rsidR="00D664BC" w:rsidRPr="008870F5" w:rsidRDefault="00D664BC" w:rsidP="0068062D">
      <w:pPr>
        <w:pStyle w:val="ListParagraph"/>
        <w:ind w:left="0"/>
        <w:rPr>
          <w:sz w:val="20"/>
          <w:szCs w:val="20"/>
        </w:rPr>
      </w:pPr>
    </w:p>
    <w:p w:rsidR="00D664BC" w:rsidRPr="008870F5" w:rsidRDefault="00D664BC" w:rsidP="0068062D">
      <w:pPr>
        <w:pStyle w:val="ListParagraph"/>
        <w:ind w:left="0"/>
        <w:rPr>
          <w:sz w:val="20"/>
          <w:szCs w:val="20"/>
        </w:rPr>
      </w:pPr>
      <w:r w:rsidRPr="008870F5">
        <w:rPr>
          <w:sz w:val="20"/>
          <w:szCs w:val="20"/>
        </w:rPr>
        <w:t xml:space="preserve">Collection and Analysis:  </w:t>
      </w:r>
    </w:p>
    <w:p w:rsidR="00811A6F" w:rsidRDefault="00811A6F" w:rsidP="00811A6F">
      <w:pPr>
        <w:pStyle w:val="ListParagraph"/>
        <w:ind w:left="0"/>
        <w:rPr>
          <w:sz w:val="20"/>
          <w:szCs w:val="20"/>
        </w:rPr>
      </w:pPr>
      <w:r w:rsidRPr="008870F5">
        <w:rPr>
          <w:sz w:val="20"/>
          <w:szCs w:val="20"/>
        </w:rPr>
        <w:t>Brenda Schafer (</w:t>
      </w:r>
      <w:r w:rsidR="00DE0C56">
        <w:rPr>
          <w:sz w:val="20"/>
          <w:szCs w:val="20"/>
        </w:rPr>
        <w:t>overall</w:t>
      </w:r>
      <w:r w:rsidRPr="008870F5">
        <w:rPr>
          <w:sz w:val="20"/>
          <w:szCs w:val="20"/>
        </w:rPr>
        <w:t xml:space="preserve"> lead), IRS Research, </w:t>
      </w:r>
      <w:r w:rsidR="00E75236" w:rsidRPr="008870F5">
        <w:rPr>
          <w:sz w:val="20"/>
          <w:szCs w:val="20"/>
        </w:rPr>
        <w:t>A</w:t>
      </w:r>
      <w:r w:rsidR="00E75236">
        <w:rPr>
          <w:sz w:val="20"/>
          <w:szCs w:val="20"/>
        </w:rPr>
        <w:t>pplied Analytics,</w:t>
      </w:r>
      <w:r w:rsidR="00EE70A9">
        <w:rPr>
          <w:sz w:val="20"/>
          <w:szCs w:val="20"/>
        </w:rPr>
        <w:t xml:space="preserve"> </w:t>
      </w:r>
      <w:r w:rsidR="00E75236">
        <w:rPr>
          <w:sz w:val="20"/>
          <w:szCs w:val="20"/>
        </w:rPr>
        <w:t>and</w:t>
      </w:r>
      <w:r w:rsidRPr="008870F5">
        <w:rPr>
          <w:sz w:val="20"/>
          <w:szCs w:val="20"/>
        </w:rPr>
        <w:t xml:space="preserve"> </w:t>
      </w:r>
      <w:r w:rsidR="00856858" w:rsidRPr="008870F5">
        <w:rPr>
          <w:sz w:val="20"/>
          <w:szCs w:val="20"/>
        </w:rPr>
        <w:t>Statistics</w:t>
      </w:r>
      <w:r w:rsidR="00034131">
        <w:rPr>
          <w:sz w:val="20"/>
          <w:szCs w:val="20"/>
        </w:rPr>
        <w:t>,</w:t>
      </w:r>
      <w:r w:rsidR="00E75236">
        <w:rPr>
          <w:sz w:val="20"/>
          <w:szCs w:val="20"/>
        </w:rPr>
        <w:t xml:space="preserve"> </w:t>
      </w:r>
      <w:r w:rsidR="00856858" w:rsidRPr="008870F5">
        <w:rPr>
          <w:sz w:val="20"/>
          <w:szCs w:val="20"/>
        </w:rPr>
        <w:t>202</w:t>
      </w:r>
      <w:r w:rsidRPr="008870F5">
        <w:rPr>
          <w:sz w:val="20"/>
          <w:szCs w:val="20"/>
        </w:rPr>
        <w:t>-</w:t>
      </w:r>
      <w:r w:rsidR="00A17890" w:rsidRPr="008870F5">
        <w:rPr>
          <w:sz w:val="20"/>
          <w:szCs w:val="20"/>
        </w:rPr>
        <w:t>803-9412</w:t>
      </w:r>
    </w:p>
    <w:p w:rsidR="00DE0C56" w:rsidRPr="008870F5" w:rsidRDefault="00DE0C56" w:rsidP="00DE0C56">
      <w:pPr>
        <w:pStyle w:val="ListParagraph"/>
        <w:ind w:left="0"/>
        <w:rPr>
          <w:sz w:val="20"/>
          <w:szCs w:val="20"/>
        </w:rPr>
      </w:pPr>
      <w:r w:rsidRPr="008870F5">
        <w:rPr>
          <w:sz w:val="20"/>
          <w:szCs w:val="20"/>
        </w:rPr>
        <w:t xml:space="preserve">Patrick Langetieg </w:t>
      </w:r>
      <w:r>
        <w:rPr>
          <w:sz w:val="20"/>
          <w:szCs w:val="20"/>
        </w:rPr>
        <w:t>(deputy lead)</w:t>
      </w:r>
      <w:r w:rsidR="00E75236">
        <w:rPr>
          <w:sz w:val="20"/>
          <w:szCs w:val="20"/>
        </w:rPr>
        <w:t>,</w:t>
      </w:r>
      <w:r w:rsidR="00E75236" w:rsidRPr="008870F5">
        <w:rPr>
          <w:sz w:val="20"/>
          <w:szCs w:val="20"/>
        </w:rPr>
        <w:t xml:space="preserve"> IRS Research, A</w:t>
      </w:r>
      <w:r w:rsidR="00E75236">
        <w:rPr>
          <w:sz w:val="20"/>
          <w:szCs w:val="20"/>
        </w:rPr>
        <w:t>pplied Analytics,</w:t>
      </w:r>
      <w:r w:rsidR="00EE70A9">
        <w:rPr>
          <w:sz w:val="20"/>
          <w:szCs w:val="20"/>
        </w:rPr>
        <w:t xml:space="preserve"> </w:t>
      </w:r>
      <w:r w:rsidR="00E75236">
        <w:rPr>
          <w:sz w:val="20"/>
          <w:szCs w:val="20"/>
        </w:rPr>
        <w:t>and</w:t>
      </w:r>
      <w:r w:rsidR="00E75236" w:rsidRPr="008870F5">
        <w:rPr>
          <w:sz w:val="20"/>
          <w:szCs w:val="20"/>
        </w:rPr>
        <w:t xml:space="preserve"> Statistics</w:t>
      </w:r>
      <w:r w:rsidR="00E75236">
        <w:rPr>
          <w:sz w:val="20"/>
          <w:szCs w:val="20"/>
        </w:rPr>
        <w:t>,</w:t>
      </w:r>
      <w:r w:rsidR="00E75236" w:rsidRPr="008870F5">
        <w:rPr>
          <w:sz w:val="20"/>
          <w:szCs w:val="20"/>
        </w:rPr>
        <w:t xml:space="preserve"> </w:t>
      </w:r>
      <w:r w:rsidR="00AB7BEE" w:rsidRPr="00AB7BEE">
        <w:rPr>
          <w:sz w:val="20"/>
          <w:szCs w:val="20"/>
        </w:rPr>
        <w:t>202-803-9419</w:t>
      </w:r>
    </w:p>
    <w:p w:rsidR="00DE0C56" w:rsidRPr="008870F5" w:rsidRDefault="00DE0C56" w:rsidP="00DE0C56">
      <w:pPr>
        <w:pStyle w:val="ListParagraph"/>
        <w:ind w:left="0"/>
        <w:rPr>
          <w:sz w:val="20"/>
          <w:szCs w:val="20"/>
        </w:rPr>
      </w:pPr>
      <w:r w:rsidRPr="008870F5">
        <w:rPr>
          <w:sz w:val="20"/>
          <w:szCs w:val="20"/>
        </w:rPr>
        <w:t xml:space="preserve">Jose Colon de la </w:t>
      </w:r>
      <w:r w:rsidR="00034131" w:rsidRPr="008870F5">
        <w:rPr>
          <w:sz w:val="20"/>
          <w:szCs w:val="20"/>
        </w:rPr>
        <w:t>Matta,</w:t>
      </w:r>
      <w:r w:rsidR="00E75236" w:rsidRPr="008870F5">
        <w:rPr>
          <w:sz w:val="20"/>
          <w:szCs w:val="20"/>
        </w:rPr>
        <w:t xml:space="preserve"> IRS Research, A</w:t>
      </w:r>
      <w:r w:rsidR="00E75236">
        <w:rPr>
          <w:sz w:val="20"/>
          <w:szCs w:val="20"/>
        </w:rPr>
        <w:t>pplied Analytics,</w:t>
      </w:r>
      <w:r w:rsidR="00EE70A9">
        <w:rPr>
          <w:sz w:val="20"/>
          <w:szCs w:val="20"/>
        </w:rPr>
        <w:t xml:space="preserve"> </w:t>
      </w:r>
      <w:r w:rsidR="00E75236">
        <w:rPr>
          <w:sz w:val="20"/>
          <w:szCs w:val="20"/>
        </w:rPr>
        <w:t>and</w:t>
      </w:r>
      <w:r w:rsidR="00E75236" w:rsidRPr="008870F5">
        <w:rPr>
          <w:sz w:val="20"/>
          <w:szCs w:val="20"/>
        </w:rPr>
        <w:t xml:space="preserve"> </w:t>
      </w:r>
      <w:r w:rsidR="00E75236">
        <w:rPr>
          <w:sz w:val="20"/>
          <w:szCs w:val="20"/>
        </w:rPr>
        <w:t>Statistics, 202-803-9412</w:t>
      </w:r>
    </w:p>
    <w:p w:rsidR="00D664BC" w:rsidRDefault="00D664BC" w:rsidP="0068062D">
      <w:pPr>
        <w:pStyle w:val="ListParagraph"/>
        <w:ind w:left="0"/>
        <w:rPr>
          <w:sz w:val="20"/>
          <w:szCs w:val="20"/>
        </w:rPr>
      </w:pPr>
      <w:r w:rsidRPr="008870F5">
        <w:rPr>
          <w:sz w:val="20"/>
          <w:szCs w:val="20"/>
        </w:rPr>
        <w:t>George Contos,</w:t>
      </w:r>
      <w:r w:rsidR="000D79FB">
        <w:rPr>
          <w:sz w:val="20"/>
          <w:szCs w:val="20"/>
        </w:rPr>
        <w:t xml:space="preserve"> </w:t>
      </w:r>
      <w:r w:rsidR="000D79FB" w:rsidRPr="000D79FB">
        <w:rPr>
          <w:sz w:val="20"/>
          <w:szCs w:val="20"/>
        </w:rPr>
        <w:t>Corporate Budget, Strategic Planning</w:t>
      </w:r>
      <w:r w:rsidR="000D79FB">
        <w:rPr>
          <w:sz w:val="20"/>
          <w:szCs w:val="20"/>
        </w:rPr>
        <w:t>,</w:t>
      </w:r>
      <w:r w:rsidR="000D79FB" w:rsidRPr="000D79FB">
        <w:t xml:space="preserve"> </w:t>
      </w:r>
      <w:r w:rsidR="000D79FB" w:rsidRPr="000D79FB">
        <w:rPr>
          <w:sz w:val="20"/>
          <w:szCs w:val="20"/>
        </w:rPr>
        <w:t>202-317-4287</w:t>
      </w:r>
      <w:r w:rsidR="000D79FB" w:rsidRPr="000D79FB" w:rsidDel="00E75236">
        <w:rPr>
          <w:sz w:val="20"/>
          <w:szCs w:val="20"/>
        </w:rPr>
        <w:t xml:space="preserve"> </w:t>
      </w:r>
    </w:p>
    <w:p w:rsidR="00DE0C56" w:rsidRPr="008870F5" w:rsidRDefault="00DE0C56" w:rsidP="0068062D">
      <w:pPr>
        <w:pStyle w:val="ListParagraph"/>
        <w:ind w:left="0"/>
        <w:rPr>
          <w:sz w:val="20"/>
          <w:szCs w:val="20"/>
        </w:rPr>
      </w:pPr>
      <w:r>
        <w:rPr>
          <w:sz w:val="20"/>
          <w:szCs w:val="20"/>
        </w:rPr>
        <w:t xml:space="preserve">Saurabh </w:t>
      </w:r>
      <w:r w:rsidR="00034131">
        <w:rPr>
          <w:sz w:val="20"/>
          <w:szCs w:val="20"/>
        </w:rPr>
        <w:t xml:space="preserve">Datta, </w:t>
      </w:r>
      <w:r w:rsidR="00034131" w:rsidRPr="008870F5">
        <w:rPr>
          <w:sz w:val="20"/>
          <w:szCs w:val="20"/>
        </w:rPr>
        <w:t>IRS</w:t>
      </w:r>
      <w:r w:rsidR="00E75236" w:rsidRPr="008870F5">
        <w:rPr>
          <w:sz w:val="20"/>
          <w:szCs w:val="20"/>
        </w:rPr>
        <w:t xml:space="preserve"> Research, A</w:t>
      </w:r>
      <w:r w:rsidR="00E75236">
        <w:rPr>
          <w:sz w:val="20"/>
          <w:szCs w:val="20"/>
        </w:rPr>
        <w:t>pplied Analytics,</w:t>
      </w:r>
      <w:r w:rsidR="00EE70A9">
        <w:rPr>
          <w:sz w:val="20"/>
          <w:szCs w:val="20"/>
        </w:rPr>
        <w:t xml:space="preserve"> </w:t>
      </w:r>
      <w:r w:rsidR="00E75236">
        <w:rPr>
          <w:sz w:val="20"/>
          <w:szCs w:val="20"/>
        </w:rPr>
        <w:t>and</w:t>
      </w:r>
      <w:r w:rsidR="00E75236" w:rsidRPr="008870F5">
        <w:rPr>
          <w:sz w:val="20"/>
          <w:szCs w:val="20"/>
        </w:rPr>
        <w:t xml:space="preserve"> </w:t>
      </w:r>
      <w:r w:rsidR="00034131" w:rsidRPr="008870F5">
        <w:rPr>
          <w:sz w:val="20"/>
          <w:szCs w:val="20"/>
        </w:rPr>
        <w:t>Statistics</w:t>
      </w:r>
      <w:r w:rsidR="00034131">
        <w:rPr>
          <w:sz w:val="20"/>
          <w:szCs w:val="20"/>
        </w:rPr>
        <w:t xml:space="preserve">, </w:t>
      </w:r>
      <w:r w:rsidR="00034131" w:rsidRPr="008870F5">
        <w:rPr>
          <w:sz w:val="20"/>
          <w:szCs w:val="20"/>
        </w:rPr>
        <w:t>202</w:t>
      </w:r>
      <w:r w:rsidR="000D79FB" w:rsidRPr="000D79FB">
        <w:rPr>
          <w:sz w:val="20"/>
          <w:szCs w:val="20"/>
        </w:rPr>
        <w:t>-803-9018</w:t>
      </w:r>
      <w:r w:rsidR="00E75236">
        <w:rPr>
          <w:sz w:val="20"/>
          <w:szCs w:val="20"/>
        </w:rPr>
        <w:t xml:space="preserve"> </w:t>
      </w:r>
    </w:p>
    <w:p w:rsidR="00DE0C56" w:rsidRDefault="00DE0C56" w:rsidP="0068062D">
      <w:pPr>
        <w:pStyle w:val="ListParagraph"/>
        <w:ind w:left="0"/>
        <w:rPr>
          <w:sz w:val="20"/>
          <w:szCs w:val="20"/>
        </w:rPr>
      </w:pPr>
      <w:r w:rsidRPr="008870F5">
        <w:rPr>
          <w:sz w:val="20"/>
          <w:szCs w:val="20"/>
        </w:rPr>
        <w:t xml:space="preserve">John Guyton, </w:t>
      </w:r>
      <w:r w:rsidR="003E406C">
        <w:rPr>
          <w:sz w:val="20"/>
          <w:szCs w:val="20"/>
        </w:rPr>
        <w:t>(overall lead</w:t>
      </w:r>
      <w:r w:rsidR="00E75236">
        <w:rPr>
          <w:sz w:val="20"/>
          <w:szCs w:val="20"/>
        </w:rPr>
        <w:t xml:space="preserve"> for</w:t>
      </w:r>
      <w:r w:rsidR="003E406C">
        <w:rPr>
          <w:sz w:val="20"/>
          <w:szCs w:val="20"/>
        </w:rPr>
        <w:t xml:space="preserve"> prior surveys)</w:t>
      </w:r>
      <w:r w:rsidR="00E75236">
        <w:rPr>
          <w:sz w:val="20"/>
          <w:szCs w:val="20"/>
        </w:rPr>
        <w:t xml:space="preserve">. </w:t>
      </w:r>
      <w:r w:rsidR="00E75236" w:rsidRPr="008870F5">
        <w:rPr>
          <w:sz w:val="20"/>
          <w:szCs w:val="20"/>
        </w:rPr>
        <w:t>IRS Research, A</w:t>
      </w:r>
      <w:r w:rsidR="00E75236">
        <w:rPr>
          <w:sz w:val="20"/>
          <w:szCs w:val="20"/>
        </w:rPr>
        <w:t>pplied Analytics,</w:t>
      </w:r>
      <w:r w:rsidR="00EE70A9">
        <w:rPr>
          <w:sz w:val="20"/>
          <w:szCs w:val="20"/>
        </w:rPr>
        <w:t xml:space="preserve"> </w:t>
      </w:r>
      <w:r w:rsidR="00E75236">
        <w:rPr>
          <w:sz w:val="20"/>
          <w:szCs w:val="20"/>
        </w:rPr>
        <w:t>and</w:t>
      </w:r>
      <w:r w:rsidR="00E75236" w:rsidRPr="008870F5">
        <w:rPr>
          <w:sz w:val="20"/>
          <w:szCs w:val="20"/>
        </w:rPr>
        <w:t xml:space="preserve"> </w:t>
      </w:r>
      <w:r w:rsidR="00034131" w:rsidRPr="008870F5">
        <w:rPr>
          <w:sz w:val="20"/>
          <w:szCs w:val="20"/>
        </w:rPr>
        <w:t>Statistics</w:t>
      </w:r>
      <w:r w:rsidR="00034131">
        <w:rPr>
          <w:sz w:val="20"/>
          <w:szCs w:val="20"/>
        </w:rPr>
        <w:t>,</w:t>
      </w:r>
      <w:r w:rsidR="00034131" w:rsidRPr="008870F5">
        <w:rPr>
          <w:sz w:val="20"/>
          <w:szCs w:val="20"/>
        </w:rPr>
        <w:t xml:space="preserve"> </w:t>
      </w:r>
      <w:r w:rsidR="00034131">
        <w:rPr>
          <w:sz w:val="20"/>
          <w:szCs w:val="20"/>
        </w:rPr>
        <w:t>202</w:t>
      </w:r>
      <w:r w:rsidR="000D79FB" w:rsidRPr="000D79FB">
        <w:rPr>
          <w:sz w:val="20"/>
          <w:szCs w:val="20"/>
        </w:rPr>
        <w:t>-803-9156</w:t>
      </w:r>
    </w:p>
    <w:p w:rsidR="00DE0C56" w:rsidRDefault="00D664BC" w:rsidP="0068062D">
      <w:pPr>
        <w:pStyle w:val="ListParagraph"/>
        <w:ind w:left="0"/>
        <w:rPr>
          <w:sz w:val="20"/>
          <w:szCs w:val="20"/>
        </w:rPr>
      </w:pPr>
      <w:r w:rsidRPr="008870F5">
        <w:rPr>
          <w:sz w:val="20"/>
          <w:szCs w:val="20"/>
        </w:rPr>
        <w:t xml:space="preserve">Ronald H. Hodge </w:t>
      </w:r>
      <w:r w:rsidR="00034131" w:rsidRPr="008870F5">
        <w:rPr>
          <w:sz w:val="20"/>
          <w:szCs w:val="20"/>
        </w:rPr>
        <w:t>II,</w:t>
      </w:r>
      <w:r w:rsidR="00E75236" w:rsidRPr="008870F5">
        <w:rPr>
          <w:sz w:val="20"/>
          <w:szCs w:val="20"/>
        </w:rPr>
        <w:t xml:space="preserve"> IRS Research, A</w:t>
      </w:r>
      <w:r w:rsidR="00E75236">
        <w:rPr>
          <w:sz w:val="20"/>
          <w:szCs w:val="20"/>
        </w:rPr>
        <w:t>pplied Analytics,</w:t>
      </w:r>
      <w:r w:rsidR="00EE70A9">
        <w:rPr>
          <w:sz w:val="20"/>
          <w:szCs w:val="20"/>
        </w:rPr>
        <w:t xml:space="preserve"> </w:t>
      </w:r>
      <w:r w:rsidR="00E75236">
        <w:rPr>
          <w:sz w:val="20"/>
          <w:szCs w:val="20"/>
        </w:rPr>
        <w:t>and</w:t>
      </w:r>
      <w:r w:rsidR="00E75236" w:rsidRPr="008870F5">
        <w:rPr>
          <w:sz w:val="20"/>
          <w:szCs w:val="20"/>
        </w:rPr>
        <w:t xml:space="preserve"> Statistics</w:t>
      </w:r>
      <w:r w:rsidR="00AE775A">
        <w:rPr>
          <w:sz w:val="20"/>
          <w:szCs w:val="20"/>
        </w:rPr>
        <w:t xml:space="preserve">, </w:t>
      </w:r>
      <w:r w:rsidR="00AE775A" w:rsidRPr="00AE775A">
        <w:rPr>
          <w:sz w:val="20"/>
          <w:szCs w:val="20"/>
        </w:rPr>
        <w:t>202-803-9414</w:t>
      </w:r>
      <w:r w:rsidR="00E75236">
        <w:rPr>
          <w:sz w:val="20"/>
          <w:szCs w:val="20"/>
        </w:rPr>
        <w:t xml:space="preserve"> </w:t>
      </w:r>
    </w:p>
    <w:p w:rsidR="00DE0C56" w:rsidRDefault="00DE0C56" w:rsidP="0068062D">
      <w:pPr>
        <w:pStyle w:val="ListParagraph"/>
        <w:ind w:left="0"/>
        <w:rPr>
          <w:sz w:val="20"/>
          <w:szCs w:val="20"/>
        </w:rPr>
      </w:pPr>
      <w:r>
        <w:rPr>
          <w:sz w:val="20"/>
          <w:szCs w:val="20"/>
        </w:rPr>
        <w:t>Rizwan Javaid,</w:t>
      </w:r>
      <w:r w:rsidR="00E75236">
        <w:rPr>
          <w:sz w:val="20"/>
          <w:szCs w:val="20"/>
        </w:rPr>
        <w:t xml:space="preserve"> </w:t>
      </w:r>
      <w:r w:rsidR="00E75236" w:rsidRPr="008870F5">
        <w:rPr>
          <w:sz w:val="20"/>
          <w:szCs w:val="20"/>
        </w:rPr>
        <w:t>IRS Research, A</w:t>
      </w:r>
      <w:r w:rsidR="00EE70A9">
        <w:rPr>
          <w:sz w:val="20"/>
          <w:szCs w:val="20"/>
        </w:rPr>
        <w:t>pplied Analytics</w:t>
      </w:r>
      <w:r w:rsidR="00E75236" w:rsidRPr="008870F5">
        <w:rPr>
          <w:sz w:val="20"/>
          <w:szCs w:val="20"/>
        </w:rPr>
        <w:t>,</w:t>
      </w:r>
      <w:r w:rsidR="00EE70A9">
        <w:rPr>
          <w:sz w:val="20"/>
          <w:szCs w:val="20"/>
        </w:rPr>
        <w:t xml:space="preserve"> </w:t>
      </w:r>
      <w:r w:rsidR="00E75236">
        <w:rPr>
          <w:sz w:val="20"/>
          <w:szCs w:val="20"/>
        </w:rPr>
        <w:t>and</w:t>
      </w:r>
      <w:r w:rsidR="00E75236" w:rsidRPr="008870F5">
        <w:rPr>
          <w:sz w:val="20"/>
          <w:szCs w:val="20"/>
        </w:rPr>
        <w:t xml:space="preserve"> </w:t>
      </w:r>
      <w:r w:rsidR="00034131" w:rsidRPr="008870F5">
        <w:rPr>
          <w:sz w:val="20"/>
          <w:szCs w:val="20"/>
        </w:rPr>
        <w:t>Statistics</w:t>
      </w:r>
      <w:r w:rsidR="00034131">
        <w:rPr>
          <w:sz w:val="20"/>
          <w:szCs w:val="20"/>
        </w:rPr>
        <w:t>, 240</w:t>
      </w:r>
      <w:r w:rsidR="00AB7BEE" w:rsidRPr="00AB7BEE">
        <w:rPr>
          <w:sz w:val="20"/>
          <w:szCs w:val="20"/>
        </w:rPr>
        <w:t>-613-5023</w:t>
      </w:r>
    </w:p>
    <w:p w:rsidR="00D664BC" w:rsidRPr="008870F5" w:rsidRDefault="003E406C" w:rsidP="0068062D">
      <w:pPr>
        <w:pStyle w:val="ListParagraph"/>
        <w:ind w:left="0"/>
        <w:rPr>
          <w:sz w:val="20"/>
          <w:szCs w:val="20"/>
        </w:rPr>
      </w:pPr>
      <w:r>
        <w:rPr>
          <w:sz w:val="20"/>
          <w:szCs w:val="20"/>
        </w:rPr>
        <w:t xml:space="preserve">Scott Leary, </w:t>
      </w:r>
      <w:r w:rsidR="00E75236">
        <w:rPr>
          <w:sz w:val="20"/>
          <w:szCs w:val="20"/>
        </w:rPr>
        <w:t>IRS Tax-Exempt and Government Entities</w:t>
      </w:r>
      <w:r w:rsidR="00AB7BEE">
        <w:rPr>
          <w:sz w:val="20"/>
          <w:szCs w:val="20"/>
        </w:rPr>
        <w:t xml:space="preserve">, </w:t>
      </w:r>
      <w:r w:rsidR="00AB7BEE" w:rsidRPr="00AB7BEE">
        <w:rPr>
          <w:sz w:val="20"/>
          <w:szCs w:val="20"/>
        </w:rPr>
        <w:t>202-317-8767</w:t>
      </w:r>
    </w:p>
    <w:p w:rsidR="00D664BC" w:rsidRPr="008870F5" w:rsidRDefault="00D664BC" w:rsidP="0068062D">
      <w:pPr>
        <w:pStyle w:val="ListParagraph"/>
        <w:ind w:left="0"/>
        <w:rPr>
          <w:sz w:val="20"/>
          <w:szCs w:val="20"/>
        </w:rPr>
      </w:pPr>
      <w:r w:rsidRPr="008870F5">
        <w:rPr>
          <w:sz w:val="20"/>
          <w:szCs w:val="20"/>
        </w:rPr>
        <w:t xml:space="preserve">Melissa Vigil, </w:t>
      </w:r>
      <w:r w:rsidR="00E75236">
        <w:rPr>
          <w:sz w:val="20"/>
          <w:szCs w:val="20"/>
        </w:rPr>
        <w:t>I</w:t>
      </w:r>
      <w:r w:rsidR="00E75236" w:rsidRPr="008870F5">
        <w:rPr>
          <w:sz w:val="20"/>
          <w:szCs w:val="20"/>
        </w:rPr>
        <w:t>RS Research, A</w:t>
      </w:r>
      <w:r w:rsidR="00E75236">
        <w:rPr>
          <w:sz w:val="20"/>
          <w:szCs w:val="20"/>
        </w:rPr>
        <w:t>pplied Analytics,</w:t>
      </w:r>
      <w:r w:rsidR="00EE70A9">
        <w:rPr>
          <w:sz w:val="20"/>
          <w:szCs w:val="20"/>
        </w:rPr>
        <w:t xml:space="preserve"> </w:t>
      </w:r>
      <w:r w:rsidR="00E75236">
        <w:rPr>
          <w:sz w:val="20"/>
          <w:szCs w:val="20"/>
        </w:rPr>
        <w:t>and</w:t>
      </w:r>
      <w:r w:rsidR="00E75236" w:rsidRPr="008870F5">
        <w:rPr>
          <w:sz w:val="20"/>
          <w:szCs w:val="20"/>
        </w:rPr>
        <w:t xml:space="preserve"> </w:t>
      </w:r>
      <w:r w:rsidR="00034131" w:rsidRPr="008870F5">
        <w:rPr>
          <w:sz w:val="20"/>
          <w:szCs w:val="20"/>
        </w:rPr>
        <w:t>Statistics</w:t>
      </w:r>
      <w:r w:rsidR="00034131">
        <w:rPr>
          <w:sz w:val="20"/>
          <w:szCs w:val="20"/>
        </w:rPr>
        <w:t xml:space="preserve">, </w:t>
      </w:r>
      <w:r w:rsidR="00034131" w:rsidRPr="008870F5">
        <w:rPr>
          <w:sz w:val="20"/>
          <w:szCs w:val="20"/>
        </w:rPr>
        <w:t>202</w:t>
      </w:r>
      <w:r w:rsidR="00AB7BEE" w:rsidRPr="00AB7BEE">
        <w:rPr>
          <w:sz w:val="20"/>
          <w:szCs w:val="20"/>
        </w:rPr>
        <w:t>-803-9404</w:t>
      </w:r>
      <w:r w:rsidR="00E75236">
        <w:rPr>
          <w:sz w:val="20"/>
          <w:szCs w:val="20"/>
        </w:rPr>
        <w:t xml:space="preserve"> </w:t>
      </w:r>
    </w:p>
    <w:p w:rsidR="00D664BC" w:rsidRPr="008870F5" w:rsidRDefault="00D664BC" w:rsidP="0068062D">
      <w:pPr>
        <w:pStyle w:val="ListParagraph"/>
        <w:ind w:left="0"/>
        <w:rPr>
          <w:sz w:val="20"/>
          <w:szCs w:val="20"/>
        </w:rPr>
      </w:pPr>
      <w:r w:rsidRPr="008870F5">
        <w:rPr>
          <w:sz w:val="20"/>
          <w:szCs w:val="20"/>
        </w:rPr>
        <w:t>Susan Nelson</w:t>
      </w:r>
      <w:r w:rsidR="00811A6F" w:rsidRPr="008870F5">
        <w:rPr>
          <w:sz w:val="20"/>
          <w:szCs w:val="20"/>
        </w:rPr>
        <w:t xml:space="preserve"> (</w:t>
      </w:r>
      <w:r w:rsidR="00E75236">
        <w:rPr>
          <w:sz w:val="20"/>
          <w:szCs w:val="20"/>
        </w:rPr>
        <w:t xml:space="preserve">prior </w:t>
      </w:r>
      <w:r w:rsidR="00811A6F" w:rsidRPr="008870F5">
        <w:rPr>
          <w:sz w:val="20"/>
          <w:szCs w:val="20"/>
        </w:rPr>
        <w:t>policy analysis advisor)</w:t>
      </w:r>
      <w:r w:rsidRPr="008870F5">
        <w:rPr>
          <w:sz w:val="20"/>
          <w:szCs w:val="20"/>
        </w:rPr>
        <w:t xml:space="preserve">, </w:t>
      </w:r>
      <w:r w:rsidR="00E75236">
        <w:rPr>
          <w:sz w:val="20"/>
          <w:szCs w:val="20"/>
        </w:rPr>
        <w:t xml:space="preserve">formerly with </w:t>
      </w:r>
      <w:r w:rsidRPr="008870F5">
        <w:rPr>
          <w:sz w:val="20"/>
          <w:szCs w:val="20"/>
        </w:rPr>
        <w:t xml:space="preserve">Department of Treasury, Office of Tax </w:t>
      </w:r>
      <w:r w:rsidR="00856858" w:rsidRPr="008870F5">
        <w:rPr>
          <w:sz w:val="20"/>
          <w:szCs w:val="20"/>
        </w:rPr>
        <w:t xml:space="preserve">Policy </w:t>
      </w:r>
    </w:p>
    <w:p w:rsidR="00D664BC" w:rsidRPr="008870F5" w:rsidRDefault="00D664BC" w:rsidP="0068062D">
      <w:pPr>
        <w:pStyle w:val="ListParagraph"/>
        <w:ind w:left="0"/>
        <w:rPr>
          <w:sz w:val="20"/>
          <w:szCs w:val="20"/>
        </w:rPr>
      </w:pPr>
    </w:p>
    <w:p w:rsidR="00D664BC" w:rsidRPr="008870F5" w:rsidRDefault="00D664BC" w:rsidP="0068062D">
      <w:pPr>
        <w:pStyle w:val="ListParagraph"/>
        <w:ind w:left="0"/>
        <w:rPr>
          <w:sz w:val="20"/>
          <w:szCs w:val="20"/>
        </w:rPr>
      </w:pPr>
    </w:p>
    <w:p w:rsidR="00EE70A9" w:rsidRDefault="00EE70A9" w:rsidP="0068062D">
      <w:pPr>
        <w:pStyle w:val="ListParagraph"/>
        <w:ind w:left="0"/>
        <w:rPr>
          <w:sz w:val="20"/>
          <w:szCs w:val="20"/>
          <w:u w:val="single"/>
        </w:rPr>
      </w:pPr>
    </w:p>
    <w:p w:rsidR="00EE70A9" w:rsidRDefault="00EE70A9" w:rsidP="0068062D">
      <w:pPr>
        <w:pStyle w:val="ListParagraph"/>
        <w:ind w:left="0"/>
        <w:rPr>
          <w:sz w:val="20"/>
          <w:szCs w:val="20"/>
          <w:u w:val="single"/>
        </w:rPr>
      </w:pPr>
    </w:p>
    <w:p w:rsidR="00D664BC" w:rsidRPr="008870F5" w:rsidRDefault="00D664BC" w:rsidP="0068062D">
      <w:pPr>
        <w:pStyle w:val="ListParagraph"/>
        <w:ind w:left="0"/>
        <w:rPr>
          <w:sz w:val="20"/>
          <w:szCs w:val="20"/>
          <w:u w:val="single"/>
        </w:rPr>
      </w:pPr>
      <w:r w:rsidRPr="008870F5">
        <w:rPr>
          <w:sz w:val="20"/>
          <w:szCs w:val="20"/>
          <w:u w:val="single"/>
        </w:rPr>
        <w:t>Westat</w:t>
      </w:r>
      <w:r w:rsidR="00DA7688" w:rsidRPr="008870F5">
        <w:rPr>
          <w:sz w:val="20"/>
          <w:szCs w:val="20"/>
          <w:u w:val="single"/>
        </w:rPr>
        <w:t xml:space="preserve"> (Survey</w:t>
      </w:r>
      <w:r w:rsidR="00DE0C56">
        <w:rPr>
          <w:sz w:val="20"/>
          <w:szCs w:val="20"/>
          <w:u w:val="single"/>
        </w:rPr>
        <w:t xml:space="preserve"> Administrator</w:t>
      </w:r>
      <w:r w:rsidR="00DA7688" w:rsidRPr="008870F5">
        <w:rPr>
          <w:sz w:val="20"/>
          <w:szCs w:val="20"/>
          <w:u w:val="single"/>
        </w:rPr>
        <w:t>)</w:t>
      </w:r>
    </w:p>
    <w:p w:rsidR="008102AD" w:rsidRPr="008870F5" w:rsidRDefault="008102AD" w:rsidP="0068062D">
      <w:pPr>
        <w:pStyle w:val="ListParagraph"/>
        <w:ind w:left="0"/>
        <w:rPr>
          <w:sz w:val="20"/>
          <w:szCs w:val="20"/>
        </w:rPr>
      </w:pPr>
    </w:p>
    <w:p w:rsidR="00D664BC" w:rsidRPr="008870F5" w:rsidRDefault="00D664BC" w:rsidP="0068062D">
      <w:pPr>
        <w:pStyle w:val="ListParagraph"/>
        <w:ind w:left="0"/>
        <w:rPr>
          <w:sz w:val="20"/>
          <w:szCs w:val="20"/>
        </w:rPr>
      </w:pPr>
      <w:r w:rsidRPr="008870F5">
        <w:rPr>
          <w:sz w:val="20"/>
          <w:szCs w:val="20"/>
        </w:rPr>
        <w:t xml:space="preserve">Data Collection: </w:t>
      </w:r>
    </w:p>
    <w:p w:rsidR="00D664BC" w:rsidRPr="008870F5" w:rsidRDefault="00D664BC" w:rsidP="0068062D">
      <w:pPr>
        <w:pStyle w:val="ListParagraph"/>
        <w:ind w:left="0"/>
        <w:rPr>
          <w:sz w:val="20"/>
          <w:szCs w:val="20"/>
        </w:rPr>
      </w:pPr>
      <w:r w:rsidRPr="008870F5">
        <w:rPr>
          <w:sz w:val="20"/>
          <w:szCs w:val="20"/>
        </w:rPr>
        <w:t>Kerry Levin, Project Manager</w:t>
      </w:r>
      <w:r w:rsidR="00863A7B" w:rsidRPr="008870F5">
        <w:rPr>
          <w:sz w:val="20"/>
          <w:szCs w:val="20"/>
        </w:rPr>
        <w:t>, 301-294-3928</w:t>
      </w:r>
    </w:p>
    <w:p w:rsidR="00863A7B" w:rsidRPr="008870F5" w:rsidRDefault="00863A7B" w:rsidP="0068062D">
      <w:pPr>
        <w:pStyle w:val="ListParagraph"/>
        <w:ind w:left="0"/>
        <w:rPr>
          <w:sz w:val="20"/>
          <w:szCs w:val="20"/>
        </w:rPr>
      </w:pPr>
      <w:r w:rsidRPr="008870F5">
        <w:rPr>
          <w:sz w:val="20"/>
          <w:szCs w:val="20"/>
        </w:rPr>
        <w:t>Jocelyn Newsome, Research Analyst</w:t>
      </w:r>
    </w:p>
    <w:p w:rsidR="00D664BC" w:rsidRPr="008870F5" w:rsidRDefault="00D664BC" w:rsidP="0068062D">
      <w:pPr>
        <w:pStyle w:val="ListParagraph"/>
        <w:ind w:left="0"/>
        <w:rPr>
          <w:sz w:val="20"/>
          <w:szCs w:val="20"/>
        </w:rPr>
      </w:pPr>
      <w:r w:rsidRPr="008870F5">
        <w:rPr>
          <w:sz w:val="20"/>
          <w:szCs w:val="20"/>
        </w:rPr>
        <w:t>Martha Stapleton, Project Manager</w:t>
      </w:r>
    </w:p>
    <w:p w:rsidR="00DA7688" w:rsidRPr="008870F5" w:rsidRDefault="00DE0C56" w:rsidP="0068062D">
      <w:pPr>
        <w:pStyle w:val="ListParagraph"/>
        <w:ind w:left="0"/>
        <w:rPr>
          <w:sz w:val="20"/>
          <w:szCs w:val="20"/>
        </w:rPr>
      </w:pPr>
      <w:r>
        <w:rPr>
          <w:sz w:val="20"/>
          <w:szCs w:val="20"/>
        </w:rPr>
        <w:t>Jennifer McNulty</w:t>
      </w:r>
      <w:r w:rsidR="00DA7688" w:rsidRPr="008870F5">
        <w:rPr>
          <w:sz w:val="20"/>
          <w:szCs w:val="20"/>
        </w:rPr>
        <w:t xml:space="preserve">, </w:t>
      </w:r>
      <w:r w:rsidR="002D5C88" w:rsidRPr="008870F5">
        <w:rPr>
          <w:sz w:val="20"/>
          <w:szCs w:val="20"/>
        </w:rPr>
        <w:t>Project Manager</w:t>
      </w:r>
    </w:p>
    <w:p w:rsidR="00DE0C56" w:rsidRDefault="00DE0C56" w:rsidP="0068062D">
      <w:pPr>
        <w:pStyle w:val="ListParagraph"/>
        <w:ind w:left="0"/>
        <w:rPr>
          <w:sz w:val="20"/>
          <w:szCs w:val="20"/>
        </w:rPr>
      </w:pPr>
      <w:r>
        <w:rPr>
          <w:sz w:val="20"/>
          <w:szCs w:val="20"/>
        </w:rPr>
        <w:t>Karen Stein, Project Manager</w:t>
      </w:r>
    </w:p>
    <w:p w:rsidR="00534332" w:rsidRPr="008870F5" w:rsidRDefault="00832C76" w:rsidP="0068062D">
      <w:pPr>
        <w:pStyle w:val="ListParagraph"/>
        <w:ind w:left="0"/>
        <w:rPr>
          <w:sz w:val="20"/>
          <w:szCs w:val="20"/>
        </w:rPr>
      </w:pPr>
      <w:r>
        <w:rPr>
          <w:sz w:val="20"/>
          <w:szCs w:val="20"/>
        </w:rPr>
        <w:t>Reina Sprankle, Survey Intake Manager</w:t>
      </w:r>
    </w:p>
    <w:p w:rsidR="00AB7BEE" w:rsidRDefault="00AB7BEE" w:rsidP="0068062D">
      <w:pPr>
        <w:pStyle w:val="ListParagraph"/>
        <w:ind w:left="0"/>
        <w:rPr>
          <w:sz w:val="20"/>
          <w:szCs w:val="20"/>
        </w:rPr>
      </w:pPr>
    </w:p>
    <w:p w:rsidR="00D664BC" w:rsidRPr="008870F5" w:rsidRDefault="00D664BC" w:rsidP="0068062D">
      <w:pPr>
        <w:pStyle w:val="ListParagraph"/>
        <w:ind w:left="0"/>
        <w:rPr>
          <w:sz w:val="20"/>
          <w:szCs w:val="20"/>
        </w:rPr>
      </w:pPr>
      <w:r w:rsidRPr="008870F5">
        <w:rPr>
          <w:sz w:val="20"/>
          <w:szCs w:val="20"/>
        </w:rPr>
        <w:t>Statistic</w:t>
      </w:r>
      <w:r w:rsidR="008102AD" w:rsidRPr="008870F5">
        <w:rPr>
          <w:sz w:val="20"/>
          <w:szCs w:val="20"/>
        </w:rPr>
        <w:t>al Design and Analysis</w:t>
      </w:r>
      <w:r w:rsidRPr="008870F5">
        <w:rPr>
          <w:sz w:val="20"/>
          <w:szCs w:val="20"/>
        </w:rPr>
        <w:t>:</w:t>
      </w:r>
    </w:p>
    <w:p w:rsidR="00286751" w:rsidRPr="008870F5" w:rsidRDefault="00D664BC" w:rsidP="0068062D">
      <w:pPr>
        <w:pStyle w:val="ListParagraph"/>
        <w:ind w:left="0"/>
        <w:rPr>
          <w:sz w:val="20"/>
          <w:szCs w:val="20"/>
        </w:rPr>
      </w:pPr>
      <w:r w:rsidRPr="008870F5">
        <w:rPr>
          <w:sz w:val="20"/>
          <w:szCs w:val="20"/>
        </w:rPr>
        <w:t>Mike Brick, Statistician</w:t>
      </w:r>
    </w:p>
    <w:p w:rsidR="00A17890" w:rsidRPr="008870F5" w:rsidRDefault="00A17890" w:rsidP="0068062D">
      <w:pPr>
        <w:pStyle w:val="ListParagraph"/>
        <w:ind w:left="0"/>
        <w:rPr>
          <w:sz w:val="20"/>
          <w:szCs w:val="20"/>
        </w:rPr>
      </w:pPr>
    </w:p>
    <w:p w:rsidR="001647C7" w:rsidRDefault="001647C7" w:rsidP="0068062D">
      <w:pPr>
        <w:pStyle w:val="ListParagraph"/>
        <w:ind w:left="0"/>
        <w:rPr>
          <w:b/>
          <w:bCs/>
          <w:sz w:val="20"/>
          <w:szCs w:val="20"/>
        </w:rPr>
      </w:pPr>
    </w:p>
    <w:p w:rsidR="001647C7" w:rsidRDefault="001647C7" w:rsidP="0068062D">
      <w:pPr>
        <w:pStyle w:val="ListParagraph"/>
        <w:ind w:left="0"/>
        <w:rPr>
          <w:b/>
          <w:bCs/>
          <w:sz w:val="20"/>
          <w:szCs w:val="20"/>
        </w:rPr>
      </w:pPr>
    </w:p>
    <w:p w:rsidR="00E40FB5" w:rsidRDefault="00E40FB5" w:rsidP="0068062D">
      <w:pPr>
        <w:pStyle w:val="ListParagraph"/>
        <w:ind w:left="0"/>
        <w:rPr>
          <w:b/>
          <w:bCs/>
          <w:sz w:val="20"/>
          <w:szCs w:val="20"/>
        </w:rPr>
      </w:pPr>
      <w:r>
        <w:rPr>
          <w:b/>
          <w:bCs/>
          <w:sz w:val="20"/>
          <w:szCs w:val="20"/>
        </w:rPr>
        <w:t xml:space="preserve">APPENDIX A </w:t>
      </w:r>
      <w:r w:rsidR="00B520CB">
        <w:rPr>
          <w:b/>
          <w:bCs/>
          <w:sz w:val="20"/>
          <w:szCs w:val="20"/>
        </w:rPr>
        <w:t>– C</w:t>
      </w:r>
      <w:r>
        <w:rPr>
          <w:b/>
          <w:bCs/>
          <w:sz w:val="20"/>
          <w:szCs w:val="20"/>
        </w:rPr>
        <w:t>itations</w:t>
      </w:r>
    </w:p>
    <w:p w:rsidR="00E40FB5" w:rsidRDefault="00E40FB5" w:rsidP="0068062D">
      <w:pPr>
        <w:pStyle w:val="ListParagraph"/>
        <w:ind w:left="0"/>
        <w:rPr>
          <w:b/>
          <w:bCs/>
          <w:sz w:val="20"/>
          <w:szCs w:val="20"/>
        </w:rPr>
      </w:pPr>
    </w:p>
    <w:p w:rsidR="00E40FB5" w:rsidRPr="008870F5" w:rsidRDefault="00E026C7" w:rsidP="00E40FB5">
      <w:pPr>
        <w:shd w:val="clear" w:color="auto" w:fill="FFFFFF"/>
        <w:textAlignment w:val="top"/>
        <w:outlineLvl w:val="1"/>
        <w:rPr>
          <w:bCs/>
          <w:kern w:val="36"/>
          <w:sz w:val="20"/>
          <w:szCs w:val="20"/>
        </w:rPr>
      </w:pPr>
      <w:hyperlink r:id="rId10" w:tooltip="View all posts by American Academy of Political and Social Science" w:history="1">
        <w:r w:rsidR="00E40FB5" w:rsidRPr="008870F5">
          <w:rPr>
            <w:rStyle w:val="author3"/>
            <w:b w:val="0"/>
            <w:sz w:val="20"/>
            <w:szCs w:val="20"/>
          </w:rPr>
          <w:t>American Academy of Political and Social Science</w:t>
        </w:r>
      </w:hyperlink>
      <w:r w:rsidR="00E40FB5" w:rsidRPr="008870F5">
        <w:rPr>
          <w:rStyle w:val="author3"/>
          <w:b w:val="0"/>
          <w:sz w:val="20"/>
          <w:szCs w:val="20"/>
        </w:rPr>
        <w:t>, “</w:t>
      </w:r>
      <w:r w:rsidR="00E40FB5" w:rsidRPr="008870F5">
        <w:rPr>
          <w:bCs/>
          <w:kern w:val="36"/>
          <w:sz w:val="20"/>
          <w:szCs w:val="20"/>
        </w:rPr>
        <w:t xml:space="preserve">The Nonresponse Challenge to Surveys and Statistics” (May 13, 2013), </w:t>
      </w:r>
      <w:hyperlink r:id="rId11" w:history="1">
        <w:r w:rsidR="00E40FB5" w:rsidRPr="008870F5">
          <w:rPr>
            <w:rStyle w:val="Hyperlink"/>
            <w:bCs/>
            <w:color w:val="auto"/>
            <w:kern w:val="36"/>
            <w:sz w:val="20"/>
            <w:szCs w:val="20"/>
          </w:rPr>
          <w:t>http://www.socialsciencespace.com/2013/05/the-nonresponse-challenge-to-surveys-and-statistics/</w:t>
        </w:r>
      </w:hyperlink>
    </w:p>
    <w:p w:rsidR="00E40FB5" w:rsidRPr="008870F5" w:rsidRDefault="00E40FB5" w:rsidP="00E40FB5">
      <w:pPr>
        <w:rPr>
          <w:sz w:val="20"/>
          <w:szCs w:val="20"/>
        </w:rPr>
      </w:pPr>
    </w:p>
    <w:p w:rsidR="00E40FB5" w:rsidRPr="008870F5" w:rsidRDefault="00E40FB5" w:rsidP="00E40FB5">
      <w:pPr>
        <w:rPr>
          <w:sz w:val="20"/>
          <w:szCs w:val="20"/>
        </w:rPr>
      </w:pPr>
      <w:r w:rsidRPr="008870F5">
        <w:rPr>
          <w:sz w:val="20"/>
          <w:szCs w:val="20"/>
        </w:rPr>
        <w:t xml:space="preserve">Church, A.H., “Estimating the Effect of Incentives on Mail Survey Response Rates: A Meta-Analysis”, </w:t>
      </w:r>
      <w:r w:rsidRPr="008870F5">
        <w:rPr>
          <w:i/>
          <w:sz w:val="20"/>
          <w:szCs w:val="20"/>
        </w:rPr>
        <w:t>Public Opinion Quarterly</w:t>
      </w:r>
      <w:r w:rsidRPr="008870F5">
        <w:rPr>
          <w:sz w:val="20"/>
          <w:szCs w:val="20"/>
        </w:rPr>
        <w:t>, 57: 62-79 (1993).</w:t>
      </w:r>
    </w:p>
    <w:p w:rsidR="00E40FB5" w:rsidRPr="008870F5" w:rsidRDefault="00E40FB5" w:rsidP="00E40FB5">
      <w:pPr>
        <w:rPr>
          <w:sz w:val="20"/>
          <w:szCs w:val="20"/>
        </w:rPr>
      </w:pPr>
    </w:p>
    <w:p w:rsidR="00E40FB5" w:rsidRPr="008870F5" w:rsidRDefault="00E40FB5" w:rsidP="00E40FB5">
      <w:pPr>
        <w:spacing w:after="200"/>
        <w:rPr>
          <w:sz w:val="20"/>
          <w:szCs w:val="20"/>
        </w:rPr>
      </w:pPr>
      <w:r w:rsidRPr="008870F5">
        <w:rPr>
          <w:sz w:val="20"/>
          <w:szCs w:val="20"/>
        </w:rPr>
        <w:t xml:space="preserve">Dillman, D., Smyth, J., and Christian, L., </w:t>
      </w:r>
      <w:r w:rsidRPr="008870F5">
        <w:rPr>
          <w:i/>
          <w:sz w:val="20"/>
          <w:szCs w:val="20"/>
        </w:rPr>
        <w:t>Internet, Mail, and Mixed-Mode Surveys: The Tailored Design Method,</w:t>
      </w:r>
      <w:r w:rsidRPr="008870F5">
        <w:rPr>
          <w:sz w:val="20"/>
          <w:szCs w:val="20"/>
        </w:rPr>
        <w:t xml:space="preserve"> Hoboken, NJ: John Wiley &amp; Sons (2008).</w:t>
      </w:r>
    </w:p>
    <w:p w:rsidR="00E40FB5" w:rsidRPr="008870F5" w:rsidRDefault="00E40FB5" w:rsidP="00E40FB5">
      <w:pPr>
        <w:spacing w:after="200"/>
        <w:rPr>
          <w:sz w:val="20"/>
          <w:szCs w:val="20"/>
        </w:rPr>
      </w:pPr>
      <w:r w:rsidRPr="008870F5">
        <w:rPr>
          <w:sz w:val="20"/>
          <w:szCs w:val="20"/>
        </w:rPr>
        <w:t xml:space="preserve">Groves, R., Dillman, D., Eltinge, J., and Little, R, </w:t>
      </w:r>
      <w:r w:rsidRPr="008870F5">
        <w:rPr>
          <w:i/>
          <w:sz w:val="20"/>
          <w:szCs w:val="20"/>
        </w:rPr>
        <w:t xml:space="preserve">Survey Nonresponse, </w:t>
      </w:r>
      <w:r w:rsidRPr="008870F5">
        <w:rPr>
          <w:sz w:val="20"/>
          <w:szCs w:val="20"/>
        </w:rPr>
        <w:t>New York: John Wiley and Sons (2002).</w:t>
      </w:r>
    </w:p>
    <w:p w:rsidR="00E40FB5" w:rsidRPr="008870F5" w:rsidRDefault="00E40FB5" w:rsidP="00E40FB5">
      <w:pPr>
        <w:spacing w:after="200"/>
        <w:rPr>
          <w:sz w:val="20"/>
          <w:szCs w:val="20"/>
        </w:rPr>
      </w:pPr>
      <w:r w:rsidRPr="008870F5">
        <w:rPr>
          <w:sz w:val="20"/>
          <w:szCs w:val="20"/>
        </w:rPr>
        <w:t xml:space="preserve">James, Jeannine M., and Richard Bolstein, ‘‘The Effect of Monetary Incentives and Follow Up Mailings on the Response Rate and Response Quality in Mail Surveys,’’ </w:t>
      </w:r>
      <w:r w:rsidRPr="008870F5">
        <w:rPr>
          <w:i/>
          <w:sz w:val="20"/>
          <w:szCs w:val="20"/>
        </w:rPr>
        <w:t>Public Opinion Quarterly</w:t>
      </w:r>
      <w:r w:rsidRPr="008870F5">
        <w:rPr>
          <w:sz w:val="20"/>
          <w:szCs w:val="20"/>
        </w:rPr>
        <w:t xml:space="preserve"> 54:346–61 (1990).</w:t>
      </w:r>
    </w:p>
    <w:p w:rsidR="00E40FB5" w:rsidRPr="008870F5" w:rsidRDefault="00E40FB5" w:rsidP="00E40FB5">
      <w:pPr>
        <w:spacing w:after="200"/>
        <w:rPr>
          <w:i/>
          <w:sz w:val="20"/>
          <w:szCs w:val="20"/>
        </w:rPr>
      </w:pPr>
      <w:r w:rsidRPr="008870F5">
        <w:rPr>
          <w:sz w:val="20"/>
          <w:szCs w:val="20"/>
        </w:rPr>
        <w:t xml:space="preserve">Millar, M.M. and Dillman, D.A., “Improving Response to Web and Mixed-Mode Surveys”, </w:t>
      </w:r>
      <w:r w:rsidRPr="008870F5">
        <w:rPr>
          <w:i/>
          <w:sz w:val="20"/>
          <w:szCs w:val="20"/>
        </w:rPr>
        <w:t>Public Opinion Quarterly</w:t>
      </w:r>
      <w:r w:rsidRPr="008870F5">
        <w:rPr>
          <w:sz w:val="20"/>
          <w:szCs w:val="20"/>
        </w:rPr>
        <w:t>, 1-21 (2011).</w:t>
      </w:r>
    </w:p>
    <w:p w:rsidR="00E40FB5" w:rsidRPr="008870F5" w:rsidRDefault="00E40FB5" w:rsidP="00E40FB5">
      <w:pPr>
        <w:spacing w:after="200"/>
        <w:rPr>
          <w:sz w:val="20"/>
          <w:szCs w:val="20"/>
        </w:rPr>
      </w:pPr>
      <w:r w:rsidRPr="008870F5">
        <w:rPr>
          <w:sz w:val="20"/>
          <w:szCs w:val="20"/>
        </w:rPr>
        <w:t xml:space="preserve">Petrolia, D.R. and Bhattacharjee, S., “Revisiting Incentive Effects: Evidence from a Random-Sample Mail Survey on Consumer Preferences for Fuel Ethanol”, </w:t>
      </w:r>
      <w:r w:rsidRPr="008870F5">
        <w:rPr>
          <w:i/>
          <w:sz w:val="20"/>
          <w:szCs w:val="20"/>
        </w:rPr>
        <w:t>Public Opinion Quarterly</w:t>
      </w:r>
      <w:r w:rsidRPr="008870F5">
        <w:rPr>
          <w:sz w:val="20"/>
          <w:szCs w:val="20"/>
        </w:rPr>
        <w:t>, 73:537-550 (2009).</w:t>
      </w:r>
    </w:p>
    <w:p w:rsidR="00E40FB5" w:rsidRPr="008870F5" w:rsidRDefault="00E40FB5" w:rsidP="00E40FB5">
      <w:pPr>
        <w:spacing w:after="200"/>
        <w:rPr>
          <w:sz w:val="20"/>
          <w:szCs w:val="20"/>
        </w:rPr>
      </w:pPr>
      <w:r w:rsidRPr="008870F5">
        <w:rPr>
          <w:sz w:val="20"/>
          <w:szCs w:val="20"/>
        </w:rPr>
        <w:t xml:space="preserve">Shaw, M.J. et al, “The Use of Monetary Incentives in a Community Survey: Impact on Response Rates, Data Quality, and Cost”, </w:t>
      </w:r>
      <w:r w:rsidRPr="008870F5">
        <w:rPr>
          <w:i/>
          <w:sz w:val="20"/>
          <w:szCs w:val="20"/>
        </w:rPr>
        <w:t>Health Services Research</w:t>
      </w:r>
      <w:r w:rsidRPr="008870F5">
        <w:rPr>
          <w:sz w:val="20"/>
          <w:szCs w:val="20"/>
        </w:rPr>
        <w:t>, 35: 1339-1346 (2001).</w:t>
      </w:r>
    </w:p>
    <w:p w:rsidR="00E40FB5" w:rsidRPr="008870F5" w:rsidRDefault="00E40FB5" w:rsidP="00E40FB5">
      <w:pPr>
        <w:spacing w:after="200"/>
        <w:rPr>
          <w:sz w:val="20"/>
          <w:szCs w:val="20"/>
        </w:rPr>
      </w:pPr>
      <w:r w:rsidRPr="008870F5">
        <w:rPr>
          <w:sz w:val="20"/>
          <w:szCs w:val="20"/>
        </w:rPr>
        <w:t xml:space="preserve">Shettle, C. and Mooney, G., “Evaluation of Using Monetary Incentives in a Government Survey”, Mathematics Policy Research, </w:t>
      </w:r>
      <w:r w:rsidRPr="008870F5">
        <w:rPr>
          <w:i/>
          <w:sz w:val="20"/>
          <w:szCs w:val="20"/>
        </w:rPr>
        <w:t>National Science Foundation</w:t>
      </w:r>
      <w:r w:rsidRPr="008870F5">
        <w:rPr>
          <w:sz w:val="20"/>
          <w:szCs w:val="20"/>
        </w:rPr>
        <w:t xml:space="preserve"> (1999).</w:t>
      </w:r>
    </w:p>
    <w:p w:rsidR="00E40FB5" w:rsidRPr="008870F5" w:rsidRDefault="00E40FB5" w:rsidP="00E40FB5">
      <w:pPr>
        <w:spacing w:after="200"/>
        <w:rPr>
          <w:sz w:val="20"/>
          <w:szCs w:val="20"/>
        </w:rPr>
      </w:pPr>
      <w:r w:rsidRPr="008870F5">
        <w:rPr>
          <w:sz w:val="20"/>
          <w:szCs w:val="20"/>
        </w:rPr>
        <w:t xml:space="preserve">Teisl, M.F., Roe, B. and Vayda, M., “Incentive Effects on Response Rates, Data Quality, and Survey Administration Costs”, </w:t>
      </w:r>
      <w:r w:rsidRPr="008870F5">
        <w:rPr>
          <w:i/>
          <w:sz w:val="20"/>
          <w:szCs w:val="20"/>
        </w:rPr>
        <w:t>International Journal of Public Opinion Research</w:t>
      </w:r>
      <w:r w:rsidRPr="008870F5">
        <w:rPr>
          <w:sz w:val="20"/>
          <w:szCs w:val="20"/>
        </w:rPr>
        <w:t xml:space="preserve"> 18 (2005).</w:t>
      </w:r>
    </w:p>
    <w:p w:rsidR="00E40FB5" w:rsidRDefault="00E40FB5" w:rsidP="00E40FB5">
      <w:r w:rsidRPr="008870F5">
        <w:rPr>
          <w:sz w:val="20"/>
          <w:szCs w:val="20"/>
        </w:rPr>
        <w:t xml:space="preserve">Trussell, N. and Lavrakas, P.J., “The Influence of Incremental Increases in Token Cash Incentives on Mail Survey Response: Is there an Optimal Amount?” </w:t>
      </w:r>
      <w:r w:rsidRPr="008870F5">
        <w:rPr>
          <w:i/>
          <w:sz w:val="20"/>
          <w:szCs w:val="20"/>
        </w:rPr>
        <w:t>Public Opinion Quarterly</w:t>
      </w:r>
      <w:r w:rsidRPr="008870F5">
        <w:rPr>
          <w:sz w:val="20"/>
          <w:szCs w:val="20"/>
        </w:rPr>
        <w:t xml:space="preserve"> 68: 349-367 (2004)</w:t>
      </w:r>
    </w:p>
    <w:p w:rsidR="00E40FB5" w:rsidRDefault="00E40FB5" w:rsidP="0068062D">
      <w:pPr>
        <w:pStyle w:val="ListParagraph"/>
        <w:ind w:left="0"/>
        <w:rPr>
          <w:b/>
          <w:bCs/>
          <w:sz w:val="20"/>
          <w:szCs w:val="20"/>
        </w:rPr>
      </w:pPr>
    </w:p>
    <w:sectPr w:rsidR="00E40FB5" w:rsidSect="00950FBE">
      <w:pgSz w:w="12240" w:h="15840"/>
      <w:pgMar w:top="1296" w:right="1440" w:bottom="1008" w:left="1440" w:header="1080" w:footer="66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76B" w:rsidRDefault="00EE376B">
      <w:r>
        <w:separator/>
      </w:r>
    </w:p>
  </w:endnote>
  <w:endnote w:type="continuationSeparator" w:id="0">
    <w:p w:rsidR="00EE376B" w:rsidRDefault="00EE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945" w:rsidRPr="00427A81" w:rsidRDefault="00617945" w:rsidP="00427A81">
    <w:pPr>
      <w:tabs>
        <w:tab w:val="right" w:pos="9360"/>
      </w:tabs>
      <w:rPr>
        <w:rFonts w:ascii="Arial Narrow" w:hAnsi="Arial Narrow" w:cs="Arial"/>
        <w:sz w:val="20"/>
        <w:szCs w:val="20"/>
      </w:rPr>
    </w:pPr>
    <w:r w:rsidRPr="00427A81">
      <w:rPr>
        <w:rFonts w:ascii="Arial Narrow" w:hAnsi="Arial Narrow" w:cs="Arial"/>
        <w:sz w:val="20"/>
        <w:szCs w:val="20"/>
      </w:rPr>
      <w:tab/>
    </w:r>
    <w:r w:rsidRPr="00427A81">
      <w:rPr>
        <w:rFonts w:ascii="Arial Narrow" w:hAnsi="Arial Narrow" w:cs="Arial"/>
        <w:sz w:val="20"/>
        <w:szCs w:val="20"/>
      </w:rPr>
      <w:fldChar w:fldCharType="begin"/>
    </w:r>
    <w:r w:rsidRPr="00427A81">
      <w:rPr>
        <w:rFonts w:ascii="Arial Narrow" w:hAnsi="Arial Narrow" w:cs="Arial"/>
        <w:sz w:val="20"/>
        <w:szCs w:val="20"/>
      </w:rPr>
      <w:instrText xml:space="preserve">PAGE </w:instrText>
    </w:r>
    <w:r w:rsidRPr="00427A81">
      <w:rPr>
        <w:rFonts w:ascii="Arial Narrow" w:hAnsi="Arial Narrow" w:cs="Arial"/>
        <w:sz w:val="20"/>
        <w:szCs w:val="20"/>
      </w:rPr>
      <w:fldChar w:fldCharType="separate"/>
    </w:r>
    <w:r w:rsidR="00E026C7">
      <w:rPr>
        <w:rFonts w:ascii="Arial Narrow" w:hAnsi="Arial Narrow" w:cs="Arial"/>
        <w:noProof/>
        <w:sz w:val="20"/>
        <w:szCs w:val="20"/>
      </w:rPr>
      <w:t>1</w:t>
    </w:r>
    <w:r w:rsidRPr="00427A81">
      <w:rPr>
        <w:rFonts w:ascii="Arial Narrow" w:hAnsi="Arial Narrow"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76B" w:rsidRDefault="00EE376B">
      <w:r>
        <w:separator/>
      </w:r>
    </w:p>
  </w:footnote>
  <w:footnote w:type="continuationSeparator" w:id="0">
    <w:p w:rsidR="00EE376B" w:rsidRDefault="00EE376B">
      <w:r>
        <w:continuationSeparator/>
      </w:r>
    </w:p>
  </w:footnote>
  <w:footnote w:id="1">
    <w:p w:rsidR="00617945" w:rsidRDefault="00617945" w:rsidP="00286751">
      <w:pPr>
        <w:pStyle w:val="FootnoteText"/>
      </w:pPr>
      <w:r w:rsidRPr="004D12AF">
        <w:rPr>
          <w:rStyle w:val="FootnoteReference"/>
          <w:vertAlign w:val="superscript"/>
        </w:rPr>
        <w:footnoteRef/>
      </w:r>
      <w:r>
        <w:rPr>
          <w:rFonts w:ascii="Verdana" w:hAnsi="Verdana"/>
          <w:sz w:val="15"/>
          <w:szCs w:val="15"/>
        </w:rPr>
        <w:t>Willis, G.B. (2005). Cognitive Interviewing: A Tool for Improving Questionnaire Design. Thousand Oaks, CA: Sage Publications.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C94FAB"/>
    <w:multiLevelType w:val="hybridMultilevel"/>
    <w:tmpl w:val="BF8A8EF6"/>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5856836"/>
    <w:multiLevelType w:val="hybridMultilevel"/>
    <w:tmpl w:val="06124264"/>
    <w:lvl w:ilvl="0" w:tplc="0409000F">
      <w:start w:val="14"/>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1A330D"/>
    <w:multiLevelType w:val="hybridMultilevel"/>
    <w:tmpl w:val="4CE0AC5C"/>
    <w:lvl w:ilvl="0" w:tplc="04090001">
      <w:start w:val="1"/>
      <w:numFmt w:val="bullet"/>
      <w:lvlText w:val=""/>
      <w:lvlJc w:val="left"/>
      <w:pPr>
        <w:tabs>
          <w:tab w:val="num" w:pos="720"/>
        </w:tabs>
        <w:ind w:left="720" w:hanging="360"/>
      </w:pPr>
      <w:rPr>
        <w:rFonts w:ascii="Symbol" w:hAnsi="Symbol" w:hint="default"/>
      </w:rPr>
    </w:lvl>
    <w:lvl w:ilvl="1" w:tplc="ED208D48">
      <w:start w:val="7"/>
      <w:numFmt w:val="lowerLetter"/>
      <w:lvlText w:val="%2."/>
      <w:lvlJc w:val="left"/>
      <w:pPr>
        <w:tabs>
          <w:tab w:val="num" w:pos="1440"/>
        </w:tabs>
        <w:ind w:left="1440" w:hanging="360"/>
      </w:pPr>
      <w:rPr>
        <w:rFonts w:hint="default"/>
      </w:rPr>
    </w:lvl>
    <w:lvl w:ilvl="2" w:tplc="092E89A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6F6B08"/>
    <w:multiLevelType w:val="hybridMultilevel"/>
    <w:tmpl w:val="36BE8C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365FF3"/>
    <w:multiLevelType w:val="hybridMultilevel"/>
    <w:tmpl w:val="71624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4F726D"/>
    <w:multiLevelType w:val="hybridMultilevel"/>
    <w:tmpl w:val="6374C756"/>
    <w:lvl w:ilvl="0" w:tplc="04090015">
      <w:start w:val="1"/>
      <w:numFmt w:val="upperLetter"/>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92E89A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5D1CAD"/>
    <w:multiLevelType w:val="hybridMultilevel"/>
    <w:tmpl w:val="B782854E"/>
    <w:lvl w:ilvl="0" w:tplc="D5F00CBE">
      <w:start w:val="1"/>
      <w:numFmt w:val="decimal"/>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92E89A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0B64F2"/>
    <w:multiLevelType w:val="hybridMultilevel"/>
    <w:tmpl w:val="C4C8B4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7286D01"/>
    <w:multiLevelType w:val="hybridMultilevel"/>
    <w:tmpl w:val="FBA6D4B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A7C0E0D"/>
    <w:multiLevelType w:val="hybridMultilevel"/>
    <w:tmpl w:val="8F0E8D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2C624D4"/>
    <w:multiLevelType w:val="hybridMultilevel"/>
    <w:tmpl w:val="7E3C23D0"/>
    <w:lvl w:ilvl="0" w:tplc="0409000F">
      <w:start w:val="1"/>
      <w:numFmt w:val="decimal"/>
      <w:lvlText w:val="%1."/>
      <w:lvlJc w:val="left"/>
      <w:pPr>
        <w:tabs>
          <w:tab w:val="num" w:pos="720"/>
        </w:tabs>
        <w:ind w:left="720" w:hanging="360"/>
      </w:pPr>
      <w:rPr>
        <w:rFonts w:cs="Times New Roman"/>
      </w:rPr>
    </w:lvl>
    <w:lvl w:ilvl="1" w:tplc="60EC9BE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BED3FF0"/>
    <w:multiLevelType w:val="hybridMultilevel"/>
    <w:tmpl w:val="0368010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F0A119C"/>
    <w:multiLevelType w:val="hybridMultilevel"/>
    <w:tmpl w:val="0F5695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6"/>
  </w:num>
  <w:num w:numId="4">
    <w:abstractNumId w:val="2"/>
  </w:num>
  <w:num w:numId="5">
    <w:abstractNumId w:val="10"/>
  </w:num>
  <w:num w:numId="6">
    <w:abstractNumId w:val="13"/>
  </w:num>
  <w:num w:numId="7">
    <w:abstractNumId w:val="12"/>
  </w:num>
  <w:num w:numId="8">
    <w:abstractNumId w:val="4"/>
  </w:num>
  <w:num w:numId="9">
    <w:abstractNumId w:val="9"/>
  </w:num>
  <w:num w:numId="10">
    <w:abstractNumId w:val="8"/>
  </w:num>
  <w:num w:numId="11">
    <w:abstractNumId w:val="11"/>
  </w:num>
  <w:num w:numId="12">
    <w:abstractNumId w:val="7"/>
  </w:num>
  <w:num w:numId="13">
    <w:abstractNumId w:val="3"/>
  </w:num>
  <w:num w:numId="1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0263"/>
    <w:rsid w:val="0000215B"/>
    <w:rsid w:val="000031B4"/>
    <w:rsid w:val="00003D64"/>
    <w:rsid w:val="00005B76"/>
    <w:rsid w:val="00010A75"/>
    <w:rsid w:val="00013F66"/>
    <w:rsid w:val="00014EB5"/>
    <w:rsid w:val="00015CAC"/>
    <w:rsid w:val="00016A0A"/>
    <w:rsid w:val="00026FB2"/>
    <w:rsid w:val="00027107"/>
    <w:rsid w:val="00034131"/>
    <w:rsid w:val="000342FE"/>
    <w:rsid w:val="00035257"/>
    <w:rsid w:val="000356B0"/>
    <w:rsid w:val="00040ADB"/>
    <w:rsid w:val="00042574"/>
    <w:rsid w:val="00043499"/>
    <w:rsid w:val="00043707"/>
    <w:rsid w:val="000457AF"/>
    <w:rsid w:val="00051737"/>
    <w:rsid w:val="00052C24"/>
    <w:rsid w:val="0005474F"/>
    <w:rsid w:val="00054A4D"/>
    <w:rsid w:val="00054F31"/>
    <w:rsid w:val="00056E3C"/>
    <w:rsid w:val="00062809"/>
    <w:rsid w:val="00062844"/>
    <w:rsid w:val="00062D47"/>
    <w:rsid w:val="00063823"/>
    <w:rsid w:val="00064E0F"/>
    <w:rsid w:val="0007050F"/>
    <w:rsid w:val="00071F8E"/>
    <w:rsid w:val="00072338"/>
    <w:rsid w:val="00074413"/>
    <w:rsid w:val="00076BA1"/>
    <w:rsid w:val="00081C2C"/>
    <w:rsid w:val="0008492C"/>
    <w:rsid w:val="00094930"/>
    <w:rsid w:val="000A1A58"/>
    <w:rsid w:val="000A228B"/>
    <w:rsid w:val="000B071C"/>
    <w:rsid w:val="000B209F"/>
    <w:rsid w:val="000B4417"/>
    <w:rsid w:val="000B4BAA"/>
    <w:rsid w:val="000B54A5"/>
    <w:rsid w:val="000B5ED6"/>
    <w:rsid w:val="000C36B4"/>
    <w:rsid w:val="000C68AE"/>
    <w:rsid w:val="000C73FC"/>
    <w:rsid w:val="000D2D2C"/>
    <w:rsid w:val="000D5D91"/>
    <w:rsid w:val="000D79FB"/>
    <w:rsid w:val="000E07A6"/>
    <w:rsid w:val="000E0888"/>
    <w:rsid w:val="000E3F22"/>
    <w:rsid w:val="000E5840"/>
    <w:rsid w:val="000E6498"/>
    <w:rsid w:val="000F4DC6"/>
    <w:rsid w:val="000F6C4A"/>
    <w:rsid w:val="000F6F5B"/>
    <w:rsid w:val="000F7D65"/>
    <w:rsid w:val="00104405"/>
    <w:rsid w:val="00104AB2"/>
    <w:rsid w:val="0010528A"/>
    <w:rsid w:val="001129A0"/>
    <w:rsid w:val="00114586"/>
    <w:rsid w:val="001236A1"/>
    <w:rsid w:val="001236A4"/>
    <w:rsid w:val="00125C2D"/>
    <w:rsid w:val="00131E6E"/>
    <w:rsid w:val="001326E4"/>
    <w:rsid w:val="001350C4"/>
    <w:rsid w:val="00136F00"/>
    <w:rsid w:val="00137677"/>
    <w:rsid w:val="001403FC"/>
    <w:rsid w:val="001417A2"/>
    <w:rsid w:val="001455EA"/>
    <w:rsid w:val="00145E6F"/>
    <w:rsid w:val="00156F01"/>
    <w:rsid w:val="0016299F"/>
    <w:rsid w:val="00162E44"/>
    <w:rsid w:val="001647C7"/>
    <w:rsid w:val="00164F07"/>
    <w:rsid w:val="00167587"/>
    <w:rsid w:val="001677E2"/>
    <w:rsid w:val="001703C6"/>
    <w:rsid w:val="00171ED1"/>
    <w:rsid w:val="00173DF0"/>
    <w:rsid w:val="00180AA7"/>
    <w:rsid w:val="00192DF8"/>
    <w:rsid w:val="00197F9A"/>
    <w:rsid w:val="001A178B"/>
    <w:rsid w:val="001A468E"/>
    <w:rsid w:val="001A67F5"/>
    <w:rsid w:val="001A683C"/>
    <w:rsid w:val="001C0C09"/>
    <w:rsid w:val="001C3119"/>
    <w:rsid w:val="001C4BCE"/>
    <w:rsid w:val="001C4DEE"/>
    <w:rsid w:val="001C55CF"/>
    <w:rsid w:val="001C5D5E"/>
    <w:rsid w:val="001C7A86"/>
    <w:rsid w:val="001D0DF0"/>
    <w:rsid w:val="001D4AF7"/>
    <w:rsid w:val="001D4F88"/>
    <w:rsid w:val="001D759A"/>
    <w:rsid w:val="001E2556"/>
    <w:rsid w:val="001E34B4"/>
    <w:rsid w:val="001E6537"/>
    <w:rsid w:val="001E66C5"/>
    <w:rsid w:val="001F018D"/>
    <w:rsid w:val="001F3AB3"/>
    <w:rsid w:val="001F455A"/>
    <w:rsid w:val="00200A74"/>
    <w:rsid w:val="002031ED"/>
    <w:rsid w:val="002111CB"/>
    <w:rsid w:val="00211C2D"/>
    <w:rsid w:val="00215A7B"/>
    <w:rsid w:val="00215D7D"/>
    <w:rsid w:val="00217E1B"/>
    <w:rsid w:val="00221443"/>
    <w:rsid w:val="002214A1"/>
    <w:rsid w:val="00222388"/>
    <w:rsid w:val="00223E23"/>
    <w:rsid w:val="00234637"/>
    <w:rsid w:val="00234A00"/>
    <w:rsid w:val="002376F0"/>
    <w:rsid w:val="00237730"/>
    <w:rsid w:val="002415F8"/>
    <w:rsid w:val="00242CA8"/>
    <w:rsid w:val="0024456A"/>
    <w:rsid w:val="00250C5E"/>
    <w:rsid w:val="00250FFD"/>
    <w:rsid w:val="002602B5"/>
    <w:rsid w:val="00262108"/>
    <w:rsid w:val="0026545B"/>
    <w:rsid w:val="002776CD"/>
    <w:rsid w:val="002777A6"/>
    <w:rsid w:val="0028667A"/>
    <w:rsid w:val="00286751"/>
    <w:rsid w:val="00290710"/>
    <w:rsid w:val="0029480F"/>
    <w:rsid w:val="002A301D"/>
    <w:rsid w:val="002B076B"/>
    <w:rsid w:val="002B122A"/>
    <w:rsid w:val="002B12D4"/>
    <w:rsid w:val="002B1B5C"/>
    <w:rsid w:val="002B3A7B"/>
    <w:rsid w:val="002B4407"/>
    <w:rsid w:val="002C015E"/>
    <w:rsid w:val="002C11AE"/>
    <w:rsid w:val="002C1801"/>
    <w:rsid w:val="002C1ABE"/>
    <w:rsid w:val="002C5EFF"/>
    <w:rsid w:val="002C61FB"/>
    <w:rsid w:val="002D22B8"/>
    <w:rsid w:val="002D277C"/>
    <w:rsid w:val="002D5C88"/>
    <w:rsid w:val="002D6743"/>
    <w:rsid w:val="002F2EBD"/>
    <w:rsid w:val="0030044D"/>
    <w:rsid w:val="00301A01"/>
    <w:rsid w:val="00305525"/>
    <w:rsid w:val="00311908"/>
    <w:rsid w:val="00313B7B"/>
    <w:rsid w:val="00317E67"/>
    <w:rsid w:val="0032582A"/>
    <w:rsid w:val="0032588D"/>
    <w:rsid w:val="00326284"/>
    <w:rsid w:val="00332BE3"/>
    <w:rsid w:val="00334E14"/>
    <w:rsid w:val="003374C6"/>
    <w:rsid w:val="00341132"/>
    <w:rsid w:val="00347E13"/>
    <w:rsid w:val="00347ED5"/>
    <w:rsid w:val="00351276"/>
    <w:rsid w:val="00353E4E"/>
    <w:rsid w:val="003553DC"/>
    <w:rsid w:val="00365057"/>
    <w:rsid w:val="00366A2C"/>
    <w:rsid w:val="00367A09"/>
    <w:rsid w:val="00383842"/>
    <w:rsid w:val="003905D3"/>
    <w:rsid w:val="00392703"/>
    <w:rsid w:val="00394E3D"/>
    <w:rsid w:val="003A04DD"/>
    <w:rsid w:val="003A35BE"/>
    <w:rsid w:val="003A3DB4"/>
    <w:rsid w:val="003A47E9"/>
    <w:rsid w:val="003A7BFD"/>
    <w:rsid w:val="003B47E6"/>
    <w:rsid w:val="003B5462"/>
    <w:rsid w:val="003C56D4"/>
    <w:rsid w:val="003D0890"/>
    <w:rsid w:val="003D1ABD"/>
    <w:rsid w:val="003D4F5E"/>
    <w:rsid w:val="003E1AD8"/>
    <w:rsid w:val="003E406C"/>
    <w:rsid w:val="003E743E"/>
    <w:rsid w:val="003E7C24"/>
    <w:rsid w:val="003F1164"/>
    <w:rsid w:val="003F4998"/>
    <w:rsid w:val="003F5ED4"/>
    <w:rsid w:val="003F67D5"/>
    <w:rsid w:val="00404DD9"/>
    <w:rsid w:val="004064C6"/>
    <w:rsid w:val="00420B4C"/>
    <w:rsid w:val="004227F9"/>
    <w:rsid w:val="004269CE"/>
    <w:rsid w:val="00427191"/>
    <w:rsid w:val="00427A81"/>
    <w:rsid w:val="0043285E"/>
    <w:rsid w:val="00432C2B"/>
    <w:rsid w:val="00434F7E"/>
    <w:rsid w:val="0043505D"/>
    <w:rsid w:val="004419FC"/>
    <w:rsid w:val="00447AAD"/>
    <w:rsid w:val="004501CD"/>
    <w:rsid w:val="00450367"/>
    <w:rsid w:val="00454302"/>
    <w:rsid w:val="00460033"/>
    <w:rsid w:val="00462EE8"/>
    <w:rsid w:val="00466B49"/>
    <w:rsid w:val="00470138"/>
    <w:rsid w:val="004727D5"/>
    <w:rsid w:val="00473918"/>
    <w:rsid w:val="00477BCB"/>
    <w:rsid w:val="00477F48"/>
    <w:rsid w:val="004814AB"/>
    <w:rsid w:val="004827D3"/>
    <w:rsid w:val="004838D5"/>
    <w:rsid w:val="004A213E"/>
    <w:rsid w:val="004A3892"/>
    <w:rsid w:val="004A5FE4"/>
    <w:rsid w:val="004A74AD"/>
    <w:rsid w:val="004B0DB5"/>
    <w:rsid w:val="004B20BD"/>
    <w:rsid w:val="004B397F"/>
    <w:rsid w:val="004B45D7"/>
    <w:rsid w:val="004B51AA"/>
    <w:rsid w:val="004B7987"/>
    <w:rsid w:val="004C07DE"/>
    <w:rsid w:val="004C21EE"/>
    <w:rsid w:val="004C68D1"/>
    <w:rsid w:val="004C762A"/>
    <w:rsid w:val="004D12AF"/>
    <w:rsid w:val="004D39A0"/>
    <w:rsid w:val="004D43EC"/>
    <w:rsid w:val="004D4803"/>
    <w:rsid w:val="004D50AB"/>
    <w:rsid w:val="004D5A38"/>
    <w:rsid w:val="004E446A"/>
    <w:rsid w:val="004E6557"/>
    <w:rsid w:val="004E72C5"/>
    <w:rsid w:val="004F39AE"/>
    <w:rsid w:val="00501CF9"/>
    <w:rsid w:val="00504B59"/>
    <w:rsid w:val="005102EC"/>
    <w:rsid w:val="00511919"/>
    <w:rsid w:val="0052123E"/>
    <w:rsid w:val="0052157C"/>
    <w:rsid w:val="005229D3"/>
    <w:rsid w:val="005230D1"/>
    <w:rsid w:val="00527B8B"/>
    <w:rsid w:val="0053148B"/>
    <w:rsid w:val="00531847"/>
    <w:rsid w:val="005329CE"/>
    <w:rsid w:val="00533368"/>
    <w:rsid w:val="00534332"/>
    <w:rsid w:val="005349F6"/>
    <w:rsid w:val="00537D17"/>
    <w:rsid w:val="005401A4"/>
    <w:rsid w:val="005421FF"/>
    <w:rsid w:val="005432A2"/>
    <w:rsid w:val="0054647B"/>
    <w:rsid w:val="005523E1"/>
    <w:rsid w:val="00556C87"/>
    <w:rsid w:val="0056032C"/>
    <w:rsid w:val="005608FC"/>
    <w:rsid w:val="00561B09"/>
    <w:rsid w:val="0056291C"/>
    <w:rsid w:val="00565B3C"/>
    <w:rsid w:val="00566078"/>
    <w:rsid w:val="0057220F"/>
    <w:rsid w:val="00576872"/>
    <w:rsid w:val="00577660"/>
    <w:rsid w:val="00580B47"/>
    <w:rsid w:val="005829ED"/>
    <w:rsid w:val="00585CCA"/>
    <w:rsid w:val="00585D26"/>
    <w:rsid w:val="005865EE"/>
    <w:rsid w:val="00590621"/>
    <w:rsid w:val="005918A6"/>
    <w:rsid w:val="0059383F"/>
    <w:rsid w:val="005976A4"/>
    <w:rsid w:val="005979B4"/>
    <w:rsid w:val="005A678D"/>
    <w:rsid w:val="005A699D"/>
    <w:rsid w:val="005B2CBE"/>
    <w:rsid w:val="005B3F30"/>
    <w:rsid w:val="005B62D1"/>
    <w:rsid w:val="005C1099"/>
    <w:rsid w:val="005C5EB9"/>
    <w:rsid w:val="005C6823"/>
    <w:rsid w:val="005D2394"/>
    <w:rsid w:val="005D4AEA"/>
    <w:rsid w:val="005E2377"/>
    <w:rsid w:val="005E69B9"/>
    <w:rsid w:val="005F277A"/>
    <w:rsid w:val="005F2CBB"/>
    <w:rsid w:val="005F6795"/>
    <w:rsid w:val="005F6CA3"/>
    <w:rsid w:val="005F70AD"/>
    <w:rsid w:val="00611EB3"/>
    <w:rsid w:val="00616172"/>
    <w:rsid w:val="00617945"/>
    <w:rsid w:val="00617F5F"/>
    <w:rsid w:val="00621CE2"/>
    <w:rsid w:val="00630361"/>
    <w:rsid w:val="006379AD"/>
    <w:rsid w:val="006423AA"/>
    <w:rsid w:val="006445A9"/>
    <w:rsid w:val="00650B37"/>
    <w:rsid w:val="00652AFF"/>
    <w:rsid w:val="00654DA3"/>
    <w:rsid w:val="00656BA0"/>
    <w:rsid w:val="0065795B"/>
    <w:rsid w:val="006602E8"/>
    <w:rsid w:val="0066114D"/>
    <w:rsid w:val="00664B9D"/>
    <w:rsid w:val="006652F2"/>
    <w:rsid w:val="00665AD4"/>
    <w:rsid w:val="00670C33"/>
    <w:rsid w:val="00672269"/>
    <w:rsid w:val="00672D96"/>
    <w:rsid w:val="00674292"/>
    <w:rsid w:val="00675218"/>
    <w:rsid w:val="00675E91"/>
    <w:rsid w:val="00676383"/>
    <w:rsid w:val="00676D8A"/>
    <w:rsid w:val="0068062D"/>
    <w:rsid w:val="00681671"/>
    <w:rsid w:val="00682726"/>
    <w:rsid w:val="00691D85"/>
    <w:rsid w:val="006970C5"/>
    <w:rsid w:val="006A1B0D"/>
    <w:rsid w:val="006A34CE"/>
    <w:rsid w:val="006B455B"/>
    <w:rsid w:val="006B548A"/>
    <w:rsid w:val="006B71A2"/>
    <w:rsid w:val="006C35DD"/>
    <w:rsid w:val="006D1667"/>
    <w:rsid w:val="006D32C9"/>
    <w:rsid w:val="006D4B76"/>
    <w:rsid w:val="006D5008"/>
    <w:rsid w:val="006E1A4A"/>
    <w:rsid w:val="006E2336"/>
    <w:rsid w:val="006E7671"/>
    <w:rsid w:val="006E7B6E"/>
    <w:rsid w:val="006F3B14"/>
    <w:rsid w:val="006F70C0"/>
    <w:rsid w:val="006F7F4B"/>
    <w:rsid w:val="00703CE1"/>
    <w:rsid w:val="00704FAE"/>
    <w:rsid w:val="007053A4"/>
    <w:rsid w:val="0071501F"/>
    <w:rsid w:val="0072155F"/>
    <w:rsid w:val="00722188"/>
    <w:rsid w:val="00722484"/>
    <w:rsid w:val="00723757"/>
    <w:rsid w:val="007343CD"/>
    <w:rsid w:val="0074246F"/>
    <w:rsid w:val="00742480"/>
    <w:rsid w:val="00744E6E"/>
    <w:rsid w:val="007535AF"/>
    <w:rsid w:val="00753EFC"/>
    <w:rsid w:val="00754F80"/>
    <w:rsid w:val="00762AD3"/>
    <w:rsid w:val="00763447"/>
    <w:rsid w:val="007642C3"/>
    <w:rsid w:val="00772076"/>
    <w:rsid w:val="007803FE"/>
    <w:rsid w:val="007854B2"/>
    <w:rsid w:val="00790B59"/>
    <w:rsid w:val="00791A05"/>
    <w:rsid w:val="00793840"/>
    <w:rsid w:val="00795350"/>
    <w:rsid w:val="00795E7F"/>
    <w:rsid w:val="00797A94"/>
    <w:rsid w:val="007A0B93"/>
    <w:rsid w:val="007A4184"/>
    <w:rsid w:val="007A43AB"/>
    <w:rsid w:val="007A7CB5"/>
    <w:rsid w:val="007B6D0F"/>
    <w:rsid w:val="007B6FAD"/>
    <w:rsid w:val="007B7653"/>
    <w:rsid w:val="007C7BE1"/>
    <w:rsid w:val="007D2889"/>
    <w:rsid w:val="007D6CB2"/>
    <w:rsid w:val="007E09FD"/>
    <w:rsid w:val="007E0C0F"/>
    <w:rsid w:val="007E571D"/>
    <w:rsid w:val="007E5CBA"/>
    <w:rsid w:val="007F227A"/>
    <w:rsid w:val="007F3BB0"/>
    <w:rsid w:val="007F6ACC"/>
    <w:rsid w:val="008027C4"/>
    <w:rsid w:val="008045DF"/>
    <w:rsid w:val="008051B1"/>
    <w:rsid w:val="008102AD"/>
    <w:rsid w:val="008112BA"/>
    <w:rsid w:val="00811A6F"/>
    <w:rsid w:val="00813155"/>
    <w:rsid w:val="008164FE"/>
    <w:rsid w:val="008174DD"/>
    <w:rsid w:val="00824668"/>
    <w:rsid w:val="008311A7"/>
    <w:rsid w:val="00831352"/>
    <w:rsid w:val="008321B4"/>
    <w:rsid w:val="00832C76"/>
    <w:rsid w:val="00837733"/>
    <w:rsid w:val="00837A3A"/>
    <w:rsid w:val="00840F39"/>
    <w:rsid w:val="00842365"/>
    <w:rsid w:val="008505B0"/>
    <w:rsid w:val="00850CCA"/>
    <w:rsid w:val="00852740"/>
    <w:rsid w:val="00856858"/>
    <w:rsid w:val="00861CED"/>
    <w:rsid w:val="00862A24"/>
    <w:rsid w:val="00863A7B"/>
    <w:rsid w:val="0086788D"/>
    <w:rsid w:val="00867C54"/>
    <w:rsid w:val="00873990"/>
    <w:rsid w:val="00875AA0"/>
    <w:rsid w:val="00882616"/>
    <w:rsid w:val="00882DB4"/>
    <w:rsid w:val="00883A5C"/>
    <w:rsid w:val="00885BA7"/>
    <w:rsid w:val="008870F5"/>
    <w:rsid w:val="00890057"/>
    <w:rsid w:val="008905E3"/>
    <w:rsid w:val="00892C77"/>
    <w:rsid w:val="008944A9"/>
    <w:rsid w:val="008A001A"/>
    <w:rsid w:val="008A2CE2"/>
    <w:rsid w:val="008A6D4D"/>
    <w:rsid w:val="008A7FE9"/>
    <w:rsid w:val="008B2BE3"/>
    <w:rsid w:val="008B2CC1"/>
    <w:rsid w:val="008B40D8"/>
    <w:rsid w:val="008B4FCF"/>
    <w:rsid w:val="008B587D"/>
    <w:rsid w:val="008C325F"/>
    <w:rsid w:val="008C46F0"/>
    <w:rsid w:val="008C5351"/>
    <w:rsid w:val="008C65F9"/>
    <w:rsid w:val="008D2D40"/>
    <w:rsid w:val="008D54A8"/>
    <w:rsid w:val="008D71C5"/>
    <w:rsid w:val="008E04B6"/>
    <w:rsid w:val="008E0973"/>
    <w:rsid w:val="008E5378"/>
    <w:rsid w:val="008E6D1D"/>
    <w:rsid w:val="008F007F"/>
    <w:rsid w:val="008F27F5"/>
    <w:rsid w:val="008F3485"/>
    <w:rsid w:val="009012E3"/>
    <w:rsid w:val="0090214D"/>
    <w:rsid w:val="00905232"/>
    <w:rsid w:val="00910E3E"/>
    <w:rsid w:val="00911924"/>
    <w:rsid w:val="00916A0C"/>
    <w:rsid w:val="00917427"/>
    <w:rsid w:val="00917B76"/>
    <w:rsid w:val="009238D4"/>
    <w:rsid w:val="00932C70"/>
    <w:rsid w:val="00941603"/>
    <w:rsid w:val="009458DB"/>
    <w:rsid w:val="009478CF"/>
    <w:rsid w:val="00950FBE"/>
    <w:rsid w:val="009562CF"/>
    <w:rsid w:val="00963531"/>
    <w:rsid w:val="009677B2"/>
    <w:rsid w:val="009737FC"/>
    <w:rsid w:val="009816AA"/>
    <w:rsid w:val="009818CF"/>
    <w:rsid w:val="00983F28"/>
    <w:rsid w:val="00986FF4"/>
    <w:rsid w:val="009873CC"/>
    <w:rsid w:val="0099073B"/>
    <w:rsid w:val="00991A15"/>
    <w:rsid w:val="00996900"/>
    <w:rsid w:val="009A00B1"/>
    <w:rsid w:val="009A0953"/>
    <w:rsid w:val="009A11EB"/>
    <w:rsid w:val="009A18ED"/>
    <w:rsid w:val="009A2D99"/>
    <w:rsid w:val="009A3A5C"/>
    <w:rsid w:val="009A71EB"/>
    <w:rsid w:val="009A769F"/>
    <w:rsid w:val="009A77A0"/>
    <w:rsid w:val="009B064A"/>
    <w:rsid w:val="009B2BC7"/>
    <w:rsid w:val="009B4F63"/>
    <w:rsid w:val="009B51D2"/>
    <w:rsid w:val="009C1EDD"/>
    <w:rsid w:val="009D235E"/>
    <w:rsid w:val="009D2667"/>
    <w:rsid w:val="009D5625"/>
    <w:rsid w:val="009E0D30"/>
    <w:rsid w:val="009E1F03"/>
    <w:rsid w:val="009E4801"/>
    <w:rsid w:val="009E71C7"/>
    <w:rsid w:val="009E7249"/>
    <w:rsid w:val="009F12CA"/>
    <w:rsid w:val="009F1BF3"/>
    <w:rsid w:val="00A000F6"/>
    <w:rsid w:val="00A01B15"/>
    <w:rsid w:val="00A02324"/>
    <w:rsid w:val="00A02C6A"/>
    <w:rsid w:val="00A05196"/>
    <w:rsid w:val="00A133EB"/>
    <w:rsid w:val="00A17890"/>
    <w:rsid w:val="00A17D59"/>
    <w:rsid w:val="00A21912"/>
    <w:rsid w:val="00A325A6"/>
    <w:rsid w:val="00A40B98"/>
    <w:rsid w:val="00A443D0"/>
    <w:rsid w:val="00A50011"/>
    <w:rsid w:val="00A511A9"/>
    <w:rsid w:val="00A52FD6"/>
    <w:rsid w:val="00A53729"/>
    <w:rsid w:val="00A54AC9"/>
    <w:rsid w:val="00A555A9"/>
    <w:rsid w:val="00A55BB2"/>
    <w:rsid w:val="00A56739"/>
    <w:rsid w:val="00A5675F"/>
    <w:rsid w:val="00A57A6F"/>
    <w:rsid w:val="00A717F9"/>
    <w:rsid w:val="00A7300E"/>
    <w:rsid w:val="00A776AC"/>
    <w:rsid w:val="00A864E5"/>
    <w:rsid w:val="00A9180D"/>
    <w:rsid w:val="00A91A37"/>
    <w:rsid w:val="00A94C9A"/>
    <w:rsid w:val="00A95866"/>
    <w:rsid w:val="00AA06D7"/>
    <w:rsid w:val="00AA0E34"/>
    <w:rsid w:val="00AA3421"/>
    <w:rsid w:val="00AA65AC"/>
    <w:rsid w:val="00AB2D5B"/>
    <w:rsid w:val="00AB42BD"/>
    <w:rsid w:val="00AB644C"/>
    <w:rsid w:val="00AB7BEE"/>
    <w:rsid w:val="00AC4280"/>
    <w:rsid w:val="00AC4B42"/>
    <w:rsid w:val="00AC7BEB"/>
    <w:rsid w:val="00AD3CB7"/>
    <w:rsid w:val="00AD5B3C"/>
    <w:rsid w:val="00AE369A"/>
    <w:rsid w:val="00AE41EB"/>
    <w:rsid w:val="00AE6DEB"/>
    <w:rsid w:val="00AE7516"/>
    <w:rsid w:val="00AE775A"/>
    <w:rsid w:val="00B01572"/>
    <w:rsid w:val="00B02D50"/>
    <w:rsid w:val="00B12439"/>
    <w:rsid w:val="00B157D1"/>
    <w:rsid w:val="00B22415"/>
    <w:rsid w:val="00B2328A"/>
    <w:rsid w:val="00B24DE8"/>
    <w:rsid w:val="00B36389"/>
    <w:rsid w:val="00B366D4"/>
    <w:rsid w:val="00B408C7"/>
    <w:rsid w:val="00B45970"/>
    <w:rsid w:val="00B45CC8"/>
    <w:rsid w:val="00B520BA"/>
    <w:rsid w:val="00B520CB"/>
    <w:rsid w:val="00B52505"/>
    <w:rsid w:val="00B555C0"/>
    <w:rsid w:val="00B605FA"/>
    <w:rsid w:val="00B60C99"/>
    <w:rsid w:val="00B60FF9"/>
    <w:rsid w:val="00B62947"/>
    <w:rsid w:val="00B66387"/>
    <w:rsid w:val="00B8320F"/>
    <w:rsid w:val="00B83781"/>
    <w:rsid w:val="00B9114F"/>
    <w:rsid w:val="00B91B6D"/>
    <w:rsid w:val="00B930EE"/>
    <w:rsid w:val="00B93DB5"/>
    <w:rsid w:val="00B95CB4"/>
    <w:rsid w:val="00B95FCE"/>
    <w:rsid w:val="00BA1C8D"/>
    <w:rsid w:val="00BA1E12"/>
    <w:rsid w:val="00BA2A41"/>
    <w:rsid w:val="00BA4BC6"/>
    <w:rsid w:val="00BB2D40"/>
    <w:rsid w:val="00BC3076"/>
    <w:rsid w:val="00BC550A"/>
    <w:rsid w:val="00BC5EF3"/>
    <w:rsid w:val="00BC7D3D"/>
    <w:rsid w:val="00BD1FBD"/>
    <w:rsid w:val="00BD2D9D"/>
    <w:rsid w:val="00BD5350"/>
    <w:rsid w:val="00BD562C"/>
    <w:rsid w:val="00BD588B"/>
    <w:rsid w:val="00BD7E3C"/>
    <w:rsid w:val="00BE0092"/>
    <w:rsid w:val="00BE1D7B"/>
    <w:rsid w:val="00BE329F"/>
    <w:rsid w:val="00BF00AA"/>
    <w:rsid w:val="00BF116B"/>
    <w:rsid w:val="00BF370D"/>
    <w:rsid w:val="00C01431"/>
    <w:rsid w:val="00C05852"/>
    <w:rsid w:val="00C05909"/>
    <w:rsid w:val="00C130C9"/>
    <w:rsid w:val="00C16988"/>
    <w:rsid w:val="00C21A56"/>
    <w:rsid w:val="00C230FB"/>
    <w:rsid w:val="00C25479"/>
    <w:rsid w:val="00C3013D"/>
    <w:rsid w:val="00C317C9"/>
    <w:rsid w:val="00C319AB"/>
    <w:rsid w:val="00C32F00"/>
    <w:rsid w:val="00C34BB0"/>
    <w:rsid w:val="00C3565B"/>
    <w:rsid w:val="00C37CD8"/>
    <w:rsid w:val="00C4181B"/>
    <w:rsid w:val="00C43EA7"/>
    <w:rsid w:val="00C457C2"/>
    <w:rsid w:val="00C46995"/>
    <w:rsid w:val="00C5682A"/>
    <w:rsid w:val="00C61300"/>
    <w:rsid w:val="00C713ED"/>
    <w:rsid w:val="00C7202A"/>
    <w:rsid w:val="00C7479E"/>
    <w:rsid w:val="00C765AF"/>
    <w:rsid w:val="00C7720F"/>
    <w:rsid w:val="00C80AA3"/>
    <w:rsid w:val="00C816F3"/>
    <w:rsid w:val="00C82E82"/>
    <w:rsid w:val="00C853EA"/>
    <w:rsid w:val="00C91AE9"/>
    <w:rsid w:val="00C924D4"/>
    <w:rsid w:val="00C964C5"/>
    <w:rsid w:val="00CA1A34"/>
    <w:rsid w:val="00CA3986"/>
    <w:rsid w:val="00CA5FD2"/>
    <w:rsid w:val="00CB0A80"/>
    <w:rsid w:val="00CB49EA"/>
    <w:rsid w:val="00CB5448"/>
    <w:rsid w:val="00CB67E2"/>
    <w:rsid w:val="00CC2EC3"/>
    <w:rsid w:val="00CC47FD"/>
    <w:rsid w:val="00CC574C"/>
    <w:rsid w:val="00CC579B"/>
    <w:rsid w:val="00CD007A"/>
    <w:rsid w:val="00CD0FF3"/>
    <w:rsid w:val="00CD4D53"/>
    <w:rsid w:val="00CE3842"/>
    <w:rsid w:val="00CE5D45"/>
    <w:rsid w:val="00CE72E9"/>
    <w:rsid w:val="00CF4B28"/>
    <w:rsid w:val="00CF75B4"/>
    <w:rsid w:val="00CF7B3D"/>
    <w:rsid w:val="00D01379"/>
    <w:rsid w:val="00D0254B"/>
    <w:rsid w:val="00D025D1"/>
    <w:rsid w:val="00D02FBC"/>
    <w:rsid w:val="00D031BB"/>
    <w:rsid w:val="00D04B59"/>
    <w:rsid w:val="00D04EB5"/>
    <w:rsid w:val="00D05ED9"/>
    <w:rsid w:val="00D0743E"/>
    <w:rsid w:val="00D10ACD"/>
    <w:rsid w:val="00D15672"/>
    <w:rsid w:val="00D248B2"/>
    <w:rsid w:val="00D25FB6"/>
    <w:rsid w:val="00D26ECB"/>
    <w:rsid w:val="00D271F9"/>
    <w:rsid w:val="00D27318"/>
    <w:rsid w:val="00D275D2"/>
    <w:rsid w:val="00D33CDC"/>
    <w:rsid w:val="00D35597"/>
    <w:rsid w:val="00D35D99"/>
    <w:rsid w:val="00D37567"/>
    <w:rsid w:val="00D37DB4"/>
    <w:rsid w:val="00D4224B"/>
    <w:rsid w:val="00D44A4F"/>
    <w:rsid w:val="00D45DFB"/>
    <w:rsid w:val="00D54AE7"/>
    <w:rsid w:val="00D56D94"/>
    <w:rsid w:val="00D6391B"/>
    <w:rsid w:val="00D63E49"/>
    <w:rsid w:val="00D64354"/>
    <w:rsid w:val="00D664BC"/>
    <w:rsid w:val="00D72D47"/>
    <w:rsid w:val="00D73D12"/>
    <w:rsid w:val="00D81644"/>
    <w:rsid w:val="00D86033"/>
    <w:rsid w:val="00D9369F"/>
    <w:rsid w:val="00D9390D"/>
    <w:rsid w:val="00DA3905"/>
    <w:rsid w:val="00DA7688"/>
    <w:rsid w:val="00DA778D"/>
    <w:rsid w:val="00DB0728"/>
    <w:rsid w:val="00DB1C2D"/>
    <w:rsid w:val="00DB1EF1"/>
    <w:rsid w:val="00DB2651"/>
    <w:rsid w:val="00DB539E"/>
    <w:rsid w:val="00DC3A67"/>
    <w:rsid w:val="00DC5300"/>
    <w:rsid w:val="00DD20A8"/>
    <w:rsid w:val="00DD2DB5"/>
    <w:rsid w:val="00DD32BF"/>
    <w:rsid w:val="00DD3DD0"/>
    <w:rsid w:val="00DD4D34"/>
    <w:rsid w:val="00DD7D77"/>
    <w:rsid w:val="00DE0535"/>
    <w:rsid w:val="00DE0C56"/>
    <w:rsid w:val="00DE24E6"/>
    <w:rsid w:val="00DE290D"/>
    <w:rsid w:val="00DF062D"/>
    <w:rsid w:val="00DF1C5D"/>
    <w:rsid w:val="00DF7300"/>
    <w:rsid w:val="00E0181E"/>
    <w:rsid w:val="00E01D27"/>
    <w:rsid w:val="00E026C7"/>
    <w:rsid w:val="00E078A3"/>
    <w:rsid w:val="00E10A3A"/>
    <w:rsid w:val="00E1104B"/>
    <w:rsid w:val="00E2594C"/>
    <w:rsid w:val="00E26B50"/>
    <w:rsid w:val="00E27032"/>
    <w:rsid w:val="00E31E25"/>
    <w:rsid w:val="00E32509"/>
    <w:rsid w:val="00E3280D"/>
    <w:rsid w:val="00E35226"/>
    <w:rsid w:val="00E40316"/>
    <w:rsid w:val="00E40FB5"/>
    <w:rsid w:val="00E42A28"/>
    <w:rsid w:val="00E479AC"/>
    <w:rsid w:val="00E501C1"/>
    <w:rsid w:val="00E55028"/>
    <w:rsid w:val="00E55B66"/>
    <w:rsid w:val="00E6177F"/>
    <w:rsid w:val="00E75236"/>
    <w:rsid w:val="00E76D78"/>
    <w:rsid w:val="00E8080F"/>
    <w:rsid w:val="00E8313B"/>
    <w:rsid w:val="00E84056"/>
    <w:rsid w:val="00E90A4D"/>
    <w:rsid w:val="00E92E47"/>
    <w:rsid w:val="00E93A72"/>
    <w:rsid w:val="00E9573A"/>
    <w:rsid w:val="00E96513"/>
    <w:rsid w:val="00EA5B09"/>
    <w:rsid w:val="00EA5DD9"/>
    <w:rsid w:val="00EA6433"/>
    <w:rsid w:val="00EB025B"/>
    <w:rsid w:val="00EC01EA"/>
    <w:rsid w:val="00EC0AD9"/>
    <w:rsid w:val="00EC10FF"/>
    <w:rsid w:val="00EC186C"/>
    <w:rsid w:val="00EC2BB6"/>
    <w:rsid w:val="00EC318D"/>
    <w:rsid w:val="00EC55CA"/>
    <w:rsid w:val="00EC70B9"/>
    <w:rsid w:val="00ED0BAF"/>
    <w:rsid w:val="00EE376B"/>
    <w:rsid w:val="00EE5B4F"/>
    <w:rsid w:val="00EE70A9"/>
    <w:rsid w:val="00EF150E"/>
    <w:rsid w:val="00F0419F"/>
    <w:rsid w:val="00F064FD"/>
    <w:rsid w:val="00F06545"/>
    <w:rsid w:val="00F066FF"/>
    <w:rsid w:val="00F1032D"/>
    <w:rsid w:val="00F11DB3"/>
    <w:rsid w:val="00F14B05"/>
    <w:rsid w:val="00F2149E"/>
    <w:rsid w:val="00F22461"/>
    <w:rsid w:val="00F228FC"/>
    <w:rsid w:val="00F22C03"/>
    <w:rsid w:val="00F26E05"/>
    <w:rsid w:val="00F27256"/>
    <w:rsid w:val="00F3420D"/>
    <w:rsid w:val="00F35D26"/>
    <w:rsid w:val="00F444BB"/>
    <w:rsid w:val="00F50853"/>
    <w:rsid w:val="00F50BDB"/>
    <w:rsid w:val="00F50CF7"/>
    <w:rsid w:val="00F522B4"/>
    <w:rsid w:val="00F52306"/>
    <w:rsid w:val="00F54262"/>
    <w:rsid w:val="00F56258"/>
    <w:rsid w:val="00F56A6A"/>
    <w:rsid w:val="00F632AF"/>
    <w:rsid w:val="00F653CE"/>
    <w:rsid w:val="00F67AEA"/>
    <w:rsid w:val="00F71836"/>
    <w:rsid w:val="00F73692"/>
    <w:rsid w:val="00F736E2"/>
    <w:rsid w:val="00F737A8"/>
    <w:rsid w:val="00F74A41"/>
    <w:rsid w:val="00F76B83"/>
    <w:rsid w:val="00F76CC7"/>
    <w:rsid w:val="00F83F68"/>
    <w:rsid w:val="00F8418A"/>
    <w:rsid w:val="00F84ED2"/>
    <w:rsid w:val="00F86447"/>
    <w:rsid w:val="00F9034B"/>
    <w:rsid w:val="00F91E42"/>
    <w:rsid w:val="00F94594"/>
    <w:rsid w:val="00F95382"/>
    <w:rsid w:val="00F95E5D"/>
    <w:rsid w:val="00FA09BD"/>
    <w:rsid w:val="00FA2512"/>
    <w:rsid w:val="00FA7873"/>
    <w:rsid w:val="00FB252E"/>
    <w:rsid w:val="00FB5D5D"/>
    <w:rsid w:val="00FC4A23"/>
    <w:rsid w:val="00FC6E21"/>
    <w:rsid w:val="00FD69E8"/>
    <w:rsid w:val="00FE1835"/>
    <w:rsid w:val="00FE27DF"/>
    <w:rsid w:val="00FF296C"/>
    <w:rsid w:val="00FF3A75"/>
    <w:rsid w:val="00FF5BED"/>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286751"/>
    <w:pPr>
      <w:keepNext/>
      <w:widowControl/>
      <w:autoSpaceDE/>
      <w:autoSpaceDN/>
      <w:adjustRightInd/>
      <w:spacing w:before="60" w:after="60"/>
      <w:jc w:val="center"/>
      <w:outlineLvl w:val="0"/>
    </w:pPr>
    <w:rPr>
      <w:rFonts w:cs="Arial"/>
      <w:b/>
      <w:bCs/>
      <w:caps/>
      <w:color w:val="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semiHidden/>
    <w:rsid w:val="00063823"/>
    <w:rPr>
      <w:sz w:val="20"/>
      <w:szCs w:val="20"/>
    </w:rPr>
  </w:style>
  <w:style w:type="table" w:styleId="TableGrid">
    <w:name w:val="Table Grid"/>
    <w:basedOn w:val="TableNormal"/>
    <w:uiPriority w:val="59"/>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character" w:customStyle="1" w:styleId="Heading1Char">
    <w:name w:val="Heading 1 Char"/>
    <w:link w:val="Heading1"/>
    <w:rsid w:val="00286751"/>
    <w:rPr>
      <w:rFonts w:cs="Arial"/>
      <w:b/>
      <w:bCs/>
      <w:caps/>
      <w:color w:val="333399"/>
      <w:sz w:val="24"/>
      <w:szCs w:val="24"/>
    </w:rPr>
  </w:style>
  <w:style w:type="paragraph" w:styleId="NoSpacing">
    <w:name w:val="No Spacing"/>
    <w:qFormat/>
    <w:rsid w:val="00286751"/>
    <w:rPr>
      <w:rFonts w:ascii="Calibri" w:eastAsia="Calibri" w:hAnsi="Calibri"/>
      <w:sz w:val="22"/>
      <w:szCs w:val="22"/>
    </w:rPr>
  </w:style>
  <w:style w:type="table" w:styleId="TableElegant">
    <w:name w:val="Table Elegant"/>
    <w:basedOn w:val="TableNormal"/>
    <w:rsid w:val="00286751"/>
    <w:rPr>
      <w:rFonts w:ascii="Calibri" w:eastAsia="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ootnoteTextChar">
    <w:name w:val="Footnote Text Char"/>
    <w:basedOn w:val="DefaultParagraphFont"/>
    <w:link w:val="FootnoteText"/>
    <w:semiHidden/>
    <w:rsid w:val="00286751"/>
  </w:style>
  <w:style w:type="paragraph" w:styleId="ListParagraph">
    <w:name w:val="List Paragraph"/>
    <w:basedOn w:val="Normal"/>
    <w:qFormat/>
    <w:rsid w:val="00286751"/>
    <w:pPr>
      <w:widowControl/>
      <w:autoSpaceDE/>
      <w:autoSpaceDN/>
      <w:adjustRightInd/>
      <w:ind w:left="720"/>
    </w:pPr>
  </w:style>
  <w:style w:type="paragraph" w:customStyle="1" w:styleId="L1-FlLSp12">
    <w:name w:val="L1-FlL Sp&amp;1/2"/>
    <w:basedOn w:val="Normal"/>
    <w:link w:val="L1-FlLSp12Char"/>
    <w:rsid w:val="00286751"/>
    <w:pPr>
      <w:widowControl/>
      <w:tabs>
        <w:tab w:val="left" w:pos="1152"/>
      </w:tabs>
      <w:autoSpaceDE/>
      <w:autoSpaceDN/>
      <w:adjustRightInd/>
      <w:spacing w:line="240" w:lineRule="atLeast"/>
    </w:pPr>
    <w:rPr>
      <w:rFonts w:ascii="Garamond" w:hAnsi="Garamond"/>
      <w:szCs w:val="20"/>
    </w:rPr>
  </w:style>
  <w:style w:type="character" w:customStyle="1" w:styleId="L1-FlLSp12Char">
    <w:name w:val="L1-FlL Sp&amp;1/2 Char"/>
    <w:link w:val="L1-FlLSp12"/>
    <w:locked/>
    <w:rsid w:val="00286751"/>
    <w:rPr>
      <w:rFonts w:ascii="Garamond" w:hAnsi="Garamond"/>
      <w:sz w:val="24"/>
    </w:rPr>
  </w:style>
  <w:style w:type="paragraph" w:customStyle="1" w:styleId="Default">
    <w:name w:val="Default"/>
    <w:rsid w:val="00125C2D"/>
    <w:pPr>
      <w:autoSpaceDE w:val="0"/>
      <w:autoSpaceDN w:val="0"/>
      <w:adjustRightInd w:val="0"/>
    </w:pPr>
    <w:rPr>
      <w:color w:val="000000"/>
      <w:sz w:val="24"/>
      <w:szCs w:val="24"/>
    </w:rPr>
  </w:style>
  <w:style w:type="paragraph" w:customStyle="1" w:styleId="Bullets">
    <w:name w:val="Bullets"/>
    <w:basedOn w:val="Default"/>
    <w:next w:val="Default"/>
    <w:uiPriority w:val="99"/>
    <w:rsid w:val="00125C2D"/>
    <w:rPr>
      <w:color w:val="auto"/>
    </w:rPr>
  </w:style>
  <w:style w:type="character" w:customStyle="1" w:styleId="CommentTextChar">
    <w:name w:val="Comment Text Char"/>
    <w:basedOn w:val="DefaultParagraphFont"/>
    <w:link w:val="CommentText"/>
    <w:semiHidden/>
    <w:locked/>
    <w:rsid w:val="000E0888"/>
  </w:style>
  <w:style w:type="paragraph" w:styleId="PlainText">
    <w:name w:val="Plain Text"/>
    <w:basedOn w:val="Normal"/>
    <w:link w:val="PlainTextChar"/>
    <w:uiPriority w:val="99"/>
    <w:unhideWhenUsed/>
    <w:rsid w:val="009E4801"/>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9E4801"/>
    <w:rPr>
      <w:rFonts w:ascii="Consolas" w:eastAsia="Calibri" w:hAnsi="Consolas" w:cs="Times New Roman"/>
      <w:sz w:val="21"/>
      <w:szCs w:val="21"/>
    </w:rPr>
  </w:style>
  <w:style w:type="character" w:styleId="Strong">
    <w:name w:val="Strong"/>
    <w:qFormat/>
    <w:rsid w:val="00136F00"/>
    <w:rPr>
      <w:b/>
      <w:bCs/>
    </w:rPr>
  </w:style>
  <w:style w:type="character" w:customStyle="1" w:styleId="author3">
    <w:name w:val="author3"/>
    <w:rsid w:val="00C5682A"/>
    <w:rPr>
      <w:b/>
      <w:bCs/>
    </w:rPr>
  </w:style>
  <w:style w:type="character" w:customStyle="1" w:styleId="FooterChar">
    <w:name w:val="Footer Char"/>
    <w:link w:val="Footer"/>
    <w:uiPriority w:val="99"/>
    <w:rsid w:val="009A0953"/>
    <w:rPr>
      <w:sz w:val="24"/>
      <w:szCs w:val="24"/>
    </w:rPr>
  </w:style>
  <w:style w:type="paragraph" w:styleId="Revision">
    <w:name w:val="Revision"/>
    <w:hidden/>
    <w:uiPriority w:val="99"/>
    <w:semiHidden/>
    <w:rsid w:val="00E92E4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286751"/>
    <w:pPr>
      <w:keepNext/>
      <w:widowControl/>
      <w:autoSpaceDE/>
      <w:autoSpaceDN/>
      <w:adjustRightInd/>
      <w:spacing w:before="60" w:after="60"/>
      <w:jc w:val="center"/>
      <w:outlineLvl w:val="0"/>
    </w:pPr>
    <w:rPr>
      <w:rFonts w:cs="Arial"/>
      <w:b/>
      <w:bCs/>
      <w:caps/>
      <w:color w:val="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semiHidden/>
    <w:rsid w:val="00063823"/>
    <w:rPr>
      <w:sz w:val="20"/>
      <w:szCs w:val="20"/>
    </w:rPr>
  </w:style>
  <w:style w:type="table" w:styleId="TableGrid">
    <w:name w:val="Table Grid"/>
    <w:basedOn w:val="TableNormal"/>
    <w:uiPriority w:val="59"/>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character" w:customStyle="1" w:styleId="Heading1Char">
    <w:name w:val="Heading 1 Char"/>
    <w:link w:val="Heading1"/>
    <w:rsid w:val="00286751"/>
    <w:rPr>
      <w:rFonts w:cs="Arial"/>
      <w:b/>
      <w:bCs/>
      <w:caps/>
      <w:color w:val="333399"/>
      <w:sz w:val="24"/>
      <w:szCs w:val="24"/>
    </w:rPr>
  </w:style>
  <w:style w:type="paragraph" w:styleId="NoSpacing">
    <w:name w:val="No Spacing"/>
    <w:qFormat/>
    <w:rsid w:val="00286751"/>
    <w:rPr>
      <w:rFonts w:ascii="Calibri" w:eastAsia="Calibri" w:hAnsi="Calibri"/>
      <w:sz w:val="22"/>
      <w:szCs w:val="22"/>
    </w:rPr>
  </w:style>
  <w:style w:type="table" w:styleId="TableElegant">
    <w:name w:val="Table Elegant"/>
    <w:basedOn w:val="TableNormal"/>
    <w:rsid w:val="00286751"/>
    <w:rPr>
      <w:rFonts w:ascii="Calibri" w:eastAsia="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ootnoteTextChar">
    <w:name w:val="Footnote Text Char"/>
    <w:basedOn w:val="DefaultParagraphFont"/>
    <w:link w:val="FootnoteText"/>
    <w:semiHidden/>
    <w:rsid w:val="00286751"/>
  </w:style>
  <w:style w:type="paragraph" w:styleId="ListParagraph">
    <w:name w:val="List Paragraph"/>
    <w:basedOn w:val="Normal"/>
    <w:qFormat/>
    <w:rsid w:val="00286751"/>
    <w:pPr>
      <w:widowControl/>
      <w:autoSpaceDE/>
      <w:autoSpaceDN/>
      <w:adjustRightInd/>
      <w:ind w:left="720"/>
    </w:pPr>
  </w:style>
  <w:style w:type="paragraph" w:customStyle="1" w:styleId="L1-FlLSp12">
    <w:name w:val="L1-FlL Sp&amp;1/2"/>
    <w:basedOn w:val="Normal"/>
    <w:link w:val="L1-FlLSp12Char"/>
    <w:rsid w:val="00286751"/>
    <w:pPr>
      <w:widowControl/>
      <w:tabs>
        <w:tab w:val="left" w:pos="1152"/>
      </w:tabs>
      <w:autoSpaceDE/>
      <w:autoSpaceDN/>
      <w:adjustRightInd/>
      <w:spacing w:line="240" w:lineRule="atLeast"/>
    </w:pPr>
    <w:rPr>
      <w:rFonts w:ascii="Garamond" w:hAnsi="Garamond"/>
      <w:szCs w:val="20"/>
    </w:rPr>
  </w:style>
  <w:style w:type="character" w:customStyle="1" w:styleId="L1-FlLSp12Char">
    <w:name w:val="L1-FlL Sp&amp;1/2 Char"/>
    <w:link w:val="L1-FlLSp12"/>
    <w:locked/>
    <w:rsid w:val="00286751"/>
    <w:rPr>
      <w:rFonts w:ascii="Garamond" w:hAnsi="Garamond"/>
      <w:sz w:val="24"/>
    </w:rPr>
  </w:style>
  <w:style w:type="paragraph" w:customStyle="1" w:styleId="Default">
    <w:name w:val="Default"/>
    <w:rsid w:val="00125C2D"/>
    <w:pPr>
      <w:autoSpaceDE w:val="0"/>
      <w:autoSpaceDN w:val="0"/>
      <w:adjustRightInd w:val="0"/>
    </w:pPr>
    <w:rPr>
      <w:color w:val="000000"/>
      <w:sz w:val="24"/>
      <w:szCs w:val="24"/>
    </w:rPr>
  </w:style>
  <w:style w:type="paragraph" w:customStyle="1" w:styleId="Bullets">
    <w:name w:val="Bullets"/>
    <w:basedOn w:val="Default"/>
    <w:next w:val="Default"/>
    <w:uiPriority w:val="99"/>
    <w:rsid w:val="00125C2D"/>
    <w:rPr>
      <w:color w:val="auto"/>
    </w:rPr>
  </w:style>
  <w:style w:type="character" w:customStyle="1" w:styleId="CommentTextChar">
    <w:name w:val="Comment Text Char"/>
    <w:basedOn w:val="DefaultParagraphFont"/>
    <w:link w:val="CommentText"/>
    <w:semiHidden/>
    <w:locked/>
    <w:rsid w:val="000E0888"/>
  </w:style>
  <w:style w:type="paragraph" w:styleId="PlainText">
    <w:name w:val="Plain Text"/>
    <w:basedOn w:val="Normal"/>
    <w:link w:val="PlainTextChar"/>
    <w:uiPriority w:val="99"/>
    <w:unhideWhenUsed/>
    <w:rsid w:val="009E4801"/>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9E4801"/>
    <w:rPr>
      <w:rFonts w:ascii="Consolas" w:eastAsia="Calibri" w:hAnsi="Consolas" w:cs="Times New Roman"/>
      <w:sz w:val="21"/>
      <w:szCs w:val="21"/>
    </w:rPr>
  </w:style>
  <w:style w:type="character" w:styleId="Strong">
    <w:name w:val="Strong"/>
    <w:qFormat/>
    <w:rsid w:val="00136F00"/>
    <w:rPr>
      <w:b/>
      <w:bCs/>
    </w:rPr>
  </w:style>
  <w:style w:type="character" w:customStyle="1" w:styleId="author3">
    <w:name w:val="author3"/>
    <w:rsid w:val="00C5682A"/>
    <w:rPr>
      <w:b/>
      <w:bCs/>
    </w:rPr>
  </w:style>
  <w:style w:type="character" w:customStyle="1" w:styleId="FooterChar">
    <w:name w:val="Footer Char"/>
    <w:link w:val="Footer"/>
    <w:uiPriority w:val="99"/>
    <w:rsid w:val="009A0953"/>
    <w:rPr>
      <w:sz w:val="24"/>
      <w:szCs w:val="24"/>
    </w:rPr>
  </w:style>
  <w:style w:type="paragraph" w:styleId="Revision">
    <w:name w:val="Revision"/>
    <w:hidden/>
    <w:uiPriority w:val="99"/>
    <w:semiHidden/>
    <w:rsid w:val="00E92E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3727">
      <w:bodyDiv w:val="1"/>
      <w:marLeft w:val="0"/>
      <w:marRight w:val="0"/>
      <w:marTop w:val="0"/>
      <w:marBottom w:val="0"/>
      <w:divBdr>
        <w:top w:val="none" w:sz="0" w:space="0" w:color="auto"/>
        <w:left w:val="none" w:sz="0" w:space="0" w:color="auto"/>
        <w:bottom w:val="none" w:sz="0" w:space="0" w:color="auto"/>
        <w:right w:val="none" w:sz="0" w:space="0" w:color="auto"/>
      </w:divBdr>
    </w:div>
    <w:div w:id="200941173">
      <w:bodyDiv w:val="1"/>
      <w:marLeft w:val="0"/>
      <w:marRight w:val="0"/>
      <w:marTop w:val="0"/>
      <w:marBottom w:val="0"/>
      <w:divBdr>
        <w:top w:val="none" w:sz="0" w:space="0" w:color="auto"/>
        <w:left w:val="none" w:sz="0" w:space="0" w:color="auto"/>
        <w:bottom w:val="none" w:sz="0" w:space="0" w:color="auto"/>
        <w:right w:val="none" w:sz="0" w:space="0" w:color="auto"/>
      </w:divBdr>
    </w:div>
    <w:div w:id="409666318">
      <w:bodyDiv w:val="1"/>
      <w:marLeft w:val="25"/>
      <w:marRight w:val="25"/>
      <w:marTop w:val="0"/>
      <w:marBottom w:val="0"/>
      <w:divBdr>
        <w:top w:val="none" w:sz="0" w:space="0" w:color="auto"/>
        <w:left w:val="none" w:sz="0" w:space="0" w:color="auto"/>
        <w:bottom w:val="none" w:sz="0" w:space="0" w:color="auto"/>
        <w:right w:val="none" w:sz="0" w:space="0" w:color="auto"/>
      </w:divBdr>
      <w:divsChild>
        <w:div w:id="938636267">
          <w:marLeft w:val="0"/>
          <w:marRight w:val="0"/>
          <w:marTop w:val="0"/>
          <w:marBottom w:val="0"/>
          <w:divBdr>
            <w:top w:val="none" w:sz="0" w:space="0" w:color="auto"/>
            <w:left w:val="none" w:sz="0" w:space="0" w:color="auto"/>
            <w:bottom w:val="none" w:sz="0" w:space="0" w:color="auto"/>
            <w:right w:val="none" w:sz="0" w:space="0" w:color="auto"/>
          </w:divBdr>
          <w:divsChild>
            <w:div w:id="666058117">
              <w:marLeft w:val="0"/>
              <w:marRight w:val="0"/>
              <w:marTop w:val="0"/>
              <w:marBottom w:val="0"/>
              <w:divBdr>
                <w:top w:val="none" w:sz="0" w:space="0" w:color="auto"/>
                <w:left w:val="none" w:sz="0" w:space="0" w:color="auto"/>
                <w:bottom w:val="none" w:sz="0" w:space="0" w:color="auto"/>
                <w:right w:val="none" w:sz="0" w:space="0" w:color="auto"/>
              </w:divBdr>
              <w:divsChild>
                <w:div w:id="999844459">
                  <w:marLeft w:val="150"/>
                  <w:marRight w:val="0"/>
                  <w:marTop w:val="0"/>
                  <w:marBottom w:val="0"/>
                  <w:divBdr>
                    <w:top w:val="none" w:sz="0" w:space="0" w:color="auto"/>
                    <w:left w:val="none" w:sz="0" w:space="0" w:color="auto"/>
                    <w:bottom w:val="none" w:sz="0" w:space="0" w:color="auto"/>
                    <w:right w:val="none" w:sz="0" w:space="0" w:color="auto"/>
                  </w:divBdr>
                  <w:divsChild>
                    <w:div w:id="11742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32019">
      <w:bodyDiv w:val="1"/>
      <w:marLeft w:val="0"/>
      <w:marRight w:val="0"/>
      <w:marTop w:val="0"/>
      <w:marBottom w:val="0"/>
      <w:divBdr>
        <w:top w:val="none" w:sz="0" w:space="0" w:color="auto"/>
        <w:left w:val="none" w:sz="0" w:space="0" w:color="auto"/>
        <w:bottom w:val="none" w:sz="0" w:space="0" w:color="auto"/>
        <w:right w:val="none" w:sz="0" w:space="0" w:color="auto"/>
      </w:divBdr>
    </w:div>
    <w:div w:id="726804750">
      <w:bodyDiv w:val="1"/>
      <w:marLeft w:val="0"/>
      <w:marRight w:val="0"/>
      <w:marTop w:val="0"/>
      <w:marBottom w:val="0"/>
      <w:divBdr>
        <w:top w:val="none" w:sz="0" w:space="0" w:color="auto"/>
        <w:left w:val="none" w:sz="0" w:space="0" w:color="auto"/>
        <w:bottom w:val="none" w:sz="0" w:space="0" w:color="auto"/>
        <w:right w:val="none" w:sz="0" w:space="0" w:color="auto"/>
      </w:divBdr>
    </w:div>
    <w:div w:id="801119778">
      <w:bodyDiv w:val="1"/>
      <w:marLeft w:val="0"/>
      <w:marRight w:val="0"/>
      <w:marTop w:val="0"/>
      <w:marBottom w:val="0"/>
      <w:divBdr>
        <w:top w:val="none" w:sz="0" w:space="0" w:color="auto"/>
        <w:left w:val="none" w:sz="0" w:space="0" w:color="auto"/>
        <w:bottom w:val="none" w:sz="0" w:space="0" w:color="auto"/>
        <w:right w:val="none" w:sz="0" w:space="0" w:color="auto"/>
      </w:divBdr>
      <w:divsChild>
        <w:div w:id="428736625">
          <w:marLeft w:val="0"/>
          <w:marRight w:val="0"/>
          <w:marTop w:val="0"/>
          <w:marBottom w:val="0"/>
          <w:divBdr>
            <w:top w:val="none" w:sz="0" w:space="0" w:color="auto"/>
            <w:left w:val="none" w:sz="0" w:space="0" w:color="auto"/>
            <w:bottom w:val="none" w:sz="0" w:space="0" w:color="auto"/>
            <w:right w:val="none" w:sz="0" w:space="0" w:color="auto"/>
          </w:divBdr>
        </w:div>
        <w:div w:id="1398671429">
          <w:marLeft w:val="0"/>
          <w:marRight w:val="0"/>
          <w:marTop w:val="0"/>
          <w:marBottom w:val="0"/>
          <w:divBdr>
            <w:top w:val="none" w:sz="0" w:space="0" w:color="auto"/>
            <w:left w:val="none" w:sz="0" w:space="0" w:color="auto"/>
            <w:bottom w:val="none" w:sz="0" w:space="0" w:color="auto"/>
            <w:right w:val="none" w:sz="0" w:space="0" w:color="auto"/>
          </w:divBdr>
        </w:div>
        <w:div w:id="1420981345">
          <w:marLeft w:val="0"/>
          <w:marRight w:val="0"/>
          <w:marTop w:val="0"/>
          <w:marBottom w:val="0"/>
          <w:divBdr>
            <w:top w:val="none" w:sz="0" w:space="0" w:color="auto"/>
            <w:left w:val="none" w:sz="0" w:space="0" w:color="auto"/>
            <w:bottom w:val="none" w:sz="0" w:space="0" w:color="auto"/>
            <w:right w:val="none" w:sz="0" w:space="0" w:color="auto"/>
          </w:divBdr>
        </w:div>
        <w:div w:id="1449083633">
          <w:marLeft w:val="0"/>
          <w:marRight w:val="0"/>
          <w:marTop w:val="0"/>
          <w:marBottom w:val="0"/>
          <w:divBdr>
            <w:top w:val="none" w:sz="0" w:space="0" w:color="auto"/>
            <w:left w:val="none" w:sz="0" w:space="0" w:color="auto"/>
            <w:bottom w:val="none" w:sz="0" w:space="0" w:color="auto"/>
            <w:right w:val="none" w:sz="0" w:space="0" w:color="auto"/>
          </w:divBdr>
        </w:div>
        <w:div w:id="1936285940">
          <w:marLeft w:val="0"/>
          <w:marRight w:val="0"/>
          <w:marTop w:val="0"/>
          <w:marBottom w:val="0"/>
          <w:divBdr>
            <w:top w:val="none" w:sz="0" w:space="0" w:color="auto"/>
            <w:left w:val="none" w:sz="0" w:space="0" w:color="auto"/>
            <w:bottom w:val="none" w:sz="0" w:space="0" w:color="auto"/>
            <w:right w:val="none" w:sz="0" w:space="0" w:color="auto"/>
          </w:divBdr>
        </w:div>
        <w:div w:id="2097704423">
          <w:marLeft w:val="0"/>
          <w:marRight w:val="0"/>
          <w:marTop w:val="0"/>
          <w:marBottom w:val="0"/>
          <w:divBdr>
            <w:top w:val="none" w:sz="0" w:space="0" w:color="auto"/>
            <w:left w:val="none" w:sz="0" w:space="0" w:color="auto"/>
            <w:bottom w:val="none" w:sz="0" w:space="0" w:color="auto"/>
            <w:right w:val="none" w:sz="0" w:space="0" w:color="auto"/>
          </w:divBdr>
        </w:div>
      </w:divsChild>
    </w:div>
    <w:div w:id="816722457">
      <w:bodyDiv w:val="1"/>
      <w:marLeft w:val="0"/>
      <w:marRight w:val="0"/>
      <w:marTop w:val="0"/>
      <w:marBottom w:val="0"/>
      <w:divBdr>
        <w:top w:val="none" w:sz="0" w:space="0" w:color="auto"/>
        <w:left w:val="none" w:sz="0" w:space="0" w:color="auto"/>
        <w:bottom w:val="none" w:sz="0" w:space="0" w:color="auto"/>
        <w:right w:val="none" w:sz="0" w:space="0" w:color="auto"/>
      </w:divBdr>
    </w:div>
    <w:div w:id="1049259040">
      <w:bodyDiv w:val="1"/>
      <w:marLeft w:val="0"/>
      <w:marRight w:val="0"/>
      <w:marTop w:val="0"/>
      <w:marBottom w:val="0"/>
      <w:divBdr>
        <w:top w:val="none" w:sz="0" w:space="0" w:color="auto"/>
        <w:left w:val="none" w:sz="0" w:space="0" w:color="auto"/>
        <w:bottom w:val="none" w:sz="0" w:space="0" w:color="auto"/>
        <w:right w:val="none" w:sz="0" w:space="0" w:color="auto"/>
      </w:divBdr>
    </w:div>
    <w:div w:id="1285504985">
      <w:bodyDiv w:val="1"/>
      <w:marLeft w:val="0"/>
      <w:marRight w:val="0"/>
      <w:marTop w:val="0"/>
      <w:marBottom w:val="0"/>
      <w:divBdr>
        <w:top w:val="none" w:sz="0" w:space="0" w:color="auto"/>
        <w:left w:val="none" w:sz="0" w:space="0" w:color="auto"/>
        <w:bottom w:val="none" w:sz="0" w:space="0" w:color="auto"/>
        <w:right w:val="none" w:sz="0" w:space="0" w:color="auto"/>
      </w:divBdr>
    </w:div>
    <w:div w:id="1422025980">
      <w:bodyDiv w:val="1"/>
      <w:marLeft w:val="0"/>
      <w:marRight w:val="0"/>
      <w:marTop w:val="0"/>
      <w:marBottom w:val="0"/>
      <w:divBdr>
        <w:top w:val="none" w:sz="0" w:space="0" w:color="auto"/>
        <w:left w:val="none" w:sz="0" w:space="0" w:color="auto"/>
        <w:bottom w:val="none" w:sz="0" w:space="0" w:color="auto"/>
        <w:right w:val="none" w:sz="0" w:space="0" w:color="auto"/>
      </w:divBdr>
    </w:div>
    <w:div w:id="1490058715">
      <w:bodyDiv w:val="1"/>
      <w:marLeft w:val="0"/>
      <w:marRight w:val="0"/>
      <w:marTop w:val="0"/>
      <w:marBottom w:val="0"/>
      <w:divBdr>
        <w:top w:val="none" w:sz="0" w:space="0" w:color="auto"/>
        <w:left w:val="none" w:sz="0" w:space="0" w:color="auto"/>
        <w:bottom w:val="none" w:sz="0" w:space="0" w:color="auto"/>
        <w:right w:val="none" w:sz="0" w:space="0" w:color="auto"/>
      </w:divBdr>
    </w:div>
    <w:div w:id="1603145985">
      <w:bodyDiv w:val="1"/>
      <w:marLeft w:val="0"/>
      <w:marRight w:val="0"/>
      <w:marTop w:val="0"/>
      <w:marBottom w:val="0"/>
      <w:divBdr>
        <w:top w:val="none" w:sz="0" w:space="0" w:color="auto"/>
        <w:left w:val="none" w:sz="0" w:space="0" w:color="auto"/>
        <w:bottom w:val="none" w:sz="0" w:space="0" w:color="auto"/>
        <w:right w:val="none" w:sz="0" w:space="0" w:color="auto"/>
      </w:divBdr>
    </w:div>
    <w:div w:id="1665818445">
      <w:bodyDiv w:val="1"/>
      <w:marLeft w:val="0"/>
      <w:marRight w:val="0"/>
      <w:marTop w:val="0"/>
      <w:marBottom w:val="0"/>
      <w:divBdr>
        <w:top w:val="none" w:sz="0" w:space="0" w:color="auto"/>
        <w:left w:val="none" w:sz="0" w:space="0" w:color="auto"/>
        <w:bottom w:val="none" w:sz="0" w:space="0" w:color="auto"/>
        <w:right w:val="none" w:sz="0" w:space="0" w:color="auto"/>
      </w:divBdr>
    </w:div>
    <w:div w:id="1688092064">
      <w:bodyDiv w:val="1"/>
      <w:marLeft w:val="0"/>
      <w:marRight w:val="0"/>
      <w:marTop w:val="0"/>
      <w:marBottom w:val="0"/>
      <w:divBdr>
        <w:top w:val="none" w:sz="0" w:space="0" w:color="auto"/>
        <w:left w:val="none" w:sz="0" w:space="0" w:color="auto"/>
        <w:bottom w:val="none" w:sz="0" w:space="0" w:color="auto"/>
        <w:right w:val="none" w:sz="0" w:space="0" w:color="auto"/>
      </w:divBdr>
    </w:div>
    <w:div w:id="1787460216">
      <w:bodyDiv w:val="1"/>
      <w:marLeft w:val="0"/>
      <w:marRight w:val="0"/>
      <w:marTop w:val="0"/>
      <w:marBottom w:val="0"/>
      <w:divBdr>
        <w:top w:val="none" w:sz="0" w:space="0" w:color="auto"/>
        <w:left w:val="none" w:sz="0" w:space="0" w:color="auto"/>
        <w:bottom w:val="none" w:sz="0" w:space="0" w:color="auto"/>
        <w:right w:val="none" w:sz="0" w:space="0" w:color="auto"/>
      </w:divBdr>
    </w:div>
    <w:div w:id="1838572170">
      <w:bodyDiv w:val="1"/>
      <w:marLeft w:val="0"/>
      <w:marRight w:val="0"/>
      <w:marTop w:val="0"/>
      <w:marBottom w:val="0"/>
      <w:divBdr>
        <w:top w:val="none" w:sz="0" w:space="0" w:color="auto"/>
        <w:left w:val="none" w:sz="0" w:space="0" w:color="auto"/>
        <w:bottom w:val="none" w:sz="0" w:space="0" w:color="auto"/>
        <w:right w:val="none" w:sz="0" w:space="0" w:color="auto"/>
      </w:divBdr>
    </w:div>
    <w:div w:id="1962766284">
      <w:bodyDiv w:val="1"/>
      <w:marLeft w:val="0"/>
      <w:marRight w:val="0"/>
      <w:marTop w:val="0"/>
      <w:marBottom w:val="0"/>
      <w:divBdr>
        <w:top w:val="none" w:sz="0" w:space="0" w:color="auto"/>
        <w:left w:val="none" w:sz="0" w:space="0" w:color="auto"/>
        <w:bottom w:val="none" w:sz="0" w:space="0" w:color="auto"/>
        <w:right w:val="none" w:sz="0" w:space="0" w:color="auto"/>
      </w:divBdr>
    </w:div>
    <w:div w:id="1983846690">
      <w:bodyDiv w:val="1"/>
      <w:marLeft w:val="0"/>
      <w:marRight w:val="0"/>
      <w:marTop w:val="0"/>
      <w:marBottom w:val="0"/>
      <w:divBdr>
        <w:top w:val="none" w:sz="0" w:space="0" w:color="auto"/>
        <w:left w:val="none" w:sz="0" w:space="0" w:color="auto"/>
        <w:bottom w:val="none" w:sz="0" w:space="0" w:color="auto"/>
        <w:right w:val="none" w:sz="0" w:space="0" w:color="auto"/>
      </w:divBdr>
      <w:divsChild>
        <w:div w:id="2080058674">
          <w:marLeft w:val="0"/>
          <w:marRight w:val="0"/>
          <w:marTop w:val="0"/>
          <w:marBottom w:val="0"/>
          <w:divBdr>
            <w:top w:val="none" w:sz="0" w:space="0" w:color="auto"/>
            <w:left w:val="none" w:sz="0" w:space="0" w:color="auto"/>
            <w:bottom w:val="none" w:sz="0" w:space="0" w:color="auto"/>
            <w:right w:val="none" w:sz="0" w:space="0" w:color="auto"/>
          </w:divBdr>
          <w:divsChild>
            <w:div w:id="1629774358">
              <w:marLeft w:val="0"/>
              <w:marRight w:val="0"/>
              <w:marTop w:val="150"/>
              <w:marBottom w:val="150"/>
              <w:divBdr>
                <w:top w:val="none" w:sz="0" w:space="0" w:color="auto"/>
                <w:left w:val="none" w:sz="0" w:space="0" w:color="auto"/>
                <w:bottom w:val="none" w:sz="0" w:space="0" w:color="auto"/>
                <w:right w:val="none" w:sz="0" w:space="0" w:color="auto"/>
              </w:divBdr>
              <w:divsChild>
                <w:div w:id="1373923441">
                  <w:marLeft w:val="0"/>
                  <w:marRight w:val="0"/>
                  <w:marTop w:val="0"/>
                  <w:marBottom w:val="0"/>
                  <w:divBdr>
                    <w:top w:val="none" w:sz="0" w:space="0" w:color="auto"/>
                    <w:left w:val="none" w:sz="0" w:space="0" w:color="auto"/>
                    <w:bottom w:val="none" w:sz="0" w:space="0" w:color="auto"/>
                    <w:right w:val="none" w:sz="0" w:space="0" w:color="auto"/>
                  </w:divBdr>
                  <w:divsChild>
                    <w:div w:id="1308629746">
                      <w:marLeft w:val="0"/>
                      <w:marRight w:val="0"/>
                      <w:marTop w:val="0"/>
                      <w:marBottom w:val="0"/>
                      <w:divBdr>
                        <w:top w:val="none" w:sz="0" w:space="0" w:color="auto"/>
                        <w:left w:val="none" w:sz="0" w:space="0" w:color="auto"/>
                        <w:bottom w:val="none" w:sz="0" w:space="0" w:color="auto"/>
                        <w:right w:val="none" w:sz="0" w:space="0" w:color="auto"/>
                      </w:divBdr>
                      <w:divsChild>
                        <w:div w:id="738018050">
                          <w:marLeft w:val="0"/>
                          <w:marRight w:val="0"/>
                          <w:marTop w:val="0"/>
                          <w:marBottom w:val="0"/>
                          <w:divBdr>
                            <w:top w:val="none" w:sz="0" w:space="0" w:color="auto"/>
                            <w:left w:val="none" w:sz="0" w:space="0" w:color="auto"/>
                            <w:bottom w:val="none" w:sz="0" w:space="0" w:color="auto"/>
                            <w:right w:val="none" w:sz="0" w:space="0" w:color="auto"/>
                          </w:divBdr>
                          <w:divsChild>
                            <w:div w:id="19996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886923">
      <w:bodyDiv w:val="1"/>
      <w:marLeft w:val="0"/>
      <w:marRight w:val="0"/>
      <w:marTop w:val="0"/>
      <w:marBottom w:val="0"/>
      <w:divBdr>
        <w:top w:val="none" w:sz="0" w:space="0" w:color="auto"/>
        <w:left w:val="none" w:sz="0" w:space="0" w:color="auto"/>
        <w:bottom w:val="none" w:sz="0" w:space="0" w:color="auto"/>
        <w:right w:val="none" w:sz="0" w:space="0" w:color="auto"/>
      </w:divBdr>
    </w:div>
    <w:div w:id="2002349467">
      <w:bodyDiv w:val="1"/>
      <w:marLeft w:val="30"/>
      <w:marRight w:val="30"/>
      <w:marTop w:val="0"/>
      <w:marBottom w:val="0"/>
      <w:divBdr>
        <w:top w:val="none" w:sz="0" w:space="0" w:color="auto"/>
        <w:left w:val="none" w:sz="0" w:space="0" w:color="auto"/>
        <w:bottom w:val="none" w:sz="0" w:space="0" w:color="auto"/>
        <w:right w:val="none" w:sz="0" w:space="0" w:color="auto"/>
      </w:divBdr>
      <w:divsChild>
        <w:div w:id="1667706830">
          <w:marLeft w:val="0"/>
          <w:marRight w:val="0"/>
          <w:marTop w:val="0"/>
          <w:marBottom w:val="0"/>
          <w:divBdr>
            <w:top w:val="none" w:sz="0" w:space="0" w:color="auto"/>
            <w:left w:val="none" w:sz="0" w:space="0" w:color="auto"/>
            <w:bottom w:val="none" w:sz="0" w:space="0" w:color="auto"/>
            <w:right w:val="none" w:sz="0" w:space="0" w:color="auto"/>
          </w:divBdr>
          <w:divsChild>
            <w:div w:id="1768311852">
              <w:marLeft w:val="0"/>
              <w:marRight w:val="0"/>
              <w:marTop w:val="0"/>
              <w:marBottom w:val="0"/>
              <w:divBdr>
                <w:top w:val="none" w:sz="0" w:space="0" w:color="auto"/>
                <w:left w:val="none" w:sz="0" w:space="0" w:color="auto"/>
                <w:bottom w:val="none" w:sz="0" w:space="0" w:color="auto"/>
                <w:right w:val="none" w:sz="0" w:space="0" w:color="auto"/>
              </w:divBdr>
              <w:divsChild>
                <w:div w:id="1985617331">
                  <w:marLeft w:val="180"/>
                  <w:marRight w:val="0"/>
                  <w:marTop w:val="0"/>
                  <w:marBottom w:val="0"/>
                  <w:divBdr>
                    <w:top w:val="none" w:sz="0" w:space="0" w:color="auto"/>
                    <w:left w:val="none" w:sz="0" w:space="0" w:color="auto"/>
                    <w:bottom w:val="none" w:sz="0" w:space="0" w:color="auto"/>
                    <w:right w:val="none" w:sz="0" w:space="0" w:color="auto"/>
                  </w:divBdr>
                  <w:divsChild>
                    <w:div w:id="6630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753197">
      <w:bodyDiv w:val="1"/>
      <w:marLeft w:val="0"/>
      <w:marRight w:val="0"/>
      <w:marTop w:val="0"/>
      <w:marBottom w:val="0"/>
      <w:divBdr>
        <w:top w:val="none" w:sz="0" w:space="0" w:color="auto"/>
        <w:left w:val="none" w:sz="0" w:space="0" w:color="auto"/>
        <w:bottom w:val="none" w:sz="0" w:space="0" w:color="auto"/>
        <w:right w:val="none" w:sz="0" w:space="0" w:color="auto"/>
      </w:divBdr>
      <w:divsChild>
        <w:div w:id="173688260">
          <w:marLeft w:val="0"/>
          <w:marRight w:val="0"/>
          <w:marTop w:val="0"/>
          <w:marBottom w:val="0"/>
          <w:divBdr>
            <w:top w:val="none" w:sz="0" w:space="0" w:color="auto"/>
            <w:left w:val="none" w:sz="0" w:space="0" w:color="auto"/>
            <w:bottom w:val="none" w:sz="0" w:space="0" w:color="auto"/>
            <w:right w:val="none" w:sz="0" w:space="0" w:color="auto"/>
          </w:divBdr>
          <w:divsChild>
            <w:div w:id="341930349">
              <w:marLeft w:val="0"/>
              <w:marRight w:val="0"/>
              <w:marTop w:val="150"/>
              <w:marBottom w:val="150"/>
              <w:divBdr>
                <w:top w:val="none" w:sz="0" w:space="0" w:color="auto"/>
                <w:left w:val="none" w:sz="0" w:space="0" w:color="auto"/>
                <w:bottom w:val="none" w:sz="0" w:space="0" w:color="auto"/>
                <w:right w:val="none" w:sz="0" w:space="0" w:color="auto"/>
              </w:divBdr>
              <w:divsChild>
                <w:div w:id="2063944876">
                  <w:marLeft w:val="0"/>
                  <w:marRight w:val="0"/>
                  <w:marTop w:val="0"/>
                  <w:marBottom w:val="0"/>
                  <w:divBdr>
                    <w:top w:val="none" w:sz="0" w:space="0" w:color="auto"/>
                    <w:left w:val="none" w:sz="0" w:space="0" w:color="auto"/>
                    <w:bottom w:val="none" w:sz="0" w:space="0" w:color="auto"/>
                    <w:right w:val="none" w:sz="0" w:space="0" w:color="auto"/>
                  </w:divBdr>
                  <w:divsChild>
                    <w:div w:id="1015768745">
                      <w:marLeft w:val="0"/>
                      <w:marRight w:val="0"/>
                      <w:marTop w:val="0"/>
                      <w:marBottom w:val="0"/>
                      <w:divBdr>
                        <w:top w:val="none" w:sz="0" w:space="0" w:color="auto"/>
                        <w:left w:val="none" w:sz="0" w:space="0" w:color="auto"/>
                        <w:bottom w:val="none" w:sz="0" w:space="0" w:color="auto"/>
                        <w:right w:val="none" w:sz="0" w:space="0" w:color="auto"/>
                      </w:divBdr>
                      <w:divsChild>
                        <w:div w:id="1970166505">
                          <w:marLeft w:val="0"/>
                          <w:marRight w:val="0"/>
                          <w:marTop w:val="0"/>
                          <w:marBottom w:val="0"/>
                          <w:divBdr>
                            <w:top w:val="none" w:sz="0" w:space="0" w:color="auto"/>
                            <w:left w:val="none" w:sz="0" w:space="0" w:color="auto"/>
                            <w:bottom w:val="none" w:sz="0" w:space="0" w:color="auto"/>
                            <w:right w:val="none" w:sz="0" w:space="0" w:color="auto"/>
                          </w:divBdr>
                          <w:divsChild>
                            <w:div w:id="60989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cialsciencespace.com/2013/05/the-nonresponse-challenge-to-surveys-and-statistics/" TargetMode="External"/><Relationship Id="rId5" Type="http://schemas.openxmlformats.org/officeDocument/2006/relationships/settings" Target="settings.xml"/><Relationship Id="rId10" Type="http://schemas.openxmlformats.org/officeDocument/2006/relationships/hyperlink" Target="http://www.socialsciencespace.com/author/aapss/"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7AB99-2C95-4C91-84CA-E85947D10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3787</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25323</CharactersWithSpaces>
  <SharedDoc>false</SharedDoc>
  <HLinks>
    <vt:vector size="18" baseType="variant">
      <vt:variant>
        <vt:i4>1638475</vt:i4>
      </vt:variant>
      <vt:variant>
        <vt:i4>6</vt:i4>
      </vt:variant>
      <vt:variant>
        <vt:i4>0</vt:i4>
      </vt:variant>
      <vt:variant>
        <vt:i4>5</vt:i4>
      </vt:variant>
      <vt:variant>
        <vt:lpwstr>http://apps.irs.gov/app/eos/forwardToEpostDownload.do</vt:lpwstr>
      </vt:variant>
      <vt:variant>
        <vt:lpwstr/>
      </vt:variant>
      <vt:variant>
        <vt:i4>2424945</vt:i4>
      </vt:variant>
      <vt:variant>
        <vt:i4>3</vt:i4>
      </vt:variant>
      <vt:variant>
        <vt:i4>0</vt:i4>
      </vt:variant>
      <vt:variant>
        <vt:i4>5</vt:i4>
      </vt:variant>
      <vt:variant>
        <vt:lpwstr>http://www.socialsciencespace.com/2013/05/the-nonresponse-challenge-to-surveys-and-statistics/</vt:lpwstr>
      </vt:variant>
      <vt:variant>
        <vt:lpwstr/>
      </vt:variant>
      <vt:variant>
        <vt:i4>3866721</vt:i4>
      </vt:variant>
      <vt:variant>
        <vt:i4>0</vt:i4>
      </vt:variant>
      <vt:variant>
        <vt:i4>0</vt:i4>
      </vt:variant>
      <vt:variant>
        <vt:i4>5</vt:i4>
      </vt:variant>
      <vt:variant>
        <vt:lpwstr>http://www.socialsciencespace.com/author/aapss/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SYSTEM</cp:lastModifiedBy>
  <cp:revision>2</cp:revision>
  <cp:lastPrinted>2017-06-08T10:58:00Z</cp:lastPrinted>
  <dcterms:created xsi:type="dcterms:W3CDTF">2018-01-11T18:29:00Z</dcterms:created>
  <dcterms:modified xsi:type="dcterms:W3CDTF">2018-01-11T18:29:00Z</dcterms:modified>
</cp:coreProperties>
</file>