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2CD" w:rsidRDefault="00B952CD" w:rsidP="006A6B2C">
      <w:pPr>
        <w:pStyle w:val="Heading1"/>
        <w:spacing w:line="276" w:lineRule="auto"/>
        <w:rPr>
          <w:rFonts w:ascii="Arial" w:hAnsi="Arial" w:cs="Arial"/>
        </w:rPr>
      </w:pPr>
      <w:bookmarkStart w:id="0" w:name="_GoBack"/>
      <w:bookmarkEnd w:id="0"/>
      <w:r w:rsidRPr="009D6BB9">
        <w:rPr>
          <w:rFonts w:ascii="Arial" w:hAnsi="Arial" w:cs="Arial"/>
        </w:rPr>
        <w:t>SUPPORTING STATEMENT</w:t>
      </w:r>
    </w:p>
    <w:p w:rsidR="00C55763" w:rsidRPr="00C55763" w:rsidRDefault="00C55763" w:rsidP="006A6B2C">
      <w:pPr>
        <w:spacing w:line="276" w:lineRule="auto"/>
        <w:rPr>
          <w:rFonts w:ascii="Arial" w:hAnsi="Arial" w:cs="Arial"/>
        </w:rPr>
      </w:pPr>
      <w:r w:rsidRPr="00C55763">
        <w:rPr>
          <w:rFonts w:ascii="Arial" w:hAnsi="Arial" w:cs="Arial"/>
        </w:rPr>
        <w:t>1530-0065</w:t>
      </w:r>
    </w:p>
    <w:p w:rsidR="00B952CD" w:rsidRPr="009D6BB9" w:rsidRDefault="00B952CD" w:rsidP="006A6B2C">
      <w:pPr>
        <w:autoSpaceDE w:val="0"/>
        <w:autoSpaceDN w:val="0"/>
        <w:adjustRightInd w:val="0"/>
        <w:spacing w:line="276" w:lineRule="auto"/>
        <w:rPr>
          <w:rFonts w:ascii="Arial" w:hAnsi="Arial" w:cs="Arial"/>
        </w:rPr>
      </w:pPr>
    </w:p>
    <w:p w:rsidR="004563E1" w:rsidRDefault="00B16959" w:rsidP="006A6B2C">
      <w:pPr>
        <w:tabs>
          <w:tab w:val="left" w:pos="-720"/>
        </w:tabs>
        <w:suppressAutoHyphens/>
        <w:spacing w:line="276" w:lineRule="auto"/>
        <w:ind w:left="720"/>
        <w:rPr>
          <w:rFonts w:ascii="Arial" w:hAnsi="Arial" w:cs="Arial"/>
        </w:rPr>
      </w:pPr>
      <w:r>
        <w:rPr>
          <w:rFonts w:ascii="Arial" w:hAnsi="Arial" w:cs="Arial"/>
          <w:b/>
          <w:bCs/>
        </w:rPr>
        <w:t xml:space="preserve">A. </w:t>
      </w:r>
      <w:r w:rsidR="00B952CD" w:rsidRPr="009D6BB9">
        <w:rPr>
          <w:rFonts w:ascii="Arial" w:hAnsi="Arial" w:cs="Arial"/>
          <w:b/>
          <w:bCs/>
        </w:rPr>
        <w:t>Justification for:</w:t>
      </w:r>
      <w:r w:rsidR="004563E1" w:rsidRPr="009D6BB9">
        <w:rPr>
          <w:rFonts w:ascii="Arial" w:hAnsi="Arial" w:cs="Arial"/>
        </w:rPr>
        <w:t xml:space="preserve"> </w:t>
      </w:r>
      <w:r w:rsidR="00ED2205" w:rsidRPr="00ED2205">
        <w:t xml:space="preserve"> </w:t>
      </w:r>
      <w:r w:rsidR="00ED2205" w:rsidRPr="00DC3008">
        <w:rPr>
          <w:rFonts w:ascii="Arial" w:hAnsi="Arial" w:cs="Arial"/>
        </w:rPr>
        <w:t>Subscription For Purc</w:t>
      </w:r>
      <w:r w:rsidR="00DC3008">
        <w:rPr>
          <w:rFonts w:ascii="Arial" w:hAnsi="Arial" w:cs="Arial"/>
        </w:rPr>
        <w:t xml:space="preserve">hase and Issue of U.S. </w:t>
      </w:r>
      <w:r w:rsidR="00ED2205" w:rsidRPr="00DC3008">
        <w:rPr>
          <w:rFonts w:ascii="Arial" w:hAnsi="Arial" w:cs="Arial"/>
        </w:rPr>
        <w:t>Treasury Securities, State and Local Government Series</w:t>
      </w:r>
      <w:r w:rsidR="005405EA" w:rsidRPr="00DC3008">
        <w:rPr>
          <w:rFonts w:ascii="Arial" w:hAnsi="Arial" w:cs="Arial"/>
        </w:rPr>
        <w:t>.”</w:t>
      </w:r>
    </w:p>
    <w:p w:rsidR="00ED2205" w:rsidRPr="00ED2205" w:rsidRDefault="00ED2205" w:rsidP="006A6B2C">
      <w:pPr>
        <w:tabs>
          <w:tab w:val="left" w:pos="-720"/>
        </w:tabs>
        <w:suppressAutoHyphens/>
        <w:spacing w:line="276" w:lineRule="auto"/>
        <w:ind w:left="720"/>
      </w:pPr>
    </w:p>
    <w:p w:rsidR="005F4D17" w:rsidRPr="005F4D17" w:rsidRDefault="00B952CD" w:rsidP="006A6B2C">
      <w:pPr>
        <w:numPr>
          <w:ilvl w:val="0"/>
          <w:numId w:val="6"/>
        </w:numPr>
        <w:spacing w:line="276" w:lineRule="auto"/>
        <w:rPr>
          <w:rFonts w:ascii="Arial" w:hAnsi="Arial" w:cs="Arial"/>
          <w:color w:val="000000"/>
        </w:rPr>
      </w:pPr>
      <w:r w:rsidRPr="009D6BB9">
        <w:rPr>
          <w:rFonts w:ascii="Arial" w:hAnsi="Arial" w:cs="Arial"/>
          <w:b/>
          <w:bCs/>
        </w:rPr>
        <w:t>Explain the circumstances that make the collection of information necessary.  Identify any legal or administrative requirements that necessitate the collection.</w:t>
      </w:r>
      <w:r w:rsidRPr="009D6BB9">
        <w:rPr>
          <w:rFonts w:ascii="Arial" w:hAnsi="Arial" w:cs="Arial"/>
        </w:rPr>
        <w:t xml:space="preserve"> </w:t>
      </w:r>
    </w:p>
    <w:p w:rsidR="005F4D17" w:rsidRPr="0007284C" w:rsidRDefault="00ED2205" w:rsidP="006A6B2C">
      <w:pPr>
        <w:tabs>
          <w:tab w:val="left" w:pos="-1440"/>
          <w:tab w:val="left" w:pos="-720"/>
          <w:tab w:val="left" w:pos="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line="276" w:lineRule="auto"/>
        <w:ind w:left="720"/>
        <w:rPr>
          <w:rFonts w:ascii="Arial" w:hAnsi="Arial" w:cs="Arial"/>
          <w:color w:val="000000"/>
        </w:rPr>
      </w:pPr>
      <w:r w:rsidRPr="0007284C">
        <w:rPr>
          <w:rFonts w:ascii="Arial" w:hAnsi="Arial" w:cs="Arial"/>
        </w:rPr>
        <w:t>The information collected is essential for the establishment and maintenance of State and Local Government (SLG) security accounts. Requested information is used to issue a Statement of Account to the entity, calculate interest and to pay the redemption proceeds.  (</w:t>
      </w:r>
      <w:r w:rsidR="00AA4806" w:rsidRPr="0007284C">
        <w:rPr>
          <w:rFonts w:ascii="Arial" w:hAnsi="Arial" w:cs="Arial"/>
        </w:rPr>
        <w:t xml:space="preserve">Refer to 31 CFR, Part </w:t>
      </w:r>
      <w:r w:rsidRPr="0007284C">
        <w:rPr>
          <w:rFonts w:ascii="Arial" w:hAnsi="Arial" w:cs="Arial"/>
        </w:rPr>
        <w:t>344.2</w:t>
      </w:r>
      <w:r w:rsidR="00AA4806" w:rsidRPr="0007284C">
        <w:rPr>
          <w:rFonts w:ascii="Arial" w:hAnsi="Arial" w:cs="Arial"/>
        </w:rPr>
        <w:t xml:space="preserve"> -</w:t>
      </w:r>
      <w:r w:rsidRPr="0007284C">
        <w:rPr>
          <w:rFonts w:ascii="Arial" w:hAnsi="Arial" w:cs="Arial"/>
        </w:rPr>
        <w:t xml:space="preserve"> Regulations Governing Securities of the State and Local Government Series.)</w:t>
      </w:r>
    </w:p>
    <w:p w:rsidR="00B16959" w:rsidRPr="00B16959" w:rsidRDefault="00B952CD" w:rsidP="006A6B2C">
      <w:pPr>
        <w:numPr>
          <w:ilvl w:val="0"/>
          <w:numId w:val="6"/>
        </w:numPr>
        <w:spacing w:before="240" w:line="276" w:lineRule="auto"/>
        <w:rPr>
          <w:rFonts w:ascii="Arial" w:hAnsi="Arial" w:cs="Arial"/>
          <w:color w:val="000000"/>
        </w:rPr>
      </w:pPr>
      <w:r w:rsidRPr="009D6BB9">
        <w:rPr>
          <w:rFonts w:ascii="Arial" w:hAnsi="Arial" w:cs="Arial"/>
          <w:b/>
          <w:bCs/>
        </w:rPr>
        <w:t xml:space="preserve">Indicate how, by whom, and for what purpose the information is to be used. </w:t>
      </w:r>
    </w:p>
    <w:p w:rsidR="009112C8" w:rsidRPr="0007284C" w:rsidRDefault="009112C8" w:rsidP="006A6B2C">
      <w:pPr>
        <w:autoSpaceDE w:val="0"/>
        <w:autoSpaceDN w:val="0"/>
        <w:adjustRightInd w:val="0"/>
        <w:spacing w:after="240" w:line="276" w:lineRule="auto"/>
        <w:ind w:left="720"/>
        <w:rPr>
          <w:rFonts w:ascii="Arial" w:hAnsi="Arial" w:cs="Arial"/>
        </w:rPr>
      </w:pPr>
      <w:r w:rsidRPr="0007284C">
        <w:rPr>
          <w:rFonts w:ascii="Arial" w:hAnsi="Arial" w:cs="Arial"/>
          <w:color w:val="000000"/>
        </w:rPr>
        <w:t xml:space="preserve">The information is used by the Department of the Treasury, Bureau of the Fiscal Service </w:t>
      </w:r>
      <w:r w:rsidRPr="0007284C">
        <w:rPr>
          <w:rFonts w:ascii="Arial" w:hAnsi="Arial" w:cs="Arial"/>
        </w:rPr>
        <w:t xml:space="preserve">to </w:t>
      </w:r>
      <w:r w:rsidR="00FE7099" w:rsidRPr="0007284C">
        <w:rPr>
          <w:rFonts w:ascii="Arial" w:hAnsi="Arial" w:cs="Arial"/>
        </w:rPr>
        <w:t>establish and maintain State and Local Government (SLG) security accounts</w:t>
      </w:r>
      <w:r w:rsidRPr="0007284C">
        <w:rPr>
          <w:rFonts w:ascii="Arial" w:hAnsi="Arial" w:cs="Arial"/>
        </w:rPr>
        <w:t xml:space="preserve">. Without the information, the </w:t>
      </w:r>
      <w:r w:rsidR="004C519B">
        <w:rPr>
          <w:rFonts w:ascii="Arial" w:hAnsi="Arial" w:cs="Arial"/>
        </w:rPr>
        <w:t xml:space="preserve">required </w:t>
      </w:r>
      <w:r w:rsidRPr="0007284C">
        <w:rPr>
          <w:rFonts w:ascii="Arial" w:hAnsi="Arial" w:cs="Arial"/>
        </w:rPr>
        <w:t>transaction</w:t>
      </w:r>
      <w:r w:rsidR="004C519B">
        <w:rPr>
          <w:rFonts w:ascii="Arial" w:hAnsi="Arial" w:cs="Arial"/>
        </w:rPr>
        <w:t>s</w:t>
      </w:r>
      <w:r w:rsidRPr="0007284C">
        <w:rPr>
          <w:rFonts w:ascii="Arial" w:hAnsi="Arial" w:cs="Arial"/>
        </w:rPr>
        <w:t xml:space="preserve"> </w:t>
      </w:r>
      <w:r w:rsidR="004C519B">
        <w:rPr>
          <w:rFonts w:ascii="Arial" w:hAnsi="Arial" w:cs="Arial"/>
        </w:rPr>
        <w:t xml:space="preserve">and account activity </w:t>
      </w:r>
      <w:r w:rsidRPr="0007284C">
        <w:rPr>
          <w:rFonts w:ascii="Arial" w:hAnsi="Arial" w:cs="Arial"/>
        </w:rPr>
        <w:t>cannot be completed.</w:t>
      </w:r>
    </w:p>
    <w:p w:rsidR="00B16959" w:rsidRDefault="00B952CD" w:rsidP="006A6B2C">
      <w:pPr>
        <w:numPr>
          <w:ilvl w:val="0"/>
          <w:numId w:val="6"/>
        </w:numPr>
        <w:spacing w:before="240" w:line="276" w:lineRule="auto"/>
        <w:rPr>
          <w:rFonts w:ascii="Arial" w:hAnsi="Arial" w:cs="Arial"/>
        </w:rPr>
      </w:pPr>
      <w:r w:rsidRPr="009D6BB9">
        <w:rPr>
          <w:rFonts w:ascii="Arial" w:hAnsi="Arial" w:cs="Arial"/>
          <w:b/>
          <w:bCs/>
        </w:rPr>
        <w:t>Describe whether, and to what extent, the collection of information involves the use of automated, electronic, mechanical, or other technological collection techniques or other forms of information technology.  What consideration is given to use information technology to reduce burden?</w:t>
      </w:r>
      <w:r w:rsidRPr="009D6BB9">
        <w:rPr>
          <w:rFonts w:ascii="Arial" w:hAnsi="Arial" w:cs="Arial"/>
        </w:rPr>
        <w:t xml:space="preserve">  </w:t>
      </w:r>
    </w:p>
    <w:p w:rsidR="00B16959" w:rsidRPr="0007284C" w:rsidRDefault="00B16959" w:rsidP="006A6B2C">
      <w:pPr>
        <w:spacing w:after="120" w:line="276" w:lineRule="auto"/>
        <w:ind w:left="720"/>
        <w:rPr>
          <w:rFonts w:ascii="Arial" w:hAnsi="Arial" w:cs="Arial"/>
        </w:rPr>
      </w:pPr>
      <w:r w:rsidRPr="0007284C">
        <w:rPr>
          <w:rFonts w:ascii="Arial" w:hAnsi="Arial" w:cs="Arial"/>
        </w:rPr>
        <w:t>The form</w:t>
      </w:r>
      <w:r w:rsidR="00842D45" w:rsidRPr="0007284C">
        <w:rPr>
          <w:rFonts w:ascii="Arial" w:hAnsi="Arial" w:cs="Arial"/>
        </w:rPr>
        <w:t xml:space="preserve">s to establish and maintain </w:t>
      </w:r>
      <w:r w:rsidR="00AA4806" w:rsidRPr="0007284C">
        <w:rPr>
          <w:rFonts w:ascii="Arial" w:hAnsi="Arial" w:cs="Arial"/>
        </w:rPr>
        <w:t xml:space="preserve">subscriber </w:t>
      </w:r>
      <w:r w:rsidR="00842D45" w:rsidRPr="0007284C">
        <w:rPr>
          <w:rFonts w:ascii="Arial" w:hAnsi="Arial" w:cs="Arial"/>
        </w:rPr>
        <w:t>accounts are</w:t>
      </w:r>
      <w:r w:rsidRPr="0007284C">
        <w:rPr>
          <w:rFonts w:ascii="Arial" w:hAnsi="Arial" w:cs="Arial"/>
        </w:rPr>
        <w:t xml:space="preserve"> available from the Bureau of the </w:t>
      </w:r>
      <w:r w:rsidR="000348D1" w:rsidRPr="0007284C">
        <w:rPr>
          <w:rFonts w:ascii="Arial" w:hAnsi="Arial" w:cs="Arial"/>
        </w:rPr>
        <w:t>Fiscal Service</w:t>
      </w:r>
      <w:r w:rsidRPr="0007284C">
        <w:rPr>
          <w:rFonts w:ascii="Arial" w:hAnsi="Arial" w:cs="Arial"/>
        </w:rPr>
        <w:t xml:space="preserve"> and also on the Internet as a fill-in PDF form.</w:t>
      </w:r>
      <w:r w:rsidR="009E141E" w:rsidRPr="0007284C">
        <w:rPr>
          <w:rFonts w:ascii="Arial" w:hAnsi="Arial" w:cs="Arial"/>
        </w:rPr>
        <w:t xml:space="preserve"> Currently, most activity occurs </w:t>
      </w:r>
      <w:r w:rsidR="00AA78FA" w:rsidRPr="0007284C">
        <w:rPr>
          <w:rFonts w:ascii="Arial" w:hAnsi="Arial" w:cs="Arial"/>
        </w:rPr>
        <w:t>within SLGSafe, the</w:t>
      </w:r>
      <w:r w:rsidR="009E141E" w:rsidRPr="0007284C">
        <w:rPr>
          <w:rFonts w:ascii="Arial" w:hAnsi="Arial" w:cs="Arial"/>
        </w:rPr>
        <w:t xml:space="preserve"> secure Internet application</w:t>
      </w:r>
      <w:r w:rsidRPr="0007284C">
        <w:rPr>
          <w:rFonts w:ascii="Arial" w:hAnsi="Arial" w:cs="Arial"/>
        </w:rPr>
        <w:t xml:space="preserve"> </w:t>
      </w:r>
      <w:r w:rsidR="00AA78FA" w:rsidRPr="0007284C">
        <w:rPr>
          <w:rFonts w:ascii="Arial" w:hAnsi="Arial" w:cs="Arial"/>
        </w:rPr>
        <w:t>available for subscribers to manage a SLGS portfolio. The SLGSafe system</w:t>
      </w:r>
      <w:r w:rsidR="004C519B">
        <w:rPr>
          <w:rFonts w:ascii="Arial" w:hAnsi="Arial" w:cs="Arial"/>
        </w:rPr>
        <w:t xml:space="preserve"> collects</w:t>
      </w:r>
      <w:r w:rsidR="0007284C" w:rsidRPr="0007284C">
        <w:rPr>
          <w:rFonts w:ascii="Arial" w:hAnsi="Arial" w:cs="Arial"/>
        </w:rPr>
        <w:t xml:space="preserve"> </w:t>
      </w:r>
      <w:r w:rsidR="004C519B">
        <w:rPr>
          <w:rFonts w:ascii="Arial" w:hAnsi="Arial" w:cs="Arial"/>
        </w:rPr>
        <w:t xml:space="preserve">identical </w:t>
      </w:r>
      <w:r w:rsidR="0007284C" w:rsidRPr="0007284C">
        <w:rPr>
          <w:rFonts w:ascii="Arial" w:hAnsi="Arial" w:cs="Arial"/>
        </w:rPr>
        <w:t xml:space="preserve">information </w:t>
      </w:r>
      <w:r w:rsidR="004C519B">
        <w:rPr>
          <w:rFonts w:ascii="Arial" w:hAnsi="Arial" w:cs="Arial"/>
        </w:rPr>
        <w:t>collected by the forms and is included in the overall burden.</w:t>
      </w:r>
    </w:p>
    <w:p w:rsidR="00B16959" w:rsidRPr="00B16959" w:rsidRDefault="00B952CD" w:rsidP="006A6B2C">
      <w:pPr>
        <w:numPr>
          <w:ilvl w:val="0"/>
          <w:numId w:val="6"/>
        </w:numPr>
        <w:spacing w:before="240" w:line="276" w:lineRule="auto"/>
        <w:rPr>
          <w:rFonts w:ascii="Arial" w:hAnsi="Arial" w:cs="Arial"/>
          <w:color w:val="000000"/>
        </w:rPr>
      </w:pPr>
      <w:r w:rsidRPr="009D6BB9">
        <w:rPr>
          <w:rFonts w:ascii="Arial" w:hAnsi="Arial" w:cs="Arial"/>
          <w:b/>
          <w:bCs/>
        </w:rPr>
        <w:t xml:space="preserve">Describe efforts to identify duplication.  Why can’t any similar information already available be used or modified for use for the purposes described in item 2 above? </w:t>
      </w:r>
      <w:r w:rsidRPr="009D6BB9">
        <w:rPr>
          <w:rFonts w:ascii="Arial" w:hAnsi="Arial" w:cs="Arial"/>
        </w:rPr>
        <w:t xml:space="preserve"> </w:t>
      </w:r>
    </w:p>
    <w:p w:rsidR="009D6BB9" w:rsidRPr="009D6BB9" w:rsidRDefault="00857BF9" w:rsidP="006A6B2C">
      <w:pPr>
        <w:spacing w:after="120" w:line="276" w:lineRule="auto"/>
        <w:ind w:left="720"/>
        <w:rPr>
          <w:rFonts w:ascii="Arial" w:hAnsi="Arial" w:cs="Arial"/>
          <w:color w:val="000000"/>
        </w:rPr>
      </w:pPr>
      <w:r w:rsidRPr="009D6BB9">
        <w:rPr>
          <w:rFonts w:ascii="Arial" w:hAnsi="Arial" w:cs="Arial"/>
          <w:color w:val="000000"/>
        </w:rPr>
        <w:t xml:space="preserve">No similar information is on file because the collection of information is made only for a specific purpose. </w:t>
      </w:r>
    </w:p>
    <w:p w:rsidR="00B16959" w:rsidRPr="00B16959" w:rsidRDefault="00B952CD" w:rsidP="006A6B2C">
      <w:pPr>
        <w:numPr>
          <w:ilvl w:val="0"/>
          <w:numId w:val="6"/>
        </w:numPr>
        <w:spacing w:before="240" w:line="276" w:lineRule="auto"/>
        <w:rPr>
          <w:rFonts w:ascii="Arial" w:hAnsi="Arial" w:cs="Arial"/>
          <w:color w:val="000000"/>
        </w:rPr>
      </w:pPr>
      <w:r w:rsidRPr="009D6BB9">
        <w:rPr>
          <w:rFonts w:ascii="Arial" w:hAnsi="Arial" w:cs="Arial"/>
          <w:b/>
          <w:bCs/>
        </w:rPr>
        <w:lastRenderedPageBreak/>
        <w:t>If the collection of information impacts small business or other small entities describe any methods used to minimize burden?</w:t>
      </w:r>
      <w:r w:rsidRPr="009D6BB9">
        <w:rPr>
          <w:rFonts w:ascii="Arial" w:hAnsi="Arial" w:cs="Arial"/>
        </w:rPr>
        <w:t xml:space="preserve">  </w:t>
      </w:r>
    </w:p>
    <w:p w:rsidR="0007284C" w:rsidRPr="0007284C" w:rsidRDefault="00B952CD" w:rsidP="006A6B2C">
      <w:pPr>
        <w:spacing w:after="120" w:line="276" w:lineRule="auto"/>
        <w:ind w:left="720"/>
        <w:rPr>
          <w:rFonts w:ascii="Arial" w:hAnsi="Arial" w:cs="Arial"/>
        </w:rPr>
      </w:pPr>
      <w:r w:rsidRPr="009D6BB9">
        <w:rPr>
          <w:rFonts w:ascii="Arial" w:hAnsi="Arial" w:cs="Arial"/>
        </w:rPr>
        <w:t>This collection of information does not impact small business or other small entities.</w:t>
      </w:r>
    </w:p>
    <w:p w:rsidR="00B16959" w:rsidRPr="00B16959" w:rsidRDefault="00B952CD" w:rsidP="006A6B2C">
      <w:pPr>
        <w:keepNext/>
        <w:numPr>
          <w:ilvl w:val="0"/>
          <w:numId w:val="6"/>
        </w:numPr>
        <w:spacing w:before="240" w:line="276" w:lineRule="auto"/>
        <w:rPr>
          <w:rFonts w:ascii="Arial" w:hAnsi="Arial" w:cs="Arial"/>
          <w:color w:val="000000"/>
        </w:rPr>
      </w:pPr>
      <w:r w:rsidRPr="009D6BB9">
        <w:rPr>
          <w:rFonts w:ascii="Arial" w:hAnsi="Arial" w:cs="Arial"/>
          <w:b/>
          <w:bCs/>
        </w:rPr>
        <w:t xml:space="preserve">What consequences to Federal program or policy activities and what, if any, technical or legal obstacles to reducing burden will occur if this collection is not conducted or is conducted less frequently?  </w:t>
      </w:r>
    </w:p>
    <w:p w:rsidR="009D6BB9" w:rsidRPr="009D6BB9" w:rsidRDefault="004A6478" w:rsidP="006A6B2C">
      <w:pPr>
        <w:spacing w:after="120" w:line="276" w:lineRule="auto"/>
        <w:ind w:left="720"/>
        <w:rPr>
          <w:rFonts w:ascii="Arial" w:hAnsi="Arial" w:cs="Arial"/>
          <w:color w:val="000000"/>
        </w:rPr>
      </w:pPr>
      <w:r w:rsidRPr="009D6BB9">
        <w:rPr>
          <w:rFonts w:ascii="Arial" w:hAnsi="Arial" w:cs="Arial"/>
        </w:rPr>
        <w:t>The collection of information cannot be conducted less frequently because the collection is initiated for a single purpose</w:t>
      </w:r>
      <w:r w:rsidR="00DC3008">
        <w:rPr>
          <w:rFonts w:ascii="Arial" w:hAnsi="Arial" w:cs="Arial"/>
        </w:rPr>
        <w:t xml:space="preserve"> described in question 1 above</w:t>
      </w:r>
      <w:r w:rsidRPr="009D6BB9">
        <w:rPr>
          <w:rFonts w:ascii="Arial" w:hAnsi="Arial" w:cs="Arial"/>
        </w:rPr>
        <w:t>.</w:t>
      </w:r>
      <w:r w:rsidR="00DC3008" w:rsidRPr="00DC3008">
        <w:rPr>
          <w:rFonts w:ascii="Arial" w:hAnsi="Arial" w:cs="Arial"/>
          <w:sz w:val="28"/>
        </w:rPr>
        <w:t xml:space="preserve"> </w:t>
      </w:r>
      <w:r w:rsidR="00DC3008" w:rsidRPr="00DC3008">
        <w:rPr>
          <w:rFonts w:ascii="Arial" w:hAnsi="Arial" w:cs="Arial"/>
          <w:szCs w:val="22"/>
        </w:rPr>
        <w:t>Without this information, the requested transaction could not be completed at the request of the owner.</w:t>
      </w:r>
    </w:p>
    <w:p w:rsidR="00B16959" w:rsidRPr="00B16959" w:rsidRDefault="00B952CD" w:rsidP="006A6B2C">
      <w:pPr>
        <w:keepNext/>
        <w:numPr>
          <w:ilvl w:val="0"/>
          <w:numId w:val="6"/>
        </w:numPr>
        <w:spacing w:before="240" w:line="276" w:lineRule="auto"/>
        <w:rPr>
          <w:rFonts w:ascii="Arial" w:hAnsi="Arial" w:cs="Arial"/>
          <w:color w:val="000000"/>
        </w:rPr>
      </w:pPr>
      <w:r w:rsidRPr="009D6BB9">
        <w:rPr>
          <w:rFonts w:ascii="Arial" w:hAnsi="Arial" w:cs="Arial"/>
          <w:b/>
          <w:bCs/>
        </w:rPr>
        <w:t>Is this collection of information conducted in a manner consistent with the guidelines of 5 CFR 1320.6?</w:t>
      </w:r>
      <w:r w:rsidRPr="009D6BB9">
        <w:rPr>
          <w:rFonts w:ascii="Arial" w:hAnsi="Arial" w:cs="Arial"/>
        </w:rPr>
        <w:t xml:space="preserve"> </w:t>
      </w:r>
    </w:p>
    <w:p w:rsidR="00237B0D" w:rsidRPr="00663593" w:rsidRDefault="00237B0D" w:rsidP="006A6B2C">
      <w:pPr>
        <w:spacing w:line="276" w:lineRule="auto"/>
        <w:ind w:left="720"/>
        <w:rPr>
          <w:rFonts w:ascii="Arial" w:hAnsi="Arial" w:cs="Arial"/>
          <w:bCs/>
        </w:rPr>
      </w:pPr>
      <w:r w:rsidRPr="00663593">
        <w:rPr>
          <w:rFonts w:ascii="Arial" w:hAnsi="Arial" w:cs="Arial"/>
          <w:bCs/>
        </w:rPr>
        <w:t>This information collection is consistent with 5 CFR 1320.6</w:t>
      </w:r>
      <w:r w:rsidRPr="00663593">
        <w:rPr>
          <w:rFonts w:ascii="Arial" w:hAnsi="Arial" w:cs="Arial"/>
          <w:bCs/>
          <w:sz w:val="32"/>
        </w:rPr>
        <w:t xml:space="preserve"> </w:t>
      </w:r>
      <w:r w:rsidRPr="00663593">
        <w:rPr>
          <w:rFonts w:ascii="Arial" w:hAnsi="Arial" w:cs="Arial"/>
          <w:bCs/>
        </w:rPr>
        <w:t xml:space="preserve">There are no special circumstances that would cause information collected to be conducted in a manner:  </w:t>
      </w:r>
    </w:p>
    <w:p w:rsidR="00237B0D" w:rsidRPr="00663593" w:rsidRDefault="00237B0D" w:rsidP="006A6B2C">
      <w:pPr>
        <w:spacing w:line="276" w:lineRule="auto"/>
        <w:ind w:left="720"/>
        <w:rPr>
          <w:rFonts w:ascii="Arial" w:hAnsi="Arial" w:cs="Arial"/>
        </w:rPr>
      </w:pPr>
    </w:p>
    <w:p w:rsidR="00237B0D" w:rsidRPr="00663593" w:rsidRDefault="00237B0D" w:rsidP="006A6B2C">
      <w:pPr>
        <w:numPr>
          <w:ilvl w:val="0"/>
          <w:numId w:val="8"/>
        </w:numPr>
        <w:spacing w:line="276" w:lineRule="auto"/>
        <w:rPr>
          <w:rFonts w:ascii="Arial" w:hAnsi="Arial" w:cs="Arial"/>
        </w:rPr>
      </w:pPr>
      <w:r w:rsidRPr="00663593">
        <w:rPr>
          <w:rFonts w:ascii="Arial" w:hAnsi="Arial" w:cs="Arial"/>
        </w:rPr>
        <w:t>requiring respondents to report information to the agency more often than quarterly;</w:t>
      </w:r>
    </w:p>
    <w:p w:rsidR="00237B0D" w:rsidRPr="00663593" w:rsidRDefault="00237B0D" w:rsidP="006A6B2C">
      <w:pPr>
        <w:numPr>
          <w:ilvl w:val="0"/>
          <w:numId w:val="8"/>
        </w:numPr>
        <w:spacing w:line="276" w:lineRule="auto"/>
        <w:rPr>
          <w:rFonts w:ascii="Arial" w:hAnsi="Arial" w:cs="Arial"/>
        </w:rPr>
      </w:pPr>
      <w:r w:rsidRPr="00663593">
        <w:rPr>
          <w:rFonts w:ascii="Arial" w:hAnsi="Arial" w:cs="Arial"/>
        </w:rPr>
        <w:t>requiring respondents to prepare a written response to a collection of information in fewer than 30 days after receipt of it;</w:t>
      </w:r>
    </w:p>
    <w:p w:rsidR="00237B0D" w:rsidRPr="00663593" w:rsidRDefault="00237B0D" w:rsidP="006A6B2C">
      <w:pPr>
        <w:numPr>
          <w:ilvl w:val="0"/>
          <w:numId w:val="8"/>
        </w:numPr>
        <w:spacing w:line="276" w:lineRule="auto"/>
        <w:rPr>
          <w:rFonts w:ascii="Arial" w:hAnsi="Arial" w:cs="Arial"/>
        </w:rPr>
      </w:pPr>
      <w:r w:rsidRPr="00663593">
        <w:rPr>
          <w:rFonts w:ascii="Arial" w:hAnsi="Arial" w:cs="Arial"/>
        </w:rPr>
        <w:t>requiring respondents to submit more than an original and two copies of any document;</w:t>
      </w:r>
    </w:p>
    <w:p w:rsidR="00237B0D" w:rsidRPr="00663593" w:rsidRDefault="00237B0D" w:rsidP="006A6B2C">
      <w:pPr>
        <w:numPr>
          <w:ilvl w:val="0"/>
          <w:numId w:val="8"/>
        </w:numPr>
        <w:spacing w:line="276" w:lineRule="auto"/>
        <w:rPr>
          <w:rFonts w:ascii="Arial" w:hAnsi="Arial" w:cs="Arial"/>
        </w:rPr>
      </w:pPr>
      <w:r w:rsidRPr="00663593">
        <w:rPr>
          <w:rFonts w:ascii="Arial" w:hAnsi="Arial" w:cs="Arial"/>
        </w:rPr>
        <w:t>requiring respondents to retain records, other than health, medical, government contract, grant-in-aid, pre-tax records for more than three years;</w:t>
      </w:r>
    </w:p>
    <w:p w:rsidR="00237B0D" w:rsidRPr="00663593" w:rsidRDefault="00237B0D" w:rsidP="006A6B2C">
      <w:pPr>
        <w:numPr>
          <w:ilvl w:val="0"/>
          <w:numId w:val="8"/>
        </w:numPr>
        <w:spacing w:line="276" w:lineRule="auto"/>
        <w:rPr>
          <w:rFonts w:ascii="Arial" w:hAnsi="Arial" w:cs="Arial"/>
        </w:rPr>
      </w:pPr>
      <w:r w:rsidRPr="00663593">
        <w:rPr>
          <w:rFonts w:ascii="Arial" w:hAnsi="Arial" w:cs="Arial"/>
        </w:rPr>
        <w:t>in connection with a statistical survey, that is not designed to produce valid and reliable results that can be generalized to the universe of study;</w:t>
      </w:r>
    </w:p>
    <w:p w:rsidR="00237B0D" w:rsidRPr="00663593" w:rsidRDefault="00237B0D" w:rsidP="006A6B2C">
      <w:pPr>
        <w:numPr>
          <w:ilvl w:val="0"/>
          <w:numId w:val="8"/>
        </w:numPr>
        <w:spacing w:line="276" w:lineRule="auto"/>
        <w:rPr>
          <w:rFonts w:ascii="Arial" w:hAnsi="Arial" w:cs="Arial"/>
        </w:rPr>
      </w:pPr>
      <w:r w:rsidRPr="00663593">
        <w:rPr>
          <w:rFonts w:ascii="Arial" w:hAnsi="Arial" w:cs="Arial"/>
        </w:rPr>
        <w:t>requiring the use of statistical data classification that has not been reviewed and approved by OMB;</w:t>
      </w:r>
    </w:p>
    <w:p w:rsidR="00237B0D" w:rsidRPr="00663593" w:rsidRDefault="00237B0D" w:rsidP="006A6B2C">
      <w:pPr>
        <w:numPr>
          <w:ilvl w:val="0"/>
          <w:numId w:val="8"/>
        </w:numPr>
        <w:spacing w:line="276" w:lineRule="auto"/>
        <w:rPr>
          <w:rFonts w:ascii="Arial" w:hAnsi="Arial" w:cs="Arial"/>
        </w:rPr>
      </w:pPr>
      <w:r w:rsidRPr="00663593">
        <w:rPr>
          <w:rFonts w:ascii="Arial" w:hAnsi="Arial" w:cs="Arial"/>
        </w:rPr>
        <w:t>that includes a pledge of confidentiality that is not supported by the authority established in the statute or regulation, that is not supported by disclosure and data security policies that are consistent with the pledge, or which unnecessarily impedes sharing of data with other agencies for compatible confidential use; or</w:t>
      </w:r>
    </w:p>
    <w:p w:rsidR="00237B0D" w:rsidRPr="00663593" w:rsidRDefault="00237B0D" w:rsidP="006A6B2C">
      <w:pPr>
        <w:numPr>
          <w:ilvl w:val="0"/>
          <w:numId w:val="8"/>
        </w:numPr>
        <w:spacing w:line="276" w:lineRule="auto"/>
        <w:rPr>
          <w:rFonts w:ascii="Arial" w:hAnsi="Arial" w:cs="Arial"/>
        </w:rPr>
      </w:pPr>
      <w:r w:rsidRPr="00663593">
        <w:rPr>
          <w:rFonts w:ascii="Arial" w:hAnsi="Arial" w:cs="Arial"/>
        </w:rPr>
        <w:t xml:space="preserve">requiring respondents to submit proprietary trade secret, or other confidential information unless the agency can demonstrate that it has </w:t>
      </w:r>
      <w:r w:rsidRPr="00663593">
        <w:rPr>
          <w:rFonts w:ascii="Arial" w:hAnsi="Arial" w:cs="Arial"/>
        </w:rPr>
        <w:lastRenderedPageBreak/>
        <w:t>instituted procedures to protect the information’s confidentiality to the extent permitted by law.</w:t>
      </w:r>
    </w:p>
    <w:p w:rsidR="00B16959" w:rsidRPr="00B16959" w:rsidRDefault="00B952CD" w:rsidP="006A6B2C">
      <w:pPr>
        <w:numPr>
          <w:ilvl w:val="0"/>
          <w:numId w:val="6"/>
        </w:numPr>
        <w:spacing w:before="240" w:line="276" w:lineRule="auto"/>
        <w:rPr>
          <w:rFonts w:ascii="Arial" w:hAnsi="Arial" w:cs="Arial"/>
          <w:color w:val="000000"/>
        </w:rPr>
      </w:pPr>
      <w:r w:rsidRPr="009D6BB9">
        <w:rPr>
          <w:rFonts w:ascii="Arial" w:hAnsi="Arial" w:cs="Arial"/>
          <w:b/>
          <w:bCs/>
        </w:rPr>
        <w:t>What effort was made to notify the general public</w:t>
      </w:r>
      <w:r w:rsidRPr="009D6BB9">
        <w:rPr>
          <w:rFonts w:ascii="Arial" w:hAnsi="Arial" w:cs="Arial"/>
        </w:rPr>
        <w:t xml:space="preserve"> </w:t>
      </w:r>
      <w:r w:rsidRPr="009D6BB9">
        <w:rPr>
          <w:rFonts w:ascii="Arial" w:hAnsi="Arial" w:cs="Arial"/>
          <w:b/>
          <w:bCs/>
        </w:rPr>
        <w:t>about this collection of information?</w:t>
      </w:r>
      <w:r w:rsidRPr="009D6BB9">
        <w:rPr>
          <w:rFonts w:ascii="Arial" w:hAnsi="Arial" w:cs="Arial"/>
        </w:rPr>
        <w:t xml:space="preserve">  </w:t>
      </w:r>
    </w:p>
    <w:p w:rsidR="009D6BB9" w:rsidRPr="009D6BB9" w:rsidRDefault="00B952CD" w:rsidP="006A6B2C">
      <w:pPr>
        <w:spacing w:after="120" w:line="276" w:lineRule="auto"/>
        <w:ind w:left="720"/>
        <w:rPr>
          <w:rFonts w:ascii="Arial" w:hAnsi="Arial" w:cs="Arial"/>
          <w:color w:val="000000"/>
        </w:rPr>
      </w:pPr>
      <w:r w:rsidRPr="009D6BB9">
        <w:rPr>
          <w:rFonts w:ascii="Arial" w:hAnsi="Arial" w:cs="Arial"/>
        </w:rPr>
        <w:t>The Bureau’s notice was published in the Federal Registe</w:t>
      </w:r>
      <w:r w:rsidR="004A6478" w:rsidRPr="009D6BB9">
        <w:rPr>
          <w:rFonts w:ascii="Arial" w:hAnsi="Arial" w:cs="Arial"/>
        </w:rPr>
        <w:t xml:space="preserve">r on </w:t>
      </w:r>
      <w:r w:rsidR="00763A6C">
        <w:rPr>
          <w:rFonts w:ascii="Arial" w:hAnsi="Arial" w:cs="Arial"/>
        </w:rPr>
        <w:t>March 26, 2018</w:t>
      </w:r>
      <w:r w:rsidR="004A6478" w:rsidRPr="009D6BB9">
        <w:rPr>
          <w:rFonts w:ascii="Arial" w:hAnsi="Arial" w:cs="Arial"/>
        </w:rPr>
        <w:t xml:space="preserve">, Page </w:t>
      </w:r>
      <w:r w:rsidR="00763A6C">
        <w:rPr>
          <w:rFonts w:ascii="Arial" w:hAnsi="Arial" w:cs="Arial"/>
        </w:rPr>
        <w:t>13006</w:t>
      </w:r>
      <w:r w:rsidR="00B27C51">
        <w:rPr>
          <w:rFonts w:ascii="Arial" w:hAnsi="Arial" w:cs="Arial"/>
        </w:rPr>
        <w:t>.</w:t>
      </w:r>
      <w:r w:rsidR="00B16959">
        <w:rPr>
          <w:rFonts w:ascii="Arial" w:hAnsi="Arial" w:cs="Arial"/>
        </w:rPr>
        <w:t xml:space="preserve"> </w:t>
      </w:r>
      <w:r w:rsidRPr="009D6BB9">
        <w:rPr>
          <w:rFonts w:ascii="Arial" w:hAnsi="Arial" w:cs="Arial"/>
        </w:rPr>
        <w:t>No comments were received.</w:t>
      </w:r>
    </w:p>
    <w:p w:rsidR="009D6BB9" w:rsidRPr="009D6BB9" w:rsidRDefault="00B952CD" w:rsidP="006A6B2C">
      <w:pPr>
        <w:numPr>
          <w:ilvl w:val="0"/>
          <w:numId w:val="6"/>
        </w:numPr>
        <w:spacing w:before="240" w:after="120" w:line="276" w:lineRule="auto"/>
        <w:rPr>
          <w:rFonts w:ascii="Arial" w:hAnsi="Arial" w:cs="Arial"/>
          <w:color w:val="000000"/>
        </w:rPr>
      </w:pPr>
      <w:r w:rsidRPr="009D6BB9">
        <w:rPr>
          <w:rFonts w:ascii="Arial" w:hAnsi="Arial" w:cs="Arial"/>
          <w:b/>
          <w:bCs/>
        </w:rPr>
        <w:t>What decision was made to provide any payment or gift to respondents, other than reenumeration of contractors or grantees?</w:t>
      </w:r>
      <w:r w:rsidR="00237B0D">
        <w:rPr>
          <w:rFonts w:ascii="Arial" w:hAnsi="Arial" w:cs="Arial"/>
        </w:rPr>
        <w:t xml:space="preserve">  Gifts or payments are not provided to respondents.</w:t>
      </w:r>
    </w:p>
    <w:p w:rsidR="00B16959" w:rsidRDefault="00B952CD" w:rsidP="006A6B2C">
      <w:pPr>
        <w:numPr>
          <w:ilvl w:val="0"/>
          <w:numId w:val="6"/>
        </w:numPr>
        <w:spacing w:before="240" w:line="276" w:lineRule="auto"/>
        <w:rPr>
          <w:rFonts w:ascii="Arial" w:hAnsi="Arial" w:cs="Arial"/>
          <w:color w:val="000000"/>
        </w:rPr>
      </w:pPr>
      <w:r w:rsidRPr="009D6BB9">
        <w:rPr>
          <w:rFonts w:ascii="Arial" w:hAnsi="Arial" w:cs="Arial"/>
          <w:b/>
          <w:bCs/>
        </w:rPr>
        <w:t>What assurance of confidentiality was provided to                                                                              respondents and what was the basis for the assurance in statute, regulations, or agency policy?</w:t>
      </w:r>
      <w:r w:rsidRPr="009D6BB9">
        <w:rPr>
          <w:rFonts w:ascii="Arial" w:hAnsi="Arial" w:cs="Arial"/>
        </w:rPr>
        <w:t xml:space="preserve">  </w:t>
      </w:r>
    </w:p>
    <w:p w:rsidR="009D6BB9" w:rsidRPr="00AA5F8E" w:rsidRDefault="00B16959" w:rsidP="006A6B2C">
      <w:pPr>
        <w:spacing w:after="120" w:line="276" w:lineRule="auto"/>
        <w:ind w:left="720"/>
        <w:rPr>
          <w:rFonts w:ascii="Arial" w:hAnsi="Arial" w:cs="Arial"/>
          <w:color w:val="000000"/>
        </w:rPr>
      </w:pPr>
      <w:r w:rsidRPr="00AA5F8E">
        <w:rPr>
          <w:rFonts w:ascii="Arial" w:hAnsi="Arial" w:cs="Arial"/>
        </w:rPr>
        <w:t>Aside from protections contained in the Privacy Act, there is no guarantee of confidentiality</w:t>
      </w:r>
      <w:r w:rsidR="00D43AAE" w:rsidRPr="00AA5F8E">
        <w:rPr>
          <w:rFonts w:ascii="Arial" w:hAnsi="Arial" w:cs="Arial"/>
        </w:rPr>
        <w:t>.</w:t>
      </w:r>
    </w:p>
    <w:p w:rsidR="00B16959" w:rsidRPr="00B16959" w:rsidRDefault="00B952CD" w:rsidP="006A6B2C">
      <w:pPr>
        <w:numPr>
          <w:ilvl w:val="0"/>
          <w:numId w:val="6"/>
        </w:numPr>
        <w:spacing w:before="240" w:line="276" w:lineRule="auto"/>
        <w:rPr>
          <w:rFonts w:ascii="Arial" w:hAnsi="Arial" w:cs="Arial"/>
          <w:color w:val="000000"/>
        </w:rPr>
      </w:pPr>
      <w:r w:rsidRPr="009D6BB9">
        <w:rPr>
          <w:rFonts w:ascii="Arial" w:hAnsi="Arial" w:cs="Arial"/>
          <w:b/>
          <w:bCs/>
        </w:rPr>
        <w:t>What justification is there for questions of a sensitive nature?</w:t>
      </w:r>
      <w:r w:rsidRPr="009D6BB9">
        <w:rPr>
          <w:rFonts w:ascii="Arial" w:hAnsi="Arial" w:cs="Arial"/>
        </w:rPr>
        <w:t xml:space="preserve">  </w:t>
      </w:r>
    </w:p>
    <w:p w:rsidR="009D6BB9" w:rsidRDefault="00B952CD" w:rsidP="006A6B2C">
      <w:pPr>
        <w:spacing w:after="120" w:line="276" w:lineRule="auto"/>
        <w:ind w:left="720"/>
        <w:rPr>
          <w:rFonts w:ascii="Arial" w:hAnsi="Arial" w:cs="Arial"/>
        </w:rPr>
      </w:pPr>
      <w:r w:rsidRPr="009D6BB9">
        <w:rPr>
          <w:rFonts w:ascii="Arial" w:hAnsi="Arial" w:cs="Arial"/>
        </w:rPr>
        <w:t>There are no questions of a sensitive nature.</w:t>
      </w:r>
      <w:r w:rsidR="00087D52">
        <w:rPr>
          <w:rFonts w:ascii="Arial" w:hAnsi="Arial" w:cs="Arial"/>
        </w:rPr>
        <w:t xml:space="preserve"> </w:t>
      </w:r>
      <w:r w:rsidR="00087D52" w:rsidRPr="00736421">
        <w:rPr>
          <w:rFonts w:ascii="Arial" w:hAnsi="Arial" w:cs="Arial"/>
        </w:rPr>
        <w:t xml:space="preserve">Personally identifiable information (PII) collected </w:t>
      </w:r>
      <w:r w:rsidR="00087D52">
        <w:rPr>
          <w:rFonts w:ascii="Arial" w:hAnsi="Arial" w:cs="Arial"/>
        </w:rPr>
        <w:t>in this collection</w:t>
      </w:r>
      <w:r w:rsidR="002A6E7A">
        <w:rPr>
          <w:rFonts w:ascii="Arial" w:hAnsi="Arial" w:cs="Arial"/>
        </w:rPr>
        <w:t xml:space="preserve"> such as tax identification number</w:t>
      </w:r>
      <w:r w:rsidR="00087D52" w:rsidRPr="002A6E7A">
        <w:rPr>
          <w:rFonts w:ascii="Arial" w:hAnsi="Arial" w:cs="Arial"/>
        </w:rPr>
        <w:t xml:space="preserve"> and financial institution information </w:t>
      </w:r>
      <w:r w:rsidR="00087D52" w:rsidRPr="00736421">
        <w:rPr>
          <w:rFonts w:ascii="Arial" w:hAnsi="Arial" w:cs="Arial"/>
        </w:rPr>
        <w:t>is necessary to support a request for early redemption. An applicable System of Records Notice was published August 17, 2011 that applies if a customer seeking a waiver submits sensitive information. System of Records Name: Treasury/BPD.003 – United States Securities (Other than Savings-Type Securities)</w:t>
      </w:r>
      <w:r w:rsidR="00087D52">
        <w:rPr>
          <w:rFonts w:ascii="Arial" w:hAnsi="Arial" w:cs="Arial"/>
        </w:rPr>
        <w:t>.</w:t>
      </w:r>
    </w:p>
    <w:p w:rsidR="00E010E1" w:rsidRPr="00E010E1" w:rsidRDefault="00E010E1" w:rsidP="006A6B2C">
      <w:pPr>
        <w:spacing w:line="276" w:lineRule="auto"/>
        <w:ind w:left="720"/>
        <w:rPr>
          <w:rFonts w:ascii="Arial" w:hAnsi="Arial" w:cs="Arial"/>
          <w:bCs/>
        </w:rPr>
      </w:pPr>
      <w:r w:rsidRPr="00E010E1">
        <w:rPr>
          <w:rFonts w:ascii="Arial" w:hAnsi="Arial" w:cs="Arial"/>
        </w:rPr>
        <w:t>The Bureau of the Fiscal Service conducts a Privacy Impact Assessment (PIA) on information systems collecting personally identifiable information from the public. We do PIAs to ensure that:</w:t>
      </w:r>
    </w:p>
    <w:p w:rsidR="00E010E1" w:rsidRPr="00E010E1" w:rsidRDefault="00E010E1" w:rsidP="006A6B2C">
      <w:pPr>
        <w:numPr>
          <w:ilvl w:val="0"/>
          <w:numId w:val="10"/>
        </w:numPr>
        <w:spacing w:after="100" w:afterAutospacing="1" w:line="276" w:lineRule="auto"/>
        <w:rPr>
          <w:rFonts w:ascii="Arial" w:hAnsi="Arial" w:cs="Arial"/>
        </w:rPr>
      </w:pPr>
      <w:r w:rsidRPr="00E010E1">
        <w:rPr>
          <w:rFonts w:ascii="Arial" w:hAnsi="Arial" w:cs="Arial"/>
        </w:rPr>
        <w:t>we tell the public the information that we collect about them,</w:t>
      </w:r>
    </w:p>
    <w:p w:rsidR="00E010E1" w:rsidRPr="00E010E1" w:rsidRDefault="00E010E1" w:rsidP="006A6B2C">
      <w:pPr>
        <w:numPr>
          <w:ilvl w:val="0"/>
          <w:numId w:val="10"/>
        </w:numPr>
        <w:spacing w:before="100" w:beforeAutospacing="1" w:after="100" w:afterAutospacing="1" w:line="276" w:lineRule="auto"/>
        <w:rPr>
          <w:rFonts w:ascii="Arial" w:hAnsi="Arial" w:cs="Arial"/>
        </w:rPr>
      </w:pPr>
      <w:r w:rsidRPr="00E010E1">
        <w:rPr>
          <w:rFonts w:ascii="Arial" w:hAnsi="Arial" w:cs="Arial"/>
        </w:rPr>
        <w:t>we adequately address impacts these systems have on personal privacy,</w:t>
      </w:r>
    </w:p>
    <w:p w:rsidR="00E010E1" w:rsidRPr="00E010E1" w:rsidRDefault="00E010E1" w:rsidP="006A6B2C">
      <w:pPr>
        <w:numPr>
          <w:ilvl w:val="0"/>
          <w:numId w:val="10"/>
        </w:numPr>
        <w:spacing w:before="100" w:beforeAutospacing="1" w:after="100" w:afterAutospacing="1" w:line="276" w:lineRule="auto"/>
        <w:rPr>
          <w:rFonts w:ascii="Arial" w:hAnsi="Arial" w:cs="Arial"/>
        </w:rPr>
      </w:pPr>
      <w:r w:rsidRPr="00E010E1">
        <w:rPr>
          <w:rFonts w:ascii="Arial" w:hAnsi="Arial" w:cs="Arial"/>
        </w:rPr>
        <w:t>we collect only enough personal information to administer our programs, and no more</w:t>
      </w:r>
    </w:p>
    <w:p w:rsidR="00E010E1" w:rsidRPr="00E010E1" w:rsidRDefault="00E010E1" w:rsidP="006A6B2C">
      <w:pPr>
        <w:spacing w:before="100" w:beforeAutospacing="1" w:after="100" w:afterAutospacing="1" w:line="276" w:lineRule="auto"/>
        <w:ind w:left="720"/>
        <w:rPr>
          <w:rFonts w:ascii="Arial" w:hAnsi="Arial" w:cs="Arial"/>
        </w:rPr>
      </w:pPr>
      <w:r w:rsidRPr="00E010E1">
        <w:rPr>
          <w:rFonts w:ascii="Arial" w:hAnsi="Arial" w:cs="Arial"/>
        </w:rPr>
        <w:t>Also, PIAs confirm that we use the information for the purpose intended; that the information remains timely and accurate; that it is protected while we have it, and we hold it only for as long as we need it.</w:t>
      </w:r>
    </w:p>
    <w:p w:rsidR="00E010E1" w:rsidRPr="00E010E1" w:rsidRDefault="00E010E1" w:rsidP="006A6B2C">
      <w:pPr>
        <w:spacing w:after="120" w:line="276" w:lineRule="auto"/>
        <w:ind w:left="720"/>
        <w:rPr>
          <w:rFonts w:ascii="Arial" w:hAnsi="Arial" w:cs="Arial"/>
        </w:rPr>
      </w:pPr>
      <w:r>
        <w:rPr>
          <w:rFonts w:ascii="Arial" w:hAnsi="Arial" w:cs="Arial"/>
        </w:rPr>
        <w:t>The administration of</w:t>
      </w:r>
      <w:r w:rsidRPr="00E010E1">
        <w:rPr>
          <w:rFonts w:ascii="Arial" w:hAnsi="Arial" w:cs="Arial"/>
        </w:rPr>
        <w:t xml:space="preserve"> </w:t>
      </w:r>
      <w:r>
        <w:rPr>
          <w:rFonts w:ascii="Arial" w:hAnsi="Arial" w:cs="Arial"/>
        </w:rPr>
        <w:t xml:space="preserve">SLGS </w:t>
      </w:r>
      <w:r w:rsidRPr="00E010E1">
        <w:rPr>
          <w:rFonts w:ascii="Arial" w:hAnsi="Arial" w:cs="Arial"/>
        </w:rPr>
        <w:t xml:space="preserve">is included in the PIA for </w:t>
      </w:r>
      <w:r>
        <w:rPr>
          <w:rFonts w:ascii="Arial" w:hAnsi="Arial" w:cs="Arial"/>
        </w:rPr>
        <w:t>Debt</w:t>
      </w:r>
      <w:r w:rsidRPr="00E010E1">
        <w:rPr>
          <w:rFonts w:ascii="Arial" w:hAnsi="Arial" w:cs="Arial"/>
        </w:rPr>
        <w:t xml:space="preserve"> Information Management System</w:t>
      </w:r>
      <w:r>
        <w:rPr>
          <w:rFonts w:ascii="Arial" w:hAnsi="Arial" w:cs="Arial"/>
        </w:rPr>
        <w:t>s</w:t>
      </w:r>
      <w:r w:rsidRPr="00E010E1">
        <w:rPr>
          <w:rFonts w:ascii="Arial" w:hAnsi="Arial" w:cs="Arial"/>
        </w:rPr>
        <w:t xml:space="preserve"> (</w:t>
      </w:r>
      <w:r>
        <w:rPr>
          <w:rFonts w:ascii="Arial" w:hAnsi="Arial" w:cs="Arial"/>
        </w:rPr>
        <w:t>DIMS</w:t>
      </w:r>
      <w:r w:rsidRPr="00E010E1">
        <w:rPr>
          <w:rFonts w:ascii="Arial" w:hAnsi="Arial" w:cs="Arial"/>
        </w:rPr>
        <w:t>) available at</w:t>
      </w:r>
      <w:r>
        <w:rPr>
          <w:rFonts w:ascii="Arial" w:hAnsi="Arial" w:cs="Arial"/>
        </w:rPr>
        <w:t xml:space="preserve"> </w:t>
      </w:r>
      <w:r w:rsidRPr="00E010E1">
        <w:rPr>
          <w:rFonts w:ascii="Arial" w:hAnsi="Arial" w:cs="Arial"/>
          <w:color w:val="000000"/>
        </w:rPr>
        <w:t>https://www.fiscal.treasury.gov/fsreports/rpt/fspia/DIMS_PIA.pdf</w:t>
      </w:r>
    </w:p>
    <w:p w:rsidR="00B27C51" w:rsidRPr="00C221BA" w:rsidRDefault="00B952CD" w:rsidP="006A6B2C">
      <w:pPr>
        <w:numPr>
          <w:ilvl w:val="0"/>
          <w:numId w:val="6"/>
        </w:numPr>
        <w:spacing w:before="240" w:after="120" w:line="276" w:lineRule="auto"/>
        <w:rPr>
          <w:rFonts w:ascii="Arial" w:hAnsi="Arial" w:cs="Arial"/>
          <w:color w:val="000000"/>
        </w:rPr>
      </w:pPr>
      <w:r w:rsidRPr="00B27C51">
        <w:rPr>
          <w:rFonts w:ascii="Arial" w:hAnsi="Arial" w:cs="Arial"/>
          <w:b/>
          <w:bCs/>
        </w:rPr>
        <w:t>What is the estimated hour burden of this collection</w:t>
      </w:r>
      <w:r w:rsidRPr="00B27C51">
        <w:rPr>
          <w:rFonts w:ascii="Arial" w:hAnsi="Arial" w:cs="Arial"/>
        </w:rPr>
        <w:t xml:space="preserve"> </w:t>
      </w:r>
      <w:r w:rsidRPr="00B27C51">
        <w:rPr>
          <w:rFonts w:ascii="Arial" w:hAnsi="Arial" w:cs="Arial"/>
          <w:b/>
          <w:bCs/>
        </w:rPr>
        <w:t>of information?</w:t>
      </w:r>
      <w:r w:rsidRPr="00B27C51">
        <w:rPr>
          <w:rFonts w:ascii="Arial" w:hAnsi="Arial" w:cs="Arial"/>
        </w:rPr>
        <w:t xml:space="preserve">  </w:t>
      </w:r>
      <w:r w:rsidR="00B27C51" w:rsidRPr="00B27C51">
        <w:rPr>
          <w:rFonts w:ascii="Arial" w:hAnsi="Arial" w:cs="Arial"/>
        </w:rPr>
        <w:t>The</w:t>
      </w:r>
      <w:r w:rsidR="00564CCA">
        <w:rPr>
          <w:rFonts w:ascii="Arial" w:hAnsi="Arial" w:cs="Arial"/>
        </w:rPr>
        <w:t xml:space="preserve"> estimated</w:t>
      </w:r>
      <w:r w:rsidR="00B27C51" w:rsidRPr="00B27C51">
        <w:rPr>
          <w:rFonts w:ascii="Arial" w:hAnsi="Arial" w:cs="Arial"/>
        </w:rPr>
        <w:t xml:space="preserve"> </w:t>
      </w:r>
      <w:r w:rsidR="00564CCA">
        <w:rPr>
          <w:rFonts w:ascii="Arial" w:hAnsi="Arial" w:cs="Arial"/>
        </w:rPr>
        <w:t>burden of 2,578</w:t>
      </w:r>
      <w:r w:rsidR="00564CCA" w:rsidRPr="00B27C51">
        <w:rPr>
          <w:rFonts w:ascii="Arial" w:hAnsi="Arial" w:cs="Arial"/>
        </w:rPr>
        <w:t xml:space="preserve"> hours</w:t>
      </w:r>
      <w:r w:rsidR="00C221BA">
        <w:rPr>
          <w:rFonts w:ascii="Arial" w:hAnsi="Arial" w:cs="Arial"/>
        </w:rPr>
        <w:t xml:space="preserve"> from 6,437 respondents</w:t>
      </w:r>
      <w:r w:rsidR="00564CCA">
        <w:rPr>
          <w:rFonts w:ascii="Arial" w:hAnsi="Arial" w:cs="Arial"/>
        </w:rPr>
        <w:t xml:space="preserve"> is calculated as follows:</w:t>
      </w:r>
    </w:p>
    <w:tbl>
      <w:tblPr>
        <w:tblW w:w="810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51"/>
        <w:gridCol w:w="1518"/>
        <w:gridCol w:w="1480"/>
        <w:gridCol w:w="1620"/>
        <w:gridCol w:w="1431"/>
      </w:tblGrid>
      <w:tr w:rsidR="00254DA5" w:rsidRPr="008B1ADB" w:rsidTr="00161FA3">
        <w:tc>
          <w:tcPr>
            <w:tcW w:w="2051" w:type="dxa"/>
          </w:tcPr>
          <w:p w:rsidR="00254DA5" w:rsidRPr="008B1ADB" w:rsidRDefault="00254DA5" w:rsidP="006A6B2C">
            <w:pPr>
              <w:suppressAutoHyphens/>
              <w:spacing w:line="276" w:lineRule="auto"/>
              <w:ind w:left="162"/>
              <w:rPr>
                <w:rFonts w:ascii="Arial" w:hAnsi="Arial" w:cs="Arial"/>
                <w:i/>
              </w:rPr>
            </w:pPr>
            <w:r w:rsidRPr="008B1ADB">
              <w:rPr>
                <w:rFonts w:ascii="Arial" w:hAnsi="Arial" w:cs="Arial"/>
                <w:i/>
              </w:rPr>
              <w:t>Type of Instrument</w:t>
            </w:r>
          </w:p>
        </w:tc>
        <w:tc>
          <w:tcPr>
            <w:tcW w:w="1518" w:type="dxa"/>
          </w:tcPr>
          <w:p w:rsidR="00254DA5" w:rsidRPr="008B1ADB" w:rsidRDefault="00254DA5" w:rsidP="006A6B2C">
            <w:pPr>
              <w:suppressAutoHyphens/>
              <w:spacing w:line="276" w:lineRule="auto"/>
              <w:ind w:left="109" w:hanging="8"/>
              <w:rPr>
                <w:rFonts w:ascii="Arial" w:hAnsi="Arial" w:cs="Arial"/>
                <w:i/>
              </w:rPr>
            </w:pPr>
            <w:r w:rsidRPr="008B1ADB">
              <w:rPr>
                <w:rFonts w:ascii="Arial" w:hAnsi="Arial" w:cs="Arial"/>
                <w:i/>
              </w:rPr>
              <w:t>Responses</w:t>
            </w:r>
          </w:p>
        </w:tc>
        <w:tc>
          <w:tcPr>
            <w:tcW w:w="1480" w:type="dxa"/>
          </w:tcPr>
          <w:p w:rsidR="00254DA5" w:rsidRPr="008B1ADB" w:rsidRDefault="00254DA5" w:rsidP="006A6B2C">
            <w:pPr>
              <w:suppressAutoHyphens/>
              <w:spacing w:line="276" w:lineRule="auto"/>
              <w:ind w:left="75" w:firstLine="34"/>
              <w:jc w:val="center"/>
              <w:rPr>
                <w:rFonts w:ascii="Arial" w:hAnsi="Arial" w:cs="Arial"/>
                <w:i/>
              </w:rPr>
            </w:pPr>
            <w:r w:rsidRPr="008B1ADB">
              <w:rPr>
                <w:rFonts w:ascii="Arial" w:hAnsi="Arial" w:cs="Arial"/>
                <w:i/>
              </w:rPr>
              <w:t>Minutes to Complete</w:t>
            </w:r>
          </w:p>
        </w:tc>
        <w:tc>
          <w:tcPr>
            <w:tcW w:w="1620" w:type="dxa"/>
            <w:vAlign w:val="center"/>
          </w:tcPr>
          <w:p w:rsidR="00254DA5" w:rsidRPr="008B1ADB" w:rsidRDefault="00254DA5" w:rsidP="006A6B2C">
            <w:pPr>
              <w:suppressAutoHyphens/>
              <w:spacing w:line="276" w:lineRule="auto"/>
              <w:ind w:left="132" w:firstLine="32"/>
              <w:jc w:val="center"/>
              <w:rPr>
                <w:rFonts w:ascii="Arial" w:hAnsi="Arial" w:cs="Arial"/>
                <w:i/>
              </w:rPr>
            </w:pPr>
            <w:r w:rsidRPr="008B1ADB">
              <w:rPr>
                <w:rFonts w:ascii="Arial" w:hAnsi="Arial" w:cs="Arial"/>
                <w:i/>
              </w:rPr>
              <w:t>Total Minutes to Complete</w:t>
            </w:r>
          </w:p>
        </w:tc>
        <w:tc>
          <w:tcPr>
            <w:tcW w:w="1431" w:type="dxa"/>
          </w:tcPr>
          <w:p w:rsidR="00254DA5" w:rsidRPr="008B1ADB" w:rsidRDefault="00254DA5" w:rsidP="006A6B2C">
            <w:pPr>
              <w:suppressAutoHyphens/>
              <w:spacing w:line="276" w:lineRule="auto"/>
              <w:ind w:left="105" w:firstLine="47"/>
              <w:jc w:val="center"/>
              <w:rPr>
                <w:rFonts w:ascii="Arial" w:hAnsi="Arial" w:cs="Arial"/>
                <w:i/>
              </w:rPr>
            </w:pPr>
            <w:r w:rsidRPr="008B1ADB">
              <w:rPr>
                <w:rFonts w:ascii="Arial" w:hAnsi="Arial" w:cs="Arial"/>
                <w:i/>
              </w:rPr>
              <w:t>Hours to Complete</w:t>
            </w:r>
          </w:p>
        </w:tc>
      </w:tr>
      <w:tr w:rsidR="00254DA5" w:rsidRPr="009D6BB9" w:rsidTr="00161FA3">
        <w:tc>
          <w:tcPr>
            <w:tcW w:w="2051" w:type="dxa"/>
          </w:tcPr>
          <w:p w:rsidR="00254DA5" w:rsidRPr="00AE5927" w:rsidRDefault="00254DA5" w:rsidP="006A6B2C">
            <w:pPr>
              <w:suppressAutoHyphens/>
              <w:spacing w:line="276" w:lineRule="auto"/>
              <w:ind w:left="162"/>
              <w:rPr>
                <w:rFonts w:ascii="Arial" w:hAnsi="Arial" w:cs="Arial"/>
                <w:sz w:val="22"/>
              </w:rPr>
            </w:pPr>
            <w:r w:rsidRPr="00AE5927">
              <w:rPr>
                <w:rFonts w:ascii="Arial" w:hAnsi="Arial" w:cs="Arial"/>
                <w:sz w:val="22"/>
              </w:rPr>
              <w:t>Time Cases Issued</w:t>
            </w:r>
          </w:p>
          <w:p w:rsidR="00254DA5" w:rsidRPr="00AE5927" w:rsidRDefault="00BD37C6" w:rsidP="006A6B2C">
            <w:pPr>
              <w:suppressAutoHyphens/>
              <w:spacing w:line="276" w:lineRule="auto"/>
              <w:ind w:left="162"/>
              <w:rPr>
                <w:rFonts w:ascii="Arial" w:hAnsi="Arial" w:cs="Arial"/>
                <w:sz w:val="22"/>
              </w:rPr>
            </w:pPr>
            <w:r>
              <w:rPr>
                <w:rFonts w:ascii="Arial" w:hAnsi="Arial" w:cs="Arial"/>
                <w:sz w:val="22"/>
              </w:rPr>
              <w:t>(FS Form 4144 Series.)</w:t>
            </w:r>
          </w:p>
        </w:tc>
        <w:tc>
          <w:tcPr>
            <w:tcW w:w="1518" w:type="dxa"/>
            <w:vAlign w:val="center"/>
          </w:tcPr>
          <w:p w:rsidR="00254DA5" w:rsidRPr="00AE5927" w:rsidRDefault="00254DA5" w:rsidP="006A6B2C">
            <w:pPr>
              <w:suppressAutoHyphens/>
              <w:spacing w:line="276" w:lineRule="auto"/>
              <w:ind w:left="109" w:hanging="8"/>
              <w:jc w:val="center"/>
              <w:rPr>
                <w:rFonts w:ascii="Arial" w:hAnsi="Arial" w:cs="Arial"/>
                <w:sz w:val="22"/>
              </w:rPr>
            </w:pPr>
            <w:r w:rsidRPr="00AE5927">
              <w:rPr>
                <w:rFonts w:ascii="Arial" w:hAnsi="Arial" w:cs="Arial"/>
                <w:sz w:val="22"/>
              </w:rPr>
              <w:t>4,474</w:t>
            </w:r>
          </w:p>
        </w:tc>
        <w:tc>
          <w:tcPr>
            <w:tcW w:w="1480" w:type="dxa"/>
            <w:vAlign w:val="center"/>
          </w:tcPr>
          <w:p w:rsidR="00254DA5" w:rsidRPr="00AE5927" w:rsidRDefault="00254DA5" w:rsidP="006A6B2C">
            <w:pPr>
              <w:suppressAutoHyphens/>
              <w:spacing w:line="276" w:lineRule="auto"/>
              <w:ind w:left="75" w:firstLine="34"/>
              <w:jc w:val="center"/>
              <w:rPr>
                <w:rFonts w:ascii="Arial" w:hAnsi="Arial" w:cs="Arial"/>
                <w:sz w:val="22"/>
              </w:rPr>
            </w:pPr>
            <w:r w:rsidRPr="00AE5927">
              <w:rPr>
                <w:rFonts w:ascii="Arial" w:hAnsi="Arial" w:cs="Arial"/>
                <w:sz w:val="22"/>
              </w:rPr>
              <w:t>30</w:t>
            </w:r>
          </w:p>
        </w:tc>
        <w:tc>
          <w:tcPr>
            <w:tcW w:w="1620" w:type="dxa"/>
            <w:vAlign w:val="center"/>
          </w:tcPr>
          <w:p w:rsidR="00254DA5" w:rsidRPr="00AE5927" w:rsidRDefault="00254DA5" w:rsidP="006A6B2C">
            <w:pPr>
              <w:suppressAutoHyphens/>
              <w:spacing w:line="276" w:lineRule="auto"/>
              <w:ind w:left="132" w:firstLine="32"/>
              <w:jc w:val="center"/>
              <w:rPr>
                <w:rFonts w:ascii="Arial" w:hAnsi="Arial" w:cs="Arial"/>
                <w:sz w:val="22"/>
              </w:rPr>
            </w:pPr>
            <w:r w:rsidRPr="00AE5927">
              <w:rPr>
                <w:rFonts w:ascii="Arial" w:hAnsi="Arial" w:cs="Arial"/>
                <w:sz w:val="22"/>
              </w:rPr>
              <w:t>134,220</w:t>
            </w:r>
          </w:p>
        </w:tc>
        <w:tc>
          <w:tcPr>
            <w:tcW w:w="1431" w:type="dxa"/>
            <w:vAlign w:val="center"/>
          </w:tcPr>
          <w:p w:rsidR="00254DA5" w:rsidRPr="00AE5927" w:rsidRDefault="00254DA5" w:rsidP="006A6B2C">
            <w:pPr>
              <w:suppressAutoHyphens/>
              <w:spacing w:line="276" w:lineRule="auto"/>
              <w:ind w:left="105" w:firstLine="47"/>
              <w:jc w:val="center"/>
              <w:rPr>
                <w:rFonts w:ascii="Arial" w:hAnsi="Arial" w:cs="Arial"/>
                <w:sz w:val="22"/>
              </w:rPr>
            </w:pPr>
            <w:r w:rsidRPr="00AE5927">
              <w:rPr>
                <w:rFonts w:ascii="Arial" w:hAnsi="Arial" w:cs="Arial"/>
                <w:sz w:val="22"/>
              </w:rPr>
              <w:t>2</w:t>
            </w:r>
            <w:r>
              <w:rPr>
                <w:rFonts w:ascii="Arial" w:hAnsi="Arial" w:cs="Arial"/>
                <w:sz w:val="22"/>
              </w:rPr>
              <w:t>,</w:t>
            </w:r>
            <w:r w:rsidRPr="00AE5927">
              <w:rPr>
                <w:rFonts w:ascii="Arial" w:hAnsi="Arial" w:cs="Arial"/>
                <w:sz w:val="22"/>
              </w:rPr>
              <w:t>237</w:t>
            </w:r>
          </w:p>
        </w:tc>
      </w:tr>
      <w:tr w:rsidR="00254DA5" w:rsidRPr="009D6BB9" w:rsidTr="00161FA3">
        <w:tc>
          <w:tcPr>
            <w:tcW w:w="2051" w:type="dxa"/>
          </w:tcPr>
          <w:p w:rsidR="00254DA5" w:rsidRPr="00AE5927" w:rsidRDefault="00254DA5" w:rsidP="006A6B2C">
            <w:pPr>
              <w:suppressAutoHyphens/>
              <w:spacing w:line="276" w:lineRule="auto"/>
              <w:ind w:left="162"/>
              <w:rPr>
                <w:rFonts w:ascii="Arial" w:hAnsi="Arial" w:cs="Arial"/>
                <w:sz w:val="22"/>
              </w:rPr>
            </w:pPr>
            <w:r w:rsidRPr="00AE5927">
              <w:rPr>
                <w:rFonts w:ascii="Arial" w:hAnsi="Arial" w:cs="Arial"/>
                <w:sz w:val="22"/>
              </w:rPr>
              <w:t>Demand Cases Issued (FS Form 5237)</w:t>
            </w:r>
          </w:p>
        </w:tc>
        <w:tc>
          <w:tcPr>
            <w:tcW w:w="1518" w:type="dxa"/>
            <w:vAlign w:val="center"/>
          </w:tcPr>
          <w:p w:rsidR="00254DA5" w:rsidRPr="00AE5927" w:rsidRDefault="00254DA5" w:rsidP="006A6B2C">
            <w:pPr>
              <w:suppressAutoHyphens/>
              <w:spacing w:line="276" w:lineRule="auto"/>
              <w:ind w:left="109" w:hanging="8"/>
              <w:jc w:val="center"/>
              <w:rPr>
                <w:rFonts w:ascii="Arial" w:hAnsi="Arial" w:cs="Arial"/>
                <w:sz w:val="22"/>
              </w:rPr>
            </w:pPr>
            <w:r w:rsidRPr="00AE5927">
              <w:rPr>
                <w:rFonts w:ascii="Arial" w:hAnsi="Arial" w:cs="Arial"/>
                <w:sz w:val="22"/>
              </w:rPr>
              <w:t>239</w:t>
            </w:r>
          </w:p>
        </w:tc>
        <w:tc>
          <w:tcPr>
            <w:tcW w:w="1480" w:type="dxa"/>
            <w:vAlign w:val="center"/>
          </w:tcPr>
          <w:p w:rsidR="00254DA5" w:rsidRPr="00AE5927" w:rsidRDefault="00254DA5" w:rsidP="006A6B2C">
            <w:pPr>
              <w:suppressAutoHyphens/>
              <w:spacing w:line="276" w:lineRule="auto"/>
              <w:ind w:left="75" w:firstLine="34"/>
              <w:jc w:val="center"/>
              <w:rPr>
                <w:rFonts w:ascii="Arial" w:hAnsi="Arial" w:cs="Arial"/>
                <w:sz w:val="22"/>
              </w:rPr>
            </w:pPr>
            <w:r w:rsidRPr="00AE5927">
              <w:rPr>
                <w:rFonts w:ascii="Arial" w:hAnsi="Arial" w:cs="Arial"/>
                <w:sz w:val="22"/>
              </w:rPr>
              <w:t>8</w:t>
            </w:r>
          </w:p>
        </w:tc>
        <w:tc>
          <w:tcPr>
            <w:tcW w:w="1620" w:type="dxa"/>
            <w:vAlign w:val="center"/>
          </w:tcPr>
          <w:p w:rsidR="00254DA5" w:rsidRPr="00AE5927" w:rsidRDefault="00254DA5" w:rsidP="006A6B2C">
            <w:pPr>
              <w:suppressAutoHyphens/>
              <w:spacing w:line="276" w:lineRule="auto"/>
              <w:ind w:left="132" w:firstLine="32"/>
              <w:jc w:val="center"/>
              <w:rPr>
                <w:rFonts w:ascii="Arial" w:hAnsi="Arial" w:cs="Arial"/>
                <w:sz w:val="22"/>
              </w:rPr>
            </w:pPr>
            <w:r w:rsidRPr="00AE5927">
              <w:rPr>
                <w:rFonts w:ascii="Arial" w:hAnsi="Arial" w:cs="Arial"/>
                <w:sz w:val="22"/>
              </w:rPr>
              <w:t>1,912</w:t>
            </w:r>
          </w:p>
        </w:tc>
        <w:tc>
          <w:tcPr>
            <w:tcW w:w="1431" w:type="dxa"/>
            <w:vAlign w:val="center"/>
          </w:tcPr>
          <w:p w:rsidR="00254DA5" w:rsidRPr="00AE5927" w:rsidRDefault="00254DA5" w:rsidP="006A6B2C">
            <w:pPr>
              <w:suppressAutoHyphens/>
              <w:spacing w:line="276" w:lineRule="auto"/>
              <w:ind w:left="105" w:firstLine="47"/>
              <w:jc w:val="center"/>
              <w:rPr>
                <w:rFonts w:ascii="Arial" w:hAnsi="Arial" w:cs="Arial"/>
                <w:sz w:val="22"/>
              </w:rPr>
            </w:pPr>
            <w:r w:rsidRPr="00AE5927">
              <w:rPr>
                <w:rFonts w:ascii="Arial" w:hAnsi="Arial" w:cs="Arial"/>
                <w:sz w:val="22"/>
              </w:rPr>
              <w:t>32</w:t>
            </w:r>
          </w:p>
        </w:tc>
      </w:tr>
      <w:tr w:rsidR="00254DA5" w:rsidRPr="009D6BB9" w:rsidTr="00161FA3">
        <w:tc>
          <w:tcPr>
            <w:tcW w:w="2051" w:type="dxa"/>
            <w:vAlign w:val="center"/>
          </w:tcPr>
          <w:p w:rsidR="00254DA5" w:rsidRPr="00AE5927" w:rsidRDefault="00254DA5" w:rsidP="006A6B2C">
            <w:pPr>
              <w:suppressAutoHyphens/>
              <w:spacing w:line="276" w:lineRule="auto"/>
              <w:ind w:left="162"/>
              <w:rPr>
                <w:rFonts w:ascii="Arial" w:hAnsi="Arial" w:cs="Arial"/>
                <w:sz w:val="22"/>
              </w:rPr>
            </w:pPr>
            <w:r w:rsidRPr="00AE5927">
              <w:rPr>
                <w:rFonts w:ascii="Arial" w:hAnsi="Arial" w:cs="Arial"/>
                <w:sz w:val="22"/>
              </w:rPr>
              <w:t>Early Redemption Time Deposit (FS Form 5377)</w:t>
            </w:r>
          </w:p>
        </w:tc>
        <w:tc>
          <w:tcPr>
            <w:tcW w:w="1518" w:type="dxa"/>
            <w:vAlign w:val="center"/>
          </w:tcPr>
          <w:p w:rsidR="00254DA5" w:rsidRPr="00AE5927" w:rsidRDefault="00254DA5" w:rsidP="006A6B2C">
            <w:pPr>
              <w:suppressAutoHyphens/>
              <w:spacing w:line="276" w:lineRule="auto"/>
              <w:ind w:left="109" w:hanging="8"/>
              <w:jc w:val="center"/>
              <w:rPr>
                <w:rFonts w:ascii="Arial" w:hAnsi="Arial" w:cs="Arial"/>
                <w:sz w:val="22"/>
              </w:rPr>
            </w:pPr>
            <w:r w:rsidRPr="00AE5927">
              <w:rPr>
                <w:rFonts w:ascii="Arial" w:hAnsi="Arial" w:cs="Arial"/>
                <w:sz w:val="22"/>
              </w:rPr>
              <w:t>494</w:t>
            </w:r>
          </w:p>
        </w:tc>
        <w:tc>
          <w:tcPr>
            <w:tcW w:w="1480" w:type="dxa"/>
            <w:vAlign w:val="center"/>
          </w:tcPr>
          <w:p w:rsidR="00254DA5" w:rsidRPr="00AE5927" w:rsidRDefault="00254DA5" w:rsidP="006A6B2C">
            <w:pPr>
              <w:suppressAutoHyphens/>
              <w:spacing w:line="276" w:lineRule="auto"/>
              <w:ind w:left="75" w:firstLine="34"/>
              <w:jc w:val="center"/>
              <w:rPr>
                <w:rFonts w:ascii="Arial" w:hAnsi="Arial" w:cs="Arial"/>
                <w:sz w:val="22"/>
              </w:rPr>
            </w:pPr>
            <w:r w:rsidRPr="00AE5927">
              <w:rPr>
                <w:rFonts w:ascii="Arial" w:hAnsi="Arial" w:cs="Arial"/>
                <w:sz w:val="22"/>
              </w:rPr>
              <w:t>30</w:t>
            </w:r>
          </w:p>
        </w:tc>
        <w:tc>
          <w:tcPr>
            <w:tcW w:w="1620" w:type="dxa"/>
            <w:vAlign w:val="center"/>
          </w:tcPr>
          <w:p w:rsidR="00254DA5" w:rsidRPr="00AE5927" w:rsidRDefault="00254DA5" w:rsidP="006A6B2C">
            <w:pPr>
              <w:suppressAutoHyphens/>
              <w:spacing w:line="276" w:lineRule="auto"/>
              <w:ind w:left="132" w:firstLine="32"/>
              <w:jc w:val="center"/>
              <w:rPr>
                <w:rFonts w:ascii="Arial" w:hAnsi="Arial" w:cs="Arial"/>
                <w:sz w:val="22"/>
              </w:rPr>
            </w:pPr>
            <w:r w:rsidRPr="00AE5927">
              <w:rPr>
                <w:rFonts w:ascii="Arial" w:hAnsi="Arial" w:cs="Arial"/>
                <w:sz w:val="22"/>
              </w:rPr>
              <w:t>14,820</w:t>
            </w:r>
          </w:p>
        </w:tc>
        <w:tc>
          <w:tcPr>
            <w:tcW w:w="1431" w:type="dxa"/>
            <w:vAlign w:val="center"/>
          </w:tcPr>
          <w:p w:rsidR="00254DA5" w:rsidRPr="00AE5927" w:rsidRDefault="00254DA5" w:rsidP="006A6B2C">
            <w:pPr>
              <w:suppressAutoHyphens/>
              <w:spacing w:line="276" w:lineRule="auto"/>
              <w:ind w:left="105" w:firstLine="47"/>
              <w:jc w:val="center"/>
              <w:rPr>
                <w:rFonts w:ascii="Arial" w:hAnsi="Arial" w:cs="Arial"/>
                <w:sz w:val="22"/>
              </w:rPr>
            </w:pPr>
            <w:r w:rsidRPr="00AE5927">
              <w:rPr>
                <w:rFonts w:ascii="Arial" w:hAnsi="Arial" w:cs="Arial"/>
                <w:sz w:val="22"/>
              </w:rPr>
              <w:t>247</w:t>
            </w:r>
          </w:p>
        </w:tc>
      </w:tr>
      <w:tr w:rsidR="00254DA5" w:rsidRPr="009D6BB9" w:rsidTr="00161FA3">
        <w:tc>
          <w:tcPr>
            <w:tcW w:w="2051" w:type="dxa"/>
            <w:vAlign w:val="center"/>
          </w:tcPr>
          <w:p w:rsidR="00254DA5" w:rsidRPr="00AE5927" w:rsidRDefault="00254DA5" w:rsidP="006A6B2C">
            <w:pPr>
              <w:suppressAutoHyphens/>
              <w:spacing w:line="276" w:lineRule="auto"/>
              <w:ind w:left="162"/>
              <w:rPr>
                <w:rFonts w:ascii="Arial" w:hAnsi="Arial" w:cs="Arial"/>
                <w:sz w:val="22"/>
              </w:rPr>
            </w:pPr>
            <w:r w:rsidRPr="00AE5927">
              <w:rPr>
                <w:rFonts w:ascii="Arial" w:hAnsi="Arial" w:cs="Arial"/>
                <w:sz w:val="22"/>
              </w:rPr>
              <w:t>Early Redemption Time Deposit (FS Form 5238)</w:t>
            </w:r>
          </w:p>
        </w:tc>
        <w:tc>
          <w:tcPr>
            <w:tcW w:w="1518" w:type="dxa"/>
            <w:vAlign w:val="center"/>
          </w:tcPr>
          <w:p w:rsidR="00254DA5" w:rsidRPr="00AE5927" w:rsidRDefault="00254DA5" w:rsidP="006A6B2C">
            <w:pPr>
              <w:suppressAutoHyphens/>
              <w:spacing w:line="276" w:lineRule="auto"/>
              <w:ind w:left="109" w:hanging="8"/>
              <w:jc w:val="center"/>
              <w:rPr>
                <w:rFonts w:ascii="Arial" w:hAnsi="Arial" w:cs="Arial"/>
                <w:sz w:val="22"/>
              </w:rPr>
            </w:pPr>
            <w:r w:rsidRPr="00AE5927">
              <w:rPr>
                <w:rFonts w:ascii="Arial" w:hAnsi="Arial" w:cs="Arial"/>
                <w:sz w:val="22"/>
              </w:rPr>
              <w:t>1,230</w:t>
            </w:r>
          </w:p>
        </w:tc>
        <w:tc>
          <w:tcPr>
            <w:tcW w:w="1480" w:type="dxa"/>
            <w:vAlign w:val="center"/>
          </w:tcPr>
          <w:p w:rsidR="00254DA5" w:rsidRPr="00AE5927" w:rsidRDefault="00254DA5" w:rsidP="006A6B2C">
            <w:pPr>
              <w:suppressAutoHyphens/>
              <w:spacing w:line="276" w:lineRule="auto"/>
              <w:ind w:left="75" w:firstLine="34"/>
              <w:jc w:val="center"/>
              <w:rPr>
                <w:rFonts w:ascii="Arial" w:hAnsi="Arial" w:cs="Arial"/>
                <w:sz w:val="22"/>
              </w:rPr>
            </w:pPr>
            <w:r w:rsidRPr="00AE5927">
              <w:rPr>
                <w:rFonts w:ascii="Arial" w:hAnsi="Arial" w:cs="Arial"/>
                <w:sz w:val="22"/>
              </w:rPr>
              <w:t>3</w:t>
            </w:r>
          </w:p>
        </w:tc>
        <w:tc>
          <w:tcPr>
            <w:tcW w:w="1620" w:type="dxa"/>
            <w:vAlign w:val="center"/>
          </w:tcPr>
          <w:p w:rsidR="00254DA5" w:rsidRPr="00AE5927" w:rsidRDefault="00254DA5" w:rsidP="006A6B2C">
            <w:pPr>
              <w:suppressAutoHyphens/>
              <w:spacing w:line="276" w:lineRule="auto"/>
              <w:ind w:left="132" w:firstLine="32"/>
              <w:jc w:val="center"/>
              <w:rPr>
                <w:rFonts w:ascii="Arial" w:hAnsi="Arial" w:cs="Arial"/>
                <w:sz w:val="22"/>
              </w:rPr>
            </w:pPr>
            <w:r w:rsidRPr="00AE5927">
              <w:rPr>
                <w:rFonts w:ascii="Arial" w:hAnsi="Arial" w:cs="Arial"/>
                <w:sz w:val="22"/>
              </w:rPr>
              <w:t>3,690</w:t>
            </w:r>
          </w:p>
        </w:tc>
        <w:tc>
          <w:tcPr>
            <w:tcW w:w="1431" w:type="dxa"/>
            <w:vAlign w:val="center"/>
          </w:tcPr>
          <w:p w:rsidR="00254DA5" w:rsidRPr="00AE5927" w:rsidRDefault="00254DA5" w:rsidP="006A6B2C">
            <w:pPr>
              <w:suppressAutoHyphens/>
              <w:spacing w:line="276" w:lineRule="auto"/>
              <w:ind w:left="105" w:firstLine="47"/>
              <w:jc w:val="center"/>
              <w:rPr>
                <w:rFonts w:ascii="Arial" w:hAnsi="Arial" w:cs="Arial"/>
                <w:sz w:val="22"/>
              </w:rPr>
            </w:pPr>
            <w:r w:rsidRPr="00AE5927">
              <w:rPr>
                <w:rFonts w:ascii="Arial" w:hAnsi="Arial" w:cs="Arial"/>
                <w:sz w:val="22"/>
              </w:rPr>
              <w:t>62</w:t>
            </w:r>
          </w:p>
        </w:tc>
      </w:tr>
      <w:tr w:rsidR="00254DA5" w:rsidRPr="00AE5927" w:rsidTr="00161FA3">
        <w:tc>
          <w:tcPr>
            <w:tcW w:w="2051" w:type="dxa"/>
            <w:vAlign w:val="center"/>
          </w:tcPr>
          <w:p w:rsidR="00254DA5" w:rsidRPr="00AE5927" w:rsidRDefault="00254DA5" w:rsidP="006A6B2C">
            <w:pPr>
              <w:suppressAutoHyphens/>
              <w:spacing w:line="276" w:lineRule="auto"/>
              <w:ind w:left="162"/>
              <w:rPr>
                <w:rFonts w:ascii="Arial" w:hAnsi="Arial" w:cs="Arial"/>
                <w:b/>
              </w:rPr>
            </w:pPr>
            <w:r w:rsidRPr="00AE5927">
              <w:rPr>
                <w:rFonts w:ascii="Arial" w:hAnsi="Arial" w:cs="Arial"/>
                <w:b/>
              </w:rPr>
              <w:t>Total</w:t>
            </w:r>
          </w:p>
        </w:tc>
        <w:tc>
          <w:tcPr>
            <w:tcW w:w="1518" w:type="dxa"/>
            <w:vAlign w:val="center"/>
          </w:tcPr>
          <w:p w:rsidR="00254DA5" w:rsidRPr="00AE5927" w:rsidRDefault="00254DA5" w:rsidP="006A6B2C">
            <w:pPr>
              <w:suppressAutoHyphens/>
              <w:spacing w:line="276" w:lineRule="auto"/>
              <w:ind w:left="109" w:hanging="8"/>
              <w:jc w:val="center"/>
              <w:rPr>
                <w:rFonts w:ascii="Arial" w:hAnsi="Arial" w:cs="Arial"/>
                <w:b/>
              </w:rPr>
            </w:pPr>
            <w:r>
              <w:rPr>
                <w:rFonts w:ascii="Arial" w:hAnsi="Arial" w:cs="Arial"/>
                <w:b/>
              </w:rPr>
              <w:t>6,437</w:t>
            </w:r>
          </w:p>
        </w:tc>
        <w:tc>
          <w:tcPr>
            <w:tcW w:w="1480" w:type="dxa"/>
            <w:vAlign w:val="center"/>
          </w:tcPr>
          <w:p w:rsidR="00254DA5" w:rsidRPr="00AE5927" w:rsidRDefault="00254DA5" w:rsidP="006A6B2C">
            <w:pPr>
              <w:suppressAutoHyphens/>
              <w:spacing w:line="276" w:lineRule="auto"/>
              <w:ind w:left="75" w:firstLine="34"/>
              <w:jc w:val="center"/>
              <w:rPr>
                <w:rFonts w:ascii="Arial" w:hAnsi="Arial" w:cs="Arial"/>
                <w:b/>
              </w:rPr>
            </w:pPr>
          </w:p>
        </w:tc>
        <w:tc>
          <w:tcPr>
            <w:tcW w:w="1620" w:type="dxa"/>
            <w:vAlign w:val="center"/>
          </w:tcPr>
          <w:p w:rsidR="00254DA5" w:rsidRPr="00AE5927" w:rsidRDefault="00254DA5" w:rsidP="006A6B2C">
            <w:pPr>
              <w:suppressAutoHyphens/>
              <w:spacing w:line="276" w:lineRule="auto"/>
              <w:ind w:left="132" w:firstLine="32"/>
              <w:jc w:val="center"/>
              <w:rPr>
                <w:rFonts w:ascii="Arial" w:hAnsi="Arial" w:cs="Arial"/>
                <w:b/>
              </w:rPr>
            </w:pPr>
          </w:p>
        </w:tc>
        <w:tc>
          <w:tcPr>
            <w:tcW w:w="1431" w:type="dxa"/>
          </w:tcPr>
          <w:p w:rsidR="00254DA5" w:rsidRPr="00AE5927" w:rsidRDefault="00254DA5" w:rsidP="006A6B2C">
            <w:pPr>
              <w:suppressAutoHyphens/>
              <w:spacing w:line="276" w:lineRule="auto"/>
              <w:ind w:left="105" w:firstLine="47"/>
              <w:jc w:val="center"/>
              <w:rPr>
                <w:rFonts w:ascii="Arial" w:hAnsi="Arial" w:cs="Arial"/>
                <w:b/>
              </w:rPr>
            </w:pPr>
            <w:r w:rsidRPr="00AE5927">
              <w:rPr>
                <w:rFonts w:ascii="Arial" w:hAnsi="Arial" w:cs="Arial"/>
                <w:b/>
              </w:rPr>
              <w:t>2,578</w:t>
            </w:r>
          </w:p>
        </w:tc>
      </w:tr>
    </w:tbl>
    <w:p w:rsidR="00254DA5" w:rsidRPr="00B27C51" w:rsidRDefault="00254DA5" w:rsidP="006A6B2C">
      <w:pPr>
        <w:spacing w:after="120" w:line="276" w:lineRule="auto"/>
        <w:ind w:left="720"/>
        <w:rPr>
          <w:rFonts w:ascii="Arial" w:hAnsi="Arial" w:cs="Arial"/>
          <w:color w:val="000000"/>
        </w:rPr>
      </w:pPr>
    </w:p>
    <w:p w:rsidR="009D6BB9" w:rsidRPr="00B27C51" w:rsidRDefault="00B952CD" w:rsidP="006A6B2C">
      <w:pPr>
        <w:numPr>
          <w:ilvl w:val="0"/>
          <w:numId w:val="6"/>
        </w:numPr>
        <w:spacing w:before="240" w:after="120" w:line="276" w:lineRule="auto"/>
        <w:rPr>
          <w:rFonts w:ascii="Arial" w:hAnsi="Arial" w:cs="Arial"/>
          <w:color w:val="000000"/>
        </w:rPr>
      </w:pPr>
      <w:r w:rsidRPr="00B27C51">
        <w:rPr>
          <w:rFonts w:ascii="Arial" w:hAnsi="Arial" w:cs="Arial"/>
          <w:b/>
          <w:bCs/>
        </w:rPr>
        <w:t>What is the estimated total annual cost burden to respondents or recordkeepers resulting from this collection of information?</w:t>
      </w:r>
      <w:r w:rsidRPr="00B27C51">
        <w:rPr>
          <w:rFonts w:ascii="Arial" w:hAnsi="Arial" w:cs="Arial"/>
        </w:rPr>
        <w:t xml:space="preserve">  Estimated cost burden to respondents is not available.</w:t>
      </w:r>
    </w:p>
    <w:p w:rsidR="00AA5F8E" w:rsidRPr="00AA5F8E" w:rsidRDefault="00B952CD" w:rsidP="006A6B2C">
      <w:pPr>
        <w:numPr>
          <w:ilvl w:val="0"/>
          <w:numId w:val="6"/>
        </w:numPr>
        <w:spacing w:before="240" w:line="276" w:lineRule="auto"/>
        <w:rPr>
          <w:rFonts w:ascii="Arial" w:hAnsi="Arial" w:cs="Arial"/>
          <w:color w:val="000000"/>
        </w:rPr>
      </w:pPr>
      <w:r w:rsidRPr="009D6BB9">
        <w:rPr>
          <w:rFonts w:ascii="Arial" w:hAnsi="Arial" w:cs="Arial"/>
          <w:b/>
          <w:bCs/>
        </w:rPr>
        <w:t>What is the annualized cost to the Federal</w:t>
      </w:r>
      <w:r w:rsidRPr="009D6BB9">
        <w:rPr>
          <w:rFonts w:ascii="Arial" w:hAnsi="Arial" w:cs="Arial"/>
        </w:rPr>
        <w:t xml:space="preserve"> </w:t>
      </w:r>
      <w:r w:rsidRPr="009D6BB9">
        <w:rPr>
          <w:rFonts w:ascii="Arial" w:hAnsi="Arial" w:cs="Arial"/>
          <w:b/>
          <w:bCs/>
        </w:rPr>
        <w:t>Government?</w:t>
      </w:r>
      <w:r w:rsidRPr="009D6BB9">
        <w:rPr>
          <w:rFonts w:ascii="Arial" w:hAnsi="Arial" w:cs="Arial"/>
        </w:rPr>
        <w:t xml:space="preserve"> </w:t>
      </w:r>
    </w:p>
    <w:p w:rsidR="001110F7" w:rsidRDefault="00B952CD" w:rsidP="006A6B2C">
      <w:pPr>
        <w:spacing w:after="100" w:line="276" w:lineRule="auto"/>
        <w:ind w:left="720"/>
        <w:rPr>
          <w:rFonts w:ascii="Arial" w:hAnsi="Arial" w:cs="Arial"/>
          <w:color w:val="000000"/>
        </w:rPr>
      </w:pPr>
      <w:r w:rsidRPr="009D6BB9">
        <w:rPr>
          <w:rFonts w:ascii="Arial" w:hAnsi="Arial" w:cs="Arial"/>
        </w:rPr>
        <w:t xml:space="preserve">The following factors were used to estimate the annual burden to this agency: </w:t>
      </w:r>
    </w:p>
    <w:p w:rsidR="001110F7" w:rsidRDefault="00B952CD" w:rsidP="006A6B2C">
      <w:pPr>
        <w:numPr>
          <w:ilvl w:val="1"/>
          <w:numId w:val="6"/>
        </w:numPr>
        <w:spacing w:after="100" w:line="276" w:lineRule="auto"/>
        <w:rPr>
          <w:rFonts w:ascii="Arial" w:hAnsi="Arial" w:cs="Arial"/>
          <w:color w:val="000000"/>
        </w:rPr>
      </w:pPr>
      <w:r w:rsidRPr="001110F7">
        <w:rPr>
          <w:rFonts w:ascii="Arial" w:hAnsi="Arial" w:cs="Arial"/>
        </w:rPr>
        <w:t>Printing cost - estimated number of forms printed annually, multiplied by the unit cost of the forms.</w:t>
      </w:r>
    </w:p>
    <w:p w:rsidR="001110F7" w:rsidRDefault="00B952CD" w:rsidP="006A6B2C">
      <w:pPr>
        <w:numPr>
          <w:ilvl w:val="1"/>
          <w:numId w:val="6"/>
        </w:numPr>
        <w:spacing w:after="100" w:line="276" w:lineRule="auto"/>
        <w:rPr>
          <w:rFonts w:ascii="Arial" w:hAnsi="Arial" w:cs="Arial"/>
          <w:color w:val="000000"/>
        </w:rPr>
      </w:pPr>
      <w:r w:rsidRPr="001110F7">
        <w:rPr>
          <w:rFonts w:ascii="Arial" w:hAnsi="Arial" w:cs="Arial"/>
        </w:rPr>
        <w:t>Case processing cost – estimated number of forms completed, multiplied by a percentage of the unit cost of case processing.</w:t>
      </w:r>
    </w:p>
    <w:p w:rsidR="00C9662D" w:rsidRPr="00C9662D" w:rsidRDefault="00B952CD" w:rsidP="006A6B2C">
      <w:pPr>
        <w:numPr>
          <w:ilvl w:val="1"/>
          <w:numId w:val="6"/>
        </w:numPr>
        <w:spacing w:after="100" w:line="276" w:lineRule="auto"/>
        <w:rPr>
          <w:rFonts w:ascii="Arial" w:hAnsi="Arial" w:cs="Arial"/>
          <w:color w:val="000000"/>
        </w:rPr>
      </w:pPr>
      <w:r w:rsidRPr="001110F7">
        <w:rPr>
          <w:rFonts w:ascii="Arial" w:hAnsi="Arial" w:cs="Arial"/>
        </w:rPr>
        <w:t xml:space="preserve">Forms management cost - salary cost of forms management personnel.  </w:t>
      </w:r>
      <w:r w:rsidR="00C9662D">
        <w:rPr>
          <w:rFonts w:ascii="Arial" w:hAnsi="Arial" w:cs="Arial"/>
          <w:color w:val="000000"/>
        </w:rPr>
        <w:br/>
      </w:r>
    </w:p>
    <w:tbl>
      <w:tblPr>
        <w:tblW w:w="0" w:type="auto"/>
        <w:tblInd w:w="1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33"/>
        <w:gridCol w:w="1177"/>
        <w:gridCol w:w="1724"/>
        <w:gridCol w:w="1644"/>
      </w:tblGrid>
      <w:tr w:rsidR="00BB4DF1" w:rsidRPr="009D6BB9" w:rsidTr="00266915">
        <w:tc>
          <w:tcPr>
            <w:tcW w:w="3033" w:type="dxa"/>
          </w:tcPr>
          <w:p w:rsidR="00BB4DF1" w:rsidRPr="009D6BB9" w:rsidRDefault="00BB4DF1" w:rsidP="006A6B2C">
            <w:pPr>
              <w:suppressAutoHyphens/>
              <w:spacing w:line="276" w:lineRule="auto"/>
              <w:ind w:left="360"/>
              <w:rPr>
                <w:rFonts w:ascii="Arial" w:hAnsi="Arial" w:cs="Arial"/>
              </w:rPr>
            </w:pPr>
            <w:r w:rsidRPr="009D6BB9">
              <w:rPr>
                <w:rFonts w:ascii="Arial" w:hAnsi="Arial" w:cs="Arial"/>
              </w:rPr>
              <w:t>Printing Cost</w:t>
            </w:r>
          </w:p>
        </w:tc>
        <w:tc>
          <w:tcPr>
            <w:tcW w:w="1177" w:type="dxa"/>
          </w:tcPr>
          <w:p w:rsidR="00BB4DF1" w:rsidRPr="009D6BB9" w:rsidRDefault="00266915" w:rsidP="006A6B2C">
            <w:pPr>
              <w:suppressAutoHyphens/>
              <w:spacing w:line="276" w:lineRule="auto"/>
              <w:ind w:left="360"/>
              <w:rPr>
                <w:rFonts w:ascii="Arial" w:hAnsi="Arial" w:cs="Arial"/>
              </w:rPr>
            </w:pPr>
            <w:r>
              <w:rPr>
                <w:rFonts w:ascii="Arial" w:hAnsi="Arial" w:cs="Arial"/>
              </w:rPr>
              <w:t>6,437</w:t>
            </w:r>
          </w:p>
        </w:tc>
        <w:tc>
          <w:tcPr>
            <w:tcW w:w="1724" w:type="dxa"/>
          </w:tcPr>
          <w:p w:rsidR="00BB4DF1" w:rsidRPr="009D6BB9" w:rsidRDefault="0007284C" w:rsidP="006A6B2C">
            <w:pPr>
              <w:suppressAutoHyphens/>
              <w:spacing w:line="276" w:lineRule="auto"/>
              <w:ind w:left="360"/>
              <w:rPr>
                <w:rFonts w:ascii="Arial" w:hAnsi="Arial" w:cs="Arial"/>
              </w:rPr>
            </w:pPr>
            <w:r>
              <w:rPr>
                <w:rFonts w:ascii="Arial" w:hAnsi="Arial" w:cs="Arial"/>
              </w:rPr>
              <w:t>$20.00/</w:t>
            </w:r>
            <w:r w:rsidR="002A6E7A">
              <w:rPr>
                <w:rFonts w:ascii="Arial" w:hAnsi="Arial" w:cs="Arial"/>
              </w:rPr>
              <w:t>per thousand</w:t>
            </w:r>
            <w:r w:rsidR="00BB4DF1" w:rsidRPr="009D6BB9">
              <w:rPr>
                <w:rFonts w:ascii="Arial" w:hAnsi="Arial" w:cs="Arial"/>
              </w:rPr>
              <w:t xml:space="preserve"> </w:t>
            </w:r>
          </w:p>
        </w:tc>
        <w:tc>
          <w:tcPr>
            <w:tcW w:w="1644" w:type="dxa"/>
            <w:vAlign w:val="center"/>
          </w:tcPr>
          <w:p w:rsidR="00BB4DF1" w:rsidRPr="009D6BB9" w:rsidRDefault="00B27C51" w:rsidP="006A6B2C">
            <w:pPr>
              <w:suppressAutoHyphens/>
              <w:spacing w:line="276" w:lineRule="auto"/>
              <w:ind w:left="360"/>
              <w:jc w:val="right"/>
              <w:rPr>
                <w:rFonts w:ascii="Arial" w:hAnsi="Arial" w:cs="Arial"/>
              </w:rPr>
            </w:pPr>
            <w:r>
              <w:rPr>
                <w:rFonts w:ascii="Arial" w:hAnsi="Arial" w:cs="Arial"/>
              </w:rPr>
              <w:t>$</w:t>
            </w:r>
            <w:r w:rsidR="00422CD7">
              <w:rPr>
                <w:rFonts w:ascii="Arial" w:hAnsi="Arial" w:cs="Arial"/>
              </w:rPr>
              <w:t>1</w:t>
            </w:r>
            <w:r w:rsidR="00266915">
              <w:rPr>
                <w:rFonts w:ascii="Arial" w:hAnsi="Arial" w:cs="Arial"/>
              </w:rPr>
              <w:t>29</w:t>
            </w:r>
            <w:r w:rsidR="00422CD7">
              <w:rPr>
                <w:rFonts w:ascii="Arial" w:hAnsi="Arial" w:cs="Arial"/>
              </w:rPr>
              <w:t>.</w:t>
            </w:r>
            <w:r w:rsidR="00BB4DF1" w:rsidRPr="009D6BB9">
              <w:rPr>
                <w:rFonts w:ascii="Arial" w:hAnsi="Arial" w:cs="Arial"/>
              </w:rPr>
              <w:t>00</w:t>
            </w:r>
          </w:p>
        </w:tc>
      </w:tr>
      <w:tr w:rsidR="00266915" w:rsidRPr="009D6BB9" w:rsidTr="00266915">
        <w:tc>
          <w:tcPr>
            <w:tcW w:w="3033" w:type="dxa"/>
          </w:tcPr>
          <w:p w:rsidR="00266915" w:rsidRPr="009D6BB9" w:rsidRDefault="00266915" w:rsidP="006A6B2C">
            <w:pPr>
              <w:suppressAutoHyphens/>
              <w:spacing w:line="276" w:lineRule="auto"/>
              <w:ind w:left="360"/>
              <w:rPr>
                <w:rFonts w:ascii="Arial" w:hAnsi="Arial" w:cs="Arial"/>
              </w:rPr>
            </w:pPr>
            <w:r w:rsidRPr="009D6BB9">
              <w:rPr>
                <w:rFonts w:ascii="Arial" w:hAnsi="Arial" w:cs="Arial"/>
              </w:rPr>
              <w:t>Case Processing Cost</w:t>
            </w:r>
          </w:p>
        </w:tc>
        <w:tc>
          <w:tcPr>
            <w:tcW w:w="1177" w:type="dxa"/>
          </w:tcPr>
          <w:p w:rsidR="00266915" w:rsidRPr="009D6BB9" w:rsidRDefault="00266915" w:rsidP="006A6B2C">
            <w:pPr>
              <w:suppressAutoHyphens/>
              <w:spacing w:line="276" w:lineRule="auto"/>
              <w:ind w:left="360"/>
              <w:rPr>
                <w:rFonts w:ascii="Arial" w:hAnsi="Arial" w:cs="Arial"/>
              </w:rPr>
            </w:pPr>
            <w:r>
              <w:rPr>
                <w:rFonts w:ascii="Arial" w:hAnsi="Arial" w:cs="Arial"/>
              </w:rPr>
              <w:t>6,437</w:t>
            </w:r>
          </w:p>
        </w:tc>
        <w:tc>
          <w:tcPr>
            <w:tcW w:w="1724" w:type="dxa"/>
          </w:tcPr>
          <w:p w:rsidR="00266915" w:rsidRPr="009D6BB9" w:rsidRDefault="00266915" w:rsidP="006A6B2C">
            <w:pPr>
              <w:suppressAutoHyphens/>
              <w:spacing w:line="276" w:lineRule="auto"/>
              <w:ind w:left="360"/>
              <w:rPr>
                <w:rFonts w:ascii="Arial" w:hAnsi="Arial" w:cs="Arial"/>
              </w:rPr>
            </w:pPr>
            <w:r>
              <w:rPr>
                <w:rFonts w:ascii="Arial" w:hAnsi="Arial" w:cs="Arial"/>
              </w:rPr>
              <w:t>$.9</w:t>
            </w:r>
            <w:r w:rsidRPr="009D6BB9">
              <w:rPr>
                <w:rFonts w:ascii="Arial" w:hAnsi="Arial" w:cs="Arial"/>
              </w:rPr>
              <w:t>0/form</w:t>
            </w:r>
          </w:p>
        </w:tc>
        <w:tc>
          <w:tcPr>
            <w:tcW w:w="1644" w:type="dxa"/>
            <w:vAlign w:val="center"/>
          </w:tcPr>
          <w:p w:rsidR="00266915" w:rsidRPr="009D6BB9" w:rsidRDefault="00266915" w:rsidP="006A6B2C">
            <w:pPr>
              <w:suppressAutoHyphens/>
              <w:spacing w:line="276" w:lineRule="auto"/>
              <w:ind w:left="360"/>
              <w:jc w:val="right"/>
              <w:rPr>
                <w:rFonts w:ascii="Arial" w:hAnsi="Arial" w:cs="Arial"/>
              </w:rPr>
            </w:pPr>
            <w:r>
              <w:rPr>
                <w:rFonts w:ascii="Arial" w:hAnsi="Arial" w:cs="Arial"/>
              </w:rPr>
              <w:t>$5,793</w:t>
            </w:r>
            <w:r w:rsidRPr="009D6BB9">
              <w:rPr>
                <w:rFonts w:ascii="Arial" w:hAnsi="Arial" w:cs="Arial"/>
              </w:rPr>
              <w:t>.00</w:t>
            </w:r>
          </w:p>
        </w:tc>
      </w:tr>
      <w:tr w:rsidR="00BB4DF1" w:rsidRPr="009D6BB9" w:rsidTr="00266915">
        <w:tc>
          <w:tcPr>
            <w:tcW w:w="3033" w:type="dxa"/>
            <w:vAlign w:val="center"/>
          </w:tcPr>
          <w:p w:rsidR="00BB4DF1" w:rsidRPr="009D6BB9" w:rsidRDefault="00BB4DF1" w:rsidP="006A6B2C">
            <w:pPr>
              <w:suppressAutoHyphens/>
              <w:spacing w:line="276" w:lineRule="auto"/>
              <w:ind w:left="360"/>
              <w:rPr>
                <w:rFonts w:ascii="Arial" w:hAnsi="Arial" w:cs="Arial"/>
              </w:rPr>
            </w:pPr>
            <w:r w:rsidRPr="009D6BB9">
              <w:rPr>
                <w:rFonts w:ascii="Arial" w:hAnsi="Arial" w:cs="Arial"/>
              </w:rPr>
              <w:t>Forms Management Cost</w:t>
            </w:r>
          </w:p>
        </w:tc>
        <w:tc>
          <w:tcPr>
            <w:tcW w:w="1177" w:type="dxa"/>
            <w:vAlign w:val="center"/>
          </w:tcPr>
          <w:p w:rsidR="00BB4DF1" w:rsidRPr="009D6BB9" w:rsidRDefault="00BB4DF1" w:rsidP="006A6B2C">
            <w:pPr>
              <w:suppressAutoHyphens/>
              <w:spacing w:line="276" w:lineRule="auto"/>
              <w:ind w:left="360"/>
              <w:rPr>
                <w:rFonts w:ascii="Arial" w:hAnsi="Arial" w:cs="Arial"/>
              </w:rPr>
            </w:pPr>
          </w:p>
        </w:tc>
        <w:tc>
          <w:tcPr>
            <w:tcW w:w="1724" w:type="dxa"/>
            <w:vAlign w:val="center"/>
          </w:tcPr>
          <w:p w:rsidR="00BB4DF1" w:rsidRPr="009D6BB9" w:rsidRDefault="00BB4DF1" w:rsidP="006A6B2C">
            <w:pPr>
              <w:suppressAutoHyphens/>
              <w:spacing w:line="276" w:lineRule="auto"/>
              <w:ind w:left="360"/>
              <w:rPr>
                <w:rFonts w:ascii="Arial" w:hAnsi="Arial" w:cs="Arial"/>
              </w:rPr>
            </w:pPr>
          </w:p>
        </w:tc>
        <w:tc>
          <w:tcPr>
            <w:tcW w:w="1644" w:type="dxa"/>
            <w:vAlign w:val="center"/>
          </w:tcPr>
          <w:p w:rsidR="00BB4DF1" w:rsidRPr="009D6BB9" w:rsidRDefault="00BB4DF1" w:rsidP="006A6B2C">
            <w:pPr>
              <w:suppressAutoHyphens/>
              <w:spacing w:line="276" w:lineRule="auto"/>
              <w:ind w:left="360"/>
              <w:jc w:val="right"/>
              <w:rPr>
                <w:rFonts w:ascii="Arial" w:hAnsi="Arial" w:cs="Arial"/>
              </w:rPr>
            </w:pPr>
            <w:r w:rsidRPr="009D6BB9">
              <w:rPr>
                <w:rFonts w:ascii="Arial" w:hAnsi="Arial" w:cs="Arial"/>
              </w:rPr>
              <w:t>$500.00</w:t>
            </w:r>
          </w:p>
        </w:tc>
      </w:tr>
      <w:tr w:rsidR="00BB4DF1" w:rsidRPr="009D6BB9" w:rsidTr="00266915">
        <w:tc>
          <w:tcPr>
            <w:tcW w:w="3033" w:type="dxa"/>
            <w:vAlign w:val="center"/>
          </w:tcPr>
          <w:p w:rsidR="00BB4DF1" w:rsidRPr="009D6BB9" w:rsidRDefault="00BB4DF1" w:rsidP="006A6B2C">
            <w:pPr>
              <w:suppressAutoHyphens/>
              <w:spacing w:line="276" w:lineRule="auto"/>
              <w:ind w:left="360"/>
              <w:rPr>
                <w:rFonts w:ascii="Arial" w:hAnsi="Arial" w:cs="Arial"/>
                <w:b/>
              </w:rPr>
            </w:pPr>
            <w:r w:rsidRPr="009D6BB9">
              <w:rPr>
                <w:rFonts w:ascii="Arial" w:hAnsi="Arial" w:cs="Arial"/>
                <w:b/>
              </w:rPr>
              <w:t>Total Cost</w:t>
            </w:r>
          </w:p>
        </w:tc>
        <w:tc>
          <w:tcPr>
            <w:tcW w:w="1177" w:type="dxa"/>
            <w:vAlign w:val="center"/>
          </w:tcPr>
          <w:p w:rsidR="00BB4DF1" w:rsidRPr="009D6BB9" w:rsidRDefault="00BB4DF1" w:rsidP="006A6B2C">
            <w:pPr>
              <w:suppressAutoHyphens/>
              <w:spacing w:line="276" w:lineRule="auto"/>
              <w:ind w:left="360"/>
              <w:rPr>
                <w:rFonts w:ascii="Arial" w:hAnsi="Arial" w:cs="Arial"/>
                <w:b/>
              </w:rPr>
            </w:pPr>
          </w:p>
        </w:tc>
        <w:tc>
          <w:tcPr>
            <w:tcW w:w="1724" w:type="dxa"/>
            <w:vAlign w:val="center"/>
          </w:tcPr>
          <w:p w:rsidR="00BB4DF1" w:rsidRPr="009D6BB9" w:rsidRDefault="00BB4DF1" w:rsidP="006A6B2C">
            <w:pPr>
              <w:suppressAutoHyphens/>
              <w:spacing w:line="276" w:lineRule="auto"/>
              <w:ind w:left="360"/>
              <w:rPr>
                <w:rFonts w:ascii="Arial" w:hAnsi="Arial" w:cs="Arial"/>
                <w:b/>
              </w:rPr>
            </w:pPr>
          </w:p>
        </w:tc>
        <w:tc>
          <w:tcPr>
            <w:tcW w:w="1644" w:type="dxa"/>
            <w:vAlign w:val="center"/>
          </w:tcPr>
          <w:p w:rsidR="00BB4DF1" w:rsidRPr="009D6BB9" w:rsidRDefault="00AA5F8E" w:rsidP="006A6B2C">
            <w:pPr>
              <w:suppressAutoHyphens/>
              <w:spacing w:line="276" w:lineRule="auto"/>
              <w:ind w:left="360"/>
              <w:jc w:val="right"/>
              <w:rPr>
                <w:rFonts w:ascii="Arial" w:hAnsi="Arial" w:cs="Arial"/>
                <w:b/>
              </w:rPr>
            </w:pPr>
            <w:r>
              <w:rPr>
                <w:rFonts w:ascii="Arial" w:hAnsi="Arial" w:cs="Arial"/>
                <w:b/>
              </w:rPr>
              <w:t>$</w:t>
            </w:r>
            <w:r w:rsidR="00266915">
              <w:rPr>
                <w:rFonts w:ascii="Arial" w:hAnsi="Arial" w:cs="Arial"/>
                <w:b/>
              </w:rPr>
              <w:t>6,422</w:t>
            </w:r>
            <w:r w:rsidR="00BB4DF1" w:rsidRPr="009D6BB9">
              <w:rPr>
                <w:rFonts w:ascii="Arial" w:hAnsi="Arial" w:cs="Arial"/>
                <w:b/>
              </w:rPr>
              <w:t>.00</w:t>
            </w:r>
          </w:p>
        </w:tc>
      </w:tr>
    </w:tbl>
    <w:p w:rsidR="009D6BB9" w:rsidRPr="009D6BB9" w:rsidRDefault="009D6BB9" w:rsidP="006A6B2C">
      <w:pPr>
        <w:autoSpaceDE w:val="0"/>
        <w:autoSpaceDN w:val="0"/>
        <w:adjustRightInd w:val="0"/>
        <w:spacing w:line="276" w:lineRule="auto"/>
        <w:ind w:left="1155"/>
        <w:rPr>
          <w:rFonts w:ascii="Arial" w:hAnsi="Arial" w:cs="Arial"/>
        </w:rPr>
      </w:pPr>
    </w:p>
    <w:p w:rsidR="002A2C59" w:rsidRDefault="00B952CD" w:rsidP="006A6B2C">
      <w:pPr>
        <w:numPr>
          <w:ilvl w:val="0"/>
          <w:numId w:val="6"/>
        </w:numPr>
        <w:autoSpaceDE w:val="0"/>
        <w:autoSpaceDN w:val="0"/>
        <w:adjustRightInd w:val="0"/>
        <w:spacing w:before="240" w:line="276" w:lineRule="auto"/>
        <w:rPr>
          <w:rFonts w:ascii="Arial" w:hAnsi="Arial" w:cs="Arial"/>
        </w:rPr>
      </w:pPr>
      <w:r w:rsidRPr="009D6BB9">
        <w:rPr>
          <w:rFonts w:ascii="Arial" w:hAnsi="Arial" w:cs="Arial"/>
          <w:b/>
          <w:bCs/>
        </w:rPr>
        <w:t>What is the reason for any program changes or adjustments reported in Items 13 or 14 of the OMB Form 83-I?</w:t>
      </w:r>
      <w:r w:rsidRPr="009D6BB9">
        <w:rPr>
          <w:rFonts w:ascii="Arial" w:hAnsi="Arial" w:cs="Arial"/>
        </w:rPr>
        <w:t xml:space="preserve">  </w:t>
      </w:r>
    </w:p>
    <w:p w:rsidR="00C12501" w:rsidRDefault="00C12501" w:rsidP="006A6B2C">
      <w:pPr>
        <w:spacing w:line="276" w:lineRule="auto"/>
        <w:ind w:left="720"/>
        <w:rPr>
          <w:rFonts w:ascii="Arial" w:hAnsi="Arial" w:cs="Arial"/>
        </w:rPr>
      </w:pPr>
      <w:r>
        <w:rPr>
          <w:rFonts w:ascii="Arial" w:hAnsi="Arial" w:cs="Arial"/>
        </w:rPr>
        <w:t xml:space="preserve">This ICR </w:t>
      </w:r>
      <w:r w:rsidR="00843147" w:rsidRPr="00BF2BFF">
        <w:rPr>
          <w:rFonts w:ascii="Arial" w:hAnsi="Arial" w:cs="Arial"/>
        </w:rPr>
        <w:t xml:space="preserve">is being revised to include </w:t>
      </w:r>
      <w:r>
        <w:rPr>
          <w:rFonts w:ascii="Arial" w:hAnsi="Arial" w:cs="Arial"/>
        </w:rPr>
        <w:t>burden for the related Form 5377, which is currently covered by OMB Control Number 1530-0039. This results in an increase of 247 hours of burden due to agency discretion, which will be offset when 1530-0039 is discontinued following approval of this consolidation.</w:t>
      </w:r>
    </w:p>
    <w:p w:rsidR="00C12501" w:rsidRDefault="00C12501" w:rsidP="006A6B2C">
      <w:pPr>
        <w:spacing w:line="276" w:lineRule="auto"/>
        <w:ind w:left="720"/>
        <w:rPr>
          <w:rFonts w:ascii="Arial" w:hAnsi="Arial" w:cs="Arial"/>
        </w:rPr>
      </w:pPr>
    </w:p>
    <w:p w:rsidR="00843147" w:rsidRPr="00BF2BFF" w:rsidRDefault="003058A5" w:rsidP="006A6B2C">
      <w:pPr>
        <w:spacing w:line="276" w:lineRule="auto"/>
        <w:ind w:left="720"/>
        <w:rPr>
          <w:rFonts w:ascii="Arial" w:hAnsi="Arial" w:cs="Arial"/>
        </w:rPr>
      </w:pPr>
      <w:r>
        <w:rPr>
          <w:rFonts w:ascii="Arial" w:hAnsi="Arial" w:cs="Arial"/>
        </w:rPr>
        <w:t>R</w:t>
      </w:r>
      <w:r w:rsidR="00C1741E" w:rsidRPr="00BF2BFF">
        <w:rPr>
          <w:rFonts w:ascii="Arial" w:hAnsi="Arial" w:cs="Arial"/>
        </w:rPr>
        <w:t xml:space="preserve">esponses </w:t>
      </w:r>
      <w:r w:rsidR="00CC6942" w:rsidRPr="00BF2BFF">
        <w:rPr>
          <w:rFonts w:ascii="Arial" w:hAnsi="Arial" w:cs="Arial"/>
        </w:rPr>
        <w:t xml:space="preserve">for each instrument were </w:t>
      </w:r>
      <w:r w:rsidR="00C12501">
        <w:rPr>
          <w:rFonts w:ascii="Arial" w:hAnsi="Arial" w:cs="Arial"/>
        </w:rPr>
        <w:t xml:space="preserve">also updated based on </w:t>
      </w:r>
      <w:r w:rsidR="00BF2BFF" w:rsidRPr="00BF2BFF">
        <w:rPr>
          <w:rFonts w:ascii="Arial" w:hAnsi="Arial" w:cs="Arial"/>
        </w:rPr>
        <w:t>actual usage</w:t>
      </w:r>
      <w:r w:rsidR="00C12501">
        <w:rPr>
          <w:rFonts w:ascii="Arial" w:hAnsi="Arial" w:cs="Arial"/>
        </w:rPr>
        <w:t>, resulting in reduction of 382 hours due to updated estimates</w:t>
      </w:r>
      <w:r w:rsidR="00BF2BFF" w:rsidRPr="00BF2BFF">
        <w:rPr>
          <w:rFonts w:ascii="Arial" w:hAnsi="Arial" w:cs="Arial"/>
        </w:rPr>
        <w:t xml:space="preserve">. </w:t>
      </w:r>
      <w:r w:rsidR="00C12501">
        <w:rPr>
          <w:rFonts w:ascii="Arial" w:hAnsi="Arial" w:cs="Arial"/>
        </w:rPr>
        <w:t xml:space="preserve">Combined, there is a </w:t>
      </w:r>
      <w:r w:rsidR="00BF2BFF" w:rsidRPr="00BF2BFF">
        <w:rPr>
          <w:rFonts w:ascii="Arial" w:hAnsi="Arial" w:cs="Arial"/>
          <w:color w:val="000000"/>
        </w:rPr>
        <w:t xml:space="preserve">decrease of 135 hours </w:t>
      </w:r>
      <w:r w:rsidR="00C12501">
        <w:rPr>
          <w:rFonts w:ascii="Arial" w:hAnsi="Arial" w:cs="Arial"/>
          <w:color w:val="000000"/>
        </w:rPr>
        <w:t>in the total burden requested in this ICR.</w:t>
      </w:r>
    </w:p>
    <w:p w:rsidR="00D50DBB" w:rsidRPr="00AA5F8E" w:rsidRDefault="00D50DBB" w:rsidP="006A6B2C">
      <w:pPr>
        <w:autoSpaceDE w:val="0"/>
        <w:autoSpaceDN w:val="0"/>
        <w:adjustRightInd w:val="0"/>
        <w:spacing w:line="276" w:lineRule="auto"/>
        <w:ind w:left="720"/>
        <w:rPr>
          <w:rFonts w:ascii="Arial" w:hAnsi="Arial" w:cs="Arial"/>
        </w:rPr>
      </w:pPr>
    </w:p>
    <w:p w:rsidR="00AA5F8E" w:rsidRDefault="00B952CD" w:rsidP="006A6B2C">
      <w:pPr>
        <w:numPr>
          <w:ilvl w:val="0"/>
          <w:numId w:val="6"/>
        </w:numPr>
        <w:autoSpaceDE w:val="0"/>
        <w:autoSpaceDN w:val="0"/>
        <w:adjustRightInd w:val="0"/>
        <w:spacing w:line="276" w:lineRule="auto"/>
        <w:rPr>
          <w:rFonts w:ascii="Arial" w:hAnsi="Arial" w:cs="Arial"/>
        </w:rPr>
      </w:pPr>
      <w:r w:rsidRPr="009D6BB9">
        <w:rPr>
          <w:rFonts w:ascii="Arial" w:hAnsi="Arial" w:cs="Arial"/>
          <w:b/>
          <w:bCs/>
        </w:rPr>
        <w:t>For collections of information whose results will be published, outline plans for tabulation and publication.</w:t>
      </w:r>
      <w:r w:rsidR="001110F7">
        <w:rPr>
          <w:rFonts w:ascii="Arial" w:hAnsi="Arial" w:cs="Arial"/>
        </w:rPr>
        <w:t xml:space="preserve">  </w:t>
      </w:r>
    </w:p>
    <w:p w:rsidR="009D6BB9" w:rsidRPr="009D6BB9" w:rsidRDefault="001110F7" w:rsidP="006A6B2C">
      <w:pPr>
        <w:autoSpaceDE w:val="0"/>
        <w:autoSpaceDN w:val="0"/>
        <w:adjustRightInd w:val="0"/>
        <w:spacing w:after="240" w:line="276" w:lineRule="auto"/>
        <w:ind w:left="720"/>
        <w:rPr>
          <w:rFonts w:ascii="Arial" w:hAnsi="Arial" w:cs="Arial"/>
        </w:rPr>
      </w:pPr>
      <w:r>
        <w:rPr>
          <w:rFonts w:ascii="Arial" w:hAnsi="Arial" w:cs="Arial"/>
        </w:rPr>
        <w:t xml:space="preserve">The results of the </w:t>
      </w:r>
      <w:r w:rsidR="00B952CD" w:rsidRPr="009D6BB9">
        <w:rPr>
          <w:rFonts w:ascii="Arial" w:hAnsi="Arial" w:cs="Arial"/>
        </w:rPr>
        <w:t>collection of this information will not be published for statistical use.</w:t>
      </w:r>
    </w:p>
    <w:p w:rsidR="0059434E" w:rsidRDefault="00B952CD" w:rsidP="006A6B2C">
      <w:pPr>
        <w:numPr>
          <w:ilvl w:val="0"/>
          <w:numId w:val="6"/>
        </w:numPr>
        <w:autoSpaceDE w:val="0"/>
        <w:autoSpaceDN w:val="0"/>
        <w:adjustRightInd w:val="0"/>
        <w:spacing w:line="276" w:lineRule="auto"/>
        <w:rPr>
          <w:rFonts w:ascii="Arial" w:hAnsi="Arial" w:cs="Arial"/>
        </w:rPr>
      </w:pPr>
      <w:r w:rsidRPr="009D6BB9">
        <w:rPr>
          <w:rFonts w:ascii="Arial" w:hAnsi="Arial" w:cs="Arial"/>
          <w:b/>
          <w:bCs/>
        </w:rPr>
        <w:t xml:space="preserve">If seeking approval to not display the expiration date for OMB approval of this information collection, what are the reasons that the display would be inappropriate? </w:t>
      </w:r>
      <w:r w:rsidRPr="009D6BB9">
        <w:rPr>
          <w:rFonts w:ascii="Arial" w:hAnsi="Arial" w:cs="Arial"/>
        </w:rPr>
        <w:t xml:space="preserve"> </w:t>
      </w:r>
    </w:p>
    <w:p w:rsidR="009D6BB9" w:rsidRPr="009D6BB9" w:rsidRDefault="00875DFE" w:rsidP="006A6B2C">
      <w:pPr>
        <w:autoSpaceDE w:val="0"/>
        <w:autoSpaceDN w:val="0"/>
        <w:adjustRightInd w:val="0"/>
        <w:spacing w:after="240" w:line="276" w:lineRule="auto"/>
        <w:ind w:left="720"/>
        <w:rPr>
          <w:rFonts w:ascii="Arial" w:hAnsi="Arial" w:cs="Arial"/>
        </w:rPr>
      </w:pPr>
      <w:r w:rsidRPr="009D6BB9">
        <w:rPr>
          <w:rFonts w:ascii="Arial" w:hAnsi="Arial" w:cs="Arial"/>
        </w:rPr>
        <w:t>T</w:t>
      </w:r>
      <w:r w:rsidR="00CB2A24" w:rsidRPr="009D6BB9">
        <w:rPr>
          <w:rFonts w:ascii="Arial" w:hAnsi="Arial" w:cs="Arial"/>
        </w:rPr>
        <w:t xml:space="preserve">he public interest will be better served by not </w:t>
      </w:r>
      <w:r w:rsidRPr="009D6BB9">
        <w:rPr>
          <w:rFonts w:ascii="Arial" w:hAnsi="Arial" w:cs="Arial"/>
        </w:rPr>
        <w:t>displaying</w:t>
      </w:r>
      <w:r w:rsidR="00CB2A24" w:rsidRPr="009D6BB9">
        <w:rPr>
          <w:rFonts w:ascii="Arial" w:hAnsi="Arial" w:cs="Arial"/>
        </w:rPr>
        <w:t xml:space="preserve"> an expiration date on </w:t>
      </w:r>
      <w:r w:rsidR="0007284C">
        <w:rPr>
          <w:rFonts w:ascii="Arial" w:hAnsi="Arial" w:cs="Arial"/>
        </w:rPr>
        <w:t>this series of forms</w:t>
      </w:r>
      <w:r w:rsidR="00CB2A24" w:rsidRPr="009D6BB9">
        <w:rPr>
          <w:rFonts w:ascii="Arial" w:hAnsi="Arial" w:cs="Arial"/>
        </w:rPr>
        <w:t>. The time period during which the current edition of the form</w:t>
      </w:r>
      <w:r w:rsidR="0007284C">
        <w:rPr>
          <w:rFonts w:ascii="Arial" w:hAnsi="Arial" w:cs="Arial"/>
        </w:rPr>
        <w:t>s</w:t>
      </w:r>
      <w:r w:rsidR="00CB2A24" w:rsidRPr="009D6BB9">
        <w:rPr>
          <w:rFonts w:ascii="Arial" w:hAnsi="Arial" w:cs="Arial"/>
        </w:rPr>
        <w:t xml:space="preserve"> will continue to be usable cannot be predicted.  It could easily span several cycles of review and OMB clearance renewal.  </w:t>
      </w:r>
      <w:r w:rsidR="0060189D" w:rsidRPr="009D6BB9">
        <w:rPr>
          <w:rFonts w:ascii="Arial" w:hAnsi="Arial" w:cs="Arial"/>
        </w:rPr>
        <w:t>Displaying the expiration date would make it necessary to</w:t>
      </w:r>
      <w:r w:rsidR="00993ED5" w:rsidRPr="009D6BB9">
        <w:rPr>
          <w:rFonts w:ascii="Arial" w:hAnsi="Arial" w:cs="Arial"/>
        </w:rPr>
        <w:t xml:space="preserve"> </w:t>
      </w:r>
      <w:r w:rsidR="0060189D" w:rsidRPr="009D6BB9">
        <w:rPr>
          <w:rFonts w:ascii="Arial" w:hAnsi="Arial" w:cs="Arial"/>
        </w:rPr>
        <w:t>updat</w:t>
      </w:r>
      <w:r w:rsidR="00993ED5" w:rsidRPr="009D6BB9">
        <w:rPr>
          <w:rFonts w:ascii="Arial" w:hAnsi="Arial" w:cs="Arial"/>
        </w:rPr>
        <w:t>e</w:t>
      </w:r>
      <w:r w:rsidR="0060189D" w:rsidRPr="009D6BB9">
        <w:rPr>
          <w:rFonts w:ascii="Arial" w:hAnsi="Arial" w:cs="Arial"/>
        </w:rPr>
        <w:t xml:space="preserve"> the electronic form and website where it is accessed</w:t>
      </w:r>
      <w:r w:rsidR="00993ED5" w:rsidRPr="009D6BB9">
        <w:rPr>
          <w:rFonts w:ascii="Arial" w:hAnsi="Arial" w:cs="Arial"/>
        </w:rPr>
        <w:t xml:space="preserve"> after each renewal. </w:t>
      </w:r>
      <w:r w:rsidR="008468D3" w:rsidRPr="009D6BB9">
        <w:rPr>
          <w:rFonts w:ascii="Arial" w:hAnsi="Arial" w:cs="Arial"/>
        </w:rPr>
        <w:t xml:space="preserve">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1E1D9F" w:rsidRDefault="00B952CD" w:rsidP="006A6B2C">
      <w:pPr>
        <w:numPr>
          <w:ilvl w:val="0"/>
          <w:numId w:val="6"/>
        </w:numPr>
        <w:autoSpaceDE w:val="0"/>
        <w:autoSpaceDN w:val="0"/>
        <w:adjustRightInd w:val="0"/>
        <w:spacing w:line="276" w:lineRule="auto"/>
        <w:rPr>
          <w:rFonts w:ascii="Arial" w:hAnsi="Arial" w:cs="Arial"/>
        </w:rPr>
      </w:pPr>
      <w:r w:rsidRPr="009D6BB9">
        <w:rPr>
          <w:rFonts w:ascii="Arial" w:hAnsi="Arial" w:cs="Arial"/>
          <w:b/>
          <w:bCs/>
        </w:rPr>
        <w:t>What are the exceptions to the certification</w:t>
      </w:r>
      <w:r w:rsidRPr="009D6BB9">
        <w:rPr>
          <w:rFonts w:ascii="Arial" w:hAnsi="Arial" w:cs="Arial"/>
        </w:rPr>
        <w:t xml:space="preserve"> </w:t>
      </w:r>
      <w:r w:rsidRPr="009D6BB9">
        <w:rPr>
          <w:rFonts w:ascii="Arial" w:hAnsi="Arial" w:cs="Arial"/>
          <w:b/>
          <w:bCs/>
        </w:rPr>
        <w:t xml:space="preserve">statement? </w:t>
      </w:r>
      <w:r w:rsidRPr="009D6BB9">
        <w:rPr>
          <w:rFonts w:ascii="Arial" w:hAnsi="Arial" w:cs="Arial"/>
        </w:rPr>
        <w:t xml:space="preserve"> </w:t>
      </w:r>
    </w:p>
    <w:p w:rsidR="00B952CD" w:rsidRPr="001E1D9F" w:rsidRDefault="001E1D9F" w:rsidP="006A6B2C">
      <w:pPr>
        <w:autoSpaceDE w:val="0"/>
        <w:autoSpaceDN w:val="0"/>
        <w:adjustRightInd w:val="0"/>
        <w:spacing w:after="240" w:line="276" w:lineRule="auto"/>
        <w:ind w:left="720"/>
        <w:rPr>
          <w:rFonts w:ascii="Arial" w:hAnsi="Arial" w:cs="Arial"/>
        </w:rPr>
      </w:pPr>
      <w:r w:rsidRPr="001E1D9F">
        <w:rPr>
          <w:rFonts w:ascii="Arial" w:hAnsi="Arial" w:cs="Arial"/>
        </w:rPr>
        <w:t xml:space="preserve">There are no exceptions to the certification statement. </w:t>
      </w:r>
    </w:p>
    <w:p w:rsidR="00B952CD" w:rsidRPr="009D6BB9" w:rsidRDefault="00B952CD" w:rsidP="006A6B2C">
      <w:pPr>
        <w:autoSpaceDE w:val="0"/>
        <w:autoSpaceDN w:val="0"/>
        <w:adjustRightInd w:val="0"/>
        <w:spacing w:line="276" w:lineRule="auto"/>
        <w:ind w:left="360" w:firstLine="660"/>
        <w:rPr>
          <w:rFonts w:ascii="Arial" w:hAnsi="Arial" w:cs="Arial"/>
        </w:rPr>
      </w:pPr>
    </w:p>
    <w:sectPr w:rsidR="00B952CD" w:rsidRPr="009D6BB9">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64508"/>
    <w:multiLevelType w:val="multilevel"/>
    <w:tmpl w:val="FBD848F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nsid w:val="14D602D7"/>
    <w:multiLevelType w:val="hybridMultilevel"/>
    <w:tmpl w:val="491C0F2A"/>
    <w:lvl w:ilvl="0" w:tplc="F01CF074">
      <w:start w:val="13"/>
      <w:numFmt w:val="decimal"/>
      <w:lvlText w:val="%1."/>
      <w:lvlJc w:val="left"/>
      <w:pPr>
        <w:tabs>
          <w:tab w:val="num" w:pos="1155"/>
        </w:tabs>
        <w:ind w:left="1155" w:hanging="720"/>
      </w:pPr>
      <w:rPr>
        <w:rFonts w:hint="default"/>
      </w:rPr>
    </w:lvl>
    <w:lvl w:ilvl="1" w:tplc="22B61F48">
      <w:start w:val="1"/>
      <w:numFmt w:val="lowerLetter"/>
      <w:lvlText w:val="%2."/>
      <w:lvlJc w:val="left"/>
      <w:pPr>
        <w:tabs>
          <w:tab w:val="num" w:pos="1740"/>
        </w:tabs>
        <w:ind w:left="1740" w:hanging="585"/>
      </w:pPr>
      <w:rPr>
        <w:rFonts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
    <w:nsid w:val="1AC7000C"/>
    <w:multiLevelType w:val="hybridMultilevel"/>
    <w:tmpl w:val="945E6B08"/>
    <w:lvl w:ilvl="0" w:tplc="197E4828">
      <w:start w:val="1"/>
      <w:numFmt w:val="decimal"/>
      <w:lvlText w:val="%1."/>
      <w:lvlJc w:val="left"/>
      <w:pPr>
        <w:tabs>
          <w:tab w:val="num" w:pos="795"/>
        </w:tabs>
        <w:ind w:left="795" w:hanging="43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EA2760C"/>
    <w:multiLevelType w:val="hybridMultilevel"/>
    <w:tmpl w:val="8018769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F094B4E"/>
    <w:multiLevelType w:val="hybridMultilevel"/>
    <w:tmpl w:val="4C6C3E3E"/>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FD36172"/>
    <w:multiLevelType w:val="hybridMultilevel"/>
    <w:tmpl w:val="5AF851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755DDD"/>
    <w:multiLevelType w:val="hybridMultilevel"/>
    <w:tmpl w:val="5C86E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C51B8D"/>
    <w:multiLevelType w:val="hybridMultilevel"/>
    <w:tmpl w:val="304E7C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4C119E4"/>
    <w:multiLevelType w:val="multilevel"/>
    <w:tmpl w:val="D286E5F0"/>
    <w:lvl w:ilvl="0">
      <w:start w:val="2"/>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9">
    <w:nsid w:val="6FD05D1E"/>
    <w:multiLevelType w:val="hybridMultilevel"/>
    <w:tmpl w:val="07CEDF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1"/>
  </w:num>
  <w:num w:numId="4">
    <w:abstractNumId w:val="8"/>
  </w:num>
  <w:num w:numId="5">
    <w:abstractNumId w:val="6"/>
  </w:num>
  <w:num w:numId="6">
    <w:abstractNumId w:val="5"/>
  </w:num>
  <w:num w:numId="7">
    <w:abstractNumId w:val="9"/>
  </w:num>
  <w:num w:numId="8">
    <w:abstractNumId w:val="4"/>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2CD"/>
    <w:rsid w:val="00024AA5"/>
    <w:rsid w:val="000348D1"/>
    <w:rsid w:val="0007284C"/>
    <w:rsid w:val="00087D52"/>
    <w:rsid w:val="00102C27"/>
    <w:rsid w:val="001110F7"/>
    <w:rsid w:val="00161FA3"/>
    <w:rsid w:val="0017417D"/>
    <w:rsid w:val="001E1D9F"/>
    <w:rsid w:val="00237B0D"/>
    <w:rsid w:val="00254DA5"/>
    <w:rsid w:val="00266915"/>
    <w:rsid w:val="002705F2"/>
    <w:rsid w:val="002922B9"/>
    <w:rsid w:val="002A2C59"/>
    <w:rsid w:val="002A6E7A"/>
    <w:rsid w:val="003058A5"/>
    <w:rsid w:val="0038687C"/>
    <w:rsid w:val="00390FE0"/>
    <w:rsid w:val="00392C1A"/>
    <w:rsid w:val="00393AB9"/>
    <w:rsid w:val="00420814"/>
    <w:rsid w:val="00422CD7"/>
    <w:rsid w:val="0044157D"/>
    <w:rsid w:val="00451EC0"/>
    <w:rsid w:val="004563E1"/>
    <w:rsid w:val="004A6478"/>
    <w:rsid w:val="004B720E"/>
    <w:rsid w:val="004C519B"/>
    <w:rsid w:val="004F0A09"/>
    <w:rsid w:val="00537C91"/>
    <w:rsid w:val="005405EA"/>
    <w:rsid w:val="00564CCA"/>
    <w:rsid w:val="00574184"/>
    <w:rsid w:val="0059434E"/>
    <w:rsid w:val="005F4D17"/>
    <w:rsid w:val="0060189D"/>
    <w:rsid w:val="00663593"/>
    <w:rsid w:val="006A6B2C"/>
    <w:rsid w:val="006B53D4"/>
    <w:rsid w:val="006F4762"/>
    <w:rsid w:val="00763A6C"/>
    <w:rsid w:val="008204EC"/>
    <w:rsid w:val="00842D45"/>
    <w:rsid w:val="00843147"/>
    <w:rsid w:val="008468D3"/>
    <w:rsid w:val="008566B9"/>
    <w:rsid w:val="00857BF9"/>
    <w:rsid w:val="00875DFE"/>
    <w:rsid w:val="008B1ADB"/>
    <w:rsid w:val="008C3513"/>
    <w:rsid w:val="009112C8"/>
    <w:rsid w:val="009839CC"/>
    <w:rsid w:val="00993ED5"/>
    <w:rsid w:val="009D6BB9"/>
    <w:rsid w:val="009E141E"/>
    <w:rsid w:val="00A41E97"/>
    <w:rsid w:val="00AA4806"/>
    <w:rsid w:val="00AA5F8E"/>
    <w:rsid w:val="00AA78FA"/>
    <w:rsid w:val="00AE5927"/>
    <w:rsid w:val="00B065AE"/>
    <w:rsid w:val="00B16959"/>
    <w:rsid w:val="00B27C51"/>
    <w:rsid w:val="00B952CD"/>
    <w:rsid w:val="00BB29A5"/>
    <w:rsid w:val="00BB4DF1"/>
    <w:rsid w:val="00BD37C6"/>
    <w:rsid w:val="00BF2BFF"/>
    <w:rsid w:val="00C12501"/>
    <w:rsid w:val="00C1741E"/>
    <w:rsid w:val="00C221BA"/>
    <w:rsid w:val="00C31ED4"/>
    <w:rsid w:val="00C37BD8"/>
    <w:rsid w:val="00C55763"/>
    <w:rsid w:val="00C9662D"/>
    <w:rsid w:val="00CB17B8"/>
    <w:rsid w:val="00CB2A24"/>
    <w:rsid w:val="00CB3831"/>
    <w:rsid w:val="00CC6942"/>
    <w:rsid w:val="00CE194F"/>
    <w:rsid w:val="00D43AAE"/>
    <w:rsid w:val="00D50DBB"/>
    <w:rsid w:val="00DC3008"/>
    <w:rsid w:val="00DD3BD4"/>
    <w:rsid w:val="00E010E1"/>
    <w:rsid w:val="00E07F59"/>
    <w:rsid w:val="00E450F2"/>
    <w:rsid w:val="00ED2205"/>
    <w:rsid w:val="00EF5428"/>
    <w:rsid w:val="00FC2BD9"/>
    <w:rsid w:val="00FE091E"/>
    <w:rsid w:val="00FE7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outlineLvl w:val="0"/>
    </w:pPr>
    <w:rPr>
      <w:rFonts w:ascii="Courier New" w:hAnsi="Courier New" w:cs="Courier Ne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autoSpaceDE w:val="0"/>
      <w:autoSpaceDN w:val="0"/>
      <w:adjustRightInd w:val="0"/>
      <w:ind w:left="360"/>
    </w:pPr>
    <w:rPr>
      <w:rFonts w:ascii="Courier" w:hAnsi="Courier"/>
    </w:rPr>
  </w:style>
  <w:style w:type="paragraph" w:styleId="BodyTextIndent2">
    <w:name w:val="Body Text Indent 2"/>
    <w:basedOn w:val="Normal"/>
    <w:semiHidden/>
    <w:pPr>
      <w:ind w:left="720"/>
    </w:pPr>
    <w:rPr>
      <w:rFonts w:ascii="Courier New" w:hAnsi="Courier New" w:cs="Courier New"/>
    </w:rPr>
  </w:style>
  <w:style w:type="character" w:styleId="CommentReference">
    <w:name w:val="annotation reference"/>
    <w:uiPriority w:val="99"/>
    <w:semiHidden/>
    <w:unhideWhenUsed/>
    <w:rsid w:val="00CB17B8"/>
    <w:rPr>
      <w:sz w:val="16"/>
      <w:szCs w:val="16"/>
    </w:rPr>
  </w:style>
  <w:style w:type="paragraph" w:styleId="CommentText">
    <w:name w:val="annotation text"/>
    <w:basedOn w:val="Normal"/>
    <w:link w:val="CommentTextChar"/>
    <w:uiPriority w:val="99"/>
    <w:semiHidden/>
    <w:unhideWhenUsed/>
    <w:rsid w:val="00CB17B8"/>
    <w:rPr>
      <w:sz w:val="20"/>
      <w:szCs w:val="20"/>
    </w:rPr>
  </w:style>
  <w:style w:type="character" w:customStyle="1" w:styleId="CommentTextChar">
    <w:name w:val="Comment Text Char"/>
    <w:basedOn w:val="DefaultParagraphFont"/>
    <w:link w:val="CommentText"/>
    <w:uiPriority w:val="99"/>
    <w:semiHidden/>
    <w:rsid w:val="00CB17B8"/>
  </w:style>
  <w:style w:type="paragraph" w:styleId="CommentSubject">
    <w:name w:val="annotation subject"/>
    <w:basedOn w:val="CommentText"/>
    <w:next w:val="CommentText"/>
    <w:link w:val="CommentSubjectChar"/>
    <w:uiPriority w:val="99"/>
    <w:semiHidden/>
    <w:unhideWhenUsed/>
    <w:rsid w:val="00CB17B8"/>
    <w:rPr>
      <w:b/>
      <w:bCs/>
    </w:rPr>
  </w:style>
  <w:style w:type="character" w:customStyle="1" w:styleId="CommentSubjectChar">
    <w:name w:val="Comment Subject Char"/>
    <w:link w:val="CommentSubject"/>
    <w:uiPriority w:val="99"/>
    <w:semiHidden/>
    <w:rsid w:val="00CB17B8"/>
    <w:rPr>
      <w:b/>
      <w:bCs/>
    </w:rPr>
  </w:style>
  <w:style w:type="paragraph" w:styleId="BalloonText">
    <w:name w:val="Balloon Text"/>
    <w:basedOn w:val="Normal"/>
    <w:link w:val="BalloonTextChar"/>
    <w:uiPriority w:val="99"/>
    <w:semiHidden/>
    <w:unhideWhenUsed/>
    <w:rsid w:val="00CB17B8"/>
    <w:rPr>
      <w:rFonts w:ascii="Tahoma" w:hAnsi="Tahoma" w:cs="Tahoma"/>
      <w:sz w:val="16"/>
      <w:szCs w:val="16"/>
    </w:rPr>
  </w:style>
  <w:style w:type="character" w:customStyle="1" w:styleId="BalloonTextChar">
    <w:name w:val="Balloon Text Char"/>
    <w:link w:val="BalloonText"/>
    <w:uiPriority w:val="99"/>
    <w:semiHidden/>
    <w:rsid w:val="00CB17B8"/>
    <w:rPr>
      <w:rFonts w:ascii="Tahoma" w:hAnsi="Tahoma" w:cs="Tahoma"/>
      <w:sz w:val="16"/>
      <w:szCs w:val="16"/>
    </w:rPr>
  </w:style>
  <w:style w:type="table" w:styleId="TableGrid">
    <w:name w:val="Table Grid"/>
    <w:basedOn w:val="TableNormal"/>
    <w:uiPriority w:val="59"/>
    <w:rsid w:val="00BB4DF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next w:val="Normal"/>
    <w:link w:val="SubtitleChar"/>
    <w:uiPriority w:val="11"/>
    <w:qFormat/>
    <w:rsid w:val="004F0A09"/>
    <w:pPr>
      <w:spacing w:after="60"/>
      <w:jc w:val="center"/>
      <w:outlineLvl w:val="1"/>
    </w:pPr>
    <w:rPr>
      <w:rFonts w:ascii="Cambria" w:hAnsi="Cambria"/>
    </w:rPr>
  </w:style>
  <w:style w:type="character" w:customStyle="1" w:styleId="SubtitleChar">
    <w:name w:val="Subtitle Char"/>
    <w:link w:val="Subtitle"/>
    <w:uiPriority w:val="11"/>
    <w:rsid w:val="004F0A09"/>
    <w:rPr>
      <w:rFonts w:ascii="Cambria" w:eastAsia="Times New Roman" w:hAnsi="Cambria" w:cs="Times New Roman"/>
      <w:sz w:val="24"/>
      <w:szCs w:val="24"/>
    </w:rPr>
  </w:style>
  <w:style w:type="character" w:styleId="Hyperlink">
    <w:name w:val="Hyperlink"/>
    <w:uiPriority w:val="99"/>
    <w:semiHidden/>
    <w:unhideWhenUsed/>
    <w:rsid w:val="00AA480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outlineLvl w:val="0"/>
    </w:pPr>
    <w:rPr>
      <w:rFonts w:ascii="Courier New" w:hAnsi="Courier New" w:cs="Courier Ne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autoSpaceDE w:val="0"/>
      <w:autoSpaceDN w:val="0"/>
      <w:adjustRightInd w:val="0"/>
      <w:ind w:left="360"/>
    </w:pPr>
    <w:rPr>
      <w:rFonts w:ascii="Courier" w:hAnsi="Courier"/>
    </w:rPr>
  </w:style>
  <w:style w:type="paragraph" w:styleId="BodyTextIndent2">
    <w:name w:val="Body Text Indent 2"/>
    <w:basedOn w:val="Normal"/>
    <w:semiHidden/>
    <w:pPr>
      <w:ind w:left="720"/>
    </w:pPr>
    <w:rPr>
      <w:rFonts w:ascii="Courier New" w:hAnsi="Courier New" w:cs="Courier New"/>
    </w:rPr>
  </w:style>
  <w:style w:type="character" w:styleId="CommentReference">
    <w:name w:val="annotation reference"/>
    <w:uiPriority w:val="99"/>
    <w:semiHidden/>
    <w:unhideWhenUsed/>
    <w:rsid w:val="00CB17B8"/>
    <w:rPr>
      <w:sz w:val="16"/>
      <w:szCs w:val="16"/>
    </w:rPr>
  </w:style>
  <w:style w:type="paragraph" w:styleId="CommentText">
    <w:name w:val="annotation text"/>
    <w:basedOn w:val="Normal"/>
    <w:link w:val="CommentTextChar"/>
    <w:uiPriority w:val="99"/>
    <w:semiHidden/>
    <w:unhideWhenUsed/>
    <w:rsid w:val="00CB17B8"/>
    <w:rPr>
      <w:sz w:val="20"/>
      <w:szCs w:val="20"/>
    </w:rPr>
  </w:style>
  <w:style w:type="character" w:customStyle="1" w:styleId="CommentTextChar">
    <w:name w:val="Comment Text Char"/>
    <w:basedOn w:val="DefaultParagraphFont"/>
    <w:link w:val="CommentText"/>
    <w:uiPriority w:val="99"/>
    <w:semiHidden/>
    <w:rsid w:val="00CB17B8"/>
  </w:style>
  <w:style w:type="paragraph" w:styleId="CommentSubject">
    <w:name w:val="annotation subject"/>
    <w:basedOn w:val="CommentText"/>
    <w:next w:val="CommentText"/>
    <w:link w:val="CommentSubjectChar"/>
    <w:uiPriority w:val="99"/>
    <w:semiHidden/>
    <w:unhideWhenUsed/>
    <w:rsid w:val="00CB17B8"/>
    <w:rPr>
      <w:b/>
      <w:bCs/>
    </w:rPr>
  </w:style>
  <w:style w:type="character" w:customStyle="1" w:styleId="CommentSubjectChar">
    <w:name w:val="Comment Subject Char"/>
    <w:link w:val="CommentSubject"/>
    <w:uiPriority w:val="99"/>
    <w:semiHidden/>
    <w:rsid w:val="00CB17B8"/>
    <w:rPr>
      <w:b/>
      <w:bCs/>
    </w:rPr>
  </w:style>
  <w:style w:type="paragraph" w:styleId="BalloonText">
    <w:name w:val="Balloon Text"/>
    <w:basedOn w:val="Normal"/>
    <w:link w:val="BalloonTextChar"/>
    <w:uiPriority w:val="99"/>
    <w:semiHidden/>
    <w:unhideWhenUsed/>
    <w:rsid w:val="00CB17B8"/>
    <w:rPr>
      <w:rFonts w:ascii="Tahoma" w:hAnsi="Tahoma" w:cs="Tahoma"/>
      <w:sz w:val="16"/>
      <w:szCs w:val="16"/>
    </w:rPr>
  </w:style>
  <w:style w:type="character" w:customStyle="1" w:styleId="BalloonTextChar">
    <w:name w:val="Balloon Text Char"/>
    <w:link w:val="BalloonText"/>
    <w:uiPriority w:val="99"/>
    <w:semiHidden/>
    <w:rsid w:val="00CB17B8"/>
    <w:rPr>
      <w:rFonts w:ascii="Tahoma" w:hAnsi="Tahoma" w:cs="Tahoma"/>
      <w:sz w:val="16"/>
      <w:szCs w:val="16"/>
    </w:rPr>
  </w:style>
  <w:style w:type="table" w:styleId="TableGrid">
    <w:name w:val="Table Grid"/>
    <w:basedOn w:val="TableNormal"/>
    <w:uiPriority w:val="59"/>
    <w:rsid w:val="00BB4DF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next w:val="Normal"/>
    <w:link w:val="SubtitleChar"/>
    <w:uiPriority w:val="11"/>
    <w:qFormat/>
    <w:rsid w:val="004F0A09"/>
    <w:pPr>
      <w:spacing w:after="60"/>
      <w:jc w:val="center"/>
      <w:outlineLvl w:val="1"/>
    </w:pPr>
    <w:rPr>
      <w:rFonts w:ascii="Cambria" w:hAnsi="Cambria"/>
    </w:rPr>
  </w:style>
  <w:style w:type="character" w:customStyle="1" w:styleId="SubtitleChar">
    <w:name w:val="Subtitle Char"/>
    <w:link w:val="Subtitle"/>
    <w:uiPriority w:val="11"/>
    <w:rsid w:val="004F0A09"/>
    <w:rPr>
      <w:rFonts w:ascii="Cambria" w:eastAsia="Times New Roman" w:hAnsi="Cambria" w:cs="Times New Roman"/>
      <w:sz w:val="24"/>
      <w:szCs w:val="24"/>
    </w:rPr>
  </w:style>
  <w:style w:type="character" w:styleId="Hyperlink">
    <w:name w:val="Hyperlink"/>
    <w:uiPriority w:val="99"/>
    <w:semiHidden/>
    <w:unhideWhenUsed/>
    <w:rsid w:val="00AA48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B16F0-3F5E-4C7F-9C02-A5063407F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1418</Words>
  <Characters>8086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Bureau of the Public Debt</Company>
  <LinksUpToDate>false</LinksUpToDate>
  <CharactersWithSpaces>9486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bmetz</dc:creator>
  <cp:keywords/>
  <cp:lastModifiedBy>SYSTEM</cp:lastModifiedBy>
  <cp:revision>2</cp:revision>
  <cp:lastPrinted>2013-08-01T14:50:00Z</cp:lastPrinted>
  <dcterms:created xsi:type="dcterms:W3CDTF">2018-06-19T16:26:00Z</dcterms:created>
  <dcterms:modified xsi:type="dcterms:W3CDTF">2018-06-19T16:26:00Z</dcterms:modified>
</cp:coreProperties>
</file>