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E074B" w14:textId="77777777" w:rsidR="00390E11" w:rsidRDefault="00390E11" w:rsidP="00390E11">
      <w:pPr>
        <w:pStyle w:val="CoverTextRed16pt"/>
        <w:ind w:left="5040"/>
        <w:rPr>
          <w:noProof/>
        </w:rPr>
      </w:pPr>
      <w:bookmarkStart w:id="0" w:name="_GoBack"/>
      <w:bookmarkEnd w:id="0"/>
      <w:r>
        <w:rPr>
          <w:noProof/>
        </w:rPr>
        <w:t>Supporting Statement</w:t>
      </w:r>
      <w:r w:rsidR="003D61A0">
        <w:rPr>
          <w:noProof/>
        </w:rPr>
        <w:t xml:space="preserve"> </w:t>
      </w:r>
      <w:r w:rsidR="00346731">
        <w:rPr>
          <w:noProof/>
        </w:rPr>
        <w:t>B</w:t>
      </w:r>
    </w:p>
    <w:p w14:paraId="06CAAF0D" w14:textId="77777777" w:rsidR="00982F78" w:rsidRDefault="00390E11" w:rsidP="00390E11">
      <w:pPr>
        <w:pStyle w:val="CoverTextRed16pt"/>
        <w:ind w:left="5040"/>
        <w:rPr>
          <w:noProof/>
        </w:rPr>
      </w:pPr>
      <w:r>
        <w:rPr>
          <w:noProof/>
        </w:rPr>
        <w:t xml:space="preserve">For the Paperwork Reduction Act of 1995: </w:t>
      </w:r>
      <w:r w:rsidR="00FE1796">
        <w:rPr>
          <w:noProof/>
        </w:rPr>
        <w:t xml:space="preserve">Request for an Extension </w:t>
      </w:r>
      <w:r>
        <w:rPr>
          <w:noProof/>
        </w:rPr>
        <w:t xml:space="preserve">for the </w:t>
      </w:r>
      <w:r w:rsidR="00FE1796">
        <w:rPr>
          <w:noProof/>
        </w:rPr>
        <w:t xml:space="preserve"> Six-Month </w:t>
      </w:r>
      <w:r w:rsidR="00B41A58">
        <w:rPr>
          <w:noProof/>
        </w:rPr>
        <w:t>Follow-up</w:t>
      </w:r>
      <w:r w:rsidR="00BE67EF">
        <w:rPr>
          <w:noProof/>
        </w:rPr>
        <w:t xml:space="preserve"> Survey</w:t>
      </w:r>
      <w:r>
        <w:rPr>
          <w:noProof/>
        </w:rPr>
        <w:t xml:space="preserve"> for </w:t>
      </w:r>
      <w:r w:rsidR="006B33B3">
        <w:rPr>
          <w:noProof/>
        </w:rPr>
        <w:t xml:space="preserve">the Job Search Assistance </w:t>
      </w:r>
      <w:r>
        <w:rPr>
          <w:noProof/>
        </w:rPr>
        <w:t>Strategies Evaluation</w:t>
      </w:r>
    </w:p>
    <w:p w14:paraId="28AA414B" w14:textId="77777777" w:rsidR="00982F78" w:rsidRDefault="00982F78" w:rsidP="00390E11">
      <w:pPr>
        <w:pStyle w:val="CoverTextRed16pt"/>
        <w:ind w:left="5040"/>
        <w:rPr>
          <w:noProof/>
        </w:rPr>
      </w:pPr>
    </w:p>
    <w:p w14:paraId="26979D3C" w14:textId="77777777" w:rsidR="00E248FD" w:rsidRDefault="00E248FD" w:rsidP="00390E11">
      <w:pPr>
        <w:pStyle w:val="CoverText-Address"/>
        <w:ind w:left="5040"/>
        <w:rPr>
          <w:noProof/>
        </w:rPr>
      </w:pPr>
    </w:p>
    <w:p w14:paraId="2177C91C" w14:textId="77777777" w:rsidR="00982F78" w:rsidRDefault="00982F78" w:rsidP="00390E11">
      <w:pPr>
        <w:pStyle w:val="CoverText-Address"/>
        <w:ind w:left="5040"/>
        <w:rPr>
          <w:noProof/>
        </w:rPr>
      </w:pPr>
    </w:p>
    <w:p w14:paraId="0B6B0780" w14:textId="77777777"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14:paraId="240B6230" w14:textId="77777777" w:rsidR="00982F78" w:rsidRDefault="00982F78" w:rsidP="00390E11">
      <w:pPr>
        <w:pStyle w:val="CoverText-Address"/>
        <w:ind w:left="5040"/>
      </w:pPr>
    </w:p>
    <w:p w14:paraId="63C2971D" w14:textId="77777777" w:rsidR="00982F78" w:rsidRDefault="00982F78" w:rsidP="00390E11">
      <w:pPr>
        <w:pStyle w:val="CoverText-Address"/>
        <w:ind w:left="5040"/>
        <w:rPr>
          <w:b/>
        </w:rPr>
      </w:pPr>
    </w:p>
    <w:p w14:paraId="3B2C1EE8" w14:textId="77777777" w:rsidR="00982F78" w:rsidRDefault="00982F78" w:rsidP="00390E11">
      <w:pPr>
        <w:pStyle w:val="CoverText-Address"/>
        <w:ind w:left="5040"/>
      </w:pPr>
    </w:p>
    <w:p w14:paraId="26AA8F49" w14:textId="77777777" w:rsidR="00982F78" w:rsidRDefault="00982F78" w:rsidP="00390E11">
      <w:pPr>
        <w:pStyle w:val="CoverText-Address"/>
        <w:ind w:left="5040"/>
      </w:pPr>
    </w:p>
    <w:p w14:paraId="7847B7A9" w14:textId="503A3871" w:rsidR="00982F78" w:rsidRDefault="00E4564E" w:rsidP="00390E11">
      <w:pPr>
        <w:pStyle w:val="CoverText-Address"/>
        <w:ind w:left="5040"/>
      </w:pPr>
      <w:r>
        <w:t>Revised</w:t>
      </w:r>
      <w:r w:rsidR="00D04727">
        <w:t xml:space="preserve"> January</w:t>
      </w:r>
      <w:r w:rsidR="008A223C">
        <w:t xml:space="preserve"> 201</w:t>
      </w:r>
      <w:r w:rsidR="00D04727">
        <w:t>8</w:t>
      </w:r>
    </w:p>
    <w:p w14:paraId="725DCDEB" w14:textId="77777777" w:rsidR="00982F78" w:rsidRPr="001E2CF1" w:rsidRDefault="00982F78" w:rsidP="00390E11">
      <w:pPr>
        <w:pStyle w:val="CoverText-Address"/>
        <w:ind w:left="5040"/>
      </w:pPr>
    </w:p>
    <w:p w14:paraId="13B1B692" w14:textId="77777777"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14:paraId="23B5BECE" w14:textId="77777777" w:rsidR="00982F78" w:rsidRPr="006620F6" w:rsidRDefault="00982F78" w:rsidP="00390E11">
      <w:pPr>
        <w:pStyle w:val="CoverText11pt"/>
        <w:ind w:left="5040"/>
        <w:rPr>
          <w:i w:val="0"/>
        </w:rPr>
      </w:pPr>
      <w:r w:rsidRPr="006620F6">
        <w:rPr>
          <w:i w:val="0"/>
        </w:rPr>
        <w:t>Submitted by:</w:t>
      </w:r>
    </w:p>
    <w:p w14:paraId="0E65AE6B" w14:textId="77777777" w:rsidR="00982F78" w:rsidRPr="006620F6" w:rsidRDefault="00982F78" w:rsidP="00390E11">
      <w:pPr>
        <w:pStyle w:val="CoverText11pt"/>
        <w:ind w:left="5040"/>
        <w:rPr>
          <w:i w:val="0"/>
        </w:rPr>
      </w:pPr>
      <w:r w:rsidRPr="006620F6">
        <w:rPr>
          <w:i w:val="0"/>
        </w:rPr>
        <w:t xml:space="preserve">Office of Planning, </w:t>
      </w:r>
      <w:r w:rsidRPr="006620F6">
        <w:rPr>
          <w:i w:val="0"/>
        </w:rPr>
        <w:br/>
        <w:t>Research &amp; Evaluation</w:t>
      </w:r>
    </w:p>
    <w:p w14:paraId="6DE10095" w14:textId="77777777" w:rsidR="00982F78" w:rsidRPr="00040851" w:rsidRDefault="00982F78" w:rsidP="00390E11">
      <w:pPr>
        <w:pStyle w:val="CoverText-Address"/>
        <w:ind w:left="5040"/>
      </w:pPr>
      <w:r w:rsidRPr="00040851">
        <w:t>Administration for Children &amp; Families</w:t>
      </w:r>
    </w:p>
    <w:p w14:paraId="6BE0396E" w14:textId="77777777" w:rsidR="00982F78" w:rsidRPr="00040851" w:rsidRDefault="00982F78" w:rsidP="00390E11">
      <w:pPr>
        <w:pStyle w:val="CoverText-Address"/>
        <w:ind w:left="5040"/>
      </w:pPr>
      <w:r w:rsidRPr="008A38E0">
        <w:t xml:space="preserve">U.S. Department of Health </w:t>
      </w:r>
      <w:r w:rsidRPr="008A38E0">
        <w:br/>
        <w:t>and Human Services</w:t>
      </w:r>
    </w:p>
    <w:p w14:paraId="140820FB" w14:textId="77777777" w:rsidR="00982F78" w:rsidRDefault="00982F78" w:rsidP="00390E11">
      <w:pPr>
        <w:pStyle w:val="CoverText-Address"/>
        <w:ind w:left="5040"/>
      </w:pPr>
    </w:p>
    <w:p w14:paraId="16E605F1" w14:textId="77777777" w:rsidR="00982F78" w:rsidRPr="003F3096" w:rsidRDefault="00982F78" w:rsidP="00390E11">
      <w:pPr>
        <w:pStyle w:val="CoverText-Address"/>
        <w:tabs>
          <w:tab w:val="left" w:pos="7050"/>
          <w:tab w:val="right" w:pos="9540"/>
        </w:tabs>
        <w:ind w:left="5040"/>
        <w:jc w:val="left"/>
      </w:pPr>
      <w:r w:rsidRPr="003F3096">
        <w:tab/>
      </w:r>
      <w:r w:rsidRPr="003F3096">
        <w:tab/>
      </w:r>
      <w:r w:rsidRPr="003F3096">
        <w:tab/>
      </w:r>
    </w:p>
    <w:p w14:paraId="117EB057" w14:textId="77777777" w:rsidR="00C10275" w:rsidRDefault="00C10275" w:rsidP="00390E11">
      <w:pPr>
        <w:pStyle w:val="CoverText-Address"/>
        <w:ind w:left="5040"/>
      </w:pPr>
      <w:r>
        <w:t>Federal Project Officer</w:t>
      </w:r>
    </w:p>
    <w:p w14:paraId="443FBF83" w14:textId="77777777" w:rsidR="00C10275" w:rsidRDefault="00E4564E" w:rsidP="00390E11">
      <w:pPr>
        <w:pStyle w:val="CoverText-Address"/>
        <w:ind w:left="5040"/>
      </w:pPr>
      <w:r>
        <w:t>Carli Wulff</w:t>
      </w:r>
    </w:p>
    <w:p w14:paraId="5CA2F07C" w14:textId="77777777" w:rsidR="004050EE" w:rsidRDefault="004050EE"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71F0B476" w14:textId="77777777" w:rsidR="00982F78" w:rsidRPr="00A178FC" w:rsidRDefault="00982F78" w:rsidP="00982F78">
      <w:pPr>
        <w:pStyle w:val="TOCHeader"/>
      </w:pPr>
      <w:r w:rsidRPr="00A178FC">
        <w:lastRenderedPageBreak/>
        <w:t>Table of Contents</w:t>
      </w:r>
    </w:p>
    <w:p w14:paraId="3A4816E4" w14:textId="77777777" w:rsidR="00B41A58" w:rsidRDefault="00040851">
      <w:pPr>
        <w:pStyle w:val="TOC1"/>
        <w:rPr>
          <w:rFonts w:asciiTheme="minorHAnsi" w:eastAsiaTheme="minorEastAsia" w:hAnsiTheme="minorHAnsi" w:cstheme="minorBidi"/>
          <w:b w:val="0"/>
          <w:szCs w:val="22"/>
        </w:rPr>
      </w:pPr>
      <w:r>
        <w:t xml:space="preserve">Part B: </w:t>
      </w:r>
      <w:r w:rsidR="004050EE">
        <w:fldChar w:fldCharType="begin"/>
      </w:r>
      <w:r w:rsidR="004050EE">
        <w:instrText xml:space="preserve"> TOC \o "1-2" \h \z \u </w:instrText>
      </w:r>
      <w:r w:rsidR="004050EE">
        <w:fldChar w:fldCharType="separate"/>
      </w:r>
      <w:hyperlink w:anchor="_Toc428371967" w:history="1">
        <w:r w:rsidR="00B41A58" w:rsidRPr="00D74C87">
          <w:rPr>
            <w:rStyle w:val="Hyperlink"/>
          </w:rPr>
          <w:t>Collection of Information Employing Statistical Methods</w:t>
        </w:r>
        <w:r w:rsidR="00B41A58">
          <w:rPr>
            <w:webHidden/>
          </w:rPr>
          <w:tab/>
        </w:r>
        <w:r w:rsidR="00B41A58">
          <w:rPr>
            <w:webHidden/>
          </w:rPr>
          <w:fldChar w:fldCharType="begin"/>
        </w:r>
        <w:r w:rsidR="00B41A58">
          <w:rPr>
            <w:webHidden/>
          </w:rPr>
          <w:instrText xml:space="preserve"> PAGEREF _Toc428371967 \h </w:instrText>
        </w:r>
        <w:r w:rsidR="00B41A58">
          <w:rPr>
            <w:webHidden/>
          </w:rPr>
        </w:r>
        <w:r w:rsidR="00B41A58">
          <w:rPr>
            <w:webHidden/>
          </w:rPr>
          <w:fldChar w:fldCharType="separate"/>
        </w:r>
        <w:r w:rsidR="004A6350">
          <w:rPr>
            <w:webHidden/>
          </w:rPr>
          <w:t>2</w:t>
        </w:r>
        <w:r w:rsidR="00B41A58">
          <w:rPr>
            <w:webHidden/>
          </w:rPr>
          <w:fldChar w:fldCharType="end"/>
        </w:r>
      </w:hyperlink>
    </w:p>
    <w:p w14:paraId="7AA304C3" w14:textId="77777777" w:rsidR="00B41A58" w:rsidRDefault="00B9713D">
      <w:pPr>
        <w:pStyle w:val="TOC2"/>
        <w:rPr>
          <w:rFonts w:asciiTheme="minorHAnsi" w:eastAsiaTheme="minorEastAsia" w:hAnsiTheme="minorHAnsi" w:cstheme="minorBidi"/>
          <w:szCs w:val="22"/>
        </w:rPr>
      </w:pPr>
      <w:hyperlink w:anchor="_Toc428371968" w:history="1">
        <w:r w:rsidR="00B41A58" w:rsidRPr="00D74C87">
          <w:rPr>
            <w:rStyle w:val="Hyperlink"/>
          </w:rPr>
          <w:t xml:space="preserve">B.1 </w:t>
        </w:r>
        <w:r w:rsidR="00B41A58">
          <w:rPr>
            <w:rFonts w:asciiTheme="minorHAnsi" w:eastAsiaTheme="minorEastAsia" w:hAnsiTheme="minorHAnsi" w:cstheme="minorBidi"/>
            <w:szCs w:val="22"/>
          </w:rPr>
          <w:tab/>
        </w:r>
        <w:r w:rsidR="00B41A58" w:rsidRPr="00D74C87">
          <w:rPr>
            <w:rStyle w:val="Hyperlink"/>
          </w:rPr>
          <w:t>Respondent Universe and Sampling Methods</w:t>
        </w:r>
        <w:r w:rsidR="00B41A58">
          <w:rPr>
            <w:webHidden/>
          </w:rPr>
          <w:tab/>
        </w:r>
        <w:r w:rsidR="00B41A58">
          <w:rPr>
            <w:webHidden/>
          </w:rPr>
          <w:fldChar w:fldCharType="begin"/>
        </w:r>
        <w:r w:rsidR="00B41A58">
          <w:rPr>
            <w:webHidden/>
          </w:rPr>
          <w:instrText xml:space="preserve"> PAGEREF _Toc428371968 \h </w:instrText>
        </w:r>
        <w:r w:rsidR="00B41A58">
          <w:rPr>
            <w:webHidden/>
          </w:rPr>
        </w:r>
        <w:r w:rsidR="00B41A58">
          <w:rPr>
            <w:webHidden/>
          </w:rPr>
          <w:fldChar w:fldCharType="separate"/>
        </w:r>
        <w:r w:rsidR="004A6350">
          <w:rPr>
            <w:webHidden/>
          </w:rPr>
          <w:t>2</w:t>
        </w:r>
        <w:r w:rsidR="00B41A58">
          <w:rPr>
            <w:webHidden/>
          </w:rPr>
          <w:fldChar w:fldCharType="end"/>
        </w:r>
      </w:hyperlink>
    </w:p>
    <w:p w14:paraId="5AFAA82C" w14:textId="77777777" w:rsidR="00B41A58" w:rsidRDefault="00B9713D">
      <w:pPr>
        <w:pStyle w:val="TOC2"/>
        <w:rPr>
          <w:rFonts w:asciiTheme="minorHAnsi" w:eastAsiaTheme="minorEastAsia" w:hAnsiTheme="minorHAnsi" w:cstheme="minorBidi"/>
          <w:szCs w:val="22"/>
        </w:rPr>
      </w:pPr>
      <w:hyperlink w:anchor="_Toc428371969" w:history="1">
        <w:r w:rsidR="00B41A58" w:rsidRPr="00D74C87">
          <w:rPr>
            <w:rStyle w:val="Hyperlink"/>
          </w:rPr>
          <w:t>B.2</w:t>
        </w:r>
        <w:r w:rsidR="00B41A58">
          <w:rPr>
            <w:rFonts w:asciiTheme="minorHAnsi" w:eastAsiaTheme="minorEastAsia" w:hAnsiTheme="minorHAnsi" w:cstheme="minorBidi"/>
            <w:szCs w:val="22"/>
          </w:rPr>
          <w:tab/>
        </w:r>
        <w:r w:rsidR="00B41A58" w:rsidRPr="00D74C87">
          <w:rPr>
            <w:rStyle w:val="Hyperlink"/>
          </w:rPr>
          <w:t>Procedures for Collection of Information</w:t>
        </w:r>
        <w:r w:rsidR="00B41A58">
          <w:rPr>
            <w:webHidden/>
          </w:rPr>
          <w:tab/>
        </w:r>
        <w:r w:rsidR="00B41A58">
          <w:rPr>
            <w:webHidden/>
          </w:rPr>
          <w:fldChar w:fldCharType="begin"/>
        </w:r>
        <w:r w:rsidR="00B41A58">
          <w:rPr>
            <w:webHidden/>
          </w:rPr>
          <w:instrText xml:space="preserve"> PAGEREF _Toc428371969 \h </w:instrText>
        </w:r>
        <w:r w:rsidR="00B41A58">
          <w:rPr>
            <w:webHidden/>
          </w:rPr>
        </w:r>
        <w:r w:rsidR="00B41A58">
          <w:rPr>
            <w:webHidden/>
          </w:rPr>
          <w:fldChar w:fldCharType="separate"/>
        </w:r>
        <w:r w:rsidR="004A6350">
          <w:rPr>
            <w:webHidden/>
          </w:rPr>
          <w:t>4</w:t>
        </w:r>
        <w:r w:rsidR="00B41A58">
          <w:rPr>
            <w:webHidden/>
          </w:rPr>
          <w:fldChar w:fldCharType="end"/>
        </w:r>
      </w:hyperlink>
    </w:p>
    <w:p w14:paraId="5D127939" w14:textId="77777777" w:rsidR="00B41A58" w:rsidRDefault="00B9713D">
      <w:pPr>
        <w:pStyle w:val="TOC2"/>
        <w:rPr>
          <w:rFonts w:asciiTheme="minorHAnsi" w:eastAsiaTheme="minorEastAsia" w:hAnsiTheme="minorHAnsi" w:cstheme="minorBidi"/>
          <w:szCs w:val="22"/>
        </w:rPr>
      </w:pPr>
      <w:hyperlink w:anchor="_Toc428371970" w:history="1">
        <w:r w:rsidR="00B41A58" w:rsidRPr="00D74C87">
          <w:rPr>
            <w:rStyle w:val="Hyperlink"/>
          </w:rPr>
          <w:t>B.3</w:t>
        </w:r>
        <w:r w:rsidR="00B41A58">
          <w:rPr>
            <w:rFonts w:asciiTheme="minorHAnsi" w:eastAsiaTheme="minorEastAsia" w:hAnsiTheme="minorHAnsi" w:cstheme="minorBidi"/>
            <w:szCs w:val="22"/>
          </w:rPr>
          <w:tab/>
        </w:r>
        <w:r w:rsidR="00B41A58" w:rsidRPr="00D74C87">
          <w:rPr>
            <w:rStyle w:val="Hyperlink"/>
          </w:rPr>
          <w:t>Methods to Maximize Response Rates and Address with Non-response</w:t>
        </w:r>
        <w:r w:rsidR="00B41A58">
          <w:rPr>
            <w:webHidden/>
          </w:rPr>
          <w:tab/>
        </w:r>
        <w:r w:rsidR="00B41A58">
          <w:rPr>
            <w:webHidden/>
          </w:rPr>
          <w:fldChar w:fldCharType="begin"/>
        </w:r>
        <w:r w:rsidR="00B41A58">
          <w:rPr>
            <w:webHidden/>
          </w:rPr>
          <w:instrText xml:space="preserve"> PAGEREF _Toc428371970 \h </w:instrText>
        </w:r>
        <w:r w:rsidR="00B41A58">
          <w:rPr>
            <w:webHidden/>
          </w:rPr>
        </w:r>
        <w:r w:rsidR="00B41A58">
          <w:rPr>
            <w:webHidden/>
          </w:rPr>
          <w:fldChar w:fldCharType="separate"/>
        </w:r>
        <w:r w:rsidR="004A6350">
          <w:rPr>
            <w:webHidden/>
          </w:rPr>
          <w:t>7</w:t>
        </w:r>
        <w:r w:rsidR="00B41A58">
          <w:rPr>
            <w:webHidden/>
          </w:rPr>
          <w:fldChar w:fldCharType="end"/>
        </w:r>
      </w:hyperlink>
    </w:p>
    <w:p w14:paraId="28C1665C" w14:textId="77777777" w:rsidR="00B41A58" w:rsidRDefault="00B9713D">
      <w:pPr>
        <w:pStyle w:val="TOC2"/>
        <w:rPr>
          <w:rFonts w:asciiTheme="minorHAnsi" w:eastAsiaTheme="minorEastAsia" w:hAnsiTheme="minorHAnsi" w:cstheme="minorBidi"/>
          <w:szCs w:val="22"/>
        </w:rPr>
      </w:pPr>
      <w:hyperlink w:anchor="_Toc428371971" w:history="1">
        <w:r w:rsidR="00B41A58" w:rsidRPr="00D74C87">
          <w:rPr>
            <w:rStyle w:val="Hyperlink"/>
          </w:rPr>
          <w:t>B.4</w:t>
        </w:r>
        <w:r w:rsidR="00B41A58">
          <w:rPr>
            <w:rFonts w:asciiTheme="minorHAnsi" w:eastAsiaTheme="minorEastAsia" w:hAnsiTheme="minorHAnsi" w:cstheme="minorBidi"/>
            <w:szCs w:val="22"/>
          </w:rPr>
          <w:tab/>
        </w:r>
        <w:r w:rsidR="00B41A58" w:rsidRPr="00D74C87">
          <w:rPr>
            <w:rStyle w:val="Hyperlink"/>
          </w:rPr>
          <w:t>Tests of Procedures or Methods to be Undertaken</w:t>
        </w:r>
        <w:r w:rsidR="00B41A58">
          <w:rPr>
            <w:webHidden/>
          </w:rPr>
          <w:tab/>
        </w:r>
        <w:r w:rsidR="00B41A58">
          <w:rPr>
            <w:webHidden/>
          </w:rPr>
          <w:fldChar w:fldCharType="begin"/>
        </w:r>
        <w:r w:rsidR="00B41A58">
          <w:rPr>
            <w:webHidden/>
          </w:rPr>
          <w:instrText xml:space="preserve"> PAGEREF _Toc428371971 \h </w:instrText>
        </w:r>
        <w:r w:rsidR="00B41A58">
          <w:rPr>
            <w:webHidden/>
          </w:rPr>
        </w:r>
        <w:r w:rsidR="00B41A58">
          <w:rPr>
            <w:webHidden/>
          </w:rPr>
          <w:fldChar w:fldCharType="separate"/>
        </w:r>
        <w:r w:rsidR="004A6350">
          <w:rPr>
            <w:webHidden/>
          </w:rPr>
          <w:t>9</w:t>
        </w:r>
        <w:r w:rsidR="00B41A58">
          <w:rPr>
            <w:webHidden/>
          </w:rPr>
          <w:fldChar w:fldCharType="end"/>
        </w:r>
      </w:hyperlink>
    </w:p>
    <w:p w14:paraId="1E80AB6B" w14:textId="77777777" w:rsidR="00B41A58" w:rsidRDefault="00B9713D">
      <w:pPr>
        <w:pStyle w:val="TOC2"/>
        <w:rPr>
          <w:rFonts w:asciiTheme="minorHAnsi" w:eastAsiaTheme="minorEastAsia" w:hAnsiTheme="minorHAnsi" w:cstheme="minorBidi"/>
          <w:szCs w:val="22"/>
        </w:rPr>
      </w:pPr>
      <w:hyperlink w:anchor="_Toc428371972" w:history="1">
        <w:r w:rsidR="00B41A58" w:rsidRPr="00D74C87">
          <w:rPr>
            <w:rStyle w:val="Hyperlink"/>
          </w:rPr>
          <w:t>B.5</w:t>
        </w:r>
        <w:r w:rsidR="00B41A58">
          <w:rPr>
            <w:rFonts w:asciiTheme="minorHAnsi" w:eastAsiaTheme="minorEastAsia" w:hAnsiTheme="minorHAnsi" w:cstheme="minorBidi"/>
            <w:szCs w:val="22"/>
          </w:rPr>
          <w:tab/>
        </w:r>
        <w:r w:rsidR="00B41A58" w:rsidRPr="00D74C87">
          <w:rPr>
            <w:rStyle w:val="Hyperlink"/>
          </w:rPr>
          <w:t>Individuals Consulted on Statistical Aspects of the Design</w:t>
        </w:r>
        <w:r w:rsidR="00B41A58">
          <w:rPr>
            <w:webHidden/>
          </w:rPr>
          <w:tab/>
        </w:r>
        <w:r w:rsidR="00B41A58">
          <w:rPr>
            <w:webHidden/>
          </w:rPr>
          <w:fldChar w:fldCharType="begin"/>
        </w:r>
        <w:r w:rsidR="00B41A58">
          <w:rPr>
            <w:webHidden/>
          </w:rPr>
          <w:instrText xml:space="preserve"> PAGEREF _Toc428371972 \h </w:instrText>
        </w:r>
        <w:r w:rsidR="00B41A58">
          <w:rPr>
            <w:webHidden/>
          </w:rPr>
        </w:r>
        <w:r w:rsidR="00B41A58">
          <w:rPr>
            <w:webHidden/>
          </w:rPr>
          <w:fldChar w:fldCharType="separate"/>
        </w:r>
        <w:r w:rsidR="004A6350">
          <w:rPr>
            <w:webHidden/>
          </w:rPr>
          <w:t>10</w:t>
        </w:r>
        <w:r w:rsidR="00B41A58">
          <w:rPr>
            <w:webHidden/>
          </w:rPr>
          <w:fldChar w:fldCharType="end"/>
        </w:r>
      </w:hyperlink>
    </w:p>
    <w:p w14:paraId="493CF319" w14:textId="77777777" w:rsidR="00B41A58" w:rsidRDefault="00B9713D">
      <w:pPr>
        <w:pStyle w:val="TOC2"/>
        <w:rPr>
          <w:rFonts w:asciiTheme="minorHAnsi" w:eastAsiaTheme="minorEastAsia" w:hAnsiTheme="minorHAnsi" w:cstheme="minorBidi"/>
          <w:szCs w:val="22"/>
        </w:rPr>
      </w:pPr>
      <w:hyperlink w:anchor="_Toc428371973" w:history="1">
        <w:r w:rsidR="00B41A58" w:rsidRPr="00D74C87">
          <w:rPr>
            <w:rStyle w:val="Hyperlink"/>
          </w:rPr>
          <w:t>References</w:t>
        </w:r>
        <w:r w:rsidR="00B41A58">
          <w:rPr>
            <w:webHidden/>
          </w:rPr>
          <w:tab/>
        </w:r>
        <w:r w:rsidR="00B41A58">
          <w:rPr>
            <w:webHidden/>
          </w:rPr>
          <w:fldChar w:fldCharType="begin"/>
        </w:r>
        <w:r w:rsidR="00B41A58">
          <w:rPr>
            <w:webHidden/>
          </w:rPr>
          <w:instrText xml:space="preserve"> PAGEREF _Toc428371973 \h </w:instrText>
        </w:r>
        <w:r w:rsidR="00B41A58">
          <w:rPr>
            <w:webHidden/>
          </w:rPr>
        </w:r>
        <w:r w:rsidR="00B41A58">
          <w:rPr>
            <w:webHidden/>
          </w:rPr>
          <w:fldChar w:fldCharType="separate"/>
        </w:r>
        <w:r w:rsidR="004A6350">
          <w:rPr>
            <w:webHidden/>
          </w:rPr>
          <w:t>11</w:t>
        </w:r>
        <w:r w:rsidR="00B41A58">
          <w:rPr>
            <w:webHidden/>
          </w:rPr>
          <w:fldChar w:fldCharType="end"/>
        </w:r>
      </w:hyperlink>
    </w:p>
    <w:p w14:paraId="4246EE02" w14:textId="77777777" w:rsidR="00A368E9" w:rsidRDefault="004050EE" w:rsidP="00A368E9">
      <w:pPr>
        <w:pStyle w:val="BodyText"/>
        <w:spacing w:before="240"/>
        <w:rPr>
          <w:b/>
          <w:sz w:val="24"/>
        </w:rPr>
      </w:pPr>
      <w:r>
        <w:fldChar w:fldCharType="end"/>
      </w:r>
      <w:r w:rsidR="00DC43E7" w:rsidRPr="00DC05EE">
        <w:rPr>
          <w:b/>
          <w:sz w:val="24"/>
        </w:rPr>
        <w:t xml:space="preserve"> </w:t>
      </w:r>
    </w:p>
    <w:p w14:paraId="36259A18" w14:textId="77777777" w:rsidR="00DB0407" w:rsidRDefault="00DB0407" w:rsidP="00DB0407">
      <w:pPr>
        <w:pStyle w:val="BodyText"/>
        <w:numPr>
          <w:ilvl w:val="0"/>
          <w:numId w:val="26"/>
        </w:numPr>
        <w:sectPr w:rsidR="00DB0407"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14:paraId="5B955C9D" w14:textId="77777777" w:rsidR="0072244E" w:rsidRDefault="00581EA6" w:rsidP="0072244E">
      <w:pPr>
        <w:pStyle w:val="Heading1"/>
        <w:rPr>
          <w:rFonts w:ascii="Calibri" w:hAnsi="Calibri" w:cs="Calibri"/>
          <w:sz w:val="22"/>
        </w:rPr>
      </w:pPr>
      <w:bookmarkStart w:id="1" w:name="_Toc354131250"/>
      <w:bookmarkStart w:id="2" w:name="_Toc428371967"/>
      <w:r>
        <w:lastRenderedPageBreak/>
        <w:t>Part B</w:t>
      </w:r>
      <w:r w:rsidR="008A38E0">
        <w:t>:</w:t>
      </w:r>
      <w:r>
        <w:t xml:space="preserve">  </w:t>
      </w:r>
      <w:r w:rsidR="009E0B0B">
        <w:t xml:space="preserve">Collection of Information Employing </w:t>
      </w:r>
      <w:r w:rsidR="0072244E">
        <w:t>Statistical Methods</w:t>
      </w:r>
      <w:bookmarkEnd w:id="1"/>
      <w:bookmarkEnd w:id="2"/>
    </w:p>
    <w:p w14:paraId="0C0EE155" w14:textId="77777777" w:rsidR="008767AC" w:rsidRDefault="00E4564E" w:rsidP="008767AC">
      <w:pPr>
        <w:pStyle w:val="BodyText"/>
      </w:pPr>
      <w:bookmarkStart w:id="3" w:name="_Toc322083615"/>
      <w:r>
        <w:t>I</w:t>
      </w:r>
      <w:r w:rsidR="008767AC">
        <w:t>n October 2013</w:t>
      </w:r>
      <w:r>
        <w:t xml:space="preserve">, the </w:t>
      </w:r>
      <w:r w:rsidR="008767AC">
        <w:t xml:space="preserve">JSA Evaluation </w:t>
      </w:r>
      <w:r>
        <w:t xml:space="preserve">received OMB approval for </w:t>
      </w:r>
      <w:r w:rsidR="008767AC" w:rsidRPr="00116679">
        <w:t>data collection instruments used as part of the field assessment and site selection process</w:t>
      </w:r>
      <w:r w:rsidR="008767AC">
        <w:t xml:space="preserve"> </w:t>
      </w:r>
      <w:r w:rsidR="008767AC" w:rsidRPr="00DA2CCC">
        <w:t xml:space="preserve">(OMB No. </w:t>
      </w:r>
      <w:r w:rsidR="008767AC">
        <w:t>0970-0440</w:t>
      </w:r>
      <w:r w:rsidR="008767AC" w:rsidRPr="00DA2CCC">
        <w:t>)</w:t>
      </w:r>
      <w:r w:rsidR="000B4A27" w:rsidRPr="00DA2CCC">
        <w:t xml:space="preserve">.  </w:t>
      </w:r>
      <w:r w:rsidR="008767AC" w:rsidRPr="00DA2CCC">
        <w:t xml:space="preserve">Instruments approved in that </w:t>
      </w:r>
      <w:r w:rsidR="00390143">
        <w:t xml:space="preserve">earlier </w:t>
      </w:r>
      <w:r w:rsidR="008767AC" w:rsidRPr="00DA2CCC">
        <w:t xml:space="preserve">submission included </w:t>
      </w:r>
      <w:r w:rsidR="008767AC">
        <w:t xml:space="preserve">the </w:t>
      </w:r>
      <w:r w:rsidR="008767AC" w:rsidRPr="0075046F">
        <w:rPr>
          <w:i/>
        </w:rPr>
        <w:t>Discussion Guide for Researchers and Policy Experts</w:t>
      </w:r>
      <w:r w:rsidR="008767AC">
        <w:t xml:space="preserve">, the </w:t>
      </w:r>
      <w:r w:rsidR="008767AC" w:rsidRPr="0075046F">
        <w:rPr>
          <w:i/>
        </w:rPr>
        <w:t>Discussion Guide for State and Local TANF Administrators</w:t>
      </w:r>
      <w:r w:rsidR="008767AC">
        <w:t xml:space="preserve">, and the </w:t>
      </w:r>
      <w:r w:rsidR="008767AC" w:rsidRPr="0075046F">
        <w:rPr>
          <w:i/>
        </w:rPr>
        <w:t>Discussion Guide for Program Staff</w:t>
      </w:r>
      <w:r w:rsidR="008767AC" w:rsidRPr="00DA2CCC">
        <w:t xml:space="preserve">. </w:t>
      </w:r>
      <w:r w:rsidR="00014D1A">
        <w:t xml:space="preserve">Data collection with these previously approved instruments is complete. </w:t>
      </w:r>
      <w:r w:rsidR="001E1690">
        <w:t xml:space="preserve">OMB approved the next set of data collection forms—the </w:t>
      </w:r>
      <w:r w:rsidR="001E1690" w:rsidRPr="001E1690">
        <w:rPr>
          <w:i/>
        </w:rPr>
        <w:t>Baseline Information Form, Staff Surveys, and Implementation Study Site Visit Guides</w:t>
      </w:r>
      <w:r w:rsidR="001E1690">
        <w:t xml:space="preserve">—under the same </w:t>
      </w:r>
      <w:r w:rsidR="00BB67FC">
        <w:t xml:space="preserve">control </w:t>
      </w:r>
      <w:r w:rsidR="001E1690">
        <w:t xml:space="preserve">number on November 30, 2014.  </w:t>
      </w:r>
      <w:r w:rsidR="00543FC3">
        <w:t xml:space="preserve">In February 2016, </w:t>
      </w:r>
      <w:r w:rsidR="00543FC3" w:rsidRPr="00EF282A">
        <w:t xml:space="preserve">OMB provided approval for three additional data collection efforts related to a follow-up survey data administered to sample members – the </w:t>
      </w:r>
      <w:r w:rsidR="00543FC3" w:rsidRPr="00EF282A">
        <w:rPr>
          <w:i/>
        </w:rPr>
        <w:t>Contact Update Form</w:t>
      </w:r>
      <w:r w:rsidR="00543FC3" w:rsidRPr="00EF282A">
        <w:t xml:space="preserve">, </w:t>
      </w:r>
      <w:r w:rsidR="00543FC3" w:rsidRPr="00EF282A">
        <w:rPr>
          <w:i/>
        </w:rPr>
        <w:t>Interim Tracking Surveys</w:t>
      </w:r>
      <w:r w:rsidR="00543FC3" w:rsidRPr="00EF282A">
        <w:t xml:space="preserve">, and the </w:t>
      </w:r>
      <w:r w:rsidR="00543FC3" w:rsidRPr="00EF282A">
        <w:rPr>
          <w:i/>
        </w:rPr>
        <w:t>JSA six-month follow-up survey instrument</w:t>
      </w:r>
      <w:r w:rsidR="00543FC3" w:rsidRPr="00EF282A">
        <w:t xml:space="preserve"> – under the same approval number.</w:t>
      </w:r>
      <w:r w:rsidR="00543FC3">
        <w:t xml:space="preserve">  </w:t>
      </w:r>
      <w:r w:rsidR="00543FC3" w:rsidRPr="00EF282A">
        <w:t xml:space="preserve">Approval for these activities expires on February 28, 2018.  </w:t>
      </w:r>
      <w:r w:rsidR="00543FC3">
        <w:t xml:space="preserve">  </w:t>
      </w:r>
    </w:p>
    <w:p w14:paraId="31E73BBE" w14:textId="77777777" w:rsidR="00581EA6" w:rsidRDefault="00581EA6" w:rsidP="00581EA6">
      <w:pPr>
        <w:pStyle w:val="BodyText"/>
      </w:pPr>
      <w:r>
        <w:t xml:space="preserve">This submission seeks OMB approval for </w:t>
      </w:r>
      <w:r w:rsidR="00543FC3">
        <w:t>the continuation of</w:t>
      </w:r>
      <w:r w:rsidR="00FD5B23">
        <w:t xml:space="preserve"> the</w:t>
      </w:r>
      <w:r w:rsidR="00543FC3">
        <w:t xml:space="preserve"> JSA six-month follow-up survey instrument.  </w:t>
      </w:r>
      <w:r w:rsidR="00543FC3" w:rsidRPr="00EF282A">
        <w:t>All other information collection under 0970-0440 will be complete by the original OMB expiration date of February 28, 2018.</w:t>
      </w:r>
      <w:r w:rsidR="00543FC3">
        <w:t xml:space="preserve">  The extension to the follow-up survey is needed because the study enrollment period was lengthier than planned; the</w:t>
      </w:r>
      <w:r w:rsidR="00543FC3" w:rsidRPr="00EF282A">
        <w:t xml:space="preserve"> enrollment period was originally estimated to span 12 months, </w:t>
      </w:r>
      <w:r w:rsidR="00543FC3">
        <w:t xml:space="preserve">but </w:t>
      </w:r>
      <w:r w:rsidR="00543FC3" w:rsidRPr="00EF282A">
        <w:t xml:space="preserve">it took 18 months to complete enrollment, leaving insufficient time to complete the </w:t>
      </w:r>
      <w:r w:rsidR="00543FC3">
        <w:t>six</w:t>
      </w:r>
      <w:r w:rsidR="00543FC3" w:rsidRPr="00EF282A">
        <w:t xml:space="preserve">-month follow-up survey.  </w:t>
      </w:r>
      <w:r w:rsidR="00543FC3">
        <w:t>This submission is requesting a</w:t>
      </w:r>
      <w:r w:rsidR="00543FC3" w:rsidRPr="00EF282A">
        <w:t xml:space="preserve"> four-month extension in order to allow individuals randomly assigned between June and August 2017 to complete the follow-up survey in the same timeframe as earlier enrollees.</w:t>
      </w:r>
      <w:r w:rsidR="00543FC3">
        <w:t xml:space="preserve">  </w:t>
      </w:r>
      <w:r>
        <w:t xml:space="preserve"> </w:t>
      </w:r>
    </w:p>
    <w:p w14:paraId="0EEBB4E7" w14:textId="2575E698" w:rsidR="00543FC3" w:rsidRDefault="00543FC3" w:rsidP="00D04727">
      <w:pPr>
        <w:pStyle w:val="BodyText"/>
      </w:pPr>
      <w:r w:rsidRPr="00CC00BF">
        <w:t xml:space="preserve">The purpose of the survey is to document </w:t>
      </w:r>
      <w:r>
        <w:t>study participants’</w:t>
      </w:r>
      <w:r w:rsidRPr="00CC00BF">
        <w:t xml:space="preserve"> </w:t>
      </w:r>
      <w:r>
        <w:t xml:space="preserve">JSA service receipt and </w:t>
      </w:r>
      <w:r w:rsidRPr="00CC00BF">
        <w:t>experiences</w:t>
      </w:r>
      <w:r>
        <w:t>.  Specifically, the survey will measure</w:t>
      </w:r>
      <w:r w:rsidRPr="00CC00BF">
        <w:t xml:space="preserve"> receipt of</w:t>
      </w:r>
      <w:r>
        <w:t xml:space="preserve"> JSA services;</w:t>
      </w:r>
      <w:r w:rsidRPr="00CC00BF">
        <w:t xml:space="preserve"> </w:t>
      </w:r>
      <w:r>
        <w:t xml:space="preserve">participant </w:t>
      </w:r>
      <w:r w:rsidRPr="00CC00BF">
        <w:t>knowledge and ski</w:t>
      </w:r>
      <w:r>
        <w:t>lls for conducting a job search;</w:t>
      </w:r>
      <w:r w:rsidRPr="00CC00BF">
        <w:t xml:space="preserve"> the nature of their job search process, including tools and ser</w:t>
      </w:r>
      <w:r>
        <w:t>vices used to locate employment;</w:t>
      </w:r>
      <w:r w:rsidRPr="00CC00BF">
        <w:t xml:space="preserve"> and their </w:t>
      </w:r>
      <w:r>
        <w:t xml:space="preserve">job </w:t>
      </w:r>
      <w:r w:rsidRPr="00CC00BF">
        <w:t>search outputs and outcomes</w:t>
      </w:r>
      <w:r>
        <w:t xml:space="preserve"> (e.g., </w:t>
      </w:r>
      <w:r w:rsidRPr="00CC00BF">
        <w:t>the number of applications submitted, interviews attended, offers received and jobs obtained</w:t>
      </w:r>
      <w:r>
        <w:t>)</w:t>
      </w:r>
      <w:r w:rsidRPr="00CC00BF">
        <w:t xml:space="preserve">. </w:t>
      </w:r>
    </w:p>
    <w:p w14:paraId="0387C356" w14:textId="77777777" w:rsidR="00581EA6" w:rsidRDefault="00543FC3" w:rsidP="00543FC3">
      <w:pPr>
        <w:pStyle w:val="Bullets"/>
        <w:numPr>
          <w:ilvl w:val="0"/>
          <w:numId w:val="0"/>
        </w:numPr>
        <w:spacing w:after="180"/>
      </w:pPr>
      <w:r>
        <w:t xml:space="preserve">The </w:t>
      </w:r>
      <w:r w:rsidR="00581EA6" w:rsidRPr="00543FC3">
        <w:t>JSA six-month follow-up survey</w:t>
      </w:r>
      <w:r w:rsidR="00581EA6">
        <w:t xml:space="preserve">, administered to sample members by telephone, will be a key source for outcomes of interest in the JSA Evaluation.  </w:t>
      </w:r>
      <w:r w:rsidR="00581EA6" w:rsidRPr="003621F9">
        <w:rPr>
          <w:rFonts w:cs="Arial"/>
        </w:rPr>
        <w:t>While the principal sou</w:t>
      </w:r>
      <w:r w:rsidR="00581EA6">
        <w:rPr>
          <w:rFonts w:cs="Arial"/>
        </w:rPr>
        <w:t>rce of employment and earnings data for the</w:t>
      </w:r>
      <w:r w:rsidR="00581EA6" w:rsidRPr="003621F9">
        <w:rPr>
          <w:rFonts w:cs="Arial"/>
        </w:rPr>
        <w:t xml:space="preserve"> impact study</w:t>
      </w:r>
      <w:r w:rsidR="00581EA6">
        <w:rPr>
          <w:rFonts w:cs="Arial"/>
        </w:rPr>
        <w:t xml:space="preserve"> is quarterly Unemployment Insurance</w:t>
      </w:r>
      <w:r w:rsidR="00581EA6" w:rsidRPr="003621F9">
        <w:rPr>
          <w:rFonts w:cs="Arial"/>
        </w:rPr>
        <w:t xml:space="preserve"> records </w:t>
      </w:r>
      <w:r w:rsidR="00581EA6">
        <w:rPr>
          <w:rFonts w:cs="Arial"/>
        </w:rPr>
        <w:t>from the National Directory of New Hires (NDNH) (maintained by the Office of Child Support Enforcement (OCSE) at HHS), this</w:t>
      </w:r>
      <w:r w:rsidR="00581EA6" w:rsidRPr="003621F9">
        <w:rPr>
          <w:rFonts w:cs="Arial"/>
        </w:rPr>
        <w:t xml:space="preserve"> follow-up survey will provide critical information on additional </w:t>
      </w:r>
      <w:r w:rsidR="00581EA6">
        <w:rPr>
          <w:rFonts w:cs="Arial"/>
        </w:rPr>
        <w:t xml:space="preserve">measures of interest.  </w:t>
      </w:r>
      <w:r w:rsidR="00581EA6" w:rsidRPr="0039437B">
        <w:rPr>
          <w:rFonts w:cs="Arial"/>
        </w:rPr>
        <w:t xml:space="preserve">This includes </w:t>
      </w:r>
      <w:r w:rsidR="00581EA6">
        <w:rPr>
          <w:rFonts w:cs="Arial"/>
        </w:rPr>
        <w:t>the content, mode,</w:t>
      </w:r>
      <w:r w:rsidR="00581EA6" w:rsidRPr="0039437B">
        <w:rPr>
          <w:rFonts w:cs="Arial"/>
        </w:rPr>
        <w:t xml:space="preserve"> and </w:t>
      </w:r>
      <w:r w:rsidR="00581EA6">
        <w:rPr>
          <w:rFonts w:cs="Arial"/>
        </w:rPr>
        <w:t>duration</w:t>
      </w:r>
      <w:r w:rsidR="00581EA6" w:rsidRPr="0039437B">
        <w:rPr>
          <w:rFonts w:cs="Arial"/>
        </w:rPr>
        <w:t xml:space="preserve"> of </w:t>
      </w:r>
      <w:r>
        <w:rPr>
          <w:rFonts w:cs="Arial"/>
        </w:rPr>
        <w:t>JSA</w:t>
      </w:r>
      <w:r w:rsidR="00581EA6">
        <w:rPr>
          <w:rFonts w:cs="Arial"/>
        </w:rPr>
        <w:t xml:space="preserve"> services received;</w:t>
      </w:r>
      <w:r w:rsidR="00581EA6" w:rsidRPr="0039437B">
        <w:rPr>
          <w:rFonts w:cs="Arial"/>
        </w:rPr>
        <w:t xml:space="preserve"> job characteristics related to job quality (e.g.</w:t>
      </w:r>
      <w:r w:rsidR="00581EA6">
        <w:rPr>
          <w:rFonts w:cs="Arial"/>
        </w:rPr>
        <w:t xml:space="preserve"> wage, benefits, and schedule); factors affecting the ability to work; public benefit receipt beyond TANF; </w:t>
      </w:r>
      <w:r w:rsidR="00581EA6" w:rsidRPr="0039437B">
        <w:rPr>
          <w:rFonts w:cs="Arial"/>
        </w:rPr>
        <w:t>and household income</w:t>
      </w:r>
      <w:r w:rsidR="00581EA6" w:rsidRPr="0039437B">
        <w:t>.</w:t>
      </w:r>
      <w:r w:rsidR="00581EA6">
        <w:t xml:space="preserve">  </w:t>
      </w:r>
      <w:r>
        <w:t>Evaluators will use the s</w:t>
      </w:r>
      <w:r w:rsidR="00581EA6">
        <w:t xml:space="preserve">urvey results in both the impact study, to collect data on key outcomes, and the implementation study, to document the JSA services received.  </w:t>
      </w:r>
    </w:p>
    <w:p w14:paraId="0A5D5D50" w14:textId="77777777" w:rsidR="0072244E" w:rsidRDefault="0072244E" w:rsidP="0072244E">
      <w:pPr>
        <w:pStyle w:val="Heading2"/>
      </w:pPr>
      <w:bookmarkStart w:id="4" w:name="_Toc354131251"/>
      <w:bookmarkStart w:id="5" w:name="_Toc428371968"/>
      <w:r>
        <w:t xml:space="preserve">B.1 </w:t>
      </w:r>
      <w:r>
        <w:tab/>
        <w:t>Respondent Universe and Sampl</w:t>
      </w:r>
      <w:bookmarkEnd w:id="3"/>
      <w:r>
        <w:t>ing Methods</w:t>
      </w:r>
      <w:bookmarkEnd w:id="4"/>
      <w:bookmarkEnd w:id="5"/>
      <w:r>
        <w:t xml:space="preserve"> </w:t>
      </w:r>
    </w:p>
    <w:p w14:paraId="3AD179D7" w14:textId="77777777" w:rsidR="0072244E" w:rsidRDefault="001027F4" w:rsidP="0072244E">
      <w:pPr>
        <w:pStyle w:val="BodyText"/>
      </w:pPr>
      <w:bookmarkStart w:id="6" w:name="_Toc354131252"/>
      <w:r>
        <w:t xml:space="preserve">The respondent universe for this study reflects the sites chosen for the JSA Evaluation and </w:t>
      </w:r>
      <w:r w:rsidR="007F4E51">
        <w:t>the cash assistance</w:t>
      </w:r>
      <w:r>
        <w:t xml:space="preserve"> </w:t>
      </w:r>
      <w:r w:rsidR="007F4E51">
        <w:t>app</w:t>
      </w:r>
      <w:r w:rsidR="006B33B3">
        <w:t>licants and recipients</w:t>
      </w:r>
      <w:r>
        <w:t xml:space="preserve"> </w:t>
      </w:r>
      <w:r w:rsidR="007F4E51">
        <w:t xml:space="preserve">enrolled </w:t>
      </w:r>
      <w:r>
        <w:t>into the study in th</w:t>
      </w:r>
      <w:r w:rsidR="007F4E51">
        <w:t>ese</w:t>
      </w:r>
      <w:r>
        <w:t xml:space="preserve"> sites.  S</w:t>
      </w:r>
      <w:r w:rsidR="0072244E">
        <w:t>ite selection</w:t>
      </w:r>
      <w:r>
        <w:t xml:space="preserve"> criteria for the </w:t>
      </w:r>
      <w:r w:rsidR="00AD03B2">
        <w:t xml:space="preserve">impact </w:t>
      </w:r>
      <w:r>
        <w:t xml:space="preserve">study </w:t>
      </w:r>
      <w:r w:rsidR="0081608E">
        <w:t>include</w:t>
      </w:r>
      <w:r w:rsidR="007F4E51">
        <w:t>d</w:t>
      </w:r>
      <w:r w:rsidR="0072244E">
        <w:t>:</w:t>
      </w:r>
    </w:p>
    <w:p w14:paraId="113BF44A" w14:textId="77777777" w:rsidR="0072244E" w:rsidRPr="0075046F" w:rsidRDefault="0072244E" w:rsidP="0075046F">
      <w:pPr>
        <w:pStyle w:val="Bullets"/>
      </w:pPr>
      <w:r w:rsidRPr="0075046F">
        <w:t xml:space="preserve">Willingness to operate two </w:t>
      </w:r>
      <w:r w:rsidR="006B33B3">
        <w:t>J</w:t>
      </w:r>
      <w:r w:rsidRPr="0075046F">
        <w:t xml:space="preserve">SA </w:t>
      </w:r>
      <w:r w:rsidR="007F4E51">
        <w:t>approaches</w:t>
      </w:r>
      <w:r w:rsidRPr="0075046F">
        <w:t xml:space="preserve"> simultaneously</w:t>
      </w:r>
      <w:r w:rsidR="00460CF6">
        <w:t>;</w:t>
      </w:r>
    </w:p>
    <w:p w14:paraId="441783CA" w14:textId="77777777" w:rsidR="0072244E" w:rsidRPr="0075046F" w:rsidRDefault="0072244E" w:rsidP="0075046F">
      <w:pPr>
        <w:pStyle w:val="Bullets"/>
      </w:pPr>
      <w:r w:rsidRPr="0075046F">
        <w:t xml:space="preserve">Willingness to allow a random assignment lottery to determine which individuals </w:t>
      </w:r>
      <w:r w:rsidR="001027F4">
        <w:t xml:space="preserve">participate in </w:t>
      </w:r>
      <w:r w:rsidRPr="0075046F">
        <w:t xml:space="preserve"> which model</w:t>
      </w:r>
      <w:r w:rsidR="00460CF6">
        <w:t>;</w:t>
      </w:r>
    </w:p>
    <w:p w14:paraId="5527AC1B" w14:textId="77777777" w:rsidR="00741F30" w:rsidRPr="0075046F" w:rsidRDefault="0072244E" w:rsidP="0075046F">
      <w:pPr>
        <w:pStyle w:val="Bullets"/>
      </w:pPr>
      <w:r w:rsidRPr="0075046F">
        <w:t xml:space="preserve">Ability to conduct random assignment for a relatively large number </w:t>
      </w:r>
      <w:r w:rsidR="007F4E51">
        <w:t xml:space="preserve">of cash assistance </w:t>
      </w:r>
      <w:r w:rsidR="001027F4">
        <w:t xml:space="preserve">applicants </w:t>
      </w:r>
      <w:r w:rsidR="00A00411">
        <w:t>and/</w:t>
      </w:r>
      <w:r w:rsidR="001027F4">
        <w:t>or</w:t>
      </w:r>
      <w:r w:rsidRPr="0075046F">
        <w:t xml:space="preserve"> recipients</w:t>
      </w:r>
      <w:r w:rsidR="007B1063">
        <w:t xml:space="preserve"> (at least 1</w:t>
      </w:r>
      <w:r w:rsidR="001027F4">
        <w:t>,</w:t>
      </w:r>
      <w:r w:rsidR="007B1063">
        <w:t>000</w:t>
      </w:r>
      <w:r w:rsidR="001027F4">
        <w:t xml:space="preserve"> in each site</w:t>
      </w:r>
      <w:r w:rsidR="007B1063">
        <w:t>)</w:t>
      </w:r>
      <w:r w:rsidR="00460CF6">
        <w:t>;</w:t>
      </w:r>
    </w:p>
    <w:p w14:paraId="6E026BD6" w14:textId="77777777" w:rsidR="0072244E" w:rsidRPr="0075046F" w:rsidRDefault="0072244E" w:rsidP="0075046F">
      <w:pPr>
        <w:pStyle w:val="Bullets"/>
      </w:pPr>
      <w:r w:rsidRPr="0075046F">
        <w:t xml:space="preserve">Ability to </w:t>
      </w:r>
      <w:r w:rsidR="001027F4">
        <w:t>implement</w:t>
      </w:r>
      <w:r w:rsidRPr="0075046F">
        <w:t xml:space="preserve"> the desired </w:t>
      </w:r>
      <w:r w:rsidR="007F4E51">
        <w:t>approach</w:t>
      </w:r>
      <w:r w:rsidRPr="0075046F">
        <w:t xml:space="preserve"> with fidelity and consistency—which may hinge on whether </w:t>
      </w:r>
      <w:r w:rsidR="00390143" w:rsidRPr="0075046F">
        <w:t xml:space="preserve">the site </w:t>
      </w:r>
      <w:r w:rsidRPr="0075046F">
        <w:t>has policies and systems in place to ensure that tested services are implemented relatively uniformly in all locations that are participating in the evaluation</w:t>
      </w:r>
      <w:r w:rsidR="00460CF6">
        <w:t>;</w:t>
      </w:r>
    </w:p>
    <w:p w14:paraId="6DEFDD63" w14:textId="77777777" w:rsidR="0072244E" w:rsidRPr="0075046F" w:rsidRDefault="001027F4" w:rsidP="0075046F">
      <w:pPr>
        <w:pStyle w:val="Bullets"/>
      </w:pPr>
      <w:r>
        <w:t xml:space="preserve">Commitment to </w:t>
      </w:r>
      <w:r w:rsidR="0072244E" w:rsidRPr="0075046F">
        <w:t xml:space="preserve"> prevent</w:t>
      </w:r>
      <w:r>
        <w:t>ing</w:t>
      </w:r>
      <w:r w:rsidR="0072244E" w:rsidRPr="0075046F">
        <w:t xml:space="preserve"> study subjects from “crossing over” to a different JSA </w:t>
      </w:r>
      <w:r w:rsidR="007F4E51">
        <w:t>approach</w:t>
      </w:r>
      <w:r w:rsidR="0072244E" w:rsidRPr="0075046F">
        <w:t xml:space="preserve"> than the one to which they </w:t>
      </w:r>
      <w:r>
        <w:t>are</w:t>
      </w:r>
      <w:r w:rsidR="0072244E" w:rsidRPr="0075046F">
        <w:t xml:space="preserve"> assigned</w:t>
      </w:r>
      <w:r w:rsidR="00460CF6">
        <w:t xml:space="preserve">; and </w:t>
      </w:r>
    </w:p>
    <w:p w14:paraId="260D077E" w14:textId="77777777" w:rsidR="0072244E" w:rsidRDefault="0072244E" w:rsidP="0075046F">
      <w:pPr>
        <w:pStyle w:val="Bullets"/>
        <w:spacing w:after="180"/>
      </w:pPr>
      <w:r w:rsidRPr="0075046F">
        <w:t>Capability to comply with the data collection requirements of the evaluation</w:t>
      </w:r>
      <w:r w:rsidR="001027F4">
        <w:t>.</w:t>
      </w:r>
    </w:p>
    <w:p w14:paraId="5CE52F3C" w14:textId="77777777" w:rsidR="007F4E51" w:rsidRDefault="00AD03B2" w:rsidP="007F4E51">
      <w:pPr>
        <w:pStyle w:val="Bullets"/>
        <w:numPr>
          <w:ilvl w:val="0"/>
          <w:numId w:val="0"/>
        </w:numPr>
      </w:pPr>
      <w:r>
        <w:t>The research team identified three sites to be included in both the implementation and impact study (Genesee and Wayne County, MI, New York, NY, and Sacramento County, CA,), and two with an implementation study only (Ramsey County, MN and Westchester County, NY).  The JSA impact evaluation is using an experimental design to determine the effectiveness of contrasting approaches of JSA.  For the impact evaluation, TANF recipients were randomly assigned to one of two JSA approaches to measure the “value-added” of more intensive approaches.  The evaluation does not include a true “no services” control group. The total sample size across the three sites participating in the impact study is 5,27</w:t>
      </w:r>
      <w:r w:rsidR="00655822">
        <w:t>3</w:t>
      </w:r>
      <w:r>
        <w:t>.</w:t>
      </w:r>
      <w:r w:rsidR="00FA6FDA">
        <w:t xml:space="preserve"> This represents a decrease from original projections of 8,000 participants in the impact study sample. This reduction is the result of fewer participating sites. </w:t>
      </w:r>
      <w:r w:rsidR="00FE1796">
        <w:t xml:space="preserve">See section B2.3 for a discussion of minimum detectable </w:t>
      </w:r>
      <w:r w:rsidR="00FE1796" w:rsidRPr="0052314C">
        <w:rPr>
          <w:szCs w:val="24"/>
        </w:rPr>
        <w:t xml:space="preserve">differential </w:t>
      </w:r>
      <w:r w:rsidR="00FE1796">
        <w:t xml:space="preserve">effects based on the final sample size. </w:t>
      </w:r>
      <w:r w:rsidR="00FA6FDA">
        <w:t xml:space="preserve"> </w:t>
      </w:r>
      <w:r>
        <w:t xml:space="preserve"> All enrolled participants randomly assigned to one or the other JSA model</w:t>
      </w:r>
      <w:r w:rsidR="00655822">
        <w:t>s</w:t>
      </w:r>
      <w:r>
        <w:t xml:space="preserve"> in a site will be part of the respondent universe.    The </w:t>
      </w:r>
      <w:r w:rsidR="00655822">
        <w:t xml:space="preserve">target </w:t>
      </w:r>
      <w:r>
        <w:t xml:space="preserve">response rate for the six-month survey is 80 percent.  </w:t>
      </w:r>
    </w:p>
    <w:p w14:paraId="5F51EF0E" w14:textId="77777777" w:rsidR="00FA6FDA" w:rsidRDefault="00B4375E" w:rsidP="00AD03B2">
      <w:pPr>
        <w:pStyle w:val="BodyText"/>
        <w:rPr>
          <w:iCs/>
        </w:rPr>
      </w:pPr>
      <w:r>
        <w:rPr>
          <w:iCs/>
        </w:rPr>
        <w:t xml:space="preserve">Exhibit B.1 shows </w:t>
      </w:r>
      <w:r w:rsidR="00FA6FDA">
        <w:rPr>
          <w:iCs/>
        </w:rPr>
        <w:t xml:space="preserve">the original sample size estimates for the six-month follow-up survey and projected response rates, the actual sample size and response rate target and concludes with the remaining sample to be worked under four month extension, the subject of this request. </w:t>
      </w:r>
    </w:p>
    <w:p w14:paraId="654CD941" w14:textId="77777777" w:rsidR="00B4375E" w:rsidRPr="006620F6" w:rsidRDefault="00B4375E" w:rsidP="001F60E8">
      <w:pPr>
        <w:pStyle w:val="Caption"/>
      </w:pPr>
      <w:r w:rsidRPr="006620F6">
        <w:t xml:space="preserve">Exhibit B.1: Sample Sizes and Response Rates by </w:t>
      </w:r>
      <w:r w:rsidR="007D06D5" w:rsidRPr="006620F6">
        <w:t>Instrument</w:t>
      </w:r>
    </w:p>
    <w:tbl>
      <w:tblPr>
        <w:tblStyle w:val="TableGrid"/>
        <w:tblW w:w="0" w:type="auto"/>
        <w:tblInd w:w="198" w:type="dxa"/>
        <w:tblLook w:val="04A0" w:firstRow="1" w:lastRow="0" w:firstColumn="1" w:lastColumn="0" w:noHBand="0" w:noVBand="1"/>
      </w:tblPr>
      <w:tblGrid>
        <w:gridCol w:w="3420"/>
        <w:gridCol w:w="1692"/>
        <w:gridCol w:w="1792"/>
        <w:gridCol w:w="1354"/>
      </w:tblGrid>
      <w:tr w:rsidR="00B4375E" w:rsidRPr="00FD224F" w14:paraId="31F46B05" w14:textId="77777777" w:rsidTr="003122CE">
        <w:tc>
          <w:tcPr>
            <w:tcW w:w="3420" w:type="dxa"/>
            <w:shd w:val="clear" w:color="auto" w:fill="DA291C"/>
          </w:tcPr>
          <w:p w14:paraId="50378567" w14:textId="77777777" w:rsidR="00B4375E" w:rsidRPr="00FD224F" w:rsidRDefault="001F60E8" w:rsidP="001F60E8">
            <w:pPr>
              <w:pStyle w:val="BodyText"/>
              <w:rPr>
                <w:rFonts w:ascii="Arial" w:hAnsi="Arial" w:cs="Arial"/>
                <w:b/>
                <w:color w:val="FFFFFF" w:themeColor="background1"/>
                <w:sz w:val="20"/>
                <w:szCs w:val="18"/>
              </w:rPr>
            </w:pPr>
            <w:r w:rsidRPr="00FD224F">
              <w:rPr>
                <w:rFonts w:ascii="Arial" w:hAnsi="Arial" w:cs="Arial"/>
                <w:b/>
                <w:color w:val="FFFFFF" w:themeColor="background1"/>
                <w:sz w:val="20"/>
                <w:szCs w:val="18"/>
              </w:rPr>
              <w:t>Six-month Follow-up Survey</w:t>
            </w:r>
          </w:p>
        </w:tc>
        <w:tc>
          <w:tcPr>
            <w:tcW w:w="1692" w:type="dxa"/>
            <w:shd w:val="clear" w:color="auto" w:fill="DA291C"/>
          </w:tcPr>
          <w:p w14:paraId="7D05A4BE" w14:textId="77777777" w:rsidR="00B4375E" w:rsidRPr="00FD224F" w:rsidRDefault="00B4375E" w:rsidP="00AD03B2">
            <w:pPr>
              <w:pStyle w:val="BodyText"/>
              <w:rPr>
                <w:rFonts w:ascii="Arial" w:hAnsi="Arial" w:cs="Arial"/>
                <w:b/>
                <w:color w:val="FFFFFF" w:themeColor="background1"/>
                <w:sz w:val="20"/>
                <w:szCs w:val="18"/>
              </w:rPr>
            </w:pPr>
            <w:r w:rsidRPr="00FD224F">
              <w:rPr>
                <w:rFonts w:ascii="Arial" w:hAnsi="Arial" w:cs="Arial"/>
                <w:b/>
                <w:color w:val="FFFFFF" w:themeColor="background1"/>
                <w:sz w:val="20"/>
                <w:szCs w:val="18"/>
              </w:rPr>
              <w:t>Selected</w:t>
            </w:r>
          </w:p>
        </w:tc>
        <w:tc>
          <w:tcPr>
            <w:tcW w:w="1792" w:type="dxa"/>
            <w:shd w:val="clear" w:color="auto" w:fill="DA291C"/>
          </w:tcPr>
          <w:p w14:paraId="5C8E158B" w14:textId="77777777" w:rsidR="00B4375E" w:rsidRPr="00FD224F" w:rsidRDefault="00E95BBC" w:rsidP="00AD03B2">
            <w:pPr>
              <w:pStyle w:val="BodyText"/>
              <w:rPr>
                <w:rFonts w:ascii="Arial" w:hAnsi="Arial" w:cs="Arial"/>
                <w:b/>
                <w:color w:val="FFFFFF" w:themeColor="background1"/>
                <w:sz w:val="20"/>
                <w:szCs w:val="18"/>
              </w:rPr>
            </w:pPr>
            <w:r w:rsidRPr="00FD224F">
              <w:rPr>
                <w:rFonts w:ascii="Arial" w:hAnsi="Arial" w:cs="Arial"/>
                <w:b/>
                <w:color w:val="FFFFFF" w:themeColor="background1"/>
                <w:sz w:val="20"/>
                <w:szCs w:val="18"/>
              </w:rPr>
              <w:t xml:space="preserve">Target </w:t>
            </w:r>
            <w:r w:rsidR="00B4375E" w:rsidRPr="00FD224F">
              <w:rPr>
                <w:rFonts w:ascii="Arial" w:hAnsi="Arial" w:cs="Arial"/>
                <w:b/>
                <w:color w:val="FFFFFF" w:themeColor="background1"/>
                <w:sz w:val="20"/>
                <w:szCs w:val="18"/>
              </w:rPr>
              <w:t>Returned</w:t>
            </w:r>
          </w:p>
        </w:tc>
        <w:tc>
          <w:tcPr>
            <w:tcW w:w="1354" w:type="dxa"/>
            <w:shd w:val="clear" w:color="auto" w:fill="DA291C"/>
          </w:tcPr>
          <w:p w14:paraId="51DD4D89" w14:textId="77777777" w:rsidR="00B4375E" w:rsidRPr="00FD224F" w:rsidRDefault="00E95BBC" w:rsidP="00AD03B2">
            <w:pPr>
              <w:pStyle w:val="BodyText"/>
              <w:rPr>
                <w:rFonts w:ascii="Arial" w:hAnsi="Arial" w:cs="Arial"/>
                <w:b/>
                <w:color w:val="FFFFFF" w:themeColor="background1"/>
                <w:sz w:val="20"/>
                <w:szCs w:val="18"/>
              </w:rPr>
            </w:pPr>
            <w:r w:rsidRPr="00FD224F">
              <w:rPr>
                <w:rFonts w:ascii="Arial" w:hAnsi="Arial" w:cs="Arial"/>
                <w:b/>
                <w:color w:val="FFFFFF" w:themeColor="background1"/>
                <w:sz w:val="20"/>
                <w:szCs w:val="18"/>
              </w:rPr>
              <w:t xml:space="preserve">Target </w:t>
            </w:r>
            <w:r w:rsidR="002E49EF" w:rsidRPr="00FD224F">
              <w:rPr>
                <w:rFonts w:ascii="Arial" w:hAnsi="Arial" w:cs="Arial"/>
                <w:b/>
                <w:color w:val="FFFFFF" w:themeColor="background1"/>
                <w:sz w:val="20"/>
                <w:szCs w:val="18"/>
              </w:rPr>
              <w:t>Response R</w:t>
            </w:r>
            <w:r w:rsidR="00B4375E" w:rsidRPr="00FD224F">
              <w:rPr>
                <w:rFonts w:ascii="Arial" w:hAnsi="Arial" w:cs="Arial"/>
                <w:b/>
                <w:color w:val="FFFFFF" w:themeColor="background1"/>
                <w:sz w:val="20"/>
                <w:szCs w:val="18"/>
              </w:rPr>
              <w:t>ate</w:t>
            </w:r>
          </w:p>
        </w:tc>
      </w:tr>
      <w:tr w:rsidR="00B4375E" w:rsidRPr="00FD224F" w14:paraId="30A483CF" w14:textId="77777777" w:rsidTr="006620F6">
        <w:tc>
          <w:tcPr>
            <w:tcW w:w="3420" w:type="dxa"/>
          </w:tcPr>
          <w:p w14:paraId="08BA6806" w14:textId="77777777" w:rsidR="00B4375E" w:rsidRPr="00FD224F" w:rsidRDefault="001F60E8" w:rsidP="001F60E8">
            <w:pPr>
              <w:pStyle w:val="BodyText"/>
              <w:rPr>
                <w:rFonts w:ascii="Arial" w:hAnsi="Arial" w:cs="Arial"/>
                <w:sz w:val="18"/>
              </w:rPr>
            </w:pPr>
            <w:r w:rsidRPr="00FD224F">
              <w:rPr>
                <w:rFonts w:ascii="Arial" w:hAnsi="Arial" w:cs="Arial"/>
                <w:sz w:val="18"/>
              </w:rPr>
              <w:t xml:space="preserve">Original </w:t>
            </w:r>
            <w:r w:rsidR="00FE1796" w:rsidRPr="00FD224F">
              <w:rPr>
                <w:rFonts w:ascii="Arial" w:hAnsi="Arial" w:cs="Arial"/>
                <w:sz w:val="18"/>
              </w:rPr>
              <w:t xml:space="preserve">Proposed </w:t>
            </w:r>
            <w:r w:rsidRPr="00FD224F">
              <w:rPr>
                <w:rFonts w:ascii="Arial" w:hAnsi="Arial" w:cs="Arial"/>
                <w:sz w:val="18"/>
              </w:rPr>
              <w:t>Sample</w:t>
            </w:r>
          </w:p>
        </w:tc>
        <w:tc>
          <w:tcPr>
            <w:tcW w:w="1692" w:type="dxa"/>
          </w:tcPr>
          <w:p w14:paraId="72357369" w14:textId="77777777" w:rsidR="00B4375E" w:rsidRPr="00FD224F" w:rsidRDefault="00B4375E" w:rsidP="00AD03B2">
            <w:pPr>
              <w:pStyle w:val="BodyText"/>
              <w:rPr>
                <w:rFonts w:ascii="Arial" w:hAnsi="Arial" w:cs="Arial"/>
                <w:sz w:val="18"/>
              </w:rPr>
            </w:pPr>
            <w:r w:rsidRPr="00FD224F">
              <w:rPr>
                <w:rFonts w:ascii="Arial" w:hAnsi="Arial" w:cs="Arial"/>
                <w:sz w:val="18"/>
              </w:rPr>
              <w:t>8,000</w:t>
            </w:r>
          </w:p>
        </w:tc>
        <w:tc>
          <w:tcPr>
            <w:tcW w:w="1792" w:type="dxa"/>
          </w:tcPr>
          <w:p w14:paraId="07997D0E" w14:textId="77777777" w:rsidR="00B4375E" w:rsidRPr="00FD224F" w:rsidRDefault="001F60E8" w:rsidP="00035740">
            <w:pPr>
              <w:pStyle w:val="BodyText"/>
              <w:rPr>
                <w:rFonts w:ascii="Arial" w:hAnsi="Arial" w:cs="Arial"/>
                <w:sz w:val="18"/>
              </w:rPr>
            </w:pPr>
            <w:r w:rsidRPr="00FD224F">
              <w:rPr>
                <w:rFonts w:ascii="Arial" w:hAnsi="Arial" w:cs="Arial"/>
                <w:sz w:val="18"/>
              </w:rPr>
              <w:t>6,400</w:t>
            </w:r>
          </w:p>
        </w:tc>
        <w:tc>
          <w:tcPr>
            <w:tcW w:w="1354" w:type="dxa"/>
          </w:tcPr>
          <w:p w14:paraId="265F49F2" w14:textId="77777777" w:rsidR="00B4375E" w:rsidRPr="00FD224F" w:rsidRDefault="001F60E8" w:rsidP="001F60E8">
            <w:pPr>
              <w:pStyle w:val="BodyText"/>
              <w:rPr>
                <w:rFonts w:ascii="Arial" w:hAnsi="Arial" w:cs="Arial"/>
                <w:sz w:val="18"/>
              </w:rPr>
            </w:pPr>
            <w:r w:rsidRPr="00FD224F">
              <w:rPr>
                <w:rFonts w:ascii="Arial" w:hAnsi="Arial" w:cs="Arial"/>
                <w:sz w:val="18"/>
              </w:rPr>
              <w:t>80</w:t>
            </w:r>
            <w:r w:rsidR="00355303" w:rsidRPr="00FD224F">
              <w:rPr>
                <w:rFonts w:ascii="Arial" w:hAnsi="Arial" w:cs="Arial"/>
                <w:sz w:val="18"/>
              </w:rPr>
              <w:t>%</w:t>
            </w:r>
          </w:p>
        </w:tc>
      </w:tr>
      <w:tr w:rsidR="00B4375E" w:rsidRPr="00FD224F" w14:paraId="20806D53" w14:textId="77777777" w:rsidTr="006620F6">
        <w:tc>
          <w:tcPr>
            <w:tcW w:w="3420" w:type="dxa"/>
          </w:tcPr>
          <w:p w14:paraId="32616D33" w14:textId="77777777" w:rsidR="00B4375E" w:rsidRPr="00FD224F" w:rsidRDefault="001F60E8" w:rsidP="00AD03B2">
            <w:pPr>
              <w:pStyle w:val="BodyText"/>
              <w:rPr>
                <w:rFonts w:ascii="Arial" w:hAnsi="Arial" w:cs="Arial"/>
                <w:sz w:val="18"/>
              </w:rPr>
            </w:pPr>
            <w:r w:rsidRPr="00FD224F">
              <w:rPr>
                <w:rFonts w:ascii="Arial" w:hAnsi="Arial" w:cs="Arial"/>
                <w:sz w:val="18"/>
              </w:rPr>
              <w:t>Actual Sample Enrolled</w:t>
            </w:r>
          </w:p>
        </w:tc>
        <w:tc>
          <w:tcPr>
            <w:tcW w:w="1692" w:type="dxa"/>
          </w:tcPr>
          <w:p w14:paraId="5EA6FE90" w14:textId="77777777" w:rsidR="00B4375E" w:rsidRPr="00FD224F" w:rsidRDefault="001F60E8" w:rsidP="00AD03B2">
            <w:pPr>
              <w:pStyle w:val="BodyText"/>
              <w:rPr>
                <w:rFonts w:ascii="Arial" w:hAnsi="Arial" w:cs="Arial"/>
                <w:sz w:val="18"/>
              </w:rPr>
            </w:pPr>
            <w:r w:rsidRPr="00FD224F">
              <w:rPr>
                <w:rFonts w:ascii="Arial" w:hAnsi="Arial" w:cs="Arial"/>
                <w:sz w:val="18"/>
              </w:rPr>
              <w:t>5,273</w:t>
            </w:r>
          </w:p>
        </w:tc>
        <w:tc>
          <w:tcPr>
            <w:tcW w:w="1792" w:type="dxa"/>
          </w:tcPr>
          <w:p w14:paraId="4780CDA1" w14:textId="77777777" w:rsidR="00B4375E" w:rsidRPr="00FD224F" w:rsidRDefault="001F60E8" w:rsidP="00035740">
            <w:pPr>
              <w:pStyle w:val="BodyText"/>
              <w:rPr>
                <w:rFonts w:ascii="Arial" w:hAnsi="Arial" w:cs="Arial"/>
                <w:sz w:val="18"/>
              </w:rPr>
            </w:pPr>
            <w:r w:rsidRPr="00FD224F">
              <w:rPr>
                <w:rFonts w:ascii="Arial" w:hAnsi="Arial" w:cs="Arial"/>
                <w:sz w:val="18"/>
              </w:rPr>
              <w:t>4,218</w:t>
            </w:r>
          </w:p>
        </w:tc>
        <w:tc>
          <w:tcPr>
            <w:tcW w:w="1354" w:type="dxa"/>
          </w:tcPr>
          <w:p w14:paraId="335D61DF" w14:textId="77777777" w:rsidR="00B4375E" w:rsidRPr="00FD224F" w:rsidRDefault="001F60E8" w:rsidP="001F60E8">
            <w:pPr>
              <w:pStyle w:val="BodyText"/>
              <w:rPr>
                <w:rFonts w:ascii="Arial" w:hAnsi="Arial" w:cs="Arial"/>
                <w:sz w:val="18"/>
              </w:rPr>
            </w:pPr>
            <w:r w:rsidRPr="00FD224F">
              <w:rPr>
                <w:rFonts w:ascii="Arial" w:hAnsi="Arial" w:cs="Arial"/>
                <w:sz w:val="18"/>
              </w:rPr>
              <w:t>80</w:t>
            </w:r>
            <w:r w:rsidR="00B4375E" w:rsidRPr="00FD224F">
              <w:rPr>
                <w:rFonts w:ascii="Arial" w:hAnsi="Arial" w:cs="Arial"/>
                <w:sz w:val="18"/>
              </w:rPr>
              <w:t>%</w:t>
            </w:r>
          </w:p>
        </w:tc>
      </w:tr>
      <w:tr w:rsidR="00B4375E" w:rsidRPr="00FD224F" w14:paraId="60AF1159" w14:textId="77777777" w:rsidTr="006620F6">
        <w:tc>
          <w:tcPr>
            <w:tcW w:w="3420" w:type="dxa"/>
          </w:tcPr>
          <w:p w14:paraId="79EEBD4D" w14:textId="77777777" w:rsidR="00B4375E" w:rsidRPr="00FD224F" w:rsidRDefault="001F60E8" w:rsidP="001F60E8">
            <w:pPr>
              <w:pStyle w:val="BodyText"/>
              <w:rPr>
                <w:rFonts w:ascii="Arial" w:hAnsi="Arial" w:cs="Arial"/>
                <w:sz w:val="18"/>
              </w:rPr>
            </w:pPr>
            <w:r w:rsidRPr="00FD224F">
              <w:rPr>
                <w:rFonts w:ascii="Arial" w:hAnsi="Arial" w:cs="Arial"/>
                <w:sz w:val="18"/>
              </w:rPr>
              <w:t>Remaining Sample to Complete Under Extension Period</w:t>
            </w:r>
          </w:p>
        </w:tc>
        <w:tc>
          <w:tcPr>
            <w:tcW w:w="1692" w:type="dxa"/>
          </w:tcPr>
          <w:p w14:paraId="56E11CFF" w14:textId="77777777" w:rsidR="00B4375E" w:rsidRPr="00FD224F" w:rsidRDefault="001F60E8" w:rsidP="00AD03B2">
            <w:pPr>
              <w:pStyle w:val="BodyText"/>
              <w:rPr>
                <w:rFonts w:ascii="Arial" w:hAnsi="Arial" w:cs="Arial"/>
                <w:sz w:val="18"/>
              </w:rPr>
            </w:pPr>
            <w:r w:rsidRPr="00FD224F">
              <w:rPr>
                <w:rFonts w:ascii="Arial" w:hAnsi="Arial" w:cs="Arial"/>
                <w:sz w:val="18"/>
              </w:rPr>
              <w:t>957</w:t>
            </w:r>
          </w:p>
        </w:tc>
        <w:tc>
          <w:tcPr>
            <w:tcW w:w="1792" w:type="dxa"/>
          </w:tcPr>
          <w:p w14:paraId="15223D61" w14:textId="77777777" w:rsidR="00B4375E" w:rsidRPr="00FD224F" w:rsidRDefault="001F60E8" w:rsidP="001F60E8">
            <w:pPr>
              <w:pStyle w:val="BodyText"/>
              <w:rPr>
                <w:rFonts w:ascii="Arial" w:hAnsi="Arial" w:cs="Arial"/>
                <w:sz w:val="18"/>
              </w:rPr>
            </w:pPr>
            <w:r w:rsidRPr="00FD224F">
              <w:rPr>
                <w:rFonts w:ascii="Arial" w:hAnsi="Arial" w:cs="Arial"/>
                <w:sz w:val="18"/>
              </w:rPr>
              <w:t>766</w:t>
            </w:r>
          </w:p>
        </w:tc>
        <w:tc>
          <w:tcPr>
            <w:tcW w:w="1354" w:type="dxa"/>
          </w:tcPr>
          <w:p w14:paraId="5D996470" w14:textId="77777777" w:rsidR="00B4375E" w:rsidRPr="00FD224F" w:rsidRDefault="00B4375E" w:rsidP="00FB6BD7">
            <w:pPr>
              <w:pStyle w:val="BodyText"/>
              <w:rPr>
                <w:rFonts w:ascii="Arial" w:hAnsi="Arial" w:cs="Arial"/>
                <w:sz w:val="18"/>
              </w:rPr>
            </w:pPr>
            <w:r w:rsidRPr="00FD224F">
              <w:rPr>
                <w:rFonts w:ascii="Arial" w:hAnsi="Arial" w:cs="Arial"/>
                <w:sz w:val="18"/>
              </w:rPr>
              <w:t>80%</w:t>
            </w:r>
          </w:p>
        </w:tc>
      </w:tr>
    </w:tbl>
    <w:p w14:paraId="37397C6B" w14:textId="77777777" w:rsidR="00B4375E" w:rsidRDefault="00B4375E" w:rsidP="00B4375E">
      <w:pPr>
        <w:pStyle w:val="BodyText"/>
      </w:pPr>
    </w:p>
    <w:p w14:paraId="3366DCBA" w14:textId="77777777" w:rsidR="00B4375E" w:rsidRDefault="00B4375E" w:rsidP="001A1C27">
      <w:pPr>
        <w:pStyle w:val="BodyText"/>
        <w:rPr>
          <w:iCs/>
        </w:rPr>
      </w:pPr>
    </w:p>
    <w:p w14:paraId="0C2EACD5" w14:textId="77777777" w:rsidR="0072244E" w:rsidRDefault="0072244E" w:rsidP="0072244E">
      <w:pPr>
        <w:pStyle w:val="Heading2"/>
      </w:pPr>
      <w:bookmarkStart w:id="7" w:name="_Toc354131255"/>
      <w:bookmarkStart w:id="8" w:name="_Toc322083616"/>
      <w:bookmarkStart w:id="9" w:name="_Toc428371969"/>
      <w:bookmarkEnd w:id="6"/>
      <w:r>
        <w:t>B.2</w:t>
      </w:r>
      <w:r>
        <w:tab/>
        <w:t>Procedures for Collection of Information</w:t>
      </w:r>
      <w:bookmarkEnd w:id="7"/>
      <w:bookmarkEnd w:id="8"/>
      <w:bookmarkEnd w:id="9"/>
    </w:p>
    <w:p w14:paraId="75A91203" w14:textId="77777777" w:rsidR="0072244E" w:rsidRDefault="0072244E" w:rsidP="0072244E">
      <w:pPr>
        <w:pStyle w:val="Heading3"/>
      </w:pPr>
      <w:bookmarkStart w:id="10" w:name="_Toc354131256"/>
      <w:r>
        <w:t xml:space="preserve">B.2.1 </w:t>
      </w:r>
      <w:r>
        <w:tab/>
        <w:t>Sample Design</w:t>
      </w:r>
      <w:bookmarkEnd w:id="10"/>
    </w:p>
    <w:p w14:paraId="7224E47D" w14:textId="77777777" w:rsidR="00EC79E2" w:rsidRDefault="007D06D5" w:rsidP="005C22B4">
      <w:pPr>
        <w:pStyle w:val="BodyText"/>
        <w:rPr>
          <w:iCs/>
        </w:rPr>
      </w:pPr>
      <w:r>
        <w:rPr>
          <w:iCs/>
        </w:rPr>
        <w:t xml:space="preserve">As described, </w:t>
      </w:r>
      <w:r w:rsidR="00D23F81">
        <w:rPr>
          <w:iCs/>
        </w:rPr>
        <w:t xml:space="preserve">no </w:t>
      </w:r>
      <w:r w:rsidR="00EC79E2">
        <w:rPr>
          <w:iCs/>
        </w:rPr>
        <w:t xml:space="preserve">sampling </w:t>
      </w:r>
      <w:r w:rsidR="00D23F81">
        <w:rPr>
          <w:iCs/>
        </w:rPr>
        <w:t>is</w:t>
      </w:r>
      <w:r w:rsidR="00EC79E2">
        <w:rPr>
          <w:iCs/>
        </w:rPr>
        <w:t xml:space="preserve"> required</w:t>
      </w:r>
      <w:r>
        <w:rPr>
          <w:iCs/>
        </w:rPr>
        <w:t xml:space="preserve"> for the </w:t>
      </w:r>
      <w:r w:rsidR="00460CF6">
        <w:rPr>
          <w:iCs/>
        </w:rPr>
        <w:t>six</w:t>
      </w:r>
      <w:r>
        <w:rPr>
          <w:iCs/>
        </w:rPr>
        <w:t>-month follow-up survey</w:t>
      </w:r>
      <w:r w:rsidR="00D23F81">
        <w:rPr>
          <w:iCs/>
        </w:rPr>
        <w:t>; all study participants will be selected for the follow-up survey</w:t>
      </w:r>
      <w:r w:rsidR="00EC79E2">
        <w:rPr>
          <w:iCs/>
        </w:rPr>
        <w:t xml:space="preserve">.  </w:t>
      </w:r>
    </w:p>
    <w:p w14:paraId="0C5E82BA" w14:textId="77777777" w:rsidR="0072244E" w:rsidRDefault="0072244E" w:rsidP="0072244E">
      <w:pPr>
        <w:pStyle w:val="Heading3"/>
      </w:pPr>
      <w:bookmarkStart w:id="11" w:name="_Toc354131257"/>
      <w:r>
        <w:t>B.2.2</w:t>
      </w:r>
      <w:r>
        <w:tab/>
      </w:r>
      <w:r w:rsidRPr="003122CE">
        <w:t>Estimation Procedures</w:t>
      </w:r>
      <w:bookmarkEnd w:id="11"/>
    </w:p>
    <w:p w14:paraId="20C9E207" w14:textId="77777777" w:rsidR="004A6887" w:rsidRPr="001A1213" w:rsidRDefault="004A6887" w:rsidP="004A6887">
      <w:pPr>
        <w:rPr>
          <w:i/>
          <w:szCs w:val="22"/>
        </w:rPr>
      </w:pPr>
      <w:bookmarkStart w:id="12" w:name="_Toc354131260"/>
      <w:r>
        <w:t xml:space="preserve">We start this section with a </w:t>
      </w:r>
      <w:r w:rsidR="00D10F8C">
        <w:t>restatement of the JSA Evaluation rese</w:t>
      </w:r>
      <w:r>
        <w:t xml:space="preserve">arch questions </w:t>
      </w:r>
      <w:r w:rsidR="00D10F8C">
        <w:t xml:space="preserve">outlined </w:t>
      </w:r>
      <w:r>
        <w:t>in Section A.1.1</w:t>
      </w:r>
      <w:r w:rsidR="00460CF6">
        <w:t xml:space="preserve"> of Supporting Statement A</w:t>
      </w:r>
      <w:r>
        <w:t xml:space="preserve">.  </w:t>
      </w:r>
      <w:r>
        <w:rPr>
          <w:szCs w:val="22"/>
        </w:rPr>
        <w:t xml:space="preserve">The evaluation will address the following principal </w:t>
      </w:r>
      <w:r w:rsidRPr="001A1213">
        <w:rPr>
          <w:szCs w:val="22"/>
        </w:rPr>
        <w:t xml:space="preserve">research question: </w:t>
      </w:r>
    </w:p>
    <w:p w14:paraId="7BF0F2D1" w14:textId="77777777" w:rsidR="00D10F8C" w:rsidRDefault="00D10F8C" w:rsidP="004F7D88">
      <w:pPr>
        <w:pStyle w:val="Bullets"/>
        <w:numPr>
          <w:ilvl w:val="0"/>
          <w:numId w:val="31"/>
        </w:numPr>
      </w:pPr>
      <w:r w:rsidRPr="00645C24">
        <w:t xml:space="preserve">What are the differential impacts of </w:t>
      </w:r>
      <w:r>
        <w:t xml:space="preserve">alternative </w:t>
      </w:r>
      <w:r w:rsidRPr="00645C24">
        <w:t xml:space="preserve">TANF JSA </w:t>
      </w:r>
      <w:r>
        <w:t>approaches</w:t>
      </w:r>
      <w:r w:rsidRPr="00645C24">
        <w:t xml:space="preserve"> on </w:t>
      </w:r>
      <w:r>
        <w:t>short-term</w:t>
      </w:r>
      <w:r w:rsidRPr="00645C24">
        <w:t xml:space="preserve"> employment and earnings outcomes?</w:t>
      </w:r>
    </w:p>
    <w:p w14:paraId="65A038AE" w14:textId="77777777" w:rsidR="00D10F8C" w:rsidRPr="00E916FC" w:rsidRDefault="00D10F8C" w:rsidP="00D10F8C">
      <w:pPr>
        <w:spacing w:line="240" w:lineRule="auto"/>
        <w:rPr>
          <w:i/>
          <w:szCs w:val="22"/>
        </w:rPr>
      </w:pPr>
      <w:r>
        <w:rPr>
          <w:szCs w:val="22"/>
        </w:rPr>
        <w:t xml:space="preserve">In addition, </w:t>
      </w:r>
      <w:r w:rsidRPr="00E916FC">
        <w:rPr>
          <w:szCs w:val="22"/>
        </w:rPr>
        <w:t xml:space="preserve">the evaluation will address the following secondary research questions: </w:t>
      </w:r>
    </w:p>
    <w:p w14:paraId="4EAB55AF" w14:textId="77777777" w:rsidR="00D10F8C" w:rsidRPr="00E916FC" w:rsidRDefault="00D10F8C" w:rsidP="004F7D88">
      <w:pPr>
        <w:pStyle w:val="Bullets"/>
        <w:numPr>
          <w:ilvl w:val="0"/>
          <w:numId w:val="31"/>
        </w:numPr>
      </w:pPr>
      <w:r w:rsidRPr="00E916FC">
        <w:t>What are the differential impacts of alternative TANF JSA models on: (a) job quality (including wages, work-related benefits, consistency and predictability of hours); (b) public benefits received; (c) family economic well-being; and (d) non-economic outcomes (including motivation to search for a job and psycho-social skills such as persev</w:t>
      </w:r>
      <w:r>
        <w:t>erance and self-efficacy</w:t>
      </w:r>
      <w:r w:rsidRPr="00E916FC">
        <w:t>)?</w:t>
      </w:r>
    </w:p>
    <w:p w14:paraId="1E02F8B0" w14:textId="77777777" w:rsidR="00D10F8C" w:rsidRPr="00E916FC" w:rsidRDefault="00D10F8C" w:rsidP="004F7D88">
      <w:pPr>
        <w:pStyle w:val="Bullets"/>
        <w:numPr>
          <w:ilvl w:val="0"/>
          <w:numId w:val="31"/>
        </w:numPr>
      </w:pPr>
      <w:r w:rsidRPr="00E916FC">
        <w:t>What components of JSA services are linked to better employment outcomes?</w:t>
      </w:r>
    </w:p>
    <w:p w14:paraId="730B30CE" w14:textId="77777777" w:rsidR="00D10F8C" w:rsidRPr="00645C24" w:rsidRDefault="00D10F8C" w:rsidP="004F7D88">
      <w:pPr>
        <w:pStyle w:val="Bullets"/>
        <w:numPr>
          <w:ilvl w:val="0"/>
          <w:numId w:val="31"/>
        </w:numPr>
      </w:pPr>
      <w:r>
        <w:t>What are the job search strategies used by successful job seekers?</w:t>
      </w:r>
    </w:p>
    <w:p w14:paraId="0F5C49DF" w14:textId="77777777" w:rsidR="004A6887" w:rsidRDefault="004A6887" w:rsidP="00C446C1">
      <w:r>
        <w:t xml:space="preserve">The first research question will be </w:t>
      </w:r>
      <w:r w:rsidR="00FE2CF3">
        <w:t xml:space="preserve">answered with administrative data and is therefore not discussed further here.  The other research questions will require data from the six-month follow-up survey.  </w:t>
      </w:r>
      <w:r>
        <w:t xml:space="preserve">Since </w:t>
      </w:r>
      <w:r w:rsidR="00FE2CF3">
        <w:t>these are secondary research questions that will be treated as exploratory rather than confirmative</w:t>
      </w:r>
      <w:r>
        <w:t xml:space="preserve">, no multiple comparison adjustments will be made on these estimated incremental effects. Two-sided hypothesis tests with alpha=0.05 will be used.  </w:t>
      </w:r>
    </w:p>
    <w:p w14:paraId="628AAD60" w14:textId="77777777" w:rsidR="00C446C1" w:rsidRDefault="00FE2CF3" w:rsidP="00C446C1">
      <w:r>
        <w:t>With regard t</w:t>
      </w:r>
      <w:r w:rsidR="004F7D88">
        <w:t>o the second research question,</w:t>
      </w:r>
      <w:r w:rsidR="00EC79E2">
        <w:t xml:space="preserve"> it is likely t</w:t>
      </w:r>
      <w:r w:rsidR="00D10F8C">
        <w:t>hat the nature of the JSA</w:t>
      </w:r>
      <w:r w:rsidR="00E521A5">
        <w:t xml:space="preserve"> </w:t>
      </w:r>
      <w:r w:rsidR="00D10F8C">
        <w:t>approaches</w:t>
      </w:r>
      <w:r w:rsidR="00EC79E2">
        <w:t xml:space="preserve"> being studied will vary enough across sites </w:t>
      </w:r>
      <w:r w:rsidR="007D06D5">
        <w:t>to</w:t>
      </w:r>
      <w:r w:rsidR="00EC79E2">
        <w:t xml:space="preserve"> make it </w:t>
      </w:r>
      <w:r w:rsidR="007D06D5">
        <w:t>necessary</w:t>
      </w:r>
      <w:r w:rsidR="00EC79E2">
        <w:t xml:space="preserve"> to analyze each site separately</w:t>
      </w:r>
      <w:r w:rsidR="00355303">
        <w:t xml:space="preserve"> when estimating the impacts of </w:t>
      </w:r>
      <w:r w:rsidR="00FB6053">
        <w:t xml:space="preserve">the </w:t>
      </w:r>
      <w:r w:rsidR="00355303">
        <w:t>JSA</w:t>
      </w:r>
      <w:r w:rsidR="00FB6053">
        <w:t xml:space="preserve"> </w:t>
      </w:r>
      <w:r w:rsidR="00E521A5">
        <w:t>a</w:t>
      </w:r>
      <w:r w:rsidR="00FB6053">
        <w:t>pproaches</w:t>
      </w:r>
      <w:r w:rsidR="00E521A5">
        <w:t>.</w:t>
      </w:r>
      <w:r w:rsidR="00EC79E2">
        <w:t xml:space="preserve"> </w:t>
      </w:r>
      <w:r w:rsidR="008653B9">
        <w:t xml:space="preserve"> </w:t>
      </w:r>
      <w:r w:rsidR="00D23F81">
        <w:t>I</w:t>
      </w:r>
      <w:r w:rsidR="008653B9">
        <w:t xml:space="preserve">n each site there </w:t>
      </w:r>
      <w:r w:rsidR="00D23F81">
        <w:t>are</w:t>
      </w:r>
      <w:r w:rsidR="008653B9">
        <w:t xml:space="preserve"> two alternate JSA </w:t>
      </w:r>
      <w:r w:rsidR="00D10F8C">
        <w:t>approaches</w:t>
      </w:r>
      <w:r w:rsidR="008653B9">
        <w:t xml:space="preserve"> being studied. </w:t>
      </w:r>
      <w:r w:rsidR="00EC79E2">
        <w:t xml:space="preserve"> </w:t>
      </w:r>
      <w:r w:rsidR="00C446C1">
        <w:t xml:space="preserve">To estimate the effect of being in </w:t>
      </w:r>
      <w:r w:rsidR="00D10F8C">
        <w:t>this approach</w:t>
      </w:r>
      <w:r w:rsidR="00C446C1">
        <w:t xml:space="preserve">, </w:t>
      </w:r>
      <w:r w:rsidR="008653B9">
        <w:t>it would be possible to just</w:t>
      </w:r>
      <w:r w:rsidR="00CB70A6">
        <w:t xml:space="preserve"> </w:t>
      </w:r>
      <w:r w:rsidR="008653B9">
        <w:t>compute the difference in average ou</w:t>
      </w:r>
      <w:r w:rsidR="00D10F8C">
        <w:t>tcomes across the two JSA approaches</w:t>
      </w:r>
      <w:r w:rsidR="008653B9">
        <w:t xml:space="preserve">.  </w:t>
      </w:r>
      <w:r w:rsidR="00C446C1">
        <w:t xml:space="preserve">Although the simple difference in means is an unbiased estimate of the </w:t>
      </w:r>
      <w:r w:rsidR="008653B9">
        <w:t xml:space="preserve">incremental </w:t>
      </w:r>
      <w:r w:rsidR="00C446C1">
        <w:t>effect</w:t>
      </w:r>
      <w:r w:rsidR="008653B9">
        <w:t xml:space="preserve"> of the enhancem</w:t>
      </w:r>
      <w:r w:rsidR="00D10F8C">
        <w:t>ents in this approach</w:t>
      </w:r>
      <w:r w:rsidR="00C446C1">
        <w:t xml:space="preserve">, we will instead estimate </w:t>
      </w:r>
      <w:r w:rsidR="00AB79DD">
        <w:t>intent</w:t>
      </w:r>
      <w:r w:rsidR="00B24C77">
        <w:t>-to-</w:t>
      </w:r>
      <w:r w:rsidR="00AB79DD">
        <w:t>treat (</w:t>
      </w:r>
      <w:r w:rsidR="00C446C1">
        <w:t>ITT</w:t>
      </w:r>
      <w:r w:rsidR="00AB79DD">
        <w:t>)</w:t>
      </w:r>
      <w:r w:rsidR="00C446C1">
        <w:t xml:space="preserve"> impacts using a regression model that adjusts the difference between average outcomes for members </w:t>
      </w:r>
      <w:r w:rsidR="008653B9">
        <w:t xml:space="preserve">of the two groups </w:t>
      </w:r>
      <w:r w:rsidR="00C446C1">
        <w:t xml:space="preserve">by controlling for exogenous characteristics measured at baseline. Controlling for baseline covariates reduces distortions caused by random differences in the characteristics of the experimental arms’ group members and thereby improves the precision of impact estimates, allowing the study to detect smaller true impacts. Regression adjustment also helps to reduce the risk of bias due to follow-up data sample attrition. We use the following, standard impact equation to estimate the </w:t>
      </w:r>
      <w:r w:rsidR="008653B9">
        <w:t xml:space="preserve">incremental </w:t>
      </w:r>
      <w:r w:rsidR="00C446C1">
        <w:t xml:space="preserve">effect of the </w:t>
      </w:r>
      <w:r w:rsidR="00D10F8C">
        <w:t>more structured and time intensive approach</w:t>
      </w:r>
      <w:r w:rsidR="008653B9">
        <w:t xml:space="preserve"> in a given sites</w:t>
      </w:r>
      <w:r w:rsidR="00C446C1">
        <w:t>:</w:t>
      </w:r>
    </w:p>
    <w:p w14:paraId="7D2A3302" w14:textId="77777777" w:rsidR="00C446C1" w:rsidRDefault="00C446C1" w:rsidP="00C446C1">
      <w:pPr>
        <w:rPr>
          <w:i/>
          <w:iCs/>
          <w:vertAlign w:val="subscript"/>
        </w:rPr>
      </w:pPr>
      <w:r>
        <w:rPr>
          <w:i/>
          <w:iCs/>
        </w:rPr>
        <w:t>            y</w:t>
      </w:r>
      <w:r>
        <w:rPr>
          <w:i/>
          <w:iCs/>
          <w:vertAlign w:val="subscript"/>
        </w:rPr>
        <w:t>i</w:t>
      </w:r>
      <w:r>
        <w:rPr>
          <w:i/>
          <w:iCs/>
        </w:rPr>
        <w:t xml:space="preserve"> = α + δT</w:t>
      </w:r>
      <w:r>
        <w:rPr>
          <w:i/>
          <w:iCs/>
          <w:vertAlign w:val="subscript"/>
        </w:rPr>
        <w:t>i</w:t>
      </w:r>
      <w:r>
        <w:rPr>
          <w:i/>
          <w:iCs/>
        </w:rPr>
        <w:t xml:space="preserve"> + βX</w:t>
      </w:r>
      <w:r>
        <w:rPr>
          <w:i/>
          <w:iCs/>
          <w:vertAlign w:val="subscript"/>
        </w:rPr>
        <w:t>i</w:t>
      </w:r>
      <w:r>
        <w:rPr>
          <w:i/>
          <w:iCs/>
        </w:rPr>
        <w:t xml:space="preserve"> + ε</w:t>
      </w:r>
      <w:r>
        <w:rPr>
          <w:i/>
          <w:iCs/>
          <w:vertAlign w:val="subscript"/>
        </w:rPr>
        <w:t>i</w:t>
      </w:r>
    </w:p>
    <w:p w14:paraId="56F3CC96" w14:textId="77777777" w:rsidR="00C446C1" w:rsidRDefault="00C446C1" w:rsidP="00C446C1">
      <w:r>
        <w:t>where</w:t>
      </w:r>
    </w:p>
    <w:p w14:paraId="61FC6FE1" w14:textId="77777777" w:rsidR="00C446C1" w:rsidRDefault="00C446C1" w:rsidP="00141252">
      <w:pPr>
        <w:spacing w:after="140"/>
        <w:ind w:left="360"/>
      </w:pPr>
      <w:r>
        <w:rPr>
          <w:i/>
          <w:iCs/>
        </w:rPr>
        <w:t>y</w:t>
      </w:r>
      <w:r>
        <w:rPr>
          <w:i/>
          <w:iCs/>
          <w:vertAlign w:val="subscript"/>
        </w:rPr>
        <w:t>i</w:t>
      </w:r>
      <w:r>
        <w:t xml:space="preserve"> is the outcome of interest (e.g., earnings, time to employment);</w:t>
      </w:r>
    </w:p>
    <w:p w14:paraId="2C5CFF54" w14:textId="77777777" w:rsidR="00C446C1" w:rsidRDefault="00C446C1" w:rsidP="00141252">
      <w:pPr>
        <w:spacing w:after="140"/>
        <w:ind w:left="360"/>
      </w:pPr>
      <w:r>
        <w:rPr>
          <w:i/>
          <w:iCs/>
        </w:rPr>
        <w:t>α</w:t>
      </w:r>
      <w:r>
        <w:t xml:space="preserve"> is the intercept, which can be interpreted as the regression-adjusted control group mean;</w:t>
      </w:r>
    </w:p>
    <w:p w14:paraId="06BC0546" w14:textId="77777777" w:rsidR="00C446C1" w:rsidRDefault="00C446C1" w:rsidP="00141252">
      <w:pPr>
        <w:spacing w:after="140"/>
        <w:ind w:left="360"/>
      </w:pPr>
      <w:r>
        <w:rPr>
          <w:i/>
          <w:iCs/>
        </w:rPr>
        <w:t>T</w:t>
      </w:r>
      <w:r>
        <w:rPr>
          <w:vertAlign w:val="subscript"/>
        </w:rPr>
        <w:t>i</w:t>
      </w:r>
      <w:r>
        <w:t xml:space="preserve"> is the treatment indicator (1 for those individuals assigned to</w:t>
      </w:r>
      <w:r w:rsidR="00D23F81">
        <w:t xml:space="preserve"> a particular (existing)</w:t>
      </w:r>
      <w:r w:rsidR="008653B9">
        <w:t xml:space="preserve"> JSA model</w:t>
      </w:r>
      <w:r>
        <w:t>; 0 for the individuals</w:t>
      </w:r>
      <w:r w:rsidR="008653B9">
        <w:t xml:space="preserve"> assigned to the </w:t>
      </w:r>
      <w:r w:rsidR="00035740">
        <w:t>other</w:t>
      </w:r>
      <w:r w:rsidR="008653B9">
        <w:t xml:space="preserve"> JSA model</w:t>
      </w:r>
      <w:r>
        <w:t>);</w:t>
      </w:r>
    </w:p>
    <w:p w14:paraId="7622F40A" w14:textId="77777777" w:rsidR="00C446C1" w:rsidRDefault="00C446C1" w:rsidP="00141252">
      <w:pPr>
        <w:spacing w:after="140"/>
        <w:ind w:left="360"/>
      </w:pPr>
      <w:r>
        <w:rPr>
          <w:i/>
          <w:iCs/>
        </w:rPr>
        <w:t>δ</w:t>
      </w:r>
      <w:r>
        <w:t xml:space="preserve"> is the </w:t>
      </w:r>
      <w:r w:rsidR="008653B9">
        <w:t xml:space="preserve">incremental effect of the </w:t>
      </w:r>
      <w:r w:rsidR="00035740">
        <w:t>first</w:t>
      </w:r>
      <w:r w:rsidR="008653B9">
        <w:t xml:space="preserve"> </w:t>
      </w:r>
      <w:r w:rsidR="00BA0C6E">
        <w:t xml:space="preserve">JSA model (relative to the </w:t>
      </w:r>
      <w:r w:rsidR="00035740">
        <w:t>second</w:t>
      </w:r>
      <w:r w:rsidR="00BA0C6E">
        <w:t xml:space="preserve"> JSA model)</w:t>
      </w:r>
      <w:r>
        <w:t>;</w:t>
      </w:r>
    </w:p>
    <w:p w14:paraId="35F92AE1" w14:textId="77777777" w:rsidR="00C446C1" w:rsidRDefault="00C446C1" w:rsidP="00141252">
      <w:pPr>
        <w:spacing w:after="140"/>
        <w:ind w:left="360"/>
      </w:pPr>
      <w:r>
        <w:rPr>
          <w:i/>
          <w:iCs/>
        </w:rPr>
        <w:t>X</w:t>
      </w:r>
      <w:r>
        <w:rPr>
          <w:i/>
          <w:iCs/>
          <w:vertAlign w:val="subscript"/>
        </w:rPr>
        <w:t>i</w:t>
      </w:r>
      <w:r>
        <w:rPr>
          <w:i/>
          <w:iCs/>
        </w:rPr>
        <w:t xml:space="preserve"> </w:t>
      </w:r>
      <w:r>
        <w:t>is a</w:t>
      </w:r>
      <w:r>
        <w:rPr>
          <w:i/>
          <w:iCs/>
        </w:rPr>
        <w:t xml:space="preserve"> </w:t>
      </w:r>
      <w:r>
        <w:t>vector of baseline characteristics</w:t>
      </w:r>
      <w:r w:rsidR="009F2135">
        <w:t xml:space="preserve"> measured </w:t>
      </w:r>
      <w:r w:rsidR="007D06D5">
        <w:t>by</w:t>
      </w:r>
      <w:r w:rsidR="009F2135">
        <w:t xml:space="preserve"> the BIF (baseline information form)</w:t>
      </w:r>
      <w:r w:rsidR="007D06D5">
        <w:t xml:space="preserve"> and centered around site-level means</w:t>
      </w:r>
      <w:r>
        <w:t>;</w:t>
      </w:r>
    </w:p>
    <w:p w14:paraId="32EECE55" w14:textId="77777777" w:rsidR="00C446C1" w:rsidRDefault="00C446C1" w:rsidP="00141252">
      <w:pPr>
        <w:spacing w:after="140"/>
        <w:ind w:left="360"/>
      </w:pPr>
      <w:r>
        <w:rPr>
          <w:i/>
          <w:iCs/>
        </w:rPr>
        <w:t xml:space="preserve">β </w:t>
      </w:r>
      <w:r>
        <w:t>are the coefficients indicating the contribution of each of the baseline characteristics to the outcome;</w:t>
      </w:r>
    </w:p>
    <w:p w14:paraId="0E6E6F7E" w14:textId="77777777" w:rsidR="00C446C1" w:rsidRDefault="00C446C1" w:rsidP="00141252">
      <w:pPr>
        <w:spacing w:after="140"/>
        <w:ind w:left="360"/>
      </w:pPr>
      <w:r>
        <w:t>ε</w:t>
      </w:r>
      <w:r>
        <w:rPr>
          <w:vertAlign w:val="subscript"/>
        </w:rPr>
        <w:t>i</w:t>
      </w:r>
      <w:r>
        <w:t xml:space="preserve"> is the residual error term; and</w:t>
      </w:r>
    </w:p>
    <w:p w14:paraId="3DB7FBBB" w14:textId="77777777" w:rsidR="00C446C1" w:rsidRDefault="00C446C1" w:rsidP="00141252">
      <w:pPr>
        <w:spacing w:after="140"/>
        <w:ind w:left="360"/>
      </w:pPr>
      <w:r>
        <w:t xml:space="preserve">the subscript </w:t>
      </w:r>
      <w:r>
        <w:rPr>
          <w:i/>
          <w:iCs/>
        </w:rPr>
        <w:t>i</w:t>
      </w:r>
      <w:r>
        <w:t xml:space="preserve"> indexes individuals.</w:t>
      </w:r>
    </w:p>
    <w:p w14:paraId="56410F4C" w14:textId="77777777" w:rsidR="009F2135" w:rsidRDefault="00C446C1" w:rsidP="00C446C1">
      <w:r>
        <w:t xml:space="preserve">We </w:t>
      </w:r>
      <w:r w:rsidR="009F2135">
        <w:t xml:space="preserve">will use survey regression software like SAS/SurveyReg for the analysis </w:t>
      </w:r>
      <w:r w:rsidR="00F07654">
        <w:t xml:space="preserve">of incremental effects of the various JSA models on survey-measured endpoints </w:t>
      </w:r>
      <w:r w:rsidR="009F2135">
        <w:t xml:space="preserve">so that we can use weights in the analysis.  The weights </w:t>
      </w:r>
      <w:r w:rsidR="007D06D5">
        <w:t xml:space="preserve">will reflect inverse </w:t>
      </w:r>
      <w:r w:rsidR="009F2135">
        <w:t>probabilities of response to the survey</w:t>
      </w:r>
      <w:r w:rsidR="007D06D5">
        <w:t xml:space="preserve"> modeled through logistic regression as a function of baseline characteristics</w:t>
      </w:r>
      <w:r w:rsidR="00C07202">
        <w:t xml:space="preserve"> </w:t>
      </w:r>
      <w:r w:rsidR="009F2135">
        <w:t xml:space="preserve">measured </w:t>
      </w:r>
      <w:r w:rsidR="007D06D5">
        <w:t>by</w:t>
      </w:r>
      <w:r w:rsidR="009F2135">
        <w:t xml:space="preserve"> the BIF</w:t>
      </w:r>
      <w:r w:rsidR="004A6887">
        <w:t>, as is discussed further in Section B.3.4</w:t>
      </w:r>
      <w:r w:rsidR="009F2135">
        <w:t xml:space="preserve">.  </w:t>
      </w:r>
      <w:r w:rsidR="00355303">
        <w:t>With regard to clustering, a</w:t>
      </w:r>
      <w:r w:rsidR="00BA0C6E">
        <w:t xml:space="preserve">lthough multiple offices will typically be involved in each study site, it appears unlikely that there will be more than a handful of cooperating offices within any single site.  As a result, it seems likely to be infeasible to reflect the impact of office-level clustering on variances. </w:t>
      </w:r>
    </w:p>
    <w:p w14:paraId="18F4B2B3" w14:textId="77777777" w:rsidR="00FB6053" w:rsidRDefault="00FE2CF3" w:rsidP="00C83394">
      <w:r>
        <w:t>For the third research question, we plan two types of analysis.  One will closely resemble the analyses for the second research question</w:t>
      </w:r>
      <w:r w:rsidR="00460CF6">
        <w:t>,</w:t>
      </w:r>
      <w:r>
        <w:t xml:space="preserve"> but will focus on </w:t>
      </w:r>
      <w:r w:rsidR="00FB6053">
        <w:t xml:space="preserve">estimating differences in the level and content of job search services received by sample members in each of the two groups for each site.  </w:t>
      </w:r>
      <w:r>
        <w:t xml:space="preserve">These will help interpret any significant findings related to the first and second research questions.  The other type of </w:t>
      </w:r>
      <w:r w:rsidR="00C83394">
        <w:t xml:space="preserve">analysis will involve </w:t>
      </w:r>
      <w:r w:rsidR="00FB6053">
        <w:t xml:space="preserve">developing </w:t>
      </w:r>
      <w:r w:rsidR="00C83394">
        <w:t>models of</w:t>
      </w:r>
      <w:r w:rsidR="00F07654">
        <w:t xml:space="preserve"> earnings and TANF </w:t>
      </w:r>
      <w:r w:rsidR="00D10F8C">
        <w:t>receipt</w:t>
      </w:r>
      <w:r w:rsidR="00F07654">
        <w:t xml:space="preserve"> in terms of use of various JSA services measure</w:t>
      </w:r>
      <w:r w:rsidR="00FB6053">
        <w:t xml:space="preserve">d in the survey. These exploratory analyses will examine linkages between JSA services and employment and earnings.  </w:t>
      </w:r>
      <w:r w:rsidR="000C3C27">
        <w:t xml:space="preserve">These </w:t>
      </w:r>
      <w:r w:rsidR="005113E2">
        <w:t xml:space="preserve">analyses </w:t>
      </w:r>
      <w:r w:rsidR="000C3C27">
        <w:t xml:space="preserve">will be </w:t>
      </w:r>
      <w:r w:rsidR="00FB6053">
        <w:t xml:space="preserve">conducted </w:t>
      </w:r>
      <w:r w:rsidR="000C3C27">
        <w:t>on the pooled dataset</w:t>
      </w:r>
      <w:r w:rsidR="00C07202">
        <w:t xml:space="preserve"> </w:t>
      </w:r>
      <w:r w:rsidR="005113E2">
        <w:t>and</w:t>
      </w:r>
      <w:r w:rsidR="00F07654">
        <w:t xml:space="preserve"> will be useful for developing recommendations for the next generation of JSA models.</w:t>
      </w:r>
      <w:r w:rsidR="00B67063">
        <w:t xml:space="preserve"> </w:t>
      </w:r>
    </w:p>
    <w:p w14:paraId="7E783991" w14:textId="77777777" w:rsidR="00C83394" w:rsidRDefault="00C83394" w:rsidP="00C83394">
      <w:r>
        <w:t>For the fourth research question, we will also build a logistic model for employment in terms of job search strategies.  We anticipate that t</w:t>
      </w:r>
      <w:r w:rsidR="00D10F8C">
        <w:t>his model may involve a fairly d</w:t>
      </w:r>
      <w:r>
        <w:t xml:space="preserve">eep set of interactions.  To try to minimize the danger of overfitting this model, we will reserve at least a fourth of the sample for testing models developed on the first portion of the sample.  </w:t>
      </w:r>
    </w:p>
    <w:p w14:paraId="654566E2" w14:textId="77777777" w:rsidR="001572EB" w:rsidRDefault="001572EB" w:rsidP="001572EB">
      <w:pPr>
        <w:pStyle w:val="Heading3"/>
      </w:pPr>
      <w:r>
        <w:t>B.2.3</w:t>
      </w:r>
      <w:r>
        <w:tab/>
        <w:t>Degree of Accuracy Required</w:t>
      </w:r>
    </w:p>
    <w:p w14:paraId="3288EC01" w14:textId="311946D1" w:rsidR="0017246F" w:rsidRDefault="0017246F" w:rsidP="0017246F">
      <w:r>
        <w:t xml:space="preserve">Minimum detectable </w:t>
      </w:r>
      <w:r w:rsidRPr="0052314C">
        <w:rPr>
          <w:szCs w:val="24"/>
        </w:rPr>
        <w:t xml:space="preserve">differential </w:t>
      </w:r>
      <w:r>
        <w:t xml:space="preserve">effects (MDDEs) between JSA approaches in a given site are provided in Exhibit B.2.  </w:t>
      </w:r>
      <w:r w:rsidRPr="00C501F7">
        <w:rPr>
          <w:szCs w:val="22"/>
        </w:rPr>
        <w:t xml:space="preserve">  The MDDEs are based on the final sample size in each site.  They show that there is an 80-percent chance that the impact analysis will detect as statistically significant true differential effects on the employment rate of between 5 percentage points (New York City and Michigan) and 11 percentage points (Sacramento).  Bigger differential effects than these will have a greater than 80-percent chance of detection.  Smaller true impacts may elude detection and are more likely to occur than differential effects of the magnitude shown in Sacramento—and possibly in the other sites—given that one JSA approach must outstrip the other in a given site for any differential effect at all to occur.  In Sacramento, a true differential impact of 8.6 percentage points will have a 60-percent chance of detection and 7.4 percentage points will have a 50-percent chance of detection.</w:t>
      </w:r>
      <w:r w:rsidRPr="00C501F7">
        <w:rPr>
          <w:rStyle w:val="FootnoteReference"/>
          <w:szCs w:val="22"/>
        </w:rPr>
        <w:footnoteReference w:id="1"/>
      </w:r>
      <w:r>
        <w:rPr>
          <w:sz w:val="24"/>
          <w:szCs w:val="24"/>
        </w:rPr>
        <w:t xml:space="preserve">  </w:t>
      </w:r>
      <w:r>
        <w:t xml:space="preserve"> </w:t>
      </w:r>
    </w:p>
    <w:p w14:paraId="49D2BE86" w14:textId="3D7B8AE7" w:rsidR="0017246F" w:rsidRPr="00C501F7" w:rsidRDefault="0017246F" w:rsidP="0017246F">
      <w:pPr>
        <w:spacing w:after="100" w:afterAutospacing="1" w:line="240" w:lineRule="auto"/>
        <w:rPr>
          <w:szCs w:val="22"/>
        </w:rPr>
      </w:pPr>
      <w:r w:rsidRPr="00C501F7">
        <w:rPr>
          <w:szCs w:val="22"/>
        </w:rPr>
        <w:t xml:space="preserve">MDDEs for illustrative survey outcomes are shown in the bottom panel of Exhibit </w:t>
      </w:r>
      <w:r>
        <w:rPr>
          <w:szCs w:val="22"/>
        </w:rPr>
        <w:t>B.</w:t>
      </w:r>
      <w:r w:rsidRPr="00C501F7">
        <w:rPr>
          <w:szCs w:val="22"/>
        </w:rPr>
        <w:t>2.  Sample sizes are smaller here</w:t>
      </w:r>
      <w:r w:rsidRPr="004A6350">
        <w:rPr>
          <w:szCs w:val="22"/>
        </w:rPr>
        <w:t xml:space="preserve">.  While </w:t>
      </w:r>
      <w:r w:rsidR="00105D62" w:rsidRPr="004A6350">
        <w:rPr>
          <w:szCs w:val="22"/>
        </w:rPr>
        <w:t xml:space="preserve">a response rate of 80 percent is target in survey efforts using a mixed-mode fielding approach, because </w:t>
      </w:r>
      <w:r w:rsidR="004A6350">
        <w:rPr>
          <w:szCs w:val="22"/>
        </w:rPr>
        <w:t xml:space="preserve">the </w:t>
      </w:r>
      <w:r w:rsidR="00105D62" w:rsidRPr="004A6350">
        <w:rPr>
          <w:szCs w:val="22"/>
        </w:rPr>
        <w:t xml:space="preserve">JSA </w:t>
      </w:r>
      <w:r w:rsidR="00BC338E" w:rsidRPr="004A6350">
        <w:rPr>
          <w:szCs w:val="22"/>
        </w:rPr>
        <w:t>six-</w:t>
      </w:r>
      <w:r w:rsidRPr="004A6350">
        <w:rPr>
          <w:szCs w:val="22"/>
        </w:rPr>
        <w:t>month follow-up survey</w:t>
      </w:r>
      <w:r w:rsidR="00105D62" w:rsidRPr="004A6350">
        <w:rPr>
          <w:szCs w:val="22"/>
        </w:rPr>
        <w:t xml:space="preserve"> is being conducted entirely by phone</w:t>
      </w:r>
      <w:r w:rsidRPr="004A6350">
        <w:rPr>
          <w:szCs w:val="22"/>
        </w:rPr>
        <w:t>, the</w:t>
      </w:r>
      <w:r w:rsidR="00105D62" w:rsidRPr="004A6350">
        <w:rPr>
          <w:szCs w:val="22"/>
        </w:rPr>
        <w:t xml:space="preserve"> response rate is approximately 60 percent</w:t>
      </w:r>
      <w:r w:rsidRPr="004A6350">
        <w:rPr>
          <w:szCs w:val="22"/>
        </w:rPr>
        <w:t xml:space="preserve">.  </w:t>
      </w:r>
      <w:r w:rsidRPr="004A6350">
        <w:t xml:space="preserve"> </w:t>
      </w:r>
      <w:r w:rsidRPr="004A6350">
        <w:rPr>
          <w:szCs w:val="22"/>
        </w:rPr>
        <w:t>Thus, the MDDEs use the more conservative estimate.</w:t>
      </w:r>
      <w:r w:rsidRPr="004A5728">
        <w:rPr>
          <w:szCs w:val="22"/>
        </w:rPr>
        <w:t xml:space="preserve">   </w:t>
      </w:r>
      <w:r w:rsidRPr="00C501F7">
        <w:rPr>
          <w:szCs w:val="22"/>
        </w:rPr>
        <w:t>Here, the smallest detectable differential impacts are expressed as “effect sizes,” in standard deviation units.  This makes the guidance provided universally applicable to all outcomes.  Hence, for example, a 0.25 effect size represents a differential impact sufficient to take a person at the mid-point of the outcome distribution (the 50</w:t>
      </w:r>
      <w:r w:rsidRPr="00C501F7">
        <w:rPr>
          <w:szCs w:val="22"/>
          <w:vertAlign w:val="superscript"/>
        </w:rPr>
        <w:t>th</w:t>
      </w:r>
      <w:r w:rsidRPr="00C501F7">
        <w:rPr>
          <w:szCs w:val="22"/>
        </w:rPr>
        <w:t xml:space="preserve"> percentile) to the 60</w:t>
      </w:r>
      <w:r w:rsidRPr="00C501F7">
        <w:rPr>
          <w:szCs w:val="22"/>
          <w:vertAlign w:val="superscript"/>
        </w:rPr>
        <w:t>th</w:t>
      </w:r>
      <w:r w:rsidRPr="00C501F7">
        <w:rPr>
          <w:szCs w:val="22"/>
        </w:rPr>
        <w:t xml:space="preserve"> percentile, no matter what survey-measured outcome is under consideration.  As can be seen in the exhibit, the impact evaluation in New York City will have an 80-percent chance of detecting a differential impact half this size, 0.124 of a standard deviation.  Survey analysis in Michigan will be nearly as discerning, with a 0.140 standard deviation minimum detectable differential effect.  Sacramento, on the other hand, has a much larger 0.312 standard deviation minimum detectable differential impact, although true differences in impact for survey outcomes in Sacramento as small as 0.206 of a standard deviation will have a 50-percent chance of detection.</w:t>
      </w:r>
    </w:p>
    <w:p w14:paraId="5F6D3EE6" w14:textId="77777777" w:rsidR="007B1063" w:rsidRDefault="007B1063" w:rsidP="007B1063">
      <w:pPr>
        <w:pStyle w:val="Caption"/>
        <w:tabs>
          <w:tab w:val="clear" w:pos="1440"/>
          <w:tab w:val="left" w:pos="1260"/>
        </w:tabs>
        <w:ind w:left="1350" w:hanging="1350"/>
        <w:rPr>
          <w:sz w:val="18"/>
          <w:szCs w:val="18"/>
        </w:rPr>
      </w:pPr>
      <w:r w:rsidRPr="006620F6">
        <w:rPr>
          <w:sz w:val="18"/>
          <w:szCs w:val="18"/>
        </w:rPr>
        <w:t xml:space="preserve">Exhibit B.2: Minimum Detectable </w:t>
      </w:r>
      <w:r w:rsidR="00FD224F">
        <w:rPr>
          <w:sz w:val="18"/>
          <w:szCs w:val="18"/>
        </w:rPr>
        <w:t>D</w:t>
      </w:r>
      <w:r w:rsidR="00FD224F" w:rsidRPr="00FD224F">
        <w:rPr>
          <w:sz w:val="18"/>
          <w:szCs w:val="18"/>
        </w:rPr>
        <w:t xml:space="preserve">ifferential </w:t>
      </w:r>
      <w:r w:rsidRPr="006620F6">
        <w:rPr>
          <w:sz w:val="18"/>
          <w:szCs w:val="18"/>
        </w:rPr>
        <w:t>Effects (MD</w:t>
      </w:r>
      <w:r w:rsidR="00FD224F">
        <w:rPr>
          <w:sz w:val="18"/>
          <w:szCs w:val="18"/>
        </w:rPr>
        <w:t>D</w:t>
      </w:r>
      <w:r w:rsidRPr="006620F6">
        <w:rPr>
          <w:sz w:val="18"/>
          <w:szCs w:val="18"/>
        </w:rPr>
        <w:t xml:space="preserve">Es) </w:t>
      </w:r>
      <w:r w:rsidR="00FB6053" w:rsidRPr="006620F6">
        <w:rPr>
          <w:sz w:val="18"/>
          <w:szCs w:val="18"/>
        </w:rPr>
        <w:t>of JSA Approaches</w:t>
      </w:r>
    </w:p>
    <w:tbl>
      <w:tblPr>
        <w:tblStyle w:val="TableGrid1"/>
        <w:tblW w:w="8100" w:type="dxa"/>
        <w:tblInd w:w="108" w:type="dxa"/>
        <w:tblLook w:val="04A0" w:firstRow="1" w:lastRow="0" w:firstColumn="1" w:lastColumn="0" w:noHBand="0" w:noVBand="1"/>
      </w:tblPr>
      <w:tblGrid>
        <w:gridCol w:w="4500"/>
        <w:gridCol w:w="3600"/>
      </w:tblGrid>
      <w:tr w:rsidR="0017246F" w:rsidRPr="0017246F" w14:paraId="38D8EE30" w14:textId="77777777" w:rsidTr="004039FA">
        <w:trPr>
          <w:trHeight w:val="620"/>
        </w:trPr>
        <w:tc>
          <w:tcPr>
            <w:tcW w:w="4500" w:type="dxa"/>
            <w:shd w:val="clear" w:color="auto" w:fill="DA291C"/>
            <w:vAlign w:val="center"/>
          </w:tcPr>
          <w:p w14:paraId="7D12F596" w14:textId="77777777" w:rsidR="0017246F" w:rsidRPr="0017246F" w:rsidRDefault="0017246F" w:rsidP="004039FA">
            <w:pPr>
              <w:pStyle w:val="Table"/>
              <w:keepNext/>
              <w:spacing w:line="240" w:lineRule="auto"/>
              <w:rPr>
                <w:rFonts w:cs="Arial"/>
                <w:b/>
                <w:color w:val="FFFFFF" w:themeColor="background1"/>
                <w:szCs w:val="24"/>
              </w:rPr>
            </w:pPr>
            <w:r w:rsidRPr="0017246F">
              <w:rPr>
                <w:rFonts w:cs="Arial"/>
                <w:b/>
                <w:color w:val="FFFFFF" w:themeColor="background1"/>
                <w:szCs w:val="24"/>
              </w:rPr>
              <w:t>Employment in second quarter after random assignment (confirmatory outcome)</w:t>
            </w:r>
          </w:p>
        </w:tc>
        <w:tc>
          <w:tcPr>
            <w:tcW w:w="3600" w:type="dxa"/>
            <w:shd w:val="clear" w:color="auto" w:fill="DA291C"/>
            <w:vAlign w:val="center"/>
          </w:tcPr>
          <w:p w14:paraId="5B647B3E" w14:textId="77777777" w:rsidR="0017246F" w:rsidRPr="0017246F" w:rsidRDefault="0017246F" w:rsidP="004039FA">
            <w:pPr>
              <w:pStyle w:val="Table"/>
              <w:keepNext/>
              <w:spacing w:line="240" w:lineRule="auto"/>
              <w:rPr>
                <w:rFonts w:cs="Arial"/>
                <w:b/>
                <w:color w:val="FFFFFF" w:themeColor="background1"/>
                <w:szCs w:val="24"/>
              </w:rPr>
            </w:pPr>
            <w:r w:rsidRPr="0017246F">
              <w:rPr>
                <w:rFonts w:cs="Arial"/>
                <w:b/>
                <w:color w:val="FFFFFF" w:themeColor="background1"/>
                <w:szCs w:val="24"/>
              </w:rPr>
              <w:t>Differential impact on percent employed</w:t>
            </w:r>
          </w:p>
        </w:tc>
      </w:tr>
      <w:tr w:rsidR="0017246F" w:rsidRPr="0017246F" w14:paraId="05E92D16" w14:textId="77777777" w:rsidTr="004039FA">
        <w:trPr>
          <w:trHeight w:val="389"/>
        </w:trPr>
        <w:tc>
          <w:tcPr>
            <w:tcW w:w="4500" w:type="dxa"/>
            <w:vAlign w:val="center"/>
          </w:tcPr>
          <w:p w14:paraId="75367A28" w14:textId="77777777" w:rsidR="0017246F" w:rsidRPr="0017246F" w:rsidRDefault="0017246F" w:rsidP="004039FA">
            <w:pPr>
              <w:pStyle w:val="Table"/>
              <w:keepNext/>
              <w:spacing w:line="240" w:lineRule="auto"/>
              <w:rPr>
                <w:rFonts w:cs="Arial"/>
                <w:b/>
                <w:sz w:val="18"/>
                <w:szCs w:val="24"/>
              </w:rPr>
            </w:pPr>
            <w:r w:rsidRPr="0017246F">
              <w:rPr>
                <w:rFonts w:cs="Arial"/>
                <w:sz w:val="18"/>
                <w:szCs w:val="24"/>
              </w:rPr>
              <w:t>New York City  (N=2,680)</w:t>
            </w:r>
          </w:p>
        </w:tc>
        <w:tc>
          <w:tcPr>
            <w:tcW w:w="3600" w:type="dxa"/>
            <w:vAlign w:val="center"/>
          </w:tcPr>
          <w:p w14:paraId="45F93EC0"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4.8 percentage points</w:t>
            </w:r>
          </w:p>
        </w:tc>
      </w:tr>
      <w:tr w:rsidR="0017246F" w:rsidRPr="0017246F" w14:paraId="725D43D3" w14:textId="77777777" w:rsidTr="004039FA">
        <w:trPr>
          <w:trHeight w:val="389"/>
        </w:trPr>
        <w:tc>
          <w:tcPr>
            <w:tcW w:w="4500" w:type="dxa"/>
            <w:vAlign w:val="center"/>
          </w:tcPr>
          <w:p w14:paraId="5D735698" w14:textId="77777777" w:rsidR="0017246F" w:rsidRPr="0017246F" w:rsidRDefault="0017246F" w:rsidP="004039FA">
            <w:pPr>
              <w:pStyle w:val="Table"/>
              <w:keepNext/>
              <w:spacing w:line="240" w:lineRule="auto"/>
              <w:rPr>
                <w:rFonts w:cs="Arial"/>
                <w:b/>
                <w:sz w:val="18"/>
                <w:szCs w:val="24"/>
              </w:rPr>
            </w:pPr>
            <w:r w:rsidRPr="0017246F">
              <w:rPr>
                <w:rFonts w:cs="Arial"/>
                <w:sz w:val="18"/>
                <w:szCs w:val="24"/>
              </w:rPr>
              <w:t>Sacramento  (N=493)</w:t>
            </w:r>
          </w:p>
        </w:tc>
        <w:tc>
          <w:tcPr>
            <w:tcW w:w="3600" w:type="dxa"/>
            <w:vAlign w:val="center"/>
          </w:tcPr>
          <w:p w14:paraId="2CCDE880"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11.2 percentage points</w:t>
            </w:r>
          </w:p>
        </w:tc>
      </w:tr>
      <w:tr w:rsidR="0017246F" w:rsidRPr="0017246F" w14:paraId="1DB35363" w14:textId="77777777" w:rsidTr="004039FA">
        <w:trPr>
          <w:trHeight w:val="389"/>
        </w:trPr>
        <w:tc>
          <w:tcPr>
            <w:tcW w:w="4500" w:type="dxa"/>
            <w:vAlign w:val="center"/>
          </w:tcPr>
          <w:p w14:paraId="7EFFE0DF" w14:textId="77777777" w:rsidR="0017246F" w:rsidRPr="0017246F" w:rsidRDefault="0017246F" w:rsidP="004039FA">
            <w:pPr>
              <w:pStyle w:val="Table"/>
              <w:keepNext/>
              <w:spacing w:line="240" w:lineRule="auto"/>
              <w:rPr>
                <w:rFonts w:cs="Arial"/>
                <w:b/>
                <w:sz w:val="18"/>
                <w:szCs w:val="24"/>
              </w:rPr>
            </w:pPr>
            <w:r w:rsidRPr="0017246F">
              <w:rPr>
                <w:rFonts w:cs="Arial"/>
                <w:sz w:val="18"/>
                <w:szCs w:val="24"/>
              </w:rPr>
              <w:t>Michigan  (N=2,078)</w:t>
            </w:r>
          </w:p>
        </w:tc>
        <w:tc>
          <w:tcPr>
            <w:tcW w:w="3600" w:type="dxa"/>
            <w:vAlign w:val="center"/>
          </w:tcPr>
          <w:p w14:paraId="3962C884"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5.5 percentage points</w:t>
            </w:r>
          </w:p>
        </w:tc>
      </w:tr>
      <w:tr w:rsidR="0017246F" w:rsidRPr="0017246F" w14:paraId="78CD5E84" w14:textId="77777777" w:rsidTr="004039FA">
        <w:trPr>
          <w:trHeight w:val="539"/>
        </w:trPr>
        <w:tc>
          <w:tcPr>
            <w:tcW w:w="4500" w:type="dxa"/>
            <w:shd w:val="clear" w:color="auto" w:fill="DA291C"/>
            <w:vAlign w:val="center"/>
          </w:tcPr>
          <w:p w14:paraId="0392B1DE" w14:textId="77777777" w:rsidR="0017246F" w:rsidRPr="0017246F" w:rsidRDefault="0017246F" w:rsidP="004039FA">
            <w:pPr>
              <w:pStyle w:val="Table"/>
              <w:keepNext/>
              <w:spacing w:line="240" w:lineRule="auto"/>
              <w:rPr>
                <w:rFonts w:cs="Arial"/>
                <w:b/>
                <w:color w:val="FFFFFF" w:themeColor="background1"/>
                <w:szCs w:val="24"/>
              </w:rPr>
            </w:pPr>
            <w:r w:rsidRPr="0017246F">
              <w:rPr>
                <w:rFonts w:cs="Arial"/>
                <w:b/>
                <w:color w:val="FFFFFF" w:themeColor="background1"/>
                <w:szCs w:val="24"/>
              </w:rPr>
              <w:t>Survey outcomes</w:t>
            </w:r>
          </w:p>
        </w:tc>
        <w:tc>
          <w:tcPr>
            <w:tcW w:w="3600" w:type="dxa"/>
            <w:shd w:val="clear" w:color="auto" w:fill="DA291C"/>
            <w:vAlign w:val="center"/>
          </w:tcPr>
          <w:p w14:paraId="2DBE4E44" w14:textId="77777777" w:rsidR="0017246F" w:rsidRPr="0017246F" w:rsidRDefault="0017246F" w:rsidP="004039FA">
            <w:pPr>
              <w:pStyle w:val="Table"/>
              <w:keepNext/>
              <w:spacing w:line="240" w:lineRule="auto"/>
              <w:rPr>
                <w:rFonts w:cs="Arial"/>
                <w:b/>
                <w:color w:val="FFFFFF" w:themeColor="background1"/>
                <w:szCs w:val="24"/>
              </w:rPr>
            </w:pPr>
            <w:r w:rsidRPr="0017246F">
              <w:rPr>
                <w:rFonts w:cs="Arial"/>
                <w:b/>
                <w:color w:val="FFFFFF" w:themeColor="background1"/>
                <w:szCs w:val="24"/>
              </w:rPr>
              <w:t>Differential impact in standard deviation units (effect size)</w:t>
            </w:r>
          </w:p>
        </w:tc>
      </w:tr>
      <w:tr w:rsidR="0017246F" w:rsidRPr="0017246F" w14:paraId="632420C9" w14:textId="77777777" w:rsidTr="004039FA">
        <w:trPr>
          <w:trHeight w:val="389"/>
        </w:trPr>
        <w:tc>
          <w:tcPr>
            <w:tcW w:w="4500" w:type="dxa"/>
            <w:vAlign w:val="center"/>
          </w:tcPr>
          <w:p w14:paraId="79AFE9A8"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New York City  (N=1,582)</w:t>
            </w:r>
          </w:p>
        </w:tc>
        <w:tc>
          <w:tcPr>
            <w:tcW w:w="3600" w:type="dxa"/>
            <w:vAlign w:val="center"/>
          </w:tcPr>
          <w:p w14:paraId="6CA3CE09"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0.124</w:t>
            </w:r>
          </w:p>
        </w:tc>
      </w:tr>
      <w:tr w:rsidR="0017246F" w:rsidRPr="0017246F" w14:paraId="3F8CB343" w14:textId="77777777" w:rsidTr="004039FA">
        <w:trPr>
          <w:trHeight w:val="389"/>
        </w:trPr>
        <w:tc>
          <w:tcPr>
            <w:tcW w:w="4500" w:type="dxa"/>
            <w:vAlign w:val="center"/>
          </w:tcPr>
          <w:p w14:paraId="7C0AA00C"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Sacramento  (N=254</w:t>
            </w:r>
            <w:r w:rsidRPr="0017246F">
              <w:rPr>
                <w:rStyle w:val="FootnoteReference"/>
                <w:rFonts w:cs="Arial"/>
                <w:sz w:val="18"/>
                <w:szCs w:val="24"/>
              </w:rPr>
              <w:footnoteReference w:id="2"/>
            </w:r>
            <w:r w:rsidRPr="0017246F">
              <w:rPr>
                <w:rFonts w:cs="Arial"/>
                <w:sz w:val="18"/>
                <w:szCs w:val="24"/>
              </w:rPr>
              <w:t>)</w:t>
            </w:r>
          </w:p>
        </w:tc>
        <w:tc>
          <w:tcPr>
            <w:tcW w:w="3600" w:type="dxa"/>
            <w:vAlign w:val="center"/>
          </w:tcPr>
          <w:p w14:paraId="3EAAF52E"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0.312</w:t>
            </w:r>
          </w:p>
        </w:tc>
      </w:tr>
      <w:tr w:rsidR="0017246F" w:rsidRPr="0017246F" w14:paraId="69E6C019" w14:textId="77777777" w:rsidTr="004039FA">
        <w:trPr>
          <w:trHeight w:val="389"/>
        </w:trPr>
        <w:tc>
          <w:tcPr>
            <w:tcW w:w="4500" w:type="dxa"/>
            <w:vAlign w:val="center"/>
          </w:tcPr>
          <w:p w14:paraId="13C5EB1B"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Michigan  (N=1,218</w:t>
            </w:r>
            <w:r w:rsidRPr="0017246F">
              <w:rPr>
                <w:rStyle w:val="FootnoteReference"/>
                <w:rFonts w:cs="Arial"/>
                <w:sz w:val="18"/>
                <w:szCs w:val="24"/>
              </w:rPr>
              <w:footnoteReference w:id="3"/>
            </w:r>
            <w:r w:rsidRPr="0017246F">
              <w:rPr>
                <w:rFonts w:cs="Arial"/>
                <w:sz w:val="18"/>
                <w:szCs w:val="24"/>
              </w:rPr>
              <w:t>)</w:t>
            </w:r>
          </w:p>
        </w:tc>
        <w:tc>
          <w:tcPr>
            <w:tcW w:w="3600" w:type="dxa"/>
            <w:vAlign w:val="center"/>
          </w:tcPr>
          <w:p w14:paraId="2AD93584" w14:textId="77777777" w:rsidR="0017246F" w:rsidRPr="0017246F" w:rsidRDefault="0017246F" w:rsidP="004039FA">
            <w:pPr>
              <w:pStyle w:val="Table"/>
              <w:keepNext/>
              <w:spacing w:line="240" w:lineRule="auto"/>
              <w:rPr>
                <w:rFonts w:cs="Arial"/>
                <w:sz w:val="18"/>
                <w:szCs w:val="24"/>
              </w:rPr>
            </w:pPr>
            <w:r w:rsidRPr="0017246F">
              <w:rPr>
                <w:rFonts w:cs="Arial"/>
                <w:sz w:val="18"/>
                <w:szCs w:val="24"/>
              </w:rPr>
              <w:t>0.142</w:t>
            </w:r>
          </w:p>
        </w:tc>
      </w:tr>
    </w:tbl>
    <w:p w14:paraId="2FFD3EFB" w14:textId="77777777" w:rsidR="007B1063" w:rsidRPr="0045330E" w:rsidRDefault="007B1063" w:rsidP="007B1063">
      <w:pPr>
        <w:spacing w:line="240" w:lineRule="auto"/>
        <w:rPr>
          <w:sz w:val="20"/>
        </w:rPr>
      </w:pPr>
      <w:r w:rsidRPr="0045330E">
        <w:rPr>
          <w:sz w:val="20"/>
        </w:rPr>
        <w:t>Note:  M</w:t>
      </w:r>
      <w:r w:rsidR="005E3DE7">
        <w:rPr>
          <w:sz w:val="20"/>
        </w:rPr>
        <w:t>D</w:t>
      </w:r>
      <w:r w:rsidRPr="0045330E">
        <w:rPr>
          <w:sz w:val="20"/>
        </w:rPr>
        <w:t xml:space="preserve">DEs based on </w:t>
      </w:r>
      <w:r w:rsidR="002D084D">
        <w:rPr>
          <w:sz w:val="20"/>
        </w:rPr>
        <w:t>two</w:t>
      </w:r>
      <w:r w:rsidRPr="0045330E">
        <w:rPr>
          <w:sz w:val="20"/>
        </w:rPr>
        <w:t>-tailed test</w:t>
      </w:r>
      <w:r>
        <w:rPr>
          <w:sz w:val="20"/>
        </w:rPr>
        <w:t xml:space="preserve">s.  </w:t>
      </w:r>
      <w:r w:rsidR="00BF7B10">
        <w:rPr>
          <w:sz w:val="20"/>
        </w:rPr>
        <w:t xml:space="preserve">They are for detection of improvements, but capable of detecting reverses.  </w:t>
      </w:r>
      <w:r>
        <w:rPr>
          <w:sz w:val="20"/>
        </w:rPr>
        <w:t xml:space="preserve">The assumptions and calculations are </w:t>
      </w:r>
      <w:r w:rsidR="002D084D">
        <w:rPr>
          <w:sz w:val="20"/>
        </w:rPr>
        <w:t>similar to those</w:t>
      </w:r>
      <w:r>
        <w:rPr>
          <w:sz w:val="20"/>
        </w:rPr>
        <w:t xml:space="preserve"> </w:t>
      </w:r>
      <w:r w:rsidR="007E0F81">
        <w:rPr>
          <w:sz w:val="20"/>
        </w:rPr>
        <w:t xml:space="preserve">in </w:t>
      </w:r>
      <w:r>
        <w:rPr>
          <w:sz w:val="20"/>
        </w:rPr>
        <w:t>Abt Associates</w:t>
      </w:r>
      <w:r w:rsidR="007E0F81">
        <w:rPr>
          <w:sz w:val="20"/>
        </w:rPr>
        <w:t xml:space="preserve"> (2014)</w:t>
      </w:r>
      <w:r>
        <w:rPr>
          <w:sz w:val="20"/>
        </w:rPr>
        <w:t xml:space="preserve"> for the evaluation of Pathways for Advancing Careers and Education (PACE)(OMB No. 0970-0397).  </w:t>
      </w:r>
      <w:r w:rsidRPr="00910BA6">
        <w:rPr>
          <w:sz w:val="20"/>
        </w:rPr>
        <w:t>The projected variance reductions due to use of baseline variables are from Nisar, Klerman, and Juras (201</w:t>
      </w:r>
      <w:r w:rsidR="005E3DE7">
        <w:rPr>
          <w:sz w:val="20"/>
        </w:rPr>
        <w:t>2</w:t>
      </w:r>
      <w:r w:rsidRPr="00910BA6">
        <w:rPr>
          <w:sz w:val="20"/>
        </w:rPr>
        <w:t>).</w:t>
      </w:r>
      <w:r>
        <w:t xml:space="preserve">  </w:t>
      </w:r>
    </w:p>
    <w:p w14:paraId="2165FF93" w14:textId="77777777" w:rsidR="001572EB" w:rsidRDefault="001572EB" w:rsidP="001572EB">
      <w:pPr>
        <w:pStyle w:val="Heading3"/>
      </w:pPr>
      <w:r>
        <w:t>B.2.4</w:t>
      </w:r>
      <w:r>
        <w:tab/>
        <w:t>Who Will Collect the Data and How Will It Be Done</w:t>
      </w:r>
    </w:p>
    <w:p w14:paraId="610A5C74" w14:textId="77777777" w:rsidR="001572EB" w:rsidRDefault="005E63F8" w:rsidP="001572EB">
      <w:pPr>
        <w:pStyle w:val="BodyText"/>
      </w:pPr>
      <w:r>
        <w:t xml:space="preserve">The JSA </w:t>
      </w:r>
      <w:r w:rsidR="00652A6A">
        <w:t>s</w:t>
      </w:r>
      <w:r>
        <w:t>ix-</w:t>
      </w:r>
      <w:r w:rsidR="00652A6A">
        <w:t>m</w:t>
      </w:r>
      <w:r w:rsidR="001572EB">
        <w:t xml:space="preserve">onth </w:t>
      </w:r>
      <w:r w:rsidR="00652A6A">
        <w:t>f</w:t>
      </w:r>
      <w:r w:rsidR="001572EB">
        <w:t xml:space="preserve">ollow-up </w:t>
      </w:r>
      <w:r w:rsidR="00652A6A">
        <w:t>s</w:t>
      </w:r>
      <w:r w:rsidR="001572EB">
        <w:t xml:space="preserve">urvey </w:t>
      </w:r>
      <w:r w:rsidR="005E3DE7">
        <w:t>is</w:t>
      </w:r>
      <w:r w:rsidR="001572EB">
        <w:t xml:space="preserve"> administered by </w:t>
      </w:r>
      <w:r w:rsidR="000F0507">
        <w:t xml:space="preserve">telephone by </w:t>
      </w:r>
      <w:r w:rsidR="001572EB">
        <w:t xml:space="preserve">professional interviewers working in a centralized </w:t>
      </w:r>
      <w:r w:rsidR="000F0507">
        <w:t>computer-assisted telephone interview (</w:t>
      </w:r>
      <w:r w:rsidR="001572EB">
        <w:t>CATI</w:t>
      </w:r>
      <w:r w:rsidR="000F0507">
        <w:t>)</w:t>
      </w:r>
      <w:r w:rsidR="001572EB">
        <w:t xml:space="preserve"> system that allows real-time error checking and observation by supervisors. </w:t>
      </w:r>
    </w:p>
    <w:p w14:paraId="6589B4DE" w14:textId="77777777" w:rsidR="0072244E" w:rsidRDefault="0072244E" w:rsidP="0072244E">
      <w:pPr>
        <w:pStyle w:val="Heading3"/>
      </w:pPr>
      <w:r>
        <w:t>B.2.5</w:t>
      </w:r>
      <w:r>
        <w:tab/>
      </w:r>
      <w:bookmarkEnd w:id="12"/>
      <w:r w:rsidR="009C341F">
        <w:t>Unusual Problems Requiring Specialized Sampling Procedures</w:t>
      </w:r>
    </w:p>
    <w:p w14:paraId="6EEC839C" w14:textId="77777777" w:rsidR="0072244E" w:rsidRDefault="005E63F8" w:rsidP="0072244E">
      <w:pPr>
        <w:pStyle w:val="BodyText"/>
      </w:pPr>
      <w:r>
        <w:t>Not applicable</w:t>
      </w:r>
      <w:r w:rsidR="009C341F">
        <w:t>.</w:t>
      </w:r>
      <w:r w:rsidR="0072244E">
        <w:t xml:space="preserve"> </w:t>
      </w:r>
    </w:p>
    <w:p w14:paraId="0281E525" w14:textId="77777777" w:rsidR="009C341F" w:rsidRDefault="009C341F" w:rsidP="009C341F">
      <w:pPr>
        <w:pStyle w:val="Heading3"/>
      </w:pPr>
      <w:r>
        <w:t>B.2.6</w:t>
      </w:r>
      <w:r>
        <w:tab/>
        <w:t>Periodic Data Collection Cycles</w:t>
      </w:r>
    </w:p>
    <w:p w14:paraId="4C407E74" w14:textId="77777777" w:rsidR="009C341F" w:rsidRDefault="009C341F" w:rsidP="009C341F">
      <w:pPr>
        <w:pStyle w:val="BodyText"/>
      </w:pPr>
      <w:r>
        <w:t xml:space="preserve">The </w:t>
      </w:r>
      <w:r w:rsidR="005E63F8">
        <w:t>six-month follow-up s</w:t>
      </w:r>
      <w:r>
        <w:t>urvey</w:t>
      </w:r>
      <w:r w:rsidR="00A123CA">
        <w:t xml:space="preserve"> is</w:t>
      </w:r>
      <w:r>
        <w:t xml:space="preserve"> administered </w:t>
      </w:r>
      <w:r w:rsidR="002E49EF">
        <w:t>once</w:t>
      </w:r>
      <w:r w:rsidR="00A123CA">
        <w:t xml:space="preserve"> per study participant</w:t>
      </w:r>
      <w:r>
        <w:t xml:space="preserve">. </w:t>
      </w:r>
    </w:p>
    <w:p w14:paraId="614002F4" w14:textId="77777777" w:rsidR="0072244E" w:rsidRDefault="0072244E" w:rsidP="0072244E">
      <w:pPr>
        <w:pStyle w:val="Heading2"/>
      </w:pPr>
      <w:bookmarkStart w:id="13" w:name="_Toc322083617"/>
      <w:bookmarkStart w:id="14" w:name="_Toc354131261"/>
      <w:bookmarkStart w:id="15" w:name="_Toc428371970"/>
      <w:r>
        <w:t>B.3</w:t>
      </w:r>
      <w:r>
        <w:tab/>
        <w:t>Methods to Maximize Response Rates</w:t>
      </w:r>
      <w:bookmarkEnd w:id="13"/>
      <w:r w:rsidR="00B47E2D">
        <w:t xml:space="preserve"> and Address</w:t>
      </w:r>
      <w:r>
        <w:t xml:space="preserve"> Non-response</w:t>
      </w:r>
      <w:bookmarkEnd w:id="14"/>
      <w:bookmarkEnd w:id="15"/>
    </w:p>
    <w:p w14:paraId="6FBE412D" w14:textId="77777777" w:rsidR="00381FF1" w:rsidRDefault="00381FF1" w:rsidP="006620F6">
      <w:pPr>
        <w:pStyle w:val="BodyText"/>
      </w:pPr>
      <w:bookmarkStart w:id="16" w:name="_Toc354131262"/>
      <w:r w:rsidRPr="001C0FB6">
        <w:t xml:space="preserve">The methods to maximize response rates </w:t>
      </w:r>
      <w:r w:rsidR="008266BB">
        <w:t>are discussed with regard</w:t>
      </w:r>
      <w:r w:rsidR="000F0507">
        <w:t xml:space="preserve"> first</w:t>
      </w:r>
      <w:r w:rsidR="008266BB">
        <w:t xml:space="preserve"> to participant tracking and locating and then</w:t>
      </w:r>
      <w:r w:rsidR="000F0507">
        <w:t xml:space="preserve"> regarding</w:t>
      </w:r>
      <w:r w:rsidR="008266BB">
        <w:t xml:space="preserve"> </w:t>
      </w:r>
      <w:r w:rsidR="00B41A58">
        <w:t>t</w:t>
      </w:r>
      <w:r w:rsidR="008266BB">
        <w:t xml:space="preserve">he use of monetary tokens of appreciation.  </w:t>
      </w:r>
    </w:p>
    <w:p w14:paraId="70D742D2" w14:textId="77777777" w:rsidR="007760F1" w:rsidRPr="002E48E4" w:rsidRDefault="007760F1" w:rsidP="006620F6">
      <w:pPr>
        <w:pStyle w:val="Heading3"/>
      </w:pPr>
      <w:bookmarkStart w:id="17" w:name="_Toc329063944"/>
      <w:bookmarkStart w:id="18" w:name="_Toc403652253"/>
      <w:bookmarkStart w:id="19" w:name="_Toc354131263"/>
      <w:r w:rsidRPr="002E48E4">
        <w:t>B.</w:t>
      </w:r>
      <w:r>
        <w:t>3</w:t>
      </w:r>
      <w:r w:rsidRPr="002E48E4">
        <w:t>.1</w:t>
      </w:r>
      <w:r w:rsidRPr="002E48E4">
        <w:tab/>
      </w:r>
      <w:r>
        <w:t>Participant Tracking and Locating</w:t>
      </w:r>
      <w:bookmarkEnd w:id="17"/>
      <w:bookmarkEnd w:id="18"/>
    </w:p>
    <w:bookmarkEnd w:id="19"/>
    <w:p w14:paraId="0D2B6CA7" w14:textId="77777777" w:rsidR="00720F94" w:rsidRDefault="007760F1" w:rsidP="006620F6">
      <w:r>
        <w:t xml:space="preserve">The </w:t>
      </w:r>
      <w:r w:rsidR="00A00411">
        <w:t>JSA Evaluation</w:t>
      </w:r>
      <w:r>
        <w:t xml:space="preserve"> team developed a comprehensive participant tracking system, in order to maximize response to the six-month follow-up survey.  This multi-stage locating strategy blends active locating efforts (which involve direct participant contact) with passive locating efforts (which rely on various consumer</w:t>
      </w:r>
      <w:r w:rsidR="001D58A4">
        <w:t xml:space="preserve"> </w:t>
      </w:r>
      <w:r>
        <w:t>database searches).</w:t>
      </w:r>
    </w:p>
    <w:p w14:paraId="55F3E79B" w14:textId="77777777" w:rsidR="007760F1" w:rsidRDefault="00795954" w:rsidP="006620F6">
      <w:r>
        <w:t>Th</w:t>
      </w:r>
      <w:r w:rsidR="00641C70">
        <w:t xml:space="preserve">e </w:t>
      </w:r>
      <w:r>
        <w:t>active tracking</w:t>
      </w:r>
      <w:r w:rsidR="00A123CA">
        <w:t xml:space="preserve"> for</w:t>
      </w:r>
      <w:r w:rsidR="00641C70">
        <w:t xml:space="preserve"> the </w:t>
      </w:r>
      <w:r w:rsidR="00A00411">
        <w:t>JSA Evaluation</w:t>
      </w:r>
      <w:r w:rsidR="00641C70">
        <w:t xml:space="preserve"> beg</w:t>
      </w:r>
      <w:r w:rsidR="00A123CA">
        <w:t>an</w:t>
      </w:r>
      <w:r w:rsidR="00641C70">
        <w:t xml:space="preserve"> </w:t>
      </w:r>
      <w:r w:rsidR="00A123CA">
        <w:t xml:space="preserve">when the research team sent the previously approved </w:t>
      </w:r>
      <w:r>
        <w:t>a welcome packet</w:t>
      </w:r>
      <w:r w:rsidR="00A123CA">
        <w:t xml:space="preserve"> </w:t>
      </w:r>
      <w:r w:rsidR="00641C70">
        <w:t xml:space="preserve"> to all </w:t>
      </w:r>
      <w:r w:rsidR="005E63F8">
        <w:t>sample members</w:t>
      </w:r>
      <w:r>
        <w:t xml:space="preserve"> within the first month of enrollment.  </w:t>
      </w:r>
      <w:r w:rsidR="000C342E">
        <w:t>This packet consist</w:t>
      </w:r>
      <w:r w:rsidR="00A123CA">
        <w:t>ed</w:t>
      </w:r>
      <w:r w:rsidR="000C342E">
        <w:t xml:space="preserve"> of a </w:t>
      </w:r>
      <w:r w:rsidR="003C5770">
        <w:t>welcome</w:t>
      </w:r>
      <w:r w:rsidR="000C342E">
        <w:t xml:space="preserve"> letter, a study brochure, a contact update </w:t>
      </w:r>
      <w:r w:rsidR="00A123CA">
        <w:t>form</w:t>
      </w:r>
      <w:r w:rsidR="000C342E">
        <w:t xml:space="preserve"> and business reply envelope, and a $2 bill.</w:t>
      </w:r>
      <w:r w:rsidR="000C342E">
        <w:rPr>
          <w:rStyle w:val="FootnoteReference"/>
        </w:rPr>
        <w:footnoteReference w:id="4"/>
      </w:r>
      <w:r w:rsidR="000C342E">
        <w:t xml:space="preserve">  </w:t>
      </w:r>
      <w:r w:rsidR="003C5770">
        <w:t>The welcome letter and study brochure provide</w:t>
      </w:r>
      <w:r w:rsidR="00A123CA">
        <w:t>d</w:t>
      </w:r>
      <w:r w:rsidR="003C5770">
        <w:t xml:space="preserve"> comprehensive information about the tracking and survey data collection activities. </w:t>
      </w:r>
      <w:r w:rsidR="00641C70">
        <w:t xml:space="preserve">The contact update form </w:t>
      </w:r>
      <w:r w:rsidR="007760F1">
        <w:t>c</w:t>
      </w:r>
      <w:r w:rsidR="00641C70">
        <w:t>apture</w:t>
      </w:r>
      <w:r w:rsidR="00A123CA">
        <w:t>d</w:t>
      </w:r>
      <w:r w:rsidR="007760F1">
        <w:t xml:space="preserve"> update</w:t>
      </w:r>
      <w:r w:rsidR="00641C70">
        <w:t xml:space="preserve">s to the respondent’s </w:t>
      </w:r>
      <w:r w:rsidR="007760F1">
        <w:t xml:space="preserve">name, address, </w:t>
      </w:r>
      <w:r w:rsidR="007760F1" w:rsidRPr="00185072">
        <w:t>telephone</w:t>
      </w:r>
      <w:r w:rsidR="007760F1">
        <w:t xml:space="preserve"> and email information. </w:t>
      </w:r>
      <w:r w:rsidR="00641C70">
        <w:t xml:space="preserve"> It </w:t>
      </w:r>
      <w:r w:rsidR="007760F1">
        <w:t>also collect</w:t>
      </w:r>
      <w:r w:rsidR="00A123CA">
        <w:t>ed</w:t>
      </w:r>
      <w:r w:rsidR="007760F1">
        <w:t xml:space="preserve"> contact data for up to three people that d</w:t>
      </w:r>
      <w:r w:rsidR="00A123CA">
        <w:t>id</w:t>
      </w:r>
      <w:r w:rsidR="007760F1">
        <w:t xml:space="preserve"> not live with the participant, but w</w:t>
      </w:r>
      <w:r w:rsidR="00A123CA">
        <w:t>ould</w:t>
      </w:r>
      <w:r w:rsidR="007760F1">
        <w:t xml:space="preserve"> likely know how to reach him or her.  Interviewers only use secondary contact data if the primary contact information proves to be invalid—for example, if they encounter a disconnected telephone number or a returned letter marked undeliverable.  </w:t>
      </w:r>
      <w:r w:rsidR="00EE5F43" w:rsidRPr="006620F6">
        <w:t>A</w:t>
      </w:r>
      <w:r w:rsidR="00EE5F43">
        <w:t>ttachment</w:t>
      </w:r>
      <w:r w:rsidR="00EE5F43" w:rsidRPr="006620F6">
        <w:t xml:space="preserve"> </w:t>
      </w:r>
      <w:r w:rsidR="000B4A27" w:rsidRPr="006620F6">
        <w:t>A</w:t>
      </w:r>
      <w:r w:rsidR="000B4A27">
        <w:t xml:space="preserve"> </w:t>
      </w:r>
      <w:r w:rsidR="00001E9B">
        <w:t xml:space="preserve">of </w:t>
      </w:r>
      <w:r w:rsidR="008072E6">
        <w:t xml:space="preserve">Supporting Statement </w:t>
      </w:r>
      <w:r w:rsidR="00001E9B">
        <w:t xml:space="preserve">A </w:t>
      </w:r>
      <w:r w:rsidR="007760F1">
        <w:t xml:space="preserve">shows a copy of the </w:t>
      </w:r>
      <w:r w:rsidR="00180827">
        <w:t>c</w:t>
      </w:r>
      <w:r w:rsidR="003F3096">
        <w:t>ontact update form</w:t>
      </w:r>
      <w:r w:rsidR="007760F1">
        <w:t>.</w:t>
      </w:r>
    </w:p>
    <w:p w14:paraId="09091435" w14:textId="77777777" w:rsidR="00641C70" w:rsidRDefault="00F0766B" w:rsidP="006620F6">
      <w:r>
        <w:t>Sample members</w:t>
      </w:r>
      <w:r w:rsidR="00820415">
        <w:t xml:space="preserve"> </w:t>
      </w:r>
      <w:r w:rsidR="007832B0">
        <w:t>we</w:t>
      </w:r>
      <w:r w:rsidR="008D1170">
        <w:t>re</w:t>
      </w:r>
      <w:r w:rsidR="00820415">
        <w:t xml:space="preserve"> invited to complete a short interim tracking survey once a month.  Participants that provide consent to text at enrollment complete the interim tracking survey</w:t>
      </w:r>
      <w:r w:rsidR="00641C70">
        <w:t xml:space="preserve"> via </w:t>
      </w:r>
      <w:r>
        <w:t xml:space="preserve">a </w:t>
      </w:r>
      <w:r w:rsidR="00641C70">
        <w:t>SMS</w:t>
      </w:r>
      <w:r>
        <w:t xml:space="preserve"> text message</w:t>
      </w:r>
      <w:r w:rsidR="00687B2B">
        <w:t xml:space="preserve">. </w:t>
      </w:r>
      <w:r w:rsidR="00180827">
        <w:t xml:space="preserve"> </w:t>
      </w:r>
      <w:r>
        <w:t>Sample members</w:t>
      </w:r>
      <w:r w:rsidR="000B4A27">
        <w:t xml:space="preserve"> that</w:t>
      </w:r>
      <w:r w:rsidR="00687B2B">
        <w:t xml:space="preserve"> refuse</w:t>
      </w:r>
      <w:r w:rsidR="007832B0">
        <w:t>d</w:t>
      </w:r>
      <w:r w:rsidR="00687B2B">
        <w:t xml:space="preserve"> to provide</w:t>
      </w:r>
      <w:r w:rsidR="000B4A27">
        <w:t xml:space="preserve"> con</w:t>
      </w:r>
      <w:r w:rsidR="00720F94">
        <w:t>sent</w:t>
      </w:r>
      <w:r w:rsidR="000B4A27">
        <w:t xml:space="preserve"> to text message contact</w:t>
      </w:r>
      <w:r w:rsidR="00687B2B">
        <w:t xml:space="preserve"> or do not have cell phones</w:t>
      </w:r>
      <w:r w:rsidR="000B4A27">
        <w:t xml:space="preserve"> </w:t>
      </w:r>
      <w:r w:rsidR="008D1170">
        <w:t>are</w:t>
      </w:r>
      <w:r w:rsidR="000B4A27">
        <w:t xml:space="preserve"> invited to complete</w:t>
      </w:r>
      <w:r w:rsidR="000F0507">
        <w:t xml:space="preserve"> </w:t>
      </w:r>
      <w:r w:rsidR="00687B2B">
        <w:t xml:space="preserve">the </w:t>
      </w:r>
      <w:r w:rsidR="00430F5D">
        <w:t xml:space="preserve">interim </w:t>
      </w:r>
      <w:r w:rsidR="000B4A27">
        <w:t xml:space="preserve">survey </w:t>
      </w:r>
      <w:r w:rsidR="00687B2B">
        <w:t>online.</w:t>
      </w:r>
      <w:r w:rsidR="00430F5D">
        <w:t xml:space="preserve"> </w:t>
      </w:r>
      <w:r w:rsidR="000B4A27">
        <w:t xml:space="preserve"> </w:t>
      </w:r>
      <w:r w:rsidR="00641C70">
        <w:t>This survey capture</w:t>
      </w:r>
      <w:r w:rsidR="008D1170">
        <w:t>s</w:t>
      </w:r>
      <w:r w:rsidR="00641C70">
        <w:t xml:space="preserve"> data on current employment and </w:t>
      </w:r>
      <w:r w:rsidR="00720F94">
        <w:t>JSA service receipt</w:t>
      </w:r>
      <w:r w:rsidR="00641C70">
        <w:t>.  It also prompt</w:t>
      </w:r>
      <w:r w:rsidR="008D1170">
        <w:t>s</w:t>
      </w:r>
      <w:r w:rsidR="00641C70">
        <w:t xml:space="preserve"> </w:t>
      </w:r>
      <w:r w:rsidR="00001E9B">
        <w:t xml:space="preserve">study </w:t>
      </w:r>
      <w:r w:rsidR="00641C70">
        <w:t xml:space="preserve">participants to update their contact information, </w:t>
      </w:r>
      <w:r w:rsidR="00430F5D">
        <w:t>and the contact information</w:t>
      </w:r>
      <w:r w:rsidR="00641C70">
        <w:t xml:space="preserve"> of up to three friends or relatives (comparable to the contact update form).  Participants </w:t>
      </w:r>
      <w:r w:rsidR="00430F5D">
        <w:t xml:space="preserve">who </w:t>
      </w:r>
      <w:r w:rsidR="00641C70">
        <w:t>respond to the monthly interim surveys receive a token of appreciation (see B.3.</w:t>
      </w:r>
      <w:r w:rsidR="00720F94">
        <w:t>2</w:t>
      </w:r>
      <w:r w:rsidR="00641C70">
        <w:t xml:space="preserve"> below).</w:t>
      </w:r>
      <w:r w:rsidR="007832B0">
        <w:t xml:space="preserve">  The use of the previously approved welcome packets and interim surveys will be complete by the time this package expires under the current OMB control number.  Only</w:t>
      </w:r>
      <w:r w:rsidR="00FC1428">
        <w:t xml:space="preserve"> </w:t>
      </w:r>
      <w:r w:rsidR="007832B0">
        <w:t>data collection using the previously approved six-month follow-up survey will continue beyond the February 28, 2018 expiration date.</w:t>
      </w:r>
    </w:p>
    <w:p w14:paraId="3C58E223" w14:textId="77777777" w:rsidR="007760F1" w:rsidRDefault="007760F1" w:rsidP="006620F6">
      <w:r>
        <w:t xml:space="preserve">In addition to the direct contact with participants, the research team </w:t>
      </w:r>
      <w:r w:rsidRPr="00185072">
        <w:t>conduct</w:t>
      </w:r>
      <w:r w:rsidR="008D1170">
        <w:t>s</w:t>
      </w:r>
      <w:r>
        <w:t xml:space="preserve"> several database searches to obtain additional contact information. </w:t>
      </w:r>
      <w:r w:rsidR="00213609">
        <w:t xml:space="preserve"> </w:t>
      </w:r>
      <w:r>
        <w:t>Passive tracking resources are comparatively inexpensive</w:t>
      </w:r>
      <w:r w:rsidR="000F0507">
        <w:t xml:space="preserve"> to access</w:t>
      </w:r>
      <w:r>
        <w:t xml:space="preserve"> and generally available, although some sources require special arrangements for access.</w:t>
      </w:r>
    </w:p>
    <w:p w14:paraId="38E82AFD" w14:textId="77777777" w:rsidR="007760F1" w:rsidRPr="002E48E4" w:rsidRDefault="007760F1" w:rsidP="007760F1">
      <w:pPr>
        <w:pStyle w:val="Heading3"/>
      </w:pPr>
      <w:bookmarkStart w:id="20" w:name="_Toc329063945"/>
      <w:bookmarkStart w:id="21" w:name="_Toc403652254"/>
      <w:bookmarkEnd w:id="16"/>
      <w:r w:rsidRPr="002E48E4">
        <w:t>B.</w:t>
      </w:r>
      <w:r>
        <w:t>3.2</w:t>
      </w:r>
      <w:r w:rsidRPr="002E48E4">
        <w:tab/>
      </w:r>
      <w:bookmarkEnd w:id="20"/>
      <w:r>
        <w:t>Tokens of Appreciation</w:t>
      </w:r>
      <w:bookmarkEnd w:id="21"/>
    </w:p>
    <w:p w14:paraId="3DC5F052" w14:textId="77777777" w:rsidR="0072244E" w:rsidRDefault="007760F1" w:rsidP="00F0766B">
      <w:r>
        <w:t xml:space="preserve">Offering appropriate monetary gifts to study participants in appreciation for their time can help ensure a high response rate, which is necessary to ensure unbiased impact </w:t>
      </w:r>
      <w:r w:rsidR="000F0507">
        <w:t>analysis</w:t>
      </w:r>
      <w:r>
        <w:t xml:space="preserve">. </w:t>
      </w:r>
      <w:r w:rsidR="0017185F">
        <w:t xml:space="preserve"> </w:t>
      </w:r>
      <w:r w:rsidR="000F0507">
        <w:t xml:space="preserve">For this reason, </w:t>
      </w:r>
      <w:r w:rsidR="00F0766B">
        <w:t>sample members</w:t>
      </w:r>
      <w:r>
        <w:t xml:space="preserve"> </w:t>
      </w:r>
      <w:r w:rsidR="0017185F">
        <w:t>receive</w:t>
      </w:r>
      <w:r>
        <w:t xml:space="preserve"> </w:t>
      </w:r>
      <w:r w:rsidR="00641C70">
        <w:t>small tokens of appreciation during the six</w:t>
      </w:r>
      <w:r w:rsidR="00A736C4">
        <w:t>-</w:t>
      </w:r>
      <w:r w:rsidR="00641C70">
        <w:t xml:space="preserve"> month period between enrollment and the foll</w:t>
      </w:r>
      <w:r w:rsidR="00F0766B">
        <w:t>ow-up survey data collection.  Study p</w:t>
      </w:r>
      <w:r w:rsidR="00641C70">
        <w:t xml:space="preserve">articipants receive $2 initially, as part of their welcome packet.  </w:t>
      </w:r>
      <w:r w:rsidR="001D0A8E">
        <w:t xml:space="preserve">Those </w:t>
      </w:r>
      <w:r w:rsidR="00430F5D">
        <w:t>who complete the interim survey accrue an additional $2 for each completed interim survey, as explained in the welcome letter and study brochure. Just prior to the start of the six-month follow-up survey, the team send</w:t>
      </w:r>
      <w:r w:rsidR="000916D6">
        <w:t>s</w:t>
      </w:r>
      <w:r w:rsidR="00430F5D">
        <w:t xml:space="preserve"> an survey pre-notification letter explaining the purpose of the follow-up telephone survey, the expectations of participants who agree to complete the telephone </w:t>
      </w:r>
      <w:r w:rsidR="001D0A8E">
        <w:t>s</w:t>
      </w:r>
      <w:r w:rsidR="00430F5D">
        <w:t xml:space="preserve">urvey, and the promise of an additional </w:t>
      </w:r>
      <w:r w:rsidR="00430F5D" w:rsidRPr="008175A1">
        <w:t>$</w:t>
      </w:r>
      <w:r w:rsidR="00430F5D">
        <w:t xml:space="preserve">25 as a token of appreciation for their participation. The </w:t>
      </w:r>
      <w:r w:rsidR="004F7D88">
        <w:t>token</w:t>
      </w:r>
      <w:r w:rsidR="00430F5D">
        <w:t xml:space="preserve"> structure is based upon similar reward models commonly used in consumer panels where panelists earn points for each survey they complete, and when they reach a certain level, they may redeem their points for rewards (such as a gift cards or cash) or continue to accrue points for even larger rewards. The survey pre-notification letter thank</w:t>
      </w:r>
      <w:r w:rsidR="000916D6">
        <w:t>s</w:t>
      </w:r>
      <w:r w:rsidR="00430F5D">
        <w:t xml:space="preserve"> </w:t>
      </w:r>
      <w:r w:rsidR="001D0A8E">
        <w:t xml:space="preserve">study </w:t>
      </w:r>
      <w:r w:rsidR="00430F5D">
        <w:t>participants for their time in the study and include</w:t>
      </w:r>
      <w:r w:rsidR="000916D6">
        <w:t>s</w:t>
      </w:r>
      <w:r w:rsidR="00430F5D">
        <w:t xml:space="preserve"> the cumulative amount, if any, accrued by completing the interim surveys. For example, a </w:t>
      </w:r>
      <w:r w:rsidR="001D0A8E">
        <w:t xml:space="preserve">study </w:t>
      </w:r>
      <w:r w:rsidR="00430F5D">
        <w:t xml:space="preserve">participant who responds to three of the five interim surveys will receive $6 and someone who responds to all five interim surveys will receive $10 with their pre-notification letter.  Finally, </w:t>
      </w:r>
      <w:r w:rsidR="001D0A8E">
        <w:t xml:space="preserve">study </w:t>
      </w:r>
      <w:r w:rsidR="00430F5D">
        <w:t>participants who complete</w:t>
      </w:r>
      <w:r w:rsidR="00A736C4">
        <w:t xml:space="preserve"> the six-month follow-up survey receive a check for $25 as a token of appreciation for their time spent participating in the survey.  In total, enrolled participants can receive between $2 and $37 dollars depending on how many rounds of data collection they complete.  </w:t>
      </w:r>
    </w:p>
    <w:p w14:paraId="6DA14D68" w14:textId="77777777" w:rsidR="0017185F" w:rsidRPr="002E48E4" w:rsidRDefault="0017185F" w:rsidP="0017185F">
      <w:pPr>
        <w:pStyle w:val="Heading3"/>
      </w:pPr>
      <w:bookmarkStart w:id="22" w:name="_Toc329063946"/>
      <w:bookmarkStart w:id="23" w:name="_Toc403652255"/>
      <w:r w:rsidRPr="002E48E4">
        <w:t>B.</w:t>
      </w:r>
      <w:r>
        <w:t>3.3</w:t>
      </w:r>
      <w:r w:rsidRPr="002E48E4">
        <w:tab/>
      </w:r>
      <w:r>
        <w:t>Sample Control during the Data Collection Period</w:t>
      </w:r>
      <w:bookmarkEnd w:id="22"/>
      <w:bookmarkEnd w:id="23"/>
    </w:p>
    <w:p w14:paraId="602383E4" w14:textId="77777777" w:rsidR="0017185F" w:rsidRDefault="0017185F" w:rsidP="0017185F">
      <w:r>
        <w:t xml:space="preserve">During the data collection period, the research team will </w:t>
      </w:r>
      <w:r w:rsidRPr="00185072">
        <w:t>minimize</w:t>
      </w:r>
      <w:r>
        <w:t xml:space="preserve"> non-response levels and the risk of non-response bias in the following ways:</w:t>
      </w:r>
    </w:p>
    <w:p w14:paraId="4D87BE6F" w14:textId="77777777" w:rsidR="0017185F" w:rsidRPr="0069074F" w:rsidRDefault="0017185F" w:rsidP="0017185F">
      <w:pPr>
        <w:pStyle w:val="Bullets"/>
      </w:pPr>
      <w:r w:rsidRPr="0069074F">
        <w:t xml:space="preserve">Using trained interviewers </w:t>
      </w:r>
      <w:r>
        <w:t xml:space="preserve">(in the phone center) </w:t>
      </w:r>
      <w:r w:rsidRPr="0069074F">
        <w:t xml:space="preserve">who are skilled at working with </w:t>
      </w:r>
      <w:r>
        <w:t>low-income adults</w:t>
      </w:r>
      <w:r w:rsidRPr="0069074F">
        <w:t xml:space="preserve"> and skilled in maintaining rapport with respondents, to minimize the number of break-offs and incidence of non-response bias</w:t>
      </w:r>
      <w:r>
        <w:t xml:space="preserve">. </w:t>
      </w:r>
    </w:p>
    <w:p w14:paraId="6BA184C9" w14:textId="77777777" w:rsidR="0017185F" w:rsidRDefault="0017185F" w:rsidP="0017185F">
      <w:pPr>
        <w:pStyle w:val="Bullets"/>
      </w:pPr>
      <w:r>
        <w:t>Using updated contact information captured through the contact update form or the monthly interim su</w:t>
      </w:r>
      <w:r w:rsidR="00F0766B">
        <w:t xml:space="preserve">rveys conducted monthly </w:t>
      </w:r>
      <w:r>
        <w:t xml:space="preserve">to keep the sample member engaged in the study and to enable the research team to locate them for the follow-up data collection activities. </w:t>
      </w:r>
    </w:p>
    <w:p w14:paraId="2E6FF268" w14:textId="77777777" w:rsidR="0017185F" w:rsidRDefault="0017185F" w:rsidP="0017185F">
      <w:pPr>
        <w:pStyle w:val="Bullets"/>
      </w:pPr>
      <w:r w:rsidRPr="0069074F">
        <w:t xml:space="preserve">Using an advance letter that clearly conveys the purpose of the survey to study participants, the incentive structure, and reassurances about </w:t>
      </w:r>
      <w:r>
        <w:t>privacy</w:t>
      </w:r>
      <w:r w:rsidRPr="0069074F">
        <w:t>, so they will perceive that cooperating is worthwhile.</w:t>
      </w:r>
      <w:r>
        <w:t xml:space="preserve"> </w:t>
      </w:r>
    </w:p>
    <w:p w14:paraId="17B33C1A" w14:textId="77777777" w:rsidR="0017185F" w:rsidRDefault="0017185F" w:rsidP="0017185F">
      <w:pPr>
        <w:pStyle w:val="Bullets"/>
      </w:pPr>
      <w:r w:rsidRPr="0069074F">
        <w:t xml:space="preserve">Taking additional tracking and locating steps, as needed, when </w:t>
      </w:r>
      <w:r>
        <w:t>the research team</w:t>
      </w:r>
      <w:r w:rsidRPr="0069074F">
        <w:t xml:space="preserve"> do</w:t>
      </w:r>
      <w:r>
        <w:t>es</w:t>
      </w:r>
      <w:r w:rsidRPr="0069074F">
        <w:t xml:space="preserve"> not find sample members at the phone numbers or addresses previously collected.</w:t>
      </w:r>
    </w:p>
    <w:p w14:paraId="52156D63" w14:textId="77777777" w:rsidR="0017185F" w:rsidRPr="0069074F" w:rsidRDefault="0017185F" w:rsidP="0017185F">
      <w:pPr>
        <w:pStyle w:val="Bullets"/>
      </w:pPr>
      <w:r>
        <w:t>Employing a rigorous telephone process to ensure that all available contact information is utilized to make contact with participants</w:t>
      </w:r>
      <w:r w:rsidR="000B4A27">
        <w:t xml:space="preserve">.  </w:t>
      </w:r>
      <w:r>
        <w:t xml:space="preserve">The approach </w:t>
      </w:r>
      <w:r w:rsidR="00D7230F">
        <w:t xml:space="preserve">includes </w:t>
      </w:r>
      <w:r>
        <w:t>Spanish-speaking telephone interviewers for participants with identified language barriers.</w:t>
      </w:r>
    </w:p>
    <w:p w14:paraId="1B1254CC" w14:textId="77777777" w:rsidR="0017185F" w:rsidRDefault="0017185F" w:rsidP="002E49EF">
      <w:pPr>
        <w:pStyle w:val="BulletsLast"/>
      </w:pPr>
      <w:r w:rsidRPr="0069074F">
        <w:t>Requiring the survey supervisors to m</w:t>
      </w:r>
      <w:r>
        <w:t xml:space="preserve">anage the sample in a manner that helps to ensure that response rates achieved are </w:t>
      </w:r>
      <w:r w:rsidRPr="0069074F">
        <w:t>relatively equal</w:t>
      </w:r>
      <w:r>
        <w:t xml:space="preserve"> across treatment and control groups and sites</w:t>
      </w:r>
      <w:r w:rsidR="000916D6">
        <w:t>.</w:t>
      </w:r>
      <w:r>
        <w:t xml:space="preserve"> </w:t>
      </w:r>
      <w:r w:rsidRPr="0069074F">
        <w:t xml:space="preserve"> </w:t>
      </w:r>
    </w:p>
    <w:p w14:paraId="294BC3D1" w14:textId="77777777" w:rsidR="0017185F" w:rsidRDefault="00687B2B" w:rsidP="002E49EF">
      <w:pPr>
        <w:pStyle w:val="BodyText"/>
      </w:pPr>
      <w:r>
        <w:t>The researchers will link data from various sources through a unique study identification number.  This will ensure that survey responses are stored separately from personal identifying information thus ensuring respondent privacy.</w:t>
      </w:r>
    </w:p>
    <w:p w14:paraId="5AA3FB1F" w14:textId="77777777" w:rsidR="00A13018" w:rsidRPr="002E48E4" w:rsidRDefault="008257CC" w:rsidP="00A13018">
      <w:pPr>
        <w:pStyle w:val="Heading3"/>
      </w:pPr>
      <w:r>
        <w:t>B.3.4</w:t>
      </w:r>
      <w:r>
        <w:tab/>
        <w:t>Nonresponse Bias Analysis and Nonresponse Weighting Adjustment</w:t>
      </w:r>
    </w:p>
    <w:p w14:paraId="5FE5B811" w14:textId="77777777" w:rsidR="00F0766B" w:rsidRDefault="00F0766B" w:rsidP="002E49EF">
      <w:pPr>
        <w:pStyle w:val="BodyText"/>
      </w:pPr>
      <w:r>
        <w:t>If, despite our best efforts, the response rate in a site comes in below 80 percent, we will conduct a nonresponse bias analysis.  Regardless of the final response rate, we will construct nonresponse adjustment (NRA) weights.  Using both baseline data collected just</w:t>
      </w:r>
      <w:r w:rsidR="00CB70A6">
        <w:t xml:space="preserve"> </w:t>
      </w:r>
      <w:r>
        <w:t>prior to random assignment and post-random assignment administrative data on continued receipt of TANF and SNAP, we will estimate response propensity by a logistic regression model.  Within the combination of site and experimental arm, study participants will be allocated to nonresponse adjustment cells defined by the intervals of response propensity.  Each cell will contain approximately the same number of study participants.  Within each nonresponse adjustment cell, the empirical response rate will be calculated.  Respondents will then</w:t>
      </w:r>
      <w:r w:rsidR="007A388F">
        <w:t xml:space="preserve"> be</w:t>
      </w:r>
      <w:r>
        <w:t xml:space="preserve"> given NRA weights equal to the inverse empirical response rate for their respective cell.  An alternative propensity adjustment method could use the directly modeled estimates of response propensity.  However, these estimates can sometimes be close to zero, creating very large weights, which in turn lead to large survey design effects.  The use of nonresponse adjustment cells typically results in smaller design effects.  The number of cells will be set as a function of model quality.  The empirical response rates for a cell should be monotonically related to the average predicted response propensity.  We will start with a large number of cells and reduce that number until we obtain the desired monotonic relationship.  </w:t>
      </w:r>
    </w:p>
    <w:p w14:paraId="0AD33BEC" w14:textId="77777777" w:rsidR="00F0766B" w:rsidRDefault="00F0766B" w:rsidP="002E49EF">
      <w:pPr>
        <w:pStyle w:val="BodyText"/>
      </w:pPr>
      <w:r>
        <w:t xml:space="preserve">Once provisional weights have been developed, we will look for residual nonresponse bias by comparing the estimates of the effects of the higher intensity JSA strategy on administrative outcomes estimated with the NRA weights in the sample of survey respondents vs. the estimates of the same effects estimated on the entire randomized sample (including survey nonrespondents) without weights.  If they are similar (e.g., within each other’s confidence intervals), then we will be reasonable confident that we have ameliorated nonresponse bias.  If, on the other hand, there are important differences, then we will search for ways to improve our models and recalculate the </w:t>
      </w:r>
      <w:r w:rsidRPr="006620F6">
        <w:t>weights as in Judkins, et al. (2007).</w:t>
      </w:r>
      <w:r>
        <w:t xml:space="preserve">  </w:t>
      </w:r>
    </w:p>
    <w:p w14:paraId="64AE74BF" w14:textId="77777777" w:rsidR="0072244E" w:rsidRDefault="0072244E" w:rsidP="0072244E">
      <w:pPr>
        <w:pStyle w:val="Heading2"/>
      </w:pPr>
      <w:bookmarkStart w:id="24" w:name="_Toc354131264"/>
      <w:bookmarkStart w:id="25" w:name="_Toc322083618"/>
      <w:bookmarkStart w:id="26" w:name="_Toc428371971"/>
      <w:r>
        <w:t>B.4</w:t>
      </w:r>
      <w:r>
        <w:tab/>
        <w:t>Tests of Procedures</w:t>
      </w:r>
      <w:bookmarkEnd w:id="24"/>
      <w:bookmarkEnd w:id="25"/>
      <w:r w:rsidR="008767AC">
        <w:t xml:space="preserve"> or Methods to be Undertaken</w:t>
      </w:r>
      <w:bookmarkEnd w:id="26"/>
    </w:p>
    <w:p w14:paraId="13C19D14" w14:textId="77777777" w:rsidR="007F0064" w:rsidRDefault="00743757" w:rsidP="007F0064">
      <w:pPr>
        <w:pStyle w:val="ListParagraph"/>
        <w:ind w:left="0"/>
        <w:rPr>
          <w:rFonts w:ascii="Times New Roman" w:hAnsi="Times New Roman"/>
          <w:noProof/>
        </w:rPr>
      </w:pPr>
      <w:bookmarkStart w:id="27" w:name="_Toc354131265"/>
      <w:bookmarkStart w:id="28" w:name="_Toc322083619"/>
      <w:r w:rsidRPr="00AE0C1D">
        <w:rPr>
          <w:rFonts w:ascii="Times New Roman" w:hAnsi="Times New Roman"/>
        </w:rPr>
        <w:t xml:space="preserve">In designing the JSA </w:t>
      </w:r>
      <w:r w:rsidR="007760F1" w:rsidRPr="00AE0C1D">
        <w:rPr>
          <w:rFonts w:ascii="Times New Roman" w:hAnsi="Times New Roman"/>
        </w:rPr>
        <w:t>six</w:t>
      </w:r>
      <w:r w:rsidR="0096514D">
        <w:rPr>
          <w:rFonts w:ascii="Times New Roman" w:hAnsi="Times New Roman"/>
        </w:rPr>
        <w:t>-</w:t>
      </w:r>
      <w:r w:rsidR="007760F1" w:rsidRPr="00AE0C1D">
        <w:rPr>
          <w:rFonts w:ascii="Times New Roman" w:hAnsi="Times New Roman"/>
        </w:rPr>
        <w:t>month follow-up</w:t>
      </w:r>
      <w:r w:rsidRPr="00AE0C1D">
        <w:rPr>
          <w:rFonts w:ascii="Times New Roman" w:hAnsi="Times New Roman"/>
        </w:rPr>
        <w:t xml:space="preserve"> survey, the research team developed items based on those used in previous studies</w:t>
      </w:r>
      <w:r w:rsidR="0096514D">
        <w:rPr>
          <w:rFonts w:ascii="Times New Roman" w:hAnsi="Times New Roman"/>
        </w:rPr>
        <w:t>,</w:t>
      </w:r>
      <w:r w:rsidRPr="00AE0C1D">
        <w:rPr>
          <w:rFonts w:ascii="Times New Roman" w:hAnsi="Times New Roman"/>
        </w:rPr>
        <w:t xml:space="preserve"> including the </w:t>
      </w:r>
      <w:r w:rsidR="00975B19">
        <w:rPr>
          <w:rFonts w:ascii="Times New Roman" w:hAnsi="Times New Roman"/>
        </w:rPr>
        <w:t>PACE</w:t>
      </w:r>
      <w:r w:rsidR="00AE0C1D">
        <w:rPr>
          <w:rFonts w:ascii="Times New Roman" w:hAnsi="Times New Roman"/>
        </w:rPr>
        <w:t xml:space="preserve"> </w:t>
      </w:r>
      <w:r w:rsidR="005E6790" w:rsidRPr="00F0766B">
        <w:rPr>
          <w:rFonts w:ascii="Times New Roman" w:hAnsi="Times New Roman"/>
        </w:rPr>
        <w:t>(OMB # 0970-0397)</w:t>
      </w:r>
      <w:r w:rsidR="005E6790">
        <w:rPr>
          <w:rFonts w:ascii="Times New Roman" w:hAnsi="Times New Roman"/>
        </w:rPr>
        <w:t xml:space="preserve"> </w:t>
      </w:r>
      <w:r w:rsidRPr="00AE0C1D">
        <w:rPr>
          <w:rFonts w:ascii="Times New Roman" w:hAnsi="Times New Roman"/>
        </w:rPr>
        <w:t xml:space="preserve">and </w:t>
      </w:r>
      <w:r w:rsidR="00975B19">
        <w:rPr>
          <w:rFonts w:ascii="Times New Roman" w:hAnsi="Times New Roman"/>
        </w:rPr>
        <w:t>HPOG</w:t>
      </w:r>
      <w:r w:rsidR="002E49EF">
        <w:rPr>
          <w:rFonts w:ascii="Times New Roman" w:hAnsi="Times New Roman"/>
        </w:rPr>
        <w:t xml:space="preserve"> </w:t>
      </w:r>
      <w:r w:rsidR="005E6790" w:rsidRPr="00F0766B">
        <w:rPr>
          <w:rFonts w:ascii="Times New Roman" w:hAnsi="Times New Roman"/>
        </w:rPr>
        <w:t xml:space="preserve">(OMB # 0970-0394) </w:t>
      </w:r>
      <w:r w:rsidR="005E6790">
        <w:rPr>
          <w:rFonts w:ascii="Times New Roman" w:hAnsi="Times New Roman"/>
        </w:rPr>
        <w:t>evaluations</w:t>
      </w:r>
      <w:r w:rsidRPr="00AE0C1D">
        <w:rPr>
          <w:rFonts w:ascii="Times New Roman" w:hAnsi="Times New Roman"/>
        </w:rPr>
        <w:t xml:space="preserve"> </w:t>
      </w:r>
      <w:r w:rsidRPr="00E025CF">
        <w:rPr>
          <w:rFonts w:ascii="Times New Roman" w:hAnsi="Times New Roman"/>
        </w:rPr>
        <w:t>conducted for ACF</w:t>
      </w:r>
      <w:r w:rsidR="00A368E9" w:rsidRPr="00E025CF">
        <w:rPr>
          <w:rFonts w:ascii="Times New Roman" w:hAnsi="Times New Roman"/>
        </w:rPr>
        <w:t xml:space="preserve">.  The study also drew questions from </w:t>
      </w:r>
      <w:r w:rsidRPr="00E025CF">
        <w:rPr>
          <w:rFonts w:ascii="Times New Roman" w:hAnsi="Times New Roman"/>
        </w:rPr>
        <w:t xml:space="preserve">a range of </w:t>
      </w:r>
      <w:r w:rsidR="00E70512">
        <w:rPr>
          <w:rFonts w:ascii="Times New Roman" w:hAnsi="Times New Roman"/>
        </w:rPr>
        <w:t>studies of comparable populations (see Part A for detail on surveys consulted)</w:t>
      </w:r>
      <w:r w:rsidR="00E025CF">
        <w:rPr>
          <w:rFonts w:ascii="Times New Roman" w:hAnsi="Times New Roman"/>
        </w:rPr>
        <w:t xml:space="preserve">.  </w:t>
      </w:r>
      <w:r w:rsidR="00AE0C1D" w:rsidRPr="00E025CF">
        <w:rPr>
          <w:rFonts w:ascii="Times New Roman" w:hAnsi="Times New Roman"/>
          <w:noProof/>
        </w:rPr>
        <w:t>We conduct</w:t>
      </w:r>
      <w:r w:rsidR="00B84113">
        <w:rPr>
          <w:rFonts w:ascii="Times New Roman" w:hAnsi="Times New Roman"/>
          <w:noProof/>
        </w:rPr>
        <w:t>ed</w:t>
      </w:r>
      <w:r w:rsidR="00AE0C1D" w:rsidRPr="00E025CF">
        <w:rPr>
          <w:rFonts w:ascii="Times New Roman" w:hAnsi="Times New Roman"/>
          <w:noProof/>
        </w:rPr>
        <w:t xml:space="preserve"> a formal pretest of the follow-up surveys, with a convenience sample of </w:t>
      </w:r>
      <w:r w:rsidR="005E6790">
        <w:rPr>
          <w:rFonts w:ascii="Times New Roman" w:hAnsi="Times New Roman"/>
          <w:noProof/>
        </w:rPr>
        <w:t>nine</w:t>
      </w:r>
      <w:r w:rsidR="005E6790" w:rsidRPr="00E025CF">
        <w:rPr>
          <w:rFonts w:ascii="Times New Roman" w:hAnsi="Times New Roman"/>
          <w:noProof/>
        </w:rPr>
        <w:t xml:space="preserve"> </w:t>
      </w:r>
      <w:r w:rsidR="00AE0C1D" w:rsidRPr="00E025CF">
        <w:rPr>
          <w:rFonts w:ascii="Times New Roman" w:hAnsi="Times New Roman"/>
          <w:noProof/>
        </w:rPr>
        <w:t>respondents</w:t>
      </w:r>
      <w:r w:rsidR="00B41A58" w:rsidRPr="00E025CF">
        <w:rPr>
          <w:rFonts w:ascii="Times New Roman" w:hAnsi="Times New Roman"/>
          <w:noProof/>
        </w:rPr>
        <w:t>,</w:t>
      </w:r>
      <w:r w:rsidR="00AE0C1D" w:rsidRPr="00E025CF">
        <w:rPr>
          <w:rFonts w:ascii="Times New Roman" w:hAnsi="Times New Roman"/>
          <w:noProof/>
        </w:rPr>
        <w:t xml:space="preserve"> </w:t>
      </w:r>
      <w:r w:rsidR="00B41A58" w:rsidRPr="00E025CF">
        <w:rPr>
          <w:rFonts w:ascii="Times New Roman" w:hAnsi="Times New Roman"/>
          <w:noProof/>
        </w:rPr>
        <w:t xml:space="preserve">with characteristics </w:t>
      </w:r>
      <w:r w:rsidR="00260256">
        <w:rPr>
          <w:rFonts w:ascii="Times New Roman" w:hAnsi="Times New Roman"/>
          <w:noProof/>
        </w:rPr>
        <w:t xml:space="preserve">and  job search statuses </w:t>
      </w:r>
      <w:r w:rsidR="00B41A58" w:rsidRPr="00E025CF">
        <w:rPr>
          <w:rFonts w:ascii="Times New Roman" w:hAnsi="Times New Roman"/>
          <w:noProof/>
        </w:rPr>
        <w:t xml:space="preserve">comparable to the study participants.  </w:t>
      </w:r>
      <w:r w:rsidR="007F0064">
        <w:rPr>
          <w:rFonts w:ascii="Times New Roman" w:hAnsi="Times New Roman"/>
          <w:noProof/>
        </w:rPr>
        <w:t xml:space="preserve">The results of the </w:t>
      </w:r>
      <w:r w:rsidR="002E49EF">
        <w:rPr>
          <w:rFonts w:ascii="Times New Roman" w:hAnsi="Times New Roman"/>
          <w:noProof/>
        </w:rPr>
        <w:t xml:space="preserve">pre-test </w:t>
      </w:r>
      <w:r w:rsidR="00B84113">
        <w:rPr>
          <w:rFonts w:ascii="Times New Roman" w:hAnsi="Times New Roman"/>
          <w:noProof/>
        </w:rPr>
        <w:t xml:space="preserve">were </w:t>
      </w:r>
      <w:r w:rsidR="002E49EF">
        <w:rPr>
          <w:rFonts w:ascii="Times New Roman" w:hAnsi="Times New Roman"/>
          <w:noProof/>
        </w:rPr>
        <w:t>provided to ACF</w:t>
      </w:r>
      <w:r w:rsidR="007832B0">
        <w:rPr>
          <w:rFonts w:ascii="Times New Roman" w:hAnsi="Times New Roman"/>
          <w:noProof/>
        </w:rPr>
        <w:t xml:space="preserve"> </w:t>
      </w:r>
      <w:r w:rsidR="00494E64">
        <w:rPr>
          <w:rFonts w:ascii="Times New Roman" w:hAnsi="Times New Roman"/>
          <w:noProof/>
        </w:rPr>
        <w:t xml:space="preserve">and incorporated into the survey </w:t>
      </w:r>
      <w:r w:rsidR="007832B0">
        <w:rPr>
          <w:rFonts w:ascii="Times New Roman" w:hAnsi="Times New Roman"/>
          <w:noProof/>
        </w:rPr>
        <w:t>prior to the start of the six-month follow-up survey</w:t>
      </w:r>
      <w:r w:rsidR="007F0064">
        <w:rPr>
          <w:rFonts w:ascii="Times New Roman" w:hAnsi="Times New Roman"/>
          <w:noProof/>
        </w:rPr>
        <w:t>.</w:t>
      </w:r>
    </w:p>
    <w:p w14:paraId="05B3CC01" w14:textId="77777777" w:rsidR="007F0064" w:rsidRDefault="007F0064" w:rsidP="007F0064">
      <w:pPr>
        <w:pStyle w:val="ListParagraph"/>
        <w:ind w:left="0"/>
        <w:rPr>
          <w:rFonts w:ascii="Times New Roman" w:hAnsi="Times New Roman"/>
          <w:noProof/>
        </w:rPr>
      </w:pPr>
    </w:p>
    <w:p w14:paraId="5DA5FDA1" w14:textId="77777777" w:rsidR="00AE0C1D" w:rsidRPr="00AE0C1D" w:rsidRDefault="00AE0C1D" w:rsidP="007F0064">
      <w:pPr>
        <w:pStyle w:val="ListParagraph"/>
        <w:ind w:left="0"/>
        <w:rPr>
          <w:rFonts w:ascii="Times New Roman" w:hAnsi="Times New Roman"/>
          <w:noProof/>
        </w:rPr>
      </w:pPr>
    </w:p>
    <w:p w14:paraId="43FFFD54" w14:textId="77777777" w:rsidR="0072244E" w:rsidRDefault="0072244E" w:rsidP="0072244E">
      <w:pPr>
        <w:pStyle w:val="Heading2"/>
      </w:pPr>
      <w:bookmarkStart w:id="29" w:name="_Toc354131267"/>
      <w:bookmarkStart w:id="30" w:name="_Toc428371972"/>
      <w:bookmarkEnd w:id="27"/>
      <w:r>
        <w:t>B.5</w:t>
      </w:r>
      <w:r>
        <w:tab/>
        <w:t>Individuals Consulted on Statistical Aspects of the Design</w:t>
      </w:r>
      <w:bookmarkEnd w:id="28"/>
      <w:bookmarkEnd w:id="29"/>
      <w:bookmarkEnd w:id="30"/>
    </w:p>
    <w:p w14:paraId="4EA65250" w14:textId="77777777" w:rsidR="00390E11" w:rsidRDefault="00390E11" w:rsidP="00390E11">
      <w:pPr>
        <w:pStyle w:val="BodyText"/>
      </w:pPr>
      <w:r w:rsidRPr="0093658C">
        <w:t xml:space="preserve">Consultations on the statistical methods used in this study have been </w:t>
      </w:r>
      <w:r>
        <w:t>undertaken</w:t>
      </w:r>
      <w:r w:rsidRPr="0093658C">
        <w:t xml:space="preserve"> to ensure the technical soundness of the </w:t>
      </w:r>
      <w:r>
        <w:t>research</w:t>
      </w:r>
      <w:r w:rsidRPr="0093658C">
        <w:t xml:space="preserve">. The following </w:t>
      </w:r>
      <w:r>
        <w:t xml:space="preserve">individuals </w:t>
      </w:r>
      <w:r w:rsidRPr="0093658C">
        <w:t xml:space="preserve">were consulted in </w:t>
      </w:r>
      <w:r>
        <w:t xml:space="preserve">preparing </w:t>
      </w:r>
      <w:r w:rsidRPr="0093658C">
        <w:t>this submission to OMB:</w:t>
      </w:r>
    </w:p>
    <w:p w14:paraId="5DB095E3" w14:textId="77777777" w:rsidR="00BB7E8F" w:rsidRDefault="00BB7E8F" w:rsidP="00BB7E8F">
      <w:pPr>
        <w:pStyle w:val="Heading4"/>
      </w:pPr>
      <w:r>
        <w:t>ACF</w:t>
      </w:r>
    </w:p>
    <w:p w14:paraId="5A730299" w14:textId="77777777" w:rsidR="00BB7E8F" w:rsidRDefault="00BB7E8F" w:rsidP="00F0766B">
      <w:pPr>
        <w:pStyle w:val="BodyText"/>
        <w:spacing w:after="0" w:line="240" w:lineRule="auto"/>
      </w:pPr>
      <w:r>
        <w:t xml:space="preserve">Ms. Erica </w:t>
      </w:r>
      <w:r w:rsidRPr="008C384C">
        <w:t>Zielewski</w:t>
      </w:r>
      <w:r w:rsidR="006C6C4D">
        <w:tab/>
      </w:r>
      <w:r w:rsidR="006C6C4D">
        <w:tab/>
      </w:r>
      <w:r w:rsidR="006C6C4D">
        <w:tab/>
      </w:r>
      <w:r w:rsidR="008130AD">
        <w:t>Contracting Officer’s Representative</w:t>
      </w:r>
      <w:r w:rsidR="00C254C0">
        <w:t xml:space="preserve"> (previous)</w:t>
      </w:r>
    </w:p>
    <w:p w14:paraId="09379F52" w14:textId="77777777" w:rsidR="00F0766B" w:rsidRDefault="005E63F8" w:rsidP="00F0766B">
      <w:pPr>
        <w:pStyle w:val="BodyText"/>
        <w:spacing w:after="0" w:line="240" w:lineRule="auto"/>
      </w:pPr>
      <w:r>
        <w:t>Ms. Carli Wu</w:t>
      </w:r>
      <w:r w:rsidR="00CB70A6">
        <w:t>l</w:t>
      </w:r>
      <w:r>
        <w:t>ff</w:t>
      </w:r>
      <w:r w:rsidR="006C6C4D">
        <w:tab/>
      </w:r>
      <w:r w:rsidR="006C6C4D">
        <w:tab/>
      </w:r>
      <w:r w:rsidR="006C6C4D">
        <w:tab/>
      </w:r>
      <w:r w:rsidR="006C6C4D">
        <w:tab/>
      </w:r>
      <w:r w:rsidR="008130AD">
        <w:t>Contracting Officer’s Representative</w:t>
      </w:r>
    </w:p>
    <w:p w14:paraId="35E7CA4E" w14:textId="77777777" w:rsidR="00BB7E8F" w:rsidRDefault="00BB7E8F" w:rsidP="00F0766B">
      <w:pPr>
        <w:pStyle w:val="BodyText"/>
        <w:spacing w:after="0" w:line="240" w:lineRule="auto"/>
      </w:pPr>
      <w:r>
        <w:t>Mr. Mark Fucello</w:t>
      </w:r>
      <w:r w:rsidR="006C6C4D">
        <w:tab/>
      </w:r>
      <w:r w:rsidR="006C6C4D">
        <w:tab/>
      </w:r>
      <w:r w:rsidR="006C6C4D">
        <w:tab/>
        <w:t>Division Director</w:t>
      </w:r>
      <w:r>
        <w:t xml:space="preserve"> </w:t>
      </w:r>
    </w:p>
    <w:p w14:paraId="1848F10C" w14:textId="77777777" w:rsidR="00BB7E8F" w:rsidRDefault="00BB7E8F" w:rsidP="00F0766B">
      <w:pPr>
        <w:pStyle w:val="BodyText"/>
        <w:spacing w:after="0" w:line="240" w:lineRule="auto"/>
      </w:pPr>
      <w:r>
        <w:t>Ms. Naomi Goldstein</w:t>
      </w:r>
      <w:r w:rsidR="006C6C4D">
        <w:tab/>
      </w:r>
      <w:r w:rsidR="006C6C4D">
        <w:tab/>
      </w:r>
      <w:r w:rsidR="006C6C4D" w:rsidRPr="00C84EB3">
        <w:t>Deputy Assistant Secretary for Planning, Research and Evaluation</w:t>
      </w:r>
    </w:p>
    <w:p w14:paraId="4154239D" w14:textId="77777777" w:rsidR="00F0766B" w:rsidRDefault="00F0766B" w:rsidP="00935B29">
      <w:pPr>
        <w:pStyle w:val="Heading4"/>
      </w:pPr>
    </w:p>
    <w:p w14:paraId="53E71819" w14:textId="77777777" w:rsidR="00390E11" w:rsidRPr="00076FE1" w:rsidRDefault="00390E11" w:rsidP="00935B29">
      <w:pPr>
        <w:pStyle w:val="Heading4"/>
      </w:pPr>
      <w:r w:rsidRPr="00076FE1">
        <w:t>Abt Associates</w:t>
      </w:r>
    </w:p>
    <w:p w14:paraId="63945DA8" w14:textId="77777777" w:rsidR="00390E11" w:rsidRDefault="00390E11" w:rsidP="00F0766B">
      <w:pPr>
        <w:pStyle w:val="BodyText"/>
        <w:spacing w:after="0" w:line="240" w:lineRule="auto"/>
      </w:pPr>
      <w:r>
        <w:t xml:space="preserve">Ms. Karin Martinson </w:t>
      </w:r>
      <w:r>
        <w:tab/>
      </w:r>
      <w:r>
        <w:tab/>
      </w:r>
      <w:r w:rsidR="000D6518">
        <w:t xml:space="preserve">Project Director </w:t>
      </w:r>
      <w:r w:rsidR="000D6518">
        <w:tab/>
      </w:r>
      <w:r w:rsidR="000D6518">
        <w:tab/>
        <w:t>(301) 347-5726</w:t>
      </w:r>
    </w:p>
    <w:p w14:paraId="4DD9E96C" w14:textId="77777777" w:rsidR="00390E11" w:rsidRDefault="00390E11" w:rsidP="00F0766B">
      <w:pPr>
        <w:pStyle w:val="BodyText"/>
        <w:spacing w:after="0" w:line="240" w:lineRule="auto"/>
      </w:pPr>
      <w:r>
        <w:t xml:space="preserve">Dr. Stephen Bell </w:t>
      </w:r>
      <w:r>
        <w:tab/>
      </w:r>
      <w:r w:rsidR="000D6518">
        <w:tab/>
      </w:r>
      <w:r w:rsidR="000D6518">
        <w:tab/>
        <w:t xml:space="preserve">Principal Investigator </w:t>
      </w:r>
      <w:r w:rsidR="000D6518">
        <w:tab/>
        <w:t>(</w:t>
      </w:r>
      <w:r w:rsidR="00E70512">
        <w:t>301</w:t>
      </w:r>
      <w:r w:rsidR="000D6518">
        <w:t xml:space="preserve">) </w:t>
      </w:r>
      <w:r w:rsidR="00E70512">
        <w:t>634</w:t>
      </w:r>
      <w:r w:rsidR="000D6518">
        <w:t>-1721</w:t>
      </w:r>
    </w:p>
    <w:p w14:paraId="3BDCA396" w14:textId="77777777" w:rsidR="0096514D" w:rsidRDefault="0096514D" w:rsidP="00F0766B">
      <w:pPr>
        <w:pStyle w:val="BodyText"/>
        <w:spacing w:after="0" w:line="240" w:lineRule="auto"/>
      </w:pPr>
      <w:r>
        <w:t xml:space="preserve">Mr. David </w:t>
      </w:r>
      <w:r w:rsidR="000D6518">
        <w:t>Judkins</w:t>
      </w:r>
      <w:r w:rsidR="000D6518">
        <w:tab/>
      </w:r>
      <w:r w:rsidR="000D6518">
        <w:tab/>
      </w:r>
      <w:r w:rsidR="000D6518">
        <w:tab/>
        <w:t>Statistician</w:t>
      </w:r>
      <w:r w:rsidR="000D6518">
        <w:tab/>
      </w:r>
      <w:r w:rsidR="000D6518">
        <w:tab/>
      </w:r>
      <w:r w:rsidR="000D6518">
        <w:tab/>
      </w:r>
      <w:r w:rsidR="000D6518">
        <w:tab/>
        <w:t>(301) 347-5952</w:t>
      </w:r>
    </w:p>
    <w:p w14:paraId="1A7C72AF" w14:textId="77777777" w:rsidR="0096514D" w:rsidRDefault="0096514D" w:rsidP="00F0766B">
      <w:pPr>
        <w:pStyle w:val="BodyText"/>
        <w:spacing w:after="0" w:line="240" w:lineRule="auto"/>
      </w:pPr>
      <w:r>
        <w:t>Dr. Alison Comfort</w:t>
      </w:r>
      <w:r w:rsidR="000D6518">
        <w:t xml:space="preserve"> </w:t>
      </w:r>
      <w:r w:rsidR="000D6518">
        <w:tab/>
      </w:r>
      <w:r w:rsidR="000D6518">
        <w:tab/>
      </w:r>
      <w:r w:rsidR="000D6518">
        <w:tab/>
        <w:t xml:space="preserve">Analyst </w:t>
      </w:r>
      <w:r w:rsidR="000D6518">
        <w:tab/>
      </w:r>
      <w:r w:rsidR="000D6518">
        <w:tab/>
      </w:r>
      <w:r w:rsidR="000D6518">
        <w:tab/>
      </w:r>
      <w:r w:rsidR="000D6518">
        <w:tab/>
        <w:t>(617) 520-2937</w:t>
      </w:r>
    </w:p>
    <w:p w14:paraId="3348581A" w14:textId="77777777" w:rsidR="00A54733" w:rsidRDefault="00E70512" w:rsidP="00F0766B">
      <w:pPr>
        <w:pStyle w:val="BodyText"/>
        <w:spacing w:after="0" w:line="240" w:lineRule="auto"/>
      </w:pPr>
      <w:r>
        <w:t>Ms. Debi McInnis</w:t>
      </w:r>
      <w:r w:rsidR="00A54733">
        <w:tab/>
      </w:r>
      <w:r w:rsidR="000D6518">
        <w:tab/>
      </w:r>
      <w:r w:rsidR="000D6518">
        <w:tab/>
        <w:t xml:space="preserve">Survey Operations </w:t>
      </w:r>
      <w:r w:rsidR="000D6518">
        <w:tab/>
      </w:r>
      <w:r w:rsidR="000D6518">
        <w:tab/>
        <w:t>(617) 349-2627</w:t>
      </w:r>
    </w:p>
    <w:p w14:paraId="79689D95" w14:textId="77777777" w:rsidR="00390E11" w:rsidRDefault="00390E11" w:rsidP="00390E11">
      <w:pPr>
        <w:pStyle w:val="BodyText"/>
        <w:spacing w:after="0"/>
      </w:pPr>
    </w:p>
    <w:p w14:paraId="3D72498D" w14:textId="77777777" w:rsidR="00493957" w:rsidRDefault="00493957">
      <w:pPr>
        <w:spacing w:after="0" w:line="240" w:lineRule="auto"/>
        <w:rPr>
          <w:rFonts w:ascii="Arial" w:hAnsi="Arial" w:cs="Arial"/>
          <w:b/>
          <w:bCs/>
          <w:iCs/>
          <w:color w:val="000000"/>
          <w:sz w:val="24"/>
          <w:szCs w:val="28"/>
        </w:rPr>
      </w:pPr>
      <w:r>
        <w:rPr>
          <w:color w:val="000000"/>
        </w:rPr>
        <w:br w:type="page"/>
      </w:r>
    </w:p>
    <w:p w14:paraId="647C79C4" w14:textId="77777777" w:rsidR="00C800C5" w:rsidRDefault="00C800C5" w:rsidP="00C800C5">
      <w:pPr>
        <w:pStyle w:val="Heading2"/>
        <w:rPr>
          <w:color w:val="000000"/>
        </w:rPr>
      </w:pPr>
      <w:bookmarkStart w:id="31" w:name="_Toc428371973"/>
      <w:r>
        <w:rPr>
          <w:color w:val="000000"/>
        </w:rPr>
        <w:t>References</w:t>
      </w:r>
      <w:bookmarkEnd w:id="31"/>
    </w:p>
    <w:p w14:paraId="1658425A" w14:textId="77777777" w:rsidR="00980D8E" w:rsidRPr="00DB5641" w:rsidRDefault="00980D8E" w:rsidP="00C800C5">
      <w:pPr>
        <w:autoSpaceDE w:val="0"/>
        <w:autoSpaceDN w:val="0"/>
        <w:adjustRightInd w:val="0"/>
        <w:spacing w:after="0" w:line="240" w:lineRule="auto"/>
        <w:rPr>
          <w:szCs w:val="22"/>
        </w:rPr>
      </w:pPr>
      <w:r w:rsidRPr="00DB5641">
        <w:rPr>
          <w:szCs w:val="22"/>
        </w:rPr>
        <w:t xml:space="preserve">Abt Associates (2014). </w:t>
      </w:r>
      <w:r w:rsidRPr="00DB5641">
        <w:rPr>
          <w:i/>
          <w:szCs w:val="22"/>
        </w:rPr>
        <w:t>Pathways for Advancing Careers and Education Evaluation Design Report</w:t>
      </w:r>
      <w:r w:rsidRPr="00DB5641">
        <w:rPr>
          <w:szCs w:val="22"/>
        </w:rPr>
        <w:t xml:space="preserve">.  OPRE Report #2014-76, Washington, DC: Office of Planning, Research and Evaluation, Administration for Children and Families, U.S. Department of Health and Human Services.  </w:t>
      </w:r>
    </w:p>
    <w:p w14:paraId="52F62A9F" w14:textId="77777777" w:rsidR="004F7D88" w:rsidRPr="00DB5641" w:rsidRDefault="004F7D88" w:rsidP="00355E21">
      <w:pPr>
        <w:shd w:val="clear" w:color="auto" w:fill="FFFFFF"/>
        <w:spacing w:after="0" w:line="300" w:lineRule="atLeast"/>
        <w:rPr>
          <w:szCs w:val="22"/>
        </w:rPr>
      </w:pPr>
    </w:p>
    <w:p w14:paraId="48CDEAE1" w14:textId="77777777" w:rsidR="000D6A47" w:rsidRPr="00DB5641" w:rsidRDefault="000D6A47" w:rsidP="00355E21">
      <w:pPr>
        <w:shd w:val="clear" w:color="auto" w:fill="FFFFFF"/>
        <w:spacing w:after="0" w:line="300" w:lineRule="atLeast"/>
        <w:rPr>
          <w:szCs w:val="22"/>
        </w:rPr>
      </w:pPr>
      <w:r w:rsidRPr="00DB5641">
        <w:rPr>
          <w:szCs w:val="22"/>
        </w:rPr>
        <w:t xml:space="preserve">CDC Morbidity and </w:t>
      </w:r>
      <w:r w:rsidR="00CB70A6" w:rsidRPr="00DB5641">
        <w:rPr>
          <w:szCs w:val="22"/>
        </w:rPr>
        <w:t>Mortality</w:t>
      </w:r>
      <w:r w:rsidRPr="00DB5641">
        <w:rPr>
          <w:szCs w:val="22"/>
        </w:rPr>
        <w:t xml:space="preserve"> Weekly Report, Julye 27, 2012. Supplement/Vol. 61 </w:t>
      </w:r>
      <w:r w:rsidRPr="00DB5641">
        <w:rPr>
          <w:i/>
          <w:szCs w:val="22"/>
        </w:rPr>
        <w:t>“CDC’s Vision for Public Health Surveillance in the 21st Century</w:t>
      </w:r>
      <w:r w:rsidRPr="00DB5641">
        <w:rPr>
          <w:szCs w:val="22"/>
        </w:rPr>
        <w:t>.</w:t>
      </w:r>
    </w:p>
    <w:p w14:paraId="1EB8A0C4" w14:textId="77777777" w:rsidR="000D6A47" w:rsidRPr="00DB5641" w:rsidRDefault="000D6A47" w:rsidP="00355E21">
      <w:pPr>
        <w:shd w:val="clear" w:color="auto" w:fill="FFFFFF"/>
        <w:spacing w:after="0" w:line="300" w:lineRule="atLeast"/>
        <w:rPr>
          <w:szCs w:val="22"/>
        </w:rPr>
      </w:pPr>
    </w:p>
    <w:p w14:paraId="2BFC4FAD" w14:textId="77777777" w:rsidR="008C2AB7" w:rsidRPr="00DB5641" w:rsidRDefault="008C2AB7" w:rsidP="00355E21">
      <w:pPr>
        <w:shd w:val="clear" w:color="auto" w:fill="FFFFFF"/>
        <w:spacing w:after="0" w:line="300" w:lineRule="atLeast"/>
        <w:rPr>
          <w:szCs w:val="22"/>
        </w:rPr>
      </w:pPr>
      <w:r w:rsidRPr="00DB5641">
        <w:rPr>
          <w:szCs w:val="22"/>
        </w:rPr>
        <w:t>Chang, T., W. Gossa, A. Sharp, Z. Rowe, L. Kohatsu, E. M. Cobb, &amp; M. Heisler. </w:t>
      </w:r>
      <w:r w:rsidRPr="00DB5641">
        <w:rPr>
          <w:i/>
          <w:szCs w:val="22"/>
        </w:rPr>
        <w:t>Text messaging as a community-based survey tool: a pilot study</w:t>
      </w:r>
      <w:r w:rsidRPr="00DB5641">
        <w:rPr>
          <w:szCs w:val="22"/>
        </w:rPr>
        <w:t>. </w:t>
      </w:r>
      <w:r w:rsidRPr="00DB5641">
        <w:rPr>
          <w:iCs/>
          <w:szCs w:val="22"/>
        </w:rPr>
        <w:t>BMC Public Health</w:t>
      </w:r>
      <w:r w:rsidRPr="00DB5641">
        <w:rPr>
          <w:szCs w:val="22"/>
        </w:rPr>
        <w:t>, 2014; 14 (1): 936 DOI: </w:t>
      </w:r>
      <w:hyperlink r:id="rId15" w:tgtFrame="_blank" w:history="1">
        <w:r w:rsidRPr="00DB5641">
          <w:rPr>
            <w:rStyle w:val="Hyperlink"/>
            <w:szCs w:val="22"/>
          </w:rPr>
          <w:t>10.1186/1471-2458-14-936</w:t>
        </w:r>
      </w:hyperlink>
      <w:r w:rsidRPr="00DB5641">
        <w:rPr>
          <w:szCs w:val="22"/>
        </w:rPr>
        <w:t>.</w:t>
      </w:r>
    </w:p>
    <w:p w14:paraId="09897CD6" w14:textId="77777777" w:rsidR="008C2AB7" w:rsidRPr="00DB5641" w:rsidRDefault="008C2AB7" w:rsidP="000D6518">
      <w:pPr>
        <w:autoSpaceDE w:val="0"/>
        <w:autoSpaceDN w:val="0"/>
        <w:adjustRightInd w:val="0"/>
        <w:spacing w:after="0" w:line="240" w:lineRule="auto"/>
        <w:rPr>
          <w:szCs w:val="22"/>
        </w:rPr>
      </w:pPr>
    </w:p>
    <w:p w14:paraId="7A86E12D" w14:textId="77777777" w:rsidR="006940A0" w:rsidRPr="00DB5641" w:rsidRDefault="006940A0" w:rsidP="000D6518">
      <w:pPr>
        <w:autoSpaceDE w:val="0"/>
        <w:autoSpaceDN w:val="0"/>
        <w:adjustRightInd w:val="0"/>
        <w:spacing w:after="0" w:line="240" w:lineRule="auto"/>
        <w:rPr>
          <w:szCs w:val="22"/>
        </w:rPr>
      </w:pPr>
      <w:r w:rsidRPr="00DB5641">
        <w:rPr>
          <w:szCs w:val="22"/>
        </w:rPr>
        <w:t xml:space="preserve">Gurol-Urganci, de Jongh T, Vodopivec-Jamsek V, Car J, Atun R: </w:t>
      </w:r>
      <w:r w:rsidRPr="00DB5641">
        <w:rPr>
          <w:i/>
          <w:szCs w:val="22"/>
        </w:rPr>
        <w:t>Mobile phone messaging for communicating results of medical investigations</w:t>
      </w:r>
      <w:r w:rsidRPr="00DB5641">
        <w:rPr>
          <w:szCs w:val="22"/>
        </w:rPr>
        <w:t>.</w:t>
      </w:r>
    </w:p>
    <w:p w14:paraId="23796779" w14:textId="77777777" w:rsidR="006940A0" w:rsidRPr="00DB5641" w:rsidRDefault="006940A0" w:rsidP="000D6518">
      <w:pPr>
        <w:autoSpaceDE w:val="0"/>
        <w:autoSpaceDN w:val="0"/>
        <w:adjustRightInd w:val="0"/>
        <w:spacing w:after="0" w:line="240" w:lineRule="auto"/>
        <w:rPr>
          <w:szCs w:val="22"/>
        </w:rPr>
      </w:pPr>
    </w:p>
    <w:p w14:paraId="038344A2" w14:textId="77777777" w:rsidR="000D6518" w:rsidRDefault="000D6518" w:rsidP="000D6518">
      <w:pPr>
        <w:autoSpaceDE w:val="0"/>
        <w:autoSpaceDN w:val="0"/>
        <w:adjustRightInd w:val="0"/>
        <w:spacing w:after="0" w:line="240" w:lineRule="auto"/>
        <w:rPr>
          <w:szCs w:val="22"/>
        </w:rPr>
      </w:pPr>
      <w:r w:rsidRPr="00DB5641">
        <w:rPr>
          <w:szCs w:val="22"/>
        </w:rPr>
        <w:t xml:space="preserve">Judkins, D., Morganstein, D., Zador, P., Piesse, A., Barrett, B., Mukhopadhyay, P. (2007).  Variable Selection and Raking in Propensity Scoring. </w:t>
      </w:r>
      <w:r w:rsidRPr="00DB5641">
        <w:rPr>
          <w:i/>
          <w:szCs w:val="22"/>
        </w:rPr>
        <w:t>Statistics in Medicine</w:t>
      </w:r>
      <w:r w:rsidRPr="00DB5641">
        <w:rPr>
          <w:iCs/>
          <w:szCs w:val="22"/>
        </w:rPr>
        <w:t>, 26, 1022-1033</w:t>
      </w:r>
      <w:r w:rsidRPr="00DB5641">
        <w:rPr>
          <w:i/>
          <w:szCs w:val="22"/>
        </w:rPr>
        <w:t>.</w:t>
      </w:r>
      <w:r w:rsidRPr="00DB5641">
        <w:rPr>
          <w:szCs w:val="22"/>
        </w:rPr>
        <w:t xml:space="preserve">  </w:t>
      </w:r>
    </w:p>
    <w:p w14:paraId="5DECACC1" w14:textId="77777777" w:rsidR="005E3DE7" w:rsidRDefault="005E3DE7" w:rsidP="000D6518">
      <w:pPr>
        <w:autoSpaceDE w:val="0"/>
        <w:autoSpaceDN w:val="0"/>
        <w:adjustRightInd w:val="0"/>
        <w:spacing w:after="0" w:line="240" w:lineRule="auto"/>
        <w:rPr>
          <w:szCs w:val="22"/>
        </w:rPr>
      </w:pPr>
    </w:p>
    <w:p w14:paraId="5BAC40E7" w14:textId="77777777" w:rsidR="005E3DE7" w:rsidRPr="00DB5641" w:rsidRDefault="005E3DE7" w:rsidP="000D6518">
      <w:pPr>
        <w:autoSpaceDE w:val="0"/>
        <w:autoSpaceDN w:val="0"/>
        <w:adjustRightInd w:val="0"/>
        <w:spacing w:after="0" w:line="240" w:lineRule="auto"/>
        <w:rPr>
          <w:szCs w:val="22"/>
        </w:rPr>
      </w:pPr>
      <w:r w:rsidRPr="005E3DE7">
        <w:rPr>
          <w:szCs w:val="22"/>
        </w:rPr>
        <w:t xml:space="preserve">Nisar, H., Klerman, J. A., &amp; Juras, R.(2012) </w:t>
      </w:r>
      <w:r w:rsidRPr="005E3DE7">
        <w:rPr>
          <w:i/>
          <w:szCs w:val="22"/>
        </w:rPr>
        <w:t>Estimation of Intra Class Correlation in Job Training Programs</w:t>
      </w:r>
      <w:r>
        <w:rPr>
          <w:szCs w:val="22"/>
        </w:rPr>
        <w:t xml:space="preserve"> (working paper).</w:t>
      </w:r>
      <w:r w:rsidRPr="005E3DE7">
        <w:rPr>
          <w:szCs w:val="22"/>
        </w:rPr>
        <w:t xml:space="preserve"> Bethesda, MD</w:t>
      </w:r>
      <w:r>
        <w:rPr>
          <w:szCs w:val="22"/>
        </w:rPr>
        <w:t>:</w:t>
      </w:r>
      <w:r w:rsidRPr="005E3DE7">
        <w:rPr>
          <w:szCs w:val="22"/>
        </w:rPr>
        <w:t xml:space="preserve"> Abt Associates</w:t>
      </w:r>
      <w:r>
        <w:rPr>
          <w:szCs w:val="22"/>
        </w:rPr>
        <w:t>.</w:t>
      </w:r>
    </w:p>
    <w:p w14:paraId="7A42C11F" w14:textId="77777777" w:rsidR="000D7766" w:rsidRPr="00DB5641" w:rsidRDefault="000D7766" w:rsidP="00180827">
      <w:pPr>
        <w:pStyle w:val="R2-ResBullet"/>
        <w:tabs>
          <w:tab w:val="left" w:pos="360"/>
        </w:tabs>
        <w:spacing w:after="120" w:line="240" w:lineRule="auto"/>
        <w:ind w:left="360" w:hanging="360"/>
        <w:rPr>
          <w:szCs w:val="22"/>
        </w:rPr>
      </w:pPr>
    </w:p>
    <w:p w14:paraId="6DF7AEFB" w14:textId="77777777" w:rsidR="006940A0" w:rsidRPr="00DB5641" w:rsidRDefault="006940A0" w:rsidP="006940A0">
      <w:pPr>
        <w:autoSpaceDE w:val="0"/>
        <w:autoSpaceDN w:val="0"/>
        <w:adjustRightInd w:val="0"/>
        <w:spacing w:after="0" w:line="240" w:lineRule="auto"/>
        <w:rPr>
          <w:szCs w:val="22"/>
        </w:rPr>
      </w:pPr>
      <w:r w:rsidRPr="00DB5641">
        <w:rPr>
          <w:szCs w:val="22"/>
        </w:rPr>
        <w:t xml:space="preserve">Vervloet M, Linn AJ, van Weert JC, de Bakker DH, Bouvy ML, van Dijk L: </w:t>
      </w:r>
      <w:r w:rsidRPr="00DB5641">
        <w:rPr>
          <w:i/>
          <w:szCs w:val="22"/>
        </w:rPr>
        <w:t>The effectiveness of interventions using electronic reminders to improve adherence to chronic medication: a systematic review of the literature</w:t>
      </w:r>
      <w:r w:rsidRPr="00DB5641">
        <w:rPr>
          <w:szCs w:val="22"/>
        </w:rPr>
        <w:t>. J Am Med Inform Assoc 2012, 19(5):696-704.</w:t>
      </w:r>
    </w:p>
    <w:p w14:paraId="5200C29A" w14:textId="77777777" w:rsidR="006940A0" w:rsidRDefault="006940A0" w:rsidP="006940A0">
      <w:pPr>
        <w:pStyle w:val="R2-ResBullet"/>
        <w:tabs>
          <w:tab w:val="left" w:pos="360"/>
        </w:tabs>
        <w:spacing w:after="120" w:line="240" w:lineRule="auto"/>
        <w:ind w:left="360" w:hanging="360"/>
        <w:rPr>
          <w:sz w:val="24"/>
          <w:szCs w:val="24"/>
        </w:rPr>
      </w:pPr>
    </w:p>
    <w:sectPr w:rsidR="006940A0" w:rsidSect="004F1E82">
      <w:footerReference w:type="default" r:id="rId16"/>
      <w:pgSz w:w="12240" w:h="15840" w:code="1"/>
      <w:pgMar w:top="1440" w:right="1440" w:bottom="1440" w:left="1440" w:header="1080" w:footer="720" w:gutter="0"/>
      <w:pgNumType w:chapStyle="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F205A" w15:done="0"/>
  <w15:commentEx w15:paraId="13CFB380" w15:done="0"/>
  <w15:commentEx w15:paraId="4B05A7A0" w15:done="0"/>
  <w15:commentEx w15:paraId="085F76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76D2C" w14:textId="77777777" w:rsidR="00FF3059" w:rsidRDefault="00FF3059" w:rsidP="00D979EA">
      <w:r>
        <w:separator/>
      </w:r>
    </w:p>
  </w:endnote>
  <w:endnote w:type="continuationSeparator" w:id="0">
    <w:p w14:paraId="04AFFBA0" w14:textId="77777777" w:rsidR="00FF3059" w:rsidRDefault="00FF305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EEF60" w14:textId="77777777" w:rsidR="005D0D56" w:rsidRDefault="005D0D5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CBCB1" w14:textId="77777777" w:rsidR="005D0D56" w:rsidRPr="0066134E" w:rsidRDefault="005D0D56" w:rsidP="0025388F">
    <w:pPr>
      <w:pStyle w:val="Footer"/>
      <w:tabs>
        <w:tab w:val="clear" w:pos="4507"/>
        <w:tab w:val="clear" w:pos="9000"/>
        <w:tab w:val="right" w:pos="9360"/>
      </w:tabs>
    </w:pPr>
    <w:r w:rsidRPr="0066134E">
      <w:rPr>
        <w:rStyle w:val="PageNumber"/>
        <w:b/>
      </w:rPr>
      <w:tab/>
    </w:r>
    <w:r w:rsidRPr="003F6E89">
      <w:rPr>
        <w:rStyle w:val="PageNumber"/>
        <w:b/>
      </w:rPr>
      <w:t>Supporting Statement for OMB Clearance Request</w:t>
    </w:r>
    <w:r w:rsidR="008A38E0">
      <w:rPr>
        <w:rStyle w:val="PageNumber"/>
        <w:b/>
      </w:rPr>
      <w:t xml:space="preserve"> Part B</w:t>
    </w:r>
    <w:r w:rsidRPr="003F6E89">
      <w:rPr>
        <w:rStyle w:val="PageNumber"/>
        <w:b/>
      </w:rPr>
      <w:t xml:space="preserve">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B9713D" w:rsidRPr="00B9713D">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476AA" w14:textId="77777777" w:rsidR="005D0D56" w:rsidRPr="0066134E" w:rsidRDefault="005D0D56"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B</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771DAB" w:rsidRPr="00771DAB">
      <w:rPr>
        <w:rStyle w:val="PageNumber"/>
        <w:b/>
        <w:noProof/>
        <w:color w:val="DA291C"/>
      </w:rPr>
      <w:t>7</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C0E94" w14:textId="77777777" w:rsidR="00FF3059" w:rsidRDefault="00FF3059" w:rsidP="00D979EA">
      <w:r>
        <w:separator/>
      </w:r>
    </w:p>
  </w:footnote>
  <w:footnote w:type="continuationSeparator" w:id="0">
    <w:p w14:paraId="2AEF78E1" w14:textId="77777777" w:rsidR="00FF3059" w:rsidRDefault="00FF3059" w:rsidP="00D979EA">
      <w:r>
        <w:continuationSeparator/>
      </w:r>
    </w:p>
  </w:footnote>
  <w:footnote w:id="1">
    <w:p w14:paraId="178ECA54" w14:textId="77777777" w:rsidR="0017246F" w:rsidRDefault="0017246F" w:rsidP="0017246F">
      <w:pPr>
        <w:pStyle w:val="FootnoteText"/>
      </w:pPr>
      <w:r>
        <w:rPr>
          <w:rStyle w:val="FootnoteReference"/>
        </w:rPr>
        <w:footnoteRef/>
      </w:r>
      <w:r>
        <w:t xml:space="preserve"> </w:t>
      </w:r>
      <w:r>
        <w:tab/>
        <w:t xml:space="preserve">Any statistically significant findings for second quarter employment that emerge from the planned test procedure will constitute confirmatory evidence with a high degree of certainty that a non-zero differential impact has truly occurred (90-percent certainty, given the 0.10 alpha factor used in the test procedure).  A lower probability of “tripping” the statistical significance “wire”—such as the 60- and50-percent odds referenced here—does not change this.  </w:t>
      </w:r>
    </w:p>
  </w:footnote>
  <w:footnote w:id="2">
    <w:p w14:paraId="5BF4A40C" w14:textId="6A6D590A" w:rsidR="0017246F" w:rsidRDefault="0017246F" w:rsidP="0017246F">
      <w:pPr>
        <w:pStyle w:val="FootnoteText"/>
      </w:pPr>
      <w:r>
        <w:rPr>
          <w:rStyle w:val="FootnoteReference"/>
        </w:rPr>
        <w:footnoteRef/>
      </w:r>
      <w:r>
        <w:t xml:space="preserve"> </w:t>
      </w:r>
      <w:r w:rsidR="004039FA">
        <w:tab/>
      </w:r>
      <w:r>
        <w:t>Projected through the end of survey data collection in December 2017.</w:t>
      </w:r>
    </w:p>
  </w:footnote>
  <w:footnote w:id="3">
    <w:p w14:paraId="53464EA7" w14:textId="7FFDC0D3" w:rsidR="0017246F" w:rsidRDefault="0017246F" w:rsidP="0017246F">
      <w:pPr>
        <w:pStyle w:val="FootnoteText"/>
      </w:pPr>
      <w:r>
        <w:rPr>
          <w:rStyle w:val="FootnoteReference"/>
        </w:rPr>
        <w:footnoteRef/>
      </w:r>
      <w:r>
        <w:t xml:space="preserve"> </w:t>
      </w:r>
      <w:r w:rsidR="004039FA">
        <w:tab/>
      </w:r>
      <w:r>
        <w:t>Projected through the end of survey data collection in February 2018.</w:t>
      </w:r>
    </w:p>
  </w:footnote>
  <w:footnote w:id="4">
    <w:p w14:paraId="4B4444E5" w14:textId="77777777" w:rsidR="000C342E" w:rsidRDefault="000C342E">
      <w:pPr>
        <w:pStyle w:val="FootnoteText"/>
      </w:pPr>
      <w:r>
        <w:rPr>
          <w:rStyle w:val="FootnoteReference"/>
        </w:rPr>
        <w:footnoteRef/>
      </w:r>
      <w:r>
        <w:t xml:space="preserve">  </w:t>
      </w:r>
      <w:r w:rsidR="008D1170">
        <w:tab/>
      </w:r>
      <w:r>
        <w:t>The J</w:t>
      </w:r>
      <w:r w:rsidR="00641C70">
        <w:t>SA</w:t>
      </w:r>
      <w:r>
        <w:t xml:space="preserve"> Evaluation enrollment period </w:t>
      </w:r>
      <w:r w:rsidR="000F0507">
        <w:t>began</w:t>
      </w:r>
      <w:r>
        <w:t xml:space="preserve"> in </w:t>
      </w:r>
      <w:r w:rsidR="000F0507">
        <w:t>October</w:t>
      </w:r>
      <w:r>
        <w:t xml:space="preserve"> 2015</w:t>
      </w:r>
      <w:r w:rsidR="000F0507">
        <w:t xml:space="preserve"> in the first study site</w:t>
      </w:r>
      <w:r>
        <w:t>,</w:t>
      </w:r>
      <w:r w:rsidR="00720F94">
        <w:t xml:space="preserve"> </w:t>
      </w:r>
      <w:r>
        <w:t xml:space="preserve">prior to OMB approval of the contact update form and use of </w:t>
      </w:r>
      <w:r w:rsidR="00641C70">
        <w:t>tokens of appreciation</w:t>
      </w:r>
      <w:r>
        <w:t xml:space="preserve">.  </w:t>
      </w:r>
      <w:r w:rsidR="000F0507">
        <w:t>W</w:t>
      </w:r>
      <w:r>
        <w:t xml:space="preserve">elcome packets for the participants enrolled prior to OMB approval will </w:t>
      </w:r>
      <w:r w:rsidR="00720F94">
        <w:t>only contain a cover letter and a study brochure</w:t>
      </w:r>
      <w:r>
        <w:t>.  Tracking for these early enrollees will draw heavily upon passive tracking sources</w:t>
      </w:r>
      <w:r w:rsidR="000F0507">
        <w:t xml:space="preserve"> until OMB approval is received and this group can be transitioned into the active tracking system as well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7C8F1" w14:textId="77777777" w:rsidR="005D0D56" w:rsidRPr="0005750B" w:rsidRDefault="005D0D56"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ED46" w14:textId="77777777" w:rsidR="005D0D56" w:rsidRDefault="005D0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4E841" w14:textId="77777777" w:rsidR="005D0D56" w:rsidRDefault="005D0D56"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9E01" w14:textId="77777777" w:rsidR="005D0D56" w:rsidRDefault="005D0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12"/>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0B110CB"/>
    <w:multiLevelType w:val="hybridMultilevel"/>
    <w:tmpl w:val="C73CCB20"/>
    <w:lvl w:ilvl="0" w:tplc="B90EF3E8">
      <w:start w:val="1"/>
      <w:numFmt w:val="decimal"/>
      <w:lvlText w:val="%1."/>
      <w:lvlJc w:val="left"/>
      <w:pPr>
        <w:ind w:left="720" w:hanging="360"/>
      </w:pPr>
      <w:rPr>
        <w:rFonts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C2391"/>
    <w:multiLevelType w:val="hybridMultilevel"/>
    <w:tmpl w:val="35E4CE5C"/>
    <w:lvl w:ilvl="0" w:tplc="143A75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93BA3"/>
    <w:multiLevelType w:val="hybridMultilevel"/>
    <w:tmpl w:val="01D82E3C"/>
    <w:lvl w:ilvl="0" w:tplc="238044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F2002"/>
    <w:multiLevelType w:val="hybridMultilevel"/>
    <w:tmpl w:val="494C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AE112C"/>
    <w:multiLevelType w:val="hybridMultilevel"/>
    <w:tmpl w:val="D130BA8A"/>
    <w:lvl w:ilvl="0" w:tplc="0409000F">
      <w:start w:val="1"/>
      <w:numFmt w:val="decimal"/>
      <w:lvlText w:val="%1."/>
      <w:lvlJc w:val="left"/>
      <w:pPr>
        <w:ind w:left="720" w:hanging="360"/>
      </w:pPr>
      <w:rPr>
        <w:rFonts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A344BC7"/>
    <w:multiLevelType w:val="hybridMultilevel"/>
    <w:tmpl w:val="A622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6465A"/>
    <w:multiLevelType w:val="hybridMultilevel"/>
    <w:tmpl w:val="7298A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84E38"/>
    <w:multiLevelType w:val="hybridMultilevel"/>
    <w:tmpl w:val="040E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43AD01D0"/>
    <w:multiLevelType w:val="multilevel"/>
    <w:tmpl w:val="77184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nsid w:val="494801B0"/>
    <w:multiLevelType w:val="hybridMultilevel"/>
    <w:tmpl w:val="A1FE31FA"/>
    <w:lvl w:ilvl="0" w:tplc="1DF6E6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9905352"/>
    <w:multiLevelType w:val="hybridMultilevel"/>
    <w:tmpl w:val="8B1C3340"/>
    <w:lvl w:ilvl="0" w:tplc="684A7D4E">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58D94F3A"/>
    <w:multiLevelType w:val="multilevel"/>
    <w:tmpl w:val="729C2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C5F015F"/>
    <w:multiLevelType w:val="hybridMultilevel"/>
    <w:tmpl w:val="DA4630A8"/>
    <w:lvl w:ilvl="0" w:tplc="9C0AAF80">
      <w:start w:val="1"/>
      <w:numFmt w:val="decimal"/>
      <w:lvlText w:val="%1."/>
      <w:lvlJc w:val="left"/>
      <w:pPr>
        <w:ind w:left="360" w:hanging="360"/>
      </w:pPr>
      <w:rPr>
        <w:rFonts w:hint="default"/>
        <w:b/>
        <w:sz w:val="24"/>
        <w:szCs w:val="24"/>
      </w:rPr>
    </w:lvl>
    <w:lvl w:ilvl="1" w:tplc="0B5AF8F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F1860FF"/>
    <w:multiLevelType w:val="hybridMultilevel"/>
    <w:tmpl w:val="CDB2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2E805BC"/>
    <w:multiLevelType w:val="hybridMultilevel"/>
    <w:tmpl w:val="695C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1452E"/>
    <w:multiLevelType w:val="hybridMultilevel"/>
    <w:tmpl w:val="75E2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3"/>
  </w:num>
  <w:num w:numId="5">
    <w:abstractNumId w:val="29"/>
  </w:num>
  <w:num w:numId="6">
    <w:abstractNumId w:val="7"/>
  </w:num>
  <w:num w:numId="7">
    <w:abstractNumId w:val="1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6"/>
  </w:num>
  <w:num w:numId="12">
    <w:abstractNumId w:val="10"/>
  </w:num>
  <w:num w:numId="13">
    <w:abstractNumId w:val="15"/>
  </w:num>
  <w:num w:numId="14">
    <w:abstractNumId w:val="18"/>
  </w:num>
  <w:num w:numId="15">
    <w:abstractNumId w:val="9"/>
  </w:num>
  <w:num w:numId="16">
    <w:abstractNumId w:val="28"/>
  </w:num>
  <w:num w:numId="17">
    <w:abstractNumId w:val="23"/>
  </w:num>
  <w:num w:numId="18">
    <w:abstractNumId w:val="5"/>
  </w:num>
  <w:num w:numId="19">
    <w:abstractNumId w:val="0"/>
  </w:num>
  <w:num w:numId="20">
    <w:abstractNumId w:val="11"/>
  </w:num>
  <w:num w:numId="21">
    <w:abstractNumId w:val="14"/>
  </w:num>
  <w:num w:numId="22">
    <w:abstractNumId w:val="25"/>
  </w:num>
  <w:num w:numId="23">
    <w:abstractNumId w:val="21"/>
  </w:num>
  <w:num w:numId="24">
    <w:abstractNumId w:val="4"/>
  </w:num>
  <w:num w:numId="25">
    <w:abstractNumId w:val="13"/>
  </w:num>
  <w:num w:numId="26">
    <w:abstractNumId w:val="22"/>
  </w:num>
  <w:num w:numId="27">
    <w:abstractNumId w:val="16"/>
  </w:num>
  <w:num w:numId="28">
    <w:abstractNumId w:val="2"/>
  </w:num>
  <w:num w:numId="29">
    <w:abstractNumId w:val="20"/>
  </w:num>
  <w:num w:numId="30">
    <w:abstractNumId w:val="17"/>
  </w:num>
  <w:num w:numId="31">
    <w:abstractNumId w:val="1"/>
  </w:num>
  <w:num w:numId="32">
    <w:abstractNumId w:val="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in Martinson">
    <w15:presenceInfo w15:providerId="AD" w15:userId="S-1-5-21-4161449151-3199555679-2224323722-6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1E9B"/>
    <w:rsid w:val="00003A2C"/>
    <w:rsid w:val="00004B85"/>
    <w:rsid w:val="000060E8"/>
    <w:rsid w:val="000063D9"/>
    <w:rsid w:val="00006B3A"/>
    <w:rsid w:val="00006BBF"/>
    <w:rsid w:val="000120A5"/>
    <w:rsid w:val="000136F3"/>
    <w:rsid w:val="00014AD7"/>
    <w:rsid w:val="00014C62"/>
    <w:rsid w:val="00014D1A"/>
    <w:rsid w:val="00015298"/>
    <w:rsid w:val="00016E17"/>
    <w:rsid w:val="00017EA6"/>
    <w:rsid w:val="0002216E"/>
    <w:rsid w:val="0002382E"/>
    <w:rsid w:val="00030028"/>
    <w:rsid w:val="00030603"/>
    <w:rsid w:val="00031130"/>
    <w:rsid w:val="000330FD"/>
    <w:rsid w:val="00034075"/>
    <w:rsid w:val="00035740"/>
    <w:rsid w:val="00035FBF"/>
    <w:rsid w:val="00040851"/>
    <w:rsid w:val="00040E00"/>
    <w:rsid w:val="00041508"/>
    <w:rsid w:val="000442B0"/>
    <w:rsid w:val="000458B4"/>
    <w:rsid w:val="00045C91"/>
    <w:rsid w:val="00046728"/>
    <w:rsid w:val="000468B6"/>
    <w:rsid w:val="0004732B"/>
    <w:rsid w:val="00051004"/>
    <w:rsid w:val="000515B5"/>
    <w:rsid w:val="000525E0"/>
    <w:rsid w:val="00052934"/>
    <w:rsid w:val="00053EEF"/>
    <w:rsid w:val="000543DC"/>
    <w:rsid w:val="00055022"/>
    <w:rsid w:val="0005750B"/>
    <w:rsid w:val="00057640"/>
    <w:rsid w:val="00057D22"/>
    <w:rsid w:val="0006045E"/>
    <w:rsid w:val="0006587B"/>
    <w:rsid w:val="0006656D"/>
    <w:rsid w:val="00070322"/>
    <w:rsid w:val="00070915"/>
    <w:rsid w:val="0007152B"/>
    <w:rsid w:val="000725D9"/>
    <w:rsid w:val="00076F74"/>
    <w:rsid w:val="00076FE1"/>
    <w:rsid w:val="00081BA3"/>
    <w:rsid w:val="00081C4A"/>
    <w:rsid w:val="00082D01"/>
    <w:rsid w:val="0008355C"/>
    <w:rsid w:val="00086A01"/>
    <w:rsid w:val="00087856"/>
    <w:rsid w:val="000902AA"/>
    <w:rsid w:val="000916D6"/>
    <w:rsid w:val="00093CA1"/>
    <w:rsid w:val="0009443D"/>
    <w:rsid w:val="00095D40"/>
    <w:rsid w:val="000966E0"/>
    <w:rsid w:val="000976B7"/>
    <w:rsid w:val="000A00A2"/>
    <w:rsid w:val="000A1C6D"/>
    <w:rsid w:val="000A2554"/>
    <w:rsid w:val="000A2DF8"/>
    <w:rsid w:val="000A4125"/>
    <w:rsid w:val="000A63C1"/>
    <w:rsid w:val="000A7536"/>
    <w:rsid w:val="000A7718"/>
    <w:rsid w:val="000A7D69"/>
    <w:rsid w:val="000B0F5A"/>
    <w:rsid w:val="000B1867"/>
    <w:rsid w:val="000B1CD9"/>
    <w:rsid w:val="000B27A3"/>
    <w:rsid w:val="000B33D1"/>
    <w:rsid w:val="000B4A27"/>
    <w:rsid w:val="000B5829"/>
    <w:rsid w:val="000C0A39"/>
    <w:rsid w:val="000C2A54"/>
    <w:rsid w:val="000C3040"/>
    <w:rsid w:val="000C342E"/>
    <w:rsid w:val="000C3AF9"/>
    <w:rsid w:val="000C3C27"/>
    <w:rsid w:val="000D53F1"/>
    <w:rsid w:val="000D5759"/>
    <w:rsid w:val="000D5777"/>
    <w:rsid w:val="000D6518"/>
    <w:rsid w:val="000D6942"/>
    <w:rsid w:val="000D6A47"/>
    <w:rsid w:val="000D7727"/>
    <w:rsid w:val="000D7766"/>
    <w:rsid w:val="000E091F"/>
    <w:rsid w:val="000E6B75"/>
    <w:rsid w:val="000F0507"/>
    <w:rsid w:val="000F13DE"/>
    <w:rsid w:val="000F3041"/>
    <w:rsid w:val="000F3556"/>
    <w:rsid w:val="000F4EDD"/>
    <w:rsid w:val="000F53F4"/>
    <w:rsid w:val="000F6B6B"/>
    <w:rsid w:val="000F713F"/>
    <w:rsid w:val="0010047F"/>
    <w:rsid w:val="001027F4"/>
    <w:rsid w:val="00102A42"/>
    <w:rsid w:val="001034D7"/>
    <w:rsid w:val="001043CE"/>
    <w:rsid w:val="00104F2A"/>
    <w:rsid w:val="001055FF"/>
    <w:rsid w:val="00105B32"/>
    <w:rsid w:val="00105D62"/>
    <w:rsid w:val="00107A04"/>
    <w:rsid w:val="0011170B"/>
    <w:rsid w:val="00113590"/>
    <w:rsid w:val="001146BC"/>
    <w:rsid w:val="00115544"/>
    <w:rsid w:val="00116679"/>
    <w:rsid w:val="00116A14"/>
    <w:rsid w:val="001178CA"/>
    <w:rsid w:val="001225CC"/>
    <w:rsid w:val="00124D35"/>
    <w:rsid w:val="00126D43"/>
    <w:rsid w:val="00130417"/>
    <w:rsid w:val="001307A5"/>
    <w:rsid w:val="0013145C"/>
    <w:rsid w:val="00131840"/>
    <w:rsid w:val="0013202F"/>
    <w:rsid w:val="00137D99"/>
    <w:rsid w:val="00141252"/>
    <w:rsid w:val="0014165B"/>
    <w:rsid w:val="00141923"/>
    <w:rsid w:val="00145A5E"/>
    <w:rsid w:val="00146059"/>
    <w:rsid w:val="00147B9B"/>
    <w:rsid w:val="00152153"/>
    <w:rsid w:val="001522A4"/>
    <w:rsid w:val="0015250B"/>
    <w:rsid w:val="001563F0"/>
    <w:rsid w:val="001566B7"/>
    <w:rsid w:val="001572EB"/>
    <w:rsid w:val="001576F7"/>
    <w:rsid w:val="00157E04"/>
    <w:rsid w:val="00160657"/>
    <w:rsid w:val="00160B87"/>
    <w:rsid w:val="00161DFB"/>
    <w:rsid w:val="0016365B"/>
    <w:rsid w:val="001668EE"/>
    <w:rsid w:val="001677DC"/>
    <w:rsid w:val="0017087D"/>
    <w:rsid w:val="001708CF"/>
    <w:rsid w:val="00170D9C"/>
    <w:rsid w:val="00170DB5"/>
    <w:rsid w:val="0017185F"/>
    <w:rsid w:val="00172119"/>
    <w:rsid w:val="0017246F"/>
    <w:rsid w:val="00173EB0"/>
    <w:rsid w:val="00174455"/>
    <w:rsid w:val="00180827"/>
    <w:rsid w:val="00180E66"/>
    <w:rsid w:val="0018406F"/>
    <w:rsid w:val="001845EE"/>
    <w:rsid w:val="00186988"/>
    <w:rsid w:val="00187F51"/>
    <w:rsid w:val="00190DAA"/>
    <w:rsid w:val="00192943"/>
    <w:rsid w:val="00193188"/>
    <w:rsid w:val="00194F92"/>
    <w:rsid w:val="001A04CE"/>
    <w:rsid w:val="001A0E0A"/>
    <w:rsid w:val="001A1213"/>
    <w:rsid w:val="001A1C27"/>
    <w:rsid w:val="001A23B5"/>
    <w:rsid w:val="001A403F"/>
    <w:rsid w:val="001A4633"/>
    <w:rsid w:val="001B31B5"/>
    <w:rsid w:val="001B3324"/>
    <w:rsid w:val="001B4509"/>
    <w:rsid w:val="001B4F4C"/>
    <w:rsid w:val="001B520C"/>
    <w:rsid w:val="001C0891"/>
    <w:rsid w:val="001C10AF"/>
    <w:rsid w:val="001C1552"/>
    <w:rsid w:val="001C27ED"/>
    <w:rsid w:val="001C2BA5"/>
    <w:rsid w:val="001C4583"/>
    <w:rsid w:val="001C47B3"/>
    <w:rsid w:val="001C50F2"/>
    <w:rsid w:val="001C5DE0"/>
    <w:rsid w:val="001C63BE"/>
    <w:rsid w:val="001C6613"/>
    <w:rsid w:val="001C66FA"/>
    <w:rsid w:val="001D0A8E"/>
    <w:rsid w:val="001D12CF"/>
    <w:rsid w:val="001D487C"/>
    <w:rsid w:val="001D4FDD"/>
    <w:rsid w:val="001D5799"/>
    <w:rsid w:val="001D58A4"/>
    <w:rsid w:val="001D7638"/>
    <w:rsid w:val="001E1690"/>
    <w:rsid w:val="001E2CF1"/>
    <w:rsid w:val="001E3491"/>
    <w:rsid w:val="001F2B38"/>
    <w:rsid w:val="001F53B1"/>
    <w:rsid w:val="001F60E8"/>
    <w:rsid w:val="00200E58"/>
    <w:rsid w:val="00206053"/>
    <w:rsid w:val="002064D3"/>
    <w:rsid w:val="0021042F"/>
    <w:rsid w:val="002106BF"/>
    <w:rsid w:val="0021161B"/>
    <w:rsid w:val="0021209D"/>
    <w:rsid w:val="00213609"/>
    <w:rsid w:val="0021595C"/>
    <w:rsid w:val="0021692A"/>
    <w:rsid w:val="002176B8"/>
    <w:rsid w:val="002202AB"/>
    <w:rsid w:val="002211E2"/>
    <w:rsid w:val="002216AD"/>
    <w:rsid w:val="00221D99"/>
    <w:rsid w:val="00223A9F"/>
    <w:rsid w:val="002245B4"/>
    <w:rsid w:val="002254C7"/>
    <w:rsid w:val="0022674D"/>
    <w:rsid w:val="00227977"/>
    <w:rsid w:val="002304AE"/>
    <w:rsid w:val="002312C8"/>
    <w:rsid w:val="00232104"/>
    <w:rsid w:val="00233602"/>
    <w:rsid w:val="0023369E"/>
    <w:rsid w:val="00233D3C"/>
    <w:rsid w:val="0023449A"/>
    <w:rsid w:val="00235AA6"/>
    <w:rsid w:val="00235DBE"/>
    <w:rsid w:val="00235F88"/>
    <w:rsid w:val="002460E0"/>
    <w:rsid w:val="00247C54"/>
    <w:rsid w:val="0025388F"/>
    <w:rsid w:val="002542EB"/>
    <w:rsid w:val="00254D13"/>
    <w:rsid w:val="002558FD"/>
    <w:rsid w:val="00255975"/>
    <w:rsid w:val="00256D25"/>
    <w:rsid w:val="00260256"/>
    <w:rsid w:val="00262EF3"/>
    <w:rsid w:val="00263331"/>
    <w:rsid w:val="002634A0"/>
    <w:rsid w:val="00264162"/>
    <w:rsid w:val="00265D4B"/>
    <w:rsid w:val="00266585"/>
    <w:rsid w:val="002702F7"/>
    <w:rsid w:val="00271087"/>
    <w:rsid w:val="00273EAA"/>
    <w:rsid w:val="0027534D"/>
    <w:rsid w:val="002753E8"/>
    <w:rsid w:val="002758BC"/>
    <w:rsid w:val="00276702"/>
    <w:rsid w:val="002804DB"/>
    <w:rsid w:val="0028086A"/>
    <w:rsid w:val="002808AF"/>
    <w:rsid w:val="0028328D"/>
    <w:rsid w:val="002838F5"/>
    <w:rsid w:val="00284E04"/>
    <w:rsid w:val="00285BB6"/>
    <w:rsid w:val="00291DEA"/>
    <w:rsid w:val="0029491C"/>
    <w:rsid w:val="002960EC"/>
    <w:rsid w:val="002966B9"/>
    <w:rsid w:val="002974D4"/>
    <w:rsid w:val="002A158B"/>
    <w:rsid w:val="002A4078"/>
    <w:rsid w:val="002A5CE0"/>
    <w:rsid w:val="002B0964"/>
    <w:rsid w:val="002B10EB"/>
    <w:rsid w:val="002B28A2"/>
    <w:rsid w:val="002B2D61"/>
    <w:rsid w:val="002B2F3C"/>
    <w:rsid w:val="002C070D"/>
    <w:rsid w:val="002C23C8"/>
    <w:rsid w:val="002C3175"/>
    <w:rsid w:val="002C32AB"/>
    <w:rsid w:val="002C41F9"/>
    <w:rsid w:val="002C4495"/>
    <w:rsid w:val="002C5AC8"/>
    <w:rsid w:val="002C76AB"/>
    <w:rsid w:val="002D084D"/>
    <w:rsid w:val="002D125C"/>
    <w:rsid w:val="002D4536"/>
    <w:rsid w:val="002D7305"/>
    <w:rsid w:val="002E2B9D"/>
    <w:rsid w:val="002E3B62"/>
    <w:rsid w:val="002E49EF"/>
    <w:rsid w:val="002E5262"/>
    <w:rsid w:val="002E5794"/>
    <w:rsid w:val="002E6915"/>
    <w:rsid w:val="002F086C"/>
    <w:rsid w:val="002F0B74"/>
    <w:rsid w:val="002F11E3"/>
    <w:rsid w:val="002F1209"/>
    <w:rsid w:val="002F1685"/>
    <w:rsid w:val="002F3BE9"/>
    <w:rsid w:val="002F48C8"/>
    <w:rsid w:val="002F55CE"/>
    <w:rsid w:val="002F76F5"/>
    <w:rsid w:val="003003CF"/>
    <w:rsid w:val="00301B39"/>
    <w:rsid w:val="00303D11"/>
    <w:rsid w:val="0030473A"/>
    <w:rsid w:val="003075E0"/>
    <w:rsid w:val="00310AEB"/>
    <w:rsid w:val="003122CE"/>
    <w:rsid w:val="0031284F"/>
    <w:rsid w:val="00313503"/>
    <w:rsid w:val="00313F8E"/>
    <w:rsid w:val="00314A8A"/>
    <w:rsid w:val="00314B86"/>
    <w:rsid w:val="003169F3"/>
    <w:rsid w:val="00317246"/>
    <w:rsid w:val="00317A4E"/>
    <w:rsid w:val="00317AE9"/>
    <w:rsid w:val="00317DA5"/>
    <w:rsid w:val="00324EC2"/>
    <w:rsid w:val="003258FA"/>
    <w:rsid w:val="003267BD"/>
    <w:rsid w:val="0032748C"/>
    <w:rsid w:val="003279F2"/>
    <w:rsid w:val="00331DDC"/>
    <w:rsid w:val="0033332C"/>
    <w:rsid w:val="00333D95"/>
    <w:rsid w:val="0033654B"/>
    <w:rsid w:val="00340F24"/>
    <w:rsid w:val="00342012"/>
    <w:rsid w:val="003427A9"/>
    <w:rsid w:val="00342BA9"/>
    <w:rsid w:val="00342CF4"/>
    <w:rsid w:val="00343F83"/>
    <w:rsid w:val="003455BC"/>
    <w:rsid w:val="00345A9D"/>
    <w:rsid w:val="00346731"/>
    <w:rsid w:val="003508E0"/>
    <w:rsid w:val="00350FC9"/>
    <w:rsid w:val="00352BCA"/>
    <w:rsid w:val="00354503"/>
    <w:rsid w:val="00355303"/>
    <w:rsid w:val="00355E21"/>
    <w:rsid w:val="00361B8F"/>
    <w:rsid w:val="003623F0"/>
    <w:rsid w:val="003647E3"/>
    <w:rsid w:val="003659CC"/>
    <w:rsid w:val="00370164"/>
    <w:rsid w:val="003711CD"/>
    <w:rsid w:val="00376444"/>
    <w:rsid w:val="00377070"/>
    <w:rsid w:val="00377D51"/>
    <w:rsid w:val="00380869"/>
    <w:rsid w:val="00380B60"/>
    <w:rsid w:val="00380DB1"/>
    <w:rsid w:val="003819D7"/>
    <w:rsid w:val="00381FF1"/>
    <w:rsid w:val="00382C7C"/>
    <w:rsid w:val="00383BFC"/>
    <w:rsid w:val="00383EE4"/>
    <w:rsid w:val="00384611"/>
    <w:rsid w:val="00384CA0"/>
    <w:rsid w:val="00385F97"/>
    <w:rsid w:val="003870BA"/>
    <w:rsid w:val="0038710C"/>
    <w:rsid w:val="00390143"/>
    <w:rsid w:val="00390E04"/>
    <w:rsid w:val="00390E11"/>
    <w:rsid w:val="0039334F"/>
    <w:rsid w:val="00395277"/>
    <w:rsid w:val="00395A89"/>
    <w:rsid w:val="00395EED"/>
    <w:rsid w:val="00395F80"/>
    <w:rsid w:val="003978C0"/>
    <w:rsid w:val="003A14BA"/>
    <w:rsid w:val="003A1AAE"/>
    <w:rsid w:val="003A2FA8"/>
    <w:rsid w:val="003A3403"/>
    <w:rsid w:val="003A52E8"/>
    <w:rsid w:val="003A75A8"/>
    <w:rsid w:val="003B0879"/>
    <w:rsid w:val="003B0F0F"/>
    <w:rsid w:val="003B4770"/>
    <w:rsid w:val="003B4826"/>
    <w:rsid w:val="003B6500"/>
    <w:rsid w:val="003B6561"/>
    <w:rsid w:val="003C0FB1"/>
    <w:rsid w:val="003C20BF"/>
    <w:rsid w:val="003C289E"/>
    <w:rsid w:val="003C3068"/>
    <w:rsid w:val="003C5770"/>
    <w:rsid w:val="003C6CA1"/>
    <w:rsid w:val="003C77F0"/>
    <w:rsid w:val="003D008B"/>
    <w:rsid w:val="003D0EB4"/>
    <w:rsid w:val="003D5616"/>
    <w:rsid w:val="003D61A0"/>
    <w:rsid w:val="003E0C79"/>
    <w:rsid w:val="003E4166"/>
    <w:rsid w:val="003E56B8"/>
    <w:rsid w:val="003E5FC6"/>
    <w:rsid w:val="003E666B"/>
    <w:rsid w:val="003E7F84"/>
    <w:rsid w:val="003F0200"/>
    <w:rsid w:val="003F3096"/>
    <w:rsid w:val="003F3E19"/>
    <w:rsid w:val="003F4D87"/>
    <w:rsid w:val="003F6553"/>
    <w:rsid w:val="00400BC4"/>
    <w:rsid w:val="004039FA"/>
    <w:rsid w:val="00403E61"/>
    <w:rsid w:val="0040446E"/>
    <w:rsid w:val="004044E6"/>
    <w:rsid w:val="004050EE"/>
    <w:rsid w:val="0040530A"/>
    <w:rsid w:val="0041037B"/>
    <w:rsid w:val="00410DC2"/>
    <w:rsid w:val="00413839"/>
    <w:rsid w:val="00413CE6"/>
    <w:rsid w:val="004164AE"/>
    <w:rsid w:val="00417723"/>
    <w:rsid w:val="004207D2"/>
    <w:rsid w:val="00423092"/>
    <w:rsid w:val="004230A3"/>
    <w:rsid w:val="00423F12"/>
    <w:rsid w:val="004253E8"/>
    <w:rsid w:val="00425C21"/>
    <w:rsid w:val="0042719F"/>
    <w:rsid w:val="00427EA9"/>
    <w:rsid w:val="00430F5D"/>
    <w:rsid w:val="004319BC"/>
    <w:rsid w:val="00432872"/>
    <w:rsid w:val="00434746"/>
    <w:rsid w:val="004350B0"/>
    <w:rsid w:val="004359E2"/>
    <w:rsid w:val="00436CE5"/>
    <w:rsid w:val="00440967"/>
    <w:rsid w:val="00441EE8"/>
    <w:rsid w:val="00443B39"/>
    <w:rsid w:val="004464A4"/>
    <w:rsid w:val="00446CB1"/>
    <w:rsid w:val="00450AFD"/>
    <w:rsid w:val="00451408"/>
    <w:rsid w:val="0045322A"/>
    <w:rsid w:val="00454709"/>
    <w:rsid w:val="00457483"/>
    <w:rsid w:val="00460CF6"/>
    <w:rsid w:val="00462DD7"/>
    <w:rsid w:val="00465EF9"/>
    <w:rsid w:val="00467D94"/>
    <w:rsid w:val="00470AB4"/>
    <w:rsid w:val="00471E23"/>
    <w:rsid w:val="00472E16"/>
    <w:rsid w:val="004734DF"/>
    <w:rsid w:val="00474909"/>
    <w:rsid w:val="004751AB"/>
    <w:rsid w:val="00476140"/>
    <w:rsid w:val="00477F66"/>
    <w:rsid w:val="004800A8"/>
    <w:rsid w:val="004820EB"/>
    <w:rsid w:val="00482D2F"/>
    <w:rsid w:val="004839E5"/>
    <w:rsid w:val="00483A7C"/>
    <w:rsid w:val="00484BE9"/>
    <w:rsid w:val="00486943"/>
    <w:rsid w:val="0049031E"/>
    <w:rsid w:val="00493957"/>
    <w:rsid w:val="00494E64"/>
    <w:rsid w:val="00495B91"/>
    <w:rsid w:val="00496189"/>
    <w:rsid w:val="00496401"/>
    <w:rsid w:val="00497325"/>
    <w:rsid w:val="0049732E"/>
    <w:rsid w:val="00497C9C"/>
    <w:rsid w:val="004A1F85"/>
    <w:rsid w:val="004A2B5C"/>
    <w:rsid w:val="004A53BB"/>
    <w:rsid w:val="004A5408"/>
    <w:rsid w:val="004A6350"/>
    <w:rsid w:val="004A6793"/>
    <w:rsid w:val="004A6887"/>
    <w:rsid w:val="004A6A02"/>
    <w:rsid w:val="004A7D10"/>
    <w:rsid w:val="004B13DD"/>
    <w:rsid w:val="004B13EC"/>
    <w:rsid w:val="004B21E2"/>
    <w:rsid w:val="004B27CF"/>
    <w:rsid w:val="004B7525"/>
    <w:rsid w:val="004B7ACC"/>
    <w:rsid w:val="004C0D53"/>
    <w:rsid w:val="004C18DF"/>
    <w:rsid w:val="004C29E5"/>
    <w:rsid w:val="004C2B46"/>
    <w:rsid w:val="004C69A1"/>
    <w:rsid w:val="004C6BEE"/>
    <w:rsid w:val="004C7888"/>
    <w:rsid w:val="004C7DC4"/>
    <w:rsid w:val="004D0BD3"/>
    <w:rsid w:val="004D2779"/>
    <w:rsid w:val="004D4C6D"/>
    <w:rsid w:val="004D6B6A"/>
    <w:rsid w:val="004D6FB8"/>
    <w:rsid w:val="004D7A36"/>
    <w:rsid w:val="004E01A4"/>
    <w:rsid w:val="004E06DE"/>
    <w:rsid w:val="004E171A"/>
    <w:rsid w:val="004E4E3D"/>
    <w:rsid w:val="004E696C"/>
    <w:rsid w:val="004E6EF6"/>
    <w:rsid w:val="004E74A3"/>
    <w:rsid w:val="004E7BA2"/>
    <w:rsid w:val="004F1E82"/>
    <w:rsid w:val="004F2934"/>
    <w:rsid w:val="004F45AB"/>
    <w:rsid w:val="004F4FFB"/>
    <w:rsid w:val="004F512C"/>
    <w:rsid w:val="004F5A18"/>
    <w:rsid w:val="004F6742"/>
    <w:rsid w:val="004F709B"/>
    <w:rsid w:val="004F7D88"/>
    <w:rsid w:val="00500C46"/>
    <w:rsid w:val="00500DE7"/>
    <w:rsid w:val="00501523"/>
    <w:rsid w:val="00502E1A"/>
    <w:rsid w:val="00503049"/>
    <w:rsid w:val="00503920"/>
    <w:rsid w:val="00505B17"/>
    <w:rsid w:val="00506246"/>
    <w:rsid w:val="00506E55"/>
    <w:rsid w:val="0050732A"/>
    <w:rsid w:val="005073E4"/>
    <w:rsid w:val="005101AF"/>
    <w:rsid w:val="005113E2"/>
    <w:rsid w:val="00511C7B"/>
    <w:rsid w:val="0051678F"/>
    <w:rsid w:val="00517437"/>
    <w:rsid w:val="0052314C"/>
    <w:rsid w:val="00530537"/>
    <w:rsid w:val="0053062C"/>
    <w:rsid w:val="00532322"/>
    <w:rsid w:val="00534B03"/>
    <w:rsid w:val="00534C33"/>
    <w:rsid w:val="00535B78"/>
    <w:rsid w:val="00536DB4"/>
    <w:rsid w:val="0053798B"/>
    <w:rsid w:val="005379A5"/>
    <w:rsid w:val="0054025D"/>
    <w:rsid w:val="0054169A"/>
    <w:rsid w:val="00543FC3"/>
    <w:rsid w:val="00547F08"/>
    <w:rsid w:val="00550A91"/>
    <w:rsid w:val="0055123E"/>
    <w:rsid w:val="0055431C"/>
    <w:rsid w:val="00555038"/>
    <w:rsid w:val="00555A26"/>
    <w:rsid w:val="00567A53"/>
    <w:rsid w:val="00570676"/>
    <w:rsid w:val="0057183B"/>
    <w:rsid w:val="00571D6C"/>
    <w:rsid w:val="0057284E"/>
    <w:rsid w:val="00574572"/>
    <w:rsid w:val="00574DF4"/>
    <w:rsid w:val="00577AA3"/>
    <w:rsid w:val="00577BC7"/>
    <w:rsid w:val="00581EA6"/>
    <w:rsid w:val="0058312A"/>
    <w:rsid w:val="00583B0B"/>
    <w:rsid w:val="00584B4F"/>
    <w:rsid w:val="00585091"/>
    <w:rsid w:val="00585CA4"/>
    <w:rsid w:val="00587307"/>
    <w:rsid w:val="00591223"/>
    <w:rsid w:val="00596274"/>
    <w:rsid w:val="00597274"/>
    <w:rsid w:val="00597948"/>
    <w:rsid w:val="005A0368"/>
    <w:rsid w:val="005A2113"/>
    <w:rsid w:val="005A27BD"/>
    <w:rsid w:val="005A6EDB"/>
    <w:rsid w:val="005B1AC5"/>
    <w:rsid w:val="005B240F"/>
    <w:rsid w:val="005B37E8"/>
    <w:rsid w:val="005B4B25"/>
    <w:rsid w:val="005B6A25"/>
    <w:rsid w:val="005B743F"/>
    <w:rsid w:val="005B745B"/>
    <w:rsid w:val="005B7F9C"/>
    <w:rsid w:val="005C0C7C"/>
    <w:rsid w:val="005C22B4"/>
    <w:rsid w:val="005C330E"/>
    <w:rsid w:val="005C39B5"/>
    <w:rsid w:val="005C4647"/>
    <w:rsid w:val="005C4AB6"/>
    <w:rsid w:val="005C4E5B"/>
    <w:rsid w:val="005C54C7"/>
    <w:rsid w:val="005C6311"/>
    <w:rsid w:val="005D0D56"/>
    <w:rsid w:val="005D368D"/>
    <w:rsid w:val="005D3F1A"/>
    <w:rsid w:val="005D4B1D"/>
    <w:rsid w:val="005D6F70"/>
    <w:rsid w:val="005E012B"/>
    <w:rsid w:val="005E0CF2"/>
    <w:rsid w:val="005E2AEA"/>
    <w:rsid w:val="005E2E74"/>
    <w:rsid w:val="005E3977"/>
    <w:rsid w:val="005E3DE7"/>
    <w:rsid w:val="005E4163"/>
    <w:rsid w:val="005E5FA9"/>
    <w:rsid w:val="005E63F8"/>
    <w:rsid w:val="005E6790"/>
    <w:rsid w:val="005E6B70"/>
    <w:rsid w:val="005F2329"/>
    <w:rsid w:val="005F462F"/>
    <w:rsid w:val="005F7057"/>
    <w:rsid w:val="005F7252"/>
    <w:rsid w:val="00602268"/>
    <w:rsid w:val="00602E97"/>
    <w:rsid w:val="00606728"/>
    <w:rsid w:val="006101FA"/>
    <w:rsid w:val="006122D8"/>
    <w:rsid w:val="0061247A"/>
    <w:rsid w:val="0061294B"/>
    <w:rsid w:val="00612FD4"/>
    <w:rsid w:val="00614C8F"/>
    <w:rsid w:val="00615938"/>
    <w:rsid w:val="0061747C"/>
    <w:rsid w:val="00617881"/>
    <w:rsid w:val="00617D12"/>
    <w:rsid w:val="00622418"/>
    <w:rsid w:val="00626C05"/>
    <w:rsid w:val="0062791B"/>
    <w:rsid w:val="00627D2E"/>
    <w:rsid w:val="0063014E"/>
    <w:rsid w:val="00630A8D"/>
    <w:rsid w:val="00631287"/>
    <w:rsid w:val="00631B19"/>
    <w:rsid w:val="006322D9"/>
    <w:rsid w:val="00633C16"/>
    <w:rsid w:val="00633C76"/>
    <w:rsid w:val="00634B93"/>
    <w:rsid w:val="00635C66"/>
    <w:rsid w:val="00641C70"/>
    <w:rsid w:val="006446CD"/>
    <w:rsid w:val="00645C24"/>
    <w:rsid w:val="0065112D"/>
    <w:rsid w:val="00652A6A"/>
    <w:rsid w:val="00652B9A"/>
    <w:rsid w:val="006533CC"/>
    <w:rsid w:val="00653752"/>
    <w:rsid w:val="00653F2C"/>
    <w:rsid w:val="00654A99"/>
    <w:rsid w:val="00655822"/>
    <w:rsid w:val="0065617B"/>
    <w:rsid w:val="00656E5D"/>
    <w:rsid w:val="00660FE2"/>
    <w:rsid w:val="0066134E"/>
    <w:rsid w:val="006620F6"/>
    <w:rsid w:val="00662BAB"/>
    <w:rsid w:val="00662CB1"/>
    <w:rsid w:val="00664CF8"/>
    <w:rsid w:val="00665E41"/>
    <w:rsid w:val="00665FCD"/>
    <w:rsid w:val="00670027"/>
    <w:rsid w:val="00674733"/>
    <w:rsid w:val="006814BB"/>
    <w:rsid w:val="006840EB"/>
    <w:rsid w:val="00687B2B"/>
    <w:rsid w:val="006930A3"/>
    <w:rsid w:val="0069342C"/>
    <w:rsid w:val="006940A0"/>
    <w:rsid w:val="00694C69"/>
    <w:rsid w:val="006958AB"/>
    <w:rsid w:val="00697F12"/>
    <w:rsid w:val="006A33B4"/>
    <w:rsid w:val="006A397D"/>
    <w:rsid w:val="006A53AB"/>
    <w:rsid w:val="006A541C"/>
    <w:rsid w:val="006A5B3B"/>
    <w:rsid w:val="006B1511"/>
    <w:rsid w:val="006B1DA6"/>
    <w:rsid w:val="006B33B3"/>
    <w:rsid w:val="006C2DB8"/>
    <w:rsid w:val="006C6BA5"/>
    <w:rsid w:val="006C6C4D"/>
    <w:rsid w:val="006C7A4C"/>
    <w:rsid w:val="006D0FF2"/>
    <w:rsid w:val="006D1A89"/>
    <w:rsid w:val="006D406B"/>
    <w:rsid w:val="006E2B32"/>
    <w:rsid w:val="006E3E5E"/>
    <w:rsid w:val="006E5A32"/>
    <w:rsid w:val="006F2B34"/>
    <w:rsid w:val="006F3F2A"/>
    <w:rsid w:val="006F5263"/>
    <w:rsid w:val="006F6584"/>
    <w:rsid w:val="006F659C"/>
    <w:rsid w:val="006F6C14"/>
    <w:rsid w:val="006F7057"/>
    <w:rsid w:val="0070291B"/>
    <w:rsid w:val="00703351"/>
    <w:rsid w:val="00705181"/>
    <w:rsid w:val="007057ED"/>
    <w:rsid w:val="00706065"/>
    <w:rsid w:val="0070672F"/>
    <w:rsid w:val="007105A6"/>
    <w:rsid w:val="00710A5C"/>
    <w:rsid w:val="0071170A"/>
    <w:rsid w:val="00713213"/>
    <w:rsid w:val="00713C85"/>
    <w:rsid w:val="00715417"/>
    <w:rsid w:val="00716464"/>
    <w:rsid w:val="00720F94"/>
    <w:rsid w:val="00721CE0"/>
    <w:rsid w:val="0072244E"/>
    <w:rsid w:val="007239F6"/>
    <w:rsid w:val="00724547"/>
    <w:rsid w:val="00725FC7"/>
    <w:rsid w:val="0072622B"/>
    <w:rsid w:val="00726239"/>
    <w:rsid w:val="00726DD4"/>
    <w:rsid w:val="0073081E"/>
    <w:rsid w:val="00730F56"/>
    <w:rsid w:val="007379F8"/>
    <w:rsid w:val="00741392"/>
    <w:rsid w:val="00741F30"/>
    <w:rsid w:val="007421A2"/>
    <w:rsid w:val="00743681"/>
    <w:rsid w:val="00743757"/>
    <w:rsid w:val="00743BAC"/>
    <w:rsid w:val="00743FD1"/>
    <w:rsid w:val="00744D60"/>
    <w:rsid w:val="00744E2C"/>
    <w:rsid w:val="00745EB6"/>
    <w:rsid w:val="0074605B"/>
    <w:rsid w:val="00746D02"/>
    <w:rsid w:val="0075046F"/>
    <w:rsid w:val="00751598"/>
    <w:rsid w:val="00752119"/>
    <w:rsid w:val="00753A36"/>
    <w:rsid w:val="00754408"/>
    <w:rsid w:val="00756FB1"/>
    <w:rsid w:val="007570CD"/>
    <w:rsid w:val="00757C0E"/>
    <w:rsid w:val="00760EB4"/>
    <w:rsid w:val="007617DD"/>
    <w:rsid w:val="0076204A"/>
    <w:rsid w:val="00762E13"/>
    <w:rsid w:val="007631C7"/>
    <w:rsid w:val="0076342E"/>
    <w:rsid w:val="00763CCC"/>
    <w:rsid w:val="00763D31"/>
    <w:rsid w:val="00763D5B"/>
    <w:rsid w:val="00765C5A"/>
    <w:rsid w:val="00765F2F"/>
    <w:rsid w:val="00767A5D"/>
    <w:rsid w:val="00771299"/>
    <w:rsid w:val="007714C8"/>
    <w:rsid w:val="00771DAB"/>
    <w:rsid w:val="00771F77"/>
    <w:rsid w:val="00772141"/>
    <w:rsid w:val="007724FE"/>
    <w:rsid w:val="007739F5"/>
    <w:rsid w:val="00774474"/>
    <w:rsid w:val="007760F1"/>
    <w:rsid w:val="00776C72"/>
    <w:rsid w:val="0077752F"/>
    <w:rsid w:val="00777C40"/>
    <w:rsid w:val="0078258F"/>
    <w:rsid w:val="007832B0"/>
    <w:rsid w:val="007846BC"/>
    <w:rsid w:val="00784E3B"/>
    <w:rsid w:val="00786AB1"/>
    <w:rsid w:val="00786C39"/>
    <w:rsid w:val="00786DAB"/>
    <w:rsid w:val="007872CA"/>
    <w:rsid w:val="00790810"/>
    <w:rsid w:val="00793428"/>
    <w:rsid w:val="00794B6E"/>
    <w:rsid w:val="00794F39"/>
    <w:rsid w:val="00795954"/>
    <w:rsid w:val="007969A4"/>
    <w:rsid w:val="00796DD4"/>
    <w:rsid w:val="00797C93"/>
    <w:rsid w:val="007A0114"/>
    <w:rsid w:val="007A388F"/>
    <w:rsid w:val="007A59E9"/>
    <w:rsid w:val="007B1063"/>
    <w:rsid w:val="007B1321"/>
    <w:rsid w:val="007B1904"/>
    <w:rsid w:val="007B4921"/>
    <w:rsid w:val="007B57C1"/>
    <w:rsid w:val="007B7816"/>
    <w:rsid w:val="007C1AA6"/>
    <w:rsid w:val="007C31D0"/>
    <w:rsid w:val="007D06D5"/>
    <w:rsid w:val="007D1BE3"/>
    <w:rsid w:val="007D5FCC"/>
    <w:rsid w:val="007D6370"/>
    <w:rsid w:val="007E0246"/>
    <w:rsid w:val="007E092F"/>
    <w:rsid w:val="007E0C94"/>
    <w:rsid w:val="007E0F81"/>
    <w:rsid w:val="007E210E"/>
    <w:rsid w:val="007E473D"/>
    <w:rsid w:val="007E4C23"/>
    <w:rsid w:val="007E5DD1"/>
    <w:rsid w:val="007E5EC0"/>
    <w:rsid w:val="007E7CF3"/>
    <w:rsid w:val="007F0064"/>
    <w:rsid w:val="007F0E53"/>
    <w:rsid w:val="007F1689"/>
    <w:rsid w:val="007F4035"/>
    <w:rsid w:val="007F47FD"/>
    <w:rsid w:val="007F4DFF"/>
    <w:rsid w:val="007F4E51"/>
    <w:rsid w:val="007F7EC2"/>
    <w:rsid w:val="0080017B"/>
    <w:rsid w:val="0080098A"/>
    <w:rsid w:val="00801761"/>
    <w:rsid w:val="00801EBF"/>
    <w:rsid w:val="008049BB"/>
    <w:rsid w:val="00804E96"/>
    <w:rsid w:val="008065B8"/>
    <w:rsid w:val="00807279"/>
    <w:rsid w:val="008072E6"/>
    <w:rsid w:val="00807E0E"/>
    <w:rsid w:val="00807F62"/>
    <w:rsid w:val="00810058"/>
    <w:rsid w:val="0081008C"/>
    <w:rsid w:val="0081107E"/>
    <w:rsid w:val="008111EB"/>
    <w:rsid w:val="0081237D"/>
    <w:rsid w:val="008130AD"/>
    <w:rsid w:val="008130C9"/>
    <w:rsid w:val="00813D02"/>
    <w:rsid w:val="00814833"/>
    <w:rsid w:val="008150FA"/>
    <w:rsid w:val="0081608E"/>
    <w:rsid w:val="0082033D"/>
    <w:rsid w:val="00820415"/>
    <w:rsid w:val="008205FB"/>
    <w:rsid w:val="00821FD8"/>
    <w:rsid w:val="008222AD"/>
    <w:rsid w:val="00822319"/>
    <w:rsid w:val="00823E74"/>
    <w:rsid w:val="008257CC"/>
    <w:rsid w:val="008266BB"/>
    <w:rsid w:val="008276A5"/>
    <w:rsid w:val="00830C69"/>
    <w:rsid w:val="0083104D"/>
    <w:rsid w:val="008349AE"/>
    <w:rsid w:val="00834A78"/>
    <w:rsid w:val="00835DC1"/>
    <w:rsid w:val="00840F1B"/>
    <w:rsid w:val="008436CF"/>
    <w:rsid w:val="00843A36"/>
    <w:rsid w:val="00844E52"/>
    <w:rsid w:val="0084627C"/>
    <w:rsid w:val="00846A25"/>
    <w:rsid w:val="00846D77"/>
    <w:rsid w:val="008470F9"/>
    <w:rsid w:val="008479CD"/>
    <w:rsid w:val="00852480"/>
    <w:rsid w:val="00854CCF"/>
    <w:rsid w:val="00855F42"/>
    <w:rsid w:val="00856632"/>
    <w:rsid w:val="0086146E"/>
    <w:rsid w:val="00861670"/>
    <w:rsid w:val="008634E6"/>
    <w:rsid w:val="00864A12"/>
    <w:rsid w:val="00864D0B"/>
    <w:rsid w:val="008653B9"/>
    <w:rsid w:val="00866254"/>
    <w:rsid w:val="00867308"/>
    <w:rsid w:val="00872823"/>
    <w:rsid w:val="008767AC"/>
    <w:rsid w:val="00882515"/>
    <w:rsid w:val="0088378A"/>
    <w:rsid w:val="008851CA"/>
    <w:rsid w:val="0089079D"/>
    <w:rsid w:val="008912F1"/>
    <w:rsid w:val="008926C7"/>
    <w:rsid w:val="00892CB6"/>
    <w:rsid w:val="00893562"/>
    <w:rsid w:val="008952CB"/>
    <w:rsid w:val="008977B9"/>
    <w:rsid w:val="008A1D0E"/>
    <w:rsid w:val="008A223C"/>
    <w:rsid w:val="008A2B09"/>
    <w:rsid w:val="008A2D38"/>
    <w:rsid w:val="008A38E0"/>
    <w:rsid w:val="008A67A5"/>
    <w:rsid w:val="008A7701"/>
    <w:rsid w:val="008B053A"/>
    <w:rsid w:val="008B0543"/>
    <w:rsid w:val="008B07E5"/>
    <w:rsid w:val="008B1201"/>
    <w:rsid w:val="008B14DA"/>
    <w:rsid w:val="008B23F7"/>
    <w:rsid w:val="008B2FA9"/>
    <w:rsid w:val="008C0071"/>
    <w:rsid w:val="008C0888"/>
    <w:rsid w:val="008C2AB7"/>
    <w:rsid w:val="008C3505"/>
    <w:rsid w:val="008C384C"/>
    <w:rsid w:val="008C4DA2"/>
    <w:rsid w:val="008C5CDC"/>
    <w:rsid w:val="008C6F12"/>
    <w:rsid w:val="008D1170"/>
    <w:rsid w:val="008D196A"/>
    <w:rsid w:val="008D2C6A"/>
    <w:rsid w:val="008D30EA"/>
    <w:rsid w:val="008D3B13"/>
    <w:rsid w:val="008D41C6"/>
    <w:rsid w:val="008D55C8"/>
    <w:rsid w:val="008D6560"/>
    <w:rsid w:val="008D6C2D"/>
    <w:rsid w:val="008D6F06"/>
    <w:rsid w:val="008D7FCE"/>
    <w:rsid w:val="008E0456"/>
    <w:rsid w:val="008E061D"/>
    <w:rsid w:val="008E20DE"/>
    <w:rsid w:val="008E5DE8"/>
    <w:rsid w:val="008E7962"/>
    <w:rsid w:val="008F11C9"/>
    <w:rsid w:val="008F1770"/>
    <w:rsid w:val="008F219A"/>
    <w:rsid w:val="008F51D8"/>
    <w:rsid w:val="008F5D10"/>
    <w:rsid w:val="008F5D3E"/>
    <w:rsid w:val="008F71DC"/>
    <w:rsid w:val="009013C5"/>
    <w:rsid w:val="00902E3F"/>
    <w:rsid w:val="00903904"/>
    <w:rsid w:val="009061A4"/>
    <w:rsid w:val="00906307"/>
    <w:rsid w:val="0090646B"/>
    <w:rsid w:val="0091197E"/>
    <w:rsid w:val="00912E02"/>
    <w:rsid w:val="009134B1"/>
    <w:rsid w:val="0091379B"/>
    <w:rsid w:val="00915A2C"/>
    <w:rsid w:val="00916C3F"/>
    <w:rsid w:val="00926389"/>
    <w:rsid w:val="00926941"/>
    <w:rsid w:val="00927FB7"/>
    <w:rsid w:val="00933652"/>
    <w:rsid w:val="00935B29"/>
    <w:rsid w:val="00942024"/>
    <w:rsid w:val="00944550"/>
    <w:rsid w:val="00945C0C"/>
    <w:rsid w:val="00947ECF"/>
    <w:rsid w:val="00954343"/>
    <w:rsid w:val="009550AD"/>
    <w:rsid w:val="009565D4"/>
    <w:rsid w:val="009576C4"/>
    <w:rsid w:val="009616D6"/>
    <w:rsid w:val="0096514D"/>
    <w:rsid w:val="00965744"/>
    <w:rsid w:val="00967D7C"/>
    <w:rsid w:val="009707CB"/>
    <w:rsid w:val="00971818"/>
    <w:rsid w:val="00972421"/>
    <w:rsid w:val="0097254C"/>
    <w:rsid w:val="0097281B"/>
    <w:rsid w:val="0097351D"/>
    <w:rsid w:val="009740F3"/>
    <w:rsid w:val="009741F0"/>
    <w:rsid w:val="00975379"/>
    <w:rsid w:val="00975B19"/>
    <w:rsid w:val="00976DE7"/>
    <w:rsid w:val="00977D73"/>
    <w:rsid w:val="00980B68"/>
    <w:rsid w:val="00980D8E"/>
    <w:rsid w:val="0098297E"/>
    <w:rsid w:val="00982F78"/>
    <w:rsid w:val="00984C2C"/>
    <w:rsid w:val="009856D1"/>
    <w:rsid w:val="00987359"/>
    <w:rsid w:val="00990D92"/>
    <w:rsid w:val="00991013"/>
    <w:rsid w:val="0099262A"/>
    <w:rsid w:val="00993357"/>
    <w:rsid w:val="009954DE"/>
    <w:rsid w:val="00996995"/>
    <w:rsid w:val="009A05F3"/>
    <w:rsid w:val="009A1862"/>
    <w:rsid w:val="009A1B7F"/>
    <w:rsid w:val="009A1F4A"/>
    <w:rsid w:val="009A49C6"/>
    <w:rsid w:val="009A54B2"/>
    <w:rsid w:val="009B07B6"/>
    <w:rsid w:val="009B2F56"/>
    <w:rsid w:val="009B4EE8"/>
    <w:rsid w:val="009B56DA"/>
    <w:rsid w:val="009B57C0"/>
    <w:rsid w:val="009B6612"/>
    <w:rsid w:val="009B796A"/>
    <w:rsid w:val="009B7FC2"/>
    <w:rsid w:val="009C341F"/>
    <w:rsid w:val="009C3568"/>
    <w:rsid w:val="009C3918"/>
    <w:rsid w:val="009C3D60"/>
    <w:rsid w:val="009C3DB2"/>
    <w:rsid w:val="009C5EC4"/>
    <w:rsid w:val="009C71EB"/>
    <w:rsid w:val="009C7429"/>
    <w:rsid w:val="009C7D81"/>
    <w:rsid w:val="009D0DD5"/>
    <w:rsid w:val="009D13BB"/>
    <w:rsid w:val="009D2710"/>
    <w:rsid w:val="009D4DC0"/>
    <w:rsid w:val="009D4FC9"/>
    <w:rsid w:val="009D50EB"/>
    <w:rsid w:val="009D5AE9"/>
    <w:rsid w:val="009D7230"/>
    <w:rsid w:val="009E0ACF"/>
    <w:rsid w:val="009E0B0B"/>
    <w:rsid w:val="009E14AD"/>
    <w:rsid w:val="009E2B9D"/>
    <w:rsid w:val="009E32F5"/>
    <w:rsid w:val="009E6279"/>
    <w:rsid w:val="009F1200"/>
    <w:rsid w:val="009F2135"/>
    <w:rsid w:val="009F2649"/>
    <w:rsid w:val="009F296D"/>
    <w:rsid w:val="009F3645"/>
    <w:rsid w:val="009F704C"/>
    <w:rsid w:val="00A00411"/>
    <w:rsid w:val="00A00FE3"/>
    <w:rsid w:val="00A0215D"/>
    <w:rsid w:val="00A06666"/>
    <w:rsid w:val="00A06EB1"/>
    <w:rsid w:val="00A07559"/>
    <w:rsid w:val="00A105E0"/>
    <w:rsid w:val="00A10D72"/>
    <w:rsid w:val="00A115EF"/>
    <w:rsid w:val="00A123CA"/>
    <w:rsid w:val="00A12E05"/>
    <w:rsid w:val="00A12E99"/>
    <w:rsid w:val="00A13018"/>
    <w:rsid w:val="00A15805"/>
    <w:rsid w:val="00A219DF"/>
    <w:rsid w:val="00A237AF"/>
    <w:rsid w:val="00A25320"/>
    <w:rsid w:val="00A27BA4"/>
    <w:rsid w:val="00A3018B"/>
    <w:rsid w:val="00A3128D"/>
    <w:rsid w:val="00A324EA"/>
    <w:rsid w:val="00A33A46"/>
    <w:rsid w:val="00A3478F"/>
    <w:rsid w:val="00A368E9"/>
    <w:rsid w:val="00A415B2"/>
    <w:rsid w:val="00A4334D"/>
    <w:rsid w:val="00A43D6A"/>
    <w:rsid w:val="00A45B43"/>
    <w:rsid w:val="00A462C0"/>
    <w:rsid w:val="00A4794A"/>
    <w:rsid w:val="00A505CA"/>
    <w:rsid w:val="00A50FAD"/>
    <w:rsid w:val="00A533DE"/>
    <w:rsid w:val="00A53E2B"/>
    <w:rsid w:val="00A54733"/>
    <w:rsid w:val="00A54C62"/>
    <w:rsid w:val="00A553B5"/>
    <w:rsid w:val="00A55854"/>
    <w:rsid w:val="00A569D2"/>
    <w:rsid w:val="00A57C0F"/>
    <w:rsid w:val="00A611C2"/>
    <w:rsid w:val="00A64275"/>
    <w:rsid w:val="00A65CEA"/>
    <w:rsid w:val="00A65E85"/>
    <w:rsid w:val="00A736C4"/>
    <w:rsid w:val="00A75D17"/>
    <w:rsid w:val="00A817CE"/>
    <w:rsid w:val="00A8492C"/>
    <w:rsid w:val="00A85767"/>
    <w:rsid w:val="00A879BC"/>
    <w:rsid w:val="00A900A8"/>
    <w:rsid w:val="00A90BE5"/>
    <w:rsid w:val="00A928FA"/>
    <w:rsid w:val="00A95D90"/>
    <w:rsid w:val="00AA153A"/>
    <w:rsid w:val="00AA687F"/>
    <w:rsid w:val="00AA76BA"/>
    <w:rsid w:val="00AA7B0B"/>
    <w:rsid w:val="00AB2061"/>
    <w:rsid w:val="00AB2EF3"/>
    <w:rsid w:val="00AB32CF"/>
    <w:rsid w:val="00AB4A48"/>
    <w:rsid w:val="00AB5A22"/>
    <w:rsid w:val="00AB79DD"/>
    <w:rsid w:val="00AC02EC"/>
    <w:rsid w:val="00AC3DA4"/>
    <w:rsid w:val="00AC59EB"/>
    <w:rsid w:val="00AC5C5C"/>
    <w:rsid w:val="00AC5D22"/>
    <w:rsid w:val="00AC72F5"/>
    <w:rsid w:val="00AC7503"/>
    <w:rsid w:val="00AD03B2"/>
    <w:rsid w:val="00AD1E73"/>
    <w:rsid w:val="00AD2235"/>
    <w:rsid w:val="00AD3F5E"/>
    <w:rsid w:val="00AD4646"/>
    <w:rsid w:val="00AE0C1D"/>
    <w:rsid w:val="00AE3098"/>
    <w:rsid w:val="00AE4381"/>
    <w:rsid w:val="00AE519E"/>
    <w:rsid w:val="00AE7BB1"/>
    <w:rsid w:val="00AF4879"/>
    <w:rsid w:val="00AF5A94"/>
    <w:rsid w:val="00AF7CA1"/>
    <w:rsid w:val="00B01599"/>
    <w:rsid w:val="00B01C36"/>
    <w:rsid w:val="00B02599"/>
    <w:rsid w:val="00B02DEB"/>
    <w:rsid w:val="00B052C1"/>
    <w:rsid w:val="00B06CC3"/>
    <w:rsid w:val="00B06D42"/>
    <w:rsid w:val="00B073CB"/>
    <w:rsid w:val="00B10871"/>
    <w:rsid w:val="00B1176E"/>
    <w:rsid w:val="00B12EA0"/>
    <w:rsid w:val="00B14060"/>
    <w:rsid w:val="00B14646"/>
    <w:rsid w:val="00B16B3C"/>
    <w:rsid w:val="00B179CE"/>
    <w:rsid w:val="00B21ABF"/>
    <w:rsid w:val="00B22CB5"/>
    <w:rsid w:val="00B2409A"/>
    <w:rsid w:val="00B2445B"/>
    <w:rsid w:val="00B24C77"/>
    <w:rsid w:val="00B255C3"/>
    <w:rsid w:val="00B25EE3"/>
    <w:rsid w:val="00B269D4"/>
    <w:rsid w:val="00B317B4"/>
    <w:rsid w:val="00B32AC3"/>
    <w:rsid w:val="00B3357C"/>
    <w:rsid w:val="00B34367"/>
    <w:rsid w:val="00B35D8B"/>
    <w:rsid w:val="00B37852"/>
    <w:rsid w:val="00B4033C"/>
    <w:rsid w:val="00B41608"/>
    <w:rsid w:val="00B41A58"/>
    <w:rsid w:val="00B42317"/>
    <w:rsid w:val="00B4354E"/>
    <w:rsid w:val="00B4375E"/>
    <w:rsid w:val="00B4637B"/>
    <w:rsid w:val="00B47E2D"/>
    <w:rsid w:val="00B521F4"/>
    <w:rsid w:val="00B52FE9"/>
    <w:rsid w:val="00B54262"/>
    <w:rsid w:val="00B559E2"/>
    <w:rsid w:val="00B619B3"/>
    <w:rsid w:val="00B61C4A"/>
    <w:rsid w:val="00B61EC9"/>
    <w:rsid w:val="00B648AC"/>
    <w:rsid w:val="00B65D6D"/>
    <w:rsid w:val="00B67063"/>
    <w:rsid w:val="00B679AD"/>
    <w:rsid w:val="00B700A7"/>
    <w:rsid w:val="00B75AF8"/>
    <w:rsid w:val="00B7744A"/>
    <w:rsid w:val="00B817FE"/>
    <w:rsid w:val="00B82D4D"/>
    <w:rsid w:val="00B832D9"/>
    <w:rsid w:val="00B84113"/>
    <w:rsid w:val="00B8435C"/>
    <w:rsid w:val="00B85B2B"/>
    <w:rsid w:val="00B86FEE"/>
    <w:rsid w:val="00B8739C"/>
    <w:rsid w:val="00B87EE6"/>
    <w:rsid w:val="00B924A3"/>
    <w:rsid w:val="00B9260A"/>
    <w:rsid w:val="00B947CB"/>
    <w:rsid w:val="00B96866"/>
    <w:rsid w:val="00B96ABD"/>
    <w:rsid w:val="00B96D1B"/>
    <w:rsid w:val="00B9713D"/>
    <w:rsid w:val="00BA0C6E"/>
    <w:rsid w:val="00BA4882"/>
    <w:rsid w:val="00BA5741"/>
    <w:rsid w:val="00BA7CDA"/>
    <w:rsid w:val="00BA7E1C"/>
    <w:rsid w:val="00BB3BB8"/>
    <w:rsid w:val="00BB6242"/>
    <w:rsid w:val="00BB67FC"/>
    <w:rsid w:val="00BB6AD1"/>
    <w:rsid w:val="00BB732A"/>
    <w:rsid w:val="00BB7E8F"/>
    <w:rsid w:val="00BC041B"/>
    <w:rsid w:val="00BC0F5E"/>
    <w:rsid w:val="00BC128B"/>
    <w:rsid w:val="00BC1C1F"/>
    <w:rsid w:val="00BC338E"/>
    <w:rsid w:val="00BD3228"/>
    <w:rsid w:val="00BD3DB3"/>
    <w:rsid w:val="00BD49D2"/>
    <w:rsid w:val="00BD637B"/>
    <w:rsid w:val="00BD6D92"/>
    <w:rsid w:val="00BD7825"/>
    <w:rsid w:val="00BE2876"/>
    <w:rsid w:val="00BE6282"/>
    <w:rsid w:val="00BE658A"/>
    <w:rsid w:val="00BE67EF"/>
    <w:rsid w:val="00BF1511"/>
    <w:rsid w:val="00BF18DC"/>
    <w:rsid w:val="00BF1B1C"/>
    <w:rsid w:val="00BF4282"/>
    <w:rsid w:val="00BF4DE5"/>
    <w:rsid w:val="00BF7B10"/>
    <w:rsid w:val="00C04212"/>
    <w:rsid w:val="00C042CF"/>
    <w:rsid w:val="00C04694"/>
    <w:rsid w:val="00C04B4F"/>
    <w:rsid w:val="00C05F39"/>
    <w:rsid w:val="00C07202"/>
    <w:rsid w:val="00C074D0"/>
    <w:rsid w:val="00C10275"/>
    <w:rsid w:val="00C10DDE"/>
    <w:rsid w:val="00C11CA3"/>
    <w:rsid w:val="00C13DE2"/>
    <w:rsid w:val="00C13E9C"/>
    <w:rsid w:val="00C14408"/>
    <w:rsid w:val="00C14776"/>
    <w:rsid w:val="00C14E09"/>
    <w:rsid w:val="00C17F58"/>
    <w:rsid w:val="00C215ED"/>
    <w:rsid w:val="00C246EF"/>
    <w:rsid w:val="00C254C0"/>
    <w:rsid w:val="00C301E2"/>
    <w:rsid w:val="00C307E7"/>
    <w:rsid w:val="00C31E96"/>
    <w:rsid w:val="00C34A92"/>
    <w:rsid w:val="00C3559A"/>
    <w:rsid w:val="00C35829"/>
    <w:rsid w:val="00C370A7"/>
    <w:rsid w:val="00C376DF"/>
    <w:rsid w:val="00C37F2C"/>
    <w:rsid w:val="00C446C1"/>
    <w:rsid w:val="00C501F7"/>
    <w:rsid w:val="00C502DD"/>
    <w:rsid w:val="00C51F46"/>
    <w:rsid w:val="00C521B7"/>
    <w:rsid w:val="00C53ED1"/>
    <w:rsid w:val="00C56A13"/>
    <w:rsid w:val="00C57E90"/>
    <w:rsid w:val="00C61E0D"/>
    <w:rsid w:val="00C62F1C"/>
    <w:rsid w:val="00C6380F"/>
    <w:rsid w:val="00C64C60"/>
    <w:rsid w:val="00C652D2"/>
    <w:rsid w:val="00C65748"/>
    <w:rsid w:val="00C66AAF"/>
    <w:rsid w:val="00C66C80"/>
    <w:rsid w:val="00C6735D"/>
    <w:rsid w:val="00C70765"/>
    <w:rsid w:val="00C744A3"/>
    <w:rsid w:val="00C76E82"/>
    <w:rsid w:val="00C800C5"/>
    <w:rsid w:val="00C81DB5"/>
    <w:rsid w:val="00C83394"/>
    <w:rsid w:val="00C83419"/>
    <w:rsid w:val="00C8510E"/>
    <w:rsid w:val="00C86A16"/>
    <w:rsid w:val="00C873E3"/>
    <w:rsid w:val="00C900FF"/>
    <w:rsid w:val="00C90BD8"/>
    <w:rsid w:val="00C90E3B"/>
    <w:rsid w:val="00C92E16"/>
    <w:rsid w:val="00C93164"/>
    <w:rsid w:val="00C974DC"/>
    <w:rsid w:val="00CA149A"/>
    <w:rsid w:val="00CA1ADC"/>
    <w:rsid w:val="00CA261A"/>
    <w:rsid w:val="00CA290B"/>
    <w:rsid w:val="00CA48E6"/>
    <w:rsid w:val="00CA7617"/>
    <w:rsid w:val="00CB211F"/>
    <w:rsid w:val="00CB241F"/>
    <w:rsid w:val="00CB3FC8"/>
    <w:rsid w:val="00CB4195"/>
    <w:rsid w:val="00CB425D"/>
    <w:rsid w:val="00CB442A"/>
    <w:rsid w:val="00CB70A6"/>
    <w:rsid w:val="00CB78B5"/>
    <w:rsid w:val="00CC0E89"/>
    <w:rsid w:val="00CC2670"/>
    <w:rsid w:val="00CC29ED"/>
    <w:rsid w:val="00CC3ABF"/>
    <w:rsid w:val="00CC3EB5"/>
    <w:rsid w:val="00CC5E16"/>
    <w:rsid w:val="00CC7D66"/>
    <w:rsid w:val="00CD3D28"/>
    <w:rsid w:val="00CD4B2E"/>
    <w:rsid w:val="00CD4DE4"/>
    <w:rsid w:val="00CD4EFE"/>
    <w:rsid w:val="00CD6527"/>
    <w:rsid w:val="00CD6B3F"/>
    <w:rsid w:val="00CD6F95"/>
    <w:rsid w:val="00CE0AE0"/>
    <w:rsid w:val="00CE1DF8"/>
    <w:rsid w:val="00CE484C"/>
    <w:rsid w:val="00CE6CB5"/>
    <w:rsid w:val="00CE7B5C"/>
    <w:rsid w:val="00CF09C9"/>
    <w:rsid w:val="00CF0C87"/>
    <w:rsid w:val="00CF1F77"/>
    <w:rsid w:val="00CF31F1"/>
    <w:rsid w:val="00CF3E63"/>
    <w:rsid w:val="00CF561E"/>
    <w:rsid w:val="00CF64F2"/>
    <w:rsid w:val="00D00304"/>
    <w:rsid w:val="00D006DE"/>
    <w:rsid w:val="00D00EB1"/>
    <w:rsid w:val="00D04727"/>
    <w:rsid w:val="00D069B9"/>
    <w:rsid w:val="00D07D24"/>
    <w:rsid w:val="00D101CB"/>
    <w:rsid w:val="00D10C70"/>
    <w:rsid w:val="00D10F8C"/>
    <w:rsid w:val="00D1274C"/>
    <w:rsid w:val="00D12FDD"/>
    <w:rsid w:val="00D143BA"/>
    <w:rsid w:val="00D16F45"/>
    <w:rsid w:val="00D20DD2"/>
    <w:rsid w:val="00D214F0"/>
    <w:rsid w:val="00D23F81"/>
    <w:rsid w:val="00D25F4F"/>
    <w:rsid w:val="00D26592"/>
    <w:rsid w:val="00D26EC6"/>
    <w:rsid w:val="00D30932"/>
    <w:rsid w:val="00D33948"/>
    <w:rsid w:val="00D340CE"/>
    <w:rsid w:val="00D34EEE"/>
    <w:rsid w:val="00D37BAF"/>
    <w:rsid w:val="00D401F3"/>
    <w:rsid w:val="00D413CB"/>
    <w:rsid w:val="00D44724"/>
    <w:rsid w:val="00D4546C"/>
    <w:rsid w:val="00D46208"/>
    <w:rsid w:val="00D47B44"/>
    <w:rsid w:val="00D50CE5"/>
    <w:rsid w:val="00D5172C"/>
    <w:rsid w:val="00D51B1E"/>
    <w:rsid w:val="00D533CD"/>
    <w:rsid w:val="00D569AA"/>
    <w:rsid w:val="00D576E7"/>
    <w:rsid w:val="00D60D56"/>
    <w:rsid w:val="00D6195D"/>
    <w:rsid w:val="00D6288E"/>
    <w:rsid w:val="00D67695"/>
    <w:rsid w:val="00D7230F"/>
    <w:rsid w:val="00D76C30"/>
    <w:rsid w:val="00D811D3"/>
    <w:rsid w:val="00D8146B"/>
    <w:rsid w:val="00D8332C"/>
    <w:rsid w:val="00D844DA"/>
    <w:rsid w:val="00D91390"/>
    <w:rsid w:val="00D9157A"/>
    <w:rsid w:val="00D916B5"/>
    <w:rsid w:val="00D95F07"/>
    <w:rsid w:val="00D96598"/>
    <w:rsid w:val="00D96A02"/>
    <w:rsid w:val="00D979EA"/>
    <w:rsid w:val="00DA02B9"/>
    <w:rsid w:val="00DA095D"/>
    <w:rsid w:val="00DA2CCC"/>
    <w:rsid w:val="00DA42EA"/>
    <w:rsid w:val="00DA497A"/>
    <w:rsid w:val="00DA4F2F"/>
    <w:rsid w:val="00DA7FEA"/>
    <w:rsid w:val="00DB0407"/>
    <w:rsid w:val="00DB06D0"/>
    <w:rsid w:val="00DB0AB9"/>
    <w:rsid w:val="00DB12A1"/>
    <w:rsid w:val="00DB269B"/>
    <w:rsid w:val="00DB5641"/>
    <w:rsid w:val="00DB5C95"/>
    <w:rsid w:val="00DC02B5"/>
    <w:rsid w:val="00DC05EE"/>
    <w:rsid w:val="00DC149F"/>
    <w:rsid w:val="00DC219C"/>
    <w:rsid w:val="00DC2AA5"/>
    <w:rsid w:val="00DC43E7"/>
    <w:rsid w:val="00DC670B"/>
    <w:rsid w:val="00DD13DD"/>
    <w:rsid w:val="00DD1963"/>
    <w:rsid w:val="00DD27D1"/>
    <w:rsid w:val="00DD2FF6"/>
    <w:rsid w:val="00DD3C1C"/>
    <w:rsid w:val="00DE03DB"/>
    <w:rsid w:val="00DE221A"/>
    <w:rsid w:val="00DE2334"/>
    <w:rsid w:val="00DE3823"/>
    <w:rsid w:val="00DE4E7C"/>
    <w:rsid w:val="00DE5C1E"/>
    <w:rsid w:val="00DE5E8B"/>
    <w:rsid w:val="00DF01B0"/>
    <w:rsid w:val="00DF2F30"/>
    <w:rsid w:val="00DF37E0"/>
    <w:rsid w:val="00DF44AB"/>
    <w:rsid w:val="00DF5081"/>
    <w:rsid w:val="00DF5448"/>
    <w:rsid w:val="00DF547E"/>
    <w:rsid w:val="00DF5721"/>
    <w:rsid w:val="00DF5C8F"/>
    <w:rsid w:val="00DF68F0"/>
    <w:rsid w:val="00DF6CDE"/>
    <w:rsid w:val="00E0113D"/>
    <w:rsid w:val="00E025CF"/>
    <w:rsid w:val="00E039CB"/>
    <w:rsid w:val="00E05895"/>
    <w:rsid w:val="00E11150"/>
    <w:rsid w:val="00E11EEB"/>
    <w:rsid w:val="00E1251E"/>
    <w:rsid w:val="00E12C88"/>
    <w:rsid w:val="00E1423B"/>
    <w:rsid w:val="00E171AB"/>
    <w:rsid w:val="00E21FC6"/>
    <w:rsid w:val="00E23707"/>
    <w:rsid w:val="00E248FD"/>
    <w:rsid w:val="00E254F0"/>
    <w:rsid w:val="00E317E1"/>
    <w:rsid w:val="00E33231"/>
    <w:rsid w:val="00E33B95"/>
    <w:rsid w:val="00E33EEA"/>
    <w:rsid w:val="00E4386B"/>
    <w:rsid w:val="00E4564E"/>
    <w:rsid w:val="00E4651F"/>
    <w:rsid w:val="00E4670D"/>
    <w:rsid w:val="00E46EA3"/>
    <w:rsid w:val="00E521A5"/>
    <w:rsid w:val="00E5254E"/>
    <w:rsid w:val="00E53D9D"/>
    <w:rsid w:val="00E544B6"/>
    <w:rsid w:val="00E5453C"/>
    <w:rsid w:val="00E56863"/>
    <w:rsid w:val="00E57EF6"/>
    <w:rsid w:val="00E6058A"/>
    <w:rsid w:val="00E6186E"/>
    <w:rsid w:val="00E61FE4"/>
    <w:rsid w:val="00E622B6"/>
    <w:rsid w:val="00E63253"/>
    <w:rsid w:val="00E63617"/>
    <w:rsid w:val="00E65B60"/>
    <w:rsid w:val="00E66ADA"/>
    <w:rsid w:val="00E67D8D"/>
    <w:rsid w:val="00E70512"/>
    <w:rsid w:val="00E715C2"/>
    <w:rsid w:val="00E7200D"/>
    <w:rsid w:val="00E72F03"/>
    <w:rsid w:val="00E7429A"/>
    <w:rsid w:val="00E74B70"/>
    <w:rsid w:val="00E75088"/>
    <w:rsid w:val="00E75D89"/>
    <w:rsid w:val="00E75F9E"/>
    <w:rsid w:val="00E77F68"/>
    <w:rsid w:val="00E80CA5"/>
    <w:rsid w:val="00E811A1"/>
    <w:rsid w:val="00E82776"/>
    <w:rsid w:val="00E83B46"/>
    <w:rsid w:val="00E84434"/>
    <w:rsid w:val="00E84E89"/>
    <w:rsid w:val="00E86880"/>
    <w:rsid w:val="00E93B2C"/>
    <w:rsid w:val="00E95BBC"/>
    <w:rsid w:val="00E96492"/>
    <w:rsid w:val="00EA01D8"/>
    <w:rsid w:val="00EA0512"/>
    <w:rsid w:val="00EA0C5D"/>
    <w:rsid w:val="00EA1EA7"/>
    <w:rsid w:val="00EA2F0A"/>
    <w:rsid w:val="00EA3EA9"/>
    <w:rsid w:val="00EA43E2"/>
    <w:rsid w:val="00EA4630"/>
    <w:rsid w:val="00EA5557"/>
    <w:rsid w:val="00EB30EA"/>
    <w:rsid w:val="00EB30F5"/>
    <w:rsid w:val="00EB37BF"/>
    <w:rsid w:val="00EB4453"/>
    <w:rsid w:val="00EB5C8B"/>
    <w:rsid w:val="00EC0454"/>
    <w:rsid w:val="00EC3CC1"/>
    <w:rsid w:val="00EC47CA"/>
    <w:rsid w:val="00EC7863"/>
    <w:rsid w:val="00EC79E2"/>
    <w:rsid w:val="00EC7CB7"/>
    <w:rsid w:val="00ED144E"/>
    <w:rsid w:val="00ED263C"/>
    <w:rsid w:val="00ED2A92"/>
    <w:rsid w:val="00ED301C"/>
    <w:rsid w:val="00ED503D"/>
    <w:rsid w:val="00ED5DD5"/>
    <w:rsid w:val="00EE11FD"/>
    <w:rsid w:val="00EE1B2F"/>
    <w:rsid w:val="00EE1D07"/>
    <w:rsid w:val="00EE5F43"/>
    <w:rsid w:val="00EE6003"/>
    <w:rsid w:val="00EE6419"/>
    <w:rsid w:val="00EE6FF1"/>
    <w:rsid w:val="00EF18BD"/>
    <w:rsid w:val="00EF2BC9"/>
    <w:rsid w:val="00F00290"/>
    <w:rsid w:val="00F00C97"/>
    <w:rsid w:val="00F00FBE"/>
    <w:rsid w:val="00F01474"/>
    <w:rsid w:val="00F0323D"/>
    <w:rsid w:val="00F056E0"/>
    <w:rsid w:val="00F07654"/>
    <w:rsid w:val="00F0766B"/>
    <w:rsid w:val="00F12F0C"/>
    <w:rsid w:val="00F13235"/>
    <w:rsid w:val="00F1494E"/>
    <w:rsid w:val="00F23798"/>
    <w:rsid w:val="00F260AC"/>
    <w:rsid w:val="00F261EC"/>
    <w:rsid w:val="00F26840"/>
    <w:rsid w:val="00F26DFB"/>
    <w:rsid w:val="00F27043"/>
    <w:rsid w:val="00F32C54"/>
    <w:rsid w:val="00F32E6E"/>
    <w:rsid w:val="00F35337"/>
    <w:rsid w:val="00F373AB"/>
    <w:rsid w:val="00F37B35"/>
    <w:rsid w:val="00F37B3D"/>
    <w:rsid w:val="00F4154C"/>
    <w:rsid w:val="00F4263A"/>
    <w:rsid w:val="00F43A90"/>
    <w:rsid w:val="00F43E9F"/>
    <w:rsid w:val="00F457BA"/>
    <w:rsid w:val="00F47E96"/>
    <w:rsid w:val="00F50A3A"/>
    <w:rsid w:val="00F51681"/>
    <w:rsid w:val="00F51985"/>
    <w:rsid w:val="00F52A59"/>
    <w:rsid w:val="00F54D84"/>
    <w:rsid w:val="00F574B6"/>
    <w:rsid w:val="00F60A71"/>
    <w:rsid w:val="00F6232E"/>
    <w:rsid w:val="00F62A1E"/>
    <w:rsid w:val="00F6331F"/>
    <w:rsid w:val="00F64BFC"/>
    <w:rsid w:val="00F64DB9"/>
    <w:rsid w:val="00F65513"/>
    <w:rsid w:val="00F65681"/>
    <w:rsid w:val="00F66B49"/>
    <w:rsid w:val="00F67885"/>
    <w:rsid w:val="00F67E81"/>
    <w:rsid w:val="00F713BD"/>
    <w:rsid w:val="00F72F5B"/>
    <w:rsid w:val="00F73529"/>
    <w:rsid w:val="00F7537F"/>
    <w:rsid w:val="00F81904"/>
    <w:rsid w:val="00F8319C"/>
    <w:rsid w:val="00F837FA"/>
    <w:rsid w:val="00F83C85"/>
    <w:rsid w:val="00F85399"/>
    <w:rsid w:val="00F90460"/>
    <w:rsid w:val="00F9123C"/>
    <w:rsid w:val="00F91E60"/>
    <w:rsid w:val="00F93183"/>
    <w:rsid w:val="00F9373E"/>
    <w:rsid w:val="00F93DB1"/>
    <w:rsid w:val="00F95C0F"/>
    <w:rsid w:val="00F97F1E"/>
    <w:rsid w:val="00FA0114"/>
    <w:rsid w:val="00FA035F"/>
    <w:rsid w:val="00FA51D4"/>
    <w:rsid w:val="00FA54DE"/>
    <w:rsid w:val="00FA686C"/>
    <w:rsid w:val="00FA6932"/>
    <w:rsid w:val="00FA6FDA"/>
    <w:rsid w:val="00FA75B3"/>
    <w:rsid w:val="00FB3972"/>
    <w:rsid w:val="00FB51C4"/>
    <w:rsid w:val="00FB6053"/>
    <w:rsid w:val="00FB6BD7"/>
    <w:rsid w:val="00FB70DE"/>
    <w:rsid w:val="00FB7E58"/>
    <w:rsid w:val="00FC05B6"/>
    <w:rsid w:val="00FC1428"/>
    <w:rsid w:val="00FC29A8"/>
    <w:rsid w:val="00FC2BD1"/>
    <w:rsid w:val="00FC6A13"/>
    <w:rsid w:val="00FD0B49"/>
    <w:rsid w:val="00FD158E"/>
    <w:rsid w:val="00FD17C2"/>
    <w:rsid w:val="00FD224F"/>
    <w:rsid w:val="00FD2B4D"/>
    <w:rsid w:val="00FD55D7"/>
    <w:rsid w:val="00FD5B23"/>
    <w:rsid w:val="00FD634F"/>
    <w:rsid w:val="00FD7951"/>
    <w:rsid w:val="00FD7A9B"/>
    <w:rsid w:val="00FE08B7"/>
    <w:rsid w:val="00FE0A7C"/>
    <w:rsid w:val="00FE1796"/>
    <w:rsid w:val="00FE2611"/>
    <w:rsid w:val="00FE2CF3"/>
    <w:rsid w:val="00FE49CA"/>
    <w:rsid w:val="00FE52A7"/>
    <w:rsid w:val="00FE52C4"/>
    <w:rsid w:val="00FF088A"/>
    <w:rsid w:val="00FF1AC1"/>
    <w:rsid w:val="00FF2067"/>
    <w:rsid w:val="00FF2517"/>
    <w:rsid w:val="00FF292E"/>
    <w:rsid w:val="00FF3059"/>
    <w:rsid w:val="00FF3288"/>
    <w:rsid w:val="00FF349C"/>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1e1ff,#069,#bad1e8,#afd787,#cde6b4,#d1e8ba,#0000ac"/>
    </o:shapedefaults>
    <o:shapelayout v:ext="edit">
      <o:idmap v:ext="edit" data="1"/>
    </o:shapelayout>
  </w:shapeDefaults>
  <w:decimalSymbol w:val="."/>
  <w:listSeparator w:val=","/>
  <w14:docId w14:val="177A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99"/>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customStyle="1" w:styleId="R2-ResBullet">
    <w:name w:val="R2-Res Bullet"/>
    <w:rsid w:val="000D6518"/>
    <w:pPr>
      <w:tabs>
        <w:tab w:val="left" w:pos="720"/>
      </w:tabs>
      <w:spacing w:line="240" w:lineRule="exact"/>
      <w:ind w:left="720" w:hanging="432"/>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aliases w:val="*Footnote Reference"/>
    <w:basedOn w:val="DefaultParagraphFont"/>
    <w:uiPriority w:val="99"/>
    <w:qFormat/>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99"/>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customStyle="1" w:styleId="R2-ResBullet">
    <w:name w:val="R2-Res Bullet"/>
    <w:rsid w:val="000D6518"/>
    <w:pPr>
      <w:tabs>
        <w:tab w:val="left" w:pos="720"/>
      </w:tabs>
      <w:spacing w:line="240" w:lineRule="exact"/>
      <w:ind w:left="720" w:hanging="432"/>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291444178">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22046335">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958028107">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x.doi.org/10.1186/1471-2458-14-936"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D748-8CE9-4AFF-BA54-C1DF2AF6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4267</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28538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SYSTEM</cp:lastModifiedBy>
  <cp:revision>2</cp:revision>
  <cp:lastPrinted>2015-11-02T14:15:00Z</cp:lastPrinted>
  <dcterms:created xsi:type="dcterms:W3CDTF">2018-01-12T14:12:00Z</dcterms:created>
  <dcterms:modified xsi:type="dcterms:W3CDTF">2018-01-12T14:12:00Z</dcterms:modified>
</cp:coreProperties>
</file>