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BE00" w14:textId="12AA7E77" w:rsidR="00D20AA7" w:rsidRPr="00AD748E" w:rsidRDefault="00D20AA7" w:rsidP="00186A2F">
      <w:pPr>
        <w:jc w:val="center"/>
        <w:rPr>
          <w:rFonts w:eastAsia="Times New Roman"/>
        </w:rPr>
      </w:pPr>
      <w:bookmarkStart w:id="0" w:name="_GoBack"/>
      <w:bookmarkEnd w:id="0"/>
    </w:p>
    <w:p w14:paraId="21BF0083" w14:textId="77777777" w:rsidR="00D20AA7" w:rsidRPr="00AD748E" w:rsidRDefault="00D20AA7" w:rsidP="00186A2F">
      <w:pPr>
        <w:jc w:val="center"/>
        <w:rPr>
          <w:rFonts w:eastAsia="Times New Roman"/>
        </w:rPr>
      </w:pPr>
    </w:p>
    <w:p w14:paraId="1BE5B433" w14:textId="77777777" w:rsidR="00186A2F" w:rsidRPr="00AD748E" w:rsidRDefault="00186A2F" w:rsidP="00186A2F">
      <w:pPr>
        <w:jc w:val="center"/>
        <w:rPr>
          <w:rFonts w:eastAsia="Times New Roman"/>
        </w:rPr>
      </w:pPr>
    </w:p>
    <w:p w14:paraId="7236EA1D" w14:textId="77777777" w:rsidR="00186A2F" w:rsidRPr="00AD748E" w:rsidRDefault="00186A2F" w:rsidP="00186A2F">
      <w:pPr>
        <w:jc w:val="center"/>
        <w:rPr>
          <w:rFonts w:eastAsia="Times New Roman"/>
        </w:rPr>
      </w:pPr>
    </w:p>
    <w:p w14:paraId="3FC05A97" w14:textId="77777777" w:rsidR="00186A2F" w:rsidRPr="00AD748E" w:rsidRDefault="00186A2F" w:rsidP="00186A2F">
      <w:pPr>
        <w:jc w:val="center"/>
        <w:rPr>
          <w:rFonts w:eastAsia="Times New Roman"/>
        </w:rPr>
      </w:pPr>
    </w:p>
    <w:p w14:paraId="516016AA" w14:textId="77777777" w:rsidR="00186A2F" w:rsidRPr="00AD748E" w:rsidRDefault="00186A2F" w:rsidP="00186A2F">
      <w:pPr>
        <w:jc w:val="center"/>
        <w:rPr>
          <w:rFonts w:eastAsia="Times New Roman"/>
        </w:rPr>
      </w:pPr>
    </w:p>
    <w:p w14:paraId="6E52605B" w14:textId="77777777" w:rsidR="00186A2F" w:rsidRPr="00AD748E" w:rsidRDefault="00186A2F" w:rsidP="00186A2F">
      <w:pPr>
        <w:jc w:val="center"/>
        <w:rPr>
          <w:rFonts w:eastAsia="Times New Roman"/>
        </w:rPr>
      </w:pPr>
    </w:p>
    <w:p w14:paraId="694772C6" w14:textId="77777777" w:rsidR="00186A2F" w:rsidRPr="00AD748E" w:rsidRDefault="00186A2F" w:rsidP="00186A2F">
      <w:pPr>
        <w:jc w:val="center"/>
        <w:rPr>
          <w:rFonts w:eastAsia="Times New Roman"/>
        </w:rPr>
      </w:pPr>
    </w:p>
    <w:p w14:paraId="445FF367" w14:textId="77777777" w:rsidR="00186A2F" w:rsidRPr="00AD748E" w:rsidRDefault="00186A2F" w:rsidP="00186A2F">
      <w:pPr>
        <w:spacing w:line="520" w:lineRule="exact"/>
        <w:jc w:val="center"/>
        <w:rPr>
          <w:b/>
          <w:color w:val="37537B"/>
          <w:sz w:val="40"/>
          <w:szCs w:val="40"/>
        </w:rPr>
      </w:pPr>
      <w:r w:rsidRPr="00AD748E">
        <w:rPr>
          <w:b/>
          <w:color w:val="37537B"/>
          <w:sz w:val="40"/>
          <w:szCs w:val="40"/>
        </w:rPr>
        <w:t>Supporting Statement for:</w:t>
      </w:r>
    </w:p>
    <w:p w14:paraId="7C420C62" w14:textId="77777777" w:rsidR="00186A2F" w:rsidRPr="00AD748E" w:rsidRDefault="00186A2F" w:rsidP="00186A2F">
      <w:pPr>
        <w:spacing w:line="520" w:lineRule="exact"/>
        <w:jc w:val="center"/>
        <w:rPr>
          <w:b/>
          <w:color w:val="37537B"/>
          <w:sz w:val="40"/>
          <w:szCs w:val="40"/>
        </w:rPr>
      </w:pPr>
    </w:p>
    <w:p w14:paraId="0CE20211" w14:textId="77777777" w:rsidR="00186A2F" w:rsidRPr="00AD748E" w:rsidRDefault="00186A2F" w:rsidP="00186A2F">
      <w:pPr>
        <w:spacing w:line="520" w:lineRule="exact"/>
        <w:jc w:val="center"/>
        <w:rPr>
          <w:b/>
          <w:color w:val="37537B"/>
          <w:sz w:val="40"/>
          <w:szCs w:val="40"/>
        </w:rPr>
      </w:pPr>
    </w:p>
    <w:p w14:paraId="2E5DF7B1" w14:textId="056F4263" w:rsidR="00186A2F" w:rsidRPr="00AD748E" w:rsidRDefault="008E0803" w:rsidP="00186A2F">
      <w:pPr>
        <w:jc w:val="center"/>
        <w:rPr>
          <w:color w:val="37537B"/>
          <w:spacing w:val="-4"/>
          <w:sz w:val="36"/>
          <w:szCs w:val="36"/>
        </w:rPr>
      </w:pPr>
      <w:r>
        <w:rPr>
          <w:color w:val="37537B"/>
          <w:spacing w:val="-4"/>
          <w:sz w:val="36"/>
          <w:szCs w:val="36"/>
        </w:rPr>
        <w:t>Prenatal Alcohol and Other Drug Exposures in Child Welfare Project</w:t>
      </w:r>
    </w:p>
    <w:p w14:paraId="65F4154B" w14:textId="77777777" w:rsidR="00186A2F" w:rsidRPr="00AD748E" w:rsidRDefault="00186A2F" w:rsidP="00186A2F">
      <w:pPr>
        <w:jc w:val="center"/>
        <w:rPr>
          <w:color w:val="37537B"/>
          <w:spacing w:val="-4"/>
          <w:sz w:val="36"/>
          <w:szCs w:val="36"/>
        </w:rPr>
      </w:pPr>
    </w:p>
    <w:p w14:paraId="5FE1CFD6" w14:textId="6F5D6721" w:rsidR="00186A2F" w:rsidRDefault="00CD534E" w:rsidP="00186A2F">
      <w:pPr>
        <w:jc w:val="center"/>
        <w:rPr>
          <w:color w:val="37537B"/>
          <w:spacing w:val="-4"/>
          <w:sz w:val="36"/>
          <w:szCs w:val="36"/>
        </w:rPr>
      </w:pPr>
      <w:r>
        <w:rPr>
          <w:color w:val="37537B"/>
          <w:spacing w:val="-4"/>
          <w:sz w:val="36"/>
          <w:szCs w:val="36"/>
        </w:rPr>
        <w:t>December 5</w:t>
      </w:r>
      <w:r w:rsidR="00186A2F" w:rsidRPr="00AD748E">
        <w:rPr>
          <w:color w:val="37537B"/>
          <w:spacing w:val="-4"/>
          <w:sz w:val="36"/>
          <w:szCs w:val="36"/>
        </w:rPr>
        <w:t>, 201</w:t>
      </w:r>
      <w:r w:rsidR="008E0803">
        <w:rPr>
          <w:color w:val="37537B"/>
          <w:spacing w:val="-4"/>
          <w:sz w:val="36"/>
          <w:szCs w:val="36"/>
        </w:rPr>
        <w:t>7</w:t>
      </w:r>
    </w:p>
    <w:p w14:paraId="6D4A595E" w14:textId="2CFC417F" w:rsidR="0057021A" w:rsidRDefault="0057021A" w:rsidP="00186A2F">
      <w:pPr>
        <w:jc w:val="center"/>
        <w:rPr>
          <w:color w:val="37537B"/>
          <w:spacing w:val="-4"/>
          <w:sz w:val="36"/>
          <w:szCs w:val="36"/>
        </w:rPr>
      </w:pPr>
      <w:r>
        <w:rPr>
          <w:color w:val="37537B"/>
          <w:spacing w:val="-4"/>
          <w:sz w:val="36"/>
          <w:szCs w:val="36"/>
        </w:rPr>
        <w:t>Revised May 7, 2018</w:t>
      </w:r>
    </w:p>
    <w:p w14:paraId="64697AC7" w14:textId="0A2B0823" w:rsidR="00F31745" w:rsidRPr="00AD748E" w:rsidRDefault="00F31745" w:rsidP="00186A2F">
      <w:pPr>
        <w:jc w:val="center"/>
        <w:rPr>
          <w:color w:val="37537B"/>
          <w:spacing w:val="-4"/>
          <w:sz w:val="36"/>
          <w:szCs w:val="36"/>
        </w:rPr>
      </w:pPr>
      <w:r>
        <w:rPr>
          <w:color w:val="37537B"/>
          <w:spacing w:val="-4"/>
          <w:sz w:val="36"/>
          <w:szCs w:val="36"/>
        </w:rPr>
        <w:t>Revised May 17, 2018</w:t>
      </w:r>
    </w:p>
    <w:p w14:paraId="6FEDE092" w14:textId="77777777" w:rsidR="00186A2F" w:rsidRPr="00AD748E" w:rsidRDefault="00186A2F" w:rsidP="00186A2F">
      <w:pPr>
        <w:jc w:val="center"/>
        <w:rPr>
          <w:color w:val="37537B"/>
          <w:spacing w:val="-4"/>
          <w:sz w:val="36"/>
          <w:szCs w:val="36"/>
        </w:rPr>
      </w:pPr>
    </w:p>
    <w:p w14:paraId="4169FA95" w14:textId="77777777" w:rsidR="00186A2F" w:rsidRPr="007D1FCA" w:rsidRDefault="00186A2F" w:rsidP="00186A2F">
      <w:pPr>
        <w:jc w:val="center"/>
        <w:rPr>
          <w:color w:val="70797F"/>
          <w:spacing w:val="-4"/>
          <w:sz w:val="28"/>
          <w:szCs w:val="28"/>
        </w:rPr>
      </w:pPr>
      <w:r w:rsidRPr="007D1FCA">
        <w:rPr>
          <w:color w:val="70797F"/>
          <w:spacing w:val="-4"/>
          <w:sz w:val="28"/>
          <w:szCs w:val="28"/>
        </w:rPr>
        <w:t>Submitted by:</w:t>
      </w:r>
    </w:p>
    <w:p w14:paraId="19BEFE66" w14:textId="77777777" w:rsidR="00186A2F" w:rsidRPr="007D1FCA" w:rsidRDefault="00186A2F" w:rsidP="00186A2F">
      <w:pPr>
        <w:jc w:val="center"/>
        <w:rPr>
          <w:color w:val="70797F"/>
          <w:spacing w:val="-4"/>
          <w:sz w:val="28"/>
          <w:szCs w:val="28"/>
        </w:rPr>
      </w:pPr>
      <w:r w:rsidRPr="007D1FCA">
        <w:rPr>
          <w:color w:val="70797F"/>
          <w:spacing w:val="-4"/>
          <w:sz w:val="28"/>
          <w:szCs w:val="28"/>
        </w:rPr>
        <w:t>U.S. Department of Health &amp; Human Services</w:t>
      </w:r>
    </w:p>
    <w:p w14:paraId="4F32417B" w14:textId="77777777" w:rsidR="00186A2F" w:rsidRPr="007D1FCA" w:rsidRDefault="00186A2F" w:rsidP="00186A2F">
      <w:pPr>
        <w:jc w:val="center"/>
        <w:rPr>
          <w:color w:val="70797F"/>
          <w:spacing w:val="-4"/>
          <w:sz w:val="28"/>
          <w:szCs w:val="28"/>
        </w:rPr>
      </w:pPr>
      <w:r w:rsidRPr="007D1FCA">
        <w:rPr>
          <w:color w:val="70797F"/>
          <w:spacing w:val="-4"/>
          <w:sz w:val="28"/>
          <w:szCs w:val="28"/>
        </w:rPr>
        <w:t>Children’s Bureau</w:t>
      </w:r>
    </w:p>
    <w:p w14:paraId="5606EEE3" w14:textId="77777777" w:rsidR="00186A2F" w:rsidRPr="00AD748E" w:rsidRDefault="00186A2F" w:rsidP="00186A2F">
      <w:pPr>
        <w:jc w:val="center"/>
        <w:rPr>
          <w:color w:val="70797F"/>
          <w:spacing w:val="-4"/>
          <w:sz w:val="28"/>
          <w:szCs w:val="28"/>
        </w:rPr>
      </w:pPr>
      <w:r w:rsidRPr="007D1FCA">
        <w:rPr>
          <w:color w:val="70797F"/>
          <w:spacing w:val="-4"/>
          <w:sz w:val="28"/>
          <w:szCs w:val="28"/>
        </w:rPr>
        <w:t>Washington, DC</w:t>
      </w:r>
    </w:p>
    <w:p w14:paraId="13CD2DFD" w14:textId="77777777" w:rsidR="00186A2F" w:rsidRPr="00AD748E" w:rsidRDefault="00186A2F" w:rsidP="00186A2F">
      <w:pPr>
        <w:jc w:val="center"/>
        <w:rPr>
          <w:spacing w:val="-4"/>
        </w:rPr>
      </w:pPr>
    </w:p>
    <w:p w14:paraId="31C26868" w14:textId="77777777" w:rsidR="00186A2F" w:rsidRPr="00AD748E" w:rsidRDefault="00186A2F" w:rsidP="00186A2F">
      <w:pPr>
        <w:jc w:val="center"/>
        <w:rPr>
          <w:rFonts w:eastAsia="Times New Roman"/>
        </w:rPr>
      </w:pPr>
    </w:p>
    <w:p w14:paraId="7841F308" w14:textId="77777777" w:rsidR="00186A2F" w:rsidRPr="00AD748E" w:rsidRDefault="00186A2F" w:rsidP="00186A2F">
      <w:pPr>
        <w:jc w:val="center"/>
        <w:rPr>
          <w:rFonts w:eastAsia="Times New Roman"/>
        </w:rPr>
      </w:pPr>
    </w:p>
    <w:p w14:paraId="1515637C" w14:textId="77777777" w:rsidR="00186A2F" w:rsidRPr="00AD748E" w:rsidRDefault="00186A2F" w:rsidP="00186A2F">
      <w:pPr>
        <w:jc w:val="center"/>
        <w:rPr>
          <w:rFonts w:eastAsia="Times New Roman"/>
        </w:rPr>
      </w:pPr>
    </w:p>
    <w:p w14:paraId="4EAE0DBF" w14:textId="642EB389" w:rsidR="00186A2F" w:rsidRPr="00AD748E" w:rsidRDefault="00186A2F" w:rsidP="00186A2F">
      <w:pPr>
        <w:jc w:val="center"/>
        <w:rPr>
          <w:rFonts w:eastAsia="Times New Roman"/>
          <w:b/>
          <w:color w:val="808080" w:themeColor="background1" w:themeShade="80"/>
          <w:sz w:val="28"/>
          <w:szCs w:val="28"/>
        </w:rPr>
      </w:pPr>
      <w:r w:rsidRPr="00AD748E">
        <w:rPr>
          <w:rFonts w:eastAsia="Times New Roman"/>
          <w:b/>
          <w:color w:val="808080" w:themeColor="background1" w:themeShade="80"/>
          <w:sz w:val="28"/>
          <w:szCs w:val="28"/>
        </w:rPr>
        <w:t>Contact person:</w:t>
      </w:r>
    </w:p>
    <w:p w14:paraId="06524ACE" w14:textId="77777777" w:rsidR="00186A2F" w:rsidRPr="00AD748E" w:rsidRDefault="00186A2F" w:rsidP="00186A2F">
      <w:pPr>
        <w:jc w:val="center"/>
        <w:rPr>
          <w:rFonts w:eastAsia="Times New Roman"/>
          <w:color w:val="808080" w:themeColor="background1" w:themeShade="80"/>
          <w:sz w:val="28"/>
          <w:szCs w:val="28"/>
        </w:rPr>
      </w:pPr>
    </w:p>
    <w:p w14:paraId="1E0C8253" w14:textId="4678FDFC" w:rsidR="00186A2F" w:rsidRDefault="008E0803" w:rsidP="00186A2F">
      <w:pPr>
        <w:jc w:val="center"/>
        <w:rPr>
          <w:rFonts w:eastAsia="Times New Roman"/>
          <w:b/>
          <w:color w:val="808080" w:themeColor="background1" w:themeShade="80"/>
          <w:sz w:val="28"/>
          <w:szCs w:val="28"/>
        </w:rPr>
      </w:pPr>
      <w:r>
        <w:rPr>
          <w:rFonts w:eastAsia="Times New Roman"/>
          <w:b/>
          <w:color w:val="808080" w:themeColor="background1" w:themeShade="80"/>
          <w:sz w:val="28"/>
          <w:szCs w:val="28"/>
        </w:rPr>
        <w:t>Sharon Newburg-Rinn</w:t>
      </w:r>
      <w:r w:rsidR="00444089">
        <w:rPr>
          <w:rFonts w:eastAsia="Times New Roman"/>
          <w:b/>
          <w:color w:val="808080" w:themeColor="background1" w:themeShade="80"/>
          <w:sz w:val="28"/>
          <w:szCs w:val="28"/>
        </w:rPr>
        <w:t>, Ph.D., COR</w:t>
      </w:r>
    </w:p>
    <w:p w14:paraId="2AB475FA" w14:textId="3A0F9CB7" w:rsidR="00444089" w:rsidRPr="00AD748E" w:rsidRDefault="00444089" w:rsidP="00186A2F">
      <w:pPr>
        <w:jc w:val="center"/>
        <w:rPr>
          <w:rFonts w:eastAsia="Times New Roman"/>
          <w:b/>
          <w:color w:val="808080" w:themeColor="background1" w:themeShade="80"/>
          <w:sz w:val="28"/>
          <w:szCs w:val="28"/>
        </w:rPr>
      </w:pPr>
      <w:r>
        <w:rPr>
          <w:rFonts w:eastAsia="Times New Roman"/>
          <w:b/>
          <w:color w:val="808080" w:themeColor="background1" w:themeShade="80"/>
          <w:sz w:val="28"/>
          <w:szCs w:val="28"/>
        </w:rPr>
        <w:t>Children’s Bureau</w:t>
      </w:r>
    </w:p>
    <w:p w14:paraId="2DF89715" w14:textId="77777777" w:rsidR="00186A2F" w:rsidRDefault="00186A2F" w:rsidP="00186A2F">
      <w:pPr>
        <w:jc w:val="center"/>
        <w:rPr>
          <w:rFonts w:eastAsia="Times New Roman"/>
          <w:b/>
          <w:color w:val="808080" w:themeColor="background1" w:themeShade="80"/>
          <w:sz w:val="28"/>
          <w:szCs w:val="28"/>
        </w:rPr>
      </w:pPr>
      <w:r w:rsidRPr="00AD748E">
        <w:rPr>
          <w:rFonts w:eastAsia="Times New Roman"/>
          <w:b/>
          <w:color w:val="808080" w:themeColor="background1" w:themeShade="80"/>
          <w:sz w:val="28"/>
          <w:szCs w:val="28"/>
        </w:rPr>
        <w:t>Administration on Children, Youth and Families</w:t>
      </w:r>
    </w:p>
    <w:p w14:paraId="03FBE19D" w14:textId="710B024C" w:rsidR="00444089" w:rsidRDefault="00444089" w:rsidP="00186A2F">
      <w:pPr>
        <w:jc w:val="center"/>
        <w:rPr>
          <w:rFonts w:eastAsia="Times New Roman"/>
          <w:b/>
          <w:color w:val="808080" w:themeColor="background1" w:themeShade="80"/>
          <w:sz w:val="28"/>
          <w:szCs w:val="28"/>
        </w:rPr>
      </w:pPr>
      <w:r>
        <w:rPr>
          <w:rFonts w:eastAsia="Times New Roman"/>
          <w:b/>
          <w:color w:val="808080" w:themeColor="background1" w:themeShade="80"/>
          <w:sz w:val="28"/>
          <w:szCs w:val="28"/>
        </w:rPr>
        <w:t>Administration for Children and Families</w:t>
      </w:r>
    </w:p>
    <w:p w14:paraId="605A94B5" w14:textId="2007BA05" w:rsidR="007E5313" w:rsidRDefault="007E5313" w:rsidP="00186A2F">
      <w:pPr>
        <w:jc w:val="center"/>
        <w:rPr>
          <w:rFonts w:eastAsia="Times New Roman"/>
          <w:b/>
          <w:color w:val="808080" w:themeColor="background1" w:themeShade="80"/>
          <w:sz w:val="28"/>
          <w:szCs w:val="28"/>
        </w:rPr>
      </w:pPr>
      <w:r>
        <w:rPr>
          <w:rFonts w:eastAsia="Times New Roman"/>
          <w:b/>
          <w:color w:val="808080" w:themeColor="background1" w:themeShade="80"/>
          <w:sz w:val="28"/>
          <w:szCs w:val="28"/>
        </w:rPr>
        <w:t>Mary E. Switzer Building</w:t>
      </w:r>
    </w:p>
    <w:p w14:paraId="34C8C603" w14:textId="77777777" w:rsidR="00186A2F" w:rsidRDefault="00186A2F" w:rsidP="00186A2F">
      <w:pPr>
        <w:jc w:val="center"/>
        <w:rPr>
          <w:rFonts w:eastAsia="Times New Roman"/>
          <w:b/>
          <w:color w:val="808080" w:themeColor="background1" w:themeShade="80"/>
          <w:sz w:val="28"/>
          <w:szCs w:val="28"/>
        </w:rPr>
      </w:pPr>
      <w:r w:rsidRPr="007E5313">
        <w:rPr>
          <w:rFonts w:eastAsia="Times New Roman"/>
          <w:b/>
          <w:color w:val="808080" w:themeColor="background1" w:themeShade="80"/>
          <w:sz w:val="28"/>
          <w:szCs w:val="28"/>
        </w:rPr>
        <w:t>330 C Street, SW</w:t>
      </w:r>
    </w:p>
    <w:p w14:paraId="015558C4" w14:textId="2FCD6A91" w:rsidR="007E5313" w:rsidRPr="007E5313" w:rsidRDefault="007E5313" w:rsidP="00186A2F">
      <w:pPr>
        <w:jc w:val="center"/>
        <w:rPr>
          <w:rFonts w:eastAsia="Times New Roman"/>
          <w:b/>
          <w:color w:val="808080" w:themeColor="background1" w:themeShade="80"/>
          <w:sz w:val="28"/>
          <w:szCs w:val="28"/>
        </w:rPr>
      </w:pPr>
      <w:r>
        <w:rPr>
          <w:rFonts w:eastAsia="Times New Roman"/>
          <w:b/>
          <w:color w:val="808080" w:themeColor="background1" w:themeShade="80"/>
          <w:sz w:val="28"/>
          <w:szCs w:val="28"/>
        </w:rPr>
        <w:t>Room 3042</w:t>
      </w:r>
    </w:p>
    <w:p w14:paraId="15614293" w14:textId="77777777" w:rsidR="00186A2F" w:rsidRPr="007E5313" w:rsidRDefault="00186A2F" w:rsidP="00186A2F">
      <w:pPr>
        <w:jc w:val="center"/>
        <w:rPr>
          <w:rFonts w:eastAsia="Times New Roman"/>
          <w:b/>
          <w:color w:val="808080" w:themeColor="background1" w:themeShade="80"/>
          <w:sz w:val="28"/>
          <w:szCs w:val="28"/>
        </w:rPr>
      </w:pPr>
      <w:r w:rsidRPr="007E5313">
        <w:rPr>
          <w:rFonts w:eastAsia="Times New Roman"/>
          <w:b/>
          <w:color w:val="808080" w:themeColor="background1" w:themeShade="80"/>
          <w:sz w:val="28"/>
          <w:szCs w:val="28"/>
        </w:rPr>
        <w:t>Washington, DC  20201</w:t>
      </w:r>
    </w:p>
    <w:p w14:paraId="4F43C0F1" w14:textId="0F2012E0" w:rsidR="00186A2F" w:rsidRPr="00AD748E" w:rsidRDefault="00186A2F" w:rsidP="00186A2F">
      <w:pPr>
        <w:jc w:val="center"/>
        <w:rPr>
          <w:rFonts w:eastAsia="Times New Roman"/>
          <w:b/>
          <w:color w:val="808080" w:themeColor="background1" w:themeShade="80"/>
          <w:sz w:val="28"/>
          <w:szCs w:val="28"/>
        </w:rPr>
      </w:pPr>
      <w:r w:rsidRPr="007E5313">
        <w:rPr>
          <w:rFonts w:eastAsia="Times New Roman"/>
          <w:b/>
          <w:color w:val="808080" w:themeColor="background1" w:themeShade="80"/>
          <w:sz w:val="28"/>
          <w:szCs w:val="28"/>
        </w:rPr>
        <w:t>202-205-</w:t>
      </w:r>
      <w:r w:rsidR="008E0803" w:rsidRPr="007E5313">
        <w:rPr>
          <w:rFonts w:eastAsia="Times New Roman"/>
          <w:b/>
          <w:color w:val="808080" w:themeColor="background1" w:themeShade="80"/>
          <w:sz w:val="28"/>
          <w:szCs w:val="28"/>
        </w:rPr>
        <w:t>0749</w:t>
      </w:r>
    </w:p>
    <w:p w14:paraId="41AF46EE" w14:textId="6F86850D" w:rsidR="00186A2F" w:rsidRPr="00AD748E" w:rsidRDefault="00F22C18" w:rsidP="00186A2F">
      <w:pPr>
        <w:jc w:val="center"/>
        <w:rPr>
          <w:rFonts w:eastAsia="Times New Roman"/>
          <w:color w:val="808080" w:themeColor="background1" w:themeShade="80"/>
          <w:sz w:val="28"/>
          <w:szCs w:val="28"/>
        </w:rPr>
      </w:pPr>
      <w:hyperlink r:id="rId9" w:history="1">
        <w:r w:rsidR="008E0803" w:rsidRPr="00F27176">
          <w:rPr>
            <w:rStyle w:val="Hyperlink"/>
            <w:rFonts w:eastAsia="Times New Roman"/>
            <w:sz w:val="28"/>
            <w:szCs w:val="28"/>
          </w:rPr>
          <w:t>Sharon.Newburg-Rinn@acf.hhs.gov</w:t>
        </w:r>
      </w:hyperlink>
    </w:p>
    <w:p w14:paraId="70963CF9" w14:textId="77777777" w:rsidR="00186A2F" w:rsidRPr="00AD748E" w:rsidRDefault="00186A2F" w:rsidP="004D1681">
      <w:pPr>
        <w:jc w:val="center"/>
        <w:rPr>
          <w:rFonts w:eastAsia="Times New Roman"/>
          <w:b/>
        </w:rPr>
        <w:sectPr w:rsidR="00186A2F" w:rsidRPr="00AD748E">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sz w:val="24"/>
          <w:szCs w:val="24"/>
        </w:rPr>
        <w:id w:val="-1988244084"/>
        <w:docPartObj>
          <w:docPartGallery w:val="Table of Contents"/>
          <w:docPartUnique/>
        </w:docPartObj>
      </w:sdtPr>
      <w:sdtEndPr>
        <w:rPr>
          <w:b/>
        </w:rPr>
      </w:sdtEndPr>
      <w:sdtContent>
        <w:p w14:paraId="44496003" w14:textId="77777777" w:rsidR="006867B8" w:rsidRPr="00AD748E" w:rsidRDefault="006867B8" w:rsidP="00E50C4B">
          <w:pPr>
            <w:pStyle w:val="TOCHeading"/>
            <w:spacing w:before="0" w:line="240" w:lineRule="auto"/>
            <w:jc w:val="center"/>
            <w:rPr>
              <w:rFonts w:ascii="Times New Roman" w:hAnsi="Times New Roman" w:cs="Times New Roman"/>
              <w:color w:val="auto"/>
            </w:rPr>
          </w:pPr>
          <w:r w:rsidRPr="00AD748E">
            <w:rPr>
              <w:rFonts w:ascii="Times New Roman" w:hAnsi="Times New Roman" w:cs="Times New Roman"/>
              <w:color w:val="auto"/>
            </w:rPr>
            <w:t>Table of Contents</w:t>
          </w:r>
        </w:p>
        <w:p w14:paraId="4DF52B34" w14:textId="77777777" w:rsidR="00E50C4B" w:rsidRPr="00AD748E" w:rsidRDefault="00E50C4B" w:rsidP="00E50C4B"/>
        <w:p w14:paraId="52741263" w14:textId="007DB050" w:rsidR="00871854" w:rsidRDefault="006867B8">
          <w:pPr>
            <w:pStyle w:val="TOC1"/>
            <w:rPr>
              <w:rFonts w:asciiTheme="minorHAnsi" w:eastAsiaTheme="minorEastAsia" w:hAnsiTheme="minorHAnsi" w:cstheme="minorBidi"/>
              <w:noProof/>
              <w:sz w:val="22"/>
              <w:szCs w:val="22"/>
            </w:rPr>
          </w:pPr>
          <w:r w:rsidRPr="00AD748E">
            <w:fldChar w:fldCharType="begin"/>
          </w:r>
          <w:r w:rsidRPr="00AD748E">
            <w:instrText xml:space="preserve"> TOC \o "1-3" \h \z \u </w:instrText>
          </w:r>
          <w:r w:rsidRPr="00AD748E">
            <w:fldChar w:fldCharType="separate"/>
          </w:r>
          <w:hyperlink w:anchor="_Toc497115754" w:history="1">
            <w:r w:rsidR="00871854" w:rsidRPr="00042993">
              <w:rPr>
                <w:rStyle w:val="Hyperlink"/>
                <w:rFonts w:eastAsia="Times New Roman"/>
                <w:noProof/>
              </w:rPr>
              <w:t>A.</w:t>
            </w:r>
            <w:r w:rsidR="00871854">
              <w:rPr>
                <w:rFonts w:asciiTheme="minorHAnsi" w:eastAsiaTheme="minorEastAsia" w:hAnsiTheme="minorHAnsi" w:cstheme="minorBidi"/>
                <w:noProof/>
                <w:sz w:val="22"/>
                <w:szCs w:val="22"/>
              </w:rPr>
              <w:tab/>
            </w:r>
            <w:r w:rsidR="00871854" w:rsidRPr="00042993">
              <w:rPr>
                <w:rStyle w:val="Hyperlink"/>
                <w:rFonts w:eastAsia="Times New Roman"/>
                <w:noProof/>
              </w:rPr>
              <w:t>Justification</w:t>
            </w:r>
            <w:r w:rsidR="00871854">
              <w:rPr>
                <w:noProof/>
                <w:webHidden/>
              </w:rPr>
              <w:tab/>
            </w:r>
            <w:r w:rsidR="00871854">
              <w:rPr>
                <w:noProof/>
                <w:webHidden/>
              </w:rPr>
              <w:fldChar w:fldCharType="begin"/>
            </w:r>
            <w:r w:rsidR="00871854">
              <w:rPr>
                <w:noProof/>
                <w:webHidden/>
              </w:rPr>
              <w:instrText xml:space="preserve"> PAGEREF _Toc497115754 \h </w:instrText>
            </w:r>
            <w:r w:rsidR="00871854">
              <w:rPr>
                <w:noProof/>
                <w:webHidden/>
              </w:rPr>
            </w:r>
            <w:r w:rsidR="00871854">
              <w:rPr>
                <w:noProof/>
                <w:webHidden/>
              </w:rPr>
              <w:fldChar w:fldCharType="separate"/>
            </w:r>
            <w:r w:rsidR="00D73B7D">
              <w:rPr>
                <w:noProof/>
                <w:webHidden/>
              </w:rPr>
              <w:t>1</w:t>
            </w:r>
            <w:r w:rsidR="00871854">
              <w:rPr>
                <w:noProof/>
                <w:webHidden/>
              </w:rPr>
              <w:fldChar w:fldCharType="end"/>
            </w:r>
          </w:hyperlink>
        </w:p>
        <w:p w14:paraId="49F2383B" w14:textId="72427389" w:rsidR="00871854" w:rsidRDefault="00F22C18">
          <w:pPr>
            <w:pStyle w:val="TOC2"/>
            <w:rPr>
              <w:rFonts w:asciiTheme="minorHAnsi" w:eastAsiaTheme="minorEastAsia" w:hAnsiTheme="minorHAnsi" w:cstheme="minorBidi"/>
              <w:noProof/>
              <w:sz w:val="22"/>
              <w:szCs w:val="22"/>
            </w:rPr>
          </w:pPr>
          <w:hyperlink w:anchor="_Toc497115755" w:history="1">
            <w:r w:rsidR="00871854" w:rsidRPr="00042993">
              <w:rPr>
                <w:rStyle w:val="Hyperlink"/>
                <w:noProof/>
              </w:rPr>
              <w:t>1.</w:t>
            </w:r>
            <w:r w:rsidR="00871854">
              <w:rPr>
                <w:rFonts w:asciiTheme="minorHAnsi" w:eastAsiaTheme="minorEastAsia" w:hAnsiTheme="minorHAnsi" w:cstheme="minorBidi"/>
                <w:noProof/>
                <w:sz w:val="22"/>
                <w:szCs w:val="22"/>
              </w:rPr>
              <w:tab/>
            </w:r>
            <w:r w:rsidR="00871854" w:rsidRPr="00042993">
              <w:rPr>
                <w:rStyle w:val="Hyperlink"/>
                <w:noProof/>
              </w:rPr>
              <w:t>Circumstances Making the Collection of Information Necessary</w:t>
            </w:r>
            <w:r w:rsidR="00871854">
              <w:rPr>
                <w:noProof/>
                <w:webHidden/>
              </w:rPr>
              <w:tab/>
            </w:r>
            <w:r w:rsidR="00871854">
              <w:rPr>
                <w:noProof/>
                <w:webHidden/>
              </w:rPr>
              <w:fldChar w:fldCharType="begin"/>
            </w:r>
            <w:r w:rsidR="00871854">
              <w:rPr>
                <w:noProof/>
                <w:webHidden/>
              </w:rPr>
              <w:instrText xml:space="preserve"> PAGEREF _Toc497115755 \h </w:instrText>
            </w:r>
            <w:r w:rsidR="00871854">
              <w:rPr>
                <w:noProof/>
                <w:webHidden/>
              </w:rPr>
            </w:r>
            <w:r w:rsidR="00871854">
              <w:rPr>
                <w:noProof/>
                <w:webHidden/>
              </w:rPr>
              <w:fldChar w:fldCharType="separate"/>
            </w:r>
            <w:r w:rsidR="00D73B7D">
              <w:rPr>
                <w:noProof/>
                <w:webHidden/>
              </w:rPr>
              <w:t>1</w:t>
            </w:r>
            <w:r w:rsidR="00871854">
              <w:rPr>
                <w:noProof/>
                <w:webHidden/>
              </w:rPr>
              <w:fldChar w:fldCharType="end"/>
            </w:r>
          </w:hyperlink>
        </w:p>
        <w:p w14:paraId="6C640839" w14:textId="4C804568" w:rsidR="00871854" w:rsidRDefault="00F22C18">
          <w:pPr>
            <w:pStyle w:val="TOC2"/>
            <w:rPr>
              <w:rFonts w:asciiTheme="minorHAnsi" w:eastAsiaTheme="minorEastAsia" w:hAnsiTheme="minorHAnsi" w:cstheme="minorBidi"/>
              <w:noProof/>
              <w:sz w:val="22"/>
              <w:szCs w:val="22"/>
            </w:rPr>
          </w:pPr>
          <w:hyperlink w:anchor="_Toc497115756" w:history="1">
            <w:r w:rsidR="00871854" w:rsidRPr="00042993">
              <w:rPr>
                <w:rStyle w:val="Hyperlink"/>
                <w:noProof/>
              </w:rPr>
              <w:t>2.</w:t>
            </w:r>
            <w:r w:rsidR="00871854">
              <w:rPr>
                <w:rFonts w:asciiTheme="minorHAnsi" w:eastAsiaTheme="minorEastAsia" w:hAnsiTheme="minorHAnsi" w:cstheme="minorBidi"/>
                <w:noProof/>
                <w:sz w:val="22"/>
                <w:szCs w:val="22"/>
              </w:rPr>
              <w:tab/>
            </w:r>
            <w:r w:rsidR="00871854" w:rsidRPr="00042993">
              <w:rPr>
                <w:rStyle w:val="Hyperlink"/>
                <w:noProof/>
              </w:rPr>
              <w:t>Purpose and Use of the Information Collection</w:t>
            </w:r>
            <w:r w:rsidR="00871854">
              <w:rPr>
                <w:noProof/>
                <w:webHidden/>
              </w:rPr>
              <w:tab/>
            </w:r>
            <w:r w:rsidR="00871854">
              <w:rPr>
                <w:noProof/>
                <w:webHidden/>
              </w:rPr>
              <w:fldChar w:fldCharType="begin"/>
            </w:r>
            <w:r w:rsidR="00871854">
              <w:rPr>
                <w:noProof/>
                <w:webHidden/>
              </w:rPr>
              <w:instrText xml:space="preserve"> PAGEREF _Toc497115756 \h </w:instrText>
            </w:r>
            <w:r w:rsidR="00871854">
              <w:rPr>
                <w:noProof/>
                <w:webHidden/>
              </w:rPr>
            </w:r>
            <w:r w:rsidR="00871854">
              <w:rPr>
                <w:noProof/>
                <w:webHidden/>
              </w:rPr>
              <w:fldChar w:fldCharType="separate"/>
            </w:r>
            <w:r w:rsidR="00D73B7D">
              <w:rPr>
                <w:noProof/>
                <w:webHidden/>
              </w:rPr>
              <w:t>1</w:t>
            </w:r>
            <w:r w:rsidR="00871854">
              <w:rPr>
                <w:noProof/>
                <w:webHidden/>
              </w:rPr>
              <w:fldChar w:fldCharType="end"/>
            </w:r>
          </w:hyperlink>
        </w:p>
        <w:p w14:paraId="549C55E9" w14:textId="008E5DA8" w:rsidR="00871854" w:rsidRDefault="00F22C18">
          <w:pPr>
            <w:pStyle w:val="TOC2"/>
            <w:rPr>
              <w:rFonts w:asciiTheme="minorHAnsi" w:eastAsiaTheme="minorEastAsia" w:hAnsiTheme="minorHAnsi" w:cstheme="minorBidi"/>
              <w:noProof/>
              <w:sz w:val="22"/>
              <w:szCs w:val="22"/>
            </w:rPr>
          </w:pPr>
          <w:hyperlink w:anchor="_Toc497115757" w:history="1">
            <w:r w:rsidR="00871854" w:rsidRPr="00042993">
              <w:rPr>
                <w:rStyle w:val="Hyperlink"/>
                <w:noProof/>
              </w:rPr>
              <w:t>3.</w:t>
            </w:r>
            <w:r w:rsidR="00871854">
              <w:rPr>
                <w:rFonts w:asciiTheme="minorHAnsi" w:eastAsiaTheme="minorEastAsia" w:hAnsiTheme="minorHAnsi" w:cstheme="minorBidi"/>
                <w:noProof/>
                <w:sz w:val="22"/>
                <w:szCs w:val="22"/>
              </w:rPr>
              <w:tab/>
            </w:r>
            <w:r w:rsidR="00871854" w:rsidRPr="00042993">
              <w:rPr>
                <w:rStyle w:val="Hyperlink"/>
                <w:noProof/>
              </w:rPr>
              <w:t>Use of Improved Information Technology and Burden Reduction</w:t>
            </w:r>
            <w:r w:rsidR="00871854">
              <w:rPr>
                <w:noProof/>
                <w:webHidden/>
              </w:rPr>
              <w:tab/>
            </w:r>
            <w:r w:rsidR="00871854">
              <w:rPr>
                <w:noProof/>
                <w:webHidden/>
              </w:rPr>
              <w:fldChar w:fldCharType="begin"/>
            </w:r>
            <w:r w:rsidR="00871854">
              <w:rPr>
                <w:noProof/>
                <w:webHidden/>
              </w:rPr>
              <w:instrText xml:space="preserve"> PAGEREF _Toc497115757 \h </w:instrText>
            </w:r>
            <w:r w:rsidR="00871854">
              <w:rPr>
                <w:noProof/>
                <w:webHidden/>
              </w:rPr>
            </w:r>
            <w:r w:rsidR="00871854">
              <w:rPr>
                <w:noProof/>
                <w:webHidden/>
              </w:rPr>
              <w:fldChar w:fldCharType="separate"/>
            </w:r>
            <w:r w:rsidR="00D73B7D">
              <w:rPr>
                <w:noProof/>
                <w:webHidden/>
              </w:rPr>
              <w:t>3</w:t>
            </w:r>
            <w:r w:rsidR="00871854">
              <w:rPr>
                <w:noProof/>
                <w:webHidden/>
              </w:rPr>
              <w:fldChar w:fldCharType="end"/>
            </w:r>
          </w:hyperlink>
        </w:p>
        <w:p w14:paraId="0C98B85E" w14:textId="2C027686" w:rsidR="00871854" w:rsidRDefault="00F22C18">
          <w:pPr>
            <w:pStyle w:val="TOC2"/>
            <w:rPr>
              <w:rFonts w:asciiTheme="minorHAnsi" w:eastAsiaTheme="minorEastAsia" w:hAnsiTheme="minorHAnsi" w:cstheme="minorBidi"/>
              <w:noProof/>
              <w:sz w:val="22"/>
              <w:szCs w:val="22"/>
            </w:rPr>
          </w:pPr>
          <w:hyperlink w:anchor="_Toc497115758" w:history="1">
            <w:r w:rsidR="00871854" w:rsidRPr="00042993">
              <w:rPr>
                <w:rStyle w:val="Hyperlink"/>
                <w:noProof/>
              </w:rPr>
              <w:t>4.</w:t>
            </w:r>
            <w:r w:rsidR="00871854">
              <w:rPr>
                <w:rFonts w:asciiTheme="minorHAnsi" w:eastAsiaTheme="minorEastAsia" w:hAnsiTheme="minorHAnsi" w:cstheme="minorBidi"/>
                <w:noProof/>
                <w:sz w:val="22"/>
                <w:szCs w:val="22"/>
              </w:rPr>
              <w:tab/>
            </w:r>
            <w:r w:rsidR="00871854" w:rsidRPr="00042993">
              <w:rPr>
                <w:rStyle w:val="Hyperlink"/>
                <w:noProof/>
              </w:rPr>
              <w:t xml:space="preserve">Efforts To Identify </w:t>
            </w:r>
            <w:r w:rsidR="00871854" w:rsidRPr="00911539">
              <w:rPr>
                <w:rStyle w:val="Hyperlink"/>
                <w:noProof/>
                <w:sz w:val="22"/>
              </w:rPr>
              <w:t>Duplication</w:t>
            </w:r>
            <w:r w:rsidR="00871854" w:rsidRPr="00042993">
              <w:rPr>
                <w:rStyle w:val="Hyperlink"/>
                <w:noProof/>
              </w:rPr>
              <w:t xml:space="preserve"> and Use of Similar Information</w:t>
            </w:r>
            <w:r w:rsidR="00871854">
              <w:rPr>
                <w:noProof/>
                <w:webHidden/>
              </w:rPr>
              <w:tab/>
            </w:r>
            <w:r w:rsidR="00871854">
              <w:rPr>
                <w:noProof/>
                <w:webHidden/>
              </w:rPr>
              <w:fldChar w:fldCharType="begin"/>
            </w:r>
            <w:r w:rsidR="00871854">
              <w:rPr>
                <w:noProof/>
                <w:webHidden/>
              </w:rPr>
              <w:instrText xml:space="preserve"> PAGEREF _Toc497115758 \h </w:instrText>
            </w:r>
            <w:r w:rsidR="00871854">
              <w:rPr>
                <w:noProof/>
                <w:webHidden/>
              </w:rPr>
            </w:r>
            <w:r w:rsidR="00871854">
              <w:rPr>
                <w:noProof/>
                <w:webHidden/>
              </w:rPr>
              <w:fldChar w:fldCharType="separate"/>
            </w:r>
            <w:r w:rsidR="00D73B7D">
              <w:rPr>
                <w:noProof/>
                <w:webHidden/>
              </w:rPr>
              <w:t>3</w:t>
            </w:r>
            <w:r w:rsidR="00871854">
              <w:rPr>
                <w:noProof/>
                <w:webHidden/>
              </w:rPr>
              <w:fldChar w:fldCharType="end"/>
            </w:r>
          </w:hyperlink>
        </w:p>
        <w:p w14:paraId="59E5B721" w14:textId="24FB4AE0" w:rsidR="00871854" w:rsidRDefault="00F22C18">
          <w:pPr>
            <w:pStyle w:val="TOC2"/>
            <w:rPr>
              <w:rFonts w:asciiTheme="minorHAnsi" w:eastAsiaTheme="minorEastAsia" w:hAnsiTheme="minorHAnsi" w:cstheme="minorBidi"/>
              <w:noProof/>
              <w:sz w:val="22"/>
              <w:szCs w:val="22"/>
            </w:rPr>
          </w:pPr>
          <w:hyperlink w:anchor="_Toc497115759" w:history="1">
            <w:r w:rsidR="00871854" w:rsidRPr="00042993">
              <w:rPr>
                <w:rStyle w:val="Hyperlink"/>
                <w:noProof/>
              </w:rPr>
              <w:t>5.</w:t>
            </w:r>
            <w:r w:rsidR="00871854">
              <w:rPr>
                <w:rFonts w:asciiTheme="minorHAnsi" w:eastAsiaTheme="minorEastAsia" w:hAnsiTheme="minorHAnsi" w:cstheme="minorBidi"/>
                <w:noProof/>
                <w:sz w:val="22"/>
                <w:szCs w:val="22"/>
              </w:rPr>
              <w:tab/>
            </w:r>
            <w:r w:rsidR="00871854" w:rsidRPr="00042993">
              <w:rPr>
                <w:rStyle w:val="Hyperlink"/>
                <w:noProof/>
              </w:rPr>
              <w:t>Impact on Small Businesses or Other Small Entities</w:t>
            </w:r>
            <w:r w:rsidR="00871854">
              <w:rPr>
                <w:noProof/>
                <w:webHidden/>
              </w:rPr>
              <w:tab/>
            </w:r>
            <w:r w:rsidR="00871854">
              <w:rPr>
                <w:noProof/>
                <w:webHidden/>
              </w:rPr>
              <w:fldChar w:fldCharType="begin"/>
            </w:r>
            <w:r w:rsidR="00871854">
              <w:rPr>
                <w:noProof/>
                <w:webHidden/>
              </w:rPr>
              <w:instrText xml:space="preserve"> PAGEREF _Toc497115759 \h </w:instrText>
            </w:r>
            <w:r w:rsidR="00871854">
              <w:rPr>
                <w:noProof/>
                <w:webHidden/>
              </w:rPr>
            </w:r>
            <w:r w:rsidR="00871854">
              <w:rPr>
                <w:noProof/>
                <w:webHidden/>
              </w:rPr>
              <w:fldChar w:fldCharType="separate"/>
            </w:r>
            <w:r w:rsidR="00D73B7D">
              <w:rPr>
                <w:noProof/>
                <w:webHidden/>
              </w:rPr>
              <w:t>3</w:t>
            </w:r>
            <w:r w:rsidR="00871854">
              <w:rPr>
                <w:noProof/>
                <w:webHidden/>
              </w:rPr>
              <w:fldChar w:fldCharType="end"/>
            </w:r>
          </w:hyperlink>
        </w:p>
        <w:p w14:paraId="5CAF43AE" w14:textId="62072E96" w:rsidR="00871854" w:rsidRDefault="00F22C18">
          <w:pPr>
            <w:pStyle w:val="TOC2"/>
            <w:rPr>
              <w:rFonts w:asciiTheme="minorHAnsi" w:eastAsiaTheme="minorEastAsia" w:hAnsiTheme="minorHAnsi" w:cstheme="minorBidi"/>
              <w:noProof/>
              <w:sz w:val="22"/>
              <w:szCs w:val="22"/>
            </w:rPr>
          </w:pPr>
          <w:hyperlink w:anchor="_Toc497115760" w:history="1">
            <w:r w:rsidR="00871854" w:rsidRPr="00042993">
              <w:rPr>
                <w:rStyle w:val="Hyperlink"/>
                <w:noProof/>
              </w:rPr>
              <w:t>6.</w:t>
            </w:r>
            <w:r w:rsidR="00871854">
              <w:rPr>
                <w:rFonts w:asciiTheme="minorHAnsi" w:eastAsiaTheme="minorEastAsia" w:hAnsiTheme="minorHAnsi" w:cstheme="minorBidi"/>
                <w:noProof/>
                <w:sz w:val="22"/>
                <w:szCs w:val="22"/>
              </w:rPr>
              <w:tab/>
            </w:r>
            <w:r w:rsidR="00871854" w:rsidRPr="00042993">
              <w:rPr>
                <w:rStyle w:val="Hyperlink"/>
                <w:noProof/>
              </w:rPr>
              <w:t>Consequences of Collecting the Information Less Frequently</w:t>
            </w:r>
            <w:r w:rsidR="00871854">
              <w:rPr>
                <w:noProof/>
                <w:webHidden/>
              </w:rPr>
              <w:tab/>
            </w:r>
            <w:r w:rsidR="00871854">
              <w:rPr>
                <w:noProof/>
                <w:webHidden/>
              </w:rPr>
              <w:fldChar w:fldCharType="begin"/>
            </w:r>
            <w:r w:rsidR="00871854">
              <w:rPr>
                <w:noProof/>
                <w:webHidden/>
              </w:rPr>
              <w:instrText xml:space="preserve"> PAGEREF _Toc497115760 \h </w:instrText>
            </w:r>
            <w:r w:rsidR="00871854">
              <w:rPr>
                <w:noProof/>
                <w:webHidden/>
              </w:rPr>
            </w:r>
            <w:r w:rsidR="00871854">
              <w:rPr>
                <w:noProof/>
                <w:webHidden/>
              </w:rPr>
              <w:fldChar w:fldCharType="separate"/>
            </w:r>
            <w:r w:rsidR="00D73B7D">
              <w:rPr>
                <w:noProof/>
                <w:webHidden/>
              </w:rPr>
              <w:t>3</w:t>
            </w:r>
            <w:r w:rsidR="00871854">
              <w:rPr>
                <w:noProof/>
                <w:webHidden/>
              </w:rPr>
              <w:fldChar w:fldCharType="end"/>
            </w:r>
          </w:hyperlink>
        </w:p>
        <w:p w14:paraId="4AC44A1E" w14:textId="26136080" w:rsidR="00871854" w:rsidRDefault="00F22C18">
          <w:pPr>
            <w:pStyle w:val="TOC2"/>
            <w:rPr>
              <w:rFonts w:asciiTheme="minorHAnsi" w:eastAsiaTheme="minorEastAsia" w:hAnsiTheme="minorHAnsi" w:cstheme="minorBidi"/>
              <w:noProof/>
              <w:sz w:val="22"/>
              <w:szCs w:val="22"/>
            </w:rPr>
          </w:pPr>
          <w:hyperlink w:anchor="_Toc497115761" w:history="1">
            <w:r w:rsidR="00871854" w:rsidRPr="00042993">
              <w:rPr>
                <w:rStyle w:val="Hyperlink"/>
                <w:noProof/>
              </w:rPr>
              <w:t>7.</w:t>
            </w:r>
            <w:r w:rsidR="00871854">
              <w:rPr>
                <w:rFonts w:asciiTheme="minorHAnsi" w:eastAsiaTheme="minorEastAsia" w:hAnsiTheme="minorHAnsi" w:cstheme="minorBidi"/>
                <w:noProof/>
                <w:sz w:val="22"/>
                <w:szCs w:val="22"/>
              </w:rPr>
              <w:tab/>
            </w:r>
            <w:r w:rsidR="00871854" w:rsidRPr="00042993">
              <w:rPr>
                <w:rStyle w:val="Hyperlink"/>
                <w:noProof/>
              </w:rPr>
              <w:t>Special Circumstances Relating to the Guidelines of 5 CFR 1320.5</w:t>
            </w:r>
            <w:r w:rsidR="00871854">
              <w:rPr>
                <w:noProof/>
                <w:webHidden/>
              </w:rPr>
              <w:tab/>
            </w:r>
            <w:r w:rsidR="00871854">
              <w:rPr>
                <w:noProof/>
                <w:webHidden/>
              </w:rPr>
              <w:fldChar w:fldCharType="begin"/>
            </w:r>
            <w:r w:rsidR="00871854">
              <w:rPr>
                <w:noProof/>
                <w:webHidden/>
              </w:rPr>
              <w:instrText xml:space="preserve"> PAGEREF _Toc497115761 \h </w:instrText>
            </w:r>
            <w:r w:rsidR="00871854">
              <w:rPr>
                <w:noProof/>
                <w:webHidden/>
              </w:rPr>
            </w:r>
            <w:r w:rsidR="00871854">
              <w:rPr>
                <w:noProof/>
                <w:webHidden/>
              </w:rPr>
              <w:fldChar w:fldCharType="separate"/>
            </w:r>
            <w:r w:rsidR="00D73B7D">
              <w:rPr>
                <w:noProof/>
                <w:webHidden/>
              </w:rPr>
              <w:t>4</w:t>
            </w:r>
            <w:r w:rsidR="00871854">
              <w:rPr>
                <w:noProof/>
                <w:webHidden/>
              </w:rPr>
              <w:fldChar w:fldCharType="end"/>
            </w:r>
          </w:hyperlink>
        </w:p>
        <w:p w14:paraId="675C4DEB" w14:textId="0D5CE58F" w:rsidR="00871854" w:rsidRDefault="00F22C18">
          <w:pPr>
            <w:pStyle w:val="TOC2"/>
            <w:rPr>
              <w:rFonts w:asciiTheme="minorHAnsi" w:eastAsiaTheme="minorEastAsia" w:hAnsiTheme="minorHAnsi" w:cstheme="minorBidi"/>
              <w:noProof/>
              <w:sz w:val="22"/>
              <w:szCs w:val="22"/>
            </w:rPr>
          </w:pPr>
          <w:hyperlink w:anchor="_Toc497115762" w:history="1">
            <w:r w:rsidR="00871854" w:rsidRPr="00042993">
              <w:rPr>
                <w:rStyle w:val="Hyperlink"/>
                <w:noProof/>
              </w:rPr>
              <w:t>8.</w:t>
            </w:r>
            <w:r w:rsidR="00871854">
              <w:rPr>
                <w:rFonts w:asciiTheme="minorHAnsi" w:eastAsiaTheme="minorEastAsia" w:hAnsiTheme="minorHAnsi" w:cstheme="minorBidi"/>
                <w:noProof/>
                <w:sz w:val="22"/>
                <w:szCs w:val="22"/>
              </w:rPr>
              <w:tab/>
            </w:r>
            <w:r w:rsidR="00871854" w:rsidRPr="00042993">
              <w:rPr>
                <w:rStyle w:val="Hyperlink"/>
                <w:noProof/>
              </w:rPr>
              <w:t>Comments in Response to the Federal Register Notice and Efforts To Consult Outside the Agency</w:t>
            </w:r>
            <w:r w:rsidR="00871854">
              <w:rPr>
                <w:noProof/>
                <w:webHidden/>
              </w:rPr>
              <w:tab/>
            </w:r>
            <w:r w:rsidR="00871854">
              <w:rPr>
                <w:noProof/>
                <w:webHidden/>
              </w:rPr>
              <w:fldChar w:fldCharType="begin"/>
            </w:r>
            <w:r w:rsidR="00871854">
              <w:rPr>
                <w:noProof/>
                <w:webHidden/>
              </w:rPr>
              <w:instrText xml:space="preserve"> PAGEREF _Toc497115762 \h </w:instrText>
            </w:r>
            <w:r w:rsidR="00871854">
              <w:rPr>
                <w:noProof/>
                <w:webHidden/>
              </w:rPr>
            </w:r>
            <w:r w:rsidR="00871854">
              <w:rPr>
                <w:noProof/>
                <w:webHidden/>
              </w:rPr>
              <w:fldChar w:fldCharType="separate"/>
            </w:r>
            <w:r w:rsidR="00D73B7D">
              <w:rPr>
                <w:noProof/>
                <w:webHidden/>
              </w:rPr>
              <w:t>4</w:t>
            </w:r>
            <w:r w:rsidR="00871854">
              <w:rPr>
                <w:noProof/>
                <w:webHidden/>
              </w:rPr>
              <w:fldChar w:fldCharType="end"/>
            </w:r>
          </w:hyperlink>
        </w:p>
        <w:p w14:paraId="5B261539" w14:textId="4834C378" w:rsidR="00871854" w:rsidRDefault="00F22C18">
          <w:pPr>
            <w:pStyle w:val="TOC2"/>
            <w:rPr>
              <w:rFonts w:asciiTheme="minorHAnsi" w:eastAsiaTheme="minorEastAsia" w:hAnsiTheme="minorHAnsi" w:cstheme="minorBidi"/>
              <w:noProof/>
              <w:sz w:val="22"/>
              <w:szCs w:val="22"/>
            </w:rPr>
          </w:pPr>
          <w:hyperlink w:anchor="_Toc497115763" w:history="1">
            <w:r w:rsidR="00871854" w:rsidRPr="00042993">
              <w:rPr>
                <w:rStyle w:val="Hyperlink"/>
                <w:noProof/>
              </w:rPr>
              <w:t>9.</w:t>
            </w:r>
            <w:r w:rsidR="00871854">
              <w:rPr>
                <w:rFonts w:asciiTheme="minorHAnsi" w:eastAsiaTheme="minorEastAsia" w:hAnsiTheme="minorHAnsi" w:cstheme="minorBidi"/>
                <w:noProof/>
                <w:sz w:val="22"/>
                <w:szCs w:val="22"/>
              </w:rPr>
              <w:tab/>
            </w:r>
            <w:r w:rsidR="00871854" w:rsidRPr="00042993">
              <w:rPr>
                <w:rStyle w:val="Hyperlink"/>
                <w:noProof/>
              </w:rPr>
              <w:t xml:space="preserve">Explanation of Any Payment or Gift to Respondents </w:t>
            </w:r>
            <w:r w:rsidR="00871854">
              <w:rPr>
                <w:noProof/>
                <w:webHidden/>
              </w:rPr>
              <w:tab/>
            </w:r>
            <w:r w:rsidR="00871854">
              <w:rPr>
                <w:noProof/>
                <w:webHidden/>
              </w:rPr>
              <w:fldChar w:fldCharType="begin"/>
            </w:r>
            <w:r w:rsidR="00871854">
              <w:rPr>
                <w:noProof/>
                <w:webHidden/>
              </w:rPr>
              <w:instrText xml:space="preserve"> PAGEREF _Toc497115763 \h </w:instrText>
            </w:r>
            <w:r w:rsidR="00871854">
              <w:rPr>
                <w:noProof/>
                <w:webHidden/>
              </w:rPr>
            </w:r>
            <w:r w:rsidR="00871854">
              <w:rPr>
                <w:noProof/>
                <w:webHidden/>
              </w:rPr>
              <w:fldChar w:fldCharType="separate"/>
            </w:r>
            <w:r w:rsidR="00D73B7D">
              <w:rPr>
                <w:noProof/>
                <w:webHidden/>
              </w:rPr>
              <w:t>4</w:t>
            </w:r>
            <w:r w:rsidR="00871854">
              <w:rPr>
                <w:noProof/>
                <w:webHidden/>
              </w:rPr>
              <w:fldChar w:fldCharType="end"/>
            </w:r>
          </w:hyperlink>
        </w:p>
        <w:p w14:paraId="5F091847" w14:textId="705875AD" w:rsidR="00871854" w:rsidRDefault="00F22C18">
          <w:pPr>
            <w:pStyle w:val="TOC2"/>
            <w:rPr>
              <w:rFonts w:asciiTheme="minorHAnsi" w:eastAsiaTheme="minorEastAsia" w:hAnsiTheme="minorHAnsi" w:cstheme="minorBidi"/>
              <w:noProof/>
              <w:sz w:val="22"/>
              <w:szCs w:val="22"/>
            </w:rPr>
          </w:pPr>
          <w:hyperlink w:anchor="_Toc497115764" w:history="1">
            <w:r w:rsidR="00871854" w:rsidRPr="00042993">
              <w:rPr>
                <w:rStyle w:val="Hyperlink"/>
                <w:noProof/>
              </w:rPr>
              <w:t>10.</w:t>
            </w:r>
            <w:r w:rsidR="00871854">
              <w:rPr>
                <w:rFonts w:asciiTheme="minorHAnsi" w:eastAsiaTheme="minorEastAsia" w:hAnsiTheme="minorHAnsi" w:cstheme="minorBidi"/>
                <w:noProof/>
                <w:sz w:val="22"/>
                <w:szCs w:val="22"/>
              </w:rPr>
              <w:tab/>
            </w:r>
            <w:r w:rsidR="00871854" w:rsidRPr="00042993">
              <w:rPr>
                <w:rStyle w:val="Hyperlink"/>
                <w:noProof/>
              </w:rPr>
              <w:t>Assurance of Confidentiality Provided to Respondents</w:t>
            </w:r>
            <w:r w:rsidR="00871854">
              <w:rPr>
                <w:noProof/>
                <w:webHidden/>
              </w:rPr>
              <w:tab/>
            </w:r>
            <w:r w:rsidR="00871854">
              <w:rPr>
                <w:noProof/>
                <w:webHidden/>
              </w:rPr>
              <w:fldChar w:fldCharType="begin"/>
            </w:r>
            <w:r w:rsidR="00871854">
              <w:rPr>
                <w:noProof/>
                <w:webHidden/>
              </w:rPr>
              <w:instrText xml:space="preserve"> PAGEREF _Toc497115764 \h </w:instrText>
            </w:r>
            <w:r w:rsidR="00871854">
              <w:rPr>
                <w:noProof/>
                <w:webHidden/>
              </w:rPr>
            </w:r>
            <w:r w:rsidR="00871854">
              <w:rPr>
                <w:noProof/>
                <w:webHidden/>
              </w:rPr>
              <w:fldChar w:fldCharType="separate"/>
            </w:r>
            <w:r w:rsidR="00D73B7D">
              <w:rPr>
                <w:noProof/>
                <w:webHidden/>
              </w:rPr>
              <w:t>4</w:t>
            </w:r>
            <w:r w:rsidR="00871854">
              <w:rPr>
                <w:noProof/>
                <w:webHidden/>
              </w:rPr>
              <w:fldChar w:fldCharType="end"/>
            </w:r>
          </w:hyperlink>
        </w:p>
        <w:p w14:paraId="7AF53D32" w14:textId="5E5377E1" w:rsidR="00871854" w:rsidRDefault="00F22C18">
          <w:pPr>
            <w:pStyle w:val="TOC2"/>
            <w:rPr>
              <w:rFonts w:asciiTheme="minorHAnsi" w:eastAsiaTheme="minorEastAsia" w:hAnsiTheme="minorHAnsi" w:cstheme="minorBidi"/>
              <w:noProof/>
              <w:sz w:val="22"/>
              <w:szCs w:val="22"/>
            </w:rPr>
          </w:pPr>
          <w:hyperlink w:anchor="_Toc497115765" w:history="1">
            <w:r w:rsidR="00871854" w:rsidRPr="00042993">
              <w:rPr>
                <w:rStyle w:val="Hyperlink"/>
                <w:noProof/>
              </w:rPr>
              <w:t>11.</w:t>
            </w:r>
            <w:r w:rsidR="00871854">
              <w:rPr>
                <w:rFonts w:asciiTheme="minorHAnsi" w:eastAsiaTheme="minorEastAsia" w:hAnsiTheme="minorHAnsi" w:cstheme="minorBidi"/>
                <w:noProof/>
                <w:sz w:val="22"/>
                <w:szCs w:val="22"/>
              </w:rPr>
              <w:tab/>
            </w:r>
            <w:r w:rsidR="00871854" w:rsidRPr="00042993">
              <w:rPr>
                <w:rStyle w:val="Hyperlink"/>
                <w:noProof/>
              </w:rPr>
              <w:t>Justification for Sensitive Questions</w:t>
            </w:r>
            <w:r w:rsidR="00871854">
              <w:rPr>
                <w:noProof/>
                <w:webHidden/>
              </w:rPr>
              <w:tab/>
            </w:r>
            <w:r w:rsidR="00871854">
              <w:rPr>
                <w:noProof/>
                <w:webHidden/>
              </w:rPr>
              <w:fldChar w:fldCharType="begin"/>
            </w:r>
            <w:r w:rsidR="00871854">
              <w:rPr>
                <w:noProof/>
                <w:webHidden/>
              </w:rPr>
              <w:instrText xml:space="preserve"> PAGEREF _Toc497115765 \h </w:instrText>
            </w:r>
            <w:r w:rsidR="00871854">
              <w:rPr>
                <w:noProof/>
                <w:webHidden/>
              </w:rPr>
            </w:r>
            <w:r w:rsidR="00871854">
              <w:rPr>
                <w:noProof/>
                <w:webHidden/>
              </w:rPr>
              <w:fldChar w:fldCharType="separate"/>
            </w:r>
            <w:r w:rsidR="00D73B7D">
              <w:rPr>
                <w:noProof/>
                <w:webHidden/>
              </w:rPr>
              <w:t>5</w:t>
            </w:r>
            <w:r w:rsidR="00871854">
              <w:rPr>
                <w:noProof/>
                <w:webHidden/>
              </w:rPr>
              <w:fldChar w:fldCharType="end"/>
            </w:r>
          </w:hyperlink>
        </w:p>
        <w:p w14:paraId="2D39AC77" w14:textId="63B6665F" w:rsidR="00871854" w:rsidRDefault="00F22C18">
          <w:pPr>
            <w:pStyle w:val="TOC2"/>
            <w:rPr>
              <w:rFonts w:asciiTheme="minorHAnsi" w:eastAsiaTheme="minorEastAsia" w:hAnsiTheme="minorHAnsi" w:cstheme="minorBidi"/>
              <w:noProof/>
              <w:sz w:val="22"/>
              <w:szCs w:val="22"/>
            </w:rPr>
          </w:pPr>
          <w:hyperlink w:anchor="_Toc497115766" w:history="1">
            <w:r w:rsidR="00871854" w:rsidRPr="00042993">
              <w:rPr>
                <w:rStyle w:val="Hyperlink"/>
                <w:noProof/>
              </w:rPr>
              <w:t>12.</w:t>
            </w:r>
            <w:r w:rsidR="00871854">
              <w:rPr>
                <w:rFonts w:asciiTheme="minorHAnsi" w:eastAsiaTheme="minorEastAsia" w:hAnsiTheme="minorHAnsi" w:cstheme="minorBidi"/>
                <w:noProof/>
                <w:sz w:val="22"/>
                <w:szCs w:val="22"/>
              </w:rPr>
              <w:tab/>
            </w:r>
            <w:r w:rsidR="00871854" w:rsidRPr="00042993">
              <w:rPr>
                <w:rStyle w:val="Hyperlink"/>
                <w:noProof/>
              </w:rPr>
              <w:t xml:space="preserve">Estimates of Annualized Burden Hours and Costs  </w:t>
            </w:r>
            <w:r w:rsidR="00871854">
              <w:rPr>
                <w:noProof/>
                <w:webHidden/>
              </w:rPr>
              <w:tab/>
            </w:r>
            <w:r w:rsidR="00871854">
              <w:rPr>
                <w:noProof/>
                <w:webHidden/>
              </w:rPr>
              <w:fldChar w:fldCharType="begin"/>
            </w:r>
            <w:r w:rsidR="00871854">
              <w:rPr>
                <w:noProof/>
                <w:webHidden/>
              </w:rPr>
              <w:instrText xml:space="preserve"> PAGEREF _Toc497115766 \h </w:instrText>
            </w:r>
            <w:r w:rsidR="00871854">
              <w:rPr>
                <w:noProof/>
                <w:webHidden/>
              </w:rPr>
            </w:r>
            <w:r w:rsidR="00871854">
              <w:rPr>
                <w:noProof/>
                <w:webHidden/>
              </w:rPr>
              <w:fldChar w:fldCharType="separate"/>
            </w:r>
            <w:r w:rsidR="00D73B7D">
              <w:rPr>
                <w:noProof/>
                <w:webHidden/>
              </w:rPr>
              <w:t>5</w:t>
            </w:r>
            <w:r w:rsidR="00871854">
              <w:rPr>
                <w:noProof/>
                <w:webHidden/>
              </w:rPr>
              <w:fldChar w:fldCharType="end"/>
            </w:r>
          </w:hyperlink>
        </w:p>
        <w:p w14:paraId="189A0A1B" w14:textId="75B17438" w:rsidR="00871854" w:rsidRDefault="00F22C18">
          <w:pPr>
            <w:pStyle w:val="TOC2"/>
            <w:rPr>
              <w:rFonts w:asciiTheme="minorHAnsi" w:eastAsiaTheme="minorEastAsia" w:hAnsiTheme="minorHAnsi" w:cstheme="minorBidi"/>
              <w:noProof/>
              <w:sz w:val="22"/>
              <w:szCs w:val="22"/>
            </w:rPr>
          </w:pPr>
          <w:hyperlink w:anchor="_Toc497115767" w:history="1">
            <w:r w:rsidR="00871854" w:rsidRPr="00042993">
              <w:rPr>
                <w:rStyle w:val="Hyperlink"/>
                <w:noProof/>
              </w:rPr>
              <w:t>13.</w:t>
            </w:r>
            <w:r w:rsidR="00871854">
              <w:rPr>
                <w:rFonts w:asciiTheme="minorHAnsi" w:eastAsiaTheme="minorEastAsia" w:hAnsiTheme="minorHAnsi" w:cstheme="minorBidi"/>
                <w:noProof/>
                <w:sz w:val="22"/>
                <w:szCs w:val="22"/>
              </w:rPr>
              <w:tab/>
            </w:r>
            <w:r w:rsidR="00871854" w:rsidRPr="00042993">
              <w:rPr>
                <w:rStyle w:val="Hyperlink"/>
                <w:noProof/>
              </w:rPr>
              <w:t>Estimates of Other Total Annual Cost Burden to Respondents and Record Keepers</w:t>
            </w:r>
            <w:r w:rsidR="00871854">
              <w:rPr>
                <w:noProof/>
                <w:webHidden/>
              </w:rPr>
              <w:tab/>
            </w:r>
            <w:r w:rsidR="00871854">
              <w:rPr>
                <w:noProof/>
                <w:webHidden/>
              </w:rPr>
              <w:fldChar w:fldCharType="begin"/>
            </w:r>
            <w:r w:rsidR="00871854">
              <w:rPr>
                <w:noProof/>
                <w:webHidden/>
              </w:rPr>
              <w:instrText xml:space="preserve"> PAGEREF _Toc497115767 \h </w:instrText>
            </w:r>
            <w:r w:rsidR="00871854">
              <w:rPr>
                <w:noProof/>
                <w:webHidden/>
              </w:rPr>
            </w:r>
            <w:r w:rsidR="00871854">
              <w:rPr>
                <w:noProof/>
                <w:webHidden/>
              </w:rPr>
              <w:fldChar w:fldCharType="separate"/>
            </w:r>
            <w:r w:rsidR="00D73B7D">
              <w:rPr>
                <w:noProof/>
                <w:webHidden/>
              </w:rPr>
              <w:t>6</w:t>
            </w:r>
            <w:r w:rsidR="00871854">
              <w:rPr>
                <w:noProof/>
                <w:webHidden/>
              </w:rPr>
              <w:fldChar w:fldCharType="end"/>
            </w:r>
          </w:hyperlink>
        </w:p>
        <w:p w14:paraId="68825C1D" w14:textId="35B8E5DC" w:rsidR="00871854" w:rsidRDefault="00F22C18">
          <w:pPr>
            <w:pStyle w:val="TOC2"/>
            <w:rPr>
              <w:rFonts w:asciiTheme="minorHAnsi" w:eastAsiaTheme="minorEastAsia" w:hAnsiTheme="minorHAnsi" w:cstheme="minorBidi"/>
              <w:noProof/>
              <w:sz w:val="22"/>
              <w:szCs w:val="22"/>
            </w:rPr>
          </w:pPr>
          <w:hyperlink w:anchor="_Toc497115768" w:history="1">
            <w:r w:rsidR="00871854" w:rsidRPr="00042993">
              <w:rPr>
                <w:rStyle w:val="Hyperlink"/>
                <w:noProof/>
              </w:rPr>
              <w:t>14.</w:t>
            </w:r>
            <w:r w:rsidR="00871854">
              <w:rPr>
                <w:rFonts w:asciiTheme="minorHAnsi" w:eastAsiaTheme="minorEastAsia" w:hAnsiTheme="minorHAnsi" w:cstheme="minorBidi"/>
                <w:noProof/>
                <w:sz w:val="22"/>
                <w:szCs w:val="22"/>
              </w:rPr>
              <w:tab/>
            </w:r>
            <w:r w:rsidR="00871854" w:rsidRPr="00042993">
              <w:rPr>
                <w:rStyle w:val="Hyperlink"/>
                <w:noProof/>
              </w:rPr>
              <w:t>Annualized Cost to the Federal Government</w:t>
            </w:r>
            <w:r w:rsidR="00871854">
              <w:rPr>
                <w:noProof/>
                <w:webHidden/>
              </w:rPr>
              <w:tab/>
            </w:r>
            <w:r w:rsidR="00871854">
              <w:rPr>
                <w:noProof/>
                <w:webHidden/>
              </w:rPr>
              <w:fldChar w:fldCharType="begin"/>
            </w:r>
            <w:r w:rsidR="00871854">
              <w:rPr>
                <w:noProof/>
                <w:webHidden/>
              </w:rPr>
              <w:instrText xml:space="preserve"> PAGEREF _Toc497115768 \h </w:instrText>
            </w:r>
            <w:r w:rsidR="00871854">
              <w:rPr>
                <w:noProof/>
                <w:webHidden/>
              </w:rPr>
            </w:r>
            <w:r w:rsidR="00871854">
              <w:rPr>
                <w:noProof/>
                <w:webHidden/>
              </w:rPr>
              <w:fldChar w:fldCharType="separate"/>
            </w:r>
            <w:r w:rsidR="00D73B7D">
              <w:rPr>
                <w:noProof/>
                <w:webHidden/>
              </w:rPr>
              <w:t>6</w:t>
            </w:r>
            <w:r w:rsidR="00871854">
              <w:rPr>
                <w:noProof/>
                <w:webHidden/>
              </w:rPr>
              <w:fldChar w:fldCharType="end"/>
            </w:r>
          </w:hyperlink>
        </w:p>
        <w:p w14:paraId="6C14A81D" w14:textId="268107A8" w:rsidR="00871854" w:rsidRDefault="00F22C18">
          <w:pPr>
            <w:pStyle w:val="TOC2"/>
            <w:rPr>
              <w:rFonts w:asciiTheme="minorHAnsi" w:eastAsiaTheme="minorEastAsia" w:hAnsiTheme="minorHAnsi" w:cstheme="minorBidi"/>
              <w:noProof/>
              <w:sz w:val="22"/>
              <w:szCs w:val="22"/>
            </w:rPr>
          </w:pPr>
          <w:hyperlink w:anchor="_Toc497115769" w:history="1">
            <w:r w:rsidR="00871854" w:rsidRPr="00042993">
              <w:rPr>
                <w:rStyle w:val="Hyperlink"/>
                <w:noProof/>
              </w:rPr>
              <w:t>15.</w:t>
            </w:r>
            <w:r w:rsidR="00871854">
              <w:rPr>
                <w:rFonts w:asciiTheme="minorHAnsi" w:eastAsiaTheme="minorEastAsia" w:hAnsiTheme="minorHAnsi" w:cstheme="minorBidi"/>
                <w:noProof/>
                <w:sz w:val="22"/>
                <w:szCs w:val="22"/>
              </w:rPr>
              <w:tab/>
            </w:r>
            <w:r w:rsidR="00871854" w:rsidRPr="00042993">
              <w:rPr>
                <w:rStyle w:val="Hyperlink"/>
                <w:noProof/>
              </w:rPr>
              <w:t>Explanation for Program Changes or Adjustments</w:t>
            </w:r>
            <w:r w:rsidR="00871854">
              <w:rPr>
                <w:noProof/>
                <w:webHidden/>
              </w:rPr>
              <w:tab/>
            </w:r>
            <w:r w:rsidR="00871854">
              <w:rPr>
                <w:noProof/>
                <w:webHidden/>
              </w:rPr>
              <w:fldChar w:fldCharType="begin"/>
            </w:r>
            <w:r w:rsidR="00871854">
              <w:rPr>
                <w:noProof/>
                <w:webHidden/>
              </w:rPr>
              <w:instrText xml:space="preserve"> PAGEREF _Toc497115769 \h </w:instrText>
            </w:r>
            <w:r w:rsidR="00871854">
              <w:rPr>
                <w:noProof/>
                <w:webHidden/>
              </w:rPr>
            </w:r>
            <w:r w:rsidR="00871854">
              <w:rPr>
                <w:noProof/>
                <w:webHidden/>
              </w:rPr>
              <w:fldChar w:fldCharType="separate"/>
            </w:r>
            <w:r w:rsidR="00D73B7D">
              <w:rPr>
                <w:noProof/>
                <w:webHidden/>
              </w:rPr>
              <w:t>7</w:t>
            </w:r>
            <w:r w:rsidR="00871854">
              <w:rPr>
                <w:noProof/>
                <w:webHidden/>
              </w:rPr>
              <w:fldChar w:fldCharType="end"/>
            </w:r>
          </w:hyperlink>
        </w:p>
        <w:p w14:paraId="6F8249BB" w14:textId="221AAF1B" w:rsidR="00871854" w:rsidRDefault="00F22C18">
          <w:pPr>
            <w:pStyle w:val="TOC2"/>
            <w:rPr>
              <w:rFonts w:asciiTheme="minorHAnsi" w:eastAsiaTheme="minorEastAsia" w:hAnsiTheme="minorHAnsi" w:cstheme="minorBidi"/>
              <w:noProof/>
              <w:sz w:val="22"/>
              <w:szCs w:val="22"/>
            </w:rPr>
          </w:pPr>
          <w:hyperlink w:anchor="_Toc497115770" w:history="1">
            <w:r w:rsidR="00871854" w:rsidRPr="00042993">
              <w:rPr>
                <w:rStyle w:val="Hyperlink"/>
                <w:noProof/>
              </w:rPr>
              <w:t>16.</w:t>
            </w:r>
            <w:r w:rsidR="00871854">
              <w:rPr>
                <w:rFonts w:asciiTheme="minorHAnsi" w:eastAsiaTheme="minorEastAsia" w:hAnsiTheme="minorHAnsi" w:cstheme="minorBidi"/>
                <w:noProof/>
                <w:sz w:val="22"/>
                <w:szCs w:val="22"/>
              </w:rPr>
              <w:tab/>
            </w:r>
            <w:r w:rsidR="00871854" w:rsidRPr="00042993">
              <w:rPr>
                <w:rStyle w:val="Hyperlink"/>
                <w:noProof/>
              </w:rPr>
              <w:t>Plans for Tabulation and Publication and Project Time Schedule</w:t>
            </w:r>
            <w:r w:rsidR="00871854">
              <w:rPr>
                <w:noProof/>
                <w:webHidden/>
              </w:rPr>
              <w:tab/>
            </w:r>
            <w:r w:rsidR="00871854">
              <w:rPr>
                <w:noProof/>
                <w:webHidden/>
              </w:rPr>
              <w:fldChar w:fldCharType="begin"/>
            </w:r>
            <w:r w:rsidR="00871854">
              <w:rPr>
                <w:noProof/>
                <w:webHidden/>
              </w:rPr>
              <w:instrText xml:space="preserve"> PAGEREF _Toc497115770 \h </w:instrText>
            </w:r>
            <w:r w:rsidR="00871854">
              <w:rPr>
                <w:noProof/>
                <w:webHidden/>
              </w:rPr>
            </w:r>
            <w:r w:rsidR="00871854">
              <w:rPr>
                <w:noProof/>
                <w:webHidden/>
              </w:rPr>
              <w:fldChar w:fldCharType="separate"/>
            </w:r>
            <w:r w:rsidR="00D73B7D">
              <w:rPr>
                <w:noProof/>
                <w:webHidden/>
              </w:rPr>
              <w:t>7</w:t>
            </w:r>
            <w:r w:rsidR="00871854">
              <w:rPr>
                <w:noProof/>
                <w:webHidden/>
              </w:rPr>
              <w:fldChar w:fldCharType="end"/>
            </w:r>
          </w:hyperlink>
        </w:p>
        <w:p w14:paraId="74538C08" w14:textId="10B94AE4" w:rsidR="00871854" w:rsidRDefault="00F22C18">
          <w:pPr>
            <w:pStyle w:val="TOC2"/>
            <w:rPr>
              <w:rFonts w:asciiTheme="minorHAnsi" w:eastAsiaTheme="minorEastAsia" w:hAnsiTheme="minorHAnsi" w:cstheme="minorBidi"/>
              <w:noProof/>
              <w:sz w:val="22"/>
              <w:szCs w:val="22"/>
            </w:rPr>
          </w:pPr>
          <w:hyperlink w:anchor="_Toc497115771" w:history="1">
            <w:r w:rsidR="00871854" w:rsidRPr="00042993">
              <w:rPr>
                <w:rStyle w:val="Hyperlink"/>
                <w:noProof/>
              </w:rPr>
              <w:t>17.</w:t>
            </w:r>
            <w:r w:rsidR="00871854">
              <w:rPr>
                <w:rFonts w:asciiTheme="minorHAnsi" w:eastAsiaTheme="minorEastAsia" w:hAnsiTheme="minorHAnsi" w:cstheme="minorBidi"/>
                <w:noProof/>
                <w:sz w:val="22"/>
                <w:szCs w:val="22"/>
              </w:rPr>
              <w:tab/>
            </w:r>
            <w:r w:rsidR="00871854" w:rsidRPr="00042993">
              <w:rPr>
                <w:rStyle w:val="Hyperlink"/>
                <w:noProof/>
              </w:rPr>
              <w:t xml:space="preserve">Reason(s) Display OMB Expiration Date Is Inappropriate  </w:t>
            </w:r>
            <w:r w:rsidR="00871854">
              <w:rPr>
                <w:noProof/>
                <w:webHidden/>
              </w:rPr>
              <w:tab/>
            </w:r>
            <w:r w:rsidR="00871854">
              <w:rPr>
                <w:noProof/>
                <w:webHidden/>
              </w:rPr>
              <w:fldChar w:fldCharType="begin"/>
            </w:r>
            <w:r w:rsidR="00871854">
              <w:rPr>
                <w:noProof/>
                <w:webHidden/>
              </w:rPr>
              <w:instrText xml:space="preserve"> PAGEREF _Toc497115771 \h </w:instrText>
            </w:r>
            <w:r w:rsidR="00871854">
              <w:rPr>
                <w:noProof/>
                <w:webHidden/>
              </w:rPr>
            </w:r>
            <w:r w:rsidR="00871854">
              <w:rPr>
                <w:noProof/>
                <w:webHidden/>
              </w:rPr>
              <w:fldChar w:fldCharType="separate"/>
            </w:r>
            <w:r w:rsidR="00D73B7D">
              <w:rPr>
                <w:noProof/>
                <w:webHidden/>
              </w:rPr>
              <w:t>8</w:t>
            </w:r>
            <w:r w:rsidR="00871854">
              <w:rPr>
                <w:noProof/>
                <w:webHidden/>
              </w:rPr>
              <w:fldChar w:fldCharType="end"/>
            </w:r>
          </w:hyperlink>
        </w:p>
        <w:p w14:paraId="44300DE9" w14:textId="7C409FED" w:rsidR="00871854" w:rsidRDefault="00F22C18">
          <w:pPr>
            <w:pStyle w:val="TOC2"/>
            <w:rPr>
              <w:rFonts w:asciiTheme="minorHAnsi" w:eastAsiaTheme="minorEastAsia" w:hAnsiTheme="minorHAnsi" w:cstheme="minorBidi"/>
              <w:noProof/>
              <w:sz w:val="22"/>
              <w:szCs w:val="22"/>
            </w:rPr>
          </w:pPr>
          <w:hyperlink w:anchor="_Toc497115772" w:history="1">
            <w:r w:rsidR="00871854" w:rsidRPr="00042993">
              <w:rPr>
                <w:rStyle w:val="Hyperlink"/>
                <w:noProof/>
              </w:rPr>
              <w:t>18.</w:t>
            </w:r>
            <w:r w:rsidR="00871854">
              <w:rPr>
                <w:rFonts w:asciiTheme="minorHAnsi" w:eastAsiaTheme="minorEastAsia" w:hAnsiTheme="minorHAnsi" w:cstheme="minorBidi"/>
                <w:noProof/>
                <w:sz w:val="22"/>
                <w:szCs w:val="22"/>
              </w:rPr>
              <w:tab/>
            </w:r>
            <w:r w:rsidR="00871854" w:rsidRPr="00042993">
              <w:rPr>
                <w:rStyle w:val="Hyperlink"/>
                <w:noProof/>
              </w:rPr>
              <w:t>Exception to Certification for Paperwork Reduction Act Submissions</w:t>
            </w:r>
            <w:r w:rsidR="00871854">
              <w:rPr>
                <w:noProof/>
                <w:webHidden/>
              </w:rPr>
              <w:tab/>
            </w:r>
            <w:r w:rsidR="00871854">
              <w:rPr>
                <w:noProof/>
                <w:webHidden/>
              </w:rPr>
              <w:fldChar w:fldCharType="begin"/>
            </w:r>
            <w:r w:rsidR="00871854">
              <w:rPr>
                <w:noProof/>
                <w:webHidden/>
              </w:rPr>
              <w:instrText xml:space="preserve"> PAGEREF _Toc497115772 \h </w:instrText>
            </w:r>
            <w:r w:rsidR="00871854">
              <w:rPr>
                <w:noProof/>
                <w:webHidden/>
              </w:rPr>
            </w:r>
            <w:r w:rsidR="00871854">
              <w:rPr>
                <w:noProof/>
                <w:webHidden/>
              </w:rPr>
              <w:fldChar w:fldCharType="separate"/>
            </w:r>
            <w:r w:rsidR="00D73B7D">
              <w:rPr>
                <w:noProof/>
                <w:webHidden/>
              </w:rPr>
              <w:t>8</w:t>
            </w:r>
            <w:r w:rsidR="00871854">
              <w:rPr>
                <w:noProof/>
                <w:webHidden/>
              </w:rPr>
              <w:fldChar w:fldCharType="end"/>
            </w:r>
          </w:hyperlink>
        </w:p>
        <w:p w14:paraId="029278FE" w14:textId="1A289AFE" w:rsidR="00871854" w:rsidRDefault="00F22C18">
          <w:pPr>
            <w:pStyle w:val="TOC1"/>
            <w:rPr>
              <w:rFonts w:asciiTheme="minorHAnsi" w:eastAsiaTheme="minorEastAsia" w:hAnsiTheme="minorHAnsi" w:cstheme="minorBidi"/>
              <w:noProof/>
              <w:sz w:val="22"/>
              <w:szCs w:val="22"/>
            </w:rPr>
          </w:pPr>
          <w:hyperlink w:anchor="_Toc497115773" w:history="1">
            <w:r w:rsidR="00871854" w:rsidRPr="00042993">
              <w:rPr>
                <w:rStyle w:val="Hyperlink"/>
                <w:noProof/>
              </w:rPr>
              <w:t>B.</w:t>
            </w:r>
            <w:r w:rsidR="00871854">
              <w:rPr>
                <w:rFonts w:asciiTheme="minorHAnsi" w:eastAsiaTheme="minorEastAsia" w:hAnsiTheme="minorHAnsi" w:cstheme="minorBidi"/>
                <w:noProof/>
                <w:sz w:val="22"/>
                <w:szCs w:val="22"/>
              </w:rPr>
              <w:tab/>
            </w:r>
            <w:r w:rsidR="00871854" w:rsidRPr="00042993">
              <w:rPr>
                <w:rStyle w:val="Hyperlink"/>
                <w:noProof/>
              </w:rPr>
              <w:t>Statistical Methods (Used for Collection of Information Employing Statistical Methods)</w:t>
            </w:r>
            <w:r w:rsidR="00871854">
              <w:rPr>
                <w:noProof/>
                <w:webHidden/>
              </w:rPr>
              <w:tab/>
            </w:r>
            <w:r w:rsidR="00871854">
              <w:rPr>
                <w:noProof/>
                <w:webHidden/>
              </w:rPr>
              <w:fldChar w:fldCharType="begin"/>
            </w:r>
            <w:r w:rsidR="00871854">
              <w:rPr>
                <w:noProof/>
                <w:webHidden/>
              </w:rPr>
              <w:instrText xml:space="preserve"> PAGEREF _Toc497115773 \h </w:instrText>
            </w:r>
            <w:r w:rsidR="00871854">
              <w:rPr>
                <w:noProof/>
                <w:webHidden/>
              </w:rPr>
            </w:r>
            <w:r w:rsidR="00871854">
              <w:rPr>
                <w:noProof/>
                <w:webHidden/>
              </w:rPr>
              <w:fldChar w:fldCharType="separate"/>
            </w:r>
            <w:r w:rsidR="00D73B7D">
              <w:rPr>
                <w:noProof/>
                <w:webHidden/>
              </w:rPr>
              <w:t>8</w:t>
            </w:r>
            <w:r w:rsidR="00871854">
              <w:rPr>
                <w:noProof/>
                <w:webHidden/>
              </w:rPr>
              <w:fldChar w:fldCharType="end"/>
            </w:r>
          </w:hyperlink>
        </w:p>
        <w:p w14:paraId="4838577A" w14:textId="3F7CDE03" w:rsidR="00871854" w:rsidRDefault="00F22C18">
          <w:pPr>
            <w:pStyle w:val="TOC2"/>
            <w:rPr>
              <w:rFonts w:asciiTheme="minorHAnsi" w:eastAsiaTheme="minorEastAsia" w:hAnsiTheme="minorHAnsi" w:cstheme="minorBidi"/>
              <w:noProof/>
              <w:sz w:val="22"/>
              <w:szCs w:val="22"/>
            </w:rPr>
          </w:pPr>
          <w:hyperlink w:anchor="_Toc497115774" w:history="1">
            <w:r w:rsidR="00871854" w:rsidRPr="00042993">
              <w:rPr>
                <w:rStyle w:val="Hyperlink"/>
                <w:noProof/>
              </w:rPr>
              <w:t>1.</w:t>
            </w:r>
            <w:r w:rsidR="00871854">
              <w:rPr>
                <w:rFonts w:asciiTheme="minorHAnsi" w:eastAsiaTheme="minorEastAsia" w:hAnsiTheme="minorHAnsi" w:cstheme="minorBidi"/>
                <w:noProof/>
                <w:sz w:val="22"/>
                <w:szCs w:val="22"/>
              </w:rPr>
              <w:tab/>
            </w:r>
            <w:r w:rsidR="00871854" w:rsidRPr="00042993">
              <w:rPr>
                <w:rStyle w:val="Hyperlink"/>
                <w:noProof/>
              </w:rPr>
              <w:t>Respondent Universe and Sampling Method</w:t>
            </w:r>
            <w:r w:rsidR="00871854">
              <w:rPr>
                <w:noProof/>
                <w:webHidden/>
              </w:rPr>
              <w:tab/>
            </w:r>
            <w:r w:rsidR="00871854">
              <w:rPr>
                <w:noProof/>
                <w:webHidden/>
              </w:rPr>
              <w:fldChar w:fldCharType="begin"/>
            </w:r>
            <w:r w:rsidR="00871854">
              <w:rPr>
                <w:noProof/>
                <w:webHidden/>
              </w:rPr>
              <w:instrText xml:space="preserve"> PAGEREF _Toc497115774 \h </w:instrText>
            </w:r>
            <w:r w:rsidR="00871854">
              <w:rPr>
                <w:noProof/>
                <w:webHidden/>
              </w:rPr>
            </w:r>
            <w:r w:rsidR="00871854">
              <w:rPr>
                <w:noProof/>
                <w:webHidden/>
              </w:rPr>
              <w:fldChar w:fldCharType="separate"/>
            </w:r>
            <w:r w:rsidR="00D73B7D">
              <w:rPr>
                <w:noProof/>
                <w:webHidden/>
              </w:rPr>
              <w:t>8</w:t>
            </w:r>
            <w:r w:rsidR="00871854">
              <w:rPr>
                <w:noProof/>
                <w:webHidden/>
              </w:rPr>
              <w:fldChar w:fldCharType="end"/>
            </w:r>
          </w:hyperlink>
        </w:p>
        <w:p w14:paraId="3480CDCC" w14:textId="0CFE8A24" w:rsidR="00871854" w:rsidRDefault="00F22C18">
          <w:pPr>
            <w:pStyle w:val="TOC2"/>
            <w:rPr>
              <w:rFonts w:asciiTheme="minorHAnsi" w:eastAsiaTheme="minorEastAsia" w:hAnsiTheme="minorHAnsi" w:cstheme="minorBidi"/>
              <w:noProof/>
              <w:sz w:val="22"/>
              <w:szCs w:val="22"/>
            </w:rPr>
          </w:pPr>
          <w:hyperlink w:anchor="_Toc497115775" w:history="1">
            <w:r w:rsidR="00871854" w:rsidRPr="00042993">
              <w:rPr>
                <w:rStyle w:val="Hyperlink"/>
                <w:noProof/>
              </w:rPr>
              <w:t>2.</w:t>
            </w:r>
            <w:r w:rsidR="00871854">
              <w:rPr>
                <w:rFonts w:asciiTheme="minorHAnsi" w:eastAsiaTheme="minorEastAsia" w:hAnsiTheme="minorHAnsi" w:cstheme="minorBidi"/>
                <w:noProof/>
                <w:sz w:val="22"/>
                <w:szCs w:val="22"/>
              </w:rPr>
              <w:tab/>
            </w:r>
            <w:r w:rsidR="00871854" w:rsidRPr="00042993">
              <w:rPr>
                <w:rStyle w:val="Hyperlink"/>
                <w:noProof/>
              </w:rPr>
              <w:t>Procedures for Collection of Information</w:t>
            </w:r>
            <w:r w:rsidR="00871854">
              <w:rPr>
                <w:noProof/>
                <w:webHidden/>
              </w:rPr>
              <w:tab/>
            </w:r>
            <w:r w:rsidR="00871854">
              <w:rPr>
                <w:noProof/>
                <w:webHidden/>
              </w:rPr>
              <w:fldChar w:fldCharType="begin"/>
            </w:r>
            <w:r w:rsidR="00871854">
              <w:rPr>
                <w:noProof/>
                <w:webHidden/>
              </w:rPr>
              <w:instrText xml:space="preserve"> PAGEREF _Toc497115775 \h </w:instrText>
            </w:r>
            <w:r w:rsidR="00871854">
              <w:rPr>
                <w:noProof/>
                <w:webHidden/>
              </w:rPr>
            </w:r>
            <w:r w:rsidR="00871854">
              <w:rPr>
                <w:noProof/>
                <w:webHidden/>
              </w:rPr>
              <w:fldChar w:fldCharType="separate"/>
            </w:r>
            <w:r w:rsidR="00D73B7D">
              <w:rPr>
                <w:noProof/>
                <w:webHidden/>
              </w:rPr>
              <w:t>10</w:t>
            </w:r>
            <w:r w:rsidR="00871854">
              <w:rPr>
                <w:noProof/>
                <w:webHidden/>
              </w:rPr>
              <w:fldChar w:fldCharType="end"/>
            </w:r>
          </w:hyperlink>
        </w:p>
        <w:p w14:paraId="4C63D9DC" w14:textId="5B391EB7" w:rsidR="00871854" w:rsidRDefault="00F22C18">
          <w:pPr>
            <w:pStyle w:val="TOC2"/>
            <w:rPr>
              <w:rFonts w:asciiTheme="minorHAnsi" w:eastAsiaTheme="minorEastAsia" w:hAnsiTheme="minorHAnsi" w:cstheme="minorBidi"/>
              <w:noProof/>
              <w:sz w:val="22"/>
              <w:szCs w:val="22"/>
            </w:rPr>
          </w:pPr>
          <w:hyperlink w:anchor="_Toc497115776" w:history="1">
            <w:r w:rsidR="00871854" w:rsidRPr="00042993">
              <w:rPr>
                <w:rStyle w:val="Hyperlink"/>
                <w:noProof/>
              </w:rPr>
              <w:t>3.</w:t>
            </w:r>
            <w:r w:rsidR="00871854">
              <w:rPr>
                <w:rFonts w:asciiTheme="minorHAnsi" w:eastAsiaTheme="minorEastAsia" w:hAnsiTheme="minorHAnsi" w:cstheme="minorBidi"/>
                <w:noProof/>
                <w:sz w:val="22"/>
                <w:szCs w:val="22"/>
              </w:rPr>
              <w:tab/>
            </w:r>
            <w:r w:rsidR="00871854" w:rsidRPr="00042993">
              <w:rPr>
                <w:rStyle w:val="Hyperlink"/>
                <w:noProof/>
              </w:rPr>
              <w:t>Methods To Maximize Response Rates and Deal With Nonresponse</w:t>
            </w:r>
            <w:r w:rsidR="00871854">
              <w:rPr>
                <w:noProof/>
                <w:webHidden/>
              </w:rPr>
              <w:tab/>
            </w:r>
            <w:r w:rsidR="00871854">
              <w:rPr>
                <w:noProof/>
                <w:webHidden/>
              </w:rPr>
              <w:fldChar w:fldCharType="begin"/>
            </w:r>
            <w:r w:rsidR="00871854">
              <w:rPr>
                <w:noProof/>
                <w:webHidden/>
              </w:rPr>
              <w:instrText xml:space="preserve"> PAGEREF _Toc497115776 \h </w:instrText>
            </w:r>
            <w:r w:rsidR="00871854">
              <w:rPr>
                <w:noProof/>
                <w:webHidden/>
              </w:rPr>
            </w:r>
            <w:r w:rsidR="00871854">
              <w:rPr>
                <w:noProof/>
                <w:webHidden/>
              </w:rPr>
              <w:fldChar w:fldCharType="separate"/>
            </w:r>
            <w:r w:rsidR="00D73B7D">
              <w:rPr>
                <w:noProof/>
                <w:webHidden/>
              </w:rPr>
              <w:t>11</w:t>
            </w:r>
            <w:r w:rsidR="00871854">
              <w:rPr>
                <w:noProof/>
                <w:webHidden/>
              </w:rPr>
              <w:fldChar w:fldCharType="end"/>
            </w:r>
          </w:hyperlink>
        </w:p>
        <w:p w14:paraId="2DA9A317" w14:textId="6708A446" w:rsidR="00871854" w:rsidRDefault="00F22C18">
          <w:pPr>
            <w:pStyle w:val="TOC2"/>
            <w:rPr>
              <w:rFonts w:asciiTheme="minorHAnsi" w:eastAsiaTheme="minorEastAsia" w:hAnsiTheme="minorHAnsi" w:cstheme="minorBidi"/>
              <w:noProof/>
              <w:sz w:val="22"/>
              <w:szCs w:val="22"/>
            </w:rPr>
          </w:pPr>
          <w:hyperlink w:anchor="_Toc497115777" w:history="1">
            <w:r w:rsidR="00871854" w:rsidRPr="00042993">
              <w:rPr>
                <w:rStyle w:val="Hyperlink"/>
                <w:noProof/>
              </w:rPr>
              <w:t>4.</w:t>
            </w:r>
            <w:r w:rsidR="00871854">
              <w:rPr>
                <w:rFonts w:asciiTheme="minorHAnsi" w:eastAsiaTheme="minorEastAsia" w:hAnsiTheme="minorHAnsi" w:cstheme="minorBidi"/>
                <w:noProof/>
                <w:sz w:val="22"/>
                <w:szCs w:val="22"/>
              </w:rPr>
              <w:tab/>
            </w:r>
            <w:r w:rsidR="00871854" w:rsidRPr="00042993">
              <w:rPr>
                <w:rStyle w:val="Hyperlink"/>
                <w:noProof/>
              </w:rPr>
              <w:t>Tests of Procedures or Methods To Be Undertaken</w:t>
            </w:r>
            <w:r w:rsidR="00871854">
              <w:rPr>
                <w:noProof/>
                <w:webHidden/>
              </w:rPr>
              <w:tab/>
            </w:r>
            <w:r w:rsidR="00871854">
              <w:rPr>
                <w:noProof/>
                <w:webHidden/>
              </w:rPr>
              <w:fldChar w:fldCharType="begin"/>
            </w:r>
            <w:r w:rsidR="00871854">
              <w:rPr>
                <w:noProof/>
                <w:webHidden/>
              </w:rPr>
              <w:instrText xml:space="preserve"> PAGEREF _Toc497115777 \h </w:instrText>
            </w:r>
            <w:r w:rsidR="00871854">
              <w:rPr>
                <w:noProof/>
                <w:webHidden/>
              </w:rPr>
            </w:r>
            <w:r w:rsidR="00871854">
              <w:rPr>
                <w:noProof/>
                <w:webHidden/>
              </w:rPr>
              <w:fldChar w:fldCharType="separate"/>
            </w:r>
            <w:r w:rsidR="00D73B7D">
              <w:rPr>
                <w:noProof/>
                <w:webHidden/>
              </w:rPr>
              <w:t>12</w:t>
            </w:r>
            <w:r w:rsidR="00871854">
              <w:rPr>
                <w:noProof/>
                <w:webHidden/>
              </w:rPr>
              <w:fldChar w:fldCharType="end"/>
            </w:r>
          </w:hyperlink>
        </w:p>
        <w:p w14:paraId="5FE27ED9" w14:textId="2D9ADC3E" w:rsidR="00871854" w:rsidRDefault="00F22C18">
          <w:pPr>
            <w:pStyle w:val="TOC2"/>
            <w:rPr>
              <w:rFonts w:asciiTheme="minorHAnsi" w:eastAsiaTheme="minorEastAsia" w:hAnsiTheme="minorHAnsi" w:cstheme="minorBidi"/>
              <w:noProof/>
              <w:sz w:val="22"/>
              <w:szCs w:val="22"/>
            </w:rPr>
          </w:pPr>
          <w:hyperlink w:anchor="_Toc497115778" w:history="1">
            <w:r w:rsidR="00871854" w:rsidRPr="00042993">
              <w:rPr>
                <w:rStyle w:val="Hyperlink"/>
                <w:noProof/>
              </w:rPr>
              <w:t>5.</w:t>
            </w:r>
            <w:r w:rsidR="00871854">
              <w:rPr>
                <w:rFonts w:asciiTheme="minorHAnsi" w:eastAsiaTheme="minorEastAsia" w:hAnsiTheme="minorHAnsi" w:cstheme="minorBidi"/>
                <w:noProof/>
                <w:sz w:val="22"/>
                <w:szCs w:val="22"/>
              </w:rPr>
              <w:tab/>
            </w:r>
            <w:r w:rsidR="00871854" w:rsidRPr="00042993">
              <w:rPr>
                <w:rStyle w:val="Hyperlink"/>
                <w:noProof/>
              </w:rPr>
              <w:t>Individuals Consulted on Statistical Aspects and Individuals Collecting and/or Analyzing Data</w:t>
            </w:r>
            <w:r w:rsidR="00871854">
              <w:rPr>
                <w:noProof/>
                <w:webHidden/>
              </w:rPr>
              <w:tab/>
            </w:r>
            <w:r w:rsidR="00871854">
              <w:rPr>
                <w:noProof/>
                <w:webHidden/>
              </w:rPr>
              <w:fldChar w:fldCharType="begin"/>
            </w:r>
            <w:r w:rsidR="00871854">
              <w:rPr>
                <w:noProof/>
                <w:webHidden/>
              </w:rPr>
              <w:instrText xml:space="preserve"> PAGEREF _Toc497115778 \h </w:instrText>
            </w:r>
            <w:r w:rsidR="00871854">
              <w:rPr>
                <w:noProof/>
                <w:webHidden/>
              </w:rPr>
            </w:r>
            <w:r w:rsidR="00871854">
              <w:rPr>
                <w:noProof/>
                <w:webHidden/>
              </w:rPr>
              <w:fldChar w:fldCharType="separate"/>
            </w:r>
            <w:r w:rsidR="00D73B7D">
              <w:rPr>
                <w:noProof/>
                <w:webHidden/>
              </w:rPr>
              <w:t>12</w:t>
            </w:r>
            <w:r w:rsidR="00871854">
              <w:rPr>
                <w:noProof/>
                <w:webHidden/>
              </w:rPr>
              <w:fldChar w:fldCharType="end"/>
            </w:r>
          </w:hyperlink>
        </w:p>
        <w:p w14:paraId="442FD430" w14:textId="4F10CC22" w:rsidR="006867B8" w:rsidRPr="00AD748E" w:rsidRDefault="006867B8" w:rsidP="00EC56C5">
          <w:pPr>
            <w:pStyle w:val="TOC2"/>
          </w:pPr>
          <w:r w:rsidRPr="00AD748E">
            <w:fldChar w:fldCharType="end"/>
          </w:r>
        </w:p>
      </w:sdtContent>
    </w:sdt>
    <w:p w14:paraId="79EC0F59" w14:textId="77777777" w:rsidR="00D7041A" w:rsidRPr="00AD748E" w:rsidRDefault="00D7041A" w:rsidP="00D7041A">
      <w:pPr>
        <w:rPr>
          <w:b/>
        </w:rPr>
      </w:pPr>
    </w:p>
    <w:p w14:paraId="7015C855" w14:textId="77777777" w:rsidR="00D7041A" w:rsidRPr="007E5313" w:rsidRDefault="00D7041A" w:rsidP="00D7041A">
      <w:r w:rsidRPr="007E5313">
        <w:t xml:space="preserve">Appendix A: </w:t>
      </w:r>
      <w:r w:rsidRPr="007E5313">
        <w:tab/>
        <w:t>Research Questions Addressed by the Information Collection Activities</w:t>
      </w:r>
    </w:p>
    <w:p w14:paraId="128D3023" w14:textId="29A1D412" w:rsidR="00D7041A" w:rsidRPr="007E5313" w:rsidRDefault="00D7041A" w:rsidP="00D7041A">
      <w:pPr>
        <w:ind w:left="1440" w:hanging="1440"/>
      </w:pPr>
      <w:r w:rsidRPr="007E5313">
        <w:t xml:space="preserve">Appendix </w:t>
      </w:r>
      <w:r w:rsidR="00B101E8">
        <w:t>B</w:t>
      </w:r>
      <w:r w:rsidRPr="007E5313">
        <w:t xml:space="preserve">: </w:t>
      </w:r>
      <w:r w:rsidRPr="007E5313">
        <w:tab/>
        <w:t xml:space="preserve">Individuals Providing Feedback on </w:t>
      </w:r>
      <w:r w:rsidR="007E5313" w:rsidRPr="007E5313">
        <w:t>the Prenatal Alcohol and Other Drug Exposures in Child Welfare Study</w:t>
      </w:r>
    </w:p>
    <w:p w14:paraId="3CB4C3B4" w14:textId="26920C47" w:rsidR="00FE38FB" w:rsidRPr="00AD748E" w:rsidRDefault="00FE38FB" w:rsidP="00D7041A">
      <w:pPr>
        <w:ind w:left="1440" w:hanging="1440"/>
      </w:pPr>
    </w:p>
    <w:p w14:paraId="3B593ABC" w14:textId="77777777" w:rsidR="005C6153" w:rsidRPr="00AD748E" w:rsidRDefault="005C6153" w:rsidP="004D1681">
      <w:pPr>
        <w:jc w:val="center"/>
        <w:rPr>
          <w:rFonts w:eastAsia="Times New Roman"/>
          <w:b/>
        </w:rPr>
      </w:pPr>
    </w:p>
    <w:p w14:paraId="692F1DE7" w14:textId="77777777" w:rsidR="00D20AA7" w:rsidRPr="00AD748E" w:rsidRDefault="00D20AA7" w:rsidP="004D1681">
      <w:pPr>
        <w:jc w:val="center"/>
        <w:rPr>
          <w:rFonts w:eastAsia="Times New Roman"/>
          <w:b/>
        </w:rPr>
        <w:sectPr w:rsidR="00D20AA7" w:rsidRPr="00AD748E" w:rsidSect="00555314">
          <w:headerReference w:type="default" r:id="rId10"/>
          <w:footerReference w:type="default" r:id="rId11"/>
          <w:pgSz w:w="12240" w:h="15840"/>
          <w:pgMar w:top="1440" w:right="1440" w:bottom="1440" w:left="1440" w:header="720" w:footer="720" w:gutter="0"/>
          <w:pgNumType w:fmt="lowerRoman"/>
          <w:cols w:space="720"/>
          <w:docGrid w:linePitch="360"/>
        </w:sectPr>
      </w:pPr>
    </w:p>
    <w:p w14:paraId="4F9B1E6E" w14:textId="77777777" w:rsidR="004D1681" w:rsidRPr="002808B8" w:rsidRDefault="004D1681" w:rsidP="004D1681">
      <w:pPr>
        <w:jc w:val="center"/>
        <w:rPr>
          <w:rFonts w:eastAsia="Times New Roman"/>
          <w:b/>
        </w:rPr>
      </w:pPr>
      <w:r w:rsidRPr="002808B8">
        <w:rPr>
          <w:rFonts w:eastAsia="Times New Roman"/>
          <w:b/>
        </w:rPr>
        <w:lastRenderedPageBreak/>
        <w:t>THE SUPPORTING STATEMENT</w:t>
      </w:r>
    </w:p>
    <w:p w14:paraId="0CEB30F0" w14:textId="77777777" w:rsidR="004D1681" w:rsidRPr="002808B8" w:rsidRDefault="004D1681" w:rsidP="004D1681">
      <w:pPr>
        <w:rPr>
          <w:rFonts w:eastAsia="Times New Roman"/>
          <w:b/>
        </w:rPr>
      </w:pPr>
    </w:p>
    <w:p w14:paraId="35C12BE6" w14:textId="32A1BAC1" w:rsidR="004D1681" w:rsidRPr="002808B8" w:rsidRDefault="00525F5E" w:rsidP="004D1681">
      <w:pPr>
        <w:rPr>
          <w:rFonts w:eastAsia="Times New Roman"/>
          <w:b/>
        </w:rPr>
      </w:pPr>
      <w:r w:rsidRPr="002808B8">
        <w:rPr>
          <w:rFonts w:eastAsia="Times New Roman"/>
          <w:b/>
        </w:rPr>
        <w:t xml:space="preserve">Prenatal Alcohol and Other Drug Exposures in Child Welfare </w:t>
      </w:r>
      <w:r w:rsidR="005263EF">
        <w:rPr>
          <w:rFonts w:eastAsia="Times New Roman"/>
          <w:b/>
        </w:rPr>
        <w:t>Study</w:t>
      </w:r>
    </w:p>
    <w:p w14:paraId="4EBDDFAF" w14:textId="77777777" w:rsidR="004D1681" w:rsidRPr="002808B8" w:rsidRDefault="004D1681" w:rsidP="004D1681">
      <w:pPr>
        <w:rPr>
          <w:rFonts w:eastAsia="Times New Roman"/>
          <w:b/>
        </w:rPr>
      </w:pPr>
    </w:p>
    <w:p w14:paraId="653B2133" w14:textId="28D333AB" w:rsidR="004D1681" w:rsidRPr="002808B8" w:rsidRDefault="004D1681" w:rsidP="005C6153">
      <w:pPr>
        <w:pStyle w:val="ListParagraph"/>
        <w:numPr>
          <w:ilvl w:val="0"/>
          <w:numId w:val="2"/>
        </w:numPr>
        <w:ind w:left="360"/>
        <w:outlineLvl w:val="0"/>
        <w:rPr>
          <w:rFonts w:eastAsia="Times New Roman"/>
          <w:b/>
        </w:rPr>
      </w:pPr>
      <w:bookmarkStart w:id="1" w:name="_Toc497115754"/>
      <w:r w:rsidRPr="002808B8">
        <w:rPr>
          <w:rFonts w:eastAsia="Times New Roman"/>
          <w:b/>
        </w:rPr>
        <w:t>Justification</w:t>
      </w:r>
      <w:bookmarkEnd w:id="1"/>
    </w:p>
    <w:p w14:paraId="28759F8F" w14:textId="77777777" w:rsidR="004D1681" w:rsidRPr="002808B8" w:rsidRDefault="004D1681" w:rsidP="004D1681">
      <w:pPr>
        <w:rPr>
          <w:rFonts w:eastAsia="Times New Roman"/>
          <w:b/>
        </w:rPr>
      </w:pPr>
    </w:p>
    <w:p w14:paraId="4376F85B" w14:textId="21F82B44" w:rsidR="004D1681" w:rsidRPr="002808B8" w:rsidRDefault="004D1681" w:rsidP="005C6153">
      <w:pPr>
        <w:pStyle w:val="NoSpacing"/>
        <w:tabs>
          <w:tab w:val="left" w:pos="360"/>
        </w:tabs>
        <w:outlineLvl w:val="1"/>
        <w:rPr>
          <w:b/>
        </w:rPr>
      </w:pPr>
      <w:bookmarkStart w:id="2" w:name="_Toc497115755"/>
      <w:r w:rsidRPr="002808B8">
        <w:rPr>
          <w:b/>
        </w:rPr>
        <w:t>1.</w:t>
      </w:r>
      <w:r w:rsidRPr="002808B8">
        <w:rPr>
          <w:b/>
        </w:rPr>
        <w:tab/>
        <w:t>Circumstances Making the Collection of Information Necessary</w:t>
      </w:r>
      <w:bookmarkEnd w:id="2"/>
      <w:r w:rsidRPr="002808B8">
        <w:rPr>
          <w:b/>
        </w:rPr>
        <w:t xml:space="preserve"> </w:t>
      </w:r>
    </w:p>
    <w:p w14:paraId="462298DE" w14:textId="77777777" w:rsidR="004D1681" w:rsidRPr="002808B8" w:rsidRDefault="004D1681" w:rsidP="004D1681">
      <w:pPr>
        <w:rPr>
          <w:rFonts w:eastAsia="Times New Roman"/>
        </w:rPr>
      </w:pPr>
    </w:p>
    <w:p w14:paraId="384F6660" w14:textId="75E64A38" w:rsidR="004D1681" w:rsidRPr="002808B8" w:rsidRDefault="00444089" w:rsidP="004D1681">
      <w:pPr>
        <w:rPr>
          <w:rFonts w:eastAsia="Times New Roman"/>
          <w:highlight w:val="yellow"/>
        </w:rPr>
      </w:pPr>
      <w:r>
        <w:rPr>
          <w:rFonts w:eastAsia="Times New Roman"/>
        </w:rPr>
        <w:t xml:space="preserve">The Children’s Bureau, </w:t>
      </w:r>
      <w:r w:rsidR="004D1681" w:rsidRPr="002808B8">
        <w:rPr>
          <w:rFonts w:eastAsia="Times New Roman"/>
        </w:rPr>
        <w:t xml:space="preserve">Administration on Children, Youth </w:t>
      </w:r>
      <w:r w:rsidR="00F63851" w:rsidRPr="002808B8">
        <w:rPr>
          <w:rFonts w:eastAsia="Times New Roman"/>
        </w:rPr>
        <w:t xml:space="preserve">&amp; </w:t>
      </w:r>
      <w:r w:rsidR="004D1681" w:rsidRPr="002808B8">
        <w:rPr>
          <w:rFonts w:eastAsia="Times New Roman"/>
        </w:rPr>
        <w:t xml:space="preserve">Families (ACYF), Administration for </w:t>
      </w:r>
      <w:r w:rsidR="00F63851" w:rsidRPr="002808B8">
        <w:rPr>
          <w:rFonts w:eastAsia="Times New Roman"/>
        </w:rPr>
        <w:t xml:space="preserve">Children </w:t>
      </w:r>
      <w:r w:rsidR="004D1681" w:rsidRPr="002808B8">
        <w:rPr>
          <w:rFonts w:eastAsia="Times New Roman"/>
        </w:rPr>
        <w:t xml:space="preserve">and Families (ACF), U.S. Department of Health </w:t>
      </w:r>
      <w:r w:rsidR="00F63851" w:rsidRPr="002808B8">
        <w:rPr>
          <w:rFonts w:eastAsia="Times New Roman"/>
        </w:rPr>
        <w:t xml:space="preserve">&amp; </w:t>
      </w:r>
      <w:r w:rsidR="004D1681" w:rsidRPr="002808B8">
        <w:rPr>
          <w:rFonts w:eastAsia="Times New Roman"/>
        </w:rPr>
        <w:t>Human Services (DHHS)</w:t>
      </w:r>
      <w:r w:rsidR="00F63851" w:rsidRPr="002808B8">
        <w:rPr>
          <w:rFonts w:eastAsia="Times New Roman"/>
        </w:rPr>
        <w:t>,</w:t>
      </w:r>
      <w:r w:rsidR="004D1681" w:rsidRPr="002808B8">
        <w:rPr>
          <w:rFonts w:eastAsia="Times New Roman"/>
        </w:rPr>
        <w:t xml:space="preserve"> seeks approval for the data collection instruments and procedures described herein. The proposed information collection is necessary to understand </w:t>
      </w:r>
      <w:bookmarkStart w:id="3" w:name="_Hlk496535644"/>
      <w:r w:rsidR="00525F5E" w:rsidRPr="002808B8">
        <w:t>the child welfare (CW) system’s response to prenatal substance exposure (PSE)</w:t>
      </w:r>
      <w:bookmarkEnd w:id="3"/>
      <w:r w:rsidR="00BA7788">
        <w:t xml:space="preserve"> (including opiates, methamphetamines</w:t>
      </w:r>
      <w:r w:rsidR="008C2325">
        <w:t>,</w:t>
      </w:r>
      <w:r w:rsidR="00BA7788">
        <w:t xml:space="preserve"> marijuana and other substances)</w:t>
      </w:r>
      <w:r w:rsidR="00525F5E" w:rsidRPr="002808B8">
        <w:t>, with an emphasis on prenatal alcohol exposure (PAE) and resulting conditions.</w:t>
      </w:r>
    </w:p>
    <w:p w14:paraId="59172FAA" w14:textId="77777777" w:rsidR="004D1681" w:rsidRPr="002808B8" w:rsidRDefault="004D1681" w:rsidP="004D1681">
      <w:pPr>
        <w:rPr>
          <w:rFonts w:eastAsia="Times New Roman"/>
          <w:highlight w:val="yellow"/>
        </w:rPr>
      </w:pPr>
    </w:p>
    <w:p w14:paraId="698C6ED6" w14:textId="6D89F8BA" w:rsidR="004D1681" w:rsidRPr="002808B8" w:rsidRDefault="004D1681" w:rsidP="004D1681">
      <w:pPr>
        <w:rPr>
          <w:rFonts w:eastAsia="Times New Roman"/>
        </w:rPr>
      </w:pPr>
      <w:r w:rsidRPr="002808B8">
        <w:rPr>
          <w:rFonts w:eastAsia="Times New Roman"/>
        </w:rPr>
        <w:t xml:space="preserve">The </w:t>
      </w:r>
      <w:r w:rsidR="00B957CD" w:rsidRPr="002808B8">
        <w:rPr>
          <w:rFonts w:eastAsia="Times New Roman"/>
        </w:rPr>
        <w:t xml:space="preserve">Prenatal Alcohol and Other Drug Exposures in Child Welfare </w:t>
      </w:r>
      <w:r w:rsidR="007E5313" w:rsidRPr="002808B8">
        <w:rPr>
          <w:rFonts w:eastAsia="Times New Roman"/>
        </w:rPr>
        <w:t>Study</w:t>
      </w:r>
      <w:r w:rsidR="00B957CD" w:rsidRPr="002808B8">
        <w:rPr>
          <w:rFonts w:eastAsia="Times New Roman"/>
        </w:rPr>
        <w:t xml:space="preserve"> </w:t>
      </w:r>
      <w:r w:rsidRPr="002808B8">
        <w:rPr>
          <w:rFonts w:eastAsia="Times New Roman"/>
        </w:rPr>
        <w:t>(here</w:t>
      </w:r>
      <w:r w:rsidR="00F63851" w:rsidRPr="002808B8">
        <w:rPr>
          <w:rFonts w:eastAsia="Times New Roman"/>
        </w:rPr>
        <w:t>after</w:t>
      </w:r>
      <w:r w:rsidRPr="002808B8">
        <w:rPr>
          <w:rFonts w:eastAsia="Times New Roman"/>
        </w:rPr>
        <w:t xml:space="preserve"> </w:t>
      </w:r>
      <w:r w:rsidR="004A5FD3" w:rsidRPr="002808B8">
        <w:rPr>
          <w:rFonts w:eastAsia="Times New Roman"/>
        </w:rPr>
        <w:t>referred to</w:t>
      </w:r>
      <w:r w:rsidRPr="002808B8">
        <w:rPr>
          <w:rFonts w:eastAsia="Times New Roman"/>
        </w:rPr>
        <w:t xml:space="preserve"> as the </w:t>
      </w:r>
      <w:bookmarkStart w:id="4" w:name="_Hlk498684147"/>
      <w:r w:rsidR="00274150" w:rsidRPr="002808B8">
        <w:rPr>
          <w:rFonts w:eastAsia="Times New Roman"/>
        </w:rPr>
        <w:t>PAODE-CW</w:t>
      </w:r>
      <w:r w:rsidRPr="002808B8">
        <w:rPr>
          <w:rFonts w:eastAsia="Times New Roman"/>
        </w:rPr>
        <w:t xml:space="preserve"> Study</w:t>
      </w:r>
      <w:bookmarkEnd w:id="4"/>
      <w:r w:rsidRPr="002808B8">
        <w:rPr>
          <w:rFonts w:eastAsia="Times New Roman"/>
        </w:rPr>
        <w:t xml:space="preserve">) is sponsored by </w:t>
      </w:r>
      <w:r w:rsidR="00E9122F" w:rsidRPr="002808B8">
        <w:rPr>
          <w:rFonts w:eastAsia="Times New Roman"/>
        </w:rPr>
        <w:t xml:space="preserve">the </w:t>
      </w:r>
      <w:r w:rsidR="00BA7788">
        <w:rPr>
          <w:rFonts w:eastAsia="Times New Roman"/>
        </w:rPr>
        <w:t>Children’s Bureau</w:t>
      </w:r>
      <w:r w:rsidR="008C2325">
        <w:rPr>
          <w:rFonts w:eastAsia="Times New Roman"/>
        </w:rPr>
        <w:t xml:space="preserve"> (CB)</w:t>
      </w:r>
      <w:r w:rsidR="00BA7788">
        <w:rPr>
          <w:rFonts w:eastAsia="Times New Roman"/>
        </w:rPr>
        <w:t xml:space="preserve"> </w:t>
      </w:r>
      <w:r w:rsidR="00072150" w:rsidRPr="002808B8">
        <w:rPr>
          <w:rFonts w:eastAsia="Times New Roman"/>
        </w:rPr>
        <w:t>in collaboration with the Centers for Disease Control and Prevention (CDC) under a</w:t>
      </w:r>
      <w:r w:rsidR="00BA7788">
        <w:rPr>
          <w:rFonts w:eastAsia="Times New Roman"/>
        </w:rPr>
        <w:t>n Intra-agency Agreement</w:t>
      </w:r>
      <w:r w:rsidR="007E5313" w:rsidRPr="002808B8">
        <w:rPr>
          <w:rFonts w:eastAsia="Times New Roman"/>
        </w:rPr>
        <w:t xml:space="preserve">. </w:t>
      </w:r>
      <w:r w:rsidR="00072150" w:rsidRPr="002808B8">
        <w:rPr>
          <w:rFonts w:eastAsia="Times New Roman"/>
        </w:rPr>
        <w:t>The study</w:t>
      </w:r>
      <w:r w:rsidRPr="002808B8">
        <w:rPr>
          <w:rFonts w:eastAsia="Times New Roman"/>
        </w:rPr>
        <w:t xml:space="preserve"> involves the conduct of </w:t>
      </w:r>
      <w:r w:rsidR="000630F1" w:rsidRPr="002808B8">
        <w:t>cross-sectional m</w:t>
      </w:r>
      <w:r w:rsidR="004A5FD3" w:rsidRPr="002808B8">
        <w:t xml:space="preserve">ixed-methods descriptive study </w:t>
      </w:r>
      <w:r w:rsidR="00072150" w:rsidRPr="002808B8">
        <w:rPr>
          <w:rFonts w:eastAsia="Times New Roman"/>
        </w:rPr>
        <w:t xml:space="preserve">with </w:t>
      </w:r>
      <w:r w:rsidR="005263EF">
        <w:rPr>
          <w:rFonts w:eastAsia="Times New Roman"/>
        </w:rPr>
        <w:t xml:space="preserve">28 </w:t>
      </w:r>
      <w:r w:rsidR="00406F2B" w:rsidRPr="002808B8">
        <w:rPr>
          <w:rFonts w:eastAsia="Times New Roman"/>
        </w:rPr>
        <w:t xml:space="preserve">sites identified in collaboration with </w:t>
      </w:r>
      <w:r w:rsidR="00E9122F" w:rsidRPr="002808B8">
        <w:rPr>
          <w:rFonts w:eastAsia="Times New Roman"/>
        </w:rPr>
        <w:t>the</w:t>
      </w:r>
      <w:r w:rsidR="00BA7788">
        <w:rPr>
          <w:rFonts w:eastAsia="Times New Roman"/>
        </w:rPr>
        <w:t xml:space="preserve"> </w:t>
      </w:r>
      <w:r w:rsidR="008C2325">
        <w:rPr>
          <w:rFonts w:eastAsia="Times New Roman"/>
        </w:rPr>
        <w:t>CB</w:t>
      </w:r>
      <w:r w:rsidRPr="002808B8">
        <w:rPr>
          <w:rFonts w:eastAsia="Times New Roman"/>
        </w:rPr>
        <w:t xml:space="preserve">. </w:t>
      </w:r>
      <w:r w:rsidR="004A5FD3" w:rsidRPr="002808B8">
        <w:rPr>
          <w:rFonts w:eastAsia="Times New Roman"/>
        </w:rPr>
        <w:t xml:space="preserve">The instruments and procedures described in this statement represent new data collection with representatives of the study sites. </w:t>
      </w:r>
      <w:r w:rsidR="00BA7788">
        <w:rPr>
          <w:rFonts w:eastAsia="Times New Roman"/>
          <w:iCs/>
        </w:rPr>
        <w:t xml:space="preserve">The </w:t>
      </w:r>
      <w:r w:rsidR="008C2325">
        <w:rPr>
          <w:rFonts w:eastAsia="Times New Roman"/>
          <w:iCs/>
        </w:rPr>
        <w:t>CB</w:t>
      </w:r>
      <w:r w:rsidR="00BA7788">
        <w:rPr>
          <w:rFonts w:eastAsia="Times New Roman"/>
          <w:iCs/>
        </w:rPr>
        <w:t xml:space="preserve"> </w:t>
      </w:r>
      <w:r w:rsidRPr="002808B8">
        <w:rPr>
          <w:rFonts w:eastAsia="Times New Roman"/>
          <w:iCs/>
        </w:rPr>
        <w:t xml:space="preserve">intends for information collection to begin upon Office of Management and Budget (OMB) approval and continue </w:t>
      </w:r>
      <w:r w:rsidR="003249AF">
        <w:rPr>
          <w:rFonts w:eastAsia="Times New Roman"/>
          <w:iCs/>
        </w:rPr>
        <w:t xml:space="preserve">through </w:t>
      </w:r>
      <w:r w:rsidR="00072150" w:rsidRPr="002808B8">
        <w:rPr>
          <w:rFonts w:eastAsia="Times New Roman"/>
        </w:rPr>
        <w:t>October 2019.</w:t>
      </w:r>
    </w:p>
    <w:p w14:paraId="4B84FF07" w14:textId="77777777" w:rsidR="004D1681" w:rsidRPr="002808B8" w:rsidRDefault="004D1681" w:rsidP="004D1681">
      <w:pPr>
        <w:rPr>
          <w:rFonts w:eastAsia="Times New Roman"/>
          <w:iCs/>
        </w:rPr>
      </w:pPr>
    </w:p>
    <w:p w14:paraId="53878460" w14:textId="05C7545C" w:rsidR="000A6306" w:rsidRDefault="007A496C" w:rsidP="00F31745">
      <w:r w:rsidRPr="002808B8">
        <w:rPr>
          <w:rFonts w:eastAsia="Times New Roman"/>
          <w:iCs/>
        </w:rPr>
        <w:t>There are no legal or administrative requirements th</w:t>
      </w:r>
      <w:r w:rsidR="00E66B22" w:rsidRPr="002808B8">
        <w:rPr>
          <w:rFonts w:eastAsia="Times New Roman"/>
          <w:iCs/>
        </w:rPr>
        <w:t>at necessitate the collection.</w:t>
      </w:r>
      <w:r w:rsidRPr="002808B8">
        <w:rPr>
          <w:rFonts w:eastAsia="Times New Roman"/>
          <w:iCs/>
        </w:rPr>
        <w:t xml:space="preserve"> </w:t>
      </w:r>
      <w:r w:rsidR="00BA7788">
        <w:rPr>
          <w:rFonts w:eastAsia="Times New Roman"/>
          <w:iCs/>
        </w:rPr>
        <w:t xml:space="preserve">The </w:t>
      </w:r>
      <w:r w:rsidR="008C2325">
        <w:rPr>
          <w:rFonts w:eastAsia="Times New Roman"/>
          <w:iCs/>
        </w:rPr>
        <w:t>CB</w:t>
      </w:r>
      <w:r w:rsidR="00BA7788">
        <w:rPr>
          <w:rFonts w:eastAsia="Times New Roman"/>
          <w:iCs/>
        </w:rPr>
        <w:t xml:space="preserve"> </w:t>
      </w:r>
      <w:r w:rsidRPr="002808B8">
        <w:rPr>
          <w:rFonts w:eastAsia="Times New Roman"/>
          <w:iCs/>
        </w:rPr>
        <w:t>is undertaking the collection at the discretion of the agency.</w:t>
      </w:r>
      <w:r w:rsidR="00F31745">
        <w:rPr>
          <w:rFonts w:eastAsia="Times New Roman"/>
          <w:iCs/>
        </w:rPr>
        <w:t xml:space="preserve"> The CB is aware that many children who were exposed to alcohol </w:t>
      </w:r>
      <w:r w:rsidR="00F31745">
        <w:t>and other drugs prenatally escape the attention of child welfare systems. For example, Ira Chasnoff, MD, and colleagues</w:t>
      </w:r>
      <w:r w:rsidR="00F31745">
        <w:rPr>
          <w:rStyle w:val="FootnoteReference"/>
        </w:rPr>
        <w:footnoteReference w:id="2"/>
      </w:r>
      <w:r w:rsidR="00F31745">
        <w:t xml:space="preserve"> published a study in which he discovered that over 80% of the children in foster care who had a fetal alcohol spectrum disorder were not identified when they first entered foster care. </w:t>
      </w:r>
      <w:r w:rsidR="00C11755">
        <w:t>The CB and CDC funded an exploratory study that was conducted in one CW jurisdiction. Preliminary findings revealed some potential contributing factors to the under-identification of children, including inadequate screening policies and tools, lack of training and knowledge on how and when to evaluate risk, and limited documentation practices to support identification and referrals.</w:t>
      </w:r>
      <w:r w:rsidR="00C11755">
        <w:rPr>
          <w:rStyle w:val="FootnoteReference"/>
        </w:rPr>
        <w:footnoteReference w:id="3"/>
      </w:r>
      <w:r w:rsidR="00C11755">
        <w:t xml:space="preserve"> The current study is designed to further explore identification of prenatal substance exposure and agency policies and practices in a larger sample of CW agencies. The findings will help to elucidate the training needs for staff, and the training and service needs for children and families.  </w:t>
      </w:r>
    </w:p>
    <w:p w14:paraId="1C14D690" w14:textId="77777777" w:rsidR="000A6306" w:rsidRDefault="000A6306" w:rsidP="00F31745"/>
    <w:p w14:paraId="2CA0F109" w14:textId="40C9A895" w:rsidR="00F31745" w:rsidRDefault="00F31745" w:rsidP="00F31745">
      <w:r>
        <w:t>In addition, a recent report from ACF found that communities with high rates of opioid overdoses and opioid hospitalizations also had increasing rates of children entering their foster care systems.</w:t>
      </w:r>
      <w:r w:rsidR="00C11755">
        <w:rPr>
          <w:rStyle w:val="FootnoteReference"/>
        </w:rPr>
        <w:footnoteReference w:id="4"/>
      </w:r>
      <w:r>
        <w:t>  Thus</w:t>
      </w:r>
      <w:r w:rsidR="000A6306">
        <w:t>,</w:t>
      </w:r>
      <w:r>
        <w:t xml:space="preserve"> research on the policies and practices of children in child welfare who come from households with substance abuse issues is very timely and addresses the National Opioid Public Health Emergency.  </w:t>
      </w:r>
    </w:p>
    <w:p w14:paraId="655BA794" w14:textId="6BD83CFD" w:rsidR="007A496C" w:rsidRPr="002808B8" w:rsidRDefault="007A496C" w:rsidP="004D1681">
      <w:pPr>
        <w:rPr>
          <w:rFonts w:eastAsia="Times New Roman"/>
          <w:iCs/>
        </w:rPr>
      </w:pPr>
    </w:p>
    <w:p w14:paraId="3CF83AE5" w14:textId="77777777" w:rsidR="004D1681" w:rsidRPr="002808B8" w:rsidRDefault="004D1681" w:rsidP="004D1681">
      <w:pPr>
        <w:rPr>
          <w:rFonts w:eastAsia="Times New Roman"/>
          <w:iCs/>
        </w:rPr>
      </w:pPr>
    </w:p>
    <w:p w14:paraId="2A4CEE2E" w14:textId="77777777" w:rsidR="004D1681" w:rsidRPr="002808B8" w:rsidRDefault="004D1681" w:rsidP="005C6153">
      <w:pPr>
        <w:pStyle w:val="NoSpacing"/>
        <w:tabs>
          <w:tab w:val="left" w:pos="360"/>
        </w:tabs>
        <w:outlineLvl w:val="1"/>
        <w:rPr>
          <w:b/>
        </w:rPr>
      </w:pPr>
      <w:bookmarkStart w:id="5" w:name="_Toc497115756"/>
      <w:r w:rsidRPr="002808B8">
        <w:rPr>
          <w:b/>
        </w:rPr>
        <w:t>2.</w:t>
      </w:r>
      <w:r w:rsidRPr="002808B8">
        <w:rPr>
          <w:b/>
        </w:rPr>
        <w:tab/>
        <w:t>Purpose and Use of the Information Collection</w:t>
      </w:r>
      <w:bookmarkEnd w:id="5"/>
      <w:r w:rsidRPr="002808B8">
        <w:rPr>
          <w:b/>
        </w:rPr>
        <w:t xml:space="preserve">  </w:t>
      </w:r>
    </w:p>
    <w:p w14:paraId="645A1C7F" w14:textId="77777777" w:rsidR="004D1681" w:rsidRPr="002808B8" w:rsidRDefault="004D1681" w:rsidP="004D1681">
      <w:pPr>
        <w:rPr>
          <w:rFonts w:eastAsia="Times New Roman"/>
        </w:rPr>
      </w:pPr>
    </w:p>
    <w:p w14:paraId="70042068" w14:textId="06968B93" w:rsidR="004D1681" w:rsidRPr="002808B8" w:rsidRDefault="004D1681" w:rsidP="002C529B">
      <w:pPr>
        <w:spacing w:after="240"/>
        <w:rPr>
          <w:rFonts w:eastAsia="Times New Roman"/>
        </w:rPr>
      </w:pPr>
      <w:r w:rsidRPr="002808B8">
        <w:rPr>
          <w:rFonts w:eastAsia="Times New Roman"/>
        </w:rPr>
        <w:t xml:space="preserve">The information collection described in this request will allow </w:t>
      </w:r>
      <w:r w:rsidR="00E9122F" w:rsidRPr="002808B8">
        <w:rPr>
          <w:rFonts w:eastAsia="Times New Roman"/>
        </w:rPr>
        <w:t xml:space="preserve">the </w:t>
      </w:r>
      <w:r w:rsidR="008C2325">
        <w:rPr>
          <w:rFonts w:eastAsia="Times New Roman"/>
        </w:rPr>
        <w:t>CB</w:t>
      </w:r>
      <w:r w:rsidR="00BA7788">
        <w:rPr>
          <w:rFonts w:eastAsia="Times New Roman"/>
        </w:rPr>
        <w:t xml:space="preserve"> </w:t>
      </w:r>
      <w:r w:rsidRPr="002808B8">
        <w:rPr>
          <w:rFonts w:eastAsia="Times New Roman"/>
        </w:rPr>
        <w:t xml:space="preserve">to better understand the </w:t>
      </w:r>
      <w:r w:rsidR="003C082F" w:rsidRPr="002808B8">
        <w:t xml:space="preserve">child welfare (CW) system’s response to prenatal </w:t>
      </w:r>
      <w:r w:rsidR="005263EF">
        <w:t>substance exposure (PSE) and</w:t>
      </w:r>
      <w:r w:rsidR="003C082F" w:rsidRPr="002808B8">
        <w:t xml:space="preserve"> challenges of responding </w:t>
      </w:r>
      <w:r w:rsidR="007E5313" w:rsidRPr="002808B8">
        <w:t xml:space="preserve">to </w:t>
      </w:r>
      <w:r w:rsidR="003C082F" w:rsidRPr="002808B8">
        <w:t>PSE in a diverse set of CW agencies</w:t>
      </w:r>
      <w:r w:rsidRPr="002808B8">
        <w:rPr>
          <w:rFonts w:eastAsia="Times New Roman"/>
        </w:rPr>
        <w:t xml:space="preserve">. The new knowledge will be disseminated to the field and will </w:t>
      </w:r>
      <w:r w:rsidR="00BA7788">
        <w:rPr>
          <w:rFonts w:eastAsia="Times New Roman"/>
        </w:rPr>
        <w:t xml:space="preserve">have an impact on </w:t>
      </w:r>
      <w:r w:rsidR="008C2325">
        <w:rPr>
          <w:rFonts w:eastAsia="Times New Roman"/>
        </w:rPr>
        <w:t>the CB</w:t>
      </w:r>
      <w:r w:rsidR="00BA7788">
        <w:rPr>
          <w:rFonts w:eastAsia="Times New Roman"/>
        </w:rPr>
        <w:t xml:space="preserve"> </w:t>
      </w:r>
      <w:r w:rsidR="00C42617" w:rsidRPr="002808B8">
        <w:rPr>
          <w:rFonts w:eastAsia="Times New Roman"/>
        </w:rPr>
        <w:t xml:space="preserve">and CDC </w:t>
      </w:r>
      <w:r w:rsidRPr="002808B8">
        <w:rPr>
          <w:rFonts w:eastAsia="Times New Roman"/>
        </w:rPr>
        <w:t xml:space="preserve">recommendations for future </w:t>
      </w:r>
      <w:r w:rsidR="005263EF">
        <w:rPr>
          <w:rFonts w:eastAsia="Times New Roman"/>
        </w:rPr>
        <w:t xml:space="preserve">technical assistance, </w:t>
      </w:r>
      <w:r w:rsidR="00C42617" w:rsidRPr="002808B8">
        <w:rPr>
          <w:rFonts w:eastAsia="Times New Roman"/>
        </w:rPr>
        <w:t>research and federal resource allocation</w:t>
      </w:r>
      <w:r w:rsidRPr="002808B8">
        <w:rPr>
          <w:rFonts w:eastAsia="Times New Roman"/>
        </w:rPr>
        <w:t>.</w:t>
      </w:r>
      <w:r w:rsidR="00183A93">
        <w:rPr>
          <w:rFonts w:eastAsia="Times New Roman"/>
        </w:rPr>
        <w:t xml:space="preserve"> </w:t>
      </w:r>
    </w:p>
    <w:p w14:paraId="25809CD0" w14:textId="7808FBAA" w:rsidR="00F211A8" w:rsidRPr="002808B8" w:rsidRDefault="005434B0" w:rsidP="004D1681">
      <w:pPr>
        <w:rPr>
          <w:rFonts w:eastAsia="Times New Roman"/>
        </w:rPr>
      </w:pPr>
      <w:r w:rsidRPr="002808B8">
        <w:rPr>
          <w:rFonts w:eastAsia="Times New Roman"/>
        </w:rPr>
        <w:t>The d</w:t>
      </w:r>
      <w:r w:rsidR="004D1681" w:rsidRPr="002808B8">
        <w:rPr>
          <w:rFonts w:eastAsia="Times New Roman"/>
        </w:rPr>
        <w:t xml:space="preserve">ata collected will address </w:t>
      </w:r>
      <w:r w:rsidR="0077513B" w:rsidRPr="002808B8">
        <w:rPr>
          <w:rFonts w:eastAsia="Times New Roman"/>
        </w:rPr>
        <w:t>critical</w:t>
      </w:r>
      <w:r w:rsidR="00F211A8" w:rsidRPr="002808B8">
        <w:rPr>
          <w:rFonts w:eastAsia="Times New Roman"/>
        </w:rPr>
        <w:t xml:space="preserve"> research questions</w:t>
      </w:r>
      <w:r w:rsidR="008C2325">
        <w:rPr>
          <w:rFonts w:eastAsia="Times New Roman"/>
        </w:rPr>
        <w:t xml:space="preserve"> posed by</w:t>
      </w:r>
      <w:r w:rsidR="00C42617" w:rsidRPr="002808B8">
        <w:rPr>
          <w:rFonts w:eastAsia="Times New Roman"/>
        </w:rPr>
        <w:t xml:space="preserve"> </w:t>
      </w:r>
      <w:r w:rsidR="008C2325">
        <w:rPr>
          <w:rFonts w:eastAsia="Times New Roman"/>
        </w:rPr>
        <w:t>the CB</w:t>
      </w:r>
      <w:r w:rsidR="00BA7788">
        <w:rPr>
          <w:rFonts w:eastAsia="Times New Roman"/>
        </w:rPr>
        <w:t xml:space="preserve"> </w:t>
      </w:r>
      <w:r w:rsidR="00C42617" w:rsidRPr="002808B8">
        <w:rPr>
          <w:rFonts w:eastAsia="Times New Roman"/>
        </w:rPr>
        <w:t xml:space="preserve">and </w:t>
      </w:r>
      <w:r w:rsidR="00BA7788">
        <w:rPr>
          <w:rFonts w:eastAsia="Times New Roman"/>
        </w:rPr>
        <w:t xml:space="preserve">the </w:t>
      </w:r>
      <w:r w:rsidR="00C42617" w:rsidRPr="002808B8">
        <w:rPr>
          <w:rFonts w:eastAsia="Times New Roman"/>
        </w:rPr>
        <w:t>CDC</w:t>
      </w:r>
      <w:r w:rsidR="00D3035F">
        <w:rPr>
          <w:rStyle w:val="FootnoteReference"/>
          <w:rFonts w:eastAsia="Times New Roman"/>
        </w:rPr>
        <w:footnoteReference w:id="5"/>
      </w:r>
      <w:r w:rsidR="00F211A8" w:rsidRPr="002808B8">
        <w:rPr>
          <w:rFonts w:eastAsia="Times New Roman"/>
        </w:rPr>
        <w:t xml:space="preserve">: </w:t>
      </w:r>
    </w:p>
    <w:p w14:paraId="2223AEBD" w14:textId="2047ED01" w:rsidR="00F211A8" w:rsidRPr="002808B8" w:rsidRDefault="00F211A8" w:rsidP="00F211A8">
      <w:pPr>
        <w:pStyle w:val="ListParagraph"/>
        <w:numPr>
          <w:ilvl w:val="0"/>
          <w:numId w:val="4"/>
        </w:numPr>
        <w:rPr>
          <w:rFonts w:eastAsia="Times New Roman"/>
        </w:rPr>
      </w:pPr>
      <w:r w:rsidRPr="002808B8">
        <w:t>What are the current policies and practices in place in CW agencies and related organizations for the identification of children with prenatal substance exposure and/or diagnosed with a resulting condition (such as Fetal Alcohol Syndrome [FAS] or F</w:t>
      </w:r>
      <w:r w:rsidR="00B101E8" w:rsidRPr="002808B8">
        <w:t xml:space="preserve">etal </w:t>
      </w:r>
      <w:r w:rsidRPr="002808B8">
        <w:t>A</w:t>
      </w:r>
      <w:r w:rsidR="00B101E8" w:rsidRPr="002808B8">
        <w:t>lcohol Spectrum Disorders</w:t>
      </w:r>
      <w:r w:rsidR="005263EF">
        <w:t xml:space="preserve"> [FASDs]</w:t>
      </w:r>
      <w:r w:rsidRPr="002808B8">
        <w:t xml:space="preserve">)? </w:t>
      </w:r>
      <w:r w:rsidR="00183A93">
        <w:t>The needed information is not now available in any useful form.</w:t>
      </w:r>
      <w:r w:rsidR="00F23501">
        <w:t xml:space="preserve">  What is available is buried in case notes at individual agencies.</w:t>
      </w:r>
    </w:p>
    <w:p w14:paraId="220C0C83" w14:textId="149EC923" w:rsidR="00F211A8" w:rsidRPr="002808B8" w:rsidRDefault="00F211A8" w:rsidP="00F211A8">
      <w:pPr>
        <w:pStyle w:val="ListParagraph"/>
        <w:numPr>
          <w:ilvl w:val="0"/>
          <w:numId w:val="4"/>
        </w:numPr>
        <w:rPr>
          <w:rFonts w:eastAsia="Times New Roman"/>
        </w:rPr>
      </w:pPr>
      <w:r w:rsidRPr="002808B8">
        <w:t>What type of training and dissemination activities are currently used, and what consensus is there, if any, among CW professionals in the studied settings, regarding what practice changes are likely to improve identification and documentation of children with PSEs and resulting conditions in the CW system?</w:t>
      </w:r>
    </w:p>
    <w:p w14:paraId="2F70041C" w14:textId="77777777" w:rsidR="005263EF" w:rsidRDefault="005263EF" w:rsidP="004D1681">
      <w:pPr>
        <w:rPr>
          <w:rFonts w:eastAsia="Times New Roman"/>
        </w:rPr>
      </w:pPr>
    </w:p>
    <w:p w14:paraId="2E3FB542" w14:textId="346D0946" w:rsidR="00911539" w:rsidRPr="002808B8" w:rsidRDefault="00C42617" w:rsidP="004D1681">
      <w:pPr>
        <w:rPr>
          <w:rFonts w:eastAsia="Times New Roman"/>
        </w:rPr>
      </w:pPr>
      <w:r w:rsidRPr="002808B8">
        <w:rPr>
          <w:rFonts w:eastAsia="Times New Roman"/>
        </w:rPr>
        <w:t xml:space="preserve">Proposed data </w:t>
      </w:r>
      <w:r w:rsidR="0014345D" w:rsidRPr="002808B8">
        <w:rPr>
          <w:rFonts w:eastAsia="Times New Roman"/>
        </w:rPr>
        <w:t>sources for this effort</w:t>
      </w:r>
      <w:r w:rsidRPr="002808B8">
        <w:rPr>
          <w:rFonts w:eastAsia="Times New Roman"/>
        </w:rPr>
        <w:t xml:space="preserve"> includes interview</w:t>
      </w:r>
      <w:r w:rsidR="0014345D" w:rsidRPr="002808B8">
        <w:rPr>
          <w:rFonts w:eastAsia="Times New Roman"/>
        </w:rPr>
        <w:t xml:space="preserve">s and </w:t>
      </w:r>
      <w:r w:rsidRPr="002808B8">
        <w:rPr>
          <w:rFonts w:eastAsia="Times New Roman"/>
        </w:rPr>
        <w:t>surveys collected from representatives at 28</w:t>
      </w:r>
      <w:r w:rsidR="00F35233">
        <w:rPr>
          <w:rFonts w:eastAsia="Times New Roman"/>
        </w:rPr>
        <w:t xml:space="preserve"> local</w:t>
      </w:r>
      <w:r w:rsidRPr="002808B8">
        <w:rPr>
          <w:rFonts w:eastAsia="Times New Roman"/>
        </w:rPr>
        <w:t xml:space="preserve"> </w:t>
      </w:r>
      <w:r w:rsidR="00F35233">
        <w:rPr>
          <w:rFonts w:eastAsia="Times New Roman"/>
        </w:rPr>
        <w:t>CW</w:t>
      </w:r>
      <w:r w:rsidR="0014345D" w:rsidRPr="002808B8">
        <w:rPr>
          <w:rFonts w:eastAsia="Times New Roman"/>
        </w:rPr>
        <w:t xml:space="preserve"> </w:t>
      </w:r>
      <w:r w:rsidRPr="002808B8">
        <w:rPr>
          <w:rFonts w:eastAsia="Times New Roman"/>
        </w:rPr>
        <w:t>agencies</w:t>
      </w:r>
      <w:r w:rsidR="0014345D" w:rsidRPr="002808B8">
        <w:rPr>
          <w:rFonts w:eastAsia="Times New Roman"/>
        </w:rPr>
        <w:t xml:space="preserve"> (</w:t>
      </w:r>
      <w:r w:rsidR="00233964" w:rsidRPr="002808B8">
        <w:rPr>
          <w:rFonts w:eastAsia="Times New Roman"/>
        </w:rPr>
        <w:t xml:space="preserve">referred to as </w:t>
      </w:r>
      <w:r w:rsidR="0014345D" w:rsidRPr="002808B8">
        <w:rPr>
          <w:rFonts w:eastAsia="Times New Roman"/>
        </w:rPr>
        <w:t xml:space="preserve">sites), and additional interviews, surveys, and focus groups collected in </w:t>
      </w:r>
      <w:r w:rsidR="00E043FC">
        <w:rPr>
          <w:rFonts w:eastAsia="Times New Roman"/>
        </w:rPr>
        <w:t xml:space="preserve">8 </w:t>
      </w:r>
      <w:r w:rsidR="00E06682">
        <w:rPr>
          <w:rFonts w:eastAsia="Times New Roman"/>
        </w:rPr>
        <w:t>of</w:t>
      </w:r>
      <w:r w:rsidR="00E043FC">
        <w:rPr>
          <w:rFonts w:eastAsia="Times New Roman"/>
        </w:rPr>
        <w:t xml:space="preserve"> these</w:t>
      </w:r>
      <w:r w:rsidR="0014345D" w:rsidRPr="002808B8">
        <w:rPr>
          <w:rFonts w:eastAsia="Times New Roman"/>
        </w:rPr>
        <w:t xml:space="preserve"> </w:t>
      </w:r>
      <w:r w:rsidR="008C2325">
        <w:rPr>
          <w:rFonts w:eastAsia="Times New Roman"/>
        </w:rPr>
        <w:t>sites</w:t>
      </w:r>
      <w:r w:rsidR="0014345D" w:rsidRPr="002808B8">
        <w:rPr>
          <w:rFonts w:eastAsia="Times New Roman"/>
        </w:rPr>
        <w:t xml:space="preserve"> (referred to as the </w:t>
      </w:r>
      <w:r w:rsidR="00F35233">
        <w:rPr>
          <w:rFonts w:eastAsia="Times New Roman"/>
        </w:rPr>
        <w:t>“</w:t>
      </w:r>
      <w:r w:rsidR="0014345D" w:rsidRPr="002808B8">
        <w:rPr>
          <w:rFonts w:eastAsia="Times New Roman"/>
        </w:rPr>
        <w:t>in</w:t>
      </w:r>
      <w:r w:rsidR="00B518BC" w:rsidRPr="002808B8">
        <w:rPr>
          <w:rFonts w:eastAsia="Times New Roman"/>
        </w:rPr>
        <w:t>-</w:t>
      </w:r>
      <w:r w:rsidR="00F35233">
        <w:rPr>
          <w:rFonts w:eastAsia="Times New Roman"/>
        </w:rPr>
        <w:t>depth data collection”</w:t>
      </w:r>
      <w:r w:rsidR="008327C3">
        <w:rPr>
          <w:rFonts w:eastAsia="Times New Roman"/>
        </w:rPr>
        <w:t xml:space="preserve"> sites)</w:t>
      </w:r>
      <w:r w:rsidR="00233964" w:rsidRPr="002808B8">
        <w:t>.</w:t>
      </w:r>
      <w:r w:rsidR="008327C3">
        <w:t xml:space="preserve"> </w:t>
      </w:r>
      <w:r w:rsidR="00911539" w:rsidRPr="002808B8">
        <w:t xml:space="preserve">The 28 sites will be purposively selected to match </w:t>
      </w:r>
      <w:r w:rsidR="00911539" w:rsidRPr="002808B8">
        <w:rPr>
          <w:rFonts w:eastAsia="Times New Roman"/>
        </w:rPr>
        <w:t xml:space="preserve">criteria from a design options report developed in conjunction with an expert technical workgroup and submitted and approved by the </w:t>
      </w:r>
      <w:r w:rsidR="008C2325">
        <w:rPr>
          <w:rFonts w:eastAsia="Times New Roman"/>
        </w:rPr>
        <w:t>CB</w:t>
      </w:r>
      <w:r w:rsidR="00911539" w:rsidRPr="002808B8">
        <w:rPr>
          <w:rFonts w:eastAsia="Times New Roman"/>
        </w:rPr>
        <w:t xml:space="preserve">. The objective with site selection is to maximize variation in order to understand diverse practices and policies in </w:t>
      </w:r>
      <w:r w:rsidR="00F35233">
        <w:rPr>
          <w:rFonts w:eastAsia="Times New Roman"/>
        </w:rPr>
        <w:t>CW</w:t>
      </w:r>
      <w:r w:rsidR="00911539" w:rsidRPr="002808B8">
        <w:rPr>
          <w:rFonts w:eastAsia="Times New Roman"/>
        </w:rPr>
        <w:t xml:space="preserve"> systems’ response to PSE. Six priority states will be selected by the </w:t>
      </w:r>
      <w:r w:rsidR="008C2325">
        <w:rPr>
          <w:rFonts w:eastAsia="Times New Roman"/>
        </w:rPr>
        <w:t>CB</w:t>
      </w:r>
      <w:r w:rsidR="00E043FC">
        <w:rPr>
          <w:rFonts w:eastAsia="Times New Roman"/>
        </w:rPr>
        <w:t xml:space="preserve"> </w:t>
      </w:r>
      <w:r w:rsidR="00911539" w:rsidRPr="002808B8">
        <w:rPr>
          <w:rFonts w:eastAsia="Times New Roman"/>
        </w:rPr>
        <w:t>and invited to participate, with alternates identified i</w:t>
      </w:r>
      <w:r w:rsidR="008327C3">
        <w:rPr>
          <w:rFonts w:eastAsia="Times New Roman"/>
        </w:rPr>
        <w:t>f a state declines</w:t>
      </w:r>
      <w:r w:rsidR="00911539" w:rsidRPr="002808B8">
        <w:rPr>
          <w:rFonts w:eastAsia="Times New Roman"/>
        </w:rPr>
        <w:t xml:space="preserve">. </w:t>
      </w:r>
      <w:r w:rsidR="00694437">
        <w:rPr>
          <w:rFonts w:eastAsia="Times New Roman"/>
        </w:rPr>
        <w:t>Within each selected state</w:t>
      </w:r>
      <w:r w:rsidR="00911539" w:rsidRPr="002808B8">
        <w:rPr>
          <w:rFonts w:eastAsia="Times New Roman"/>
        </w:rPr>
        <w:t xml:space="preserve">, the team will work with the director to identify 4 to 6 </w:t>
      </w:r>
      <w:r w:rsidR="000B6BEF">
        <w:rPr>
          <w:rFonts w:eastAsia="Times New Roman"/>
        </w:rPr>
        <w:t xml:space="preserve">local CW agencies </w:t>
      </w:r>
      <w:r w:rsidR="00911539" w:rsidRPr="002808B8">
        <w:rPr>
          <w:rFonts w:eastAsia="Times New Roman"/>
        </w:rPr>
        <w:t>(sites) within the state to invite to participate. The instruments and procedures described in this statement represent new data collection with representatives of the 28 study sites.</w:t>
      </w:r>
    </w:p>
    <w:p w14:paraId="2DB6EF75" w14:textId="77777777" w:rsidR="0014345D" w:rsidRPr="002808B8" w:rsidRDefault="0014345D" w:rsidP="004D1681">
      <w:pPr>
        <w:rPr>
          <w:rFonts w:eastAsia="Times New Roman"/>
        </w:rPr>
      </w:pPr>
    </w:p>
    <w:p w14:paraId="0879B28B" w14:textId="560982F1" w:rsidR="00204F76" w:rsidRDefault="00233964" w:rsidP="008C2325">
      <w:r w:rsidRPr="002808B8">
        <w:rPr>
          <w:rFonts w:eastAsia="Times New Roman"/>
        </w:rPr>
        <w:t>At all 28 sites,</w:t>
      </w:r>
      <w:r w:rsidR="008C2325">
        <w:rPr>
          <w:rFonts w:eastAsia="Times New Roman"/>
        </w:rPr>
        <w:t xml:space="preserve"> the</w:t>
      </w:r>
      <w:r w:rsidRPr="002808B8">
        <w:rPr>
          <w:rFonts w:eastAsia="Times New Roman"/>
        </w:rPr>
        <w:t xml:space="preserve"> </w:t>
      </w:r>
      <w:r w:rsidR="00894CDA" w:rsidRPr="00894CDA">
        <w:rPr>
          <w:rFonts w:eastAsia="Times New Roman"/>
          <w:i/>
        </w:rPr>
        <w:t xml:space="preserve">Interview Protocol for Local Agency Director </w:t>
      </w:r>
      <w:r w:rsidRPr="002808B8">
        <w:rPr>
          <w:rFonts w:eastAsia="Times New Roman"/>
        </w:rPr>
        <w:t xml:space="preserve">will be conducted in person to obtain </w:t>
      </w:r>
      <w:r w:rsidRPr="002808B8">
        <w:t xml:space="preserve">information about policies, practices, and priorities, and to gather contextual information about agency culture, relevant trends among the populations they serve, and their perspective about staff responsibilities and practices. The </w:t>
      </w:r>
      <w:r w:rsidR="00B75F42" w:rsidRPr="00B75F42">
        <w:rPr>
          <w:i/>
        </w:rPr>
        <w:t>Interview Protocol for Local Agency Staff</w:t>
      </w:r>
      <w:r w:rsidRPr="002808B8">
        <w:t xml:space="preserve"> </w:t>
      </w:r>
      <w:r w:rsidRPr="002808B8">
        <w:rPr>
          <w:rFonts w:eastAsia="Times New Roman"/>
        </w:rPr>
        <w:t>will be conducted in person to obtain</w:t>
      </w:r>
      <w:r w:rsidRPr="002808B8">
        <w:t xml:space="preserve"> more detailed information about agency policies, staff knowledge and behaviors, the agency’s data system and documentation processes, how children access services, and the kinds of services and supports provided to families and caregivers. There are 3 versions of this interview that are </w:t>
      </w:r>
      <w:r w:rsidR="0077513B" w:rsidRPr="002808B8">
        <w:t>administered</w:t>
      </w:r>
      <w:r w:rsidRPr="002808B8">
        <w:t xml:space="preserve"> based on the role and responsibilities of the staff person</w:t>
      </w:r>
      <w:r w:rsidR="00E043FC">
        <w:t>:</w:t>
      </w:r>
      <w:r w:rsidR="008C2325">
        <w:t xml:space="preserve"> </w:t>
      </w:r>
      <w:r w:rsidRPr="00204F76">
        <w:rPr>
          <w:i/>
        </w:rPr>
        <w:t>Frontline-only</w:t>
      </w:r>
      <w:r w:rsidRPr="002808B8">
        <w:t xml:space="preserve"> (i.e., intake and investigation responsibilities)</w:t>
      </w:r>
      <w:r w:rsidR="008C2325">
        <w:t xml:space="preserve">; </w:t>
      </w:r>
      <w:r w:rsidRPr="00204F76">
        <w:rPr>
          <w:i/>
        </w:rPr>
        <w:t>Ongoing-only</w:t>
      </w:r>
      <w:r w:rsidRPr="002808B8">
        <w:t xml:space="preserve"> (i.e., case management activities)</w:t>
      </w:r>
      <w:r w:rsidR="008C2325">
        <w:t xml:space="preserve">; </w:t>
      </w:r>
      <w:r w:rsidRPr="00204F76">
        <w:rPr>
          <w:i/>
        </w:rPr>
        <w:t>Frontline and Ongoing</w:t>
      </w:r>
      <w:r w:rsidRPr="002808B8">
        <w:t xml:space="preserve"> (for </w:t>
      </w:r>
      <w:r w:rsidR="0077513B" w:rsidRPr="002808B8">
        <w:t>staff</w:t>
      </w:r>
      <w:r w:rsidRPr="002808B8">
        <w:t xml:space="preserve"> responsible for both activities)</w:t>
      </w:r>
      <w:r w:rsidR="008C2325">
        <w:t>.</w:t>
      </w:r>
      <w:r w:rsidRPr="002808B8">
        <w:t xml:space="preserve"> </w:t>
      </w:r>
    </w:p>
    <w:p w14:paraId="2171635F" w14:textId="77777777" w:rsidR="00204F76" w:rsidRDefault="00204F76" w:rsidP="00204F76"/>
    <w:p w14:paraId="778E0D7C" w14:textId="5B1F2C3C" w:rsidR="00204F76" w:rsidRPr="00E06682" w:rsidRDefault="00233964" w:rsidP="008C2325">
      <w:r w:rsidRPr="002808B8">
        <w:t xml:space="preserve">The </w:t>
      </w:r>
      <w:bookmarkStart w:id="6" w:name="_Hlk498679340"/>
      <w:r w:rsidR="00B75F42" w:rsidRPr="00204F76">
        <w:rPr>
          <w:i/>
        </w:rPr>
        <w:t>Interview Protocol for Local Agency Medical Staff</w:t>
      </w:r>
      <w:bookmarkEnd w:id="6"/>
      <w:r w:rsidRPr="002808B8">
        <w:t xml:space="preserve"> will be conducted in person to obtain information similar to the local agency staff interviews but with </w:t>
      </w:r>
      <w:r w:rsidR="0077513B" w:rsidRPr="002808B8">
        <w:t>questions regarding</w:t>
      </w:r>
      <w:r w:rsidRPr="002808B8">
        <w:t xml:space="preserve"> practices related to medical assessment and diagnosis. </w:t>
      </w:r>
      <w:r w:rsidRPr="00204F76">
        <w:rPr>
          <w:rFonts w:eastAsia="Times New Roman"/>
        </w:rPr>
        <w:t xml:space="preserve">The </w:t>
      </w:r>
      <w:r w:rsidR="00B75F42" w:rsidRPr="00204F76">
        <w:rPr>
          <w:rFonts w:eastAsia="Times New Roman"/>
          <w:i/>
        </w:rPr>
        <w:t>Survey Instrument for Local Agency Staff (Form A General, Form B General, and Form B Differential Response)</w:t>
      </w:r>
      <w:r w:rsidRPr="00204F76">
        <w:rPr>
          <w:rFonts w:eastAsia="Times New Roman"/>
        </w:rPr>
        <w:t xml:space="preserve"> will be administered </w:t>
      </w:r>
      <w:r w:rsidRPr="002808B8">
        <w:t xml:space="preserve">to a larger group of agency staff to learn about staff knowledge, practices, and training history related to </w:t>
      </w:r>
      <w:r w:rsidR="00616CDF">
        <w:t xml:space="preserve">PSE, and will include </w:t>
      </w:r>
      <w:r w:rsidRPr="002808B8">
        <w:t xml:space="preserve">vignettes </w:t>
      </w:r>
      <w:r w:rsidR="00616CDF">
        <w:t>to</w:t>
      </w:r>
      <w:r w:rsidRPr="002808B8">
        <w:t xml:space="preserve"> ask the respondent to describe a common response</w:t>
      </w:r>
      <w:r w:rsidR="00616CDF">
        <w:t xml:space="preserve"> to PSE situations</w:t>
      </w:r>
      <w:r w:rsidRPr="00204F76">
        <w:rPr>
          <w:rFonts w:eastAsia="Times New Roman"/>
        </w:rPr>
        <w:t xml:space="preserve">. There are three versions. </w:t>
      </w:r>
      <w:r w:rsidRPr="00E06682">
        <w:rPr>
          <w:rFonts w:eastAsia="Times New Roman"/>
        </w:rPr>
        <w:t xml:space="preserve">One version is adapted to fit sites that </w:t>
      </w:r>
      <w:r w:rsidR="00E06682">
        <w:rPr>
          <w:rFonts w:eastAsia="Times New Roman"/>
        </w:rPr>
        <w:t>apply</w:t>
      </w:r>
      <w:r w:rsidRPr="00E06682">
        <w:rPr>
          <w:rFonts w:eastAsia="Times New Roman"/>
        </w:rPr>
        <w:t xml:space="preserve"> </w:t>
      </w:r>
      <w:r w:rsidRPr="00E06682">
        <w:rPr>
          <w:rFonts w:eastAsia="Times New Roman"/>
          <w:i/>
        </w:rPr>
        <w:t>Differential Response</w:t>
      </w:r>
      <w:r w:rsidRPr="00E06682">
        <w:rPr>
          <w:rFonts w:eastAsia="Times New Roman"/>
        </w:rPr>
        <w:t>, a CW systems reform that enables child protective services to differentiate its response to reports of child abuse and neglect based upon a number of factors</w:t>
      </w:r>
      <w:r w:rsidR="00204F76" w:rsidRPr="00E06682">
        <w:rPr>
          <w:rFonts w:eastAsia="Times New Roman"/>
        </w:rPr>
        <w:t>, including level of risk to the child</w:t>
      </w:r>
      <w:r w:rsidRPr="00E06682">
        <w:rPr>
          <w:rFonts w:eastAsia="Times New Roman"/>
        </w:rPr>
        <w:t>. The two other versions (</w:t>
      </w:r>
      <w:r w:rsidRPr="00E06682">
        <w:rPr>
          <w:rFonts w:eastAsia="Times New Roman"/>
          <w:i/>
        </w:rPr>
        <w:t>Form A</w:t>
      </w:r>
      <w:r w:rsidR="00B75F42" w:rsidRPr="00E06682">
        <w:rPr>
          <w:rFonts w:eastAsia="Times New Roman"/>
          <w:i/>
        </w:rPr>
        <w:t xml:space="preserve"> General</w:t>
      </w:r>
      <w:r w:rsidRPr="00E06682">
        <w:rPr>
          <w:rFonts w:eastAsia="Times New Roman"/>
        </w:rPr>
        <w:t xml:space="preserve"> and </w:t>
      </w:r>
      <w:r w:rsidRPr="00E06682">
        <w:rPr>
          <w:rFonts w:eastAsia="Times New Roman"/>
          <w:i/>
        </w:rPr>
        <w:t>Form B</w:t>
      </w:r>
      <w:r w:rsidR="00B75F42" w:rsidRPr="00E06682">
        <w:rPr>
          <w:rFonts w:eastAsia="Times New Roman"/>
          <w:i/>
        </w:rPr>
        <w:t xml:space="preserve"> General</w:t>
      </w:r>
      <w:r w:rsidRPr="00E06682">
        <w:rPr>
          <w:rFonts w:eastAsia="Times New Roman"/>
        </w:rPr>
        <w:t xml:space="preserve">) are identical, except for the inclusion of different vignettes that vary by age, gender, and situation. </w:t>
      </w:r>
    </w:p>
    <w:p w14:paraId="05324AB8" w14:textId="77777777" w:rsidR="00204F76" w:rsidRDefault="00204F76" w:rsidP="00204F76"/>
    <w:p w14:paraId="5CB13FC0" w14:textId="1FA83C6B" w:rsidR="00233964" w:rsidRPr="002808B8" w:rsidRDefault="00233964" w:rsidP="00204F76">
      <w:r w:rsidRPr="002808B8">
        <w:t xml:space="preserve">The number of surveys distributed at each agency will be roughly proportional to the size of the agency (between 12 and 28 staff members), to better represent and capture the variety of practice and knowledge among staff, particularly at larger agencies. The interviews and staff surveys will capture information from diverse staff perspectives and promote validity within individual agencies and transferability of overall thematic findings. </w:t>
      </w:r>
      <w:r w:rsidRPr="00E06682">
        <w:rPr>
          <w:rFonts w:eastAsia="Times New Roman"/>
        </w:rPr>
        <w:t xml:space="preserve"> </w:t>
      </w:r>
    </w:p>
    <w:p w14:paraId="0BFDEACB" w14:textId="77777777" w:rsidR="00233964" w:rsidRPr="002808B8" w:rsidRDefault="00233964" w:rsidP="004D1681">
      <w:pPr>
        <w:rPr>
          <w:rFonts w:eastAsia="Times New Roman"/>
        </w:rPr>
      </w:pPr>
    </w:p>
    <w:p w14:paraId="18AE3ABF" w14:textId="45F14073" w:rsidR="00233964" w:rsidRPr="002808B8" w:rsidRDefault="008327C3" w:rsidP="004D1681">
      <w:pPr>
        <w:rPr>
          <w:rFonts w:eastAsia="Times New Roman"/>
        </w:rPr>
      </w:pPr>
      <w:r>
        <w:rPr>
          <w:rFonts w:eastAsia="Times New Roman"/>
        </w:rPr>
        <w:t>At</w:t>
      </w:r>
      <w:r w:rsidR="00612728" w:rsidRPr="002808B8">
        <w:rPr>
          <w:rFonts w:eastAsia="Times New Roman"/>
        </w:rPr>
        <w:t xml:space="preserve"> </w:t>
      </w:r>
      <w:r>
        <w:rPr>
          <w:rFonts w:eastAsia="Times New Roman"/>
        </w:rPr>
        <w:t xml:space="preserve">8 </w:t>
      </w:r>
      <w:r w:rsidR="00204F76">
        <w:rPr>
          <w:rFonts w:eastAsia="Times New Roman"/>
        </w:rPr>
        <w:t xml:space="preserve">of the 28 </w:t>
      </w:r>
      <w:r w:rsidR="00B75F42" w:rsidRPr="002808B8">
        <w:rPr>
          <w:rFonts w:eastAsia="Times New Roman"/>
        </w:rPr>
        <w:t>sites</w:t>
      </w:r>
      <w:r w:rsidR="00233964" w:rsidRPr="002808B8">
        <w:rPr>
          <w:rFonts w:eastAsia="Times New Roman"/>
        </w:rPr>
        <w:t>, additional</w:t>
      </w:r>
      <w:r w:rsidR="00204F76">
        <w:rPr>
          <w:rFonts w:eastAsia="Times New Roman"/>
        </w:rPr>
        <w:t>, more in-depth,</w:t>
      </w:r>
      <w:r w:rsidR="00233964" w:rsidRPr="002808B8">
        <w:rPr>
          <w:rFonts w:eastAsia="Times New Roman"/>
        </w:rPr>
        <w:t xml:space="preserve"> data collection </w:t>
      </w:r>
      <w:r w:rsidR="004A5FD3" w:rsidRPr="002808B8">
        <w:rPr>
          <w:rFonts w:eastAsia="Times New Roman"/>
        </w:rPr>
        <w:t>is proposed</w:t>
      </w:r>
      <w:r w:rsidR="00233964" w:rsidRPr="002808B8">
        <w:rPr>
          <w:rFonts w:eastAsia="Times New Roman"/>
        </w:rPr>
        <w:t xml:space="preserve">. </w:t>
      </w:r>
      <w:r w:rsidR="00233964" w:rsidRPr="002808B8">
        <w:t xml:space="preserve">The </w:t>
      </w:r>
      <w:r w:rsidR="00B75F42" w:rsidRPr="00204F76">
        <w:rPr>
          <w:i/>
        </w:rPr>
        <w:t>Interview Protocol for Data Staff</w:t>
      </w:r>
      <w:r w:rsidR="00233964" w:rsidRPr="002808B8">
        <w:t xml:space="preserve"> </w:t>
      </w:r>
      <w:r w:rsidR="004A5FD3" w:rsidRPr="002808B8">
        <w:t xml:space="preserve">will </w:t>
      </w:r>
      <w:r w:rsidR="00233964" w:rsidRPr="002808B8">
        <w:t xml:space="preserve">obtain information about agency policies, information on the structure and composition of the data systems, where relevant information on PSE is likely to be documented, and data operationalization issues. The </w:t>
      </w:r>
      <w:r w:rsidR="00B75F42" w:rsidRPr="00204F76">
        <w:rPr>
          <w:i/>
        </w:rPr>
        <w:t>Survey Instrument for Service Providers</w:t>
      </w:r>
      <w:r w:rsidR="00B75F42" w:rsidRPr="00204F76" w:rsidDel="00B75F42">
        <w:rPr>
          <w:i/>
        </w:rPr>
        <w:t xml:space="preserve"> </w:t>
      </w:r>
      <w:r w:rsidR="00233964" w:rsidRPr="00204F76">
        <w:rPr>
          <w:rFonts w:eastAsia="Times New Roman"/>
        </w:rPr>
        <w:t xml:space="preserve">will be administered </w:t>
      </w:r>
      <w:r w:rsidR="00233964" w:rsidRPr="002808B8">
        <w:t xml:space="preserve">to medical and service providers who expressly partner with or </w:t>
      </w:r>
      <w:r>
        <w:t xml:space="preserve">receive referrals from these </w:t>
      </w:r>
      <w:r w:rsidR="00233964" w:rsidRPr="002808B8">
        <w:t xml:space="preserve">agencies, in order to gather information about how the service providers and </w:t>
      </w:r>
      <w:r w:rsidR="00B75F42">
        <w:t>CW</w:t>
      </w:r>
      <w:r w:rsidR="00233964" w:rsidRPr="002808B8">
        <w:t xml:space="preserve"> agencies may work together in the identification, assessment, and possible diagnosis of </w:t>
      </w:r>
      <w:r w:rsidR="007C5CDD">
        <w:t>PSE</w:t>
      </w:r>
      <w:r w:rsidR="00233964" w:rsidRPr="002808B8">
        <w:t xml:space="preserve"> or related medical conditions (e.g., ADHD) and to learn if and how information is transferred </w:t>
      </w:r>
      <w:r w:rsidR="007C5CDD">
        <w:t>across agencies</w:t>
      </w:r>
      <w:r w:rsidR="00233964" w:rsidRPr="002808B8">
        <w:t xml:space="preserve">. One </w:t>
      </w:r>
      <w:r w:rsidR="00233964" w:rsidRPr="00204F76">
        <w:rPr>
          <w:i/>
        </w:rPr>
        <w:t>Focus Group with Caregivers</w:t>
      </w:r>
      <w:r w:rsidR="00233964" w:rsidRPr="002808B8">
        <w:t xml:space="preserve"> will be</w:t>
      </w:r>
      <w:r>
        <w:t xml:space="preserve"> held at each </w:t>
      </w:r>
      <w:r w:rsidR="007C5CDD">
        <w:t>in-depth site</w:t>
      </w:r>
      <w:r w:rsidR="00233964" w:rsidRPr="002808B8">
        <w:t xml:space="preserve"> in </w:t>
      </w:r>
      <w:r w:rsidR="007C5CDD">
        <w:t>explore</w:t>
      </w:r>
      <w:r w:rsidR="00233964" w:rsidRPr="002808B8">
        <w:t xml:space="preserve"> how information related to PSE is communicated to foster and adoptive families and to learn more about these families’ </w:t>
      </w:r>
      <w:r>
        <w:t xml:space="preserve">PSE-related </w:t>
      </w:r>
      <w:r w:rsidR="00233964" w:rsidRPr="002808B8">
        <w:t>knowledge a</w:t>
      </w:r>
      <w:r>
        <w:t>nd training needs</w:t>
      </w:r>
      <w:r w:rsidR="00233964" w:rsidRPr="002808B8">
        <w:t xml:space="preserve">. </w:t>
      </w:r>
    </w:p>
    <w:p w14:paraId="644B6FBE" w14:textId="77777777" w:rsidR="00431440" w:rsidRPr="002808B8" w:rsidRDefault="00431440" w:rsidP="00431440">
      <w:pPr>
        <w:rPr>
          <w:rFonts w:eastAsia="Times New Roman"/>
        </w:rPr>
      </w:pPr>
    </w:p>
    <w:p w14:paraId="28662BA8" w14:textId="77777777" w:rsidR="004D1681" w:rsidRPr="002808B8" w:rsidRDefault="004D1681" w:rsidP="005C6153">
      <w:pPr>
        <w:pStyle w:val="NoSpacing"/>
        <w:tabs>
          <w:tab w:val="left" w:pos="360"/>
        </w:tabs>
        <w:outlineLvl w:val="1"/>
        <w:rPr>
          <w:b/>
        </w:rPr>
      </w:pPr>
      <w:bookmarkStart w:id="7" w:name="_Toc497115757"/>
      <w:r w:rsidRPr="002808B8">
        <w:rPr>
          <w:b/>
        </w:rPr>
        <w:t>3.</w:t>
      </w:r>
      <w:r w:rsidRPr="002808B8">
        <w:rPr>
          <w:b/>
        </w:rPr>
        <w:tab/>
        <w:t>Use of Improved Information Technology and Burden Reduction</w:t>
      </w:r>
      <w:bookmarkEnd w:id="7"/>
    </w:p>
    <w:p w14:paraId="72A5A3FF" w14:textId="77777777" w:rsidR="004D1681" w:rsidRPr="002808B8" w:rsidRDefault="004D1681" w:rsidP="004D1681">
      <w:pPr>
        <w:rPr>
          <w:rFonts w:eastAsia="Times New Roman"/>
        </w:rPr>
      </w:pPr>
    </w:p>
    <w:p w14:paraId="3239EA85" w14:textId="4611A62C" w:rsidR="00971925" w:rsidRDefault="004A5FD3" w:rsidP="004D1681">
      <w:r w:rsidRPr="002808B8">
        <w:t xml:space="preserve">Wherever possible and appropriate, information technology will be used to capture information and reduce burden </w:t>
      </w:r>
      <w:r w:rsidR="000B6BEF">
        <w:t>relative to other</w:t>
      </w:r>
      <w:r w:rsidRPr="002808B8">
        <w:t xml:space="preserve"> methods of data collection. </w:t>
      </w:r>
      <w:r w:rsidR="00971925">
        <w:rPr>
          <w:rFonts w:eastAsia="Times New Roman"/>
        </w:rPr>
        <w:t>Instrument questions are</w:t>
      </w:r>
      <w:r w:rsidR="00971925" w:rsidRPr="002808B8">
        <w:rPr>
          <w:rFonts w:eastAsia="Times New Roman"/>
        </w:rPr>
        <w:t xml:space="preserve"> designed to collect </w:t>
      </w:r>
      <w:r w:rsidR="009349A3">
        <w:rPr>
          <w:rFonts w:eastAsia="Times New Roman"/>
        </w:rPr>
        <w:t xml:space="preserve">only </w:t>
      </w:r>
      <w:r w:rsidR="00971925" w:rsidRPr="002808B8">
        <w:rPr>
          <w:rFonts w:eastAsia="Times New Roman"/>
        </w:rPr>
        <w:t>information not provided by existing sources</w:t>
      </w:r>
      <w:r w:rsidR="000B6BEF">
        <w:rPr>
          <w:rFonts w:eastAsia="Times New Roman"/>
        </w:rPr>
        <w:t>, further</w:t>
      </w:r>
      <w:r w:rsidR="00092E0A">
        <w:rPr>
          <w:rFonts w:eastAsia="Times New Roman"/>
        </w:rPr>
        <w:t xml:space="preserve"> reduc</w:t>
      </w:r>
      <w:r w:rsidR="000B6BEF">
        <w:rPr>
          <w:rFonts w:eastAsia="Times New Roman"/>
        </w:rPr>
        <w:t>ing the burden</w:t>
      </w:r>
      <w:r w:rsidR="00971925" w:rsidRPr="002808B8">
        <w:rPr>
          <w:rFonts w:eastAsia="Times New Roman"/>
        </w:rPr>
        <w:t>.</w:t>
      </w:r>
    </w:p>
    <w:p w14:paraId="186DCEA8" w14:textId="77777777" w:rsidR="00971925" w:rsidRDefault="00971925" w:rsidP="004D1681"/>
    <w:p w14:paraId="579150EA" w14:textId="0A05ED36" w:rsidR="004D1681" w:rsidRPr="002808B8" w:rsidRDefault="004A5FD3" w:rsidP="004D1681">
      <w:pPr>
        <w:rPr>
          <w:rFonts w:eastAsia="Times New Roman"/>
        </w:rPr>
      </w:pPr>
      <w:r w:rsidRPr="002808B8">
        <w:t>Adminis</w:t>
      </w:r>
      <w:r w:rsidR="007C5CDD">
        <w:t>tration of the surveys will be W</w:t>
      </w:r>
      <w:r w:rsidRPr="002808B8">
        <w:t>eb-based,</w:t>
      </w:r>
      <w:r w:rsidR="007C5CDD">
        <w:rPr>
          <w:rStyle w:val="FootnoteReference"/>
        </w:rPr>
        <w:footnoteReference w:id="6"/>
      </w:r>
      <w:r w:rsidRPr="002808B8">
        <w:t xml:space="preserve"> utilizing email notification and Internet-based survey technologies creating efficie</w:t>
      </w:r>
      <w:r w:rsidR="00971925">
        <w:t>ncies for survey administrators and</w:t>
      </w:r>
      <w:r w:rsidRPr="002808B8">
        <w:t xml:space="preserve"> allowing flexibility and convenience for respondents. </w:t>
      </w:r>
      <w:r w:rsidR="00B101E8" w:rsidRPr="002808B8">
        <w:rPr>
          <w:rFonts w:eastAsia="Times New Roman"/>
        </w:rPr>
        <w:t>Most i</w:t>
      </w:r>
      <w:r w:rsidRPr="002808B8">
        <w:rPr>
          <w:rFonts w:eastAsia="Times New Roman"/>
        </w:rPr>
        <w:t xml:space="preserve">tems </w:t>
      </w:r>
      <w:r w:rsidR="00B101E8" w:rsidRPr="002808B8">
        <w:rPr>
          <w:rFonts w:eastAsia="Times New Roman"/>
        </w:rPr>
        <w:t>are q</w:t>
      </w:r>
      <w:r w:rsidR="000B6BEF">
        <w:rPr>
          <w:rFonts w:eastAsia="Times New Roman"/>
        </w:rPr>
        <w:t>uantitative with skip patterns</w:t>
      </w:r>
      <w:r w:rsidR="00B101E8" w:rsidRPr="002808B8">
        <w:rPr>
          <w:rFonts w:eastAsia="Times New Roman"/>
        </w:rPr>
        <w:t xml:space="preserve"> to reduce burden. </w:t>
      </w:r>
      <w:r w:rsidRPr="002808B8">
        <w:rPr>
          <w:rFonts w:eastAsia="Times New Roman"/>
        </w:rPr>
        <w:t>The s</w:t>
      </w:r>
      <w:r w:rsidR="004D1681" w:rsidRPr="002808B8">
        <w:rPr>
          <w:rFonts w:eastAsia="Times New Roman"/>
        </w:rPr>
        <w:t>urvey</w:t>
      </w:r>
      <w:r w:rsidR="00427249" w:rsidRPr="002808B8">
        <w:rPr>
          <w:rFonts w:eastAsia="Times New Roman"/>
        </w:rPr>
        <w:t>s</w:t>
      </w:r>
      <w:r w:rsidR="004D1681" w:rsidRPr="002808B8">
        <w:rPr>
          <w:rFonts w:eastAsia="Times New Roman"/>
        </w:rPr>
        <w:t xml:space="preserve"> will be administered electronically so respondents can respond at their convenience. Respondents are expected to have the capabilities to access the </w:t>
      </w:r>
      <w:r w:rsidR="00737969" w:rsidRPr="002808B8">
        <w:rPr>
          <w:rFonts w:eastAsia="Times New Roman"/>
        </w:rPr>
        <w:t>W</w:t>
      </w:r>
      <w:r w:rsidR="004D1681" w:rsidRPr="002808B8">
        <w:rPr>
          <w:rFonts w:eastAsia="Times New Roman"/>
        </w:rPr>
        <w:t>eb</w:t>
      </w:r>
      <w:r w:rsidR="00737969" w:rsidRPr="002808B8">
        <w:rPr>
          <w:rFonts w:eastAsia="Times New Roman"/>
        </w:rPr>
        <w:t xml:space="preserve"> </w:t>
      </w:r>
      <w:r w:rsidR="004D1681" w:rsidRPr="002808B8">
        <w:rPr>
          <w:rFonts w:eastAsia="Times New Roman"/>
        </w:rPr>
        <w:t>link to the survey.</w:t>
      </w:r>
      <w:r w:rsidRPr="002808B8">
        <w:rPr>
          <w:rStyle w:val="FootnoteReference"/>
          <w:rFonts w:eastAsia="Times New Roman"/>
        </w:rPr>
        <w:footnoteReference w:id="7"/>
      </w:r>
    </w:p>
    <w:p w14:paraId="08EB8AE4" w14:textId="77777777" w:rsidR="004A5FD3" w:rsidRPr="002808B8" w:rsidRDefault="004A5FD3" w:rsidP="004D1681">
      <w:pPr>
        <w:rPr>
          <w:rFonts w:eastAsia="Times New Roman"/>
        </w:rPr>
      </w:pPr>
    </w:p>
    <w:p w14:paraId="555BBBC2" w14:textId="2129761F" w:rsidR="004D1681" w:rsidRPr="002808B8" w:rsidRDefault="004D1681" w:rsidP="004D1681">
      <w:pPr>
        <w:rPr>
          <w:rFonts w:eastAsia="Times New Roman"/>
        </w:rPr>
      </w:pPr>
      <w:r w:rsidRPr="002808B8">
        <w:rPr>
          <w:rFonts w:eastAsia="Times New Roman"/>
        </w:rPr>
        <w:t xml:space="preserve">The </w:t>
      </w:r>
      <w:r w:rsidR="00BC1C04" w:rsidRPr="002808B8">
        <w:rPr>
          <w:rFonts w:eastAsia="Times New Roman"/>
        </w:rPr>
        <w:t>interviews and focus groups</w:t>
      </w:r>
      <w:r w:rsidRPr="002808B8">
        <w:rPr>
          <w:rFonts w:eastAsia="Times New Roman"/>
        </w:rPr>
        <w:t xml:space="preserve"> will be </w:t>
      </w:r>
      <w:r w:rsidR="000B6BEF">
        <w:rPr>
          <w:rFonts w:eastAsia="Times New Roman"/>
        </w:rPr>
        <w:t>conducted</w:t>
      </w:r>
      <w:r w:rsidRPr="002808B8">
        <w:rPr>
          <w:rFonts w:eastAsia="Times New Roman"/>
        </w:rPr>
        <w:t xml:space="preserve"> to obtain more detailed information </w:t>
      </w:r>
      <w:r w:rsidR="00D946CC" w:rsidRPr="002808B8">
        <w:rPr>
          <w:rFonts w:eastAsia="Times New Roman"/>
        </w:rPr>
        <w:t xml:space="preserve">on </w:t>
      </w:r>
      <w:r w:rsidR="00505D3F" w:rsidRPr="002808B8">
        <w:rPr>
          <w:rFonts w:eastAsia="Times New Roman"/>
        </w:rPr>
        <w:t xml:space="preserve">the </w:t>
      </w:r>
      <w:r w:rsidR="00505D3F" w:rsidRPr="002808B8">
        <w:t>CW system’s response to PSE</w:t>
      </w:r>
      <w:r w:rsidRPr="002808B8">
        <w:rPr>
          <w:rFonts w:eastAsia="Times New Roman"/>
        </w:rPr>
        <w:t xml:space="preserve">. It is not appropriate to use computer-based interviewing given the nature of the </w:t>
      </w:r>
      <w:r w:rsidR="00971925">
        <w:rPr>
          <w:rFonts w:eastAsia="Times New Roman"/>
        </w:rPr>
        <w:t>items</w:t>
      </w:r>
      <w:r w:rsidRPr="002808B8">
        <w:rPr>
          <w:rFonts w:eastAsia="Times New Roman"/>
        </w:rPr>
        <w:t xml:space="preserve">. </w:t>
      </w:r>
      <w:r w:rsidR="00E06682">
        <w:rPr>
          <w:rFonts w:eastAsia="Times New Roman"/>
        </w:rPr>
        <w:t xml:space="preserve">All data collectors will undergo training on sensitive and responsive interviewing techniques, protection of </w:t>
      </w:r>
      <w:r w:rsidR="000B6BEF">
        <w:rPr>
          <w:rFonts w:eastAsia="Times New Roman"/>
        </w:rPr>
        <w:t>participants’ privacy</w:t>
      </w:r>
      <w:r w:rsidR="00E06682">
        <w:rPr>
          <w:rFonts w:eastAsia="Times New Roman"/>
        </w:rPr>
        <w:t xml:space="preserve">, and data security procedures. </w:t>
      </w:r>
      <w:r w:rsidRPr="002808B8">
        <w:rPr>
          <w:rFonts w:eastAsia="Times New Roman"/>
        </w:rPr>
        <w:t>The responses will be qualitative in nature. Skip patterns will be used. Interviews will be scheduled with the respondents to minimize the disruption on daily activities.</w:t>
      </w:r>
    </w:p>
    <w:p w14:paraId="3B3ED46C" w14:textId="2B3CFE3B" w:rsidR="00004AAA" w:rsidRPr="002808B8" w:rsidRDefault="00004AAA">
      <w:pPr>
        <w:rPr>
          <w:rFonts w:eastAsia="Times New Roman"/>
          <w:b/>
        </w:rPr>
      </w:pPr>
    </w:p>
    <w:p w14:paraId="74680FFE" w14:textId="3C564C26" w:rsidR="004D1681" w:rsidRPr="002808B8" w:rsidRDefault="004D1681" w:rsidP="005C6153">
      <w:pPr>
        <w:pStyle w:val="NoSpacing"/>
        <w:tabs>
          <w:tab w:val="left" w:pos="360"/>
        </w:tabs>
        <w:outlineLvl w:val="1"/>
        <w:rPr>
          <w:b/>
        </w:rPr>
      </w:pPr>
      <w:bookmarkStart w:id="8" w:name="_Toc497115758"/>
      <w:r w:rsidRPr="002808B8">
        <w:rPr>
          <w:b/>
        </w:rPr>
        <w:t>4.</w:t>
      </w:r>
      <w:r w:rsidRPr="002808B8">
        <w:rPr>
          <w:b/>
        </w:rPr>
        <w:tab/>
        <w:t xml:space="preserve">Efforts </w:t>
      </w:r>
      <w:r w:rsidR="005434B0" w:rsidRPr="002808B8">
        <w:rPr>
          <w:b/>
        </w:rPr>
        <w:t>T</w:t>
      </w:r>
      <w:r w:rsidRPr="002808B8">
        <w:rPr>
          <w:b/>
        </w:rPr>
        <w:t>o Identify Duplication and Use of Similar Information</w:t>
      </w:r>
      <w:bookmarkEnd w:id="8"/>
      <w:r w:rsidRPr="002808B8">
        <w:rPr>
          <w:b/>
        </w:rPr>
        <w:t xml:space="preserve">  </w:t>
      </w:r>
    </w:p>
    <w:p w14:paraId="573A7E88" w14:textId="77777777" w:rsidR="004D1681" w:rsidRPr="002808B8" w:rsidRDefault="004D1681" w:rsidP="004D1681">
      <w:pPr>
        <w:rPr>
          <w:rFonts w:eastAsia="Times New Roman"/>
        </w:rPr>
      </w:pPr>
    </w:p>
    <w:p w14:paraId="7A14F999" w14:textId="06F035E7" w:rsidR="004D1681" w:rsidRPr="002808B8" w:rsidRDefault="004A5FD3" w:rsidP="004D1681">
      <w:pPr>
        <w:rPr>
          <w:rFonts w:eastAsia="Times New Roman"/>
        </w:rPr>
      </w:pPr>
      <w:r w:rsidRPr="002808B8">
        <w:rPr>
          <w:rFonts w:eastAsia="Times New Roman"/>
        </w:rPr>
        <w:t>Through an extensive literature review and contacts with</w:t>
      </w:r>
      <w:r w:rsidR="002D46B7">
        <w:rPr>
          <w:rFonts w:eastAsia="Times New Roman"/>
        </w:rPr>
        <w:t xml:space="preserve"> researchers and other</w:t>
      </w:r>
      <w:r w:rsidRPr="002808B8">
        <w:rPr>
          <w:rFonts w:eastAsia="Times New Roman"/>
        </w:rPr>
        <w:t xml:space="preserve"> individuals with</w:t>
      </w:r>
      <w:r w:rsidR="002D46B7">
        <w:rPr>
          <w:rFonts w:eastAsia="Times New Roman"/>
        </w:rPr>
        <w:t xml:space="preserve"> </w:t>
      </w:r>
      <w:r w:rsidR="000B6BEF">
        <w:rPr>
          <w:rFonts w:eastAsia="Times New Roman"/>
        </w:rPr>
        <w:t>CW</w:t>
      </w:r>
      <w:r w:rsidR="002D46B7">
        <w:rPr>
          <w:rFonts w:eastAsia="Times New Roman"/>
        </w:rPr>
        <w:t xml:space="preserve"> and </w:t>
      </w:r>
      <w:r w:rsidR="000B6BEF">
        <w:rPr>
          <w:rFonts w:eastAsia="Times New Roman"/>
        </w:rPr>
        <w:t>PSE</w:t>
      </w:r>
      <w:r w:rsidRPr="002808B8">
        <w:rPr>
          <w:rFonts w:eastAsia="Times New Roman"/>
        </w:rPr>
        <w:t xml:space="preserve"> expertise within federal agen</w:t>
      </w:r>
      <w:r w:rsidR="00971925">
        <w:rPr>
          <w:rFonts w:eastAsia="Times New Roman"/>
        </w:rPr>
        <w:t>cies</w:t>
      </w:r>
      <w:r w:rsidR="002D46B7">
        <w:rPr>
          <w:rFonts w:eastAsia="Times New Roman"/>
        </w:rPr>
        <w:t xml:space="preserve">, as well as </w:t>
      </w:r>
      <w:r w:rsidR="00E06682">
        <w:rPr>
          <w:rFonts w:eastAsia="Times New Roman"/>
        </w:rPr>
        <w:t>the</w:t>
      </w:r>
      <w:r w:rsidRPr="002808B8">
        <w:rPr>
          <w:rFonts w:eastAsia="Times New Roman"/>
        </w:rPr>
        <w:t xml:space="preserve"> </w:t>
      </w:r>
      <w:r w:rsidR="00971925">
        <w:rPr>
          <w:rFonts w:eastAsia="Times New Roman"/>
        </w:rPr>
        <w:t xml:space="preserve">study </w:t>
      </w:r>
      <w:r w:rsidRPr="002808B8">
        <w:rPr>
          <w:rFonts w:eastAsia="Times New Roman"/>
        </w:rPr>
        <w:t xml:space="preserve">technical work group, the team determined that there are no similar data publicly available that can address the study questions without this data collection. </w:t>
      </w:r>
      <w:r w:rsidR="004D1681" w:rsidRPr="002808B8">
        <w:rPr>
          <w:rFonts w:eastAsia="Times New Roman"/>
        </w:rPr>
        <w:t>The proposed instruments have been designed to be completed in the shortest amount of time possible by the fewest number of respondents while elici</w:t>
      </w:r>
      <w:r w:rsidR="00E06682">
        <w:rPr>
          <w:rFonts w:eastAsia="Times New Roman"/>
        </w:rPr>
        <w:t xml:space="preserve">ting the necessary information. </w:t>
      </w:r>
      <w:r w:rsidR="00C2460D">
        <w:rPr>
          <w:rFonts w:eastAsia="Times New Roman"/>
        </w:rPr>
        <w:t>These instruments have been pre-tested for both understanding and time required by the respondents.</w:t>
      </w:r>
    </w:p>
    <w:p w14:paraId="11B86CC1" w14:textId="77777777" w:rsidR="004D1681" w:rsidRPr="002808B8" w:rsidRDefault="004D1681" w:rsidP="004D1681">
      <w:pPr>
        <w:rPr>
          <w:rFonts w:eastAsia="Times New Roman"/>
        </w:rPr>
      </w:pPr>
    </w:p>
    <w:p w14:paraId="6B30D97D" w14:textId="77777777" w:rsidR="004D1681" w:rsidRPr="002808B8" w:rsidRDefault="004D1681" w:rsidP="005C6153">
      <w:pPr>
        <w:pStyle w:val="NoSpacing"/>
        <w:tabs>
          <w:tab w:val="left" w:pos="360"/>
        </w:tabs>
        <w:outlineLvl w:val="1"/>
        <w:rPr>
          <w:b/>
        </w:rPr>
      </w:pPr>
      <w:bookmarkStart w:id="9" w:name="_Toc497115759"/>
      <w:r w:rsidRPr="002808B8">
        <w:rPr>
          <w:b/>
        </w:rPr>
        <w:t>5.</w:t>
      </w:r>
      <w:r w:rsidRPr="002808B8">
        <w:rPr>
          <w:b/>
        </w:rPr>
        <w:tab/>
        <w:t>Impact on Small Businesses or Other Small Entities</w:t>
      </w:r>
      <w:bookmarkEnd w:id="9"/>
    </w:p>
    <w:p w14:paraId="4C148526" w14:textId="77777777" w:rsidR="004D1681" w:rsidRPr="002808B8" w:rsidRDefault="004D1681" w:rsidP="004D1681">
      <w:pPr>
        <w:ind w:left="360" w:hanging="360"/>
        <w:rPr>
          <w:rFonts w:eastAsia="Times New Roman"/>
        </w:rPr>
      </w:pPr>
    </w:p>
    <w:p w14:paraId="4A44DCA5" w14:textId="1D2FF817" w:rsidR="004D1681" w:rsidRPr="002808B8" w:rsidRDefault="004D1681" w:rsidP="004D1681">
      <w:pPr>
        <w:rPr>
          <w:rFonts w:eastAsia="Times New Roman"/>
        </w:rPr>
      </w:pPr>
      <w:r w:rsidRPr="002808B8">
        <w:rPr>
          <w:rFonts w:eastAsia="Times New Roman"/>
        </w:rPr>
        <w:t>The full range of information will be requested of all respondents</w:t>
      </w:r>
      <w:r w:rsidR="0040319B" w:rsidRPr="002808B8">
        <w:rPr>
          <w:rFonts w:eastAsia="Times New Roman"/>
        </w:rPr>
        <w:t xml:space="preserve"> responding to each instrument</w:t>
      </w:r>
      <w:r w:rsidRPr="002808B8">
        <w:rPr>
          <w:rFonts w:eastAsia="Times New Roman"/>
        </w:rPr>
        <w:t xml:space="preserve">. Organizational size will not affect the relevance of particular questions. Information being requested has been held to the minimum sufficient to </w:t>
      </w:r>
      <w:r w:rsidR="00C11C93" w:rsidRPr="002808B8">
        <w:rPr>
          <w:rFonts w:eastAsia="Times New Roman"/>
        </w:rPr>
        <w:t xml:space="preserve">address </w:t>
      </w:r>
      <w:r w:rsidRPr="002808B8">
        <w:rPr>
          <w:rFonts w:eastAsia="Times New Roman"/>
        </w:rPr>
        <w:t>the intended research questions.</w:t>
      </w:r>
    </w:p>
    <w:p w14:paraId="4ED1779D" w14:textId="77777777" w:rsidR="004D1681" w:rsidRPr="002808B8" w:rsidRDefault="004D1681" w:rsidP="004D1681">
      <w:pPr>
        <w:rPr>
          <w:rFonts w:eastAsia="Times New Roman"/>
        </w:rPr>
      </w:pPr>
    </w:p>
    <w:p w14:paraId="54E69B6C" w14:textId="77777777" w:rsidR="004D1681" w:rsidRPr="002808B8" w:rsidRDefault="004D1681" w:rsidP="005C6153">
      <w:pPr>
        <w:pStyle w:val="NoSpacing"/>
        <w:tabs>
          <w:tab w:val="left" w:pos="360"/>
        </w:tabs>
        <w:outlineLvl w:val="1"/>
        <w:rPr>
          <w:b/>
        </w:rPr>
      </w:pPr>
      <w:bookmarkStart w:id="10" w:name="_Toc497115760"/>
      <w:r w:rsidRPr="002808B8">
        <w:rPr>
          <w:b/>
        </w:rPr>
        <w:t>6.</w:t>
      </w:r>
      <w:r w:rsidRPr="002808B8">
        <w:rPr>
          <w:b/>
        </w:rPr>
        <w:tab/>
        <w:t>Consequences of Collecting the Information Less Frequently</w:t>
      </w:r>
      <w:bookmarkEnd w:id="10"/>
    </w:p>
    <w:p w14:paraId="2DE572D3" w14:textId="77777777" w:rsidR="004D1681" w:rsidRPr="002808B8" w:rsidRDefault="004D1681" w:rsidP="004D1681">
      <w:pPr>
        <w:rPr>
          <w:rFonts w:eastAsia="Times New Roman"/>
        </w:rPr>
      </w:pPr>
    </w:p>
    <w:p w14:paraId="5672D467" w14:textId="086F57A4" w:rsidR="004D1681" w:rsidRPr="002808B8" w:rsidRDefault="004D1681" w:rsidP="004D1681">
      <w:pPr>
        <w:rPr>
          <w:rFonts w:eastAsia="Times New Roman"/>
        </w:rPr>
      </w:pPr>
      <w:r w:rsidRPr="002808B8">
        <w:rPr>
          <w:rFonts w:eastAsia="Times New Roman"/>
        </w:rPr>
        <w:t xml:space="preserve">This is a one-time project. If the collection is not conducted, </w:t>
      </w:r>
      <w:r w:rsidR="00427249" w:rsidRPr="002808B8">
        <w:rPr>
          <w:rFonts w:eastAsia="Times New Roman"/>
        </w:rPr>
        <w:t xml:space="preserve">the </w:t>
      </w:r>
      <w:r w:rsidR="000B6BEF">
        <w:rPr>
          <w:rFonts w:eastAsia="Times New Roman"/>
        </w:rPr>
        <w:t>CB</w:t>
      </w:r>
      <w:r w:rsidRPr="002808B8">
        <w:rPr>
          <w:rFonts w:eastAsia="Times New Roman"/>
        </w:rPr>
        <w:t xml:space="preserve"> will not have access to this type of information</w:t>
      </w:r>
      <w:r w:rsidR="002A5F2C" w:rsidRPr="002808B8">
        <w:rPr>
          <w:rFonts w:eastAsia="Times New Roman"/>
        </w:rPr>
        <w:t xml:space="preserve"> to understand</w:t>
      </w:r>
      <w:r w:rsidRPr="002808B8">
        <w:rPr>
          <w:rFonts w:eastAsia="Times New Roman"/>
        </w:rPr>
        <w:t xml:space="preserve"> </w:t>
      </w:r>
      <w:r w:rsidR="002A5F2C" w:rsidRPr="002808B8">
        <w:rPr>
          <w:rFonts w:eastAsia="Times New Roman"/>
        </w:rPr>
        <w:t xml:space="preserve">the </w:t>
      </w:r>
      <w:r w:rsidR="00BD0AE1" w:rsidRPr="002808B8">
        <w:rPr>
          <w:rFonts w:eastAsia="Times New Roman"/>
        </w:rPr>
        <w:t>CW</w:t>
      </w:r>
      <w:r w:rsidR="002A5F2C" w:rsidRPr="002808B8">
        <w:t xml:space="preserve"> system’s response to </w:t>
      </w:r>
      <w:r w:rsidR="00BD0AE1" w:rsidRPr="002808B8">
        <w:t>PSE</w:t>
      </w:r>
      <w:r w:rsidR="00131711" w:rsidRPr="002808B8">
        <w:t>,</w:t>
      </w:r>
      <w:r w:rsidR="002A5F2C" w:rsidRPr="002808B8">
        <w:t xml:space="preserve"> to</w:t>
      </w:r>
      <w:r w:rsidRPr="002808B8">
        <w:rPr>
          <w:rFonts w:eastAsia="Times New Roman"/>
        </w:rPr>
        <w:t xml:space="preserve"> make recommendations for future research and grant funding</w:t>
      </w:r>
      <w:r w:rsidR="00131711" w:rsidRPr="002808B8">
        <w:rPr>
          <w:rFonts w:eastAsia="Times New Roman"/>
        </w:rPr>
        <w:t xml:space="preserve">, </w:t>
      </w:r>
      <w:r w:rsidR="00131711" w:rsidRPr="002808B8">
        <w:t xml:space="preserve">or to make recommendations for improved services, service planning and coordination, and documentation of </w:t>
      </w:r>
      <w:r w:rsidR="00BD0AE1" w:rsidRPr="002808B8">
        <w:t>PSE</w:t>
      </w:r>
      <w:r w:rsidR="00131711" w:rsidRPr="002808B8">
        <w:t xml:space="preserve"> and related conditions for children in the </w:t>
      </w:r>
      <w:r w:rsidR="00BD0AE1" w:rsidRPr="002808B8">
        <w:t>CW</w:t>
      </w:r>
      <w:r w:rsidR="00131711" w:rsidRPr="002808B8">
        <w:t xml:space="preserve"> system</w:t>
      </w:r>
      <w:r w:rsidRPr="002808B8">
        <w:rPr>
          <w:rFonts w:eastAsia="Times New Roman"/>
        </w:rPr>
        <w:t>.</w:t>
      </w:r>
    </w:p>
    <w:p w14:paraId="0E4B65C3" w14:textId="77777777" w:rsidR="004D1681" w:rsidRPr="002808B8" w:rsidRDefault="004D1681" w:rsidP="004D1681">
      <w:pPr>
        <w:rPr>
          <w:rFonts w:eastAsia="Times New Roman"/>
        </w:rPr>
      </w:pPr>
    </w:p>
    <w:p w14:paraId="7D8BA45B" w14:textId="77777777" w:rsidR="004D1681" w:rsidRPr="002808B8" w:rsidRDefault="004D1681" w:rsidP="005C6153">
      <w:pPr>
        <w:pStyle w:val="NoSpacing"/>
        <w:tabs>
          <w:tab w:val="left" w:pos="360"/>
        </w:tabs>
        <w:outlineLvl w:val="1"/>
        <w:rPr>
          <w:b/>
        </w:rPr>
      </w:pPr>
      <w:bookmarkStart w:id="11" w:name="_Toc497115761"/>
      <w:r w:rsidRPr="002808B8">
        <w:rPr>
          <w:b/>
        </w:rPr>
        <w:t>7.</w:t>
      </w:r>
      <w:r w:rsidRPr="002808B8">
        <w:rPr>
          <w:b/>
        </w:rPr>
        <w:tab/>
        <w:t>Special Circumstances Relating to the Guidelines of 5 CFR 1320.5</w:t>
      </w:r>
      <w:bookmarkEnd w:id="11"/>
    </w:p>
    <w:p w14:paraId="712D31F0" w14:textId="77777777" w:rsidR="004D1681" w:rsidRPr="002808B8" w:rsidRDefault="004D1681" w:rsidP="004D1681">
      <w:pPr>
        <w:rPr>
          <w:rFonts w:eastAsia="Times New Roman"/>
        </w:rPr>
      </w:pPr>
    </w:p>
    <w:p w14:paraId="6DE1C031" w14:textId="77777777" w:rsidR="004D1681" w:rsidRPr="002808B8" w:rsidRDefault="004D1681" w:rsidP="004D1681">
      <w:pPr>
        <w:rPr>
          <w:rFonts w:eastAsia="Times New Roman"/>
        </w:rPr>
      </w:pPr>
      <w:r w:rsidRPr="002808B8">
        <w:rPr>
          <w:rFonts w:eastAsia="Times New Roman"/>
        </w:rPr>
        <w:t>There are no special circumstances associated with this data collection.</w:t>
      </w:r>
    </w:p>
    <w:p w14:paraId="08970952" w14:textId="77777777" w:rsidR="004D1681" w:rsidRPr="002808B8" w:rsidRDefault="004D1681" w:rsidP="004D1681">
      <w:pPr>
        <w:rPr>
          <w:rFonts w:eastAsia="Times New Roman"/>
        </w:rPr>
      </w:pPr>
    </w:p>
    <w:p w14:paraId="254D4976" w14:textId="3D3F995B" w:rsidR="004D1681" w:rsidRPr="002808B8" w:rsidRDefault="004D1681" w:rsidP="005C6153">
      <w:pPr>
        <w:pStyle w:val="NoSpacing"/>
        <w:tabs>
          <w:tab w:val="left" w:pos="360"/>
        </w:tabs>
        <w:ind w:left="360" w:hanging="360"/>
        <w:outlineLvl w:val="1"/>
        <w:rPr>
          <w:b/>
        </w:rPr>
      </w:pPr>
      <w:bookmarkStart w:id="12" w:name="_Toc497115762"/>
      <w:r w:rsidRPr="002808B8">
        <w:rPr>
          <w:b/>
        </w:rPr>
        <w:t>8.</w:t>
      </w:r>
      <w:r w:rsidRPr="002808B8">
        <w:rPr>
          <w:b/>
        </w:rPr>
        <w:tab/>
        <w:t xml:space="preserve">Comments in Response to the Federal Register Notice and Efforts </w:t>
      </w:r>
      <w:r w:rsidR="00C11C93" w:rsidRPr="002808B8">
        <w:rPr>
          <w:b/>
        </w:rPr>
        <w:t>T</w:t>
      </w:r>
      <w:r w:rsidRPr="002808B8">
        <w:rPr>
          <w:b/>
        </w:rPr>
        <w:t>o Consult Outside the Agency</w:t>
      </w:r>
      <w:bookmarkEnd w:id="12"/>
    </w:p>
    <w:p w14:paraId="2107EFF6" w14:textId="77777777" w:rsidR="004D1681" w:rsidRPr="002808B8" w:rsidRDefault="004D1681" w:rsidP="004D1681">
      <w:pPr>
        <w:rPr>
          <w:rFonts w:eastAsia="Times New Roman"/>
        </w:rPr>
      </w:pPr>
    </w:p>
    <w:p w14:paraId="70E187A2" w14:textId="5974280F" w:rsidR="004D1681" w:rsidRDefault="004D1681" w:rsidP="00E06682">
      <w:pPr>
        <w:rPr>
          <w:rFonts w:eastAsia="Times New Roman"/>
        </w:rPr>
      </w:pPr>
      <w:r w:rsidRPr="00071800">
        <w:rPr>
          <w:rFonts w:eastAsia="Times New Roman"/>
        </w:rPr>
        <w:t>No requests were received from the general public for copies of the proposed information collection instruments following the publication of the notice that appeared in the Federal Register, Volume 8</w:t>
      </w:r>
      <w:r w:rsidR="006B76CD" w:rsidRPr="00071800">
        <w:rPr>
          <w:rFonts w:eastAsia="Times New Roman"/>
        </w:rPr>
        <w:t>2</w:t>
      </w:r>
      <w:r w:rsidRPr="00071800">
        <w:rPr>
          <w:rFonts w:eastAsia="Times New Roman"/>
        </w:rPr>
        <w:t xml:space="preserve">, Number </w:t>
      </w:r>
      <w:r w:rsidR="006B76CD" w:rsidRPr="00071800">
        <w:rPr>
          <w:rFonts w:eastAsia="Times New Roman"/>
        </w:rPr>
        <w:t>202</w:t>
      </w:r>
      <w:r w:rsidRPr="00071800">
        <w:rPr>
          <w:rFonts w:eastAsia="Times New Roman"/>
        </w:rPr>
        <w:t xml:space="preserve">, </w:t>
      </w:r>
      <w:r w:rsidR="006B76CD" w:rsidRPr="00071800">
        <w:rPr>
          <w:rFonts w:eastAsia="Times New Roman"/>
        </w:rPr>
        <w:t>Friday</w:t>
      </w:r>
      <w:r w:rsidRPr="00071800">
        <w:rPr>
          <w:rFonts w:eastAsia="Times New Roman"/>
        </w:rPr>
        <w:t xml:space="preserve">, </w:t>
      </w:r>
      <w:r w:rsidR="006B76CD" w:rsidRPr="00071800">
        <w:rPr>
          <w:rFonts w:eastAsia="Times New Roman"/>
        </w:rPr>
        <w:t>October 20</w:t>
      </w:r>
      <w:r w:rsidRPr="00071800">
        <w:rPr>
          <w:rFonts w:eastAsia="Times New Roman"/>
        </w:rPr>
        <w:t>, 201</w:t>
      </w:r>
      <w:r w:rsidR="006B76CD" w:rsidRPr="00071800">
        <w:rPr>
          <w:rFonts w:eastAsia="Times New Roman"/>
        </w:rPr>
        <w:t>7</w:t>
      </w:r>
      <w:r w:rsidRPr="00071800">
        <w:rPr>
          <w:rFonts w:eastAsia="Times New Roman"/>
        </w:rPr>
        <w:t xml:space="preserve">, pages </w:t>
      </w:r>
      <w:r w:rsidR="006B76CD" w:rsidRPr="00071800">
        <w:rPr>
          <w:rFonts w:eastAsia="Times New Roman"/>
        </w:rPr>
        <w:t>48818</w:t>
      </w:r>
      <w:r w:rsidR="00C11C93" w:rsidRPr="00071800">
        <w:rPr>
          <w:rFonts w:eastAsia="Times New Roman"/>
        </w:rPr>
        <w:t>–</w:t>
      </w:r>
      <w:r w:rsidR="006B76CD" w:rsidRPr="00071800">
        <w:rPr>
          <w:rFonts w:eastAsia="Times New Roman"/>
        </w:rPr>
        <w:t>48819</w:t>
      </w:r>
      <w:r w:rsidRPr="00071800">
        <w:rPr>
          <w:rFonts w:eastAsia="Times New Roman"/>
        </w:rPr>
        <w:t xml:space="preserve">. </w:t>
      </w:r>
      <w:r w:rsidR="000B6BEF" w:rsidRPr="00071800">
        <w:rPr>
          <w:rFonts w:eastAsia="Times New Roman"/>
        </w:rPr>
        <w:t>N</w:t>
      </w:r>
      <w:r w:rsidRPr="00071800">
        <w:rPr>
          <w:rFonts w:eastAsia="Times New Roman"/>
        </w:rPr>
        <w:t xml:space="preserve">o comments were received. </w:t>
      </w:r>
      <w:r w:rsidR="009B1D0B" w:rsidRPr="00071800">
        <w:rPr>
          <w:rFonts w:eastAsia="Times New Roman"/>
        </w:rPr>
        <w:t>C</w:t>
      </w:r>
      <w:r w:rsidR="00E66B22" w:rsidRPr="00071800">
        <w:rPr>
          <w:rFonts w:eastAsia="Times New Roman"/>
        </w:rPr>
        <w:t>onsultants</w:t>
      </w:r>
      <w:r w:rsidR="009B1D0B" w:rsidRPr="00071800">
        <w:rPr>
          <w:rFonts w:eastAsia="Times New Roman"/>
        </w:rPr>
        <w:t>, stakeholders, and F</w:t>
      </w:r>
      <w:r w:rsidR="00D6375F" w:rsidRPr="00071800">
        <w:rPr>
          <w:rFonts w:eastAsia="Times New Roman"/>
        </w:rPr>
        <w:t>ederal staff</w:t>
      </w:r>
      <w:r w:rsidRPr="00071800">
        <w:rPr>
          <w:rFonts w:eastAsia="Times New Roman"/>
        </w:rPr>
        <w:t xml:space="preserve"> reviewed and offered comments on the </w:t>
      </w:r>
      <w:r w:rsidR="00E66B22" w:rsidRPr="00071800">
        <w:rPr>
          <w:rFonts w:eastAsia="Times New Roman"/>
        </w:rPr>
        <w:t xml:space="preserve">data collection and </w:t>
      </w:r>
      <w:r w:rsidRPr="00071800">
        <w:rPr>
          <w:rFonts w:eastAsia="Times New Roman"/>
        </w:rPr>
        <w:t>instruments</w:t>
      </w:r>
      <w:r w:rsidR="00E66B22" w:rsidRPr="002808B8">
        <w:rPr>
          <w:rFonts w:eastAsia="Times New Roman"/>
        </w:rPr>
        <w:t xml:space="preserve"> </w:t>
      </w:r>
      <w:r w:rsidR="009B1D0B" w:rsidRPr="002808B8">
        <w:rPr>
          <w:rFonts w:eastAsia="Times New Roman"/>
        </w:rPr>
        <w:t xml:space="preserve">(see further description in B4 and </w:t>
      </w:r>
      <w:r w:rsidR="00E66B22" w:rsidRPr="002808B8">
        <w:rPr>
          <w:rFonts w:eastAsia="Times New Roman"/>
        </w:rPr>
        <w:t>Appendix B</w:t>
      </w:r>
      <w:r w:rsidR="009B1D0B" w:rsidRPr="002808B8">
        <w:rPr>
          <w:rFonts w:eastAsia="Times New Roman"/>
        </w:rPr>
        <w:t>).</w:t>
      </w:r>
    </w:p>
    <w:p w14:paraId="29BCFEB4" w14:textId="77777777" w:rsidR="00E06682" w:rsidRPr="002808B8" w:rsidRDefault="00E06682" w:rsidP="00E06682">
      <w:pPr>
        <w:rPr>
          <w:rFonts w:eastAsia="Times New Roman"/>
        </w:rPr>
      </w:pPr>
    </w:p>
    <w:p w14:paraId="5B54AFA9" w14:textId="77777777" w:rsidR="004D1681" w:rsidRPr="002808B8" w:rsidRDefault="004D1681" w:rsidP="005C6153">
      <w:pPr>
        <w:pStyle w:val="NoSpacing"/>
        <w:tabs>
          <w:tab w:val="left" w:pos="360"/>
        </w:tabs>
        <w:outlineLvl w:val="1"/>
        <w:rPr>
          <w:b/>
        </w:rPr>
      </w:pPr>
      <w:bookmarkStart w:id="13" w:name="_Toc497115763"/>
      <w:r w:rsidRPr="002808B8">
        <w:rPr>
          <w:b/>
        </w:rPr>
        <w:t>9.</w:t>
      </w:r>
      <w:r w:rsidRPr="002808B8">
        <w:rPr>
          <w:b/>
        </w:rPr>
        <w:tab/>
        <w:t xml:space="preserve">Explanation of Any Payment or Gift to Respondents </w:t>
      </w:r>
      <w:bookmarkEnd w:id="13"/>
    </w:p>
    <w:p w14:paraId="5AE3BB5D" w14:textId="77777777" w:rsidR="004D1681" w:rsidRPr="002808B8" w:rsidRDefault="004D1681" w:rsidP="004D1681">
      <w:pPr>
        <w:rPr>
          <w:rFonts w:eastAsia="Times New Roman"/>
        </w:rPr>
      </w:pPr>
    </w:p>
    <w:p w14:paraId="08CBA3DC" w14:textId="3780B167" w:rsidR="00096886" w:rsidRPr="00971925" w:rsidRDefault="00971925" w:rsidP="00757F30">
      <w:pPr>
        <w:rPr>
          <w:rFonts w:eastAsia="Times New Roman"/>
        </w:rPr>
      </w:pPr>
      <w:r>
        <w:rPr>
          <w:rFonts w:eastAsia="Times New Roman"/>
        </w:rPr>
        <w:t>No</w:t>
      </w:r>
      <w:r w:rsidR="001D3056">
        <w:rPr>
          <w:rFonts w:eastAsia="Times New Roman"/>
        </w:rPr>
        <w:t xml:space="preserve"> cash</w:t>
      </w:r>
      <w:r>
        <w:rPr>
          <w:rFonts w:eastAsia="Times New Roman"/>
        </w:rPr>
        <w:t xml:space="preserve"> payments will be offered to individual respondents at local agencies or service providers. </w:t>
      </w:r>
      <w:r w:rsidR="0040075E" w:rsidRPr="002808B8">
        <w:rPr>
          <w:rFonts w:eastAsia="Times New Roman"/>
        </w:rPr>
        <w:t xml:space="preserve">For the </w:t>
      </w:r>
      <w:r w:rsidR="00C2460D">
        <w:rPr>
          <w:rFonts w:eastAsia="Times New Roman"/>
        </w:rPr>
        <w:t xml:space="preserve">foster parent/adoptive parent </w:t>
      </w:r>
      <w:r w:rsidR="0040075E" w:rsidRPr="002808B8">
        <w:rPr>
          <w:rFonts w:eastAsia="Times New Roman"/>
        </w:rPr>
        <w:t xml:space="preserve">focus groups at the eight </w:t>
      </w:r>
      <w:r w:rsidR="00A27227">
        <w:rPr>
          <w:rFonts w:eastAsia="Times New Roman"/>
        </w:rPr>
        <w:t>in-depth</w:t>
      </w:r>
      <w:r w:rsidR="00064F32" w:rsidRPr="002808B8">
        <w:rPr>
          <w:rFonts w:eastAsia="Times New Roman"/>
        </w:rPr>
        <w:t xml:space="preserve"> data collection sites, each participant will receive a $15 gift card</w:t>
      </w:r>
      <w:r w:rsidR="00911539" w:rsidRPr="002808B8">
        <w:rPr>
          <w:rFonts w:eastAsia="Times New Roman"/>
        </w:rPr>
        <w:t xml:space="preserve"> and babysitting and food will be </w:t>
      </w:r>
      <w:r w:rsidR="002B279B">
        <w:rPr>
          <w:rFonts w:eastAsia="Times New Roman"/>
        </w:rPr>
        <w:t xml:space="preserve">provided </w:t>
      </w:r>
      <w:r w:rsidR="000B6BEF">
        <w:rPr>
          <w:rFonts w:eastAsia="Times New Roman"/>
        </w:rPr>
        <w:t>during the data collection</w:t>
      </w:r>
      <w:r w:rsidR="00911539" w:rsidRPr="002808B8">
        <w:rPr>
          <w:rFonts w:eastAsia="Times New Roman"/>
        </w:rPr>
        <w:t xml:space="preserve">. </w:t>
      </w:r>
      <w:r w:rsidR="00096886" w:rsidRPr="002808B8">
        <w:rPr>
          <w:rFonts w:eastAsia="Times New Roman"/>
        </w:rPr>
        <w:t>The gift card</w:t>
      </w:r>
      <w:r w:rsidR="000111A9">
        <w:rPr>
          <w:rFonts w:eastAsia="Times New Roman"/>
        </w:rPr>
        <w:t>, babysitting and food</w:t>
      </w:r>
      <w:r w:rsidR="00096886" w:rsidRPr="002808B8">
        <w:rPr>
          <w:rFonts w:eastAsia="Times New Roman"/>
        </w:rPr>
        <w:t xml:space="preserve"> </w:t>
      </w:r>
      <w:r w:rsidR="000111A9">
        <w:rPr>
          <w:rFonts w:eastAsia="Times New Roman"/>
        </w:rPr>
        <w:t xml:space="preserve">are </w:t>
      </w:r>
      <w:r w:rsidR="00096886" w:rsidRPr="002808B8">
        <w:rPr>
          <w:rFonts w:eastAsia="Times New Roman"/>
        </w:rPr>
        <w:t xml:space="preserve">offered </w:t>
      </w:r>
      <w:r w:rsidR="00427249" w:rsidRPr="002808B8">
        <w:rPr>
          <w:rFonts w:eastAsia="Times New Roman"/>
        </w:rPr>
        <w:t xml:space="preserve">to offset extenuating circumstances including </w:t>
      </w:r>
      <w:r w:rsidR="000B6BEF">
        <w:rPr>
          <w:rFonts w:eastAsia="Times New Roman"/>
        </w:rPr>
        <w:t xml:space="preserve">costs of </w:t>
      </w:r>
      <w:r w:rsidR="00427249" w:rsidRPr="002808B8">
        <w:rPr>
          <w:rFonts w:eastAsia="Times New Roman"/>
        </w:rPr>
        <w:t>tr</w:t>
      </w:r>
      <w:r w:rsidR="000B6BEF">
        <w:rPr>
          <w:rFonts w:eastAsia="Times New Roman"/>
        </w:rPr>
        <w:t>ansportation and childcare</w:t>
      </w:r>
      <w:r w:rsidR="00427249" w:rsidRPr="002808B8">
        <w:rPr>
          <w:rFonts w:eastAsia="Times New Roman"/>
        </w:rPr>
        <w:t xml:space="preserve"> that may preclude </w:t>
      </w:r>
      <w:r w:rsidR="00096886" w:rsidRPr="002808B8">
        <w:rPr>
          <w:rFonts w:eastAsia="Times New Roman"/>
        </w:rPr>
        <w:t>caregiver participation</w:t>
      </w:r>
      <w:r w:rsidR="000111A9">
        <w:rPr>
          <w:rFonts w:eastAsia="Times New Roman"/>
        </w:rPr>
        <w:t xml:space="preserve">. The goal is to avoid response bias by </w:t>
      </w:r>
      <w:r w:rsidR="0097713F">
        <w:rPr>
          <w:rFonts w:eastAsia="Times New Roman"/>
        </w:rPr>
        <w:t>ensuring</w:t>
      </w:r>
      <w:r w:rsidR="000111A9">
        <w:rPr>
          <w:rFonts w:eastAsia="Times New Roman"/>
        </w:rPr>
        <w:t xml:space="preserve"> that lower-income caretakers are not systematically discouraged from participating</w:t>
      </w:r>
      <w:r w:rsidR="00096886" w:rsidRPr="002808B8">
        <w:rPr>
          <w:rFonts w:eastAsia="Times New Roman"/>
        </w:rPr>
        <w:t xml:space="preserve"> </w:t>
      </w:r>
      <w:r w:rsidR="000111A9">
        <w:rPr>
          <w:rFonts w:eastAsia="Times New Roman"/>
        </w:rPr>
        <w:t xml:space="preserve">due to the costs of participation (transportation, child care, and food that might be needed due to juggling this project with other responsibilities) </w:t>
      </w:r>
      <w:r>
        <w:rPr>
          <w:rFonts w:eastAsia="Times New Roman"/>
        </w:rPr>
        <w:t>P</w:t>
      </w:r>
      <w:r w:rsidR="000B6BEF">
        <w:t>roposed incentives</w:t>
      </w:r>
      <w:r w:rsidR="00096886" w:rsidRPr="002808B8">
        <w:t xml:space="preserve"> will underg</w:t>
      </w:r>
      <w:r w:rsidR="007C5CDD">
        <w:t>o review and approval by an Institutional Review Board (IRB)</w:t>
      </w:r>
      <w:r w:rsidR="00096886" w:rsidRPr="002808B8">
        <w:t xml:space="preserve">. </w:t>
      </w:r>
    </w:p>
    <w:p w14:paraId="4EE4078A" w14:textId="77777777" w:rsidR="00757F30" w:rsidRPr="002808B8" w:rsidRDefault="00757F30" w:rsidP="00757F30">
      <w:pPr>
        <w:rPr>
          <w:highlight w:val="green"/>
        </w:rPr>
      </w:pPr>
    </w:p>
    <w:p w14:paraId="75E27F97" w14:textId="77777777" w:rsidR="004D1681" w:rsidRPr="002808B8" w:rsidRDefault="004D1681" w:rsidP="005C6153">
      <w:pPr>
        <w:pStyle w:val="NoSpacing"/>
        <w:tabs>
          <w:tab w:val="left" w:pos="360"/>
        </w:tabs>
        <w:outlineLvl w:val="1"/>
        <w:rPr>
          <w:b/>
        </w:rPr>
      </w:pPr>
      <w:bookmarkStart w:id="14" w:name="_Toc497115764"/>
      <w:r w:rsidRPr="002808B8">
        <w:rPr>
          <w:b/>
        </w:rPr>
        <w:t>10.</w:t>
      </w:r>
      <w:r w:rsidRPr="002808B8">
        <w:rPr>
          <w:b/>
        </w:rPr>
        <w:tab/>
        <w:t>Assurance of Confidentiality Provided to Respondents</w:t>
      </w:r>
      <w:bookmarkEnd w:id="14"/>
    </w:p>
    <w:p w14:paraId="0D45B4C7" w14:textId="77777777" w:rsidR="004D1681" w:rsidRPr="002808B8" w:rsidRDefault="004D1681" w:rsidP="004D1681">
      <w:pPr>
        <w:rPr>
          <w:rFonts w:eastAsia="Times New Roman"/>
        </w:rPr>
      </w:pPr>
    </w:p>
    <w:p w14:paraId="021A4791" w14:textId="124E06A5" w:rsidR="0063639D" w:rsidRPr="002808B8" w:rsidRDefault="00E06682" w:rsidP="004D1681">
      <w:pPr>
        <w:rPr>
          <w:rFonts w:eastAsia="Times New Roman"/>
        </w:rPr>
      </w:pPr>
      <w:r>
        <w:rPr>
          <w:rFonts w:eastAsia="Times New Roman"/>
        </w:rPr>
        <w:t>R</w:t>
      </w:r>
      <w:r w:rsidR="004D1681" w:rsidRPr="002808B8">
        <w:rPr>
          <w:rFonts w:eastAsia="Times New Roman"/>
        </w:rPr>
        <w:t xml:space="preserve">espondents will be informed of all planned uses of </w:t>
      </w:r>
      <w:r w:rsidR="005434B0" w:rsidRPr="002808B8">
        <w:rPr>
          <w:rFonts w:eastAsia="Times New Roman"/>
        </w:rPr>
        <w:t xml:space="preserve">the </w:t>
      </w:r>
      <w:r w:rsidR="004D1681" w:rsidRPr="002808B8">
        <w:rPr>
          <w:rFonts w:eastAsia="Times New Roman"/>
        </w:rPr>
        <w:t xml:space="preserve">data, that their participation is voluntary, and that their information will be kept private to the extent permitted by law. The </w:t>
      </w:r>
      <w:r w:rsidR="00B101E8" w:rsidRPr="002808B8">
        <w:rPr>
          <w:rFonts w:eastAsia="Times New Roman"/>
        </w:rPr>
        <w:t>study team</w:t>
      </w:r>
      <w:r w:rsidR="004D1681" w:rsidRPr="002808B8">
        <w:rPr>
          <w:rFonts w:eastAsia="Times New Roman"/>
        </w:rPr>
        <w:t xml:space="preserve"> will not disclose any individual-level survey or interview information </w:t>
      </w:r>
      <w:r w:rsidR="00757F30" w:rsidRPr="002808B8">
        <w:rPr>
          <w:rFonts w:eastAsia="Times New Roman"/>
        </w:rPr>
        <w:t xml:space="preserve">to </w:t>
      </w:r>
      <w:r w:rsidR="009D2D77" w:rsidRPr="002808B8">
        <w:rPr>
          <w:rFonts w:eastAsia="Times New Roman"/>
        </w:rPr>
        <w:t>the</w:t>
      </w:r>
      <w:r w:rsidR="00C2460D">
        <w:rPr>
          <w:rFonts w:eastAsia="Times New Roman"/>
        </w:rPr>
        <w:t xml:space="preserve"> persons outside the study team</w:t>
      </w:r>
      <w:r w:rsidR="004D1681" w:rsidRPr="002808B8">
        <w:rPr>
          <w:rFonts w:eastAsia="Times New Roman"/>
        </w:rPr>
        <w:t>. Information will not be published that could be used to identify individual respondents</w:t>
      </w:r>
      <w:r w:rsidR="00B101E8" w:rsidRPr="002808B8">
        <w:rPr>
          <w:rFonts w:eastAsia="Times New Roman"/>
        </w:rPr>
        <w:t xml:space="preserve"> or participating agencies</w:t>
      </w:r>
      <w:r w:rsidR="004D1681" w:rsidRPr="002808B8">
        <w:rPr>
          <w:rFonts w:eastAsia="Times New Roman"/>
        </w:rPr>
        <w:t xml:space="preserve">. All </w:t>
      </w:r>
      <w:r w:rsidR="00F4473C" w:rsidRPr="002808B8">
        <w:rPr>
          <w:rFonts w:eastAsia="Times New Roman"/>
        </w:rPr>
        <w:t>W</w:t>
      </w:r>
      <w:r w:rsidR="004D1681" w:rsidRPr="002808B8">
        <w:rPr>
          <w:rFonts w:eastAsia="Times New Roman"/>
        </w:rPr>
        <w:t>eb-based survey</w:t>
      </w:r>
      <w:r w:rsidR="0063639D" w:rsidRPr="002808B8">
        <w:rPr>
          <w:rFonts w:eastAsia="Times New Roman"/>
        </w:rPr>
        <w:t>s</w:t>
      </w:r>
      <w:r w:rsidR="002745B3" w:rsidRPr="002808B8">
        <w:rPr>
          <w:rFonts w:eastAsia="Times New Roman"/>
        </w:rPr>
        <w:t>, interview</w:t>
      </w:r>
      <w:r w:rsidR="0063639D" w:rsidRPr="002808B8">
        <w:rPr>
          <w:rFonts w:eastAsia="Times New Roman"/>
        </w:rPr>
        <w:t>s</w:t>
      </w:r>
      <w:r w:rsidR="002745B3" w:rsidRPr="002808B8">
        <w:rPr>
          <w:rFonts w:eastAsia="Times New Roman"/>
        </w:rPr>
        <w:t>, and focus group</w:t>
      </w:r>
      <w:r w:rsidR="004D1681" w:rsidRPr="002808B8">
        <w:rPr>
          <w:rFonts w:eastAsia="Times New Roman"/>
        </w:rPr>
        <w:t xml:space="preserve"> results will be analyzed and reported in aggregate for all reports, presentations, and publications. </w:t>
      </w:r>
    </w:p>
    <w:p w14:paraId="1B766201" w14:textId="77777777" w:rsidR="0063639D" w:rsidRPr="002808B8" w:rsidRDefault="0063639D" w:rsidP="004D1681">
      <w:pPr>
        <w:rPr>
          <w:rFonts w:eastAsia="Times New Roman"/>
        </w:rPr>
      </w:pPr>
    </w:p>
    <w:p w14:paraId="72F25D88" w14:textId="77777777" w:rsidR="00514924" w:rsidRDefault="0063639D" w:rsidP="004D1681">
      <w:pPr>
        <w:rPr>
          <w:rFonts w:eastAsia="Times New Roman"/>
        </w:rPr>
      </w:pPr>
      <w:r w:rsidRPr="002808B8">
        <w:rPr>
          <w:rFonts w:eastAsia="Times New Roman"/>
        </w:rPr>
        <w:t>All study te</w:t>
      </w:r>
      <w:r w:rsidR="007C5CDD">
        <w:rPr>
          <w:rFonts w:eastAsia="Times New Roman"/>
        </w:rPr>
        <w:t>am members will sign a study</w:t>
      </w:r>
      <w:r w:rsidRPr="002808B8">
        <w:rPr>
          <w:rFonts w:eastAsia="Times New Roman"/>
        </w:rPr>
        <w:t xml:space="preserve"> Data Security and Protectio</w:t>
      </w:r>
      <w:r w:rsidR="00911539" w:rsidRPr="002808B8">
        <w:rPr>
          <w:rFonts w:eastAsia="Times New Roman"/>
        </w:rPr>
        <w:t>n of C</w:t>
      </w:r>
      <w:r w:rsidR="007C5CDD">
        <w:rPr>
          <w:rFonts w:eastAsia="Times New Roman"/>
        </w:rPr>
        <w:t>onfidentiality agreement</w:t>
      </w:r>
      <w:r w:rsidR="00911539" w:rsidRPr="002808B8">
        <w:rPr>
          <w:rFonts w:eastAsia="Times New Roman"/>
        </w:rPr>
        <w:t xml:space="preserve"> and any </w:t>
      </w:r>
      <w:r w:rsidR="007C5CDD">
        <w:rPr>
          <w:rFonts w:eastAsia="Times New Roman"/>
        </w:rPr>
        <w:t>required site agreements</w:t>
      </w:r>
      <w:r w:rsidR="00911539" w:rsidRPr="002808B8">
        <w:rPr>
          <w:rFonts w:eastAsia="Times New Roman"/>
        </w:rPr>
        <w:t>.</w:t>
      </w:r>
      <w:r w:rsidR="00E06682">
        <w:rPr>
          <w:rStyle w:val="FootnoteReference"/>
          <w:rFonts w:eastAsia="Times New Roman"/>
        </w:rPr>
        <w:footnoteReference w:id="8"/>
      </w:r>
      <w:r w:rsidR="00971925">
        <w:rPr>
          <w:rFonts w:eastAsia="Times New Roman"/>
        </w:rPr>
        <w:t xml:space="preserve"> </w:t>
      </w:r>
      <w:bookmarkStart w:id="15" w:name="_Hlk498005175"/>
      <w:r w:rsidR="002B3B08" w:rsidRPr="002808B8">
        <w:rPr>
          <w:rFonts w:eastAsia="Times New Roman"/>
        </w:rPr>
        <w:t xml:space="preserve">All of the study materials including </w:t>
      </w:r>
      <w:r w:rsidR="00CB7242" w:rsidRPr="002808B8">
        <w:rPr>
          <w:rFonts w:eastAsia="Times New Roman"/>
        </w:rPr>
        <w:t>all instruments</w:t>
      </w:r>
      <w:r w:rsidR="002B3B08" w:rsidRPr="002808B8">
        <w:rPr>
          <w:rFonts w:eastAsia="Times New Roman"/>
        </w:rPr>
        <w:t xml:space="preserve"> </w:t>
      </w:r>
      <w:r w:rsidR="00E06682">
        <w:rPr>
          <w:rFonts w:eastAsia="Times New Roman"/>
        </w:rPr>
        <w:t>and</w:t>
      </w:r>
      <w:r w:rsidRPr="002808B8">
        <w:rPr>
          <w:rFonts w:eastAsia="Times New Roman"/>
        </w:rPr>
        <w:t xml:space="preserve"> consent documen</w:t>
      </w:r>
      <w:r w:rsidR="00971925">
        <w:rPr>
          <w:rFonts w:eastAsia="Times New Roman"/>
        </w:rPr>
        <w:t xml:space="preserve">ts </w:t>
      </w:r>
      <w:r w:rsidR="002B3B08" w:rsidRPr="002808B8">
        <w:rPr>
          <w:rFonts w:eastAsia="Times New Roman"/>
        </w:rPr>
        <w:t xml:space="preserve">will </w:t>
      </w:r>
      <w:r w:rsidR="00CB7242" w:rsidRPr="002808B8">
        <w:rPr>
          <w:rFonts w:eastAsia="Times New Roman"/>
        </w:rPr>
        <w:t>be</w:t>
      </w:r>
      <w:r w:rsidR="002B3B08" w:rsidRPr="002808B8">
        <w:rPr>
          <w:rFonts w:eastAsia="Times New Roman"/>
        </w:rPr>
        <w:t xml:space="preserve"> reviewed and approved by an </w:t>
      </w:r>
      <w:r w:rsidR="007C5CDD">
        <w:rPr>
          <w:rFonts w:eastAsia="Times New Roman"/>
        </w:rPr>
        <w:t>IRB</w:t>
      </w:r>
      <w:r w:rsidR="002B3B08" w:rsidRPr="002808B8">
        <w:rPr>
          <w:rFonts w:eastAsia="Times New Roman"/>
        </w:rPr>
        <w:t xml:space="preserve"> prior to initiation of the </w:t>
      </w:r>
      <w:r w:rsidR="007C5CDD">
        <w:rPr>
          <w:rFonts w:eastAsia="Times New Roman"/>
        </w:rPr>
        <w:t>s</w:t>
      </w:r>
      <w:r w:rsidR="002B3B08" w:rsidRPr="002808B8">
        <w:rPr>
          <w:rFonts w:eastAsia="Times New Roman"/>
        </w:rPr>
        <w:t>tudy</w:t>
      </w:r>
      <w:bookmarkEnd w:id="15"/>
      <w:r w:rsidR="00265C44" w:rsidRPr="002808B8">
        <w:rPr>
          <w:rFonts w:eastAsia="Times New Roman"/>
        </w:rPr>
        <w:t xml:space="preserve">. If required, all study materials will be submitted and approved </w:t>
      </w:r>
      <w:r w:rsidR="007C5CDD">
        <w:rPr>
          <w:rFonts w:eastAsia="Times New Roman"/>
        </w:rPr>
        <w:t>by</w:t>
      </w:r>
      <w:r w:rsidR="00C23CC1" w:rsidRPr="002808B8">
        <w:rPr>
          <w:rFonts w:eastAsia="Times New Roman"/>
        </w:rPr>
        <w:t xml:space="preserve"> </w:t>
      </w:r>
      <w:r w:rsidR="00265C44" w:rsidRPr="002808B8">
        <w:rPr>
          <w:rFonts w:eastAsia="Times New Roman"/>
        </w:rPr>
        <w:t>agency and state IRBs</w:t>
      </w:r>
      <w:r w:rsidR="002B3B08" w:rsidRPr="002808B8">
        <w:rPr>
          <w:rFonts w:eastAsia="Times New Roman"/>
        </w:rPr>
        <w:t>.</w:t>
      </w:r>
      <w:r w:rsidR="00AE34BA">
        <w:rPr>
          <w:rFonts w:eastAsia="Times New Roman"/>
        </w:rPr>
        <w:t xml:space="preserve"> </w:t>
      </w:r>
    </w:p>
    <w:p w14:paraId="7CB57361" w14:textId="77777777" w:rsidR="00514924" w:rsidRDefault="00514924" w:rsidP="004D1681">
      <w:pPr>
        <w:rPr>
          <w:rFonts w:eastAsia="Times New Roman"/>
        </w:rPr>
      </w:pPr>
    </w:p>
    <w:p w14:paraId="58185C5A" w14:textId="7E90A219" w:rsidR="00514924" w:rsidRDefault="00514924" w:rsidP="00514924">
      <w:pPr>
        <w:spacing w:after="240"/>
      </w:pPr>
      <w:bookmarkStart w:id="16" w:name="_Hlk498680971"/>
      <w:r w:rsidRPr="002808B8">
        <w:rPr>
          <w:i/>
          <w:iCs/>
        </w:rPr>
        <w:t>Personally Identifiable Information</w:t>
      </w:r>
      <w:bookmarkEnd w:id="16"/>
      <w:r>
        <w:rPr>
          <w:i/>
          <w:iCs/>
        </w:rPr>
        <w:t xml:space="preserve"> (PII). </w:t>
      </w:r>
      <w:r w:rsidRPr="002808B8">
        <w:t>The study team</w:t>
      </w:r>
      <w:r>
        <w:t xml:space="preserve"> will collect limited PII </w:t>
      </w:r>
      <w:r w:rsidRPr="002808B8">
        <w:t>in order to identify appropriate respondents</w:t>
      </w:r>
      <w:r>
        <w:t xml:space="preserve"> for the interviews, surveys, and focus groups</w:t>
      </w:r>
      <w:r w:rsidRPr="002808B8">
        <w:t>, and to contact and invite them to participate. PII will only includ</w:t>
      </w:r>
      <w:r>
        <w:t>e the following data elements: contact information (</w:t>
      </w:r>
      <w:r w:rsidRPr="002808B8">
        <w:t>name, agency/organization, email address, phone number</w:t>
      </w:r>
      <w:r>
        <w:t xml:space="preserve">); </w:t>
      </w:r>
      <w:r w:rsidR="001D3056">
        <w:t xml:space="preserve">gender; </w:t>
      </w:r>
      <w:r w:rsidRPr="002808B8">
        <w:t>posi</w:t>
      </w:r>
      <w:r>
        <w:t>tion; and number of years in</w:t>
      </w:r>
      <w:r w:rsidRPr="002808B8">
        <w:t xml:space="preserve"> position. </w:t>
      </w:r>
      <w:r>
        <w:t>Information will not be maintained in a paper or electronic system from which they are actually or directly retrieved by an individual</w:t>
      </w:r>
      <w:r w:rsidR="000B6BEF">
        <w:t>’s</w:t>
      </w:r>
      <w:r>
        <w:t xml:space="preserve"> personal identifier. After consultation with ACF’s Office of the Chief Information Officer (OCIO), it was determined that a Privacy Impact Assessment (PIA) should be conducted, and is underway at the time of this submission. The OCIO determined that while a PIA is required, a Systems of Records Notice and/or an Authority to Operate (ATO) are </w:t>
      </w:r>
      <w:r w:rsidRPr="00514924">
        <w:rPr>
          <w:u w:val="single"/>
        </w:rPr>
        <w:t>not</w:t>
      </w:r>
      <w:r>
        <w:t xml:space="preserve"> required. The CB will work with the ACF and HHS OCIO to comply with any requirements related to the PIA. </w:t>
      </w:r>
    </w:p>
    <w:p w14:paraId="399BDC4F" w14:textId="4C709586" w:rsidR="00514924" w:rsidRDefault="00514924" w:rsidP="00514924">
      <w:pPr>
        <w:spacing w:after="240"/>
      </w:pPr>
      <w:r>
        <w:t xml:space="preserve">Why this information is needed: </w:t>
      </w:r>
      <w:r w:rsidRPr="002808B8">
        <w:t xml:space="preserve">Contact information will be collected to facilitate interview and focus group scheduling and survey administration, to track response, to provide aggregate-level descriptions of respondents, and to allow for analysis of data by role and agency. </w:t>
      </w:r>
    </w:p>
    <w:p w14:paraId="2B5FA6F4" w14:textId="2B0353D2" w:rsidR="00514924" w:rsidRPr="002808B8" w:rsidRDefault="000B6BEF" w:rsidP="00514924">
      <w:pPr>
        <w:spacing w:after="240"/>
      </w:pPr>
      <w:r>
        <w:t xml:space="preserve">Instrument types and storage: </w:t>
      </w:r>
      <w:r w:rsidR="00514924">
        <w:t xml:space="preserve">Contact information will be stored separately from respondent data. </w:t>
      </w:r>
      <w:r w:rsidR="00514924" w:rsidRPr="002808B8">
        <w:t>The following instruments will collect PII (PII data elements included in parentheses</w:t>
      </w:r>
      <w:r w:rsidR="00514924" w:rsidRPr="00204F76">
        <w:rPr>
          <w:i/>
        </w:rPr>
        <w:t>): Intervie</w:t>
      </w:r>
      <w:r w:rsidR="00514924" w:rsidRPr="009349A3">
        <w:rPr>
          <w:i/>
        </w:rPr>
        <w:t>w Protocol for Local Agency Director</w:t>
      </w:r>
      <w:r w:rsidR="00514924" w:rsidRPr="002808B8">
        <w:t xml:space="preserve"> (position and number of years in position); </w:t>
      </w:r>
      <w:r w:rsidR="00514924" w:rsidRPr="00204F76">
        <w:rPr>
          <w:i/>
        </w:rPr>
        <w:t>Interview Protocol for Local Agency Medical Staff</w:t>
      </w:r>
      <w:r w:rsidR="00514924" w:rsidRPr="002808B8">
        <w:t xml:space="preserve"> (position); </w:t>
      </w:r>
      <w:r w:rsidR="00514924" w:rsidRPr="00204F76">
        <w:rPr>
          <w:i/>
        </w:rPr>
        <w:t>Interview Protocol for Data Staff</w:t>
      </w:r>
      <w:r w:rsidR="00514924" w:rsidRPr="002808B8">
        <w:t xml:space="preserve"> (position); </w:t>
      </w:r>
      <w:r w:rsidR="00514924" w:rsidRPr="00204F76">
        <w:rPr>
          <w:i/>
        </w:rPr>
        <w:t>Interview Protocol for Local Agency Staff – Frontline only, Ongoing</w:t>
      </w:r>
      <w:r w:rsidR="00514924" w:rsidRPr="009349A3">
        <w:rPr>
          <w:i/>
        </w:rPr>
        <w:t xml:space="preserve"> Only</w:t>
      </w:r>
      <w:r w:rsidR="00514924" w:rsidRPr="002808B8">
        <w:t xml:space="preserve">, and </w:t>
      </w:r>
      <w:r w:rsidR="00514924" w:rsidRPr="00204F76">
        <w:rPr>
          <w:i/>
        </w:rPr>
        <w:t>Frontline and Ongoing</w:t>
      </w:r>
      <w:r w:rsidR="00514924" w:rsidRPr="002808B8">
        <w:t xml:space="preserve"> versions (position). </w:t>
      </w:r>
    </w:p>
    <w:p w14:paraId="0F94B9D5" w14:textId="1E280F09" w:rsidR="00514924" w:rsidRPr="002808B8" w:rsidRDefault="00514924" w:rsidP="00514924">
      <w:r>
        <w:t>P</w:t>
      </w:r>
      <w:r w:rsidR="000B6BEF">
        <w:t xml:space="preserve">rotections: </w:t>
      </w:r>
      <w:r w:rsidRPr="002808B8">
        <w:t xml:space="preserve">All PII collected </w:t>
      </w:r>
      <w:r w:rsidR="000B6BEF">
        <w:t>is</w:t>
      </w:r>
      <w:r w:rsidRPr="002808B8">
        <w:t xml:space="preserve"> </w:t>
      </w:r>
      <w:r>
        <w:t>private</w:t>
      </w:r>
      <w:r w:rsidRPr="002808B8">
        <w:t xml:space="preserve"> and will not be shared with anyone outside of the study team. Only the study team will have access to </w:t>
      </w:r>
      <w:r>
        <w:t>contact information</w:t>
      </w:r>
      <w:r w:rsidRPr="002808B8">
        <w:t>. The study team will store all PII data in separate files in password</w:t>
      </w:r>
      <w:r>
        <w:t>-</w:t>
      </w:r>
      <w:r w:rsidRPr="002808B8">
        <w:t>protected, secure data systems in order to ensure privacy. Data will be coded using the study identification numbers</w:t>
      </w:r>
      <w:r>
        <w:t xml:space="preserve"> (no personal identifiers)</w:t>
      </w:r>
      <w:r w:rsidRPr="002808B8">
        <w:t>. Any PII revealed in interviews, focus groups, or survey responses will be manually reda</w:t>
      </w:r>
      <w:r>
        <w:t>cted by study team members</w:t>
      </w:r>
      <w:r w:rsidRPr="002808B8">
        <w:t xml:space="preserve"> from transcripts and data files. Identifiers will not be used in any study reporting.</w:t>
      </w:r>
      <w:r w:rsidRPr="002808B8">
        <w:rPr>
          <w:rStyle w:val="FootnoteReference"/>
        </w:rPr>
        <w:footnoteReference w:id="9"/>
      </w:r>
      <w:r w:rsidRPr="002808B8">
        <w:t xml:space="preserve"> </w:t>
      </w:r>
    </w:p>
    <w:p w14:paraId="75720DD3" w14:textId="77777777" w:rsidR="004D1681" w:rsidRPr="002808B8" w:rsidRDefault="004D1681" w:rsidP="004D1681">
      <w:pPr>
        <w:rPr>
          <w:rFonts w:eastAsia="Times New Roman"/>
        </w:rPr>
      </w:pPr>
    </w:p>
    <w:p w14:paraId="3389486C" w14:textId="77777777" w:rsidR="004D1681" w:rsidRPr="002808B8" w:rsidRDefault="004D1681" w:rsidP="005C6153">
      <w:pPr>
        <w:pStyle w:val="NoSpacing"/>
        <w:tabs>
          <w:tab w:val="left" w:pos="360"/>
        </w:tabs>
        <w:outlineLvl w:val="1"/>
        <w:rPr>
          <w:b/>
        </w:rPr>
      </w:pPr>
      <w:bookmarkStart w:id="17" w:name="_Toc497115765"/>
      <w:r w:rsidRPr="002808B8">
        <w:rPr>
          <w:b/>
        </w:rPr>
        <w:t>11.</w:t>
      </w:r>
      <w:r w:rsidRPr="002808B8">
        <w:rPr>
          <w:b/>
        </w:rPr>
        <w:tab/>
        <w:t>Justification for Sensitive Questions</w:t>
      </w:r>
      <w:bookmarkEnd w:id="17"/>
    </w:p>
    <w:p w14:paraId="34AC18F3" w14:textId="77777777" w:rsidR="004D1681" w:rsidRPr="002808B8" w:rsidRDefault="004D1681" w:rsidP="004D1681">
      <w:pPr>
        <w:ind w:left="360" w:hanging="360"/>
        <w:rPr>
          <w:rFonts w:eastAsia="Times New Roman"/>
        </w:rPr>
      </w:pPr>
    </w:p>
    <w:p w14:paraId="4945E138" w14:textId="7EA8B759" w:rsidR="004D1681" w:rsidRPr="002808B8" w:rsidRDefault="004D1681" w:rsidP="004D1681">
      <w:pPr>
        <w:rPr>
          <w:rFonts w:eastAsia="Times New Roman"/>
        </w:rPr>
      </w:pPr>
      <w:r w:rsidRPr="002808B8">
        <w:rPr>
          <w:rFonts w:eastAsia="Times New Roman"/>
        </w:rPr>
        <w:t xml:space="preserve">There are no questions or requirements of a sensitive nature contained in the survey </w:t>
      </w:r>
      <w:r w:rsidR="00E06682">
        <w:rPr>
          <w:rFonts w:eastAsia="Times New Roman"/>
        </w:rPr>
        <w:t xml:space="preserve">and interview </w:t>
      </w:r>
      <w:r w:rsidRPr="002808B8">
        <w:rPr>
          <w:rFonts w:eastAsia="Times New Roman"/>
        </w:rPr>
        <w:t>instruments described herein.</w:t>
      </w:r>
      <w:r w:rsidR="00922025">
        <w:rPr>
          <w:rFonts w:eastAsia="Times New Roman"/>
        </w:rPr>
        <w:t xml:space="preserve"> </w:t>
      </w:r>
    </w:p>
    <w:p w14:paraId="18DDEB00" w14:textId="77777777" w:rsidR="004D1681" w:rsidRPr="002808B8" w:rsidRDefault="004D1681" w:rsidP="004D1681">
      <w:pPr>
        <w:rPr>
          <w:rFonts w:eastAsia="Times New Roman"/>
        </w:rPr>
      </w:pPr>
    </w:p>
    <w:p w14:paraId="148D27AF" w14:textId="77777777" w:rsidR="004D1681" w:rsidRPr="002808B8" w:rsidRDefault="004D1681" w:rsidP="005C6153">
      <w:pPr>
        <w:pStyle w:val="NoSpacing"/>
        <w:tabs>
          <w:tab w:val="left" w:pos="360"/>
        </w:tabs>
        <w:outlineLvl w:val="1"/>
        <w:rPr>
          <w:b/>
        </w:rPr>
      </w:pPr>
      <w:bookmarkStart w:id="18" w:name="_Toc497115766"/>
      <w:r w:rsidRPr="002808B8">
        <w:rPr>
          <w:b/>
        </w:rPr>
        <w:t>12.</w:t>
      </w:r>
      <w:r w:rsidRPr="002808B8">
        <w:rPr>
          <w:b/>
        </w:rPr>
        <w:tab/>
        <w:t xml:space="preserve">Estimates of Annualized Burden Hours and Costs  </w:t>
      </w:r>
      <w:bookmarkEnd w:id="18"/>
    </w:p>
    <w:p w14:paraId="576131C2" w14:textId="5DAC26A8" w:rsidR="007149B5" w:rsidRDefault="005F435C" w:rsidP="005F435C">
      <w:pPr>
        <w:spacing w:before="240"/>
        <w:rPr>
          <w:rFonts w:eastAsia="Times New Roman"/>
        </w:rPr>
      </w:pPr>
      <w:r w:rsidRPr="002808B8">
        <w:rPr>
          <w:rFonts w:eastAsia="Times New Roman"/>
        </w:rPr>
        <w:t xml:space="preserve">Having applied hourly wage estimates to burden hours in each respondent category, the current </w:t>
      </w:r>
      <w:r w:rsidRPr="00F36BFE">
        <w:rPr>
          <w:rFonts w:eastAsia="Times New Roman"/>
          <w:u w:val="single"/>
        </w:rPr>
        <w:t>annual</w:t>
      </w:r>
      <w:r w:rsidRPr="002808B8">
        <w:rPr>
          <w:rFonts w:eastAsia="Times New Roman"/>
        </w:rPr>
        <w:t xml:space="preserve"> cost to the respondents is as follows: (1) $821.80 for the </w:t>
      </w:r>
      <w:r w:rsidR="00513C8D" w:rsidRPr="00513C8D">
        <w:rPr>
          <w:rFonts w:eastAsia="Times New Roman"/>
          <w:i/>
        </w:rPr>
        <w:t>Interview Protocol for Local Agency Director</w:t>
      </w:r>
      <w:r w:rsidRPr="002808B8">
        <w:rPr>
          <w:rFonts w:eastAsia="Times New Roman"/>
        </w:rPr>
        <w:t xml:space="preserve">; (2) $377.01 for the </w:t>
      </w:r>
      <w:r w:rsidR="00513C8D" w:rsidRPr="00513C8D">
        <w:rPr>
          <w:rFonts w:eastAsia="Times New Roman"/>
          <w:i/>
        </w:rPr>
        <w:t>Interview Protocol for Data Staff</w:t>
      </w:r>
      <w:r w:rsidRPr="002808B8">
        <w:rPr>
          <w:rFonts w:eastAsia="Times New Roman"/>
        </w:rPr>
        <w:t xml:space="preserve">; (3) $485.80 for the </w:t>
      </w:r>
      <w:r w:rsidR="00513C8D" w:rsidRPr="00513C8D">
        <w:rPr>
          <w:rFonts w:eastAsia="Times New Roman"/>
          <w:i/>
        </w:rPr>
        <w:t>Interview Protocol for Local Agency Medical Staff</w:t>
      </w:r>
      <w:r w:rsidRPr="002808B8">
        <w:rPr>
          <w:rFonts w:eastAsia="Times New Roman"/>
        </w:rPr>
        <w:t xml:space="preserve"> (4) $670.45 for the </w:t>
      </w:r>
      <w:r w:rsidR="00513C8D" w:rsidRPr="00513C8D">
        <w:rPr>
          <w:rFonts w:eastAsia="Times New Roman"/>
          <w:i/>
        </w:rPr>
        <w:t>Interview Protocol for Local Agency Staff</w:t>
      </w:r>
      <w:r w:rsidRPr="002808B8">
        <w:rPr>
          <w:rFonts w:eastAsia="Times New Roman"/>
          <w:i/>
        </w:rPr>
        <w:t xml:space="preserve"> – Frontline On</w:t>
      </w:r>
      <w:r w:rsidRPr="002808B8">
        <w:rPr>
          <w:rFonts w:eastAsia="Times New Roman"/>
        </w:rPr>
        <w:t>l</w:t>
      </w:r>
      <w:r w:rsidRPr="002808B8">
        <w:rPr>
          <w:rFonts w:eastAsia="Times New Roman"/>
          <w:i/>
        </w:rPr>
        <w:t>y</w:t>
      </w:r>
      <w:r w:rsidRPr="002808B8">
        <w:rPr>
          <w:rFonts w:eastAsia="Times New Roman"/>
        </w:rPr>
        <w:t xml:space="preserve">; (5) $670.45 for the </w:t>
      </w:r>
      <w:r w:rsidR="00513C8D" w:rsidRPr="00513C8D">
        <w:rPr>
          <w:rFonts w:eastAsia="Times New Roman"/>
          <w:i/>
        </w:rPr>
        <w:t xml:space="preserve">Interview Protocol for Local Agency Staff </w:t>
      </w:r>
      <w:r w:rsidRPr="00513C8D">
        <w:rPr>
          <w:rFonts w:eastAsia="Times New Roman"/>
          <w:i/>
        </w:rPr>
        <w:t>–</w:t>
      </w:r>
      <w:r w:rsidRPr="002808B8">
        <w:rPr>
          <w:rFonts w:eastAsia="Times New Roman"/>
          <w:i/>
        </w:rPr>
        <w:t xml:space="preserve"> Ongoing Only</w:t>
      </w:r>
      <w:r w:rsidRPr="002808B8">
        <w:rPr>
          <w:rFonts w:eastAsia="Times New Roman"/>
        </w:rPr>
        <w:t xml:space="preserve">; (6) $457.13 for the </w:t>
      </w:r>
      <w:r w:rsidR="00513C8D" w:rsidRPr="00513C8D">
        <w:rPr>
          <w:rFonts w:eastAsia="Times New Roman"/>
          <w:i/>
        </w:rPr>
        <w:t>Interview Protocol for Local Agency Staff– Frontline and Ongoing</w:t>
      </w:r>
      <w:r w:rsidRPr="002808B8">
        <w:rPr>
          <w:rFonts w:eastAsia="Times New Roman"/>
        </w:rPr>
        <w:t xml:space="preserve">; (7) $1,706.60 for the </w:t>
      </w:r>
      <w:r w:rsidR="00513C8D" w:rsidRPr="00513C8D">
        <w:rPr>
          <w:rFonts w:eastAsia="Times New Roman"/>
          <w:i/>
        </w:rPr>
        <w:t>Survey Instrument for Local Agency Staff - Form A General</w:t>
      </w:r>
      <w:r w:rsidRPr="002808B8">
        <w:rPr>
          <w:rFonts w:eastAsia="Times New Roman"/>
        </w:rPr>
        <w:t xml:space="preserve">; (8) $1,097.10 for the </w:t>
      </w:r>
      <w:r w:rsidR="00513C8D" w:rsidRPr="00513C8D">
        <w:rPr>
          <w:rFonts w:eastAsia="Times New Roman"/>
          <w:i/>
        </w:rPr>
        <w:t>Survey Instrument for Local Agency Staff - Form B General</w:t>
      </w:r>
      <w:r w:rsidRPr="002808B8">
        <w:rPr>
          <w:rFonts w:eastAsia="Times New Roman"/>
        </w:rPr>
        <w:t xml:space="preserve">; (9) $609.50 for the </w:t>
      </w:r>
      <w:r w:rsidR="00513C8D" w:rsidRPr="00513C8D">
        <w:rPr>
          <w:rFonts w:eastAsia="Times New Roman"/>
          <w:i/>
        </w:rPr>
        <w:t>Survey Instrument for Local Agency Staff - Form B Differential Response</w:t>
      </w:r>
      <w:r w:rsidRPr="002808B8">
        <w:rPr>
          <w:rFonts w:eastAsia="Times New Roman"/>
        </w:rPr>
        <w:t xml:space="preserve">; (10) $301.80 for the </w:t>
      </w:r>
      <w:r w:rsidR="003A5126" w:rsidRPr="003A5126">
        <w:rPr>
          <w:rFonts w:eastAsia="Times New Roman"/>
          <w:i/>
        </w:rPr>
        <w:t>Survey Instrument for Service Providers</w:t>
      </w:r>
      <w:r w:rsidRPr="002808B8">
        <w:rPr>
          <w:rFonts w:eastAsia="Times New Roman"/>
        </w:rPr>
        <w:t>; and (</w:t>
      </w:r>
      <w:r w:rsidR="00D70963" w:rsidRPr="002808B8">
        <w:rPr>
          <w:rFonts w:eastAsia="Times New Roman"/>
        </w:rPr>
        <w:t xml:space="preserve">11) $1,045.92 for the </w:t>
      </w:r>
      <w:r w:rsidRPr="002808B8">
        <w:rPr>
          <w:rFonts w:eastAsia="Times New Roman"/>
          <w:i/>
        </w:rPr>
        <w:t>Focus Group</w:t>
      </w:r>
      <w:r w:rsidR="00D70963" w:rsidRPr="002808B8">
        <w:rPr>
          <w:rFonts w:eastAsia="Times New Roman"/>
          <w:i/>
        </w:rPr>
        <w:t xml:space="preserve"> of Caregivers</w:t>
      </w:r>
      <w:r w:rsidRPr="002808B8">
        <w:rPr>
          <w:rFonts w:eastAsia="Times New Roman"/>
          <w:vertAlign w:val="superscript"/>
        </w:rPr>
        <w:footnoteReference w:id="10"/>
      </w:r>
      <w:r w:rsidRPr="002808B8">
        <w:rPr>
          <w:rFonts w:eastAsia="Times New Roman"/>
        </w:rPr>
        <w:t xml:space="preserve">. </w:t>
      </w:r>
      <w:r w:rsidR="007149B5">
        <w:rPr>
          <w:rFonts w:eastAsia="Times New Roman"/>
        </w:rPr>
        <w:t xml:space="preserve">Rates were obtained from </w:t>
      </w:r>
      <w:r w:rsidR="008765CD" w:rsidRPr="008765CD">
        <w:rPr>
          <w:rFonts w:eastAsia="Times New Roman"/>
        </w:rPr>
        <w:t>https://www.bls.gov/oes/2016/may/oes_nat.htm</w:t>
      </w:r>
      <w:r w:rsidR="007149B5">
        <w:rPr>
          <w:rFonts w:eastAsia="Times New Roman"/>
        </w:rPr>
        <w:t>; different rates for different assumed respondent positions (as closely aligned as possible) were used which included: General and Operations Managers, Database Administrators, Registered Nurses, Social Workers, Nurse Practitioners, and Mixed Professionals.</w:t>
      </w:r>
      <w:r w:rsidR="00D6376A">
        <w:rPr>
          <w:rFonts w:eastAsia="Times New Roman"/>
        </w:rPr>
        <w:t xml:space="preserve">  Please see the supplementary spreadsheet for additional detail</w:t>
      </w:r>
      <w:r w:rsidR="004F6FB6">
        <w:rPr>
          <w:rFonts w:eastAsia="Times New Roman"/>
        </w:rPr>
        <w:t xml:space="preserve"> on the wage rates</w:t>
      </w:r>
      <w:r w:rsidR="00D6376A">
        <w:rPr>
          <w:rFonts w:eastAsia="Times New Roman"/>
        </w:rPr>
        <w:t>.</w:t>
      </w:r>
    </w:p>
    <w:p w14:paraId="2E7EE023" w14:textId="3F5C6A27" w:rsidR="005F435C" w:rsidRPr="002808B8" w:rsidRDefault="005F435C" w:rsidP="005F435C">
      <w:pPr>
        <w:spacing w:before="240"/>
        <w:rPr>
          <w:rFonts w:eastAsia="Times New Roman"/>
        </w:rPr>
      </w:pPr>
      <w:r w:rsidRPr="002808B8">
        <w:rPr>
          <w:rFonts w:eastAsia="Times New Roman"/>
        </w:rPr>
        <w:t xml:space="preserve">The total annual cost to the respondents if data collection </w:t>
      </w:r>
      <w:r w:rsidR="00F36BFE">
        <w:rPr>
          <w:rFonts w:eastAsia="Times New Roman"/>
        </w:rPr>
        <w:t xml:space="preserve">of </w:t>
      </w:r>
      <w:r w:rsidRPr="002808B8">
        <w:rPr>
          <w:rFonts w:eastAsia="Times New Roman"/>
        </w:rPr>
        <w:t xml:space="preserve">instruments </w:t>
      </w:r>
      <w:r w:rsidR="00D70963" w:rsidRPr="002808B8">
        <w:rPr>
          <w:rFonts w:eastAsia="Times New Roman"/>
        </w:rPr>
        <w:t>occurs equally across two years</w:t>
      </w:r>
      <w:r w:rsidRPr="002808B8">
        <w:rPr>
          <w:rFonts w:eastAsia="Times New Roman"/>
        </w:rPr>
        <w:t xml:space="preserve"> is $8,243.56. </w:t>
      </w:r>
    </w:p>
    <w:p w14:paraId="54696B37" w14:textId="77777777" w:rsidR="005F435C" w:rsidRPr="002808B8" w:rsidRDefault="005F435C" w:rsidP="005F435C">
      <w:pPr>
        <w:spacing w:before="240"/>
        <w:rPr>
          <w:rFonts w:eastAsia="Times New Roman"/>
          <w:b/>
          <w:highlight w:val="yellow"/>
        </w:rPr>
      </w:pPr>
      <w:r w:rsidRPr="002808B8">
        <w:rPr>
          <w:rFonts w:eastAsia="Times New Roman"/>
          <w:b/>
        </w:rPr>
        <w:t>Exhibit A-12. Annual Burden Estimates</w:t>
      </w:r>
    </w:p>
    <w:p w14:paraId="6B430847" w14:textId="77777777" w:rsidR="005F435C" w:rsidRPr="002808B8" w:rsidRDefault="005F435C" w:rsidP="005F435C"/>
    <w:tbl>
      <w:tblPr>
        <w:tblStyle w:val="TableGrid"/>
        <w:tblW w:w="0" w:type="auto"/>
        <w:tblLayout w:type="fixed"/>
        <w:tblCellMar>
          <w:left w:w="115" w:type="dxa"/>
          <w:right w:w="115" w:type="dxa"/>
        </w:tblCellMar>
        <w:tblLook w:val="04A0" w:firstRow="1" w:lastRow="0" w:firstColumn="1" w:lastColumn="0" w:noHBand="0" w:noVBand="1"/>
      </w:tblPr>
      <w:tblGrid>
        <w:gridCol w:w="3505"/>
        <w:gridCol w:w="1620"/>
        <w:gridCol w:w="1530"/>
        <w:gridCol w:w="1350"/>
        <w:gridCol w:w="1345"/>
      </w:tblGrid>
      <w:tr w:rsidR="005F435C" w:rsidRPr="002808B8" w14:paraId="2D857E1D" w14:textId="77777777" w:rsidTr="001A71E9">
        <w:trPr>
          <w:trHeight w:val="782"/>
        </w:trPr>
        <w:tc>
          <w:tcPr>
            <w:tcW w:w="3505" w:type="dxa"/>
            <w:hideMark/>
          </w:tcPr>
          <w:p w14:paraId="05A169D5" w14:textId="77777777" w:rsidR="005F435C" w:rsidRPr="002808B8" w:rsidRDefault="005F435C" w:rsidP="00CE6349">
            <w:pPr>
              <w:jc w:val="center"/>
              <w:rPr>
                <w:b/>
                <w:bCs/>
                <w:color w:val="000000"/>
              </w:rPr>
            </w:pPr>
            <w:r w:rsidRPr="002808B8">
              <w:rPr>
                <w:b/>
                <w:bCs/>
                <w:color w:val="000000"/>
              </w:rPr>
              <w:t>Instrument</w:t>
            </w:r>
          </w:p>
        </w:tc>
        <w:tc>
          <w:tcPr>
            <w:tcW w:w="1620" w:type="dxa"/>
            <w:hideMark/>
          </w:tcPr>
          <w:p w14:paraId="1C65C25C" w14:textId="77777777" w:rsidR="005F435C" w:rsidRPr="002808B8" w:rsidRDefault="005F435C" w:rsidP="00CE6349">
            <w:pPr>
              <w:jc w:val="center"/>
              <w:rPr>
                <w:b/>
                <w:bCs/>
                <w:color w:val="000000"/>
              </w:rPr>
            </w:pPr>
            <w:r w:rsidRPr="002808B8">
              <w:rPr>
                <w:b/>
                <w:bCs/>
                <w:color w:val="000000"/>
              </w:rPr>
              <w:t>Annual Number of Respondents</w:t>
            </w:r>
          </w:p>
        </w:tc>
        <w:tc>
          <w:tcPr>
            <w:tcW w:w="1530" w:type="dxa"/>
            <w:hideMark/>
          </w:tcPr>
          <w:p w14:paraId="06DDFCD2" w14:textId="77777777" w:rsidR="005F435C" w:rsidRPr="002808B8" w:rsidRDefault="005F435C" w:rsidP="00CE6349">
            <w:pPr>
              <w:jc w:val="center"/>
              <w:rPr>
                <w:b/>
                <w:bCs/>
                <w:color w:val="000000"/>
              </w:rPr>
            </w:pPr>
            <w:r w:rsidRPr="002808B8">
              <w:rPr>
                <w:b/>
                <w:bCs/>
                <w:color w:val="000000"/>
              </w:rPr>
              <w:t>Number of Responses Per Respondent</w:t>
            </w:r>
          </w:p>
        </w:tc>
        <w:tc>
          <w:tcPr>
            <w:tcW w:w="1350" w:type="dxa"/>
            <w:hideMark/>
          </w:tcPr>
          <w:p w14:paraId="0D38BD03" w14:textId="77777777" w:rsidR="005F435C" w:rsidRPr="002808B8" w:rsidRDefault="005F435C" w:rsidP="00CE6349">
            <w:pPr>
              <w:jc w:val="center"/>
              <w:rPr>
                <w:b/>
                <w:bCs/>
                <w:color w:val="000000"/>
              </w:rPr>
            </w:pPr>
            <w:r w:rsidRPr="002808B8">
              <w:rPr>
                <w:b/>
                <w:bCs/>
                <w:color w:val="000000"/>
              </w:rPr>
              <w:t>Average Burden Hours Per Response</w:t>
            </w:r>
          </w:p>
        </w:tc>
        <w:tc>
          <w:tcPr>
            <w:tcW w:w="1345" w:type="dxa"/>
            <w:hideMark/>
          </w:tcPr>
          <w:p w14:paraId="54B7E2D2" w14:textId="77777777" w:rsidR="005F435C" w:rsidRPr="002808B8" w:rsidRDefault="005F435C" w:rsidP="00CE6349">
            <w:pPr>
              <w:jc w:val="center"/>
              <w:rPr>
                <w:b/>
                <w:bCs/>
                <w:color w:val="000000"/>
              </w:rPr>
            </w:pPr>
            <w:r w:rsidRPr="002808B8">
              <w:rPr>
                <w:b/>
                <w:bCs/>
                <w:color w:val="000000"/>
              </w:rPr>
              <w:t>Total Annual Burden Hours</w:t>
            </w:r>
          </w:p>
        </w:tc>
      </w:tr>
      <w:tr w:rsidR="005F435C" w:rsidRPr="002808B8" w14:paraId="659ADCBD" w14:textId="77777777" w:rsidTr="001A71E9">
        <w:tc>
          <w:tcPr>
            <w:tcW w:w="3505" w:type="dxa"/>
          </w:tcPr>
          <w:p w14:paraId="7543E09E" w14:textId="73C9013F" w:rsidR="005F435C" w:rsidRPr="002808B8" w:rsidRDefault="004A567D" w:rsidP="00CE6349">
            <w:bookmarkStart w:id="19" w:name="_Hlk498611556"/>
            <w:r w:rsidRPr="004A567D">
              <w:t>Interview Protocol for Local Agency Director</w:t>
            </w:r>
            <w:bookmarkEnd w:id="19"/>
          </w:p>
        </w:tc>
        <w:tc>
          <w:tcPr>
            <w:tcW w:w="1620" w:type="dxa"/>
            <w:tcBorders>
              <w:top w:val="nil"/>
              <w:left w:val="single" w:sz="4" w:space="0" w:color="auto"/>
              <w:bottom w:val="single" w:sz="4" w:space="0" w:color="auto"/>
              <w:right w:val="single" w:sz="4" w:space="0" w:color="auto"/>
            </w:tcBorders>
            <w:shd w:val="clear" w:color="auto" w:fill="auto"/>
            <w:vAlign w:val="bottom"/>
          </w:tcPr>
          <w:p w14:paraId="480D158B" w14:textId="77777777" w:rsidR="005F435C" w:rsidRPr="002808B8" w:rsidRDefault="005F435C" w:rsidP="00CE6349">
            <w:pPr>
              <w:jc w:val="right"/>
            </w:pPr>
            <w:r w:rsidRPr="002808B8">
              <w:t>14</w:t>
            </w:r>
          </w:p>
        </w:tc>
        <w:tc>
          <w:tcPr>
            <w:tcW w:w="1530" w:type="dxa"/>
            <w:tcBorders>
              <w:top w:val="nil"/>
              <w:left w:val="nil"/>
              <w:bottom w:val="single" w:sz="4" w:space="0" w:color="auto"/>
              <w:right w:val="single" w:sz="4" w:space="0" w:color="auto"/>
            </w:tcBorders>
            <w:shd w:val="clear" w:color="auto" w:fill="auto"/>
            <w:vAlign w:val="bottom"/>
          </w:tcPr>
          <w:p w14:paraId="390050FC"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5C2FA511" w14:textId="77777777" w:rsidR="005F435C" w:rsidRPr="002808B8" w:rsidRDefault="005F435C" w:rsidP="00CE6349">
            <w:pPr>
              <w:jc w:val="right"/>
              <w:rPr>
                <w:color w:val="000000"/>
              </w:rPr>
            </w:pPr>
            <w:r w:rsidRPr="002808B8">
              <w:rPr>
                <w:color w:val="000000"/>
              </w:rPr>
              <w:t>1</w:t>
            </w:r>
          </w:p>
        </w:tc>
        <w:tc>
          <w:tcPr>
            <w:tcW w:w="1345" w:type="dxa"/>
            <w:tcBorders>
              <w:top w:val="nil"/>
              <w:left w:val="nil"/>
              <w:bottom w:val="single" w:sz="4" w:space="0" w:color="auto"/>
              <w:right w:val="single" w:sz="8" w:space="0" w:color="auto"/>
            </w:tcBorders>
            <w:shd w:val="clear" w:color="auto" w:fill="auto"/>
            <w:vAlign w:val="bottom"/>
          </w:tcPr>
          <w:p w14:paraId="2ADC6EFE" w14:textId="77777777" w:rsidR="005F435C" w:rsidRPr="002808B8" w:rsidRDefault="005F435C" w:rsidP="00CE6349">
            <w:pPr>
              <w:jc w:val="right"/>
              <w:rPr>
                <w:color w:val="000000"/>
              </w:rPr>
            </w:pPr>
            <w:r w:rsidRPr="002808B8">
              <w:rPr>
                <w:color w:val="000000"/>
              </w:rPr>
              <w:t>14</w:t>
            </w:r>
          </w:p>
        </w:tc>
      </w:tr>
      <w:tr w:rsidR="005F435C" w:rsidRPr="002808B8" w14:paraId="3E8AFD66" w14:textId="77777777" w:rsidTr="001A71E9">
        <w:tc>
          <w:tcPr>
            <w:tcW w:w="3505" w:type="dxa"/>
          </w:tcPr>
          <w:p w14:paraId="01133008" w14:textId="31573505" w:rsidR="005F435C" w:rsidRPr="002808B8" w:rsidRDefault="004A567D" w:rsidP="00CE6349">
            <w:r w:rsidRPr="004A567D">
              <w:t>Interview Protocol for Data Staff</w:t>
            </w:r>
          </w:p>
        </w:tc>
        <w:tc>
          <w:tcPr>
            <w:tcW w:w="1620" w:type="dxa"/>
            <w:tcBorders>
              <w:top w:val="nil"/>
              <w:left w:val="single" w:sz="4" w:space="0" w:color="auto"/>
              <w:bottom w:val="single" w:sz="4" w:space="0" w:color="auto"/>
              <w:right w:val="single" w:sz="4" w:space="0" w:color="auto"/>
            </w:tcBorders>
            <w:shd w:val="clear" w:color="auto" w:fill="auto"/>
            <w:vAlign w:val="bottom"/>
          </w:tcPr>
          <w:p w14:paraId="58264F90" w14:textId="77777777" w:rsidR="005F435C" w:rsidRPr="002808B8" w:rsidRDefault="005F435C" w:rsidP="00CE6349">
            <w:pPr>
              <w:jc w:val="right"/>
            </w:pPr>
            <w:r w:rsidRPr="002808B8">
              <w:t>6</w:t>
            </w:r>
          </w:p>
        </w:tc>
        <w:tc>
          <w:tcPr>
            <w:tcW w:w="1530" w:type="dxa"/>
            <w:tcBorders>
              <w:top w:val="nil"/>
              <w:left w:val="nil"/>
              <w:bottom w:val="single" w:sz="4" w:space="0" w:color="auto"/>
              <w:right w:val="single" w:sz="4" w:space="0" w:color="auto"/>
            </w:tcBorders>
            <w:shd w:val="clear" w:color="auto" w:fill="auto"/>
            <w:vAlign w:val="bottom"/>
          </w:tcPr>
          <w:p w14:paraId="50C72B0B"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03CB213D" w14:textId="77777777" w:rsidR="005F435C" w:rsidRPr="002808B8" w:rsidRDefault="005F435C" w:rsidP="00CE6349">
            <w:pPr>
              <w:jc w:val="right"/>
              <w:rPr>
                <w:color w:val="000000"/>
              </w:rPr>
            </w:pPr>
            <w:r w:rsidRPr="002808B8">
              <w:rPr>
                <w:color w:val="000000"/>
              </w:rPr>
              <w:t>1.5</w:t>
            </w:r>
          </w:p>
        </w:tc>
        <w:tc>
          <w:tcPr>
            <w:tcW w:w="1345" w:type="dxa"/>
            <w:tcBorders>
              <w:top w:val="nil"/>
              <w:left w:val="nil"/>
              <w:bottom w:val="single" w:sz="4" w:space="0" w:color="auto"/>
              <w:right w:val="single" w:sz="8" w:space="0" w:color="auto"/>
            </w:tcBorders>
            <w:shd w:val="clear" w:color="auto" w:fill="auto"/>
            <w:vAlign w:val="bottom"/>
          </w:tcPr>
          <w:p w14:paraId="22C6C547" w14:textId="77777777" w:rsidR="005F435C" w:rsidRPr="002808B8" w:rsidRDefault="005F435C" w:rsidP="00CE6349">
            <w:pPr>
              <w:jc w:val="right"/>
              <w:rPr>
                <w:color w:val="000000"/>
              </w:rPr>
            </w:pPr>
            <w:r w:rsidRPr="002808B8">
              <w:rPr>
                <w:color w:val="000000"/>
              </w:rPr>
              <w:t>9</w:t>
            </w:r>
          </w:p>
        </w:tc>
      </w:tr>
      <w:tr w:rsidR="005F435C" w:rsidRPr="002808B8" w14:paraId="641CC2BE" w14:textId="77777777" w:rsidTr="001A71E9">
        <w:tc>
          <w:tcPr>
            <w:tcW w:w="3505" w:type="dxa"/>
          </w:tcPr>
          <w:p w14:paraId="75280C44" w14:textId="42FE4E6B" w:rsidR="005F435C" w:rsidRPr="002808B8" w:rsidRDefault="004A567D" w:rsidP="00CE6349">
            <w:bookmarkStart w:id="20" w:name="_Hlk498677762"/>
            <w:r w:rsidRPr="004A567D">
              <w:t>Interview Protocol for Local Agency Medical Staff</w:t>
            </w:r>
            <w:bookmarkEnd w:id="20"/>
          </w:p>
        </w:tc>
        <w:tc>
          <w:tcPr>
            <w:tcW w:w="1620" w:type="dxa"/>
            <w:tcBorders>
              <w:top w:val="nil"/>
              <w:left w:val="single" w:sz="4" w:space="0" w:color="auto"/>
              <w:bottom w:val="single" w:sz="4" w:space="0" w:color="auto"/>
              <w:right w:val="single" w:sz="4" w:space="0" w:color="auto"/>
            </w:tcBorders>
            <w:shd w:val="clear" w:color="auto" w:fill="auto"/>
            <w:vAlign w:val="bottom"/>
          </w:tcPr>
          <w:p w14:paraId="1C6B8138" w14:textId="77777777" w:rsidR="005F435C" w:rsidRPr="002808B8" w:rsidRDefault="005F435C" w:rsidP="00CE6349">
            <w:pPr>
              <w:jc w:val="right"/>
            </w:pPr>
            <w:r w:rsidRPr="002808B8">
              <w:t>14</w:t>
            </w:r>
          </w:p>
        </w:tc>
        <w:tc>
          <w:tcPr>
            <w:tcW w:w="1530" w:type="dxa"/>
            <w:tcBorders>
              <w:top w:val="nil"/>
              <w:left w:val="nil"/>
              <w:bottom w:val="single" w:sz="4" w:space="0" w:color="auto"/>
              <w:right w:val="single" w:sz="4" w:space="0" w:color="auto"/>
            </w:tcBorders>
            <w:shd w:val="clear" w:color="auto" w:fill="auto"/>
            <w:vAlign w:val="bottom"/>
          </w:tcPr>
          <w:p w14:paraId="63490633"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037FCFF6" w14:textId="77777777" w:rsidR="005F435C" w:rsidRPr="002808B8" w:rsidRDefault="005F435C" w:rsidP="00CE6349">
            <w:pPr>
              <w:jc w:val="right"/>
              <w:rPr>
                <w:color w:val="000000"/>
              </w:rPr>
            </w:pPr>
            <w:r w:rsidRPr="002808B8">
              <w:rPr>
                <w:color w:val="000000"/>
              </w:rPr>
              <w:t>1</w:t>
            </w:r>
          </w:p>
        </w:tc>
        <w:tc>
          <w:tcPr>
            <w:tcW w:w="1345" w:type="dxa"/>
            <w:tcBorders>
              <w:top w:val="nil"/>
              <w:left w:val="nil"/>
              <w:bottom w:val="single" w:sz="4" w:space="0" w:color="auto"/>
              <w:right w:val="single" w:sz="8" w:space="0" w:color="auto"/>
            </w:tcBorders>
            <w:shd w:val="clear" w:color="auto" w:fill="auto"/>
            <w:vAlign w:val="bottom"/>
          </w:tcPr>
          <w:p w14:paraId="5959C664" w14:textId="77777777" w:rsidR="005F435C" w:rsidRPr="002808B8" w:rsidRDefault="005F435C" w:rsidP="00CE6349">
            <w:pPr>
              <w:jc w:val="right"/>
              <w:rPr>
                <w:color w:val="000000"/>
              </w:rPr>
            </w:pPr>
            <w:r w:rsidRPr="002808B8">
              <w:rPr>
                <w:color w:val="000000"/>
              </w:rPr>
              <w:t>14</w:t>
            </w:r>
          </w:p>
        </w:tc>
      </w:tr>
      <w:tr w:rsidR="005F435C" w:rsidRPr="002808B8" w14:paraId="5DD1DD82" w14:textId="77777777" w:rsidTr="001A71E9">
        <w:tc>
          <w:tcPr>
            <w:tcW w:w="3505" w:type="dxa"/>
          </w:tcPr>
          <w:p w14:paraId="3E67D9C0" w14:textId="19083F05" w:rsidR="005F435C" w:rsidRPr="002808B8" w:rsidRDefault="004A567D" w:rsidP="00CE6349">
            <w:r w:rsidRPr="004A567D">
              <w:t>Interview Protocol for Local Agency Staff – Frontline Only</w:t>
            </w:r>
          </w:p>
        </w:tc>
        <w:tc>
          <w:tcPr>
            <w:tcW w:w="1620" w:type="dxa"/>
            <w:tcBorders>
              <w:top w:val="nil"/>
              <w:left w:val="single" w:sz="4" w:space="0" w:color="auto"/>
              <w:bottom w:val="single" w:sz="4" w:space="0" w:color="auto"/>
              <w:right w:val="single" w:sz="4" w:space="0" w:color="auto"/>
            </w:tcBorders>
            <w:shd w:val="clear" w:color="auto" w:fill="auto"/>
            <w:vAlign w:val="bottom"/>
          </w:tcPr>
          <w:p w14:paraId="311975B7" w14:textId="16A20C62" w:rsidR="005F435C" w:rsidRPr="002808B8" w:rsidRDefault="009B24EC" w:rsidP="00CE6349">
            <w:pPr>
              <w:jc w:val="right"/>
            </w:pPr>
            <w:r>
              <w:t>28</w:t>
            </w:r>
          </w:p>
        </w:tc>
        <w:tc>
          <w:tcPr>
            <w:tcW w:w="1530" w:type="dxa"/>
            <w:tcBorders>
              <w:top w:val="nil"/>
              <w:left w:val="nil"/>
              <w:bottom w:val="single" w:sz="4" w:space="0" w:color="auto"/>
              <w:right w:val="single" w:sz="4" w:space="0" w:color="auto"/>
            </w:tcBorders>
            <w:shd w:val="clear" w:color="auto" w:fill="auto"/>
            <w:vAlign w:val="bottom"/>
          </w:tcPr>
          <w:p w14:paraId="38C5B497"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13ADC6CC" w14:textId="77777777" w:rsidR="005F435C" w:rsidRPr="002808B8" w:rsidRDefault="005F435C" w:rsidP="00CE6349">
            <w:pPr>
              <w:jc w:val="right"/>
              <w:rPr>
                <w:color w:val="000000"/>
              </w:rPr>
            </w:pPr>
            <w:r w:rsidRPr="002808B8">
              <w:rPr>
                <w:color w:val="000000"/>
              </w:rPr>
              <w:t>1</w:t>
            </w:r>
          </w:p>
        </w:tc>
        <w:tc>
          <w:tcPr>
            <w:tcW w:w="1345" w:type="dxa"/>
            <w:tcBorders>
              <w:top w:val="nil"/>
              <w:left w:val="nil"/>
              <w:bottom w:val="single" w:sz="4" w:space="0" w:color="auto"/>
              <w:right w:val="single" w:sz="8" w:space="0" w:color="auto"/>
            </w:tcBorders>
            <w:shd w:val="clear" w:color="auto" w:fill="auto"/>
            <w:vAlign w:val="bottom"/>
          </w:tcPr>
          <w:p w14:paraId="0CB02D98" w14:textId="1AFE6C01" w:rsidR="005F435C" w:rsidRPr="002808B8" w:rsidRDefault="009B24EC" w:rsidP="00CE6349">
            <w:pPr>
              <w:jc w:val="right"/>
              <w:rPr>
                <w:color w:val="000000"/>
              </w:rPr>
            </w:pPr>
            <w:r>
              <w:rPr>
                <w:color w:val="000000"/>
              </w:rPr>
              <w:t>28</w:t>
            </w:r>
          </w:p>
        </w:tc>
      </w:tr>
      <w:tr w:rsidR="005F435C" w:rsidRPr="002808B8" w14:paraId="2069A8DD" w14:textId="77777777" w:rsidTr="001A71E9">
        <w:tc>
          <w:tcPr>
            <w:tcW w:w="3505" w:type="dxa"/>
          </w:tcPr>
          <w:p w14:paraId="572BB465" w14:textId="5729E5CB" w:rsidR="005F435C" w:rsidRPr="002808B8" w:rsidRDefault="004A567D" w:rsidP="00CE6349">
            <w:r w:rsidRPr="004A567D">
              <w:t>Interview Protocol for Local Agency Staff – Ongoing Only</w:t>
            </w:r>
          </w:p>
        </w:tc>
        <w:tc>
          <w:tcPr>
            <w:tcW w:w="1620" w:type="dxa"/>
            <w:tcBorders>
              <w:top w:val="nil"/>
              <w:left w:val="single" w:sz="4" w:space="0" w:color="auto"/>
              <w:bottom w:val="single" w:sz="4" w:space="0" w:color="auto"/>
              <w:right w:val="single" w:sz="4" w:space="0" w:color="auto"/>
            </w:tcBorders>
            <w:shd w:val="clear" w:color="auto" w:fill="auto"/>
            <w:vAlign w:val="bottom"/>
          </w:tcPr>
          <w:p w14:paraId="42B45D4F" w14:textId="090B8AC5" w:rsidR="005F435C" w:rsidRPr="002808B8" w:rsidRDefault="009B24EC" w:rsidP="00CE6349">
            <w:pPr>
              <w:jc w:val="right"/>
            </w:pPr>
            <w:r>
              <w:t>28</w:t>
            </w:r>
          </w:p>
        </w:tc>
        <w:tc>
          <w:tcPr>
            <w:tcW w:w="1530" w:type="dxa"/>
            <w:tcBorders>
              <w:top w:val="nil"/>
              <w:left w:val="nil"/>
              <w:bottom w:val="single" w:sz="4" w:space="0" w:color="auto"/>
              <w:right w:val="single" w:sz="4" w:space="0" w:color="auto"/>
            </w:tcBorders>
            <w:shd w:val="clear" w:color="auto" w:fill="auto"/>
            <w:vAlign w:val="bottom"/>
          </w:tcPr>
          <w:p w14:paraId="1C6C78A4"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085CF65C" w14:textId="77777777" w:rsidR="005F435C" w:rsidRPr="002808B8" w:rsidRDefault="005F435C" w:rsidP="00CE6349">
            <w:pPr>
              <w:jc w:val="right"/>
              <w:rPr>
                <w:color w:val="000000"/>
              </w:rPr>
            </w:pPr>
            <w:r w:rsidRPr="002808B8">
              <w:rPr>
                <w:color w:val="000000"/>
              </w:rPr>
              <w:t>1</w:t>
            </w:r>
          </w:p>
        </w:tc>
        <w:tc>
          <w:tcPr>
            <w:tcW w:w="1345" w:type="dxa"/>
            <w:tcBorders>
              <w:top w:val="nil"/>
              <w:left w:val="nil"/>
              <w:bottom w:val="single" w:sz="4" w:space="0" w:color="auto"/>
              <w:right w:val="single" w:sz="8" w:space="0" w:color="auto"/>
            </w:tcBorders>
            <w:shd w:val="clear" w:color="auto" w:fill="auto"/>
            <w:vAlign w:val="bottom"/>
          </w:tcPr>
          <w:p w14:paraId="7163E589" w14:textId="2F26E907" w:rsidR="005F435C" w:rsidRPr="002808B8" w:rsidRDefault="009B24EC" w:rsidP="00CE6349">
            <w:pPr>
              <w:jc w:val="right"/>
              <w:rPr>
                <w:color w:val="000000"/>
              </w:rPr>
            </w:pPr>
            <w:r>
              <w:rPr>
                <w:color w:val="000000"/>
              </w:rPr>
              <w:t>28</w:t>
            </w:r>
          </w:p>
        </w:tc>
      </w:tr>
      <w:tr w:rsidR="005F435C" w:rsidRPr="002808B8" w14:paraId="6360075B" w14:textId="77777777" w:rsidTr="001A71E9">
        <w:tc>
          <w:tcPr>
            <w:tcW w:w="3505" w:type="dxa"/>
          </w:tcPr>
          <w:p w14:paraId="107FF5F0" w14:textId="7D5952B8" w:rsidR="005F435C" w:rsidRPr="002808B8" w:rsidRDefault="004A567D" w:rsidP="00CE6349">
            <w:r w:rsidRPr="004A567D">
              <w:t>Interview Protocol for Local Agency Staff– Frontline and Ongoing</w:t>
            </w:r>
          </w:p>
        </w:tc>
        <w:tc>
          <w:tcPr>
            <w:tcW w:w="1620" w:type="dxa"/>
            <w:tcBorders>
              <w:top w:val="nil"/>
              <w:left w:val="single" w:sz="4" w:space="0" w:color="auto"/>
              <w:bottom w:val="single" w:sz="4" w:space="0" w:color="auto"/>
              <w:right w:val="single" w:sz="4" w:space="0" w:color="auto"/>
            </w:tcBorders>
            <w:shd w:val="clear" w:color="auto" w:fill="auto"/>
            <w:vAlign w:val="bottom"/>
          </w:tcPr>
          <w:p w14:paraId="180AAEE3" w14:textId="77777777" w:rsidR="005F435C" w:rsidRPr="002808B8" w:rsidRDefault="005F435C" w:rsidP="00CE6349">
            <w:pPr>
              <w:jc w:val="right"/>
            </w:pPr>
            <w:r w:rsidRPr="002808B8">
              <w:t>15</w:t>
            </w:r>
          </w:p>
        </w:tc>
        <w:tc>
          <w:tcPr>
            <w:tcW w:w="1530" w:type="dxa"/>
            <w:tcBorders>
              <w:top w:val="nil"/>
              <w:left w:val="nil"/>
              <w:bottom w:val="single" w:sz="4" w:space="0" w:color="auto"/>
              <w:right w:val="single" w:sz="4" w:space="0" w:color="auto"/>
            </w:tcBorders>
            <w:shd w:val="clear" w:color="auto" w:fill="auto"/>
            <w:vAlign w:val="bottom"/>
          </w:tcPr>
          <w:p w14:paraId="6CE404DE"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029BA0A7" w14:textId="77777777" w:rsidR="005F435C" w:rsidRPr="002808B8" w:rsidRDefault="005F435C" w:rsidP="00CE6349">
            <w:pPr>
              <w:jc w:val="right"/>
              <w:rPr>
                <w:color w:val="000000"/>
              </w:rPr>
            </w:pPr>
            <w:r w:rsidRPr="002808B8">
              <w:rPr>
                <w:color w:val="000000"/>
              </w:rPr>
              <w:t>1.25</w:t>
            </w:r>
          </w:p>
        </w:tc>
        <w:tc>
          <w:tcPr>
            <w:tcW w:w="1345" w:type="dxa"/>
            <w:tcBorders>
              <w:top w:val="nil"/>
              <w:left w:val="nil"/>
              <w:bottom w:val="single" w:sz="4" w:space="0" w:color="auto"/>
              <w:right w:val="single" w:sz="8" w:space="0" w:color="auto"/>
            </w:tcBorders>
            <w:shd w:val="clear" w:color="auto" w:fill="auto"/>
            <w:vAlign w:val="bottom"/>
          </w:tcPr>
          <w:p w14:paraId="276EDEA4" w14:textId="0B380A68" w:rsidR="005F435C" w:rsidRPr="002808B8" w:rsidRDefault="009B24EC" w:rsidP="00CE6349">
            <w:pPr>
              <w:jc w:val="right"/>
              <w:rPr>
                <w:color w:val="000000"/>
              </w:rPr>
            </w:pPr>
            <w:r>
              <w:rPr>
                <w:color w:val="000000"/>
              </w:rPr>
              <w:t>19</w:t>
            </w:r>
          </w:p>
        </w:tc>
      </w:tr>
      <w:tr w:rsidR="005F435C" w:rsidRPr="002808B8" w14:paraId="3874914F" w14:textId="77777777" w:rsidTr="001A71E9">
        <w:tc>
          <w:tcPr>
            <w:tcW w:w="3505" w:type="dxa"/>
          </w:tcPr>
          <w:p w14:paraId="76070D5D" w14:textId="0312CDFA" w:rsidR="005F435C" w:rsidRPr="002808B8" w:rsidRDefault="00FC462A" w:rsidP="00CE6349">
            <w:r w:rsidRPr="00FC462A">
              <w:t>Survey Instrument for Local Agency Staff - Form A General</w:t>
            </w:r>
          </w:p>
        </w:tc>
        <w:tc>
          <w:tcPr>
            <w:tcW w:w="1620" w:type="dxa"/>
            <w:tcBorders>
              <w:top w:val="nil"/>
              <w:left w:val="single" w:sz="4" w:space="0" w:color="auto"/>
              <w:bottom w:val="single" w:sz="4" w:space="0" w:color="auto"/>
              <w:right w:val="single" w:sz="4" w:space="0" w:color="auto"/>
            </w:tcBorders>
            <w:shd w:val="clear" w:color="auto" w:fill="auto"/>
            <w:vAlign w:val="bottom"/>
          </w:tcPr>
          <w:p w14:paraId="0798AACA" w14:textId="77777777" w:rsidR="005F435C" w:rsidRPr="002808B8" w:rsidRDefault="005F435C" w:rsidP="00CE6349">
            <w:pPr>
              <w:jc w:val="right"/>
            </w:pPr>
            <w:r w:rsidRPr="002808B8">
              <w:t>140</w:t>
            </w:r>
          </w:p>
        </w:tc>
        <w:tc>
          <w:tcPr>
            <w:tcW w:w="1530" w:type="dxa"/>
            <w:tcBorders>
              <w:top w:val="nil"/>
              <w:left w:val="nil"/>
              <w:bottom w:val="single" w:sz="4" w:space="0" w:color="auto"/>
              <w:right w:val="single" w:sz="4" w:space="0" w:color="auto"/>
            </w:tcBorders>
            <w:shd w:val="clear" w:color="auto" w:fill="auto"/>
            <w:vAlign w:val="bottom"/>
          </w:tcPr>
          <w:p w14:paraId="06DCC08F"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5DD3D1C3" w14:textId="77777777" w:rsidR="005F435C" w:rsidRPr="002808B8" w:rsidRDefault="005F435C" w:rsidP="00CE6349">
            <w:pPr>
              <w:jc w:val="right"/>
              <w:rPr>
                <w:color w:val="000000"/>
              </w:rPr>
            </w:pPr>
            <w:r w:rsidRPr="002808B8">
              <w:rPr>
                <w:color w:val="000000"/>
              </w:rPr>
              <w:t>0.5</w:t>
            </w:r>
          </w:p>
        </w:tc>
        <w:tc>
          <w:tcPr>
            <w:tcW w:w="1345" w:type="dxa"/>
            <w:tcBorders>
              <w:top w:val="nil"/>
              <w:left w:val="nil"/>
              <w:bottom w:val="single" w:sz="4" w:space="0" w:color="auto"/>
              <w:right w:val="single" w:sz="8" w:space="0" w:color="auto"/>
            </w:tcBorders>
            <w:shd w:val="clear" w:color="auto" w:fill="auto"/>
            <w:vAlign w:val="bottom"/>
          </w:tcPr>
          <w:p w14:paraId="22231F4D" w14:textId="77777777" w:rsidR="005F435C" w:rsidRPr="002808B8" w:rsidRDefault="005F435C" w:rsidP="00CE6349">
            <w:pPr>
              <w:jc w:val="right"/>
              <w:rPr>
                <w:color w:val="000000"/>
              </w:rPr>
            </w:pPr>
            <w:r w:rsidRPr="002808B8">
              <w:rPr>
                <w:color w:val="000000"/>
              </w:rPr>
              <w:t>70</w:t>
            </w:r>
          </w:p>
        </w:tc>
      </w:tr>
      <w:tr w:rsidR="005F435C" w:rsidRPr="002808B8" w14:paraId="6B2586B5" w14:textId="77777777" w:rsidTr="001A71E9">
        <w:tc>
          <w:tcPr>
            <w:tcW w:w="3505" w:type="dxa"/>
          </w:tcPr>
          <w:p w14:paraId="6AF75059" w14:textId="306B4171" w:rsidR="005F435C" w:rsidRPr="002808B8" w:rsidRDefault="00FC462A" w:rsidP="00CE6349">
            <w:bookmarkStart w:id="21" w:name="_Hlk498611404"/>
            <w:r w:rsidRPr="00FC462A">
              <w:t>Survey Instrument for Local Agency Staff - Form B General</w:t>
            </w:r>
            <w:bookmarkEnd w:id="21"/>
          </w:p>
        </w:tc>
        <w:tc>
          <w:tcPr>
            <w:tcW w:w="1620" w:type="dxa"/>
            <w:tcBorders>
              <w:top w:val="nil"/>
              <w:left w:val="single" w:sz="4" w:space="0" w:color="auto"/>
              <w:bottom w:val="single" w:sz="4" w:space="0" w:color="auto"/>
              <w:right w:val="single" w:sz="4" w:space="0" w:color="auto"/>
            </w:tcBorders>
            <w:shd w:val="clear" w:color="auto" w:fill="auto"/>
            <w:vAlign w:val="bottom"/>
          </w:tcPr>
          <w:p w14:paraId="2CD25F91" w14:textId="77777777" w:rsidR="005F435C" w:rsidRPr="002808B8" w:rsidRDefault="005F435C" w:rsidP="00CE6349">
            <w:pPr>
              <w:jc w:val="right"/>
            </w:pPr>
            <w:r w:rsidRPr="002808B8">
              <w:t>90</w:t>
            </w:r>
          </w:p>
        </w:tc>
        <w:tc>
          <w:tcPr>
            <w:tcW w:w="1530" w:type="dxa"/>
            <w:tcBorders>
              <w:top w:val="nil"/>
              <w:left w:val="nil"/>
              <w:bottom w:val="single" w:sz="4" w:space="0" w:color="auto"/>
              <w:right w:val="single" w:sz="4" w:space="0" w:color="auto"/>
            </w:tcBorders>
            <w:shd w:val="clear" w:color="auto" w:fill="auto"/>
            <w:vAlign w:val="bottom"/>
          </w:tcPr>
          <w:p w14:paraId="1DA9139F"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7A627B59" w14:textId="77777777" w:rsidR="005F435C" w:rsidRPr="002808B8" w:rsidRDefault="005F435C" w:rsidP="00CE6349">
            <w:pPr>
              <w:jc w:val="right"/>
              <w:rPr>
                <w:color w:val="000000"/>
              </w:rPr>
            </w:pPr>
            <w:r w:rsidRPr="002808B8">
              <w:rPr>
                <w:color w:val="000000"/>
              </w:rPr>
              <w:t>0.5</w:t>
            </w:r>
          </w:p>
        </w:tc>
        <w:tc>
          <w:tcPr>
            <w:tcW w:w="1345" w:type="dxa"/>
            <w:tcBorders>
              <w:top w:val="nil"/>
              <w:left w:val="nil"/>
              <w:bottom w:val="single" w:sz="4" w:space="0" w:color="auto"/>
              <w:right w:val="single" w:sz="8" w:space="0" w:color="auto"/>
            </w:tcBorders>
            <w:shd w:val="clear" w:color="auto" w:fill="auto"/>
            <w:vAlign w:val="bottom"/>
          </w:tcPr>
          <w:p w14:paraId="2F22F534" w14:textId="77777777" w:rsidR="005F435C" w:rsidRPr="002808B8" w:rsidRDefault="005F435C" w:rsidP="00CE6349">
            <w:pPr>
              <w:jc w:val="right"/>
              <w:rPr>
                <w:color w:val="000000"/>
              </w:rPr>
            </w:pPr>
            <w:r w:rsidRPr="002808B8">
              <w:rPr>
                <w:color w:val="000000"/>
              </w:rPr>
              <w:t>45</w:t>
            </w:r>
          </w:p>
        </w:tc>
      </w:tr>
      <w:tr w:rsidR="005F435C" w:rsidRPr="002808B8" w14:paraId="4BC06790" w14:textId="77777777" w:rsidTr="001A71E9">
        <w:tc>
          <w:tcPr>
            <w:tcW w:w="3505" w:type="dxa"/>
          </w:tcPr>
          <w:p w14:paraId="19ADBE26" w14:textId="46A05AA3" w:rsidR="005F435C" w:rsidRPr="002808B8" w:rsidRDefault="00FC462A" w:rsidP="00CE6349">
            <w:bookmarkStart w:id="22" w:name="_Hlk498611384"/>
            <w:r w:rsidRPr="00FC462A">
              <w:t>Survey Instrument for Local Agency Staff - Form B Differential Response</w:t>
            </w:r>
            <w:bookmarkEnd w:id="22"/>
          </w:p>
        </w:tc>
        <w:tc>
          <w:tcPr>
            <w:tcW w:w="1620" w:type="dxa"/>
            <w:tcBorders>
              <w:top w:val="nil"/>
              <w:left w:val="single" w:sz="4" w:space="0" w:color="auto"/>
              <w:bottom w:val="single" w:sz="4" w:space="0" w:color="auto"/>
              <w:right w:val="single" w:sz="4" w:space="0" w:color="auto"/>
            </w:tcBorders>
            <w:shd w:val="clear" w:color="auto" w:fill="auto"/>
            <w:vAlign w:val="bottom"/>
          </w:tcPr>
          <w:p w14:paraId="39647CF7" w14:textId="77777777" w:rsidR="005F435C" w:rsidRPr="002808B8" w:rsidRDefault="005F435C" w:rsidP="00CE6349">
            <w:pPr>
              <w:jc w:val="right"/>
            </w:pPr>
            <w:r w:rsidRPr="002808B8">
              <w:t>50</w:t>
            </w:r>
          </w:p>
        </w:tc>
        <w:tc>
          <w:tcPr>
            <w:tcW w:w="1530" w:type="dxa"/>
            <w:tcBorders>
              <w:top w:val="nil"/>
              <w:left w:val="nil"/>
              <w:bottom w:val="single" w:sz="4" w:space="0" w:color="auto"/>
              <w:right w:val="single" w:sz="4" w:space="0" w:color="auto"/>
            </w:tcBorders>
            <w:shd w:val="clear" w:color="auto" w:fill="auto"/>
            <w:vAlign w:val="bottom"/>
          </w:tcPr>
          <w:p w14:paraId="5F1ADC4E"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24828E9B" w14:textId="77777777" w:rsidR="005F435C" w:rsidRPr="002808B8" w:rsidRDefault="005F435C" w:rsidP="00CE6349">
            <w:pPr>
              <w:jc w:val="right"/>
              <w:rPr>
                <w:color w:val="000000"/>
              </w:rPr>
            </w:pPr>
            <w:r w:rsidRPr="002808B8">
              <w:rPr>
                <w:color w:val="000000"/>
              </w:rPr>
              <w:t>0.5</w:t>
            </w:r>
          </w:p>
        </w:tc>
        <w:tc>
          <w:tcPr>
            <w:tcW w:w="1345" w:type="dxa"/>
            <w:tcBorders>
              <w:top w:val="nil"/>
              <w:left w:val="nil"/>
              <w:bottom w:val="single" w:sz="4" w:space="0" w:color="auto"/>
              <w:right w:val="single" w:sz="8" w:space="0" w:color="auto"/>
            </w:tcBorders>
            <w:shd w:val="clear" w:color="auto" w:fill="auto"/>
            <w:vAlign w:val="bottom"/>
          </w:tcPr>
          <w:p w14:paraId="3FA583DC" w14:textId="77777777" w:rsidR="005F435C" w:rsidRPr="002808B8" w:rsidRDefault="005F435C" w:rsidP="00CE6349">
            <w:pPr>
              <w:jc w:val="right"/>
              <w:rPr>
                <w:color w:val="000000"/>
              </w:rPr>
            </w:pPr>
            <w:r w:rsidRPr="002808B8">
              <w:rPr>
                <w:color w:val="000000"/>
              </w:rPr>
              <w:t>25</w:t>
            </w:r>
          </w:p>
        </w:tc>
      </w:tr>
      <w:tr w:rsidR="005F435C" w:rsidRPr="002808B8" w14:paraId="06BEB0D2" w14:textId="77777777" w:rsidTr="001A71E9">
        <w:tc>
          <w:tcPr>
            <w:tcW w:w="3505" w:type="dxa"/>
          </w:tcPr>
          <w:p w14:paraId="2F51D495" w14:textId="4A7C92B8" w:rsidR="005F435C" w:rsidRPr="002808B8" w:rsidRDefault="00FC462A" w:rsidP="00CE6349">
            <w:bookmarkStart w:id="23" w:name="_Hlk498612843"/>
            <w:r w:rsidRPr="00FC462A">
              <w:t>Survey Instrument for Service Providers</w:t>
            </w:r>
            <w:bookmarkEnd w:id="23"/>
          </w:p>
        </w:tc>
        <w:tc>
          <w:tcPr>
            <w:tcW w:w="1620" w:type="dxa"/>
            <w:tcBorders>
              <w:top w:val="nil"/>
              <w:left w:val="single" w:sz="4" w:space="0" w:color="auto"/>
              <w:bottom w:val="single" w:sz="4" w:space="0" w:color="auto"/>
              <w:right w:val="single" w:sz="4" w:space="0" w:color="auto"/>
            </w:tcBorders>
            <w:shd w:val="clear" w:color="auto" w:fill="auto"/>
            <w:vAlign w:val="bottom"/>
          </w:tcPr>
          <w:p w14:paraId="715526BA" w14:textId="77777777" w:rsidR="005F435C" w:rsidRPr="002808B8" w:rsidRDefault="005F435C" w:rsidP="00CE6349">
            <w:pPr>
              <w:jc w:val="right"/>
            </w:pPr>
            <w:r w:rsidRPr="002808B8">
              <w:t>12</w:t>
            </w:r>
          </w:p>
        </w:tc>
        <w:tc>
          <w:tcPr>
            <w:tcW w:w="1530" w:type="dxa"/>
            <w:tcBorders>
              <w:top w:val="nil"/>
              <w:left w:val="nil"/>
              <w:bottom w:val="single" w:sz="4" w:space="0" w:color="auto"/>
              <w:right w:val="single" w:sz="4" w:space="0" w:color="auto"/>
            </w:tcBorders>
            <w:shd w:val="clear" w:color="auto" w:fill="auto"/>
            <w:vAlign w:val="bottom"/>
          </w:tcPr>
          <w:p w14:paraId="6ABB9C2A"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4" w:space="0" w:color="auto"/>
              <w:right w:val="single" w:sz="4" w:space="0" w:color="auto"/>
            </w:tcBorders>
            <w:shd w:val="clear" w:color="auto" w:fill="auto"/>
            <w:vAlign w:val="bottom"/>
          </w:tcPr>
          <w:p w14:paraId="3A62D4FE" w14:textId="77777777" w:rsidR="005F435C" w:rsidRPr="002808B8" w:rsidRDefault="005F435C" w:rsidP="00CE6349">
            <w:pPr>
              <w:jc w:val="right"/>
              <w:rPr>
                <w:color w:val="000000"/>
              </w:rPr>
            </w:pPr>
            <w:r w:rsidRPr="002808B8">
              <w:rPr>
                <w:color w:val="000000"/>
              </w:rPr>
              <w:t>0.5</w:t>
            </w:r>
          </w:p>
        </w:tc>
        <w:tc>
          <w:tcPr>
            <w:tcW w:w="1345" w:type="dxa"/>
            <w:tcBorders>
              <w:top w:val="nil"/>
              <w:left w:val="nil"/>
              <w:bottom w:val="single" w:sz="4" w:space="0" w:color="auto"/>
              <w:right w:val="single" w:sz="8" w:space="0" w:color="auto"/>
            </w:tcBorders>
            <w:shd w:val="clear" w:color="auto" w:fill="auto"/>
            <w:vAlign w:val="bottom"/>
          </w:tcPr>
          <w:p w14:paraId="7C91F707" w14:textId="77777777" w:rsidR="005F435C" w:rsidRPr="002808B8" w:rsidRDefault="005F435C" w:rsidP="00CE6349">
            <w:pPr>
              <w:jc w:val="right"/>
              <w:rPr>
                <w:color w:val="000000"/>
              </w:rPr>
            </w:pPr>
            <w:r w:rsidRPr="002808B8">
              <w:rPr>
                <w:color w:val="000000"/>
              </w:rPr>
              <w:t>6</w:t>
            </w:r>
          </w:p>
        </w:tc>
      </w:tr>
      <w:tr w:rsidR="005F435C" w:rsidRPr="002808B8" w14:paraId="68D9B76E" w14:textId="77777777" w:rsidTr="001A71E9">
        <w:tc>
          <w:tcPr>
            <w:tcW w:w="3505" w:type="dxa"/>
          </w:tcPr>
          <w:p w14:paraId="5C9223B5" w14:textId="40F1E497" w:rsidR="005F435C" w:rsidRPr="002808B8" w:rsidRDefault="00FC462A" w:rsidP="00CE6349">
            <w:r w:rsidRPr="00FC462A">
              <w:t>Focus Group of Caregivers</w:t>
            </w:r>
          </w:p>
        </w:tc>
        <w:tc>
          <w:tcPr>
            <w:tcW w:w="1620" w:type="dxa"/>
            <w:tcBorders>
              <w:top w:val="nil"/>
              <w:left w:val="single" w:sz="4" w:space="0" w:color="auto"/>
              <w:bottom w:val="single" w:sz="8" w:space="0" w:color="auto"/>
              <w:right w:val="single" w:sz="4" w:space="0" w:color="auto"/>
            </w:tcBorders>
            <w:shd w:val="clear" w:color="auto" w:fill="auto"/>
            <w:vAlign w:val="bottom"/>
          </w:tcPr>
          <w:p w14:paraId="6D70B22A" w14:textId="77777777" w:rsidR="005F435C" w:rsidRPr="002808B8" w:rsidRDefault="005F435C" w:rsidP="00CE6349">
            <w:pPr>
              <w:jc w:val="right"/>
            </w:pPr>
            <w:r w:rsidRPr="002808B8">
              <w:t>32</w:t>
            </w:r>
          </w:p>
        </w:tc>
        <w:tc>
          <w:tcPr>
            <w:tcW w:w="1530" w:type="dxa"/>
            <w:tcBorders>
              <w:top w:val="nil"/>
              <w:left w:val="nil"/>
              <w:bottom w:val="single" w:sz="8" w:space="0" w:color="auto"/>
              <w:right w:val="single" w:sz="4" w:space="0" w:color="auto"/>
            </w:tcBorders>
            <w:shd w:val="clear" w:color="auto" w:fill="auto"/>
            <w:vAlign w:val="bottom"/>
          </w:tcPr>
          <w:p w14:paraId="176FE62D" w14:textId="77777777" w:rsidR="005F435C" w:rsidRPr="002808B8" w:rsidRDefault="005F435C" w:rsidP="00CE6349">
            <w:pPr>
              <w:jc w:val="right"/>
              <w:rPr>
                <w:color w:val="000000"/>
              </w:rPr>
            </w:pPr>
            <w:r w:rsidRPr="002808B8">
              <w:rPr>
                <w:color w:val="000000"/>
              </w:rPr>
              <w:t>1</w:t>
            </w:r>
          </w:p>
        </w:tc>
        <w:tc>
          <w:tcPr>
            <w:tcW w:w="1350" w:type="dxa"/>
            <w:tcBorders>
              <w:top w:val="nil"/>
              <w:left w:val="nil"/>
              <w:bottom w:val="single" w:sz="8" w:space="0" w:color="auto"/>
              <w:right w:val="single" w:sz="4" w:space="0" w:color="auto"/>
            </w:tcBorders>
            <w:shd w:val="clear" w:color="auto" w:fill="auto"/>
            <w:vAlign w:val="bottom"/>
          </w:tcPr>
          <w:p w14:paraId="3ADE1BFF" w14:textId="77777777" w:rsidR="005F435C" w:rsidRPr="002808B8" w:rsidRDefault="005F435C" w:rsidP="00CE6349">
            <w:pPr>
              <w:jc w:val="right"/>
              <w:rPr>
                <w:color w:val="000000"/>
              </w:rPr>
            </w:pPr>
            <w:r w:rsidRPr="002808B8">
              <w:rPr>
                <w:color w:val="000000"/>
              </w:rPr>
              <w:t>1.5</w:t>
            </w:r>
          </w:p>
        </w:tc>
        <w:tc>
          <w:tcPr>
            <w:tcW w:w="1345" w:type="dxa"/>
            <w:tcBorders>
              <w:top w:val="nil"/>
              <w:left w:val="nil"/>
              <w:bottom w:val="single" w:sz="8" w:space="0" w:color="auto"/>
              <w:right w:val="single" w:sz="8" w:space="0" w:color="auto"/>
            </w:tcBorders>
            <w:shd w:val="clear" w:color="auto" w:fill="auto"/>
            <w:vAlign w:val="bottom"/>
          </w:tcPr>
          <w:p w14:paraId="75E4E2B2" w14:textId="77777777" w:rsidR="005F435C" w:rsidRPr="002808B8" w:rsidRDefault="005F435C" w:rsidP="00CE6349">
            <w:pPr>
              <w:jc w:val="right"/>
              <w:rPr>
                <w:color w:val="000000"/>
              </w:rPr>
            </w:pPr>
            <w:r w:rsidRPr="002808B8">
              <w:rPr>
                <w:color w:val="000000"/>
              </w:rPr>
              <w:t>48</w:t>
            </w:r>
          </w:p>
        </w:tc>
      </w:tr>
      <w:tr w:rsidR="005F435C" w:rsidRPr="002808B8" w14:paraId="51B57703" w14:textId="77777777" w:rsidTr="001A71E9">
        <w:tc>
          <w:tcPr>
            <w:tcW w:w="3505" w:type="dxa"/>
          </w:tcPr>
          <w:p w14:paraId="035EDF0A" w14:textId="4F3D8E9D" w:rsidR="005F435C" w:rsidRPr="002808B8" w:rsidRDefault="00F36BFE" w:rsidP="00CE6349">
            <w:r>
              <w:t xml:space="preserve">Annual </w:t>
            </w:r>
            <w:r w:rsidR="005F435C" w:rsidRPr="002808B8">
              <w:t>Total</w:t>
            </w:r>
            <w:r>
              <w:t xml:space="preserve"> </w:t>
            </w:r>
          </w:p>
        </w:tc>
        <w:tc>
          <w:tcPr>
            <w:tcW w:w="1620" w:type="dxa"/>
          </w:tcPr>
          <w:p w14:paraId="699F4192" w14:textId="6CD5FA95" w:rsidR="005F435C" w:rsidRPr="002808B8" w:rsidRDefault="00F36BFE" w:rsidP="007C5CDD">
            <w:pPr>
              <w:jc w:val="right"/>
            </w:pPr>
            <w:r>
              <w:t>429</w:t>
            </w:r>
          </w:p>
        </w:tc>
        <w:tc>
          <w:tcPr>
            <w:tcW w:w="1530" w:type="dxa"/>
          </w:tcPr>
          <w:p w14:paraId="1DA36E0F" w14:textId="77777777" w:rsidR="005F435C" w:rsidRPr="002808B8" w:rsidRDefault="005F435C" w:rsidP="00CE6349"/>
        </w:tc>
        <w:tc>
          <w:tcPr>
            <w:tcW w:w="1350" w:type="dxa"/>
          </w:tcPr>
          <w:p w14:paraId="21C1FE22" w14:textId="77777777" w:rsidR="005F435C" w:rsidRPr="002808B8" w:rsidRDefault="005F435C" w:rsidP="00CE6349">
            <w:pPr>
              <w:jc w:val="right"/>
              <w:rPr>
                <w:color w:val="000000"/>
              </w:rPr>
            </w:pPr>
          </w:p>
        </w:tc>
        <w:tc>
          <w:tcPr>
            <w:tcW w:w="1345" w:type="dxa"/>
          </w:tcPr>
          <w:p w14:paraId="2A3F192C" w14:textId="146E7539" w:rsidR="005F435C" w:rsidRPr="002808B8" w:rsidRDefault="00932FDA" w:rsidP="00CE6349">
            <w:pPr>
              <w:jc w:val="right"/>
              <w:rPr>
                <w:color w:val="000000"/>
              </w:rPr>
            </w:pPr>
            <w:r>
              <w:rPr>
                <w:color w:val="000000"/>
              </w:rPr>
              <w:t>305</w:t>
            </w:r>
          </w:p>
        </w:tc>
      </w:tr>
    </w:tbl>
    <w:p w14:paraId="39A3999D" w14:textId="77777777" w:rsidR="005F435C" w:rsidRPr="002808B8" w:rsidRDefault="005F435C" w:rsidP="005F435C"/>
    <w:p w14:paraId="351C6F56" w14:textId="77777777" w:rsidR="00004AAA" w:rsidRPr="000B6BEF" w:rsidRDefault="00004AAA" w:rsidP="004D1681">
      <w:pPr>
        <w:ind w:left="360" w:hanging="360"/>
        <w:rPr>
          <w:rFonts w:eastAsia="Times New Roman"/>
          <w:b/>
          <w:sz w:val="12"/>
          <w:szCs w:val="12"/>
        </w:rPr>
      </w:pPr>
    </w:p>
    <w:p w14:paraId="1EE81601" w14:textId="77777777" w:rsidR="004D1681" w:rsidRPr="002808B8" w:rsidRDefault="004D1681" w:rsidP="005C6153">
      <w:pPr>
        <w:pStyle w:val="NoSpacing"/>
        <w:tabs>
          <w:tab w:val="left" w:pos="360"/>
        </w:tabs>
        <w:outlineLvl w:val="1"/>
        <w:rPr>
          <w:b/>
        </w:rPr>
      </w:pPr>
      <w:bookmarkStart w:id="24" w:name="_Toc497115767"/>
      <w:r w:rsidRPr="002808B8">
        <w:rPr>
          <w:b/>
        </w:rPr>
        <w:t>13.</w:t>
      </w:r>
      <w:r w:rsidRPr="002808B8">
        <w:rPr>
          <w:b/>
        </w:rPr>
        <w:tab/>
        <w:t>Estimates of Other Total Annual Cost Burden to Respondents and Record Keepers</w:t>
      </w:r>
      <w:bookmarkEnd w:id="24"/>
    </w:p>
    <w:p w14:paraId="48A0DD15" w14:textId="77777777" w:rsidR="004D1681" w:rsidRPr="002808B8" w:rsidRDefault="004D1681" w:rsidP="004D1681">
      <w:pPr>
        <w:rPr>
          <w:rFonts w:eastAsia="Times New Roman"/>
        </w:rPr>
      </w:pPr>
    </w:p>
    <w:p w14:paraId="5E4E5BB9" w14:textId="77777777" w:rsidR="004D1681" w:rsidRPr="002808B8" w:rsidRDefault="004D1681" w:rsidP="004D1681">
      <w:pPr>
        <w:rPr>
          <w:rFonts w:eastAsia="Times New Roman"/>
        </w:rPr>
      </w:pPr>
      <w:r w:rsidRPr="002808B8">
        <w:rPr>
          <w:rFonts w:eastAsia="Times New Roman"/>
        </w:rPr>
        <w:t>No additional cost burden will apply for respondents or record keepers.</w:t>
      </w:r>
    </w:p>
    <w:p w14:paraId="7F21B406" w14:textId="77777777" w:rsidR="004D1681" w:rsidRPr="002808B8" w:rsidRDefault="004D1681" w:rsidP="004D1681">
      <w:pPr>
        <w:rPr>
          <w:rFonts w:eastAsia="Times New Roman"/>
        </w:rPr>
      </w:pPr>
    </w:p>
    <w:p w14:paraId="4B0458FE" w14:textId="77777777" w:rsidR="004D1681" w:rsidRPr="002808B8" w:rsidRDefault="004D1681" w:rsidP="005C6153">
      <w:pPr>
        <w:pStyle w:val="NoSpacing"/>
        <w:tabs>
          <w:tab w:val="left" w:pos="360"/>
        </w:tabs>
        <w:outlineLvl w:val="1"/>
        <w:rPr>
          <w:b/>
        </w:rPr>
      </w:pPr>
      <w:bookmarkStart w:id="25" w:name="_Toc497115768"/>
      <w:r w:rsidRPr="002808B8">
        <w:rPr>
          <w:b/>
        </w:rPr>
        <w:t>14.</w:t>
      </w:r>
      <w:r w:rsidRPr="002808B8">
        <w:rPr>
          <w:b/>
        </w:rPr>
        <w:tab/>
        <w:t>Annualized Cost to the Federal Government</w:t>
      </w:r>
      <w:bookmarkEnd w:id="25"/>
    </w:p>
    <w:p w14:paraId="0DDBC827" w14:textId="3053E4D5" w:rsidR="005F435C" w:rsidRPr="002808B8" w:rsidRDefault="005F435C" w:rsidP="005F435C">
      <w:pPr>
        <w:spacing w:before="240"/>
        <w:rPr>
          <w:rFonts w:eastAsia="Times New Roman"/>
        </w:rPr>
      </w:pPr>
      <w:r w:rsidRPr="002808B8">
        <w:rPr>
          <w:rFonts w:eastAsia="Times New Roman"/>
        </w:rPr>
        <w:t xml:space="preserve">The associated costs for developing, administering, and analyzing the </w:t>
      </w:r>
      <w:r w:rsidR="00F36BFE">
        <w:rPr>
          <w:rFonts w:eastAsia="Times New Roman"/>
        </w:rPr>
        <w:t>instruments</w:t>
      </w:r>
      <w:r w:rsidRPr="002808B8">
        <w:rPr>
          <w:rFonts w:eastAsia="Times New Roman"/>
        </w:rPr>
        <w:t xml:space="preserve"> ar</w:t>
      </w:r>
      <w:r w:rsidR="00B101E8" w:rsidRPr="002808B8">
        <w:rPr>
          <w:rFonts w:eastAsia="Times New Roman"/>
        </w:rPr>
        <w:t>e outlined in Table A-14 below.</w:t>
      </w:r>
      <w:r w:rsidRPr="002808B8">
        <w:rPr>
          <w:rFonts w:eastAsia="Times New Roman"/>
        </w:rPr>
        <w:t xml:space="preserve"> </w:t>
      </w:r>
      <w:r w:rsidR="001B10BF">
        <w:rPr>
          <w:rFonts w:eastAsia="Times New Roman"/>
        </w:rPr>
        <w:t xml:space="preserve">Rates associated with researcher staff time (Social Scientists and Related Workers Hourly Rate of $39.13/hour </w:t>
      </w:r>
      <w:r w:rsidR="007149B5">
        <w:rPr>
          <w:rFonts w:eastAsia="Times New Roman"/>
        </w:rPr>
        <w:t xml:space="preserve">obtained </w:t>
      </w:r>
      <w:r w:rsidR="001B10BF">
        <w:rPr>
          <w:rFonts w:eastAsia="Times New Roman"/>
        </w:rPr>
        <w:t xml:space="preserve">from </w:t>
      </w:r>
      <w:r w:rsidR="007149B5" w:rsidRPr="007149B5">
        <w:rPr>
          <w:rFonts w:eastAsia="Times New Roman"/>
        </w:rPr>
        <w:t>https://www.bls.gov/oes/current/oes_nat.htm#00-0000, 21-0000</w:t>
      </w:r>
      <w:r w:rsidR="001B10BF">
        <w:rPr>
          <w:rFonts w:eastAsia="Times New Roman"/>
        </w:rPr>
        <w:t xml:space="preserve">, multiplied by 1.5 to account for fringe/overhead) and Federal Program Officers’ time ($56.54/hour for GS-15, Step 5, </w:t>
      </w:r>
      <w:r w:rsidR="007149B5">
        <w:rPr>
          <w:rFonts w:eastAsia="Times New Roman"/>
        </w:rPr>
        <w:t xml:space="preserve">obtained from </w:t>
      </w:r>
      <w:hyperlink r:id="rId12" w:history="1">
        <w:r w:rsidR="00426EDD" w:rsidRPr="00426EDD">
          <w:rPr>
            <w:rStyle w:val="Hyperlink"/>
            <w:rFonts w:eastAsia="Times New Roman"/>
          </w:rPr>
          <w:t>https://www.generalschedule.org/2017</w:t>
        </w:r>
      </w:hyperlink>
      <w:r w:rsidR="007149B5">
        <w:rPr>
          <w:rFonts w:eastAsia="Times New Roman"/>
        </w:rPr>
        <w:t xml:space="preserve">, </w:t>
      </w:r>
      <w:r w:rsidR="001B10BF">
        <w:rPr>
          <w:rFonts w:eastAsia="Times New Roman"/>
        </w:rPr>
        <w:t xml:space="preserve">multiplied by 1.5 to account for fringe/overhead) was applied. </w:t>
      </w:r>
      <w:r w:rsidRPr="002808B8">
        <w:rPr>
          <w:rFonts w:eastAsia="Times New Roman"/>
        </w:rPr>
        <w:t xml:space="preserve">The total annual cost to the federal government if all data collection occurs equally across two years is $165,452.78. </w:t>
      </w:r>
    </w:p>
    <w:p w14:paraId="439A2C9A" w14:textId="77777777" w:rsidR="005F435C" w:rsidRPr="002808B8" w:rsidRDefault="005F435C" w:rsidP="005F435C">
      <w:pPr>
        <w:rPr>
          <w:rFonts w:eastAsia="Times New Roman"/>
          <w:highlight w:val="yellow"/>
        </w:rPr>
      </w:pPr>
    </w:p>
    <w:p w14:paraId="0CADDEC6" w14:textId="77777777" w:rsidR="005F435C" w:rsidRPr="002808B8" w:rsidRDefault="005F435C" w:rsidP="005F435C">
      <w:pPr>
        <w:rPr>
          <w:rFonts w:eastAsia="Times New Roman"/>
          <w:b/>
          <w:highlight w:val="yellow"/>
        </w:rPr>
      </w:pPr>
      <w:r w:rsidRPr="002808B8">
        <w:rPr>
          <w:rFonts w:eastAsia="Times New Roman"/>
          <w:b/>
        </w:rPr>
        <w:t>Exhibit A-14. Estimated Annualized Costs for Survey Development, Administration, and Analysis</w:t>
      </w:r>
    </w:p>
    <w:p w14:paraId="054808B5" w14:textId="77777777" w:rsidR="005F435C" w:rsidRPr="002808B8" w:rsidRDefault="005F435C" w:rsidP="005F435C">
      <w:pPr>
        <w:rPr>
          <w:rFonts w:eastAsia="Times New Roman"/>
          <w:highlight w:val="yellow"/>
        </w:rPr>
      </w:pPr>
    </w:p>
    <w:tbl>
      <w:tblPr>
        <w:tblStyle w:val="TableGrid"/>
        <w:tblW w:w="0" w:type="auto"/>
        <w:tblLook w:val="04A0" w:firstRow="1" w:lastRow="0" w:firstColumn="1" w:lastColumn="0" w:noHBand="0" w:noVBand="1"/>
      </w:tblPr>
      <w:tblGrid>
        <w:gridCol w:w="4395"/>
        <w:gridCol w:w="1800"/>
        <w:gridCol w:w="1440"/>
        <w:gridCol w:w="1620"/>
      </w:tblGrid>
      <w:tr w:rsidR="005F435C" w:rsidRPr="002808B8" w14:paraId="2B44D62C" w14:textId="77777777" w:rsidTr="008327C3">
        <w:trPr>
          <w:trHeight w:val="537"/>
        </w:trPr>
        <w:tc>
          <w:tcPr>
            <w:tcW w:w="4395" w:type="dxa"/>
            <w:tcBorders>
              <w:top w:val="single" w:sz="12" w:space="0" w:color="auto"/>
              <w:left w:val="single" w:sz="12" w:space="0" w:color="auto"/>
              <w:bottom w:val="single" w:sz="12" w:space="0" w:color="auto"/>
            </w:tcBorders>
            <w:hideMark/>
          </w:tcPr>
          <w:p w14:paraId="3782B2C3" w14:textId="77777777" w:rsidR="005F435C" w:rsidRPr="002808B8" w:rsidRDefault="005F435C" w:rsidP="00CE6349">
            <w:pPr>
              <w:jc w:val="center"/>
              <w:rPr>
                <w:b/>
                <w:bCs/>
                <w:color w:val="000000"/>
              </w:rPr>
            </w:pPr>
            <w:r w:rsidRPr="002808B8">
              <w:rPr>
                <w:b/>
                <w:bCs/>
                <w:color w:val="000000"/>
              </w:rPr>
              <w:t>Instrument &amp; Other Costs</w:t>
            </w:r>
          </w:p>
        </w:tc>
        <w:tc>
          <w:tcPr>
            <w:tcW w:w="1800" w:type="dxa"/>
            <w:tcBorders>
              <w:top w:val="single" w:sz="12" w:space="0" w:color="auto"/>
              <w:bottom w:val="single" w:sz="12" w:space="0" w:color="auto"/>
            </w:tcBorders>
            <w:hideMark/>
          </w:tcPr>
          <w:p w14:paraId="2C10C6B9" w14:textId="77777777" w:rsidR="005F435C" w:rsidRPr="002808B8" w:rsidRDefault="005F435C" w:rsidP="00CE6349">
            <w:pPr>
              <w:jc w:val="center"/>
              <w:rPr>
                <w:b/>
                <w:bCs/>
                <w:color w:val="000000"/>
              </w:rPr>
            </w:pPr>
            <w:r w:rsidRPr="002808B8">
              <w:rPr>
                <w:b/>
                <w:bCs/>
                <w:color w:val="000000"/>
              </w:rPr>
              <w:t>Administration Activities</w:t>
            </w:r>
          </w:p>
        </w:tc>
        <w:tc>
          <w:tcPr>
            <w:tcW w:w="1440" w:type="dxa"/>
            <w:tcBorders>
              <w:top w:val="single" w:sz="12" w:space="0" w:color="auto"/>
              <w:bottom w:val="single" w:sz="12" w:space="0" w:color="auto"/>
            </w:tcBorders>
            <w:hideMark/>
          </w:tcPr>
          <w:p w14:paraId="1AA45F8E" w14:textId="77777777" w:rsidR="005F435C" w:rsidRPr="002808B8" w:rsidRDefault="005F435C" w:rsidP="00CE6349">
            <w:pPr>
              <w:jc w:val="center"/>
              <w:rPr>
                <w:b/>
                <w:bCs/>
                <w:color w:val="000000"/>
              </w:rPr>
            </w:pPr>
            <w:r w:rsidRPr="002808B8">
              <w:rPr>
                <w:b/>
                <w:bCs/>
                <w:color w:val="000000"/>
              </w:rPr>
              <w:t>Staff Time (Hours)</w:t>
            </w:r>
          </w:p>
        </w:tc>
        <w:tc>
          <w:tcPr>
            <w:tcW w:w="1620" w:type="dxa"/>
            <w:tcBorders>
              <w:top w:val="single" w:sz="12" w:space="0" w:color="auto"/>
              <w:bottom w:val="single" w:sz="12" w:space="0" w:color="auto"/>
              <w:right w:val="single" w:sz="12" w:space="0" w:color="auto"/>
            </w:tcBorders>
            <w:hideMark/>
          </w:tcPr>
          <w:p w14:paraId="2EF294D7" w14:textId="205B56E3" w:rsidR="005F435C" w:rsidRPr="002808B8" w:rsidRDefault="005F435C" w:rsidP="00CE6349">
            <w:pPr>
              <w:jc w:val="center"/>
              <w:rPr>
                <w:b/>
                <w:bCs/>
                <w:color w:val="000000"/>
              </w:rPr>
            </w:pPr>
            <w:r w:rsidRPr="002808B8">
              <w:rPr>
                <w:b/>
                <w:bCs/>
                <w:color w:val="000000"/>
              </w:rPr>
              <w:t>Total Cost</w:t>
            </w:r>
            <w:r w:rsidR="00A27227">
              <w:rPr>
                <w:rStyle w:val="FootnoteReference"/>
                <w:b/>
                <w:bCs/>
                <w:color w:val="000000"/>
              </w:rPr>
              <w:footnoteReference w:id="11"/>
            </w:r>
          </w:p>
        </w:tc>
      </w:tr>
      <w:tr w:rsidR="005F435C" w:rsidRPr="002808B8" w14:paraId="2EE286C4" w14:textId="77777777" w:rsidTr="008327C3">
        <w:tc>
          <w:tcPr>
            <w:tcW w:w="4395" w:type="dxa"/>
            <w:tcBorders>
              <w:top w:val="single" w:sz="12" w:space="0" w:color="auto"/>
              <w:left w:val="single" w:sz="12" w:space="0" w:color="auto"/>
            </w:tcBorders>
            <w:vAlign w:val="center"/>
          </w:tcPr>
          <w:p w14:paraId="0AD91634" w14:textId="77D8F9E1" w:rsidR="005F435C" w:rsidRPr="002808B8" w:rsidRDefault="004A567D" w:rsidP="00CE6349">
            <w:r w:rsidRPr="004A567D">
              <w:t>Interview Protocol for Local Agency Director</w:t>
            </w:r>
          </w:p>
        </w:tc>
        <w:tc>
          <w:tcPr>
            <w:tcW w:w="1800" w:type="dxa"/>
            <w:vMerge w:val="restart"/>
            <w:tcBorders>
              <w:top w:val="single" w:sz="12" w:space="0" w:color="auto"/>
            </w:tcBorders>
            <w:vAlign w:val="center"/>
          </w:tcPr>
          <w:p w14:paraId="45356F8E" w14:textId="77777777" w:rsidR="005F435C" w:rsidRPr="002808B8" w:rsidRDefault="005F435C" w:rsidP="00CE6349">
            <w:pPr>
              <w:jc w:val="center"/>
            </w:pPr>
            <w:r w:rsidRPr="002808B8">
              <w:t>Instrument Development, Administration &amp; Analysis</w:t>
            </w:r>
          </w:p>
        </w:tc>
        <w:tc>
          <w:tcPr>
            <w:tcW w:w="1440" w:type="dxa"/>
            <w:tcBorders>
              <w:top w:val="single" w:sz="12" w:space="0" w:color="auto"/>
              <w:left w:val="single" w:sz="4" w:space="0" w:color="auto"/>
              <w:bottom w:val="single" w:sz="4" w:space="0" w:color="auto"/>
              <w:right w:val="single" w:sz="4" w:space="0" w:color="auto"/>
            </w:tcBorders>
            <w:shd w:val="clear" w:color="auto" w:fill="auto"/>
            <w:vAlign w:val="center"/>
          </w:tcPr>
          <w:p w14:paraId="2E0569F0" w14:textId="65F5ED3E" w:rsidR="005F435C" w:rsidRPr="002808B8" w:rsidRDefault="001D3056" w:rsidP="00CE6349">
            <w:pPr>
              <w:jc w:val="right"/>
              <w:rPr>
                <w:color w:val="000000"/>
              </w:rPr>
            </w:pPr>
            <w:r>
              <w:rPr>
                <w:color w:val="000000"/>
              </w:rPr>
              <w:t>97</w:t>
            </w:r>
          </w:p>
        </w:tc>
        <w:tc>
          <w:tcPr>
            <w:tcW w:w="1620" w:type="dxa"/>
            <w:tcBorders>
              <w:top w:val="single" w:sz="12" w:space="0" w:color="auto"/>
              <w:left w:val="single" w:sz="4" w:space="0" w:color="auto"/>
              <w:bottom w:val="single" w:sz="4" w:space="0" w:color="auto"/>
              <w:right w:val="single" w:sz="12" w:space="0" w:color="auto"/>
            </w:tcBorders>
            <w:shd w:val="clear" w:color="auto" w:fill="auto"/>
            <w:vAlign w:val="center"/>
          </w:tcPr>
          <w:p w14:paraId="20BDDD61" w14:textId="77777777" w:rsidR="005F435C" w:rsidRPr="002808B8" w:rsidRDefault="005F435C" w:rsidP="00CE6349">
            <w:pPr>
              <w:jc w:val="right"/>
              <w:rPr>
                <w:color w:val="000000"/>
              </w:rPr>
            </w:pPr>
            <w:r w:rsidRPr="002808B8">
              <w:rPr>
                <w:color w:val="000000"/>
              </w:rPr>
              <w:t>$8,044.14</w:t>
            </w:r>
          </w:p>
        </w:tc>
      </w:tr>
      <w:tr w:rsidR="005F435C" w:rsidRPr="002808B8" w14:paraId="6E3DCC1C" w14:textId="77777777" w:rsidTr="008327C3">
        <w:tc>
          <w:tcPr>
            <w:tcW w:w="4395" w:type="dxa"/>
            <w:tcBorders>
              <w:top w:val="single" w:sz="4" w:space="0" w:color="auto"/>
              <w:left w:val="single" w:sz="12" w:space="0" w:color="auto"/>
            </w:tcBorders>
            <w:vAlign w:val="center"/>
          </w:tcPr>
          <w:p w14:paraId="4358CD58" w14:textId="23DD564F" w:rsidR="005F435C" w:rsidRPr="002808B8" w:rsidRDefault="004A567D" w:rsidP="00CE6349">
            <w:r w:rsidRPr="004A567D">
              <w:t>Interview Protocol for Data Staff</w:t>
            </w:r>
          </w:p>
        </w:tc>
        <w:tc>
          <w:tcPr>
            <w:tcW w:w="1800" w:type="dxa"/>
            <w:vMerge/>
            <w:tcBorders>
              <w:top w:val="single" w:sz="4" w:space="0" w:color="auto"/>
            </w:tcBorders>
          </w:tcPr>
          <w:p w14:paraId="40CA6F07"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123304" w14:textId="77777777" w:rsidR="005F435C" w:rsidRPr="002808B8" w:rsidRDefault="005F435C" w:rsidP="00CE6349">
            <w:pPr>
              <w:jc w:val="right"/>
              <w:rPr>
                <w:color w:val="000000"/>
              </w:rPr>
            </w:pPr>
            <w:r w:rsidRPr="002808B8">
              <w:rPr>
                <w:color w:val="000000"/>
              </w:rPr>
              <w:t>52</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223BE145" w14:textId="77777777" w:rsidR="005F435C" w:rsidRPr="002808B8" w:rsidRDefault="005F435C" w:rsidP="00CE6349">
            <w:pPr>
              <w:jc w:val="right"/>
              <w:rPr>
                <w:color w:val="000000"/>
              </w:rPr>
            </w:pPr>
            <w:r w:rsidRPr="002808B8">
              <w:rPr>
                <w:color w:val="000000"/>
              </w:rPr>
              <w:t>$3,267.56</w:t>
            </w:r>
          </w:p>
        </w:tc>
      </w:tr>
      <w:tr w:rsidR="005F435C" w:rsidRPr="002808B8" w14:paraId="7A3C062E" w14:textId="77777777" w:rsidTr="008327C3">
        <w:tc>
          <w:tcPr>
            <w:tcW w:w="4395" w:type="dxa"/>
            <w:tcBorders>
              <w:top w:val="single" w:sz="4" w:space="0" w:color="auto"/>
              <w:left w:val="single" w:sz="12" w:space="0" w:color="auto"/>
            </w:tcBorders>
            <w:vAlign w:val="center"/>
          </w:tcPr>
          <w:p w14:paraId="53CC4947" w14:textId="3A9610CB" w:rsidR="005F435C" w:rsidRPr="002808B8" w:rsidRDefault="004A567D" w:rsidP="00CE6349">
            <w:r w:rsidRPr="004A567D">
              <w:t>Interview Protocol for Local Agency Medical Staff</w:t>
            </w:r>
          </w:p>
        </w:tc>
        <w:tc>
          <w:tcPr>
            <w:tcW w:w="1800" w:type="dxa"/>
            <w:vMerge/>
            <w:tcBorders>
              <w:top w:val="single" w:sz="4" w:space="0" w:color="auto"/>
            </w:tcBorders>
          </w:tcPr>
          <w:p w14:paraId="5F24136A"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09B58F" w14:textId="70543098" w:rsidR="005F435C" w:rsidRPr="002808B8" w:rsidRDefault="001D3056" w:rsidP="00CE6349">
            <w:pPr>
              <w:jc w:val="right"/>
              <w:rPr>
                <w:color w:val="000000"/>
              </w:rPr>
            </w:pPr>
            <w:r>
              <w:rPr>
                <w:color w:val="000000"/>
              </w:rPr>
              <w:t>93</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3D86DF94" w14:textId="77777777" w:rsidR="005F435C" w:rsidRPr="002808B8" w:rsidRDefault="005F435C" w:rsidP="00CE6349">
            <w:pPr>
              <w:jc w:val="right"/>
              <w:rPr>
                <w:color w:val="000000"/>
              </w:rPr>
            </w:pPr>
            <w:r w:rsidRPr="002808B8">
              <w:rPr>
                <w:color w:val="000000"/>
              </w:rPr>
              <w:t>$5,014.17</w:t>
            </w:r>
          </w:p>
        </w:tc>
      </w:tr>
      <w:tr w:rsidR="005F435C" w:rsidRPr="002808B8" w14:paraId="7116E91D" w14:textId="77777777" w:rsidTr="008327C3">
        <w:tc>
          <w:tcPr>
            <w:tcW w:w="4395" w:type="dxa"/>
            <w:tcBorders>
              <w:top w:val="single" w:sz="4" w:space="0" w:color="auto"/>
              <w:left w:val="single" w:sz="12" w:space="0" w:color="auto"/>
            </w:tcBorders>
            <w:vAlign w:val="center"/>
          </w:tcPr>
          <w:p w14:paraId="6BC6159C" w14:textId="3B4FBAF0" w:rsidR="005F435C" w:rsidRPr="002808B8" w:rsidRDefault="004A567D" w:rsidP="00CE6349">
            <w:r w:rsidRPr="004A567D">
              <w:t>Interview Protocol for Local Agency Staff – Frontline Only</w:t>
            </w:r>
          </w:p>
        </w:tc>
        <w:tc>
          <w:tcPr>
            <w:tcW w:w="1800" w:type="dxa"/>
            <w:vMerge/>
            <w:tcBorders>
              <w:top w:val="single" w:sz="4" w:space="0" w:color="auto"/>
            </w:tcBorders>
          </w:tcPr>
          <w:p w14:paraId="2937E81A"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CFEC9C" w14:textId="6A324BE8" w:rsidR="005F435C" w:rsidRPr="002808B8" w:rsidRDefault="001D3056" w:rsidP="00CE6349">
            <w:pPr>
              <w:jc w:val="right"/>
              <w:rPr>
                <w:color w:val="000000"/>
              </w:rPr>
            </w:pPr>
            <w:r>
              <w:rPr>
                <w:color w:val="000000"/>
              </w:rPr>
              <w:t>215</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23B4FB3C" w14:textId="77777777" w:rsidR="005F435C" w:rsidRPr="002808B8" w:rsidRDefault="005F435C" w:rsidP="00CE6349">
            <w:pPr>
              <w:jc w:val="right"/>
              <w:rPr>
                <w:color w:val="000000"/>
              </w:rPr>
            </w:pPr>
            <w:r w:rsidRPr="002808B8">
              <w:rPr>
                <w:color w:val="000000"/>
              </w:rPr>
              <w:t>$8,081.38</w:t>
            </w:r>
          </w:p>
        </w:tc>
      </w:tr>
      <w:tr w:rsidR="005F435C" w:rsidRPr="002808B8" w14:paraId="70F3D4C4" w14:textId="77777777" w:rsidTr="008327C3">
        <w:tc>
          <w:tcPr>
            <w:tcW w:w="4395" w:type="dxa"/>
            <w:tcBorders>
              <w:top w:val="single" w:sz="4" w:space="0" w:color="auto"/>
              <w:left w:val="single" w:sz="12" w:space="0" w:color="auto"/>
            </w:tcBorders>
            <w:vAlign w:val="center"/>
          </w:tcPr>
          <w:p w14:paraId="16F9DFD8" w14:textId="75571682" w:rsidR="005F435C" w:rsidRPr="002808B8" w:rsidRDefault="004A567D" w:rsidP="00CE6349">
            <w:r w:rsidRPr="004A567D">
              <w:t>Interview Protocol for Local Agency Staff – Ongoing Only</w:t>
            </w:r>
          </w:p>
        </w:tc>
        <w:tc>
          <w:tcPr>
            <w:tcW w:w="1800" w:type="dxa"/>
            <w:vMerge/>
            <w:tcBorders>
              <w:top w:val="single" w:sz="4" w:space="0" w:color="auto"/>
            </w:tcBorders>
          </w:tcPr>
          <w:p w14:paraId="0B0D20F0"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B544E6" w14:textId="7458C907" w:rsidR="005F435C" w:rsidRPr="002808B8" w:rsidRDefault="001D3056" w:rsidP="00CE6349">
            <w:pPr>
              <w:jc w:val="right"/>
              <w:rPr>
                <w:color w:val="000000"/>
              </w:rPr>
            </w:pPr>
            <w:r>
              <w:rPr>
                <w:color w:val="000000"/>
              </w:rPr>
              <w:t>215</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7220D763" w14:textId="77777777" w:rsidR="005F435C" w:rsidRPr="002808B8" w:rsidRDefault="005F435C" w:rsidP="00CE6349">
            <w:pPr>
              <w:jc w:val="right"/>
              <w:rPr>
                <w:color w:val="000000"/>
              </w:rPr>
            </w:pPr>
            <w:r w:rsidRPr="002808B8">
              <w:rPr>
                <w:color w:val="000000"/>
              </w:rPr>
              <w:t>$8,081.38</w:t>
            </w:r>
          </w:p>
        </w:tc>
      </w:tr>
      <w:tr w:rsidR="005F435C" w:rsidRPr="002808B8" w14:paraId="3E6F107A" w14:textId="77777777" w:rsidTr="008327C3">
        <w:tc>
          <w:tcPr>
            <w:tcW w:w="4395" w:type="dxa"/>
            <w:tcBorders>
              <w:top w:val="single" w:sz="4" w:space="0" w:color="auto"/>
              <w:left w:val="single" w:sz="12" w:space="0" w:color="auto"/>
            </w:tcBorders>
            <w:vAlign w:val="center"/>
          </w:tcPr>
          <w:p w14:paraId="5536614E" w14:textId="3F133862" w:rsidR="005F435C" w:rsidRPr="002808B8" w:rsidRDefault="004A567D" w:rsidP="00CE6349">
            <w:r w:rsidRPr="004A567D">
              <w:t>Interview Protocol for Local Agency Staff– Frontline and Ongoing</w:t>
            </w:r>
          </w:p>
        </w:tc>
        <w:tc>
          <w:tcPr>
            <w:tcW w:w="1800" w:type="dxa"/>
            <w:vMerge/>
            <w:tcBorders>
              <w:top w:val="single" w:sz="4" w:space="0" w:color="auto"/>
            </w:tcBorders>
          </w:tcPr>
          <w:p w14:paraId="223FE227"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D3AC77" w14:textId="0D25144C" w:rsidR="005F435C" w:rsidRPr="002808B8" w:rsidRDefault="005F435C" w:rsidP="001D3056">
            <w:pPr>
              <w:jc w:val="right"/>
              <w:rPr>
                <w:color w:val="000000"/>
              </w:rPr>
            </w:pPr>
            <w:r w:rsidRPr="002808B8">
              <w:rPr>
                <w:color w:val="000000"/>
              </w:rPr>
              <w:t>121</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5E8C10D8" w14:textId="77777777" w:rsidR="005F435C" w:rsidRPr="002808B8" w:rsidRDefault="005F435C" w:rsidP="00CE6349">
            <w:pPr>
              <w:jc w:val="right"/>
              <w:rPr>
                <w:color w:val="000000"/>
              </w:rPr>
            </w:pPr>
            <w:r w:rsidRPr="002808B8">
              <w:rPr>
                <w:color w:val="000000"/>
              </w:rPr>
              <w:t>$46,52.94</w:t>
            </w:r>
          </w:p>
        </w:tc>
      </w:tr>
      <w:tr w:rsidR="005F435C" w:rsidRPr="002808B8" w14:paraId="3C7D26F2" w14:textId="77777777" w:rsidTr="008327C3">
        <w:tc>
          <w:tcPr>
            <w:tcW w:w="4395" w:type="dxa"/>
            <w:tcBorders>
              <w:top w:val="single" w:sz="4" w:space="0" w:color="auto"/>
              <w:left w:val="single" w:sz="12" w:space="0" w:color="auto"/>
            </w:tcBorders>
            <w:vAlign w:val="center"/>
          </w:tcPr>
          <w:p w14:paraId="45D7E246" w14:textId="041FA7E5" w:rsidR="005F435C" w:rsidRPr="002808B8" w:rsidRDefault="00FC462A" w:rsidP="00CE6349">
            <w:r w:rsidRPr="00FC462A">
              <w:t>Survey Instrument for Local Agency Staff - Form A General</w:t>
            </w:r>
          </w:p>
        </w:tc>
        <w:tc>
          <w:tcPr>
            <w:tcW w:w="1800" w:type="dxa"/>
            <w:vMerge/>
            <w:tcBorders>
              <w:top w:val="single" w:sz="4" w:space="0" w:color="auto"/>
            </w:tcBorders>
          </w:tcPr>
          <w:p w14:paraId="06107BFD"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171433F" w14:textId="29C48F62" w:rsidR="005F435C" w:rsidRPr="002808B8" w:rsidRDefault="001D3056" w:rsidP="00CE6349">
            <w:pPr>
              <w:jc w:val="right"/>
              <w:rPr>
                <w:color w:val="000000"/>
              </w:rPr>
            </w:pPr>
            <w:r>
              <w:rPr>
                <w:color w:val="000000"/>
              </w:rPr>
              <w:t>598</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312D936A" w14:textId="77777777" w:rsidR="005F435C" w:rsidRPr="002808B8" w:rsidRDefault="005F435C" w:rsidP="00CE6349">
            <w:pPr>
              <w:jc w:val="right"/>
              <w:rPr>
                <w:color w:val="000000"/>
              </w:rPr>
            </w:pPr>
            <w:r w:rsidRPr="002808B8">
              <w:rPr>
                <w:color w:val="000000"/>
              </w:rPr>
              <w:t>$22,104.54</w:t>
            </w:r>
          </w:p>
        </w:tc>
      </w:tr>
      <w:tr w:rsidR="005F435C" w:rsidRPr="002808B8" w14:paraId="75D5A168" w14:textId="77777777" w:rsidTr="008327C3">
        <w:tc>
          <w:tcPr>
            <w:tcW w:w="4395" w:type="dxa"/>
            <w:tcBorders>
              <w:top w:val="single" w:sz="4" w:space="0" w:color="auto"/>
              <w:left w:val="single" w:sz="12" w:space="0" w:color="auto"/>
            </w:tcBorders>
            <w:vAlign w:val="center"/>
          </w:tcPr>
          <w:p w14:paraId="284BD8CC" w14:textId="6870B3FC" w:rsidR="005F435C" w:rsidRPr="002808B8" w:rsidRDefault="00FC462A" w:rsidP="00CE6349">
            <w:r w:rsidRPr="00FC462A">
              <w:t>Survey Instrument for Local Agency Staff - Form B General</w:t>
            </w:r>
          </w:p>
        </w:tc>
        <w:tc>
          <w:tcPr>
            <w:tcW w:w="1800" w:type="dxa"/>
            <w:vMerge/>
            <w:tcBorders>
              <w:top w:val="single" w:sz="4" w:space="0" w:color="auto"/>
            </w:tcBorders>
          </w:tcPr>
          <w:p w14:paraId="00C8DD82"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4E67E12" w14:textId="389D8762" w:rsidR="005F435C" w:rsidRPr="002808B8" w:rsidRDefault="001D3056" w:rsidP="00CE6349">
            <w:pPr>
              <w:jc w:val="right"/>
              <w:rPr>
                <w:color w:val="000000"/>
              </w:rPr>
            </w:pPr>
            <w:r>
              <w:rPr>
                <w:color w:val="000000"/>
              </w:rPr>
              <w:t>388</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097F5B13" w14:textId="77777777" w:rsidR="005F435C" w:rsidRPr="002808B8" w:rsidRDefault="005F435C" w:rsidP="00CE6349">
            <w:pPr>
              <w:jc w:val="right"/>
              <w:rPr>
                <w:color w:val="000000"/>
              </w:rPr>
            </w:pPr>
            <w:r w:rsidRPr="002808B8">
              <w:rPr>
                <w:color w:val="000000"/>
              </w:rPr>
              <w:t>$14,424.84</w:t>
            </w:r>
          </w:p>
        </w:tc>
      </w:tr>
      <w:tr w:rsidR="005F435C" w:rsidRPr="002808B8" w14:paraId="18408C28" w14:textId="77777777" w:rsidTr="008327C3">
        <w:tc>
          <w:tcPr>
            <w:tcW w:w="4395" w:type="dxa"/>
            <w:tcBorders>
              <w:top w:val="single" w:sz="4" w:space="0" w:color="auto"/>
              <w:left w:val="single" w:sz="12" w:space="0" w:color="auto"/>
            </w:tcBorders>
            <w:vAlign w:val="center"/>
          </w:tcPr>
          <w:p w14:paraId="1F9E0F80" w14:textId="4C36AECD" w:rsidR="005F435C" w:rsidRPr="002808B8" w:rsidRDefault="00FC462A" w:rsidP="00CE6349">
            <w:r w:rsidRPr="00FC462A">
              <w:t>Survey Instrument for Local Agency Staff - Form B Differential Response</w:t>
            </w:r>
          </w:p>
        </w:tc>
        <w:tc>
          <w:tcPr>
            <w:tcW w:w="1800" w:type="dxa"/>
            <w:vMerge/>
            <w:tcBorders>
              <w:top w:val="single" w:sz="4" w:space="0" w:color="auto"/>
            </w:tcBorders>
          </w:tcPr>
          <w:p w14:paraId="0DC57559"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33949F" w14:textId="17572D0C" w:rsidR="005F435C" w:rsidRPr="002808B8" w:rsidRDefault="001D3056" w:rsidP="00CE6349">
            <w:pPr>
              <w:jc w:val="right"/>
              <w:rPr>
                <w:color w:val="000000"/>
              </w:rPr>
            </w:pPr>
            <w:r>
              <w:rPr>
                <w:color w:val="000000"/>
              </w:rPr>
              <w:t>220</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34D987EE" w14:textId="77777777" w:rsidR="005F435C" w:rsidRPr="002808B8" w:rsidRDefault="005F435C" w:rsidP="00CE6349">
            <w:pPr>
              <w:jc w:val="right"/>
              <w:rPr>
                <w:color w:val="000000"/>
              </w:rPr>
            </w:pPr>
            <w:r w:rsidRPr="002808B8">
              <w:rPr>
                <w:color w:val="000000"/>
              </w:rPr>
              <w:t>$8,281.08</w:t>
            </w:r>
          </w:p>
        </w:tc>
      </w:tr>
      <w:tr w:rsidR="005F435C" w:rsidRPr="002808B8" w14:paraId="3B329B43" w14:textId="77777777" w:rsidTr="008327C3">
        <w:tc>
          <w:tcPr>
            <w:tcW w:w="4395" w:type="dxa"/>
            <w:tcBorders>
              <w:top w:val="single" w:sz="4" w:space="0" w:color="auto"/>
              <w:left w:val="single" w:sz="12" w:space="0" w:color="auto"/>
            </w:tcBorders>
            <w:vAlign w:val="center"/>
          </w:tcPr>
          <w:p w14:paraId="7F4D9413" w14:textId="71315E06" w:rsidR="005F435C" w:rsidRPr="002808B8" w:rsidRDefault="00FC462A" w:rsidP="00CE6349">
            <w:r w:rsidRPr="00FC462A">
              <w:t>Survey Instrument for Service Providers</w:t>
            </w:r>
          </w:p>
        </w:tc>
        <w:tc>
          <w:tcPr>
            <w:tcW w:w="1800" w:type="dxa"/>
            <w:vMerge/>
            <w:tcBorders>
              <w:top w:val="single" w:sz="4" w:space="0" w:color="auto"/>
            </w:tcBorders>
          </w:tcPr>
          <w:p w14:paraId="5E3689EC" w14:textId="77777777" w:rsidR="005F435C" w:rsidRPr="002808B8" w:rsidRDefault="005F435C" w:rsidP="00CE6349"/>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5607A9" w14:textId="77777777" w:rsidR="005F435C" w:rsidRPr="002808B8" w:rsidRDefault="005F435C" w:rsidP="00CE6349">
            <w:pPr>
              <w:jc w:val="right"/>
              <w:rPr>
                <w:color w:val="000000"/>
              </w:rPr>
            </w:pPr>
            <w:r w:rsidRPr="002808B8">
              <w:rPr>
                <w:color w:val="000000"/>
              </w:rPr>
              <w:t>360</w:t>
            </w:r>
          </w:p>
        </w:tc>
        <w:tc>
          <w:tcPr>
            <w:tcW w:w="1620" w:type="dxa"/>
            <w:tcBorders>
              <w:top w:val="single" w:sz="4" w:space="0" w:color="auto"/>
              <w:left w:val="single" w:sz="4" w:space="0" w:color="auto"/>
              <w:bottom w:val="single" w:sz="4" w:space="0" w:color="auto"/>
              <w:right w:val="single" w:sz="12" w:space="0" w:color="auto"/>
            </w:tcBorders>
            <w:shd w:val="clear" w:color="auto" w:fill="auto"/>
            <w:vAlign w:val="center"/>
          </w:tcPr>
          <w:p w14:paraId="1870D1F0" w14:textId="77777777" w:rsidR="005F435C" w:rsidRPr="002808B8" w:rsidRDefault="005F435C" w:rsidP="00CE6349">
            <w:pPr>
              <w:jc w:val="right"/>
              <w:rPr>
                <w:color w:val="000000"/>
              </w:rPr>
            </w:pPr>
            <w:r w:rsidRPr="002808B8">
              <w:rPr>
                <w:color w:val="000000"/>
              </w:rPr>
              <w:t>$26,838.68</w:t>
            </w:r>
          </w:p>
        </w:tc>
      </w:tr>
      <w:tr w:rsidR="005F435C" w:rsidRPr="002808B8" w14:paraId="254BC0E6" w14:textId="77777777" w:rsidTr="008327C3">
        <w:tc>
          <w:tcPr>
            <w:tcW w:w="4395" w:type="dxa"/>
            <w:tcBorders>
              <w:top w:val="single" w:sz="4" w:space="0" w:color="auto"/>
              <w:left w:val="single" w:sz="12" w:space="0" w:color="auto"/>
              <w:bottom w:val="single" w:sz="12" w:space="0" w:color="auto"/>
            </w:tcBorders>
            <w:vAlign w:val="center"/>
          </w:tcPr>
          <w:p w14:paraId="1F7B2039" w14:textId="201E1330" w:rsidR="005F435C" w:rsidRPr="002808B8" w:rsidRDefault="00FC462A" w:rsidP="00CE6349">
            <w:r w:rsidRPr="00FC462A">
              <w:t>Focus Group of Caregivers</w:t>
            </w:r>
          </w:p>
        </w:tc>
        <w:tc>
          <w:tcPr>
            <w:tcW w:w="1800" w:type="dxa"/>
            <w:vMerge/>
            <w:tcBorders>
              <w:top w:val="single" w:sz="4" w:space="0" w:color="auto"/>
              <w:bottom w:val="single" w:sz="12" w:space="0" w:color="auto"/>
            </w:tcBorders>
          </w:tcPr>
          <w:p w14:paraId="518FFE1A" w14:textId="77777777" w:rsidR="005F435C" w:rsidRPr="002808B8" w:rsidRDefault="005F435C" w:rsidP="00CE6349"/>
        </w:tc>
        <w:tc>
          <w:tcPr>
            <w:tcW w:w="1440" w:type="dxa"/>
            <w:tcBorders>
              <w:top w:val="single" w:sz="4" w:space="0" w:color="auto"/>
              <w:left w:val="single" w:sz="4" w:space="0" w:color="auto"/>
              <w:bottom w:val="single" w:sz="12" w:space="0" w:color="auto"/>
              <w:right w:val="single" w:sz="4" w:space="0" w:color="auto"/>
            </w:tcBorders>
            <w:shd w:val="clear" w:color="auto" w:fill="auto"/>
            <w:vAlign w:val="center"/>
          </w:tcPr>
          <w:p w14:paraId="1C140BA8" w14:textId="1368F66A" w:rsidR="005F435C" w:rsidRPr="002808B8" w:rsidRDefault="001D3056" w:rsidP="00CE6349">
            <w:pPr>
              <w:jc w:val="right"/>
              <w:rPr>
                <w:color w:val="000000"/>
              </w:rPr>
            </w:pPr>
            <w:r>
              <w:rPr>
                <w:color w:val="000000"/>
              </w:rPr>
              <w:t>112</w:t>
            </w:r>
          </w:p>
        </w:tc>
        <w:tc>
          <w:tcPr>
            <w:tcW w:w="1620" w:type="dxa"/>
            <w:tcBorders>
              <w:top w:val="single" w:sz="4" w:space="0" w:color="auto"/>
              <w:left w:val="single" w:sz="4" w:space="0" w:color="auto"/>
              <w:bottom w:val="single" w:sz="12" w:space="0" w:color="auto"/>
              <w:right w:val="single" w:sz="12" w:space="0" w:color="auto"/>
            </w:tcBorders>
            <w:shd w:val="clear" w:color="auto" w:fill="auto"/>
            <w:vAlign w:val="center"/>
          </w:tcPr>
          <w:p w14:paraId="480FE833" w14:textId="77777777" w:rsidR="005F435C" w:rsidRPr="002808B8" w:rsidRDefault="005F435C" w:rsidP="00CE6349">
            <w:pPr>
              <w:jc w:val="right"/>
              <w:rPr>
                <w:color w:val="000000"/>
              </w:rPr>
            </w:pPr>
            <w:r w:rsidRPr="002808B8">
              <w:rPr>
                <w:color w:val="000000"/>
              </w:rPr>
              <w:t>$4,144.08</w:t>
            </w:r>
          </w:p>
        </w:tc>
      </w:tr>
      <w:tr w:rsidR="005F435C" w:rsidRPr="002808B8" w14:paraId="16ED6DBB" w14:textId="77777777" w:rsidTr="008327C3">
        <w:tc>
          <w:tcPr>
            <w:tcW w:w="4395" w:type="dxa"/>
            <w:tcBorders>
              <w:top w:val="single" w:sz="12" w:space="0" w:color="auto"/>
              <w:left w:val="single" w:sz="12" w:space="0" w:color="auto"/>
              <w:bottom w:val="single" w:sz="12" w:space="0" w:color="auto"/>
            </w:tcBorders>
            <w:vAlign w:val="center"/>
          </w:tcPr>
          <w:p w14:paraId="6633FF42" w14:textId="138679E4" w:rsidR="005F435C" w:rsidRPr="002808B8" w:rsidRDefault="00911539" w:rsidP="00CE6349">
            <w:r w:rsidRPr="002808B8">
              <w:t>Other Direct Costs</w:t>
            </w:r>
          </w:p>
        </w:tc>
        <w:tc>
          <w:tcPr>
            <w:tcW w:w="1800" w:type="dxa"/>
            <w:tcBorders>
              <w:top w:val="single" w:sz="12" w:space="0" w:color="auto"/>
              <w:bottom w:val="single" w:sz="12" w:space="0" w:color="auto"/>
            </w:tcBorders>
            <w:vAlign w:val="center"/>
          </w:tcPr>
          <w:p w14:paraId="73D480A8" w14:textId="0CE4ADB7" w:rsidR="005F435C" w:rsidRPr="002808B8" w:rsidRDefault="005F435C" w:rsidP="00911539">
            <w:pPr>
              <w:jc w:val="center"/>
            </w:pPr>
            <w:r w:rsidRPr="002808B8">
              <w:t xml:space="preserve">Travel </w:t>
            </w:r>
            <w:r w:rsidR="00911539" w:rsidRPr="002808B8">
              <w:t>costs to support data collection at sites</w:t>
            </w:r>
          </w:p>
        </w:tc>
        <w:tc>
          <w:tcPr>
            <w:tcW w:w="1440" w:type="dxa"/>
            <w:tcBorders>
              <w:top w:val="single" w:sz="12" w:space="0" w:color="auto"/>
              <w:left w:val="single" w:sz="4" w:space="0" w:color="auto"/>
              <w:bottom w:val="single" w:sz="12" w:space="0" w:color="auto"/>
              <w:right w:val="single" w:sz="4" w:space="0" w:color="auto"/>
            </w:tcBorders>
            <w:shd w:val="clear" w:color="auto" w:fill="auto"/>
            <w:vAlign w:val="center"/>
          </w:tcPr>
          <w:p w14:paraId="3A58ACA3" w14:textId="77777777" w:rsidR="005F435C" w:rsidRPr="002808B8" w:rsidRDefault="005F435C" w:rsidP="00CE6349">
            <w:pPr>
              <w:jc w:val="right"/>
              <w:rPr>
                <w:color w:val="000000"/>
              </w:rPr>
            </w:pPr>
            <w:r w:rsidRPr="002808B8">
              <w:rPr>
                <w:color w:val="000000"/>
              </w:rPr>
              <w:t>N/A</w:t>
            </w:r>
          </w:p>
        </w:tc>
        <w:tc>
          <w:tcPr>
            <w:tcW w:w="1620" w:type="dxa"/>
            <w:tcBorders>
              <w:top w:val="single" w:sz="12" w:space="0" w:color="auto"/>
              <w:left w:val="single" w:sz="4" w:space="0" w:color="auto"/>
              <w:bottom w:val="single" w:sz="12" w:space="0" w:color="auto"/>
              <w:right w:val="single" w:sz="12" w:space="0" w:color="auto"/>
            </w:tcBorders>
            <w:shd w:val="clear" w:color="auto" w:fill="auto"/>
            <w:vAlign w:val="center"/>
          </w:tcPr>
          <w:p w14:paraId="76E3A993" w14:textId="77777777" w:rsidR="005F435C" w:rsidRPr="002808B8" w:rsidRDefault="005F435C" w:rsidP="00CE6349">
            <w:pPr>
              <w:jc w:val="right"/>
              <w:rPr>
                <w:color w:val="000000"/>
              </w:rPr>
            </w:pPr>
            <w:r w:rsidRPr="002808B8">
              <w:rPr>
                <w:color w:val="000000"/>
              </w:rPr>
              <w:t>$52,518.00</w:t>
            </w:r>
          </w:p>
        </w:tc>
      </w:tr>
      <w:tr w:rsidR="005F435C" w:rsidRPr="002808B8" w14:paraId="6A84EED5" w14:textId="77777777" w:rsidTr="007C5CDD">
        <w:tc>
          <w:tcPr>
            <w:tcW w:w="4395" w:type="dxa"/>
            <w:tcBorders>
              <w:top w:val="single" w:sz="12" w:space="0" w:color="auto"/>
              <w:left w:val="single" w:sz="12" w:space="0" w:color="auto"/>
              <w:bottom w:val="single" w:sz="12" w:space="0" w:color="auto"/>
            </w:tcBorders>
            <w:vAlign w:val="center"/>
          </w:tcPr>
          <w:p w14:paraId="2D976631" w14:textId="77777777" w:rsidR="005F435C" w:rsidRPr="002808B8" w:rsidRDefault="005F435C" w:rsidP="00CE6349">
            <w:r w:rsidRPr="002808B8">
              <w:t>Total</w:t>
            </w:r>
          </w:p>
        </w:tc>
        <w:tc>
          <w:tcPr>
            <w:tcW w:w="1800" w:type="dxa"/>
            <w:tcBorders>
              <w:top w:val="single" w:sz="12" w:space="0" w:color="auto"/>
              <w:bottom w:val="single" w:sz="12" w:space="0" w:color="auto"/>
            </w:tcBorders>
          </w:tcPr>
          <w:p w14:paraId="243835AD" w14:textId="77777777" w:rsidR="005F435C" w:rsidRPr="002808B8" w:rsidRDefault="005F435C" w:rsidP="00CE6349"/>
        </w:tc>
        <w:tc>
          <w:tcPr>
            <w:tcW w:w="1440" w:type="dxa"/>
            <w:tcBorders>
              <w:top w:val="single" w:sz="12" w:space="0" w:color="auto"/>
              <w:left w:val="single" w:sz="4" w:space="0" w:color="auto"/>
              <w:bottom w:val="single" w:sz="12" w:space="0" w:color="auto"/>
              <w:right w:val="single" w:sz="4" w:space="0" w:color="auto"/>
            </w:tcBorders>
            <w:shd w:val="clear" w:color="auto" w:fill="auto"/>
            <w:vAlign w:val="center"/>
          </w:tcPr>
          <w:p w14:paraId="1B6FF974" w14:textId="0EB5E195" w:rsidR="005F435C" w:rsidRPr="002808B8" w:rsidRDefault="005F435C" w:rsidP="001D3056">
            <w:pPr>
              <w:jc w:val="center"/>
              <w:rPr>
                <w:color w:val="000000"/>
              </w:rPr>
            </w:pPr>
            <w:r w:rsidRPr="002808B8">
              <w:rPr>
                <w:color w:val="000000"/>
              </w:rPr>
              <w:t>2,</w:t>
            </w:r>
            <w:r w:rsidR="001D3056">
              <w:rPr>
                <w:color w:val="000000"/>
              </w:rPr>
              <w:t>471</w:t>
            </w:r>
          </w:p>
        </w:tc>
        <w:tc>
          <w:tcPr>
            <w:tcW w:w="1620" w:type="dxa"/>
            <w:tcBorders>
              <w:top w:val="single" w:sz="12" w:space="0" w:color="auto"/>
              <w:left w:val="single" w:sz="4" w:space="0" w:color="auto"/>
              <w:bottom w:val="single" w:sz="12" w:space="0" w:color="auto"/>
              <w:right w:val="single" w:sz="12" w:space="0" w:color="auto"/>
            </w:tcBorders>
            <w:shd w:val="clear" w:color="auto" w:fill="auto"/>
            <w:vAlign w:val="center"/>
          </w:tcPr>
          <w:p w14:paraId="31C1952F" w14:textId="7EDDC773" w:rsidR="005F435C" w:rsidRPr="002808B8" w:rsidRDefault="005F435C" w:rsidP="00CE6349">
            <w:pPr>
              <w:jc w:val="right"/>
              <w:rPr>
                <w:color w:val="000000"/>
              </w:rPr>
            </w:pPr>
            <w:r w:rsidRPr="002808B8">
              <w:rPr>
                <w:color w:val="000000"/>
              </w:rPr>
              <w:t>$165,452.78</w:t>
            </w:r>
          </w:p>
        </w:tc>
      </w:tr>
    </w:tbl>
    <w:p w14:paraId="08CB5B84" w14:textId="77777777" w:rsidR="005F435C" w:rsidRPr="002808B8" w:rsidRDefault="005F435C" w:rsidP="005F435C"/>
    <w:p w14:paraId="62F62F35" w14:textId="77777777" w:rsidR="004D1681" w:rsidRPr="002808B8" w:rsidRDefault="004D1681" w:rsidP="005C6153">
      <w:pPr>
        <w:pStyle w:val="NoSpacing"/>
        <w:tabs>
          <w:tab w:val="left" w:pos="360"/>
        </w:tabs>
        <w:outlineLvl w:val="1"/>
        <w:rPr>
          <w:b/>
        </w:rPr>
      </w:pPr>
      <w:bookmarkStart w:id="26" w:name="_Toc497115769"/>
      <w:r w:rsidRPr="002808B8">
        <w:rPr>
          <w:b/>
        </w:rPr>
        <w:t>15.</w:t>
      </w:r>
      <w:r w:rsidRPr="002808B8">
        <w:rPr>
          <w:b/>
        </w:rPr>
        <w:tab/>
        <w:t>Explanation for Program Changes or Adjustments</w:t>
      </w:r>
      <w:bookmarkEnd w:id="26"/>
    </w:p>
    <w:p w14:paraId="197DDED8" w14:textId="77777777" w:rsidR="004D1681" w:rsidRPr="002808B8" w:rsidRDefault="004D1681" w:rsidP="004D1681">
      <w:pPr>
        <w:rPr>
          <w:rFonts w:eastAsia="Times New Roman"/>
        </w:rPr>
      </w:pPr>
    </w:p>
    <w:p w14:paraId="0CDACF1A" w14:textId="77777777" w:rsidR="004D1681" w:rsidRPr="002808B8" w:rsidRDefault="004D1681" w:rsidP="004D1681">
      <w:pPr>
        <w:rPr>
          <w:rFonts w:eastAsia="Times New Roman"/>
        </w:rPr>
      </w:pPr>
      <w:r w:rsidRPr="002808B8">
        <w:rPr>
          <w:rFonts w:eastAsia="Times New Roman"/>
        </w:rPr>
        <w:t>This is a new data collection.</w:t>
      </w:r>
    </w:p>
    <w:p w14:paraId="4147C8A0" w14:textId="77777777" w:rsidR="004D1681" w:rsidRPr="002808B8" w:rsidRDefault="004D1681" w:rsidP="004D1681">
      <w:pPr>
        <w:rPr>
          <w:rFonts w:eastAsia="Times New Roman"/>
        </w:rPr>
      </w:pPr>
    </w:p>
    <w:p w14:paraId="79E87418" w14:textId="77777777" w:rsidR="004D1681" w:rsidRPr="002808B8" w:rsidRDefault="004D1681" w:rsidP="005C6153">
      <w:pPr>
        <w:pStyle w:val="NoSpacing"/>
        <w:tabs>
          <w:tab w:val="left" w:pos="360"/>
        </w:tabs>
        <w:outlineLvl w:val="1"/>
        <w:rPr>
          <w:b/>
        </w:rPr>
      </w:pPr>
      <w:bookmarkStart w:id="27" w:name="_Toc497115770"/>
      <w:r w:rsidRPr="002808B8">
        <w:rPr>
          <w:b/>
        </w:rPr>
        <w:t>16.</w:t>
      </w:r>
      <w:r w:rsidRPr="002808B8">
        <w:rPr>
          <w:b/>
        </w:rPr>
        <w:tab/>
        <w:t>Plans for Tabulation and Publication and Project Time Schedule</w:t>
      </w:r>
      <w:bookmarkEnd w:id="27"/>
    </w:p>
    <w:p w14:paraId="65BAB1FB" w14:textId="77777777" w:rsidR="004D1681" w:rsidRPr="002808B8" w:rsidRDefault="004D1681" w:rsidP="004D1681">
      <w:pPr>
        <w:rPr>
          <w:rFonts w:eastAsia="Times New Roman"/>
        </w:rPr>
      </w:pPr>
    </w:p>
    <w:p w14:paraId="3EB0DA85" w14:textId="7E366109" w:rsidR="004D1681" w:rsidRPr="002808B8" w:rsidRDefault="004D1681" w:rsidP="004D1681">
      <w:pPr>
        <w:rPr>
          <w:rFonts w:eastAsia="Times New Roman"/>
        </w:rPr>
      </w:pPr>
      <w:r w:rsidRPr="002808B8">
        <w:rPr>
          <w:rFonts w:eastAsia="Times New Roman"/>
        </w:rPr>
        <w:t xml:space="preserve">Frequency and proportion distributions will be calculated to generate summaries </w:t>
      </w:r>
      <w:r w:rsidR="00265C44" w:rsidRPr="002808B8">
        <w:rPr>
          <w:rFonts w:eastAsia="Times New Roman"/>
        </w:rPr>
        <w:t xml:space="preserve">and to examine variability in the data </w:t>
      </w:r>
      <w:r w:rsidR="00911539" w:rsidRPr="002808B8">
        <w:rPr>
          <w:rFonts w:eastAsia="Times New Roman"/>
        </w:rPr>
        <w:t>for the Web-based s</w:t>
      </w:r>
      <w:r w:rsidRPr="002808B8">
        <w:rPr>
          <w:rFonts w:eastAsia="Times New Roman"/>
        </w:rPr>
        <w:t>urvey</w:t>
      </w:r>
      <w:r w:rsidR="00C748F8" w:rsidRPr="002808B8">
        <w:rPr>
          <w:rFonts w:eastAsia="Times New Roman"/>
        </w:rPr>
        <w:t>s</w:t>
      </w:r>
      <w:r w:rsidRPr="002808B8">
        <w:rPr>
          <w:rFonts w:eastAsia="Times New Roman"/>
        </w:rPr>
        <w:t xml:space="preserve">. </w:t>
      </w:r>
      <w:r w:rsidR="00265C44" w:rsidRPr="002808B8">
        <w:rPr>
          <w:rFonts w:eastAsia="Times New Roman"/>
        </w:rPr>
        <w:t xml:space="preserve">Cross-tabulations and </w:t>
      </w:r>
      <w:r w:rsidR="00584928" w:rsidRPr="002808B8">
        <w:rPr>
          <w:rFonts w:eastAsia="Times New Roman"/>
        </w:rPr>
        <w:t>significance</w:t>
      </w:r>
      <w:r w:rsidR="00265C44" w:rsidRPr="002808B8">
        <w:rPr>
          <w:rFonts w:eastAsia="Times New Roman"/>
        </w:rPr>
        <w:t xml:space="preserve"> tests will be conducted as appropriate. SPSS will be used for the </w:t>
      </w:r>
      <w:r w:rsidR="00584928" w:rsidRPr="002808B8">
        <w:rPr>
          <w:rFonts w:eastAsia="Times New Roman"/>
        </w:rPr>
        <w:t>quantitative</w:t>
      </w:r>
      <w:r w:rsidR="00265C44" w:rsidRPr="002808B8">
        <w:rPr>
          <w:rFonts w:eastAsia="Times New Roman"/>
        </w:rPr>
        <w:t xml:space="preserve"> analysis. </w:t>
      </w:r>
      <w:r w:rsidRPr="002808B8">
        <w:rPr>
          <w:rFonts w:eastAsia="Times New Roman"/>
        </w:rPr>
        <w:t xml:space="preserve">Content analysis will be conducted on open-ended survey items and will entail systematic coding and thematic analysis. </w:t>
      </w:r>
      <w:r w:rsidR="00911539" w:rsidRPr="002808B8">
        <w:rPr>
          <w:rFonts w:eastAsia="Times New Roman"/>
        </w:rPr>
        <w:t xml:space="preserve">Qualitative online secure software (e.g., Dedoose) </w:t>
      </w:r>
      <w:r w:rsidRPr="002808B8">
        <w:rPr>
          <w:rFonts w:eastAsia="Times New Roman"/>
        </w:rPr>
        <w:t>will be used for the qualitative analysis.</w:t>
      </w:r>
      <w:r w:rsidR="00265C44" w:rsidRPr="002808B8">
        <w:rPr>
          <w:rFonts w:eastAsia="Times New Roman"/>
        </w:rPr>
        <w:t xml:space="preserve"> Analyses will be conducted to determine subgroup variation, as appropriate.</w:t>
      </w:r>
    </w:p>
    <w:p w14:paraId="21BBE7A6" w14:textId="77777777" w:rsidR="004D1681" w:rsidRPr="002808B8" w:rsidRDefault="004D1681" w:rsidP="004D1681">
      <w:pPr>
        <w:rPr>
          <w:rFonts w:eastAsia="Times New Roman"/>
          <w:highlight w:val="yellow"/>
        </w:rPr>
      </w:pPr>
    </w:p>
    <w:p w14:paraId="789D5E24" w14:textId="7E509C12" w:rsidR="004D1681" w:rsidRPr="002808B8" w:rsidRDefault="004D1681" w:rsidP="002670A4">
      <w:pPr>
        <w:rPr>
          <w:rFonts w:eastAsia="Times New Roman"/>
        </w:rPr>
      </w:pPr>
      <w:r w:rsidRPr="002808B8">
        <w:rPr>
          <w:rFonts w:eastAsia="Times New Roman"/>
        </w:rPr>
        <w:t xml:space="preserve">The findings will be summarized in a </w:t>
      </w:r>
      <w:r w:rsidR="001E0F1E" w:rsidRPr="002808B8">
        <w:rPr>
          <w:rFonts w:eastAsia="Times New Roman"/>
        </w:rPr>
        <w:t xml:space="preserve">site-level report, state-level report, and </w:t>
      </w:r>
      <w:r w:rsidRPr="002808B8">
        <w:rPr>
          <w:rFonts w:eastAsia="Times New Roman"/>
        </w:rPr>
        <w:t xml:space="preserve">in the final report due to </w:t>
      </w:r>
      <w:r w:rsidR="001E0F1E" w:rsidRPr="002808B8">
        <w:rPr>
          <w:rFonts w:eastAsia="Times New Roman"/>
        </w:rPr>
        <w:t xml:space="preserve">the </w:t>
      </w:r>
      <w:r w:rsidR="000B6BEF">
        <w:rPr>
          <w:rFonts w:eastAsia="Times New Roman"/>
        </w:rPr>
        <w:t>CB</w:t>
      </w:r>
      <w:r w:rsidRPr="002808B8">
        <w:rPr>
          <w:rFonts w:eastAsia="Times New Roman"/>
        </w:rPr>
        <w:t xml:space="preserve"> in </w:t>
      </w:r>
      <w:r w:rsidR="001E0F1E" w:rsidRPr="002808B8">
        <w:rPr>
          <w:rFonts w:eastAsia="Times New Roman"/>
        </w:rPr>
        <w:t>September 2019</w:t>
      </w:r>
      <w:r w:rsidRPr="002808B8">
        <w:rPr>
          <w:rFonts w:eastAsia="Times New Roman"/>
        </w:rPr>
        <w:t>. The</w:t>
      </w:r>
      <w:r w:rsidR="001E0F1E" w:rsidRPr="002808B8">
        <w:rPr>
          <w:rFonts w:eastAsia="Times New Roman"/>
        </w:rPr>
        <w:t xml:space="preserve"> site</w:t>
      </w:r>
      <w:r w:rsidR="00911539" w:rsidRPr="002808B8">
        <w:rPr>
          <w:rFonts w:eastAsia="Times New Roman"/>
        </w:rPr>
        <w:t xml:space="preserve">- and state-level reports are intended </w:t>
      </w:r>
      <w:r w:rsidR="00A27227">
        <w:rPr>
          <w:rFonts w:eastAsia="Times New Roman"/>
        </w:rPr>
        <w:t>as</w:t>
      </w:r>
      <w:r w:rsidR="001E0F1E" w:rsidRPr="002808B8">
        <w:rPr>
          <w:rFonts w:eastAsia="Times New Roman"/>
        </w:rPr>
        <w:t xml:space="preserve"> internal documents for the sites, states, and</w:t>
      </w:r>
      <w:r w:rsidR="000B6BEF">
        <w:rPr>
          <w:rFonts w:eastAsia="Times New Roman"/>
        </w:rPr>
        <w:t xml:space="preserve"> the CB</w:t>
      </w:r>
      <w:r w:rsidR="001E0F1E" w:rsidRPr="002808B8">
        <w:rPr>
          <w:rFonts w:eastAsia="Times New Roman"/>
        </w:rPr>
        <w:t xml:space="preserve">, while the final report is anticipated to be </w:t>
      </w:r>
      <w:r w:rsidRPr="002808B8">
        <w:rPr>
          <w:rFonts w:eastAsia="Times New Roman"/>
        </w:rPr>
        <w:t>dissemi</w:t>
      </w:r>
      <w:r w:rsidR="002670A4" w:rsidRPr="002808B8">
        <w:rPr>
          <w:rFonts w:eastAsia="Times New Roman"/>
        </w:rPr>
        <w:t xml:space="preserve">nated </w:t>
      </w:r>
      <w:r w:rsidR="00911539" w:rsidRPr="002808B8">
        <w:rPr>
          <w:rFonts w:eastAsia="Times New Roman"/>
        </w:rPr>
        <w:t xml:space="preserve">to stakeholders and </w:t>
      </w:r>
      <w:r w:rsidR="002670A4" w:rsidRPr="002808B8">
        <w:rPr>
          <w:rFonts w:eastAsia="Times New Roman"/>
        </w:rPr>
        <w:t>on</w:t>
      </w:r>
      <w:r w:rsidR="001E0F1E" w:rsidRPr="002808B8">
        <w:rPr>
          <w:rFonts w:eastAsia="Times New Roman"/>
        </w:rPr>
        <w:t xml:space="preserve"> </w:t>
      </w:r>
      <w:r w:rsidR="000B6BEF">
        <w:rPr>
          <w:rFonts w:eastAsia="Times New Roman"/>
        </w:rPr>
        <w:t>CB’s Web</w:t>
      </w:r>
      <w:r w:rsidR="008059C5" w:rsidRPr="002808B8">
        <w:rPr>
          <w:rFonts w:eastAsia="Times New Roman"/>
        </w:rPr>
        <w:t xml:space="preserve"> </w:t>
      </w:r>
      <w:r w:rsidRPr="002808B8">
        <w:rPr>
          <w:rFonts w:eastAsia="Times New Roman"/>
        </w:rPr>
        <w:t xml:space="preserve">site. It is anticipated (based on OMB approval) that the information collection </w:t>
      </w:r>
      <w:r w:rsidR="002670A4" w:rsidRPr="002808B8">
        <w:rPr>
          <w:rFonts w:eastAsia="Times New Roman"/>
        </w:rPr>
        <w:t>activities will be administered and</w:t>
      </w:r>
      <w:r w:rsidRPr="002808B8">
        <w:rPr>
          <w:rFonts w:eastAsia="Times New Roman"/>
        </w:rPr>
        <w:t xml:space="preserve"> analyzed</w:t>
      </w:r>
      <w:r w:rsidR="00911539" w:rsidRPr="002808B8">
        <w:rPr>
          <w:rFonts w:eastAsia="Times New Roman"/>
        </w:rPr>
        <w:t xml:space="preserve"> between May 3</w:t>
      </w:r>
      <w:r w:rsidR="002670A4" w:rsidRPr="002808B8">
        <w:rPr>
          <w:rFonts w:eastAsia="Times New Roman"/>
        </w:rPr>
        <w:t xml:space="preserve">, 2018 and April 30, 2019 and report development will occur between April 30 and </w:t>
      </w:r>
      <w:r w:rsidR="008C2325">
        <w:rPr>
          <w:rFonts w:eastAsia="Times New Roman"/>
        </w:rPr>
        <w:t>September 30</w:t>
      </w:r>
      <w:r w:rsidR="002670A4" w:rsidRPr="002808B8">
        <w:rPr>
          <w:rFonts w:eastAsia="Times New Roman"/>
        </w:rPr>
        <w:t xml:space="preserve">, 2019. </w:t>
      </w:r>
    </w:p>
    <w:p w14:paraId="10C306B1" w14:textId="77777777" w:rsidR="004D1681" w:rsidRPr="002808B8" w:rsidRDefault="004D1681" w:rsidP="004D1681">
      <w:pPr>
        <w:rPr>
          <w:rFonts w:eastAsia="Times New Roman"/>
        </w:rPr>
      </w:pPr>
    </w:p>
    <w:p w14:paraId="24E45BCA" w14:textId="6B1E8B8C" w:rsidR="004D1681" w:rsidRPr="002808B8" w:rsidRDefault="006867B8" w:rsidP="003E0774">
      <w:pPr>
        <w:pStyle w:val="NoSpacing"/>
        <w:keepNext/>
        <w:tabs>
          <w:tab w:val="left" w:pos="360"/>
        </w:tabs>
        <w:outlineLvl w:val="1"/>
        <w:rPr>
          <w:b/>
        </w:rPr>
      </w:pPr>
      <w:bookmarkStart w:id="28" w:name="_Toc497115771"/>
      <w:r w:rsidRPr="002808B8">
        <w:rPr>
          <w:b/>
        </w:rPr>
        <w:t>17.</w:t>
      </w:r>
      <w:r w:rsidRPr="002808B8">
        <w:rPr>
          <w:b/>
        </w:rPr>
        <w:tab/>
      </w:r>
      <w:r w:rsidR="004D1681" w:rsidRPr="002808B8">
        <w:rPr>
          <w:b/>
        </w:rPr>
        <w:t xml:space="preserve">Reason(s) Display OMB Expiration Date </w:t>
      </w:r>
      <w:r w:rsidR="00D30B13" w:rsidRPr="002808B8">
        <w:rPr>
          <w:b/>
        </w:rPr>
        <w:t>I</w:t>
      </w:r>
      <w:r w:rsidR="004D1681" w:rsidRPr="002808B8">
        <w:rPr>
          <w:b/>
        </w:rPr>
        <w:t xml:space="preserve">s Inappropriate  </w:t>
      </w:r>
      <w:bookmarkEnd w:id="28"/>
    </w:p>
    <w:p w14:paraId="67A223A8" w14:textId="77777777" w:rsidR="004D1681" w:rsidRPr="002808B8" w:rsidRDefault="004D1681" w:rsidP="00186A2F">
      <w:pPr>
        <w:keepNext/>
        <w:rPr>
          <w:rFonts w:eastAsia="Times New Roman"/>
        </w:rPr>
      </w:pPr>
    </w:p>
    <w:p w14:paraId="523EC49D" w14:textId="457E4422" w:rsidR="004D1681" w:rsidRPr="002808B8" w:rsidRDefault="004D1681" w:rsidP="003E0774">
      <w:pPr>
        <w:keepNext/>
        <w:rPr>
          <w:rFonts w:eastAsia="Times New Roman"/>
        </w:rPr>
      </w:pPr>
      <w:r w:rsidRPr="002808B8">
        <w:rPr>
          <w:rFonts w:eastAsia="Times New Roman"/>
        </w:rPr>
        <w:t xml:space="preserve">The OMB expiration date for the information collection </w:t>
      </w:r>
      <w:r w:rsidR="00F36BFE">
        <w:rPr>
          <w:rFonts w:eastAsia="Times New Roman"/>
        </w:rPr>
        <w:t xml:space="preserve">and the OMB control number </w:t>
      </w:r>
      <w:r w:rsidRPr="002808B8">
        <w:rPr>
          <w:rFonts w:eastAsia="Times New Roman"/>
        </w:rPr>
        <w:t xml:space="preserve">will appear on </w:t>
      </w:r>
      <w:r w:rsidR="00F36BFE">
        <w:rPr>
          <w:rFonts w:eastAsia="Times New Roman"/>
        </w:rPr>
        <w:t xml:space="preserve">the </w:t>
      </w:r>
      <w:r w:rsidRPr="002808B8">
        <w:rPr>
          <w:rFonts w:eastAsia="Times New Roman"/>
        </w:rPr>
        <w:t xml:space="preserve">instruments. </w:t>
      </w:r>
      <w:r w:rsidR="00F36BFE">
        <w:rPr>
          <w:rFonts w:eastAsia="Times New Roman"/>
        </w:rPr>
        <w:t>A</w:t>
      </w:r>
      <w:r w:rsidRPr="002808B8">
        <w:rPr>
          <w:rFonts w:eastAsia="Times New Roman"/>
        </w:rPr>
        <w:t xml:space="preserve"> statement will appear that describes the public reporting burden and </w:t>
      </w:r>
      <w:r w:rsidR="00051EDA" w:rsidRPr="002808B8">
        <w:rPr>
          <w:rFonts w:eastAsia="Times New Roman"/>
        </w:rPr>
        <w:t xml:space="preserve">explains </w:t>
      </w:r>
      <w:r w:rsidRPr="002808B8">
        <w:rPr>
          <w:rFonts w:eastAsia="Times New Roman"/>
        </w:rPr>
        <w:t>that an agency may not conduct or sponsor, and a person is not required to respond to, a collection of information unless it displays a currently valid OMB control number.</w:t>
      </w:r>
    </w:p>
    <w:p w14:paraId="4D099A0B" w14:textId="77777777" w:rsidR="004D1681" w:rsidRPr="002808B8" w:rsidRDefault="004D1681" w:rsidP="004D1681">
      <w:pPr>
        <w:rPr>
          <w:rFonts w:eastAsia="Times New Roman"/>
        </w:rPr>
      </w:pPr>
    </w:p>
    <w:p w14:paraId="04677E21" w14:textId="77777777" w:rsidR="004D1681" w:rsidRPr="002808B8" w:rsidRDefault="004D1681" w:rsidP="005C6153">
      <w:pPr>
        <w:pStyle w:val="NoSpacing"/>
        <w:tabs>
          <w:tab w:val="left" w:pos="360"/>
        </w:tabs>
        <w:outlineLvl w:val="1"/>
        <w:rPr>
          <w:b/>
        </w:rPr>
      </w:pPr>
      <w:bookmarkStart w:id="29" w:name="_Toc497115772"/>
      <w:r w:rsidRPr="002808B8">
        <w:rPr>
          <w:b/>
        </w:rPr>
        <w:t>18.</w:t>
      </w:r>
      <w:r w:rsidRPr="002808B8">
        <w:rPr>
          <w:b/>
        </w:rPr>
        <w:tab/>
        <w:t>Exception to Certification for Paperwork Reduction Act Submissions</w:t>
      </w:r>
      <w:bookmarkEnd w:id="29"/>
      <w:r w:rsidRPr="002808B8">
        <w:rPr>
          <w:b/>
        </w:rPr>
        <w:t xml:space="preserve"> </w:t>
      </w:r>
    </w:p>
    <w:p w14:paraId="115E5B35" w14:textId="77777777" w:rsidR="004D1681" w:rsidRPr="002808B8" w:rsidRDefault="004D1681" w:rsidP="004D1681">
      <w:pPr>
        <w:rPr>
          <w:rFonts w:eastAsia="Times New Roman"/>
        </w:rPr>
      </w:pPr>
    </w:p>
    <w:p w14:paraId="6BDDC1F7" w14:textId="5A0636EC" w:rsidR="004D1681" w:rsidRPr="002808B8" w:rsidRDefault="004D1681" w:rsidP="004D1681">
      <w:pPr>
        <w:rPr>
          <w:rFonts w:eastAsia="Times New Roman"/>
        </w:rPr>
      </w:pPr>
      <w:r w:rsidRPr="002808B8">
        <w:rPr>
          <w:rFonts w:eastAsia="Times New Roman"/>
        </w:rPr>
        <w:t xml:space="preserve">No exception is requested to the certification statement identified in Item 19, </w:t>
      </w:r>
      <w:r w:rsidR="00FC6BC2" w:rsidRPr="002808B8">
        <w:rPr>
          <w:rFonts w:eastAsia="Times New Roman"/>
        </w:rPr>
        <w:t>“</w:t>
      </w:r>
      <w:r w:rsidRPr="002808B8">
        <w:rPr>
          <w:rFonts w:eastAsia="Times New Roman"/>
        </w:rPr>
        <w:t>Certification for Paperwork Reduction Act Submissions</w:t>
      </w:r>
      <w:r w:rsidR="00810618">
        <w:rPr>
          <w:rFonts w:eastAsia="Times New Roman"/>
        </w:rPr>
        <w:t>.</w:t>
      </w:r>
      <w:r w:rsidR="00FC6BC2" w:rsidRPr="002808B8">
        <w:rPr>
          <w:rFonts w:eastAsia="Times New Roman"/>
        </w:rPr>
        <w:t>”</w:t>
      </w:r>
    </w:p>
    <w:p w14:paraId="4C5F50EC" w14:textId="64040C07" w:rsidR="005C6153" w:rsidRPr="002808B8" w:rsidRDefault="005C6153">
      <w:pPr>
        <w:rPr>
          <w:rFonts w:eastAsia="Times New Roman"/>
          <w:b/>
        </w:rPr>
      </w:pPr>
    </w:p>
    <w:sectPr w:rsidR="005C6153" w:rsidRPr="002808B8" w:rsidSect="00B101E8">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0F03" w14:textId="77777777" w:rsidR="008F1D55" w:rsidRDefault="008F1D55" w:rsidP="00876E43">
      <w:r>
        <w:separator/>
      </w:r>
    </w:p>
  </w:endnote>
  <w:endnote w:type="continuationSeparator" w:id="0">
    <w:p w14:paraId="4D35C99D" w14:textId="77777777" w:rsidR="008F1D55" w:rsidRDefault="008F1D55" w:rsidP="00876E43">
      <w:r>
        <w:continuationSeparator/>
      </w:r>
    </w:p>
  </w:endnote>
  <w:endnote w:type="continuationNotice" w:id="1">
    <w:p w14:paraId="27F4C32E" w14:textId="77777777" w:rsidR="008F1D55" w:rsidRDefault="008F1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fficinaSans-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950211"/>
      <w:docPartObj>
        <w:docPartGallery w:val="Page Numbers (Bottom of Page)"/>
        <w:docPartUnique/>
      </w:docPartObj>
    </w:sdtPr>
    <w:sdtEndPr>
      <w:rPr>
        <w:noProof/>
      </w:rPr>
    </w:sdtEndPr>
    <w:sdtContent>
      <w:p w14:paraId="293F1121" w14:textId="2A3D438E" w:rsidR="006A38B8" w:rsidRDefault="006A38B8" w:rsidP="00186A2F">
        <w:pPr>
          <w:pStyle w:val="Footer"/>
          <w:jc w:val="right"/>
        </w:pPr>
        <w:r>
          <w:fldChar w:fldCharType="begin"/>
        </w:r>
        <w:r>
          <w:instrText xml:space="preserve"> PAGE   \* MERGEFORMAT </w:instrText>
        </w:r>
        <w:r>
          <w:fldChar w:fldCharType="separate"/>
        </w:r>
        <w:r w:rsidR="00F22C18">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56D20" w14:textId="41AA64C4" w:rsidR="006A38B8" w:rsidRDefault="00071800" w:rsidP="004B2A41">
    <w:pPr>
      <w:pStyle w:val="Footer"/>
      <w:jc w:val="right"/>
    </w:pPr>
    <w:r>
      <w:t>A</w:t>
    </w:r>
    <w:r w:rsidR="006A38B8">
      <w:t>-</w:t>
    </w:r>
    <w:sdt>
      <w:sdtPr>
        <w:id w:val="-218280074"/>
        <w:docPartObj>
          <w:docPartGallery w:val="Page Numbers (Bottom of Page)"/>
          <w:docPartUnique/>
        </w:docPartObj>
      </w:sdtPr>
      <w:sdtEndPr>
        <w:rPr>
          <w:noProof/>
        </w:rPr>
      </w:sdtEndPr>
      <w:sdtContent>
        <w:r w:rsidR="006A38B8">
          <w:fldChar w:fldCharType="begin"/>
        </w:r>
        <w:r w:rsidR="006A38B8">
          <w:instrText xml:space="preserve"> PAGE   \* MERGEFORMAT </w:instrText>
        </w:r>
        <w:r w:rsidR="006A38B8">
          <w:fldChar w:fldCharType="separate"/>
        </w:r>
        <w:r w:rsidR="004F6FB6">
          <w:rPr>
            <w:noProof/>
          </w:rPr>
          <w:t>7</w:t>
        </w:r>
        <w:r w:rsidR="006A38B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C8BEF" w14:textId="77777777" w:rsidR="008F1D55" w:rsidRDefault="008F1D55" w:rsidP="00876E43">
      <w:r>
        <w:separator/>
      </w:r>
    </w:p>
  </w:footnote>
  <w:footnote w:type="continuationSeparator" w:id="0">
    <w:p w14:paraId="5D33E192" w14:textId="77777777" w:rsidR="008F1D55" w:rsidRDefault="008F1D55" w:rsidP="00876E43">
      <w:r>
        <w:continuationSeparator/>
      </w:r>
    </w:p>
  </w:footnote>
  <w:footnote w:type="continuationNotice" w:id="1">
    <w:p w14:paraId="7CE6CEDE" w14:textId="77777777" w:rsidR="008F1D55" w:rsidRDefault="008F1D55"/>
  </w:footnote>
  <w:footnote w:id="2">
    <w:p w14:paraId="153FCEC2" w14:textId="7896C621" w:rsidR="00F31745" w:rsidRPr="00071800" w:rsidRDefault="00F31745">
      <w:pPr>
        <w:pStyle w:val="FootnoteText"/>
        <w:rPr>
          <w:rFonts w:ascii="Times New Roman" w:hAnsi="Times New Roman" w:cs="Times New Roman"/>
        </w:rPr>
      </w:pPr>
      <w:r w:rsidRPr="00071800">
        <w:rPr>
          <w:rStyle w:val="FootnoteReference"/>
          <w:rFonts w:ascii="Times New Roman" w:hAnsi="Times New Roman" w:cs="Times New Roman"/>
        </w:rPr>
        <w:footnoteRef/>
      </w:r>
      <w:r w:rsidRPr="00071800">
        <w:rPr>
          <w:rFonts w:ascii="Times New Roman" w:hAnsi="Times New Roman" w:cs="Times New Roman"/>
        </w:rPr>
        <w:t xml:space="preserve"> Chasnoff, I., Wells, A.M., &amp; King, L. (2015). </w:t>
      </w:r>
      <w:r w:rsidRPr="00071800">
        <w:rPr>
          <w:rFonts w:ascii="Times New Roman" w:hAnsi="Times New Roman" w:cs="Times New Roman"/>
          <w:lang w:val="en"/>
        </w:rPr>
        <w:t>Misdiagnosis and missed diagnoses in foster and adopted children with prenatal alcohol exposure</w:t>
      </w:r>
      <w:r>
        <w:rPr>
          <w:rFonts w:ascii="Times New Roman" w:hAnsi="Times New Roman" w:cs="Times New Roman"/>
          <w:lang w:val="en"/>
        </w:rPr>
        <w:t xml:space="preserve">. </w:t>
      </w:r>
      <w:r w:rsidRPr="00071800">
        <w:rPr>
          <w:rFonts w:ascii="Times New Roman" w:hAnsi="Times New Roman" w:cs="Times New Roman"/>
          <w:i/>
          <w:lang w:val="en"/>
        </w:rPr>
        <w:t>Pediatrics</w:t>
      </w:r>
      <w:r>
        <w:rPr>
          <w:rFonts w:ascii="Times New Roman" w:hAnsi="Times New Roman" w:cs="Times New Roman"/>
          <w:lang w:val="en"/>
        </w:rPr>
        <w:t xml:space="preserve">, </w:t>
      </w:r>
      <w:r w:rsidR="000A6306">
        <w:rPr>
          <w:rFonts w:ascii="Times New Roman" w:hAnsi="Times New Roman" w:cs="Times New Roman"/>
          <w:szCs w:val="16"/>
        </w:rPr>
        <w:t xml:space="preserve">Retrieved online: </w:t>
      </w:r>
      <w:r w:rsidR="000A6306" w:rsidRPr="000A6306">
        <w:rPr>
          <w:rFonts w:ascii="Times New Roman" w:hAnsi="Times New Roman" w:cs="Times New Roman"/>
          <w:szCs w:val="16"/>
        </w:rPr>
        <w:t>http://pediatrics.aappublications.org/content/135/2/264</w:t>
      </w:r>
      <w:r w:rsidR="000A6306">
        <w:rPr>
          <w:rFonts w:ascii="Times New Roman" w:hAnsi="Times New Roman" w:cs="Times New Roman"/>
          <w:szCs w:val="16"/>
        </w:rPr>
        <w:t>.</w:t>
      </w:r>
    </w:p>
  </w:footnote>
  <w:footnote w:id="3">
    <w:p w14:paraId="7A624648" w14:textId="77777777" w:rsidR="00C11755" w:rsidRPr="000C2175" w:rsidRDefault="00C11755" w:rsidP="00C11755">
      <w:pPr>
        <w:rPr>
          <w:sz w:val="16"/>
          <w:szCs w:val="16"/>
        </w:rPr>
      </w:pPr>
      <w:r w:rsidRPr="008A58BD">
        <w:rPr>
          <w:rStyle w:val="FootnoteReference"/>
          <w:sz w:val="20"/>
          <w:szCs w:val="16"/>
        </w:rPr>
        <w:footnoteRef/>
      </w:r>
      <w:r w:rsidRPr="008A58BD">
        <w:rPr>
          <w:sz w:val="20"/>
          <w:szCs w:val="16"/>
        </w:rPr>
        <w:t xml:space="preserve"> Usher, K. P., Leicht, C., Briggs, A., Wang, K., &amp; Santucci, A. </w:t>
      </w:r>
      <w:r w:rsidRPr="008A58BD">
        <w:rPr>
          <w:i/>
          <w:sz w:val="20"/>
          <w:szCs w:val="16"/>
        </w:rPr>
        <w:t>Prenatal exposure to alcohol and other drugs: An exploration of child welfare policies and practices</w:t>
      </w:r>
      <w:r w:rsidRPr="008A58BD">
        <w:rPr>
          <w:sz w:val="20"/>
          <w:szCs w:val="16"/>
        </w:rPr>
        <w:t xml:space="preserve">. ICF:  Fairfax, VA;  2016, Unpublished Final Report under Contract No.:  </w:t>
      </w:r>
      <w:r w:rsidRPr="008A58BD">
        <w:rPr>
          <w:rFonts w:cs="Arial"/>
          <w:sz w:val="20"/>
          <w:szCs w:val="16"/>
        </w:rPr>
        <w:t>HHSP23320110015YC</w:t>
      </w:r>
      <w:r w:rsidRPr="008A58BD">
        <w:rPr>
          <w:sz w:val="20"/>
          <w:szCs w:val="16"/>
        </w:rPr>
        <w:t>.  Sponsored by the Administration for Children Youth and Families and Centers for Disease Control and Prevention.    </w:t>
      </w:r>
    </w:p>
  </w:footnote>
  <w:footnote w:id="4">
    <w:p w14:paraId="135520EB" w14:textId="3EAC0E8D" w:rsidR="00C11755" w:rsidRPr="00F83ED8" w:rsidRDefault="00C11755" w:rsidP="00F83ED8">
      <w:pPr>
        <w:pStyle w:val="FootnoteText"/>
        <w:rPr>
          <w:rFonts w:ascii="Times New Roman" w:hAnsi="Times New Roman" w:cs="Times New Roman"/>
        </w:rPr>
      </w:pPr>
      <w:r>
        <w:rPr>
          <w:rStyle w:val="FootnoteReference"/>
        </w:rPr>
        <w:footnoteRef/>
      </w:r>
      <w:r>
        <w:t xml:space="preserve"> </w:t>
      </w:r>
      <w:r w:rsidR="00F83ED8" w:rsidRPr="00F83ED8">
        <w:rPr>
          <w:rFonts w:ascii="Times New Roman" w:hAnsi="Times New Roman" w:cs="Times New Roman"/>
        </w:rPr>
        <w:t xml:space="preserve">Radel, L., Baldwin, M., Crouse, G., Ghertner, R., &amp; Waters, A. (2018).  </w:t>
      </w:r>
      <w:r w:rsidR="00F83ED8" w:rsidRPr="00F83ED8">
        <w:rPr>
          <w:rFonts w:ascii="Times New Roman" w:hAnsi="Times New Roman" w:cs="Times New Roman"/>
          <w:bCs/>
          <w:i/>
        </w:rPr>
        <w:t>Substance use, the opioid epidemic, and the child welfare system: Key findings from a mixed methods study</w:t>
      </w:r>
      <w:r w:rsidR="00F83ED8" w:rsidRPr="00F83ED8">
        <w:rPr>
          <w:rFonts w:ascii="Times New Roman" w:hAnsi="Times New Roman" w:cs="Times New Roman"/>
          <w:bCs/>
        </w:rPr>
        <w:t>.  Research Brief, Office of the Assistant Secretary for Evaluation and Planning, U.S. Department of Health and Human Services.</w:t>
      </w:r>
      <w:r w:rsidR="00F83ED8" w:rsidRPr="00F83ED8">
        <w:rPr>
          <w:rFonts w:ascii="Times New Roman" w:hAnsi="Times New Roman" w:cs="Times New Roman"/>
        </w:rPr>
        <w:t xml:space="preserve"> Retrieved online: https://aspe.hhs.gov/system/files/pdf/258836/SubstanceUseChildWelfareOverview.pdf</w:t>
      </w:r>
    </w:p>
  </w:footnote>
  <w:footnote w:id="5">
    <w:p w14:paraId="490DD889" w14:textId="3CA43E37" w:rsidR="006A38B8" w:rsidRPr="00D3035F" w:rsidRDefault="006A38B8">
      <w:pPr>
        <w:pStyle w:val="FootnoteText"/>
        <w:rPr>
          <w:rFonts w:ascii="Times New Roman" w:hAnsi="Times New Roman" w:cs="Times New Roman"/>
        </w:rPr>
      </w:pPr>
      <w:r w:rsidRPr="00D3035F">
        <w:rPr>
          <w:rStyle w:val="FootnoteReference"/>
          <w:rFonts w:ascii="Times New Roman" w:hAnsi="Times New Roman" w:cs="Times New Roman"/>
        </w:rPr>
        <w:footnoteRef/>
      </w:r>
      <w:r w:rsidRPr="00D3035F">
        <w:rPr>
          <w:rFonts w:ascii="Times New Roman" w:hAnsi="Times New Roman" w:cs="Times New Roman"/>
        </w:rPr>
        <w:t xml:space="preserve"> The research questions are further delineated in Appendix A.</w:t>
      </w:r>
    </w:p>
  </w:footnote>
  <w:footnote w:id="6">
    <w:p w14:paraId="6B90CB70" w14:textId="48509B76" w:rsidR="006A38B8" w:rsidRPr="007C5CDD" w:rsidRDefault="006A38B8" w:rsidP="007C5CDD">
      <w:pPr>
        <w:rPr>
          <w:rFonts w:eastAsia="Times New Roman"/>
        </w:rPr>
      </w:pPr>
      <w:r w:rsidRPr="007C5CDD">
        <w:rPr>
          <w:rStyle w:val="FootnoteReference"/>
          <w:sz w:val="20"/>
          <w:szCs w:val="20"/>
        </w:rPr>
        <w:footnoteRef/>
      </w:r>
      <w:r w:rsidRPr="007C5CDD">
        <w:rPr>
          <w:sz w:val="20"/>
          <w:szCs w:val="20"/>
        </w:rPr>
        <w:t xml:space="preserve"> </w:t>
      </w:r>
      <w:r w:rsidRPr="007C5CDD">
        <w:rPr>
          <w:rFonts w:eastAsia="Times New Roman"/>
          <w:sz w:val="20"/>
          <w:szCs w:val="20"/>
        </w:rPr>
        <w:t>The surveys will be administered electronically and are referred to collectively as the Web-based surveys.</w:t>
      </w:r>
      <w:r w:rsidRPr="002808B8">
        <w:rPr>
          <w:rFonts w:eastAsia="Times New Roman"/>
        </w:rPr>
        <w:t xml:space="preserve"> </w:t>
      </w:r>
    </w:p>
  </w:footnote>
  <w:footnote w:id="7">
    <w:p w14:paraId="4A9A2112" w14:textId="44DC7089" w:rsidR="006A38B8" w:rsidRPr="00C030FA" w:rsidRDefault="006A38B8">
      <w:pPr>
        <w:pStyle w:val="FootnoteText"/>
        <w:rPr>
          <w:rFonts w:ascii="Times New Roman" w:hAnsi="Times New Roman" w:cs="Times New Roman"/>
        </w:rPr>
      </w:pPr>
      <w:r w:rsidRPr="00C030FA">
        <w:rPr>
          <w:rStyle w:val="FootnoteReference"/>
          <w:rFonts w:ascii="Times New Roman" w:hAnsi="Times New Roman" w:cs="Times New Roman"/>
        </w:rPr>
        <w:footnoteRef/>
      </w:r>
      <w:r w:rsidRPr="00C030FA">
        <w:rPr>
          <w:rFonts w:ascii="Times New Roman" w:hAnsi="Times New Roman" w:cs="Times New Roman"/>
        </w:rPr>
        <w:t xml:space="preserve"> A paper copy of the surveys will be provided to those who cannot or choose not to access the surveys online.</w:t>
      </w:r>
    </w:p>
  </w:footnote>
  <w:footnote w:id="8">
    <w:p w14:paraId="641FB639" w14:textId="35DF4628" w:rsidR="006A38B8" w:rsidRPr="00514924" w:rsidRDefault="006A38B8">
      <w:pPr>
        <w:pStyle w:val="FootnoteText"/>
        <w:rPr>
          <w:rFonts w:ascii="Times New Roman" w:hAnsi="Times New Roman" w:cs="Times New Roman"/>
        </w:rPr>
      </w:pPr>
      <w:r w:rsidRPr="00514924">
        <w:rPr>
          <w:rStyle w:val="FootnoteReference"/>
          <w:rFonts w:ascii="Times New Roman" w:hAnsi="Times New Roman" w:cs="Times New Roman"/>
        </w:rPr>
        <w:footnoteRef/>
      </w:r>
      <w:r w:rsidRPr="00514924">
        <w:rPr>
          <w:rFonts w:ascii="Times New Roman" w:hAnsi="Times New Roman" w:cs="Times New Roman"/>
        </w:rPr>
        <w:t xml:space="preserve"> </w:t>
      </w:r>
      <w:r w:rsidRPr="00514924">
        <w:rPr>
          <w:rFonts w:ascii="Times New Roman" w:hAnsi="Times New Roman" w:cs="Times New Roman"/>
          <w:iCs/>
        </w:rPr>
        <w:t>The CB and CDC federal project officers are considered part of the immediate study team and therefore will have access to PII/confidential information from participants and held to all of the data security standards.</w:t>
      </w:r>
    </w:p>
  </w:footnote>
  <w:footnote w:id="9">
    <w:p w14:paraId="60F391A7" w14:textId="33224A04" w:rsidR="006A38B8" w:rsidRPr="007C5CDD" w:rsidRDefault="006A38B8" w:rsidP="00514924">
      <w:pPr>
        <w:pStyle w:val="FootnoteText"/>
        <w:rPr>
          <w:rFonts w:ascii="Times New Roman" w:hAnsi="Times New Roman" w:cs="Times New Roman"/>
        </w:rPr>
      </w:pPr>
      <w:r w:rsidRPr="007C5CDD">
        <w:rPr>
          <w:rStyle w:val="FootnoteReference"/>
          <w:rFonts w:ascii="Times New Roman" w:hAnsi="Times New Roman" w:cs="Times New Roman"/>
        </w:rPr>
        <w:footnoteRef/>
      </w:r>
      <w:r>
        <w:rPr>
          <w:rFonts w:ascii="Times New Roman" w:hAnsi="Times New Roman" w:cs="Times New Roman"/>
        </w:rPr>
        <w:t xml:space="preserve"> The study team</w:t>
      </w:r>
      <w:r w:rsidRPr="007C5CDD">
        <w:rPr>
          <w:rFonts w:ascii="Times New Roman" w:hAnsi="Times New Roman" w:cs="Times New Roman"/>
        </w:rPr>
        <w:t xml:space="preserve"> will secure, store, and dispose of PII data according to the procedures and systems included in the study’s approved da</w:t>
      </w:r>
      <w:r>
        <w:rPr>
          <w:rFonts w:ascii="Times New Roman" w:hAnsi="Times New Roman" w:cs="Times New Roman"/>
        </w:rPr>
        <w:t>ta security and monitoring plan</w:t>
      </w:r>
      <w:r w:rsidRPr="007C5CDD">
        <w:rPr>
          <w:rFonts w:ascii="Times New Roman" w:hAnsi="Times New Roman" w:cs="Times New Roman"/>
        </w:rPr>
        <w:t>, which are in accordance with the federal requirements outlined in the c</w:t>
      </w:r>
      <w:r>
        <w:rPr>
          <w:rFonts w:ascii="Times New Roman" w:hAnsi="Times New Roman" w:cs="Times New Roman"/>
        </w:rPr>
        <w:t>ontract with the CB and are undergoing approval in the study’s PIA with OCIO</w:t>
      </w:r>
      <w:r w:rsidRPr="007C5CDD">
        <w:rPr>
          <w:rFonts w:ascii="Times New Roman" w:hAnsi="Times New Roman" w:cs="Times New Roman"/>
        </w:rPr>
        <w:t xml:space="preserve">. </w:t>
      </w:r>
    </w:p>
  </w:footnote>
  <w:footnote w:id="10">
    <w:p w14:paraId="5448E89C" w14:textId="65A9ADCA" w:rsidR="006A38B8" w:rsidRPr="00C030FA" w:rsidRDefault="006A38B8" w:rsidP="005F435C">
      <w:pPr>
        <w:rPr>
          <w:sz w:val="20"/>
          <w:szCs w:val="20"/>
        </w:rPr>
      </w:pPr>
      <w:r w:rsidRPr="00C030FA">
        <w:rPr>
          <w:rStyle w:val="FootnoteReference"/>
          <w:sz w:val="20"/>
          <w:szCs w:val="20"/>
        </w:rPr>
        <w:footnoteRef/>
      </w:r>
      <w:r w:rsidRPr="00C030FA">
        <w:rPr>
          <w:sz w:val="20"/>
          <w:szCs w:val="20"/>
        </w:rPr>
        <w:t xml:space="preserve"> The annual</w:t>
      </w:r>
      <w:r>
        <w:rPr>
          <w:sz w:val="20"/>
          <w:szCs w:val="20"/>
        </w:rPr>
        <w:t>ized</w:t>
      </w:r>
      <w:r w:rsidRPr="00C030FA">
        <w:rPr>
          <w:sz w:val="20"/>
          <w:szCs w:val="20"/>
        </w:rPr>
        <w:t xml:space="preserve"> </w:t>
      </w:r>
      <w:r>
        <w:rPr>
          <w:sz w:val="20"/>
          <w:szCs w:val="20"/>
        </w:rPr>
        <w:t>respondent burden and</w:t>
      </w:r>
      <w:r w:rsidRPr="00C030FA">
        <w:rPr>
          <w:sz w:val="20"/>
          <w:szCs w:val="20"/>
        </w:rPr>
        <w:t xml:space="preserve"> cost varies by year and depends upon the data collection strategies employe</w:t>
      </w:r>
      <w:r>
        <w:rPr>
          <w:sz w:val="20"/>
          <w:szCs w:val="20"/>
        </w:rPr>
        <w:t>d in the particular year. Burden and costs were estimated assuming 2 equally-distributed years of data collection. Costs were estimated applying average hourly wages listed on the Bureau of Labor Statistics website.</w:t>
      </w:r>
    </w:p>
  </w:footnote>
  <w:footnote w:id="11">
    <w:p w14:paraId="6B20F8A3" w14:textId="17599E94" w:rsidR="006A38B8" w:rsidRPr="00514924" w:rsidRDefault="006A38B8">
      <w:pPr>
        <w:pStyle w:val="FootnoteText"/>
        <w:rPr>
          <w:rFonts w:ascii="Times New Roman" w:hAnsi="Times New Roman" w:cs="Times New Roman"/>
        </w:rPr>
      </w:pPr>
      <w:r w:rsidRPr="00514924">
        <w:rPr>
          <w:rStyle w:val="FootnoteReference"/>
          <w:rFonts w:ascii="Times New Roman" w:hAnsi="Times New Roman" w:cs="Times New Roman"/>
        </w:rPr>
        <w:footnoteRef/>
      </w:r>
      <w:r w:rsidRPr="00514924">
        <w:rPr>
          <w:rFonts w:ascii="Times New Roman" w:hAnsi="Times New Roman" w:cs="Times New Roman"/>
        </w:rPr>
        <w:t xml:space="preserve"> The annual cost assumes that all activities occur in equal distribution across two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57354" w14:textId="7AD8F865" w:rsidR="006A38B8" w:rsidRDefault="006A38B8">
    <w:pPr>
      <w:pStyle w:val="Header"/>
    </w:pPr>
    <w:r>
      <w:t xml:space="preserve">Prenatal Alcohol and Other Drug Exposures in Child Welfare Project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F433" w14:textId="31F1F9F2" w:rsidR="006A38B8" w:rsidRPr="0001198B" w:rsidRDefault="006A38B8" w:rsidP="00011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67D50"/>
    <w:multiLevelType w:val="hybridMultilevel"/>
    <w:tmpl w:val="616CF8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3224FB7"/>
    <w:multiLevelType w:val="hybridMultilevel"/>
    <w:tmpl w:val="6352D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5A544F"/>
    <w:multiLevelType w:val="hybridMultilevel"/>
    <w:tmpl w:val="3A46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0311B0"/>
    <w:multiLevelType w:val="hybridMultilevel"/>
    <w:tmpl w:val="804C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603DE2"/>
    <w:multiLevelType w:val="hybridMultilevel"/>
    <w:tmpl w:val="C3B22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7D189B"/>
    <w:multiLevelType w:val="hybridMultilevel"/>
    <w:tmpl w:val="375C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6E7D4E"/>
    <w:multiLevelType w:val="hybridMultilevel"/>
    <w:tmpl w:val="DF9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96B2C"/>
    <w:multiLevelType w:val="hybridMultilevel"/>
    <w:tmpl w:val="9B7087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7D73B1E"/>
    <w:multiLevelType w:val="hybridMultilevel"/>
    <w:tmpl w:val="505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6B79DB"/>
    <w:multiLevelType w:val="hybridMultilevel"/>
    <w:tmpl w:val="DD42C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9072E5"/>
    <w:multiLevelType w:val="hybridMultilevel"/>
    <w:tmpl w:val="0D7CD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11"/>
  </w:num>
  <w:num w:numId="6">
    <w:abstractNumId w:val="0"/>
  </w:num>
  <w:num w:numId="7">
    <w:abstractNumId w:val="8"/>
  </w:num>
  <w:num w:numId="8">
    <w:abstractNumId w:val="1"/>
  </w:num>
  <w:num w:numId="9">
    <w:abstractNumId w:val="6"/>
  </w:num>
  <w:num w:numId="10">
    <w:abstractNumId w:val="7"/>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43"/>
    <w:rsid w:val="0000296E"/>
    <w:rsid w:val="00004AAA"/>
    <w:rsid w:val="0000670B"/>
    <w:rsid w:val="000111A9"/>
    <w:rsid w:val="0001198B"/>
    <w:rsid w:val="00011DE4"/>
    <w:rsid w:val="00013456"/>
    <w:rsid w:val="000340AE"/>
    <w:rsid w:val="00034B76"/>
    <w:rsid w:val="00043602"/>
    <w:rsid w:val="00046E95"/>
    <w:rsid w:val="00051D61"/>
    <w:rsid w:val="00051EDA"/>
    <w:rsid w:val="00053236"/>
    <w:rsid w:val="00056645"/>
    <w:rsid w:val="00056649"/>
    <w:rsid w:val="00057269"/>
    <w:rsid w:val="000630F1"/>
    <w:rsid w:val="00064F32"/>
    <w:rsid w:val="000666F5"/>
    <w:rsid w:val="00067B4C"/>
    <w:rsid w:val="00071800"/>
    <w:rsid w:val="00072150"/>
    <w:rsid w:val="000750BE"/>
    <w:rsid w:val="00081792"/>
    <w:rsid w:val="00084446"/>
    <w:rsid w:val="0008750D"/>
    <w:rsid w:val="00092E0A"/>
    <w:rsid w:val="0009550A"/>
    <w:rsid w:val="00096886"/>
    <w:rsid w:val="000A3805"/>
    <w:rsid w:val="000A6306"/>
    <w:rsid w:val="000B0BD6"/>
    <w:rsid w:val="000B6BEF"/>
    <w:rsid w:val="000C23A5"/>
    <w:rsid w:val="000C24D5"/>
    <w:rsid w:val="000C4FE7"/>
    <w:rsid w:val="000C5575"/>
    <w:rsid w:val="000C65FD"/>
    <w:rsid w:val="000D13DF"/>
    <w:rsid w:val="000E61BB"/>
    <w:rsid w:val="000F2659"/>
    <w:rsid w:val="000F3152"/>
    <w:rsid w:val="00100F18"/>
    <w:rsid w:val="001028B4"/>
    <w:rsid w:val="001064DF"/>
    <w:rsid w:val="00120574"/>
    <w:rsid w:val="0012723F"/>
    <w:rsid w:val="00131711"/>
    <w:rsid w:val="00136667"/>
    <w:rsid w:val="00140635"/>
    <w:rsid w:val="001413BB"/>
    <w:rsid w:val="0014345D"/>
    <w:rsid w:val="001435DB"/>
    <w:rsid w:val="00146E49"/>
    <w:rsid w:val="00150DD1"/>
    <w:rsid w:val="00160E13"/>
    <w:rsid w:val="00182351"/>
    <w:rsid w:val="00183A93"/>
    <w:rsid w:val="00186A2F"/>
    <w:rsid w:val="00190630"/>
    <w:rsid w:val="00196353"/>
    <w:rsid w:val="001A71E9"/>
    <w:rsid w:val="001B10BF"/>
    <w:rsid w:val="001C6FED"/>
    <w:rsid w:val="001D1D4A"/>
    <w:rsid w:val="001D3056"/>
    <w:rsid w:val="001E0ACC"/>
    <w:rsid w:val="001E0F1E"/>
    <w:rsid w:val="001E27AE"/>
    <w:rsid w:val="001E6FDE"/>
    <w:rsid w:val="001E7111"/>
    <w:rsid w:val="001E757C"/>
    <w:rsid w:val="001F3D9C"/>
    <w:rsid w:val="00200F6F"/>
    <w:rsid w:val="00201A35"/>
    <w:rsid w:val="00204F76"/>
    <w:rsid w:val="002206AB"/>
    <w:rsid w:val="00221DF5"/>
    <w:rsid w:val="0022397B"/>
    <w:rsid w:val="002265B4"/>
    <w:rsid w:val="002305F8"/>
    <w:rsid w:val="00233964"/>
    <w:rsid w:val="00236F44"/>
    <w:rsid w:val="00237DC5"/>
    <w:rsid w:val="0025048A"/>
    <w:rsid w:val="0026395B"/>
    <w:rsid w:val="00264B4C"/>
    <w:rsid w:val="00265C44"/>
    <w:rsid w:val="002670A4"/>
    <w:rsid w:val="00267E36"/>
    <w:rsid w:val="00273BC5"/>
    <w:rsid w:val="00274150"/>
    <w:rsid w:val="002745B3"/>
    <w:rsid w:val="00280327"/>
    <w:rsid w:val="002808B8"/>
    <w:rsid w:val="002817B0"/>
    <w:rsid w:val="002A5F2C"/>
    <w:rsid w:val="002B279B"/>
    <w:rsid w:val="002B3B08"/>
    <w:rsid w:val="002B689F"/>
    <w:rsid w:val="002C0CD3"/>
    <w:rsid w:val="002C428C"/>
    <w:rsid w:val="002C529B"/>
    <w:rsid w:val="002C7845"/>
    <w:rsid w:val="002D46B7"/>
    <w:rsid w:val="002D5CF1"/>
    <w:rsid w:val="002E120B"/>
    <w:rsid w:val="002E294A"/>
    <w:rsid w:val="002E50D2"/>
    <w:rsid w:val="002F0B8F"/>
    <w:rsid w:val="002F3167"/>
    <w:rsid w:val="003115E3"/>
    <w:rsid w:val="00313E89"/>
    <w:rsid w:val="0032028A"/>
    <w:rsid w:val="003249AF"/>
    <w:rsid w:val="00331CF7"/>
    <w:rsid w:val="00336833"/>
    <w:rsid w:val="00336930"/>
    <w:rsid w:val="0033779C"/>
    <w:rsid w:val="00337CDF"/>
    <w:rsid w:val="00341243"/>
    <w:rsid w:val="003477C4"/>
    <w:rsid w:val="003568D1"/>
    <w:rsid w:val="00361EBC"/>
    <w:rsid w:val="003626F5"/>
    <w:rsid w:val="00375A87"/>
    <w:rsid w:val="00382A1A"/>
    <w:rsid w:val="00393AB6"/>
    <w:rsid w:val="003A0C55"/>
    <w:rsid w:val="003A5126"/>
    <w:rsid w:val="003B2F92"/>
    <w:rsid w:val="003B38DA"/>
    <w:rsid w:val="003B559B"/>
    <w:rsid w:val="003B72AA"/>
    <w:rsid w:val="003C082F"/>
    <w:rsid w:val="003C3903"/>
    <w:rsid w:val="003C6C7A"/>
    <w:rsid w:val="003D08B6"/>
    <w:rsid w:val="003D40EB"/>
    <w:rsid w:val="003D750F"/>
    <w:rsid w:val="003D7564"/>
    <w:rsid w:val="003E0774"/>
    <w:rsid w:val="003E5EC4"/>
    <w:rsid w:val="003E7E28"/>
    <w:rsid w:val="003F16D9"/>
    <w:rsid w:val="003F21DC"/>
    <w:rsid w:val="0040075E"/>
    <w:rsid w:val="0040319B"/>
    <w:rsid w:val="0040615F"/>
    <w:rsid w:val="00406F2B"/>
    <w:rsid w:val="00412109"/>
    <w:rsid w:val="0041319C"/>
    <w:rsid w:val="00413DEA"/>
    <w:rsid w:val="00414569"/>
    <w:rsid w:val="004150D0"/>
    <w:rsid w:val="004224AA"/>
    <w:rsid w:val="0042302B"/>
    <w:rsid w:val="004257B1"/>
    <w:rsid w:val="00426EDD"/>
    <w:rsid w:val="00427249"/>
    <w:rsid w:val="00427F2C"/>
    <w:rsid w:val="00431440"/>
    <w:rsid w:val="00444089"/>
    <w:rsid w:val="00445298"/>
    <w:rsid w:val="004459A6"/>
    <w:rsid w:val="00450873"/>
    <w:rsid w:val="00455280"/>
    <w:rsid w:val="0046312C"/>
    <w:rsid w:val="00465AF8"/>
    <w:rsid w:val="0047755F"/>
    <w:rsid w:val="0048056C"/>
    <w:rsid w:val="004835CD"/>
    <w:rsid w:val="00483CF0"/>
    <w:rsid w:val="0048468D"/>
    <w:rsid w:val="00484AED"/>
    <w:rsid w:val="004857FE"/>
    <w:rsid w:val="004866D7"/>
    <w:rsid w:val="0049077B"/>
    <w:rsid w:val="004912E6"/>
    <w:rsid w:val="004943D2"/>
    <w:rsid w:val="004950DE"/>
    <w:rsid w:val="004A0AB3"/>
    <w:rsid w:val="004A27FA"/>
    <w:rsid w:val="004A551D"/>
    <w:rsid w:val="004A567D"/>
    <w:rsid w:val="004A5FD3"/>
    <w:rsid w:val="004B2A41"/>
    <w:rsid w:val="004C6139"/>
    <w:rsid w:val="004C773F"/>
    <w:rsid w:val="004D1681"/>
    <w:rsid w:val="004D3D07"/>
    <w:rsid w:val="004D4952"/>
    <w:rsid w:val="004E4EAB"/>
    <w:rsid w:val="004F65B4"/>
    <w:rsid w:val="004F6CED"/>
    <w:rsid w:val="004F6FB6"/>
    <w:rsid w:val="004F77D8"/>
    <w:rsid w:val="00503ACF"/>
    <w:rsid w:val="00505D3F"/>
    <w:rsid w:val="00507FD6"/>
    <w:rsid w:val="0051048E"/>
    <w:rsid w:val="005136A8"/>
    <w:rsid w:val="00513C8D"/>
    <w:rsid w:val="00513CF2"/>
    <w:rsid w:val="00514924"/>
    <w:rsid w:val="00525F5E"/>
    <w:rsid w:val="005263EF"/>
    <w:rsid w:val="00533DF7"/>
    <w:rsid w:val="00537BF4"/>
    <w:rsid w:val="005434B0"/>
    <w:rsid w:val="00546BD7"/>
    <w:rsid w:val="00555314"/>
    <w:rsid w:val="005629A5"/>
    <w:rsid w:val="00565950"/>
    <w:rsid w:val="00566652"/>
    <w:rsid w:val="0057021A"/>
    <w:rsid w:val="005751A2"/>
    <w:rsid w:val="00584928"/>
    <w:rsid w:val="0058762A"/>
    <w:rsid w:val="00591FA3"/>
    <w:rsid w:val="00592904"/>
    <w:rsid w:val="00597C9C"/>
    <w:rsid w:val="005A1768"/>
    <w:rsid w:val="005A4E63"/>
    <w:rsid w:val="005B6DBB"/>
    <w:rsid w:val="005C0767"/>
    <w:rsid w:val="005C6153"/>
    <w:rsid w:val="005D1713"/>
    <w:rsid w:val="005E0D7A"/>
    <w:rsid w:val="005F2971"/>
    <w:rsid w:val="005F435C"/>
    <w:rsid w:val="005F4EFD"/>
    <w:rsid w:val="0060041B"/>
    <w:rsid w:val="00600533"/>
    <w:rsid w:val="0060213D"/>
    <w:rsid w:val="00604546"/>
    <w:rsid w:val="00612728"/>
    <w:rsid w:val="00616CDF"/>
    <w:rsid w:val="006218DE"/>
    <w:rsid w:val="0063639D"/>
    <w:rsid w:val="00647616"/>
    <w:rsid w:val="006624DB"/>
    <w:rsid w:val="0066794B"/>
    <w:rsid w:val="00672EAB"/>
    <w:rsid w:val="0068562D"/>
    <w:rsid w:val="006867B8"/>
    <w:rsid w:val="00691741"/>
    <w:rsid w:val="00694437"/>
    <w:rsid w:val="006975F0"/>
    <w:rsid w:val="006A0507"/>
    <w:rsid w:val="006A38B8"/>
    <w:rsid w:val="006A3BEB"/>
    <w:rsid w:val="006B3FE0"/>
    <w:rsid w:val="006B76CD"/>
    <w:rsid w:val="006B7C01"/>
    <w:rsid w:val="006C11FB"/>
    <w:rsid w:val="006C2700"/>
    <w:rsid w:val="006C7584"/>
    <w:rsid w:val="006D0E6D"/>
    <w:rsid w:val="006E35DC"/>
    <w:rsid w:val="006E58C4"/>
    <w:rsid w:val="006E6ABB"/>
    <w:rsid w:val="006E6B83"/>
    <w:rsid w:val="006F007E"/>
    <w:rsid w:val="006F2882"/>
    <w:rsid w:val="006F438E"/>
    <w:rsid w:val="006F722C"/>
    <w:rsid w:val="006F7438"/>
    <w:rsid w:val="00702475"/>
    <w:rsid w:val="007042A7"/>
    <w:rsid w:val="007139D3"/>
    <w:rsid w:val="007149B5"/>
    <w:rsid w:val="00737969"/>
    <w:rsid w:val="007475B1"/>
    <w:rsid w:val="00752343"/>
    <w:rsid w:val="007563D0"/>
    <w:rsid w:val="00757500"/>
    <w:rsid w:val="00757684"/>
    <w:rsid w:val="00757F30"/>
    <w:rsid w:val="00760216"/>
    <w:rsid w:val="0076440E"/>
    <w:rsid w:val="007649E5"/>
    <w:rsid w:val="00765214"/>
    <w:rsid w:val="0077513B"/>
    <w:rsid w:val="00777B61"/>
    <w:rsid w:val="007846D9"/>
    <w:rsid w:val="00785012"/>
    <w:rsid w:val="007853EB"/>
    <w:rsid w:val="00793C0F"/>
    <w:rsid w:val="00793EAC"/>
    <w:rsid w:val="007A103A"/>
    <w:rsid w:val="007A496C"/>
    <w:rsid w:val="007B30A1"/>
    <w:rsid w:val="007B4D32"/>
    <w:rsid w:val="007C5CDD"/>
    <w:rsid w:val="007C7129"/>
    <w:rsid w:val="007D1FCA"/>
    <w:rsid w:val="007D51D7"/>
    <w:rsid w:val="007E01DA"/>
    <w:rsid w:val="007E4BBF"/>
    <w:rsid w:val="007E4E2C"/>
    <w:rsid w:val="007E5313"/>
    <w:rsid w:val="007E7F74"/>
    <w:rsid w:val="007F02B3"/>
    <w:rsid w:val="007F06A6"/>
    <w:rsid w:val="007F0F1C"/>
    <w:rsid w:val="007F3B7F"/>
    <w:rsid w:val="007F4563"/>
    <w:rsid w:val="008059C5"/>
    <w:rsid w:val="00810618"/>
    <w:rsid w:val="00812DF0"/>
    <w:rsid w:val="0081608D"/>
    <w:rsid w:val="00817132"/>
    <w:rsid w:val="00826940"/>
    <w:rsid w:val="008327C3"/>
    <w:rsid w:val="0083363E"/>
    <w:rsid w:val="00833C3E"/>
    <w:rsid w:val="008372B1"/>
    <w:rsid w:val="00841623"/>
    <w:rsid w:val="008510B1"/>
    <w:rsid w:val="008515BF"/>
    <w:rsid w:val="00853BE0"/>
    <w:rsid w:val="008579C5"/>
    <w:rsid w:val="00863A9D"/>
    <w:rsid w:val="00865B0D"/>
    <w:rsid w:val="00871854"/>
    <w:rsid w:val="0087213A"/>
    <w:rsid w:val="0087348F"/>
    <w:rsid w:val="008765CD"/>
    <w:rsid w:val="00876E43"/>
    <w:rsid w:val="008846F7"/>
    <w:rsid w:val="008861A2"/>
    <w:rsid w:val="00886969"/>
    <w:rsid w:val="00894CDA"/>
    <w:rsid w:val="00897753"/>
    <w:rsid w:val="008A012B"/>
    <w:rsid w:val="008A38D2"/>
    <w:rsid w:val="008A77FD"/>
    <w:rsid w:val="008B0C4F"/>
    <w:rsid w:val="008C2325"/>
    <w:rsid w:val="008C3E41"/>
    <w:rsid w:val="008D5CAF"/>
    <w:rsid w:val="008D74AD"/>
    <w:rsid w:val="008D7784"/>
    <w:rsid w:val="008E0803"/>
    <w:rsid w:val="008E1D62"/>
    <w:rsid w:val="008F0467"/>
    <w:rsid w:val="008F1232"/>
    <w:rsid w:val="008F1D55"/>
    <w:rsid w:val="008F6E05"/>
    <w:rsid w:val="00903CF8"/>
    <w:rsid w:val="00910EA3"/>
    <w:rsid w:val="00911539"/>
    <w:rsid w:val="00913997"/>
    <w:rsid w:val="00916563"/>
    <w:rsid w:val="00922025"/>
    <w:rsid w:val="0092400A"/>
    <w:rsid w:val="00924DE1"/>
    <w:rsid w:val="00932FDA"/>
    <w:rsid w:val="00933EB6"/>
    <w:rsid w:val="009345AC"/>
    <w:rsid w:val="009349A3"/>
    <w:rsid w:val="009352FC"/>
    <w:rsid w:val="00942254"/>
    <w:rsid w:val="00946436"/>
    <w:rsid w:val="00950372"/>
    <w:rsid w:val="00952816"/>
    <w:rsid w:val="00955CBC"/>
    <w:rsid w:val="009652E7"/>
    <w:rsid w:val="00965F26"/>
    <w:rsid w:val="00967503"/>
    <w:rsid w:val="00971925"/>
    <w:rsid w:val="00971A0F"/>
    <w:rsid w:val="0097713F"/>
    <w:rsid w:val="00980034"/>
    <w:rsid w:val="009B1D0B"/>
    <w:rsid w:val="009B24EC"/>
    <w:rsid w:val="009B4B91"/>
    <w:rsid w:val="009B5204"/>
    <w:rsid w:val="009C0E87"/>
    <w:rsid w:val="009C3218"/>
    <w:rsid w:val="009C5BBC"/>
    <w:rsid w:val="009D0F49"/>
    <w:rsid w:val="009D2D77"/>
    <w:rsid w:val="009D345B"/>
    <w:rsid w:val="009D440C"/>
    <w:rsid w:val="009F6C7E"/>
    <w:rsid w:val="00A0224E"/>
    <w:rsid w:val="00A03D04"/>
    <w:rsid w:val="00A073D4"/>
    <w:rsid w:val="00A11B9A"/>
    <w:rsid w:val="00A21A87"/>
    <w:rsid w:val="00A25BDA"/>
    <w:rsid w:val="00A27227"/>
    <w:rsid w:val="00A35602"/>
    <w:rsid w:val="00A400E4"/>
    <w:rsid w:val="00A4463D"/>
    <w:rsid w:val="00A47C37"/>
    <w:rsid w:val="00A50D46"/>
    <w:rsid w:val="00A52C70"/>
    <w:rsid w:val="00A53C7B"/>
    <w:rsid w:val="00A57C0F"/>
    <w:rsid w:val="00A63A38"/>
    <w:rsid w:val="00A6689D"/>
    <w:rsid w:val="00A76089"/>
    <w:rsid w:val="00A81477"/>
    <w:rsid w:val="00A8384B"/>
    <w:rsid w:val="00A8510C"/>
    <w:rsid w:val="00A867A0"/>
    <w:rsid w:val="00A96A24"/>
    <w:rsid w:val="00AA087C"/>
    <w:rsid w:val="00AA35F1"/>
    <w:rsid w:val="00AA4027"/>
    <w:rsid w:val="00AA5F15"/>
    <w:rsid w:val="00AA707E"/>
    <w:rsid w:val="00AB3D60"/>
    <w:rsid w:val="00AB4F9C"/>
    <w:rsid w:val="00AD0529"/>
    <w:rsid w:val="00AD3D97"/>
    <w:rsid w:val="00AD4EA5"/>
    <w:rsid w:val="00AD748E"/>
    <w:rsid w:val="00AE174C"/>
    <w:rsid w:val="00AE34BA"/>
    <w:rsid w:val="00AE4744"/>
    <w:rsid w:val="00AE5152"/>
    <w:rsid w:val="00AE7A0C"/>
    <w:rsid w:val="00AF3A58"/>
    <w:rsid w:val="00AF55F1"/>
    <w:rsid w:val="00B01056"/>
    <w:rsid w:val="00B01802"/>
    <w:rsid w:val="00B022D4"/>
    <w:rsid w:val="00B04BCC"/>
    <w:rsid w:val="00B101E8"/>
    <w:rsid w:val="00B125DE"/>
    <w:rsid w:val="00B14599"/>
    <w:rsid w:val="00B14CF5"/>
    <w:rsid w:val="00B15598"/>
    <w:rsid w:val="00B16825"/>
    <w:rsid w:val="00B245F4"/>
    <w:rsid w:val="00B42540"/>
    <w:rsid w:val="00B457F6"/>
    <w:rsid w:val="00B5113C"/>
    <w:rsid w:val="00B518BC"/>
    <w:rsid w:val="00B545A2"/>
    <w:rsid w:val="00B573E9"/>
    <w:rsid w:val="00B5788C"/>
    <w:rsid w:val="00B61F1A"/>
    <w:rsid w:val="00B64AA7"/>
    <w:rsid w:val="00B64C39"/>
    <w:rsid w:val="00B66582"/>
    <w:rsid w:val="00B7425F"/>
    <w:rsid w:val="00B75F42"/>
    <w:rsid w:val="00B768AA"/>
    <w:rsid w:val="00B814FA"/>
    <w:rsid w:val="00B83DE0"/>
    <w:rsid w:val="00B9117F"/>
    <w:rsid w:val="00B93F4D"/>
    <w:rsid w:val="00B951A3"/>
    <w:rsid w:val="00B957CD"/>
    <w:rsid w:val="00B97658"/>
    <w:rsid w:val="00BA2C71"/>
    <w:rsid w:val="00BA7788"/>
    <w:rsid w:val="00BB2032"/>
    <w:rsid w:val="00BB4E7A"/>
    <w:rsid w:val="00BB5F68"/>
    <w:rsid w:val="00BB7161"/>
    <w:rsid w:val="00BC0CFD"/>
    <w:rsid w:val="00BC1C04"/>
    <w:rsid w:val="00BD0AE1"/>
    <w:rsid w:val="00BD0B31"/>
    <w:rsid w:val="00BD7AE7"/>
    <w:rsid w:val="00BE732E"/>
    <w:rsid w:val="00BF52E5"/>
    <w:rsid w:val="00BF6832"/>
    <w:rsid w:val="00C030FA"/>
    <w:rsid w:val="00C05CBB"/>
    <w:rsid w:val="00C11755"/>
    <w:rsid w:val="00C11C93"/>
    <w:rsid w:val="00C12DC4"/>
    <w:rsid w:val="00C17D90"/>
    <w:rsid w:val="00C23912"/>
    <w:rsid w:val="00C23CC1"/>
    <w:rsid w:val="00C2460D"/>
    <w:rsid w:val="00C25CE6"/>
    <w:rsid w:val="00C26862"/>
    <w:rsid w:val="00C35AD4"/>
    <w:rsid w:val="00C3799A"/>
    <w:rsid w:val="00C42617"/>
    <w:rsid w:val="00C43798"/>
    <w:rsid w:val="00C51BD4"/>
    <w:rsid w:val="00C55EC3"/>
    <w:rsid w:val="00C61A53"/>
    <w:rsid w:val="00C63E70"/>
    <w:rsid w:val="00C748F8"/>
    <w:rsid w:val="00C82F23"/>
    <w:rsid w:val="00C87EE0"/>
    <w:rsid w:val="00C90082"/>
    <w:rsid w:val="00C92264"/>
    <w:rsid w:val="00C966DB"/>
    <w:rsid w:val="00CA1307"/>
    <w:rsid w:val="00CA285A"/>
    <w:rsid w:val="00CA42BF"/>
    <w:rsid w:val="00CB0675"/>
    <w:rsid w:val="00CB3BE6"/>
    <w:rsid w:val="00CB7242"/>
    <w:rsid w:val="00CB7BB5"/>
    <w:rsid w:val="00CC1882"/>
    <w:rsid w:val="00CC42B3"/>
    <w:rsid w:val="00CD0677"/>
    <w:rsid w:val="00CD337E"/>
    <w:rsid w:val="00CD534E"/>
    <w:rsid w:val="00CE6349"/>
    <w:rsid w:val="00CF0B50"/>
    <w:rsid w:val="00CF5637"/>
    <w:rsid w:val="00CF5EB2"/>
    <w:rsid w:val="00CF7FB1"/>
    <w:rsid w:val="00D058E9"/>
    <w:rsid w:val="00D141C5"/>
    <w:rsid w:val="00D16CCA"/>
    <w:rsid w:val="00D20593"/>
    <w:rsid w:val="00D20AA7"/>
    <w:rsid w:val="00D3035F"/>
    <w:rsid w:val="00D30B13"/>
    <w:rsid w:val="00D31097"/>
    <w:rsid w:val="00D41076"/>
    <w:rsid w:val="00D6375F"/>
    <w:rsid w:val="00D6376A"/>
    <w:rsid w:val="00D70368"/>
    <w:rsid w:val="00D7041A"/>
    <w:rsid w:val="00D70963"/>
    <w:rsid w:val="00D73B7D"/>
    <w:rsid w:val="00D83364"/>
    <w:rsid w:val="00D92A35"/>
    <w:rsid w:val="00D93171"/>
    <w:rsid w:val="00D93812"/>
    <w:rsid w:val="00D946CC"/>
    <w:rsid w:val="00DA1F44"/>
    <w:rsid w:val="00DA2FC4"/>
    <w:rsid w:val="00DA3ADE"/>
    <w:rsid w:val="00DB25DF"/>
    <w:rsid w:val="00DB5F6F"/>
    <w:rsid w:val="00DC7BC1"/>
    <w:rsid w:val="00DD3095"/>
    <w:rsid w:val="00DE4988"/>
    <w:rsid w:val="00DE63E1"/>
    <w:rsid w:val="00DF5FE0"/>
    <w:rsid w:val="00E013E3"/>
    <w:rsid w:val="00E03942"/>
    <w:rsid w:val="00E043FC"/>
    <w:rsid w:val="00E06682"/>
    <w:rsid w:val="00E06A9A"/>
    <w:rsid w:val="00E1026C"/>
    <w:rsid w:val="00E13006"/>
    <w:rsid w:val="00E2116F"/>
    <w:rsid w:val="00E2476B"/>
    <w:rsid w:val="00E26827"/>
    <w:rsid w:val="00E35B6B"/>
    <w:rsid w:val="00E41703"/>
    <w:rsid w:val="00E5014A"/>
    <w:rsid w:val="00E50C4B"/>
    <w:rsid w:val="00E50CC1"/>
    <w:rsid w:val="00E519A4"/>
    <w:rsid w:val="00E54A82"/>
    <w:rsid w:val="00E577A3"/>
    <w:rsid w:val="00E60699"/>
    <w:rsid w:val="00E606E0"/>
    <w:rsid w:val="00E6275E"/>
    <w:rsid w:val="00E66B22"/>
    <w:rsid w:val="00E7645A"/>
    <w:rsid w:val="00E80BE7"/>
    <w:rsid w:val="00E872E3"/>
    <w:rsid w:val="00E87D20"/>
    <w:rsid w:val="00E90E59"/>
    <w:rsid w:val="00E9122F"/>
    <w:rsid w:val="00E9281A"/>
    <w:rsid w:val="00E92D38"/>
    <w:rsid w:val="00E96137"/>
    <w:rsid w:val="00EA75C7"/>
    <w:rsid w:val="00EB147B"/>
    <w:rsid w:val="00EB6C3B"/>
    <w:rsid w:val="00EC28EA"/>
    <w:rsid w:val="00EC56C5"/>
    <w:rsid w:val="00EC5D10"/>
    <w:rsid w:val="00EC5D58"/>
    <w:rsid w:val="00EE0431"/>
    <w:rsid w:val="00F0232F"/>
    <w:rsid w:val="00F0416C"/>
    <w:rsid w:val="00F048CE"/>
    <w:rsid w:val="00F06760"/>
    <w:rsid w:val="00F10519"/>
    <w:rsid w:val="00F128D2"/>
    <w:rsid w:val="00F21191"/>
    <w:rsid w:val="00F211A8"/>
    <w:rsid w:val="00F22A5F"/>
    <w:rsid w:val="00F22C18"/>
    <w:rsid w:val="00F23501"/>
    <w:rsid w:val="00F31745"/>
    <w:rsid w:val="00F330AC"/>
    <w:rsid w:val="00F35233"/>
    <w:rsid w:val="00F35330"/>
    <w:rsid w:val="00F36BFE"/>
    <w:rsid w:val="00F41CE3"/>
    <w:rsid w:val="00F42738"/>
    <w:rsid w:val="00F43054"/>
    <w:rsid w:val="00F44081"/>
    <w:rsid w:val="00F4473C"/>
    <w:rsid w:val="00F46FA5"/>
    <w:rsid w:val="00F5070F"/>
    <w:rsid w:val="00F50D29"/>
    <w:rsid w:val="00F52738"/>
    <w:rsid w:val="00F63619"/>
    <w:rsid w:val="00F637C0"/>
    <w:rsid w:val="00F63851"/>
    <w:rsid w:val="00F83ED8"/>
    <w:rsid w:val="00F92EB9"/>
    <w:rsid w:val="00F94C49"/>
    <w:rsid w:val="00FB4A05"/>
    <w:rsid w:val="00FB5AFB"/>
    <w:rsid w:val="00FC462A"/>
    <w:rsid w:val="00FC6BC2"/>
    <w:rsid w:val="00FD2180"/>
    <w:rsid w:val="00FD4E1E"/>
    <w:rsid w:val="00FE24C7"/>
    <w:rsid w:val="00FE38FB"/>
    <w:rsid w:val="00FE44F7"/>
    <w:rsid w:val="00FE4A16"/>
    <w:rsid w:val="00FF0A4A"/>
    <w:rsid w:val="00FF2536"/>
    <w:rsid w:val="00FF4E39"/>
    <w:rsid w:val="00FF5E1B"/>
    <w:rsid w:val="45868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7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1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E43"/>
    <w:pPr>
      <w:tabs>
        <w:tab w:val="center" w:pos="4680"/>
        <w:tab w:val="right" w:pos="9360"/>
      </w:tabs>
    </w:pPr>
  </w:style>
  <w:style w:type="character" w:customStyle="1" w:styleId="HeaderChar">
    <w:name w:val="Header Char"/>
    <w:basedOn w:val="DefaultParagraphFont"/>
    <w:link w:val="Header"/>
    <w:uiPriority w:val="99"/>
    <w:rsid w:val="00876E43"/>
  </w:style>
  <w:style w:type="paragraph" w:styleId="Footer">
    <w:name w:val="footer"/>
    <w:basedOn w:val="Normal"/>
    <w:link w:val="FooterChar"/>
    <w:uiPriority w:val="99"/>
    <w:unhideWhenUsed/>
    <w:rsid w:val="00876E43"/>
    <w:pPr>
      <w:tabs>
        <w:tab w:val="center" w:pos="4680"/>
        <w:tab w:val="right" w:pos="9360"/>
      </w:tabs>
    </w:pPr>
  </w:style>
  <w:style w:type="character" w:customStyle="1" w:styleId="FooterChar">
    <w:name w:val="Footer Char"/>
    <w:basedOn w:val="DefaultParagraphFont"/>
    <w:link w:val="Footer"/>
    <w:uiPriority w:val="99"/>
    <w:rsid w:val="00876E43"/>
  </w:style>
  <w:style w:type="paragraph" w:styleId="BalloonText">
    <w:name w:val="Balloon Text"/>
    <w:basedOn w:val="Normal"/>
    <w:link w:val="BalloonTextChar"/>
    <w:uiPriority w:val="99"/>
    <w:semiHidden/>
    <w:unhideWhenUsed/>
    <w:rsid w:val="00876E43"/>
    <w:rPr>
      <w:rFonts w:ascii="Tahoma" w:hAnsi="Tahoma" w:cs="Tahoma"/>
      <w:sz w:val="16"/>
      <w:szCs w:val="16"/>
    </w:rPr>
  </w:style>
  <w:style w:type="character" w:customStyle="1" w:styleId="BalloonTextChar">
    <w:name w:val="Balloon Text Char"/>
    <w:basedOn w:val="DefaultParagraphFont"/>
    <w:link w:val="BalloonText"/>
    <w:uiPriority w:val="99"/>
    <w:semiHidden/>
    <w:rsid w:val="00876E43"/>
    <w:rPr>
      <w:rFonts w:ascii="Tahoma" w:hAnsi="Tahoma" w:cs="Tahoma"/>
      <w:sz w:val="16"/>
      <w:szCs w:val="16"/>
    </w:rPr>
  </w:style>
  <w:style w:type="table" w:styleId="TableGrid">
    <w:name w:val="Table Grid"/>
    <w:basedOn w:val="TableNormal"/>
    <w:uiPriority w:val="39"/>
    <w:rsid w:val="004D16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04AAA"/>
    <w:pPr>
      <w:ind w:left="720"/>
      <w:contextualSpacing/>
    </w:pPr>
  </w:style>
  <w:style w:type="character" w:customStyle="1" w:styleId="Heading1Char">
    <w:name w:val="Heading 1 Char"/>
    <w:basedOn w:val="DefaultParagraphFont"/>
    <w:link w:val="Heading1"/>
    <w:uiPriority w:val="9"/>
    <w:rsid w:val="006867B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867B8"/>
    <w:pPr>
      <w:spacing w:line="259" w:lineRule="auto"/>
      <w:outlineLvl w:val="9"/>
    </w:pPr>
  </w:style>
  <w:style w:type="paragraph" w:styleId="TOC1">
    <w:name w:val="toc 1"/>
    <w:basedOn w:val="Normal"/>
    <w:next w:val="Normal"/>
    <w:autoRedefine/>
    <w:uiPriority w:val="39"/>
    <w:unhideWhenUsed/>
    <w:rsid w:val="00555314"/>
    <w:pPr>
      <w:tabs>
        <w:tab w:val="left" w:pos="360"/>
        <w:tab w:val="right" w:leader="dot" w:pos="9350"/>
      </w:tabs>
      <w:spacing w:after="100"/>
      <w:ind w:left="360" w:hanging="360"/>
    </w:pPr>
  </w:style>
  <w:style w:type="character" w:styleId="Hyperlink">
    <w:name w:val="Hyperlink"/>
    <w:basedOn w:val="DefaultParagraphFont"/>
    <w:uiPriority w:val="99"/>
    <w:unhideWhenUsed/>
    <w:rsid w:val="006867B8"/>
    <w:rPr>
      <w:color w:val="0000FF" w:themeColor="hyperlink"/>
      <w:u w:val="single"/>
    </w:rPr>
  </w:style>
  <w:style w:type="character" w:customStyle="1" w:styleId="Heading2Char">
    <w:name w:val="Heading 2 Char"/>
    <w:basedOn w:val="DefaultParagraphFont"/>
    <w:link w:val="Heading2"/>
    <w:uiPriority w:val="9"/>
    <w:rsid w:val="005C615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C6153"/>
  </w:style>
  <w:style w:type="character" w:styleId="Strong">
    <w:name w:val="Strong"/>
    <w:basedOn w:val="DefaultParagraphFont"/>
    <w:uiPriority w:val="22"/>
    <w:qFormat/>
    <w:rsid w:val="005C6153"/>
    <w:rPr>
      <w:b/>
      <w:bCs/>
    </w:rPr>
  </w:style>
  <w:style w:type="paragraph" w:styleId="TOC2">
    <w:name w:val="toc 2"/>
    <w:basedOn w:val="Normal"/>
    <w:next w:val="Normal"/>
    <w:autoRedefine/>
    <w:uiPriority w:val="39"/>
    <w:unhideWhenUsed/>
    <w:rsid w:val="00EC56C5"/>
    <w:pPr>
      <w:tabs>
        <w:tab w:val="left" w:pos="720"/>
        <w:tab w:val="right" w:leader="dot" w:pos="9350"/>
      </w:tabs>
      <w:spacing w:after="100"/>
      <w:ind w:left="720" w:hanging="360"/>
    </w:pPr>
  </w:style>
  <w:style w:type="paragraph" w:customStyle="1" w:styleId="PRepared">
    <w:name w:val="PRepared"/>
    <w:basedOn w:val="Normal"/>
    <w:uiPriority w:val="99"/>
    <w:rsid w:val="003F16D9"/>
    <w:pPr>
      <w:widowControl w:val="0"/>
      <w:suppressAutoHyphens/>
      <w:autoSpaceDE w:val="0"/>
      <w:autoSpaceDN w:val="0"/>
      <w:adjustRightInd w:val="0"/>
      <w:spacing w:before="60" w:after="280" w:line="580" w:lineRule="atLeast"/>
      <w:textAlignment w:val="center"/>
    </w:pPr>
    <w:rPr>
      <w:rFonts w:ascii="OfficinaSans-Book" w:eastAsiaTheme="minorEastAsia" w:hAnsi="OfficinaSans-Book" w:cs="OfficinaSans-Book"/>
      <w:caps/>
      <w:color w:val="B1ACA2"/>
      <w:spacing w:val="4"/>
      <w:sz w:val="20"/>
      <w:szCs w:val="20"/>
    </w:rPr>
  </w:style>
  <w:style w:type="paragraph" w:customStyle="1" w:styleId="Covertext">
    <w:name w:val="Cover text"/>
    <w:basedOn w:val="Normal"/>
    <w:uiPriority w:val="99"/>
    <w:rsid w:val="003F16D9"/>
    <w:pPr>
      <w:widowControl w:val="0"/>
      <w:autoSpaceDE w:val="0"/>
      <w:autoSpaceDN w:val="0"/>
      <w:adjustRightInd w:val="0"/>
      <w:spacing w:before="60" w:line="288" w:lineRule="auto"/>
      <w:textAlignment w:val="center"/>
    </w:pPr>
    <w:rPr>
      <w:rFonts w:ascii="Calibri" w:eastAsiaTheme="minorEastAsia" w:hAnsi="Calibri" w:cs="Calibri"/>
      <w:color w:val="6F787E"/>
      <w:sz w:val="22"/>
      <w:szCs w:val="21"/>
    </w:rPr>
  </w:style>
  <w:style w:type="character" w:styleId="CommentReference">
    <w:name w:val="annotation reference"/>
    <w:basedOn w:val="DefaultParagraphFont"/>
    <w:uiPriority w:val="99"/>
    <w:semiHidden/>
    <w:unhideWhenUsed/>
    <w:rsid w:val="00F63851"/>
    <w:rPr>
      <w:sz w:val="16"/>
      <w:szCs w:val="16"/>
    </w:rPr>
  </w:style>
  <w:style w:type="paragraph" w:styleId="CommentText">
    <w:name w:val="annotation text"/>
    <w:basedOn w:val="Normal"/>
    <w:link w:val="CommentTextChar"/>
    <w:uiPriority w:val="99"/>
    <w:unhideWhenUsed/>
    <w:rsid w:val="00F63851"/>
    <w:rPr>
      <w:sz w:val="20"/>
      <w:szCs w:val="20"/>
    </w:rPr>
  </w:style>
  <w:style w:type="character" w:customStyle="1" w:styleId="CommentTextChar">
    <w:name w:val="Comment Text Char"/>
    <w:basedOn w:val="DefaultParagraphFont"/>
    <w:link w:val="CommentText"/>
    <w:uiPriority w:val="99"/>
    <w:rsid w:val="00F63851"/>
    <w:rPr>
      <w:sz w:val="20"/>
      <w:szCs w:val="20"/>
    </w:rPr>
  </w:style>
  <w:style w:type="paragraph" w:styleId="CommentSubject">
    <w:name w:val="annotation subject"/>
    <w:basedOn w:val="CommentText"/>
    <w:next w:val="CommentText"/>
    <w:link w:val="CommentSubjectChar"/>
    <w:uiPriority w:val="99"/>
    <w:semiHidden/>
    <w:unhideWhenUsed/>
    <w:rsid w:val="00F63851"/>
    <w:rPr>
      <w:b/>
      <w:bCs/>
    </w:rPr>
  </w:style>
  <w:style w:type="character" w:customStyle="1" w:styleId="CommentSubjectChar">
    <w:name w:val="Comment Subject Char"/>
    <w:basedOn w:val="CommentTextChar"/>
    <w:link w:val="CommentSubject"/>
    <w:uiPriority w:val="99"/>
    <w:semiHidden/>
    <w:rsid w:val="00F63851"/>
    <w:rPr>
      <w:b/>
      <w:bCs/>
      <w:sz w:val="20"/>
      <w:szCs w:val="20"/>
    </w:rPr>
  </w:style>
  <w:style w:type="paragraph" w:styleId="NormalWeb">
    <w:name w:val="Normal (Web)"/>
    <w:basedOn w:val="Normal"/>
    <w:uiPriority w:val="99"/>
    <w:semiHidden/>
    <w:unhideWhenUsed/>
    <w:rsid w:val="00BF6832"/>
    <w:rPr>
      <w:rFonts w:eastAsia="Times New Roman"/>
    </w:rPr>
  </w:style>
  <w:style w:type="paragraph" w:styleId="Revision">
    <w:name w:val="Revision"/>
    <w:hidden/>
    <w:uiPriority w:val="99"/>
    <w:semiHidden/>
    <w:rsid w:val="00EC56C5"/>
  </w:style>
  <w:style w:type="character" w:customStyle="1" w:styleId="UnresolvedMention1">
    <w:name w:val="Unresolved Mention1"/>
    <w:basedOn w:val="DefaultParagraphFont"/>
    <w:uiPriority w:val="99"/>
    <w:semiHidden/>
    <w:unhideWhenUsed/>
    <w:rsid w:val="008E0803"/>
    <w:rPr>
      <w:color w:val="808080"/>
      <w:shd w:val="clear" w:color="auto" w:fill="E6E6E6"/>
    </w:rPr>
  </w:style>
  <w:style w:type="paragraph" w:customStyle="1" w:styleId="CharChar2CharCharCharChar">
    <w:name w:val="Char Char2 Char Char Char Char"/>
    <w:basedOn w:val="Normal"/>
    <w:semiHidden/>
    <w:rsid w:val="00600533"/>
    <w:pPr>
      <w:spacing w:before="80" w:after="80"/>
      <w:ind w:left="4320"/>
      <w:jc w:val="both"/>
    </w:pPr>
    <w:rPr>
      <w:rFonts w:ascii="Arial" w:eastAsia="Times New Roman" w:hAnsi="Arial"/>
      <w:sz w:val="20"/>
    </w:rPr>
  </w:style>
  <w:style w:type="paragraph" w:styleId="FootnoteText">
    <w:name w:val="footnote text"/>
    <w:basedOn w:val="Normal"/>
    <w:link w:val="FootnoteTextChar"/>
    <w:uiPriority w:val="99"/>
    <w:semiHidden/>
    <w:unhideWhenUsed/>
    <w:rsid w:val="004F77D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F77D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F77D8"/>
    <w:rPr>
      <w:vertAlign w:val="superscript"/>
    </w:rPr>
  </w:style>
  <w:style w:type="character" w:customStyle="1" w:styleId="eop">
    <w:name w:val="eop"/>
    <w:basedOn w:val="DefaultParagraphFont"/>
    <w:rsid w:val="008A012B"/>
  </w:style>
  <w:style w:type="character" w:customStyle="1" w:styleId="ListParagraphChar">
    <w:name w:val="List Paragraph Char"/>
    <w:basedOn w:val="DefaultParagraphFont"/>
    <w:link w:val="ListParagraph"/>
    <w:uiPriority w:val="34"/>
    <w:locked/>
    <w:rsid w:val="00431440"/>
  </w:style>
  <w:style w:type="paragraph" w:customStyle="1" w:styleId="CharChar2CharCharCharChar0">
    <w:name w:val="Char Char2 Char Char Char Char0"/>
    <w:basedOn w:val="Normal"/>
    <w:semiHidden/>
    <w:rsid w:val="004A5FD3"/>
    <w:pPr>
      <w:spacing w:before="80" w:after="80"/>
      <w:ind w:left="4320"/>
      <w:jc w:val="both"/>
    </w:pPr>
    <w:rPr>
      <w:rFonts w:ascii="Arial" w:eastAsia="Times New Roman" w:hAnsi="Arial"/>
      <w:sz w:val="20"/>
    </w:rPr>
  </w:style>
  <w:style w:type="character" w:customStyle="1" w:styleId="UnresolvedMention2">
    <w:name w:val="Unresolved Mention2"/>
    <w:basedOn w:val="DefaultParagraphFont"/>
    <w:uiPriority w:val="99"/>
    <w:semiHidden/>
    <w:unhideWhenUsed/>
    <w:rsid w:val="007149B5"/>
    <w:rPr>
      <w:color w:val="808080"/>
      <w:shd w:val="clear" w:color="auto" w:fill="E6E6E6"/>
    </w:rPr>
  </w:style>
  <w:style w:type="character" w:styleId="FollowedHyperlink">
    <w:name w:val="FollowedHyperlink"/>
    <w:basedOn w:val="DefaultParagraphFont"/>
    <w:uiPriority w:val="99"/>
    <w:semiHidden/>
    <w:unhideWhenUsed/>
    <w:rsid w:val="006679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7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61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E43"/>
    <w:pPr>
      <w:tabs>
        <w:tab w:val="center" w:pos="4680"/>
        <w:tab w:val="right" w:pos="9360"/>
      </w:tabs>
    </w:pPr>
  </w:style>
  <w:style w:type="character" w:customStyle="1" w:styleId="HeaderChar">
    <w:name w:val="Header Char"/>
    <w:basedOn w:val="DefaultParagraphFont"/>
    <w:link w:val="Header"/>
    <w:uiPriority w:val="99"/>
    <w:rsid w:val="00876E43"/>
  </w:style>
  <w:style w:type="paragraph" w:styleId="Footer">
    <w:name w:val="footer"/>
    <w:basedOn w:val="Normal"/>
    <w:link w:val="FooterChar"/>
    <w:uiPriority w:val="99"/>
    <w:unhideWhenUsed/>
    <w:rsid w:val="00876E43"/>
    <w:pPr>
      <w:tabs>
        <w:tab w:val="center" w:pos="4680"/>
        <w:tab w:val="right" w:pos="9360"/>
      </w:tabs>
    </w:pPr>
  </w:style>
  <w:style w:type="character" w:customStyle="1" w:styleId="FooterChar">
    <w:name w:val="Footer Char"/>
    <w:basedOn w:val="DefaultParagraphFont"/>
    <w:link w:val="Footer"/>
    <w:uiPriority w:val="99"/>
    <w:rsid w:val="00876E43"/>
  </w:style>
  <w:style w:type="paragraph" w:styleId="BalloonText">
    <w:name w:val="Balloon Text"/>
    <w:basedOn w:val="Normal"/>
    <w:link w:val="BalloonTextChar"/>
    <w:uiPriority w:val="99"/>
    <w:semiHidden/>
    <w:unhideWhenUsed/>
    <w:rsid w:val="00876E43"/>
    <w:rPr>
      <w:rFonts w:ascii="Tahoma" w:hAnsi="Tahoma" w:cs="Tahoma"/>
      <w:sz w:val="16"/>
      <w:szCs w:val="16"/>
    </w:rPr>
  </w:style>
  <w:style w:type="character" w:customStyle="1" w:styleId="BalloonTextChar">
    <w:name w:val="Balloon Text Char"/>
    <w:basedOn w:val="DefaultParagraphFont"/>
    <w:link w:val="BalloonText"/>
    <w:uiPriority w:val="99"/>
    <w:semiHidden/>
    <w:rsid w:val="00876E43"/>
    <w:rPr>
      <w:rFonts w:ascii="Tahoma" w:hAnsi="Tahoma" w:cs="Tahoma"/>
      <w:sz w:val="16"/>
      <w:szCs w:val="16"/>
    </w:rPr>
  </w:style>
  <w:style w:type="table" w:styleId="TableGrid">
    <w:name w:val="Table Grid"/>
    <w:basedOn w:val="TableNormal"/>
    <w:uiPriority w:val="39"/>
    <w:rsid w:val="004D16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04AAA"/>
    <w:pPr>
      <w:ind w:left="720"/>
      <w:contextualSpacing/>
    </w:pPr>
  </w:style>
  <w:style w:type="character" w:customStyle="1" w:styleId="Heading1Char">
    <w:name w:val="Heading 1 Char"/>
    <w:basedOn w:val="DefaultParagraphFont"/>
    <w:link w:val="Heading1"/>
    <w:uiPriority w:val="9"/>
    <w:rsid w:val="006867B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867B8"/>
    <w:pPr>
      <w:spacing w:line="259" w:lineRule="auto"/>
      <w:outlineLvl w:val="9"/>
    </w:pPr>
  </w:style>
  <w:style w:type="paragraph" w:styleId="TOC1">
    <w:name w:val="toc 1"/>
    <w:basedOn w:val="Normal"/>
    <w:next w:val="Normal"/>
    <w:autoRedefine/>
    <w:uiPriority w:val="39"/>
    <w:unhideWhenUsed/>
    <w:rsid w:val="00555314"/>
    <w:pPr>
      <w:tabs>
        <w:tab w:val="left" w:pos="360"/>
        <w:tab w:val="right" w:leader="dot" w:pos="9350"/>
      </w:tabs>
      <w:spacing w:after="100"/>
      <w:ind w:left="360" w:hanging="360"/>
    </w:pPr>
  </w:style>
  <w:style w:type="character" w:styleId="Hyperlink">
    <w:name w:val="Hyperlink"/>
    <w:basedOn w:val="DefaultParagraphFont"/>
    <w:uiPriority w:val="99"/>
    <w:unhideWhenUsed/>
    <w:rsid w:val="006867B8"/>
    <w:rPr>
      <w:color w:val="0000FF" w:themeColor="hyperlink"/>
      <w:u w:val="single"/>
    </w:rPr>
  </w:style>
  <w:style w:type="character" w:customStyle="1" w:styleId="Heading2Char">
    <w:name w:val="Heading 2 Char"/>
    <w:basedOn w:val="DefaultParagraphFont"/>
    <w:link w:val="Heading2"/>
    <w:uiPriority w:val="9"/>
    <w:rsid w:val="005C615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C6153"/>
  </w:style>
  <w:style w:type="character" w:styleId="Strong">
    <w:name w:val="Strong"/>
    <w:basedOn w:val="DefaultParagraphFont"/>
    <w:uiPriority w:val="22"/>
    <w:qFormat/>
    <w:rsid w:val="005C6153"/>
    <w:rPr>
      <w:b/>
      <w:bCs/>
    </w:rPr>
  </w:style>
  <w:style w:type="paragraph" w:styleId="TOC2">
    <w:name w:val="toc 2"/>
    <w:basedOn w:val="Normal"/>
    <w:next w:val="Normal"/>
    <w:autoRedefine/>
    <w:uiPriority w:val="39"/>
    <w:unhideWhenUsed/>
    <w:rsid w:val="00EC56C5"/>
    <w:pPr>
      <w:tabs>
        <w:tab w:val="left" w:pos="720"/>
        <w:tab w:val="right" w:leader="dot" w:pos="9350"/>
      </w:tabs>
      <w:spacing w:after="100"/>
      <w:ind w:left="720" w:hanging="360"/>
    </w:pPr>
  </w:style>
  <w:style w:type="paragraph" w:customStyle="1" w:styleId="PRepared">
    <w:name w:val="PRepared"/>
    <w:basedOn w:val="Normal"/>
    <w:uiPriority w:val="99"/>
    <w:rsid w:val="003F16D9"/>
    <w:pPr>
      <w:widowControl w:val="0"/>
      <w:suppressAutoHyphens/>
      <w:autoSpaceDE w:val="0"/>
      <w:autoSpaceDN w:val="0"/>
      <w:adjustRightInd w:val="0"/>
      <w:spacing w:before="60" w:after="280" w:line="580" w:lineRule="atLeast"/>
      <w:textAlignment w:val="center"/>
    </w:pPr>
    <w:rPr>
      <w:rFonts w:ascii="OfficinaSans-Book" w:eastAsiaTheme="minorEastAsia" w:hAnsi="OfficinaSans-Book" w:cs="OfficinaSans-Book"/>
      <w:caps/>
      <w:color w:val="B1ACA2"/>
      <w:spacing w:val="4"/>
      <w:sz w:val="20"/>
      <w:szCs w:val="20"/>
    </w:rPr>
  </w:style>
  <w:style w:type="paragraph" w:customStyle="1" w:styleId="Covertext">
    <w:name w:val="Cover text"/>
    <w:basedOn w:val="Normal"/>
    <w:uiPriority w:val="99"/>
    <w:rsid w:val="003F16D9"/>
    <w:pPr>
      <w:widowControl w:val="0"/>
      <w:autoSpaceDE w:val="0"/>
      <w:autoSpaceDN w:val="0"/>
      <w:adjustRightInd w:val="0"/>
      <w:spacing w:before="60" w:line="288" w:lineRule="auto"/>
      <w:textAlignment w:val="center"/>
    </w:pPr>
    <w:rPr>
      <w:rFonts w:ascii="Calibri" w:eastAsiaTheme="minorEastAsia" w:hAnsi="Calibri" w:cs="Calibri"/>
      <w:color w:val="6F787E"/>
      <w:sz w:val="22"/>
      <w:szCs w:val="21"/>
    </w:rPr>
  </w:style>
  <w:style w:type="character" w:styleId="CommentReference">
    <w:name w:val="annotation reference"/>
    <w:basedOn w:val="DefaultParagraphFont"/>
    <w:uiPriority w:val="99"/>
    <w:semiHidden/>
    <w:unhideWhenUsed/>
    <w:rsid w:val="00F63851"/>
    <w:rPr>
      <w:sz w:val="16"/>
      <w:szCs w:val="16"/>
    </w:rPr>
  </w:style>
  <w:style w:type="paragraph" w:styleId="CommentText">
    <w:name w:val="annotation text"/>
    <w:basedOn w:val="Normal"/>
    <w:link w:val="CommentTextChar"/>
    <w:uiPriority w:val="99"/>
    <w:unhideWhenUsed/>
    <w:rsid w:val="00F63851"/>
    <w:rPr>
      <w:sz w:val="20"/>
      <w:szCs w:val="20"/>
    </w:rPr>
  </w:style>
  <w:style w:type="character" w:customStyle="1" w:styleId="CommentTextChar">
    <w:name w:val="Comment Text Char"/>
    <w:basedOn w:val="DefaultParagraphFont"/>
    <w:link w:val="CommentText"/>
    <w:uiPriority w:val="99"/>
    <w:rsid w:val="00F63851"/>
    <w:rPr>
      <w:sz w:val="20"/>
      <w:szCs w:val="20"/>
    </w:rPr>
  </w:style>
  <w:style w:type="paragraph" w:styleId="CommentSubject">
    <w:name w:val="annotation subject"/>
    <w:basedOn w:val="CommentText"/>
    <w:next w:val="CommentText"/>
    <w:link w:val="CommentSubjectChar"/>
    <w:uiPriority w:val="99"/>
    <w:semiHidden/>
    <w:unhideWhenUsed/>
    <w:rsid w:val="00F63851"/>
    <w:rPr>
      <w:b/>
      <w:bCs/>
    </w:rPr>
  </w:style>
  <w:style w:type="character" w:customStyle="1" w:styleId="CommentSubjectChar">
    <w:name w:val="Comment Subject Char"/>
    <w:basedOn w:val="CommentTextChar"/>
    <w:link w:val="CommentSubject"/>
    <w:uiPriority w:val="99"/>
    <w:semiHidden/>
    <w:rsid w:val="00F63851"/>
    <w:rPr>
      <w:b/>
      <w:bCs/>
      <w:sz w:val="20"/>
      <w:szCs w:val="20"/>
    </w:rPr>
  </w:style>
  <w:style w:type="paragraph" w:styleId="NormalWeb">
    <w:name w:val="Normal (Web)"/>
    <w:basedOn w:val="Normal"/>
    <w:uiPriority w:val="99"/>
    <w:semiHidden/>
    <w:unhideWhenUsed/>
    <w:rsid w:val="00BF6832"/>
    <w:rPr>
      <w:rFonts w:eastAsia="Times New Roman"/>
    </w:rPr>
  </w:style>
  <w:style w:type="paragraph" w:styleId="Revision">
    <w:name w:val="Revision"/>
    <w:hidden/>
    <w:uiPriority w:val="99"/>
    <w:semiHidden/>
    <w:rsid w:val="00EC56C5"/>
  </w:style>
  <w:style w:type="character" w:customStyle="1" w:styleId="UnresolvedMention1">
    <w:name w:val="Unresolved Mention1"/>
    <w:basedOn w:val="DefaultParagraphFont"/>
    <w:uiPriority w:val="99"/>
    <w:semiHidden/>
    <w:unhideWhenUsed/>
    <w:rsid w:val="008E0803"/>
    <w:rPr>
      <w:color w:val="808080"/>
      <w:shd w:val="clear" w:color="auto" w:fill="E6E6E6"/>
    </w:rPr>
  </w:style>
  <w:style w:type="paragraph" w:customStyle="1" w:styleId="CharChar2CharCharCharChar">
    <w:name w:val="Char Char2 Char Char Char Char"/>
    <w:basedOn w:val="Normal"/>
    <w:semiHidden/>
    <w:rsid w:val="00600533"/>
    <w:pPr>
      <w:spacing w:before="80" w:after="80"/>
      <w:ind w:left="4320"/>
      <w:jc w:val="both"/>
    </w:pPr>
    <w:rPr>
      <w:rFonts w:ascii="Arial" w:eastAsia="Times New Roman" w:hAnsi="Arial"/>
      <w:sz w:val="20"/>
    </w:rPr>
  </w:style>
  <w:style w:type="paragraph" w:styleId="FootnoteText">
    <w:name w:val="footnote text"/>
    <w:basedOn w:val="Normal"/>
    <w:link w:val="FootnoteTextChar"/>
    <w:uiPriority w:val="99"/>
    <w:semiHidden/>
    <w:unhideWhenUsed/>
    <w:rsid w:val="004F77D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F77D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F77D8"/>
    <w:rPr>
      <w:vertAlign w:val="superscript"/>
    </w:rPr>
  </w:style>
  <w:style w:type="character" w:customStyle="1" w:styleId="eop">
    <w:name w:val="eop"/>
    <w:basedOn w:val="DefaultParagraphFont"/>
    <w:rsid w:val="008A012B"/>
  </w:style>
  <w:style w:type="character" w:customStyle="1" w:styleId="ListParagraphChar">
    <w:name w:val="List Paragraph Char"/>
    <w:basedOn w:val="DefaultParagraphFont"/>
    <w:link w:val="ListParagraph"/>
    <w:uiPriority w:val="34"/>
    <w:locked/>
    <w:rsid w:val="00431440"/>
  </w:style>
  <w:style w:type="paragraph" w:customStyle="1" w:styleId="CharChar2CharCharCharChar0">
    <w:name w:val="Char Char2 Char Char Char Char0"/>
    <w:basedOn w:val="Normal"/>
    <w:semiHidden/>
    <w:rsid w:val="004A5FD3"/>
    <w:pPr>
      <w:spacing w:before="80" w:after="80"/>
      <w:ind w:left="4320"/>
      <w:jc w:val="both"/>
    </w:pPr>
    <w:rPr>
      <w:rFonts w:ascii="Arial" w:eastAsia="Times New Roman" w:hAnsi="Arial"/>
      <w:sz w:val="20"/>
    </w:rPr>
  </w:style>
  <w:style w:type="character" w:customStyle="1" w:styleId="UnresolvedMention2">
    <w:name w:val="Unresolved Mention2"/>
    <w:basedOn w:val="DefaultParagraphFont"/>
    <w:uiPriority w:val="99"/>
    <w:semiHidden/>
    <w:unhideWhenUsed/>
    <w:rsid w:val="007149B5"/>
    <w:rPr>
      <w:color w:val="808080"/>
      <w:shd w:val="clear" w:color="auto" w:fill="E6E6E6"/>
    </w:rPr>
  </w:style>
  <w:style w:type="character" w:styleId="FollowedHyperlink">
    <w:name w:val="FollowedHyperlink"/>
    <w:basedOn w:val="DefaultParagraphFont"/>
    <w:uiPriority w:val="99"/>
    <w:semiHidden/>
    <w:unhideWhenUsed/>
    <w:rsid w:val="00667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2040">
      <w:bodyDiv w:val="1"/>
      <w:marLeft w:val="0"/>
      <w:marRight w:val="0"/>
      <w:marTop w:val="0"/>
      <w:marBottom w:val="0"/>
      <w:divBdr>
        <w:top w:val="none" w:sz="0" w:space="0" w:color="auto"/>
        <w:left w:val="none" w:sz="0" w:space="0" w:color="auto"/>
        <w:bottom w:val="none" w:sz="0" w:space="0" w:color="auto"/>
        <w:right w:val="none" w:sz="0" w:space="0" w:color="auto"/>
      </w:divBdr>
    </w:div>
    <w:div w:id="1508135114">
      <w:bodyDiv w:val="1"/>
      <w:marLeft w:val="0"/>
      <w:marRight w:val="0"/>
      <w:marTop w:val="0"/>
      <w:marBottom w:val="0"/>
      <w:divBdr>
        <w:top w:val="none" w:sz="0" w:space="0" w:color="auto"/>
        <w:left w:val="none" w:sz="0" w:space="0" w:color="auto"/>
        <w:bottom w:val="none" w:sz="0" w:space="0" w:color="auto"/>
        <w:right w:val="none" w:sz="0" w:space="0" w:color="auto"/>
      </w:divBdr>
    </w:div>
    <w:div w:id="1559243758">
      <w:bodyDiv w:val="1"/>
      <w:marLeft w:val="0"/>
      <w:marRight w:val="0"/>
      <w:marTop w:val="0"/>
      <w:marBottom w:val="0"/>
      <w:divBdr>
        <w:top w:val="none" w:sz="0" w:space="0" w:color="auto"/>
        <w:left w:val="none" w:sz="0" w:space="0" w:color="auto"/>
        <w:bottom w:val="none" w:sz="0" w:space="0" w:color="auto"/>
        <w:right w:val="none" w:sz="0" w:space="0" w:color="auto"/>
      </w:divBdr>
    </w:div>
    <w:div w:id="2138788621">
      <w:bodyDiv w:val="1"/>
      <w:marLeft w:val="0"/>
      <w:marRight w:val="0"/>
      <w:marTop w:val="0"/>
      <w:marBottom w:val="0"/>
      <w:divBdr>
        <w:top w:val="none" w:sz="0" w:space="0" w:color="auto"/>
        <w:left w:val="none" w:sz="0" w:space="0" w:color="auto"/>
        <w:bottom w:val="none" w:sz="0" w:space="0" w:color="auto"/>
        <w:right w:val="none" w:sz="0" w:space="0" w:color="auto"/>
      </w:divBdr>
    </w:div>
    <w:div w:id="21402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eneralschedule.org/201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ron.Newburg-Rinn@acf.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5637-9D61-47B5-9F15-45F551CA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Ingoldsby</dc:creator>
  <cp:lastModifiedBy>SYSTEM</cp:lastModifiedBy>
  <cp:revision>2</cp:revision>
  <dcterms:created xsi:type="dcterms:W3CDTF">2018-05-22T14:08:00Z</dcterms:created>
  <dcterms:modified xsi:type="dcterms:W3CDTF">2018-05-22T14:08:00Z</dcterms:modified>
</cp:coreProperties>
</file>