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DA" w:rsidRDefault="00663337" w:rsidP="00663337">
      <w:pPr>
        <w:pStyle w:val="Default"/>
        <w:jc w:val="center"/>
        <w:rPr>
          <w:b/>
          <w:bCs/>
          <w:color w:val="auto"/>
        </w:rPr>
      </w:pPr>
      <w:bookmarkStart w:id="0" w:name="_GoBack"/>
      <w:bookmarkEnd w:id="0"/>
      <w:r w:rsidRPr="00CF5000">
        <w:rPr>
          <w:b/>
          <w:bCs/>
          <w:color w:val="auto"/>
        </w:rPr>
        <w:t>Supporting Statement for Form SSA-789</w:t>
      </w:r>
    </w:p>
    <w:p w:rsidR="00663337" w:rsidRPr="00CF5000" w:rsidRDefault="00663337" w:rsidP="00663337">
      <w:pPr>
        <w:pStyle w:val="Default"/>
        <w:jc w:val="center"/>
        <w:rPr>
          <w:color w:val="auto"/>
        </w:rPr>
      </w:pPr>
      <w:r w:rsidRPr="00CF5000">
        <w:rPr>
          <w:b/>
          <w:bCs/>
          <w:color w:val="auto"/>
        </w:rPr>
        <w:t>Request for Reconsideration – Disability Cessation</w:t>
      </w:r>
    </w:p>
    <w:p w:rsidR="00663337" w:rsidRPr="00CF5000" w:rsidRDefault="00663337" w:rsidP="00663337">
      <w:pPr>
        <w:pStyle w:val="Default"/>
        <w:jc w:val="center"/>
        <w:rPr>
          <w:color w:val="auto"/>
        </w:rPr>
      </w:pPr>
      <w:r w:rsidRPr="00CF5000">
        <w:rPr>
          <w:b/>
          <w:bCs/>
          <w:color w:val="auto"/>
        </w:rPr>
        <w:t>20 CFR 404.909 and 416.1409</w:t>
      </w:r>
    </w:p>
    <w:p w:rsidR="00663337" w:rsidRPr="00CF5000" w:rsidRDefault="00DD24A4" w:rsidP="00663337">
      <w:pPr>
        <w:pStyle w:val="Default"/>
        <w:jc w:val="center"/>
        <w:rPr>
          <w:b/>
          <w:bCs/>
          <w:color w:val="auto"/>
        </w:rPr>
      </w:pPr>
      <w:r>
        <w:rPr>
          <w:b/>
          <w:bCs/>
          <w:color w:val="auto"/>
        </w:rPr>
        <w:t xml:space="preserve">OMB No. </w:t>
      </w:r>
      <w:r w:rsidR="00663337" w:rsidRPr="00CF5000">
        <w:rPr>
          <w:b/>
          <w:bCs/>
          <w:color w:val="auto"/>
        </w:rPr>
        <w:t>0960-0349</w:t>
      </w:r>
    </w:p>
    <w:p w:rsidR="00663337" w:rsidRPr="00CF5000" w:rsidRDefault="00663337" w:rsidP="00DD24A4">
      <w:pPr>
        <w:pStyle w:val="Default"/>
        <w:rPr>
          <w:color w:val="auto"/>
        </w:rPr>
      </w:pPr>
    </w:p>
    <w:p w:rsidR="00663337" w:rsidRDefault="00DD24A4" w:rsidP="00DD24A4">
      <w:pPr>
        <w:pStyle w:val="Default"/>
        <w:numPr>
          <w:ilvl w:val="0"/>
          <w:numId w:val="7"/>
        </w:numPr>
        <w:rPr>
          <w:b/>
          <w:bCs/>
          <w:color w:val="auto"/>
          <w:u w:val="single"/>
        </w:rPr>
      </w:pPr>
      <w:r>
        <w:rPr>
          <w:b/>
          <w:bCs/>
          <w:color w:val="auto"/>
          <w:u w:val="single"/>
        </w:rPr>
        <w:t>Justification</w:t>
      </w:r>
    </w:p>
    <w:p w:rsidR="00DD24A4" w:rsidRDefault="00DD24A4" w:rsidP="00DD24A4">
      <w:pPr>
        <w:pStyle w:val="Default"/>
        <w:ind w:left="90"/>
        <w:rPr>
          <w:b/>
          <w:bCs/>
          <w:color w:val="auto"/>
          <w:u w:val="single"/>
        </w:rPr>
      </w:pPr>
    </w:p>
    <w:p w:rsidR="00DD24A4" w:rsidRPr="00DD24A4" w:rsidRDefault="00DD24A4" w:rsidP="00DD24A4">
      <w:pPr>
        <w:pStyle w:val="Default"/>
        <w:numPr>
          <w:ilvl w:val="0"/>
          <w:numId w:val="8"/>
        </w:numPr>
        <w:rPr>
          <w:b/>
          <w:bCs/>
          <w:color w:val="auto"/>
          <w:u w:val="single"/>
        </w:rPr>
      </w:pPr>
      <w:r w:rsidRPr="00CF5000">
        <w:rPr>
          <w:b/>
        </w:rPr>
        <w:t>Introduction/Authoring Laws and Regulations</w:t>
      </w:r>
    </w:p>
    <w:p w:rsidR="00DD24A4" w:rsidRDefault="00DD24A4" w:rsidP="00DD24A4">
      <w:pPr>
        <w:pStyle w:val="Default"/>
        <w:ind w:left="450"/>
        <w:rPr>
          <w:b/>
        </w:rPr>
      </w:pPr>
      <w:r w:rsidRPr="00AD6C13">
        <w:rPr>
          <w:iCs/>
          <w:color w:val="auto"/>
        </w:rPr>
        <w:t>Section</w:t>
      </w:r>
      <w:r w:rsidRPr="00CF5000">
        <w:rPr>
          <w:i/>
          <w:iCs/>
          <w:color w:val="auto"/>
        </w:rPr>
        <w:t xml:space="preserve"> 205(b) </w:t>
      </w:r>
      <w:r w:rsidRPr="00CF5000">
        <w:rPr>
          <w:color w:val="auto"/>
        </w:rPr>
        <w:t xml:space="preserve">of the </w:t>
      </w:r>
      <w:r w:rsidRPr="00CF5000">
        <w:rPr>
          <w:i/>
          <w:iCs/>
          <w:color w:val="auto"/>
        </w:rPr>
        <w:t xml:space="preserve">Social Security Act (Act) </w:t>
      </w:r>
      <w:r w:rsidRPr="00CF5000">
        <w:rPr>
          <w:color w:val="auto"/>
        </w:rPr>
        <w:t>requires</w:t>
      </w:r>
      <w:r>
        <w:rPr>
          <w:color w:val="auto"/>
        </w:rPr>
        <w:t xml:space="preserve"> SSA to</w:t>
      </w:r>
      <w:r w:rsidRPr="00CF5000">
        <w:rPr>
          <w:color w:val="auto"/>
        </w:rPr>
        <w:t xml:space="preserve"> provide a</w:t>
      </w:r>
      <w:r>
        <w:rPr>
          <w:color w:val="auto"/>
        </w:rPr>
        <w:t xml:space="preserve"> disability hearing</w:t>
      </w:r>
      <w:r w:rsidRPr="00CF5000">
        <w:rPr>
          <w:color w:val="auto"/>
        </w:rPr>
        <w:t xml:space="preserve"> at the continuing disability review level of appeal for</w:t>
      </w:r>
      <w:r>
        <w:rPr>
          <w:color w:val="auto"/>
        </w:rPr>
        <w:t xml:space="preserve"> </w:t>
      </w:r>
      <w:r w:rsidRPr="00CF5000">
        <w:rPr>
          <w:color w:val="auto"/>
        </w:rPr>
        <w:t xml:space="preserve">claimants who received an initial </w:t>
      </w:r>
      <w:r>
        <w:rPr>
          <w:color w:val="auto"/>
        </w:rPr>
        <w:t xml:space="preserve">continuing disability review (CDR) cessation </w:t>
      </w:r>
      <w:r w:rsidRPr="00CF5000">
        <w:rPr>
          <w:color w:val="auto"/>
        </w:rPr>
        <w:t xml:space="preserve">or </w:t>
      </w:r>
      <w:r>
        <w:rPr>
          <w:color w:val="auto"/>
        </w:rPr>
        <w:t>reconsideration pre-hearing cessation</w:t>
      </w:r>
      <w:r w:rsidRPr="00CF5000">
        <w:rPr>
          <w:color w:val="auto"/>
        </w:rPr>
        <w:t xml:space="preserve"> determination.  The</w:t>
      </w:r>
      <w:r>
        <w:rPr>
          <w:color w:val="auto"/>
        </w:rPr>
        <w:t xml:space="preserve"> regulatory requirements for </w:t>
      </w:r>
      <w:r w:rsidRPr="00CF5000">
        <w:rPr>
          <w:color w:val="auto"/>
        </w:rPr>
        <w:t xml:space="preserve">implementing </w:t>
      </w:r>
      <w:r w:rsidRPr="00AD6C13">
        <w:rPr>
          <w:color w:val="auto"/>
        </w:rPr>
        <w:t xml:space="preserve">Section </w:t>
      </w:r>
      <w:r w:rsidRPr="00CF5000">
        <w:rPr>
          <w:i/>
          <w:color w:val="auto"/>
        </w:rPr>
        <w:t>205(b)</w:t>
      </w:r>
      <w:r w:rsidRPr="00CF5000">
        <w:rPr>
          <w:color w:val="auto"/>
        </w:rPr>
        <w:t xml:space="preserve"> of the </w:t>
      </w:r>
      <w:r w:rsidRPr="00CF5000">
        <w:rPr>
          <w:i/>
          <w:color w:val="auto"/>
        </w:rPr>
        <w:t xml:space="preserve">Act </w:t>
      </w:r>
      <w:r w:rsidRPr="00CF5000">
        <w:rPr>
          <w:color w:val="auto"/>
        </w:rPr>
        <w:t xml:space="preserve">are set forth in </w:t>
      </w:r>
      <w:r>
        <w:rPr>
          <w:color w:val="auto"/>
        </w:rPr>
        <w:t xml:space="preserve">sections </w:t>
      </w:r>
      <w:r w:rsidRPr="00DD24A4">
        <w:rPr>
          <w:i/>
          <w:color w:val="auto"/>
        </w:rPr>
        <w:t xml:space="preserve">20 CFR </w:t>
      </w:r>
      <w:r w:rsidRPr="00CF5000">
        <w:rPr>
          <w:i/>
          <w:iCs/>
          <w:color w:val="auto"/>
        </w:rPr>
        <w:t xml:space="preserve">404.909 </w:t>
      </w:r>
      <w:r w:rsidRPr="00CF5000">
        <w:rPr>
          <w:color w:val="auto"/>
        </w:rPr>
        <w:t xml:space="preserve">and </w:t>
      </w:r>
      <w:r w:rsidRPr="00CF5000">
        <w:rPr>
          <w:i/>
          <w:iCs/>
          <w:color w:val="auto"/>
        </w:rPr>
        <w:t xml:space="preserve">416.1409 </w:t>
      </w:r>
      <w:r w:rsidRPr="00CF5000">
        <w:rPr>
          <w:color w:val="auto"/>
        </w:rPr>
        <w:t xml:space="preserve">of the </w:t>
      </w:r>
      <w:r w:rsidRPr="00CF5000">
        <w:rPr>
          <w:i/>
          <w:iCs/>
          <w:color w:val="auto"/>
        </w:rPr>
        <w:t>Code of Federal Regulations</w:t>
      </w:r>
      <w:r>
        <w:rPr>
          <w:i/>
          <w:iCs/>
          <w:color w:val="auto"/>
        </w:rPr>
        <w:t>.</w:t>
      </w:r>
    </w:p>
    <w:p w:rsidR="00DD24A4" w:rsidRDefault="00DD24A4" w:rsidP="00DD24A4">
      <w:pPr>
        <w:pStyle w:val="Default"/>
        <w:ind w:left="450"/>
        <w:rPr>
          <w:b/>
          <w:bCs/>
          <w:color w:val="auto"/>
          <w:u w:val="single"/>
        </w:rPr>
      </w:pPr>
    </w:p>
    <w:p w:rsidR="00DD24A4" w:rsidRPr="00DD24A4" w:rsidRDefault="00DD24A4" w:rsidP="00DD24A4">
      <w:pPr>
        <w:pStyle w:val="Default"/>
        <w:numPr>
          <w:ilvl w:val="0"/>
          <w:numId w:val="8"/>
        </w:numPr>
        <w:rPr>
          <w:b/>
          <w:bCs/>
          <w:color w:val="auto"/>
          <w:u w:val="single"/>
        </w:rPr>
      </w:pPr>
      <w:r w:rsidRPr="00CF5000">
        <w:rPr>
          <w:b/>
        </w:rPr>
        <w:t>Description of Collection</w:t>
      </w:r>
    </w:p>
    <w:p w:rsidR="00DD24A4" w:rsidRDefault="00DD24A4" w:rsidP="00DD24A4">
      <w:pPr>
        <w:pStyle w:val="Default"/>
        <w:ind w:left="450"/>
        <w:rPr>
          <w:b/>
        </w:rPr>
      </w:pPr>
      <w:r>
        <w:rPr>
          <w:rFonts w:eastAsia="Times New Roman"/>
        </w:rPr>
        <w:t xml:space="preserve">When SSA </w:t>
      </w:r>
      <w:r w:rsidRPr="007C2757">
        <w:rPr>
          <w:rFonts w:eastAsia="Times New Roman"/>
        </w:rPr>
        <w:t>determin</w:t>
      </w:r>
      <w:r>
        <w:rPr>
          <w:rFonts w:eastAsia="Times New Roman"/>
        </w:rPr>
        <w:t xml:space="preserve">es that claimants’ disabilities </w:t>
      </w:r>
      <w:r w:rsidRPr="007C2757">
        <w:rPr>
          <w:rFonts w:eastAsia="Times New Roman"/>
        </w:rPr>
        <w:t>medica</w:t>
      </w:r>
      <w:r>
        <w:rPr>
          <w:rFonts w:eastAsia="Times New Roman"/>
        </w:rPr>
        <w:t xml:space="preserve">lly improved; ceased; or are no </w:t>
      </w:r>
      <w:r w:rsidRPr="007C2757">
        <w:rPr>
          <w:rFonts w:eastAsia="Times New Roman"/>
        </w:rPr>
        <w:t>longe</w:t>
      </w:r>
      <w:r>
        <w:rPr>
          <w:rFonts w:eastAsia="Times New Roman"/>
        </w:rPr>
        <w:t xml:space="preserve">r sufficiently disabling, these </w:t>
      </w:r>
      <w:r w:rsidRPr="007C2757">
        <w:rPr>
          <w:rFonts w:eastAsia="Times New Roman"/>
        </w:rPr>
        <w:t>clai</w:t>
      </w:r>
      <w:r>
        <w:rPr>
          <w:rFonts w:eastAsia="Times New Roman"/>
        </w:rPr>
        <w:t xml:space="preserve">mants may ask SSA to reconsider </w:t>
      </w:r>
      <w:r w:rsidRPr="007C2757">
        <w:rPr>
          <w:rFonts w:eastAsia="Times New Roman"/>
        </w:rPr>
        <w:t xml:space="preserve">that determination. </w:t>
      </w:r>
      <w:r w:rsidR="00D66549">
        <w:rPr>
          <w:rFonts w:eastAsia="Times New Roman"/>
        </w:rPr>
        <w:t xml:space="preserve"> SSA uses Form SSA-789</w:t>
      </w:r>
      <w:r>
        <w:rPr>
          <w:rFonts w:eastAsia="Times New Roman"/>
        </w:rPr>
        <w:t xml:space="preserve"> to arrange for a hearing or </w:t>
      </w:r>
      <w:r w:rsidRPr="007C2757">
        <w:rPr>
          <w:rFonts w:eastAsia="Times New Roman"/>
        </w:rPr>
        <w:t xml:space="preserve">to </w:t>
      </w:r>
      <w:r>
        <w:rPr>
          <w:rFonts w:eastAsia="Times New Roman"/>
        </w:rPr>
        <w:t xml:space="preserve">prepare a decision based on the </w:t>
      </w:r>
      <w:r w:rsidRPr="007C2757">
        <w:rPr>
          <w:rFonts w:eastAsia="Times New Roman"/>
        </w:rPr>
        <w:t xml:space="preserve">evidence of record. </w:t>
      </w:r>
      <w:r>
        <w:rPr>
          <w:rFonts w:eastAsia="Times New Roman"/>
        </w:rPr>
        <w:t xml:space="preserve"> Specifically, </w:t>
      </w:r>
      <w:r w:rsidRPr="007C2757">
        <w:rPr>
          <w:rFonts w:eastAsia="Times New Roman"/>
        </w:rPr>
        <w:t>claiman</w:t>
      </w:r>
      <w:r>
        <w:rPr>
          <w:rFonts w:eastAsia="Times New Roman"/>
        </w:rPr>
        <w:t>ts or their r</w:t>
      </w:r>
      <w:r w:rsidR="00D66549">
        <w:rPr>
          <w:rFonts w:eastAsia="Times New Roman"/>
        </w:rPr>
        <w:t>epresentatives use Form SSA-789</w:t>
      </w:r>
      <w:r w:rsidRPr="007C2757">
        <w:rPr>
          <w:rFonts w:eastAsia="Times New Roman"/>
        </w:rPr>
        <w:t xml:space="preserve"> to:</w:t>
      </w:r>
      <w:r w:rsidR="00D66549">
        <w:rPr>
          <w:rFonts w:eastAsia="Times New Roman"/>
        </w:rPr>
        <w:t xml:space="preserve">  (1) </w:t>
      </w:r>
      <w:r>
        <w:rPr>
          <w:rFonts w:eastAsia="Times New Roman"/>
        </w:rPr>
        <w:t xml:space="preserve">ask SSA to </w:t>
      </w:r>
      <w:r w:rsidRPr="007C2757">
        <w:rPr>
          <w:rFonts w:eastAsia="Times New Roman"/>
        </w:rPr>
        <w:t>reconsider a determination; (2) indicate</w:t>
      </w:r>
      <w:r>
        <w:rPr>
          <w:rFonts w:eastAsia="Times New Roman"/>
        </w:rPr>
        <w:t xml:space="preserve"> </w:t>
      </w:r>
      <w:r w:rsidRPr="007C2757">
        <w:rPr>
          <w:rFonts w:eastAsia="Times New Roman"/>
        </w:rPr>
        <w:t>if they</w:t>
      </w:r>
      <w:r>
        <w:rPr>
          <w:rFonts w:eastAsia="Times New Roman"/>
        </w:rPr>
        <w:t xml:space="preserve"> wish to appear at a disability </w:t>
      </w:r>
      <w:r w:rsidRPr="007C2757">
        <w:rPr>
          <w:rFonts w:eastAsia="Times New Roman"/>
        </w:rPr>
        <w:t>hea</w:t>
      </w:r>
      <w:r>
        <w:rPr>
          <w:rFonts w:eastAsia="Times New Roman"/>
        </w:rPr>
        <w:t xml:space="preserve">ring; (3) submit any additional </w:t>
      </w:r>
      <w:r w:rsidRPr="007C2757">
        <w:rPr>
          <w:rFonts w:eastAsia="Times New Roman"/>
        </w:rPr>
        <w:t>informa</w:t>
      </w:r>
      <w:r>
        <w:rPr>
          <w:rFonts w:eastAsia="Times New Roman"/>
        </w:rPr>
        <w:t xml:space="preserve">tion or evidence for use in the </w:t>
      </w:r>
      <w:r w:rsidRPr="007C2757">
        <w:rPr>
          <w:rFonts w:eastAsia="Times New Roman"/>
        </w:rPr>
        <w:t>reco</w:t>
      </w:r>
      <w:r>
        <w:rPr>
          <w:rFonts w:eastAsia="Times New Roman"/>
        </w:rPr>
        <w:t xml:space="preserve">nsidered determination; and (4) </w:t>
      </w:r>
      <w:r w:rsidRPr="007C2757">
        <w:rPr>
          <w:rFonts w:eastAsia="Times New Roman"/>
        </w:rPr>
        <w:t>indicate i</w:t>
      </w:r>
      <w:r>
        <w:rPr>
          <w:rFonts w:eastAsia="Times New Roman"/>
        </w:rPr>
        <w:t xml:space="preserve">f they will need an interpreter </w:t>
      </w:r>
      <w:r w:rsidRPr="007C2757">
        <w:rPr>
          <w:rFonts w:eastAsia="Times New Roman"/>
        </w:rPr>
        <w:t xml:space="preserve">for the hearing. </w:t>
      </w:r>
      <w:r>
        <w:rPr>
          <w:rFonts w:eastAsia="Times New Roman"/>
        </w:rPr>
        <w:t xml:space="preserve"> The respondents are </w:t>
      </w:r>
      <w:r w:rsidRPr="007C2757">
        <w:rPr>
          <w:rFonts w:eastAsia="Times New Roman"/>
        </w:rPr>
        <w:t>disability claimants for So</w:t>
      </w:r>
      <w:r>
        <w:rPr>
          <w:rFonts w:eastAsia="Times New Roman"/>
        </w:rPr>
        <w:t xml:space="preserve">cial Security </w:t>
      </w:r>
      <w:r w:rsidRPr="007C2757">
        <w:rPr>
          <w:rFonts w:eastAsia="Times New Roman"/>
        </w:rPr>
        <w:t>be</w:t>
      </w:r>
      <w:r>
        <w:rPr>
          <w:rFonts w:eastAsia="Times New Roman"/>
        </w:rPr>
        <w:t xml:space="preserve">nefits or Supplemental Security Income (SSI) payments, or their </w:t>
      </w:r>
      <w:r w:rsidRPr="007C2757">
        <w:rPr>
          <w:rFonts w:eastAsia="Times New Roman"/>
        </w:rPr>
        <w:t>representatives who wish to appeal an u</w:t>
      </w:r>
      <w:r>
        <w:rPr>
          <w:rFonts w:eastAsia="Times New Roman"/>
        </w:rPr>
        <w:t xml:space="preserve">nfavorable disability cessation </w:t>
      </w:r>
      <w:r w:rsidRPr="007C2757">
        <w:rPr>
          <w:rFonts w:eastAsia="Times New Roman"/>
        </w:rPr>
        <w:t>determination</w:t>
      </w:r>
      <w:r>
        <w:rPr>
          <w:rFonts w:eastAsia="Times New Roman"/>
        </w:rPr>
        <w:t>.</w:t>
      </w:r>
    </w:p>
    <w:p w:rsidR="00DD24A4" w:rsidRDefault="00DD24A4" w:rsidP="00DD24A4">
      <w:pPr>
        <w:pStyle w:val="Default"/>
        <w:ind w:left="450"/>
        <w:rPr>
          <w:b/>
          <w:bCs/>
          <w:color w:val="auto"/>
          <w:u w:val="single"/>
        </w:rPr>
      </w:pPr>
    </w:p>
    <w:p w:rsidR="00DD24A4" w:rsidRPr="00DD24A4" w:rsidRDefault="00DD24A4" w:rsidP="00DD24A4">
      <w:pPr>
        <w:pStyle w:val="Default"/>
        <w:numPr>
          <w:ilvl w:val="0"/>
          <w:numId w:val="8"/>
        </w:numPr>
        <w:rPr>
          <w:b/>
          <w:bCs/>
          <w:color w:val="auto"/>
          <w:u w:val="single"/>
        </w:rPr>
      </w:pPr>
      <w:r w:rsidRPr="00CF5000">
        <w:rPr>
          <w:b/>
        </w:rPr>
        <w:t>Use of Information Technology to Collect the Information</w:t>
      </w:r>
    </w:p>
    <w:p w:rsidR="00DD24A4" w:rsidRDefault="00DD24A4" w:rsidP="00DD24A4">
      <w:pPr>
        <w:pStyle w:val="Default"/>
        <w:ind w:left="450"/>
        <w:rPr>
          <w:b/>
        </w:rPr>
      </w:pPr>
      <w:r w:rsidRPr="00CF5000">
        <w:rPr>
          <w:color w:val="auto"/>
        </w:rPr>
        <w:t xml:space="preserve">Form SSA-789 is available </w:t>
      </w:r>
      <w:r>
        <w:rPr>
          <w:color w:val="auto"/>
        </w:rPr>
        <w:t xml:space="preserve">electronically, and </w:t>
      </w:r>
      <w:r w:rsidRPr="00CF5000">
        <w:rPr>
          <w:color w:val="auto"/>
        </w:rPr>
        <w:t>through the Internet</w:t>
      </w:r>
      <w:r>
        <w:rPr>
          <w:color w:val="auto"/>
        </w:rPr>
        <w:t xml:space="preserve"> and Intranet</w:t>
      </w:r>
      <w:r w:rsidRPr="00CF5000">
        <w:rPr>
          <w:color w:val="auto"/>
        </w:rPr>
        <w:t xml:space="preserve"> in a PDF format, which individuals can download, print out, fill in, </w:t>
      </w:r>
      <w:r>
        <w:rPr>
          <w:color w:val="auto"/>
        </w:rPr>
        <w:t xml:space="preserve">and send to SSA for processing.  </w:t>
      </w:r>
      <w:r>
        <w:rPr>
          <w:rFonts w:eastAsia="Arial Unicode MS"/>
        </w:rPr>
        <w:t xml:space="preserve">SSA did not create an </w:t>
      </w:r>
      <w:r w:rsidRPr="008505D2">
        <w:rPr>
          <w:rFonts w:eastAsia="Arial Unicode MS"/>
        </w:rPr>
        <w:t>el</w:t>
      </w:r>
      <w:r>
        <w:rPr>
          <w:rFonts w:eastAsia="Arial Unicode MS"/>
        </w:rPr>
        <w:t>ect</w:t>
      </w:r>
      <w:r w:rsidR="00D66549">
        <w:rPr>
          <w:rFonts w:eastAsia="Arial Unicode MS"/>
        </w:rPr>
        <w:t>ronic version of Form SSA-789</w:t>
      </w:r>
      <w:r w:rsidRPr="008505D2">
        <w:rPr>
          <w:rFonts w:eastAsia="Arial Unicode MS"/>
        </w:rPr>
        <w:t xml:space="preserve"> under the agency’s Government Paperwork Eliminatio</w:t>
      </w:r>
      <w:r>
        <w:rPr>
          <w:rFonts w:eastAsia="Arial Unicode MS"/>
        </w:rPr>
        <w:t>n Act (GPEA) plan because only 30,0</w:t>
      </w:r>
      <w:r w:rsidRPr="008505D2">
        <w:rPr>
          <w:rFonts w:eastAsia="Arial Unicode MS"/>
        </w:rPr>
        <w:t>00 respondents complete the form</w:t>
      </w:r>
      <w:r>
        <w:rPr>
          <w:rFonts w:eastAsia="Arial Unicode MS"/>
        </w:rPr>
        <w:t xml:space="preserve"> annually</w:t>
      </w:r>
      <w:r w:rsidRPr="008505D2">
        <w:rPr>
          <w:rFonts w:eastAsia="Arial Unicode MS"/>
        </w:rPr>
        <w:t>.  This is less than the GPEA cut-off of 50,000</w:t>
      </w:r>
      <w:r>
        <w:rPr>
          <w:color w:val="auto"/>
        </w:rPr>
        <w:t>.</w:t>
      </w:r>
    </w:p>
    <w:p w:rsidR="00DD24A4" w:rsidRDefault="00DD24A4" w:rsidP="00DD24A4">
      <w:pPr>
        <w:pStyle w:val="Default"/>
        <w:ind w:left="450"/>
        <w:rPr>
          <w:b/>
          <w:bCs/>
          <w:color w:val="auto"/>
          <w:u w:val="single"/>
        </w:rPr>
      </w:pPr>
    </w:p>
    <w:p w:rsidR="00DD24A4" w:rsidRPr="00DD24A4" w:rsidRDefault="00DD24A4" w:rsidP="00DD24A4">
      <w:pPr>
        <w:pStyle w:val="Default"/>
        <w:numPr>
          <w:ilvl w:val="0"/>
          <w:numId w:val="8"/>
        </w:numPr>
        <w:rPr>
          <w:b/>
          <w:bCs/>
          <w:color w:val="auto"/>
          <w:u w:val="single"/>
        </w:rPr>
      </w:pPr>
      <w:r w:rsidRPr="00CF5000">
        <w:rPr>
          <w:b/>
        </w:rPr>
        <w:t>Why We Cannot Use Duplicate Information</w:t>
      </w:r>
    </w:p>
    <w:p w:rsidR="00DD24A4" w:rsidRDefault="00DD24A4" w:rsidP="00DD24A4">
      <w:pPr>
        <w:pStyle w:val="Default"/>
        <w:ind w:left="450"/>
        <w:rPr>
          <w:b/>
        </w:rPr>
      </w:pPr>
      <w:r w:rsidRPr="008505D2">
        <w:rPr>
          <w:rFonts w:eastAsia="Arial Unicode MS"/>
        </w:rPr>
        <w:t xml:space="preserve">The nature of the information </w:t>
      </w:r>
      <w:r>
        <w:rPr>
          <w:rFonts w:eastAsia="Arial Unicode MS"/>
        </w:rPr>
        <w:t>we collect</w:t>
      </w:r>
      <w:r w:rsidRPr="008505D2">
        <w:rPr>
          <w:rFonts w:eastAsia="Arial Unicode MS"/>
        </w:rPr>
        <w:t xml:space="preserve"> and the manner in which </w:t>
      </w:r>
      <w:r>
        <w:rPr>
          <w:rFonts w:eastAsia="Arial Unicode MS"/>
        </w:rPr>
        <w:t>we collect</w:t>
      </w:r>
      <w:r w:rsidRPr="008505D2">
        <w:rPr>
          <w:rFonts w:eastAsia="Arial Unicode MS"/>
        </w:rPr>
        <w:t xml:space="preserve"> it preclude duplication.  SSA does not use another collection instrument to obtain similar data</w:t>
      </w:r>
      <w:r>
        <w:rPr>
          <w:rFonts w:eastAsia="Arial Unicode MS"/>
        </w:rPr>
        <w:t>.</w:t>
      </w:r>
    </w:p>
    <w:p w:rsidR="00DD24A4" w:rsidRDefault="00DD24A4" w:rsidP="00DD24A4">
      <w:pPr>
        <w:pStyle w:val="Default"/>
        <w:ind w:left="450"/>
        <w:rPr>
          <w:b/>
          <w:bCs/>
          <w:color w:val="auto"/>
          <w:u w:val="single"/>
        </w:rPr>
      </w:pPr>
    </w:p>
    <w:p w:rsidR="00DD24A4" w:rsidRPr="00DD24A4" w:rsidRDefault="00DD24A4" w:rsidP="00DD24A4">
      <w:pPr>
        <w:pStyle w:val="Default"/>
        <w:numPr>
          <w:ilvl w:val="0"/>
          <w:numId w:val="8"/>
        </w:numPr>
        <w:rPr>
          <w:b/>
          <w:bCs/>
          <w:color w:val="auto"/>
          <w:u w:val="single"/>
        </w:rPr>
      </w:pPr>
      <w:r w:rsidRPr="00CF5000">
        <w:rPr>
          <w:b/>
        </w:rPr>
        <w:t>Minimizing Burden on Small Respondents</w:t>
      </w:r>
    </w:p>
    <w:p w:rsidR="00DD24A4" w:rsidRDefault="00DD24A4" w:rsidP="00DD24A4">
      <w:pPr>
        <w:pStyle w:val="Default"/>
        <w:ind w:left="450"/>
        <w:rPr>
          <w:b/>
        </w:rPr>
      </w:pPr>
      <w:r w:rsidRPr="00CF5000">
        <w:t>This collection does not significantly affect small businesses or other small entities</w:t>
      </w:r>
      <w:r>
        <w:t>.</w:t>
      </w:r>
    </w:p>
    <w:p w:rsidR="00DD24A4" w:rsidRDefault="00DD24A4" w:rsidP="00DD24A4">
      <w:pPr>
        <w:pStyle w:val="Default"/>
        <w:ind w:left="450"/>
        <w:rPr>
          <w:b/>
          <w:bCs/>
          <w:color w:val="auto"/>
          <w:u w:val="single"/>
        </w:rPr>
      </w:pPr>
    </w:p>
    <w:p w:rsidR="00DD24A4" w:rsidRPr="00DD24A4" w:rsidRDefault="00DD24A4" w:rsidP="00DD24A4">
      <w:pPr>
        <w:pStyle w:val="Default"/>
        <w:numPr>
          <w:ilvl w:val="0"/>
          <w:numId w:val="8"/>
        </w:numPr>
        <w:rPr>
          <w:b/>
          <w:bCs/>
          <w:color w:val="auto"/>
          <w:u w:val="single"/>
        </w:rPr>
      </w:pPr>
      <w:r w:rsidRPr="00CF5000">
        <w:rPr>
          <w:b/>
        </w:rPr>
        <w:t>Consequence of Not Collecting Information or Collecting it Less Frequently</w:t>
      </w:r>
    </w:p>
    <w:p w:rsidR="00DD24A4" w:rsidRDefault="00DD24A4" w:rsidP="00DD24A4">
      <w:pPr>
        <w:pStyle w:val="Default"/>
        <w:ind w:left="450"/>
        <w:rPr>
          <w:b/>
        </w:rPr>
      </w:pPr>
      <w:r w:rsidRPr="00CF5000">
        <w:rPr>
          <w:color w:val="auto"/>
        </w:rPr>
        <w:t xml:space="preserve">If we did not use </w:t>
      </w:r>
      <w:r>
        <w:rPr>
          <w:color w:val="auto"/>
        </w:rPr>
        <w:t>F</w:t>
      </w:r>
      <w:r w:rsidRPr="00CF5000">
        <w:rPr>
          <w:color w:val="auto"/>
        </w:rPr>
        <w:t>orm SSA-789</w:t>
      </w:r>
      <w:r>
        <w:rPr>
          <w:color w:val="auto"/>
        </w:rPr>
        <w:t>,</w:t>
      </w:r>
      <w:r w:rsidRPr="00CF5000">
        <w:rPr>
          <w:color w:val="auto"/>
        </w:rPr>
        <w:t xml:space="preserve"> we would be depriving claimants of </w:t>
      </w:r>
      <w:r>
        <w:rPr>
          <w:color w:val="auto"/>
        </w:rPr>
        <w:t xml:space="preserve">their </w:t>
      </w:r>
      <w:r w:rsidRPr="00CF5000">
        <w:rPr>
          <w:color w:val="auto"/>
        </w:rPr>
        <w:t xml:space="preserve">due process right to </w:t>
      </w:r>
      <w:r>
        <w:rPr>
          <w:color w:val="auto"/>
        </w:rPr>
        <w:t>appeal</w:t>
      </w:r>
      <w:r w:rsidRPr="00CF5000">
        <w:rPr>
          <w:color w:val="auto"/>
        </w:rPr>
        <w:t xml:space="preserve"> </w:t>
      </w:r>
      <w:r>
        <w:rPr>
          <w:color w:val="auto"/>
        </w:rPr>
        <w:t xml:space="preserve">a determination to cease Social Security disability benefits. </w:t>
      </w:r>
      <w:r w:rsidR="00D66549">
        <w:rPr>
          <w:color w:val="auto"/>
        </w:rPr>
        <w:t xml:space="preserve"> </w:t>
      </w:r>
      <w:r w:rsidRPr="00CF5000">
        <w:rPr>
          <w:color w:val="auto"/>
        </w:rPr>
        <w:t>The</w:t>
      </w:r>
      <w:r>
        <w:rPr>
          <w:color w:val="auto"/>
        </w:rPr>
        <w:t xml:space="preserve"> information </w:t>
      </w:r>
      <w:r w:rsidRPr="00CF5000">
        <w:rPr>
          <w:color w:val="auto"/>
        </w:rPr>
        <w:t xml:space="preserve">we collect </w:t>
      </w:r>
      <w:r>
        <w:rPr>
          <w:color w:val="auto"/>
        </w:rPr>
        <w:t xml:space="preserve">using Form SSA-789 </w:t>
      </w:r>
      <w:r w:rsidRPr="00CF5000">
        <w:rPr>
          <w:color w:val="auto"/>
        </w:rPr>
        <w:t>also provides the claiman</w:t>
      </w:r>
      <w:r>
        <w:rPr>
          <w:color w:val="auto"/>
        </w:rPr>
        <w:t xml:space="preserve">t with the opportunity to </w:t>
      </w:r>
      <w:r w:rsidRPr="00CF5000">
        <w:rPr>
          <w:color w:val="auto"/>
        </w:rPr>
        <w:t>state the need for an interpreter</w:t>
      </w:r>
      <w:r>
        <w:rPr>
          <w:color w:val="auto"/>
        </w:rPr>
        <w:t xml:space="preserve"> at an administrative hearing with a Disability Hearing Officer</w:t>
      </w:r>
      <w:r w:rsidRPr="00CF5000">
        <w:rPr>
          <w:color w:val="auto"/>
        </w:rPr>
        <w:t xml:space="preserve">.  Because we </w:t>
      </w:r>
      <w:r w:rsidRPr="00CF5000">
        <w:rPr>
          <w:color w:val="auto"/>
        </w:rPr>
        <w:lastRenderedPageBreak/>
        <w:t>collect the information o</w:t>
      </w:r>
      <w:r>
        <w:rPr>
          <w:color w:val="auto"/>
        </w:rPr>
        <w:t>n an as needed basis, we cannot</w:t>
      </w:r>
      <w:r w:rsidRPr="00CF5000">
        <w:rPr>
          <w:color w:val="auto"/>
        </w:rPr>
        <w:t xml:space="preserve"> </w:t>
      </w:r>
      <w:r>
        <w:rPr>
          <w:color w:val="auto"/>
        </w:rPr>
        <w:t xml:space="preserve">collect it </w:t>
      </w:r>
      <w:r w:rsidRPr="00CF5000">
        <w:rPr>
          <w:color w:val="auto"/>
        </w:rPr>
        <w:t>less</w:t>
      </w:r>
      <w:r>
        <w:rPr>
          <w:color w:val="auto"/>
        </w:rPr>
        <w:t xml:space="preserve"> </w:t>
      </w:r>
      <w:r w:rsidRPr="00CF5000">
        <w:rPr>
          <w:color w:val="auto"/>
        </w:rPr>
        <w:t>frequently</w:t>
      </w:r>
      <w:r w:rsidR="00D66549">
        <w:rPr>
          <w:color w:val="auto"/>
        </w:rPr>
        <w:t xml:space="preserve">.  </w:t>
      </w:r>
      <w:r w:rsidR="00D66549" w:rsidRPr="008505D2">
        <w:rPr>
          <w:rFonts w:eastAsia="Arial Unicode MS"/>
        </w:rPr>
        <w:t>There are no technical</w:t>
      </w:r>
      <w:r w:rsidR="00D66549">
        <w:rPr>
          <w:rFonts w:eastAsia="Arial Unicode MS"/>
        </w:rPr>
        <w:t xml:space="preserve"> or legal obstacles to</w:t>
      </w:r>
      <w:r w:rsidR="00D66549" w:rsidRPr="008505D2">
        <w:rPr>
          <w:rFonts w:eastAsia="Arial Unicode MS"/>
        </w:rPr>
        <w:t xml:space="preserve"> burden reduction</w:t>
      </w:r>
      <w:r w:rsidR="00D66549">
        <w:rPr>
          <w:rFonts w:eastAsia="Arial Unicode MS"/>
        </w:rPr>
        <w:t>.</w:t>
      </w:r>
    </w:p>
    <w:p w:rsidR="00DD24A4" w:rsidRDefault="00DD24A4" w:rsidP="00DD24A4">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Special Circumstances</w:t>
      </w:r>
    </w:p>
    <w:p w:rsidR="00D66549" w:rsidRDefault="00D66549" w:rsidP="00D66549">
      <w:pPr>
        <w:pStyle w:val="Default"/>
        <w:ind w:left="450"/>
        <w:rPr>
          <w:b/>
        </w:rPr>
      </w:pPr>
      <w:r w:rsidRPr="008505D2">
        <w:rPr>
          <w:rFonts w:eastAsia="Arial Unicode MS"/>
        </w:rPr>
        <w:t xml:space="preserve">There are no special circumstances that would cause SSA to conduct this information collection in a manner inconsistent with </w:t>
      </w:r>
      <w:r w:rsidRPr="001E08CB">
        <w:rPr>
          <w:rFonts w:eastAsia="Arial Unicode MS"/>
          <w:i/>
        </w:rPr>
        <w:t>5 CFR 1320.5</w:t>
      </w:r>
      <w:r>
        <w:rPr>
          <w:rFonts w:eastAsia="Arial Unicode MS"/>
        </w:rP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Solicitation of Public Comment and Other Consultations with the Public</w:t>
      </w:r>
    </w:p>
    <w:p w:rsidR="00D66549" w:rsidRDefault="00D66549" w:rsidP="00D66549">
      <w:pPr>
        <w:pStyle w:val="Default"/>
        <w:ind w:left="450"/>
        <w:rPr>
          <w:b/>
        </w:rPr>
      </w:pPr>
      <w:r w:rsidRPr="00AF3320">
        <w:t xml:space="preserve">The 60-day advance Federal Register Notice published on </w:t>
      </w:r>
      <w:r>
        <w:t>February 1, 2018</w:t>
      </w:r>
      <w:r w:rsidRPr="00AF3320">
        <w:t>, at</w:t>
      </w:r>
      <w:r w:rsidRPr="00AF3320">
        <w:rPr>
          <w:b/>
        </w:rPr>
        <w:t xml:space="preserve"> </w:t>
      </w:r>
      <w:r>
        <w:t>83</w:t>
      </w:r>
      <w:r w:rsidRPr="00AF3320">
        <w:t xml:space="preserve"> FR </w:t>
      </w:r>
      <w:r>
        <w:rPr>
          <w:bCs/>
        </w:rPr>
        <w:t>4722</w:t>
      </w:r>
      <w:r w:rsidRPr="00AF3320">
        <w:t xml:space="preserve">, and we received no public comments.  The 30-day FRN published on </w:t>
      </w:r>
      <w:r w:rsidR="00116588">
        <w:t>May 9, 2018 at 83 FR 21328</w:t>
      </w:r>
      <w:r w:rsidRPr="004A708C">
        <w:t>.</w:t>
      </w:r>
      <w:r w:rsidRPr="00AF3320">
        <w:t xml:space="preserve">  If we receive any comments in response to this Notice, we will forward them to OMB</w:t>
      </w:r>
      <w: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Payment or Gifts to Respondents</w:t>
      </w:r>
    </w:p>
    <w:p w:rsidR="00D66549" w:rsidRDefault="00D66549" w:rsidP="00D66549">
      <w:pPr>
        <w:pStyle w:val="Default"/>
        <w:ind w:left="450"/>
        <w:rPr>
          <w:b/>
        </w:rPr>
      </w:pPr>
      <w:r w:rsidRPr="00CF5000">
        <w:t>SSA does not provide payments or gifts to the respondents</w:t>
      </w:r>
      <w: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Assurances of Confidentiality</w:t>
      </w:r>
    </w:p>
    <w:p w:rsidR="00D66549" w:rsidRDefault="00D66549" w:rsidP="00D66549">
      <w:pPr>
        <w:pStyle w:val="Default"/>
        <w:ind w:left="450"/>
        <w:rPr>
          <w:b/>
        </w:rPr>
      </w:pPr>
      <w:r w:rsidRPr="00203DFF">
        <w:t>SSA protects and holds confidential the information it</w:t>
      </w:r>
      <w:r>
        <w:t xml:space="preserve"> collects in accordance with </w:t>
      </w:r>
      <w:r w:rsidRPr="00AF3320">
        <w:rPr>
          <w:i/>
        </w:rPr>
        <w:t>42 U.S.C. 1306, 20 CFR 401</w:t>
      </w:r>
      <w:r w:rsidRPr="00203DFF">
        <w:t xml:space="preserve"> and </w:t>
      </w:r>
      <w:r w:rsidRPr="00AF3320">
        <w:rPr>
          <w:i/>
        </w:rPr>
        <w:t>402, 5 U.S.C. 552</w:t>
      </w:r>
      <w:r w:rsidRPr="00203DFF">
        <w:t xml:space="preserve"> </w:t>
      </w:r>
      <w:r>
        <w:t xml:space="preserve">(Freedom of Information Act), </w:t>
      </w:r>
      <w:r w:rsidRPr="00AF3320">
        <w:rPr>
          <w:i/>
        </w:rPr>
        <w:t>5 U.S.C. 552a</w:t>
      </w:r>
      <w:r w:rsidRPr="00203DFF">
        <w:t xml:space="preserve"> (Privacy Act of 1974), and OMB Circular No. A-13</w:t>
      </w:r>
      <w:r w:rsidRPr="00CD4E9C">
        <w:t>0</w:t>
      </w:r>
      <w: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Justification for Sensitive Questions</w:t>
      </w:r>
    </w:p>
    <w:p w:rsidR="00D66549" w:rsidRDefault="00D66549" w:rsidP="00D66549">
      <w:pPr>
        <w:pStyle w:val="Default"/>
        <w:ind w:left="450"/>
        <w:rPr>
          <w:b/>
        </w:rPr>
      </w:pPr>
      <w:r w:rsidRPr="00CF5000">
        <w:rPr>
          <w:color w:val="auto"/>
        </w:rPr>
        <w:t>The information collection does not contain any questions of a sensitive nature</w:t>
      </w:r>
      <w:r>
        <w:rPr>
          <w:color w:val="auto"/>
        </w:rP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Estimates of Public Reporting Burden</w:t>
      </w:r>
    </w:p>
    <w:p w:rsidR="00D66549" w:rsidRDefault="00D66549" w:rsidP="00D66549">
      <w:pPr>
        <w:pStyle w:val="Default"/>
        <w:ind w:left="450"/>
      </w:pPr>
      <w:r>
        <w:t>Approximately 30,000 respondents take 13</w:t>
      </w:r>
      <w:r w:rsidRPr="00A25F38">
        <w:t xml:space="preserve"> minu</w:t>
      </w:r>
      <w:r>
        <w:t>tes each to complete Form SSA</w:t>
      </w:r>
      <w:r>
        <w:noBreakHyphen/>
        <w:t>789</w:t>
      </w:r>
      <w:r w:rsidRPr="00A25F38">
        <w:t xml:space="preserve">. </w:t>
      </w:r>
      <w:r>
        <w:t xml:space="preserve"> </w:t>
      </w:r>
      <w:r w:rsidRPr="00A25F38">
        <w:t xml:space="preserve">Accordingly, the burden is </w:t>
      </w:r>
      <w:r>
        <w:t>6,500</w:t>
      </w:r>
      <w:r w:rsidRPr="00A25F38">
        <w:t xml:space="preserve"> hours</w:t>
      </w:r>
      <w:r>
        <w:t>:</w:t>
      </w:r>
    </w:p>
    <w:p w:rsidR="00D66549" w:rsidRDefault="00D66549" w:rsidP="00D66549">
      <w:pPr>
        <w:pStyle w:val="Default"/>
        <w:ind w:left="450"/>
      </w:pPr>
    </w:p>
    <w:tbl>
      <w:tblPr>
        <w:tblStyle w:val="TableGrid"/>
        <w:tblW w:w="0" w:type="auto"/>
        <w:tblInd w:w="450" w:type="dxa"/>
        <w:tblLook w:val="04A0" w:firstRow="1" w:lastRow="0" w:firstColumn="1" w:lastColumn="0" w:noHBand="0" w:noVBand="1"/>
      </w:tblPr>
      <w:tblGrid>
        <w:gridCol w:w="1816"/>
        <w:gridCol w:w="1816"/>
        <w:gridCol w:w="1816"/>
        <w:gridCol w:w="1816"/>
        <w:gridCol w:w="1816"/>
      </w:tblGrid>
      <w:tr w:rsidR="00D66549" w:rsidTr="00D66549">
        <w:tc>
          <w:tcPr>
            <w:tcW w:w="1816" w:type="dxa"/>
          </w:tcPr>
          <w:p w:rsidR="00D66549" w:rsidRPr="00D66549" w:rsidRDefault="00D66549" w:rsidP="00D66549">
            <w:pPr>
              <w:snapToGrid w:val="0"/>
              <w:rPr>
                <w:rFonts w:ascii="Times New Roman" w:eastAsia="Arial Unicode MS" w:hAnsi="Times New Roman"/>
                <w:b/>
                <w:bCs/>
                <w:sz w:val="24"/>
                <w:szCs w:val="24"/>
              </w:rPr>
            </w:pPr>
            <w:r w:rsidRPr="00D66549">
              <w:rPr>
                <w:rFonts w:ascii="Times New Roman" w:eastAsia="Arial Unicode MS" w:hAnsi="Times New Roman"/>
                <w:b/>
                <w:bCs/>
                <w:sz w:val="24"/>
                <w:szCs w:val="24"/>
              </w:rPr>
              <w:t>Modality of Completion</w:t>
            </w:r>
          </w:p>
        </w:tc>
        <w:tc>
          <w:tcPr>
            <w:tcW w:w="1816" w:type="dxa"/>
          </w:tcPr>
          <w:p w:rsidR="00D66549" w:rsidRPr="00D66549" w:rsidRDefault="00D66549" w:rsidP="00D66549">
            <w:pPr>
              <w:snapToGrid w:val="0"/>
              <w:rPr>
                <w:rFonts w:ascii="Times New Roman" w:eastAsia="Arial Unicode MS" w:hAnsi="Times New Roman"/>
                <w:b/>
                <w:bCs/>
                <w:sz w:val="24"/>
                <w:szCs w:val="24"/>
              </w:rPr>
            </w:pPr>
            <w:r w:rsidRPr="00D66549">
              <w:rPr>
                <w:rFonts w:ascii="Times New Roman" w:eastAsia="Arial Unicode MS" w:hAnsi="Times New Roman"/>
                <w:b/>
                <w:bCs/>
                <w:sz w:val="24"/>
                <w:szCs w:val="24"/>
              </w:rPr>
              <w:t>Number of Respondents</w:t>
            </w:r>
          </w:p>
        </w:tc>
        <w:tc>
          <w:tcPr>
            <w:tcW w:w="1816" w:type="dxa"/>
          </w:tcPr>
          <w:p w:rsidR="00D66549" w:rsidRPr="00D66549" w:rsidRDefault="00D66549" w:rsidP="00D66549">
            <w:pPr>
              <w:snapToGrid w:val="0"/>
              <w:rPr>
                <w:rFonts w:ascii="Times New Roman" w:eastAsia="Arial Unicode MS" w:hAnsi="Times New Roman"/>
                <w:b/>
                <w:bCs/>
                <w:sz w:val="24"/>
                <w:szCs w:val="24"/>
              </w:rPr>
            </w:pPr>
            <w:r w:rsidRPr="00D66549">
              <w:rPr>
                <w:rFonts w:ascii="Times New Roman" w:eastAsia="Arial Unicode MS" w:hAnsi="Times New Roman"/>
                <w:b/>
                <w:bCs/>
                <w:sz w:val="24"/>
                <w:szCs w:val="24"/>
              </w:rPr>
              <w:t>Frequency of Response</w:t>
            </w:r>
          </w:p>
        </w:tc>
        <w:tc>
          <w:tcPr>
            <w:tcW w:w="1816" w:type="dxa"/>
          </w:tcPr>
          <w:p w:rsidR="00D66549" w:rsidRPr="00D66549" w:rsidRDefault="00D66549" w:rsidP="00D66549">
            <w:pPr>
              <w:snapToGrid w:val="0"/>
              <w:rPr>
                <w:rFonts w:ascii="Times New Roman" w:eastAsia="Arial Unicode MS" w:hAnsi="Times New Roman"/>
                <w:b/>
                <w:bCs/>
                <w:sz w:val="24"/>
                <w:szCs w:val="24"/>
              </w:rPr>
            </w:pPr>
            <w:r w:rsidRPr="00D66549">
              <w:rPr>
                <w:rFonts w:ascii="Times New Roman" w:eastAsia="Arial Unicode MS" w:hAnsi="Times New Roman"/>
                <w:b/>
                <w:bCs/>
                <w:sz w:val="24"/>
                <w:szCs w:val="24"/>
              </w:rPr>
              <w:t>Average Burden Per Response (minutes)</w:t>
            </w:r>
          </w:p>
        </w:tc>
        <w:tc>
          <w:tcPr>
            <w:tcW w:w="1816" w:type="dxa"/>
          </w:tcPr>
          <w:p w:rsidR="00D66549" w:rsidRPr="00D66549" w:rsidRDefault="00D66549" w:rsidP="00D66549">
            <w:pPr>
              <w:snapToGrid w:val="0"/>
              <w:rPr>
                <w:rFonts w:ascii="Times New Roman" w:eastAsia="Arial Unicode MS" w:hAnsi="Times New Roman"/>
                <w:b/>
                <w:bCs/>
                <w:sz w:val="24"/>
                <w:szCs w:val="24"/>
              </w:rPr>
            </w:pPr>
            <w:r w:rsidRPr="00D66549">
              <w:rPr>
                <w:rFonts w:ascii="Times New Roman" w:eastAsia="Arial Unicode MS" w:hAnsi="Times New Roman"/>
                <w:b/>
                <w:bCs/>
                <w:sz w:val="24"/>
                <w:szCs w:val="24"/>
              </w:rPr>
              <w:t>Total Estimated Annual Burden (hours)</w:t>
            </w:r>
          </w:p>
        </w:tc>
      </w:tr>
      <w:tr w:rsidR="00D66549" w:rsidTr="00D66549">
        <w:tc>
          <w:tcPr>
            <w:tcW w:w="1816" w:type="dxa"/>
          </w:tcPr>
          <w:p w:rsidR="00D66549" w:rsidRDefault="00D66549" w:rsidP="00D66549">
            <w:pPr>
              <w:pStyle w:val="Default"/>
            </w:pPr>
            <w:r>
              <w:t>SSA-789</w:t>
            </w:r>
          </w:p>
        </w:tc>
        <w:tc>
          <w:tcPr>
            <w:tcW w:w="1816" w:type="dxa"/>
          </w:tcPr>
          <w:p w:rsidR="00D66549" w:rsidRDefault="00D66549" w:rsidP="00D66549">
            <w:pPr>
              <w:pStyle w:val="Default"/>
              <w:jc w:val="right"/>
            </w:pPr>
            <w:r>
              <w:t>30,000</w:t>
            </w:r>
          </w:p>
        </w:tc>
        <w:tc>
          <w:tcPr>
            <w:tcW w:w="1816" w:type="dxa"/>
          </w:tcPr>
          <w:p w:rsidR="00D66549" w:rsidRDefault="00D66549" w:rsidP="00D66549">
            <w:pPr>
              <w:pStyle w:val="Default"/>
              <w:jc w:val="right"/>
            </w:pPr>
            <w:r>
              <w:t>1</w:t>
            </w:r>
          </w:p>
        </w:tc>
        <w:tc>
          <w:tcPr>
            <w:tcW w:w="1816" w:type="dxa"/>
          </w:tcPr>
          <w:p w:rsidR="00D66549" w:rsidRDefault="00D66549" w:rsidP="00D66549">
            <w:pPr>
              <w:pStyle w:val="Default"/>
              <w:jc w:val="right"/>
            </w:pPr>
            <w:r>
              <w:t>13</w:t>
            </w:r>
          </w:p>
        </w:tc>
        <w:tc>
          <w:tcPr>
            <w:tcW w:w="1816" w:type="dxa"/>
          </w:tcPr>
          <w:p w:rsidR="00D66549" w:rsidRDefault="00D66549" w:rsidP="00D66549">
            <w:pPr>
              <w:pStyle w:val="Default"/>
              <w:jc w:val="right"/>
            </w:pPr>
            <w:r>
              <w:t>6,500</w:t>
            </w:r>
          </w:p>
        </w:tc>
      </w:tr>
    </w:tbl>
    <w:p w:rsidR="00D66549" w:rsidRDefault="00D66549" w:rsidP="00D66549">
      <w:pPr>
        <w:pStyle w:val="Default"/>
        <w:ind w:left="450"/>
      </w:pPr>
    </w:p>
    <w:p w:rsidR="00D66549" w:rsidRDefault="00D66549" w:rsidP="00D66549">
      <w:pPr>
        <w:pStyle w:val="Default"/>
        <w:ind w:left="450"/>
        <w:rPr>
          <w:b/>
        </w:rPr>
      </w:pPr>
      <w:r w:rsidRPr="008505D2">
        <w:rPr>
          <w:rFonts w:eastAsia="Arial Unicode MS"/>
        </w:rPr>
        <w:t xml:space="preserve">The total burden for this ICR is </w:t>
      </w:r>
      <w:r>
        <w:rPr>
          <w:rFonts w:eastAsia="Arial Unicode MS"/>
        </w:rPr>
        <w:t>6,500</w:t>
      </w:r>
      <w:r w:rsidRPr="008505D2">
        <w:rPr>
          <w:rFonts w:eastAsia="Arial Unicode MS"/>
        </w:rPr>
        <w:t xml:space="preserve"> hours.  </w:t>
      </w:r>
      <w:r>
        <w:t>W</w:t>
      </w:r>
      <w:r w:rsidRPr="000239D0">
        <w:t>e based this figure on current management information data, and it represents burden hours.  We did not calculate a separate cost burden</w:t>
      </w:r>
      <w: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Annual</w:t>
      </w:r>
      <w:r w:rsidRPr="00CF5000">
        <w:t xml:space="preserve"> </w:t>
      </w:r>
      <w:r w:rsidRPr="00CF5000">
        <w:rPr>
          <w:b/>
        </w:rPr>
        <w:t>Cost to the Respondents (Other)</w:t>
      </w:r>
    </w:p>
    <w:p w:rsidR="00D66549" w:rsidRDefault="00D66549" w:rsidP="00D66549">
      <w:pPr>
        <w:pStyle w:val="Default"/>
        <w:ind w:left="450"/>
        <w:rPr>
          <w:b/>
        </w:rPr>
      </w:pPr>
      <w:r w:rsidRPr="00CF5000">
        <w:rPr>
          <w:color w:val="auto"/>
        </w:rPr>
        <w:t>This collection does not impose a known cost burden on the respondents</w:t>
      </w:r>
      <w:r>
        <w:rPr>
          <w:color w:val="auto"/>
        </w:rP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 xml:space="preserve">Annual Cost </w:t>
      </w:r>
      <w:r>
        <w:rPr>
          <w:b/>
        </w:rPr>
        <w:t>t</w:t>
      </w:r>
      <w:r w:rsidRPr="00CF5000">
        <w:rPr>
          <w:b/>
        </w:rPr>
        <w:t>o Federal Government</w:t>
      </w:r>
    </w:p>
    <w:p w:rsidR="00D66549" w:rsidRPr="00D66549" w:rsidRDefault="00D66549" w:rsidP="00D66549">
      <w:pPr>
        <w:pStyle w:val="Default"/>
        <w:tabs>
          <w:tab w:val="left" w:pos="1100"/>
        </w:tabs>
        <w:ind w:left="450"/>
        <w:rPr>
          <w:b/>
        </w:rPr>
      </w:pPr>
      <w:r>
        <w:t>The annual cost to the Federal government for the form is approximately $</w:t>
      </w:r>
      <w:r>
        <w:rPr>
          <w:color w:val="auto"/>
        </w:rPr>
        <w:t>9,086.</w:t>
      </w:r>
      <w:r>
        <w:t xml:space="preserve">  </w:t>
      </w:r>
      <w:r w:rsidRPr="00071D95">
        <w:t xml:space="preserve">This estimate accounts for costs from the following areas:  (1) designing, printing, and distributing the form; </w:t>
      </w:r>
      <w:r>
        <w:t xml:space="preserve">and </w:t>
      </w:r>
      <w:r w:rsidRPr="00071D95">
        <w:t>(2) SSA employee (e.g., field office, 800 number, DDS staff) information</w:t>
      </w:r>
      <w:r>
        <w:t xml:space="preserve"> collection and processing time.</w:t>
      </w:r>
      <w:r>
        <w:rPr>
          <w:b/>
        </w:rPr>
        <w:tab/>
      </w:r>
    </w:p>
    <w:p w:rsidR="00DD24A4" w:rsidRPr="00D66549" w:rsidRDefault="00D66549" w:rsidP="00DD24A4">
      <w:pPr>
        <w:pStyle w:val="Default"/>
        <w:numPr>
          <w:ilvl w:val="0"/>
          <w:numId w:val="8"/>
        </w:numPr>
        <w:rPr>
          <w:b/>
          <w:bCs/>
          <w:color w:val="auto"/>
          <w:u w:val="single"/>
        </w:rPr>
      </w:pPr>
      <w:r w:rsidRPr="00CF5000">
        <w:rPr>
          <w:b/>
        </w:rPr>
        <w:lastRenderedPageBreak/>
        <w:t>Program Changes or Adjustments to the Information Collection Request</w:t>
      </w:r>
    </w:p>
    <w:p w:rsidR="00D66549" w:rsidRDefault="00D66549" w:rsidP="00D66549">
      <w:pPr>
        <w:pStyle w:val="Default"/>
        <w:ind w:left="450"/>
        <w:rPr>
          <w:b/>
        </w:rPr>
      </w:pPr>
      <w:r w:rsidRPr="00CF5000">
        <w:t>There are no changes to the public reporting burden</w:t>
      </w:r>
      <w: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Plans for Publication Information Collection Results</w:t>
      </w:r>
    </w:p>
    <w:p w:rsidR="00D66549" w:rsidRDefault="00D66549" w:rsidP="00D66549">
      <w:pPr>
        <w:pStyle w:val="Default"/>
        <w:ind w:left="450"/>
        <w:rPr>
          <w:b/>
        </w:rPr>
      </w:pPr>
      <w:r w:rsidRPr="00CF5000">
        <w:t>SSA will not publish the results of the information</w:t>
      </w:r>
      <w:r>
        <w:t xml:space="preserve"> </w:t>
      </w:r>
      <w:r w:rsidRPr="00CF5000">
        <w:t>collection</w:t>
      </w:r>
      <w: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CF5000">
        <w:rPr>
          <w:b/>
        </w:rPr>
        <w:t>Displaying the OMB Approval Expiration Date</w:t>
      </w:r>
    </w:p>
    <w:p w:rsidR="00D66549" w:rsidRDefault="00D66549" w:rsidP="00D66549">
      <w:pPr>
        <w:pStyle w:val="Default"/>
        <w:ind w:left="450"/>
        <w:rPr>
          <w:b/>
        </w:rPr>
      </w:pPr>
      <w:r w:rsidRPr="00A25F38">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t>.</w:t>
      </w:r>
    </w:p>
    <w:p w:rsidR="00D66549" w:rsidRDefault="00D66549" w:rsidP="00D66549">
      <w:pPr>
        <w:pStyle w:val="Default"/>
        <w:ind w:left="450"/>
        <w:rPr>
          <w:b/>
          <w:bCs/>
          <w:color w:val="auto"/>
          <w:u w:val="single"/>
        </w:rPr>
      </w:pPr>
    </w:p>
    <w:p w:rsidR="00DD24A4" w:rsidRPr="00D66549" w:rsidRDefault="00D66549" w:rsidP="00DD24A4">
      <w:pPr>
        <w:pStyle w:val="Default"/>
        <w:numPr>
          <w:ilvl w:val="0"/>
          <w:numId w:val="8"/>
        </w:numPr>
        <w:rPr>
          <w:b/>
          <w:bCs/>
          <w:color w:val="auto"/>
          <w:u w:val="single"/>
        </w:rPr>
      </w:pPr>
      <w:r w:rsidRPr="008505D2">
        <w:rPr>
          <w:rFonts w:eastAsia="Arial Unicode MS"/>
          <w:b/>
        </w:rPr>
        <w:t>Exceptions to Certification Statement</w:t>
      </w:r>
    </w:p>
    <w:p w:rsidR="00D66549" w:rsidRDefault="00D66549" w:rsidP="00D66549">
      <w:pPr>
        <w:pStyle w:val="Default"/>
        <w:ind w:left="450"/>
        <w:rPr>
          <w:rFonts w:eastAsia="Arial Unicode MS"/>
          <w:b/>
        </w:rPr>
      </w:pPr>
      <w:r w:rsidRPr="007D344A">
        <w:t xml:space="preserve">SSA is not requesting an exception to the certification requirements at </w:t>
      </w:r>
      <w:r w:rsidRPr="007D344A">
        <w:rPr>
          <w:i/>
        </w:rPr>
        <w:t xml:space="preserve">5 CFR 1320.9 </w:t>
      </w:r>
      <w:r w:rsidRPr="007D344A">
        <w:t>and related provisions at</w:t>
      </w:r>
      <w:r w:rsidRPr="007D344A">
        <w:rPr>
          <w:i/>
        </w:rPr>
        <w:t xml:space="preserve"> 5 CFR 1320.8(b)(3)</w:t>
      </w:r>
      <w:r>
        <w:rPr>
          <w:i/>
        </w:rPr>
        <w:t>.</w:t>
      </w:r>
    </w:p>
    <w:p w:rsidR="00DD24A4" w:rsidRDefault="00DD24A4" w:rsidP="00D66549">
      <w:pPr>
        <w:pStyle w:val="Default"/>
        <w:rPr>
          <w:b/>
          <w:bCs/>
          <w:color w:val="auto"/>
          <w:u w:val="single"/>
        </w:rPr>
      </w:pPr>
    </w:p>
    <w:p w:rsidR="00D66549" w:rsidRDefault="00663337" w:rsidP="00D66549">
      <w:pPr>
        <w:pStyle w:val="Default"/>
        <w:numPr>
          <w:ilvl w:val="0"/>
          <w:numId w:val="7"/>
        </w:numPr>
        <w:rPr>
          <w:b/>
          <w:bCs/>
          <w:color w:val="auto"/>
          <w:u w:val="single"/>
        </w:rPr>
      </w:pPr>
      <w:r w:rsidRPr="00D66549">
        <w:rPr>
          <w:b/>
          <w:bCs/>
          <w:color w:val="auto"/>
          <w:u w:val="single"/>
        </w:rPr>
        <w:t xml:space="preserve">Collections of Information Employing Statistical Methods </w:t>
      </w:r>
    </w:p>
    <w:p w:rsidR="00D66549" w:rsidRPr="00D66549" w:rsidRDefault="00663337" w:rsidP="00D66549">
      <w:pPr>
        <w:pStyle w:val="Default"/>
        <w:ind w:left="90"/>
        <w:rPr>
          <w:b/>
          <w:bCs/>
          <w:color w:val="auto"/>
          <w:u w:val="single"/>
        </w:rPr>
      </w:pPr>
      <w:r w:rsidRPr="00D66549">
        <w:tab/>
      </w:r>
    </w:p>
    <w:p w:rsidR="000E4A74" w:rsidRPr="00CF5000" w:rsidRDefault="00663337" w:rsidP="00D66549">
      <w:pPr>
        <w:tabs>
          <w:tab w:val="left" w:pos="990"/>
        </w:tabs>
        <w:ind w:left="450"/>
        <w:rPr>
          <w:rFonts w:ascii="Times New Roman" w:hAnsi="Times New Roman"/>
          <w:sz w:val="24"/>
          <w:szCs w:val="24"/>
        </w:rPr>
      </w:pPr>
      <w:r w:rsidRPr="00CF5000">
        <w:rPr>
          <w:rFonts w:ascii="Times New Roman" w:hAnsi="Times New Roman"/>
          <w:sz w:val="24"/>
          <w:szCs w:val="24"/>
        </w:rPr>
        <w:t xml:space="preserve">SSA </w:t>
      </w:r>
      <w:r w:rsidR="006A1C8A" w:rsidRPr="00CF5000">
        <w:rPr>
          <w:rFonts w:ascii="Times New Roman" w:hAnsi="Times New Roman"/>
          <w:sz w:val="24"/>
          <w:szCs w:val="24"/>
        </w:rPr>
        <w:t>does not use statistical methods for this information collection.</w:t>
      </w:r>
    </w:p>
    <w:sectPr w:rsidR="000E4A74" w:rsidRPr="00CF5000" w:rsidSect="00306BB1">
      <w:pgSz w:w="12240" w:h="15840"/>
      <w:pgMar w:top="1440" w:right="117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A4E8DDDA"/>
    <w:lvl w:ilvl="0" w:tplc="ACF6008E">
      <w:start w:val="18"/>
      <w:numFmt w:val="decimal"/>
      <w:lvlText w:val="%1."/>
      <w:lvlJc w:val="left"/>
      <w:pPr>
        <w:tabs>
          <w:tab w:val="num" w:pos="900"/>
        </w:tabs>
        <w:ind w:left="900" w:hanging="72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nsid w:val="616F329C"/>
    <w:multiLevelType w:val="hybridMultilevel"/>
    <w:tmpl w:val="651ECCC2"/>
    <w:lvl w:ilvl="0" w:tplc="EC26FDCA">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7D64BAE"/>
    <w:multiLevelType w:val="hybridMultilevel"/>
    <w:tmpl w:val="362C9F18"/>
    <w:lvl w:ilvl="0" w:tplc="E740466E">
      <w:start w:val="1"/>
      <w:numFmt w:val="upperLetter"/>
      <w:lvlText w:val="%1."/>
      <w:lvlJc w:val="left"/>
      <w:pPr>
        <w:ind w:left="90" w:hanging="360"/>
      </w:pPr>
      <w:rPr>
        <w:rFonts w:hint="default"/>
        <w:u w:val="non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6BE16CA0"/>
    <w:multiLevelType w:val="hybridMultilevel"/>
    <w:tmpl w:val="EAD6C0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nsid w:val="7866410B"/>
    <w:multiLevelType w:val="singleLevel"/>
    <w:tmpl w:val="7924D970"/>
    <w:lvl w:ilvl="0">
      <w:start w:val="2"/>
      <w:numFmt w:val="decimal"/>
      <w:lvlText w:val="%1."/>
      <w:lvlJc w:val="left"/>
      <w:pPr>
        <w:tabs>
          <w:tab w:val="num" w:pos="720"/>
        </w:tabs>
        <w:ind w:left="720" w:hanging="720"/>
      </w:pPr>
      <w:rPr>
        <w:rFonts w:hint="default"/>
        <w:b w:val="0"/>
        <w:sz w:val="24"/>
        <w:szCs w:val="24"/>
      </w:rPr>
    </w:lvl>
  </w:abstractNum>
  <w:abstractNum w:abstractNumId="7">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
  </w:num>
  <w:num w:numId="2">
    <w:abstractNumId w:val="6"/>
  </w:num>
  <w:num w:numId="3">
    <w:abstractNumId w:val="1"/>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7"/>
    <w:rsid w:val="00001C08"/>
    <w:rsid w:val="0000232E"/>
    <w:rsid w:val="00006857"/>
    <w:rsid w:val="00006F1D"/>
    <w:rsid w:val="000111DD"/>
    <w:rsid w:val="00012AD2"/>
    <w:rsid w:val="000136F5"/>
    <w:rsid w:val="00013A4E"/>
    <w:rsid w:val="00022536"/>
    <w:rsid w:val="0002536D"/>
    <w:rsid w:val="000273F3"/>
    <w:rsid w:val="00054DF3"/>
    <w:rsid w:val="000655CB"/>
    <w:rsid w:val="00065D52"/>
    <w:rsid w:val="00075AE3"/>
    <w:rsid w:val="00076A26"/>
    <w:rsid w:val="000814FB"/>
    <w:rsid w:val="00083D2A"/>
    <w:rsid w:val="00090F91"/>
    <w:rsid w:val="00091E19"/>
    <w:rsid w:val="00092581"/>
    <w:rsid w:val="00092FA6"/>
    <w:rsid w:val="00095D22"/>
    <w:rsid w:val="000A3390"/>
    <w:rsid w:val="000A45D4"/>
    <w:rsid w:val="000A520A"/>
    <w:rsid w:val="000B48FC"/>
    <w:rsid w:val="000B4AC1"/>
    <w:rsid w:val="000B5E3E"/>
    <w:rsid w:val="000D76A8"/>
    <w:rsid w:val="000E24FC"/>
    <w:rsid w:val="000E331B"/>
    <w:rsid w:val="000E4A74"/>
    <w:rsid w:val="000E50EA"/>
    <w:rsid w:val="000E7602"/>
    <w:rsid w:val="000F0163"/>
    <w:rsid w:val="000F0E96"/>
    <w:rsid w:val="000F7782"/>
    <w:rsid w:val="00112A24"/>
    <w:rsid w:val="00113CA5"/>
    <w:rsid w:val="00116588"/>
    <w:rsid w:val="00117A16"/>
    <w:rsid w:val="001352DF"/>
    <w:rsid w:val="00140F48"/>
    <w:rsid w:val="00143ABC"/>
    <w:rsid w:val="0014588B"/>
    <w:rsid w:val="00151F9D"/>
    <w:rsid w:val="00153367"/>
    <w:rsid w:val="00154575"/>
    <w:rsid w:val="001627DE"/>
    <w:rsid w:val="00163E34"/>
    <w:rsid w:val="001729CD"/>
    <w:rsid w:val="001768D3"/>
    <w:rsid w:val="00180400"/>
    <w:rsid w:val="001812FB"/>
    <w:rsid w:val="00183C4C"/>
    <w:rsid w:val="001874F9"/>
    <w:rsid w:val="0019115B"/>
    <w:rsid w:val="00191DF7"/>
    <w:rsid w:val="001A0178"/>
    <w:rsid w:val="001A0A0D"/>
    <w:rsid w:val="001A283D"/>
    <w:rsid w:val="001A40DC"/>
    <w:rsid w:val="001A4622"/>
    <w:rsid w:val="001B0570"/>
    <w:rsid w:val="001B103A"/>
    <w:rsid w:val="001C3198"/>
    <w:rsid w:val="001D09E7"/>
    <w:rsid w:val="001E5170"/>
    <w:rsid w:val="001F011E"/>
    <w:rsid w:val="001F31DA"/>
    <w:rsid w:val="001F5008"/>
    <w:rsid w:val="0020046B"/>
    <w:rsid w:val="0020224B"/>
    <w:rsid w:val="00206F59"/>
    <w:rsid w:val="00214B73"/>
    <w:rsid w:val="00215191"/>
    <w:rsid w:val="00215A18"/>
    <w:rsid w:val="002206B7"/>
    <w:rsid w:val="002217F8"/>
    <w:rsid w:val="0023042B"/>
    <w:rsid w:val="0023154A"/>
    <w:rsid w:val="0023278C"/>
    <w:rsid w:val="00235136"/>
    <w:rsid w:val="00250A5E"/>
    <w:rsid w:val="00250C27"/>
    <w:rsid w:val="0025521C"/>
    <w:rsid w:val="00257820"/>
    <w:rsid w:val="00274A0A"/>
    <w:rsid w:val="00274E83"/>
    <w:rsid w:val="00281F9F"/>
    <w:rsid w:val="0028265E"/>
    <w:rsid w:val="0028535F"/>
    <w:rsid w:val="00292898"/>
    <w:rsid w:val="00293F92"/>
    <w:rsid w:val="00295812"/>
    <w:rsid w:val="00295A50"/>
    <w:rsid w:val="00297D60"/>
    <w:rsid w:val="002A41F3"/>
    <w:rsid w:val="002A66DA"/>
    <w:rsid w:val="002A79F6"/>
    <w:rsid w:val="002B3A42"/>
    <w:rsid w:val="002C6867"/>
    <w:rsid w:val="002C7A6B"/>
    <w:rsid w:val="002D1200"/>
    <w:rsid w:val="002D30A9"/>
    <w:rsid w:val="002E79AD"/>
    <w:rsid w:val="00305FF6"/>
    <w:rsid w:val="0030646C"/>
    <w:rsid w:val="00306ACE"/>
    <w:rsid w:val="00306BB1"/>
    <w:rsid w:val="00307315"/>
    <w:rsid w:val="00310AB5"/>
    <w:rsid w:val="0031435E"/>
    <w:rsid w:val="0032215D"/>
    <w:rsid w:val="003320E1"/>
    <w:rsid w:val="00334D35"/>
    <w:rsid w:val="0033646C"/>
    <w:rsid w:val="00337EC0"/>
    <w:rsid w:val="00341F7F"/>
    <w:rsid w:val="00342164"/>
    <w:rsid w:val="00342907"/>
    <w:rsid w:val="00342FA6"/>
    <w:rsid w:val="00346136"/>
    <w:rsid w:val="00351297"/>
    <w:rsid w:val="00353EE7"/>
    <w:rsid w:val="00355665"/>
    <w:rsid w:val="00356ECD"/>
    <w:rsid w:val="00357A59"/>
    <w:rsid w:val="00364BB7"/>
    <w:rsid w:val="00364C02"/>
    <w:rsid w:val="003736C1"/>
    <w:rsid w:val="00380BB7"/>
    <w:rsid w:val="0038240C"/>
    <w:rsid w:val="00387E27"/>
    <w:rsid w:val="00393254"/>
    <w:rsid w:val="00393280"/>
    <w:rsid w:val="00393E5C"/>
    <w:rsid w:val="00396E32"/>
    <w:rsid w:val="003A08A7"/>
    <w:rsid w:val="003C068D"/>
    <w:rsid w:val="003C6009"/>
    <w:rsid w:val="003D22C9"/>
    <w:rsid w:val="003D40EA"/>
    <w:rsid w:val="003D5B1F"/>
    <w:rsid w:val="003D6F09"/>
    <w:rsid w:val="003E110C"/>
    <w:rsid w:val="003F6B96"/>
    <w:rsid w:val="00402F99"/>
    <w:rsid w:val="00406791"/>
    <w:rsid w:val="00420D2E"/>
    <w:rsid w:val="0042405A"/>
    <w:rsid w:val="00424905"/>
    <w:rsid w:val="00424AC8"/>
    <w:rsid w:val="0042524D"/>
    <w:rsid w:val="0042626F"/>
    <w:rsid w:val="004336DD"/>
    <w:rsid w:val="00437F8B"/>
    <w:rsid w:val="00455BF7"/>
    <w:rsid w:val="0046077C"/>
    <w:rsid w:val="00462157"/>
    <w:rsid w:val="0046586A"/>
    <w:rsid w:val="00474276"/>
    <w:rsid w:val="00481998"/>
    <w:rsid w:val="00482F76"/>
    <w:rsid w:val="00486195"/>
    <w:rsid w:val="00486564"/>
    <w:rsid w:val="004902FB"/>
    <w:rsid w:val="00493A13"/>
    <w:rsid w:val="004A4056"/>
    <w:rsid w:val="004B282C"/>
    <w:rsid w:val="004C7D4F"/>
    <w:rsid w:val="004D0417"/>
    <w:rsid w:val="004D33D6"/>
    <w:rsid w:val="004E0AFA"/>
    <w:rsid w:val="004E196C"/>
    <w:rsid w:val="004E1B8A"/>
    <w:rsid w:val="004E3BF9"/>
    <w:rsid w:val="004E5977"/>
    <w:rsid w:val="004E5CAB"/>
    <w:rsid w:val="004F0769"/>
    <w:rsid w:val="004F0F26"/>
    <w:rsid w:val="004F7B7D"/>
    <w:rsid w:val="00500371"/>
    <w:rsid w:val="00516EFE"/>
    <w:rsid w:val="00527548"/>
    <w:rsid w:val="00527D89"/>
    <w:rsid w:val="00530A6D"/>
    <w:rsid w:val="00534604"/>
    <w:rsid w:val="00542492"/>
    <w:rsid w:val="00552F55"/>
    <w:rsid w:val="00561277"/>
    <w:rsid w:val="00567534"/>
    <w:rsid w:val="00567723"/>
    <w:rsid w:val="00571E23"/>
    <w:rsid w:val="00572E1A"/>
    <w:rsid w:val="00576660"/>
    <w:rsid w:val="00576E95"/>
    <w:rsid w:val="00585772"/>
    <w:rsid w:val="005923F6"/>
    <w:rsid w:val="00597552"/>
    <w:rsid w:val="005C2B46"/>
    <w:rsid w:val="005C46F5"/>
    <w:rsid w:val="005D3DE1"/>
    <w:rsid w:val="005D6A61"/>
    <w:rsid w:val="005E44C0"/>
    <w:rsid w:val="005E6D57"/>
    <w:rsid w:val="005E7B48"/>
    <w:rsid w:val="005E7C2D"/>
    <w:rsid w:val="005F0FEA"/>
    <w:rsid w:val="005F3A87"/>
    <w:rsid w:val="006147F6"/>
    <w:rsid w:val="0062665F"/>
    <w:rsid w:val="006269B4"/>
    <w:rsid w:val="006309CE"/>
    <w:rsid w:val="00636123"/>
    <w:rsid w:val="00636CC6"/>
    <w:rsid w:val="00641441"/>
    <w:rsid w:val="00643B9A"/>
    <w:rsid w:val="006446F6"/>
    <w:rsid w:val="0064690E"/>
    <w:rsid w:val="00646CA4"/>
    <w:rsid w:val="00650A4E"/>
    <w:rsid w:val="0065257B"/>
    <w:rsid w:val="00661338"/>
    <w:rsid w:val="00663337"/>
    <w:rsid w:val="00666C43"/>
    <w:rsid w:val="006679B1"/>
    <w:rsid w:val="00675277"/>
    <w:rsid w:val="00680C6B"/>
    <w:rsid w:val="00685ACB"/>
    <w:rsid w:val="0068644F"/>
    <w:rsid w:val="00687EF1"/>
    <w:rsid w:val="00692DCC"/>
    <w:rsid w:val="00694AFF"/>
    <w:rsid w:val="006A1C3E"/>
    <w:rsid w:val="006A1C8A"/>
    <w:rsid w:val="006A3F54"/>
    <w:rsid w:val="006A7731"/>
    <w:rsid w:val="006B423D"/>
    <w:rsid w:val="006B5CAB"/>
    <w:rsid w:val="006B7420"/>
    <w:rsid w:val="006C208C"/>
    <w:rsid w:val="006C22A1"/>
    <w:rsid w:val="006C30AC"/>
    <w:rsid w:val="006C5846"/>
    <w:rsid w:val="006D0222"/>
    <w:rsid w:val="006E3773"/>
    <w:rsid w:val="006E4883"/>
    <w:rsid w:val="006F26D7"/>
    <w:rsid w:val="007017CD"/>
    <w:rsid w:val="00703CC8"/>
    <w:rsid w:val="007101CE"/>
    <w:rsid w:val="0071134A"/>
    <w:rsid w:val="007143DE"/>
    <w:rsid w:val="00714E26"/>
    <w:rsid w:val="00715DA9"/>
    <w:rsid w:val="00717243"/>
    <w:rsid w:val="00733BB8"/>
    <w:rsid w:val="00733F39"/>
    <w:rsid w:val="007400CF"/>
    <w:rsid w:val="007437E3"/>
    <w:rsid w:val="00752651"/>
    <w:rsid w:val="00753242"/>
    <w:rsid w:val="00756294"/>
    <w:rsid w:val="007567DE"/>
    <w:rsid w:val="00760ABF"/>
    <w:rsid w:val="007621F5"/>
    <w:rsid w:val="00762596"/>
    <w:rsid w:val="00762B88"/>
    <w:rsid w:val="00762BE8"/>
    <w:rsid w:val="00785060"/>
    <w:rsid w:val="007A19A0"/>
    <w:rsid w:val="007A49F6"/>
    <w:rsid w:val="007A7791"/>
    <w:rsid w:val="007B1326"/>
    <w:rsid w:val="007B3EA3"/>
    <w:rsid w:val="007C7898"/>
    <w:rsid w:val="007C7E76"/>
    <w:rsid w:val="007D1D27"/>
    <w:rsid w:val="007D60AA"/>
    <w:rsid w:val="007F055B"/>
    <w:rsid w:val="007F3C9C"/>
    <w:rsid w:val="007F4D6B"/>
    <w:rsid w:val="00806528"/>
    <w:rsid w:val="00823F26"/>
    <w:rsid w:val="008240FF"/>
    <w:rsid w:val="008248E2"/>
    <w:rsid w:val="00827228"/>
    <w:rsid w:val="00831363"/>
    <w:rsid w:val="00834C6C"/>
    <w:rsid w:val="0083575A"/>
    <w:rsid w:val="008366C6"/>
    <w:rsid w:val="0084285C"/>
    <w:rsid w:val="008433CA"/>
    <w:rsid w:val="00845086"/>
    <w:rsid w:val="00852588"/>
    <w:rsid w:val="0085618C"/>
    <w:rsid w:val="008613A0"/>
    <w:rsid w:val="00861756"/>
    <w:rsid w:val="008647EB"/>
    <w:rsid w:val="00877E52"/>
    <w:rsid w:val="00896156"/>
    <w:rsid w:val="008A311C"/>
    <w:rsid w:val="008B059D"/>
    <w:rsid w:val="008B44BA"/>
    <w:rsid w:val="008C312A"/>
    <w:rsid w:val="008C5972"/>
    <w:rsid w:val="008E552C"/>
    <w:rsid w:val="008E73CE"/>
    <w:rsid w:val="008E7F46"/>
    <w:rsid w:val="009014BC"/>
    <w:rsid w:val="0090387E"/>
    <w:rsid w:val="00905B9F"/>
    <w:rsid w:val="009062F9"/>
    <w:rsid w:val="00920E2F"/>
    <w:rsid w:val="00922FB1"/>
    <w:rsid w:val="0093002C"/>
    <w:rsid w:val="00932CF3"/>
    <w:rsid w:val="00941C8C"/>
    <w:rsid w:val="00941CF2"/>
    <w:rsid w:val="009431BE"/>
    <w:rsid w:val="009444F0"/>
    <w:rsid w:val="009605F4"/>
    <w:rsid w:val="009663FF"/>
    <w:rsid w:val="0097004A"/>
    <w:rsid w:val="009840F7"/>
    <w:rsid w:val="00994209"/>
    <w:rsid w:val="009A0F39"/>
    <w:rsid w:val="009A1606"/>
    <w:rsid w:val="009A57D4"/>
    <w:rsid w:val="009B647A"/>
    <w:rsid w:val="009B6C2E"/>
    <w:rsid w:val="009C14B8"/>
    <w:rsid w:val="009C4F46"/>
    <w:rsid w:val="009E15FE"/>
    <w:rsid w:val="009E3E57"/>
    <w:rsid w:val="009E6A96"/>
    <w:rsid w:val="009E7FA4"/>
    <w:rsid w:val="009F4B26"/>
    <w:rsid w:val="009F762D"/>
    <w:rsid w:val="00A051D7"/>
    <w:rsid w:val="00A058D2"/>
    <w:rsid w:val="00A12B4E"/>
    <w:rsid w:val="00A13903"/>
    <w:rsid w:val="00A222FE"/>
    <w:rsid w:val="00A22E73"/>
    <w:rsid w:val="00A23BF2"/>
    <w:rsid w:val="00A30BBB"/>
    <w:rsid w:val="00A31AF9"/>
    <w:rsid w:val="00A37527"/>
    <w:rsid w:val="00A4118B"/>
    <w:rsid w:val="00A52460"/>
    <w:rsid w:val="00A6040B"/>
    <w:rsid w:val="00A62222"/>
    <w:rsid w:val="00A63A82"/>
    <w:rsid w:val="00A722C3"/>
    <w:rsid w:val="00A73648"/>
    <w:rsid w:val="00A75305"/>
    <w:rsid w:val="00A80596"/>
    <w:rsid w:val="00A81362"/>
    <w:rsid w:val="00A8354E"/>
    <w:rsid w:val="00A84778"/>
    <w:rsid w:val="00A87585"/>
    <w:rsid w:val="00A87D87"/>
    <w:rsid w:val="00A93B64"/>
    <w:rsid w:val="00A95A90"/>
    <w:rsid w:val="00A964C7"/>
    <w:rsid w:val="00A96E7B"/>
    <w:rsid w:val="00A97A70"/>
    <w:rsid w:val="00AA16AA"/>
    <w:rsid w:val="00AA4752"/>
    <w:rsid w:val="00AA49E6"/>
    <w:rsid w:val="00AC0CC9"/>
    <w:rsid w:val="00AC2E51"/>
    <w:rsid w:val="00AD1D24"/>
    <w:rsid w:val="00AD6C13"/>
    <w:rsid w:val="00AE2323"/>
    <w:rsid w:val="00AE2D67"/>
    <w:rsid w:val="00AF1D12"/>
    <w:rsid w:val="00AF7B9C"/>
    <w:rsid w:val="00B0318F"/>
    <w:rsid w:val="00B05A4B"/>
    <w:rsid w:val="00B06FAE"/>
    <w:rsid w:val="00B10665"/>
    <w:rsid w:val="00B15A50"/>
    <w:rsid w:val="00B33B8D"/>
    <w:rsid w:val="00B35940"/>
    <w:rsid w:val="00B36681"/>
    <w:rsid w:val="00B4028A"/>
    <w:rsid w:val="00B43973"/>
    <w:rsid w:val="00B43FC3"/>
    <w:rsid w:val="00B45E54"/>
    <w:rsid w:val="00B46D13"/>
    <w:rsid w:val="00B5100E"/>
    <w:rsid w:val="00B54B85"/>
    <w:rsid w:val="00B72D62"/>
    <w:rsid w:val="00B755CE"/>
    <w:rsid w:val="00B77271"/>
    <w:rsid w:val="00B77B2E"/>
    <w:rsid w:val="00B82EA0"/>
    <w:rsid w:val="00B917C0"/>
    <w:rsid w:val="00B930B3"/>
    <w:rsid w:val="00B93CCA"/>
    <w:rsid w:val="00B94351"/>
    <w:rsid w:val="00BA6527"/>
    <w:rsid w:val="00BB0E35"/>
    <w:rsid w:val="00BB0E70"/>
    <w:rsid w:val="00BB4D17"/>
    <w:rsid w:val="00BB51F0"/>
    <w:rsid w:val="00BB5667"/>
    <w:rsid w:val="00BC162A"/>
    <w:rsid w:val="00BC25D6"/>
    <w:rsid w:val="00BC7AFA"/>
    <w:rsid w:val="00BD0899"/>
    <w:rsid w:val="00BD578A"/>
    <w:rsid w:val="00BD76D6"/>
    <w:rsid w:val="00BD78D8"/>
    <w:rsid w:val="00BE71AE"/>
    <w:rsid w:val="00BF2366"/>
    <w:rsid w:val="00BF283C"/>
    <w:rsid w:val="00C057E5"/>
    <w:rsid w:val="00C06B3F"/>
    <w:rsid w:val="00C10A47"/>
    <w:rsid w:val="00C10B72"/>
    <w:rsid w:val="00C23A31"/>
    <w:rsid w:val="00C24AF3"/>
    <w:rsid w:val="00C3109A"/>
    <w:rsid w:val="00C327A5"/>
    <w:rsid w:val="00C360A3"/>
    <w:rsid w:val="00C543FE"/>
    <w:rsid w:val="00C62E24"/>
    <w:rsid w:val="00C6697B"/>
    <w:rsid w:val="00C71C71"/>
    <w:rsid w:val="00C72417"/>
    <w:rsid w:val="00C74C52"/>
    <w:rsid w:val="00C75F34"/>
    <w:rsid w:val="00C8454D"/>
    <w:rsid w:val="00C87583"/>
    <w:rsid w:val="00CC70ED"/>
    <w:rsid w:val="00CE1ED1"/>
    <w:rsid w:val="00CE57BA"/>
    <w:rsid w:val="00CE6157"/>
    <w:rsid w:val="00CE786A"/>
    <w:rsid w:val="00CE78EF"/>
    <w:rsid w:val="00CF064B"/>
    <w:rsid w:val="00CF3931"/>
    <w:rsid w:val="00CF45A0"/>
    <w:rsid w:val="00CF5000"/>
    <w:rsid w:val="00CF73A0"/>
    <w:rsid w:val="00D0296B"/>
    <w:rsid w:val="00D043E9"/>
    <w:rsid w:val="00D07694"/>
    <w:rsid w:val="00D11806"/>
    <w:rsid w:val="00D124CC"/>
    <w:rsid w:val="00D1428D"/>
    <w:rsid w:val="00D16375"/>
    <w:rsid w:val="00D166A3"/>
    <w:rsid w:val="00D16C19"/>
    <w:rsid w:val="00D206DF"/>
    <w:rsid w:val="00D20923"/>
    <w:rsid w:val="00D220FC"/>
    <w:rsid w:val="00D22A71"/>
    <w:rsid w:val="00D23ADC"/>
    <w:rsid w:val="00D249FD"/>
    <w:rsid w:val="00D24C4B"/>
    <w:rsid w:val="00D3020C"/>
    <w:rsid w:val="00D35A1B"/>
    <w:rsid w:val="00D46ABE"/>
    <w:rsid w:val="00D52130"/>
    <w:rsid w:val="00D52D41"/>
    <w:rsid w:val="00D547E6"/>
    <w:rsid w:val="00D55D36"/>
    <w:rsid w:val="00D61863"/>
    <w:rsid w:val="00D65D1D"/>
    <w:rsid w:val="00D66549"/>
    <w:rsid w:val="00D70DD9"/>
    <w:rsid w:val="00D75E7E"/>
    <w:rsid w:val="00D80324"/>
    <w:rsid w:val="00D80BFC"/>
    <w:rsid w:val="00D812CF"/>
    <w:rsid w:val="00D8240D"/>
    <w:rsid w:val="00D829C7"/>
    <w:rsid w:val="00D83289"/>
    <w:rsid w:val="00D854ED"/>
    <w:rsid w:val="00D86605"/>
    <w:rsid w:val="00D867E3"/>
    <w:rsid w:val="00D900EB"/>
    <w:rsid w:val="00D901A6"/>
    <w:rsid w:val="00D905E3"/>
    <w:rsid w:val="00D94D58"/>
    <w:rsid w:val="00DB2B32"/>
    <w:rsid w:val="00DC34C3"/>
    <w:rsid w:val="00DC6615"/>
    <w:rsid w:val="00DD24A4"/>
    <w:rsid w:val="00DD30A3"/>
    <w:rsid w:val="00DD5FD5"/>
    <w:rsid w:val="00DE5108"/>
    <w:rsid w:val="00DE5FB0"/>
    <w:rsid w:val="00E0199A"/>
    <w:rsid w:val="00E07BD0"/>
    <w:rsid w:val="00E102ED"/>
    <w:rsid w:val="00E118B8"/>
    <w:rsid w:val="00E15C96"/>
    <w:rsid w:val="00E17F34"/>
    <w:rsid w:val="00E214C7"/>
    <w:rsid w:val="00E26414"/>
    <w:rsid w:val="00E308D5"/>
    <w:rsid w:val="00E312CD"/>
    <w:rsid w:val="00E36B30"/>
    <w:rsid w:val="00E400B2"/>
    <w:rsid w:val="00E40E75"/>
    <w:rsid w:val="00E40F57"/>
    <w:rsid w:val="00E4483D"/>
    <w:rsid w:val="00E46362"/>
    <w:rsid w:val="00E47A3E"/>
    <w:rsid w:val="00E55AB0"/>
    <w:rsid w:val="00E56C02"/>
    <w:rsid w:val="00E578D1"/>
    <w:rsid w:val="00E5794C"/>
    <w:rsid w:val="00E674C1"/>
    <w:rsid w:val="00E72B8E"/>
    <w:rsid w:val="00E74800"/>
    <w:rsid w:val="00E770D3"/>
    <w:rsid w:val="00E80735"/>
    <w:rsid w:val="00E85F0C"/>
    <w:rsid w:val="00E8651F"/>
    <w:rsid w:val="00E86724"/>
    <w:rsid w:val="00E940DF"/>
    <w:rsid w:val="00E94263"/>
    <w:rsid w:val="00EA4FE6"/>
    <w:rsid w:val="00EB05C8"/>
    <w:rsid w:val="00EB65B2"/>
    <w:rsid w:val="00EC1659"/>
    <w:rsid w:val="00ED06D2"/>
    <w:rsid w:val="00ED21A5"/>
    <w:rsid w:val="00ED7847"/>
    <w:rsid w:val="00EE109A"/>
    <w:rsid w:val="00EF131B"/>
    <w:rsid w:val="00EF3AA2"/>
    <w:rsid w:val="00F33479"/>
    <w:rsid w:val="00F33592"/>
    <w:rsid w:val="00F358C8"/>
    <w:rsid w:val="00F403F6"/>
    <w:rsid w:val="00F40AA1"/>
    <w:rsid w:val="00F41EC7"/>
    <w:rsid w:val="00F44E42"/>
    <w:rsid w:val="00F51D31"/>
    <w:rsid w:val="00F53B06"/>
    <w:rsid w:val="00F54997"/>
    <w:rsid w:val="00F622D9"/>
    <w:rsid w:val="00F70779"/>
    <w:rsid w:val="00F76617"/>
    <w:rsid w:val="00F80F61"/>
    <w:rsid w:val="00F835CE"/>
    <w:rsid w:val="00F84793"/>
    <w:rsid w:val="00F85E59"/>
    <w:rsid w:val="00F92832"/>
    <w:rsid w:val="00F9511C"/>
    <w:rsid w:val="00F9681A"/>
    <w:rsid w:val="00FA02EC"/>
    <w:rsid w:val="00FA49C6"/>
    <w:rsid w:val="00FA4EA7"/>
    <w:rsid w:val="00FA6012"/>
    <w:rsid w:val="00FA6156"/>
    <w:rsid w:val="00FB324B"/>
    <w:rsid w:val="00FB3A11"/>
    <w:rsid w:val="00FB6D47"/>
    <w:rsid w:val="00FC1403"/>
    <w:rsid w:val="00FC6F84"/>
    <w:rsid w:val="00FD1139"/>
    <w:rsid w:val="00FD480F"/>
    <w:rsid w:val="00FD4CD5"/>
    <w:rsid w:val="00FD506F"/>
    <w:rsid w:val="00FD5C7F"/>
    <w:rsid w:val="00FE14B4"/>
    <w:rsid w:val="00FE5260"/>
    <w:rsid w:val="00FF27E6"/>
    <w:rsid w:val="00FF5765"/>
    <w:rsid w:val="00FF5F67"/>
    <w:rsid w:val="00FF7486"/>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337"/>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rsid w:val="00F951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lang w:val="x-none" w:eastAsia="x-none"/>
    </w:rPr>
  </w:style>
  <w:style w:type="character" w:customStyle="1" w:styleId="BodyText2Char">
    <w:name w:val="Body Text 2 Char"/>
    <w:link w:val="BodyText2"/>
    <w:rsid w:val="00F9511C"/>
    <w:rPr>
      <w:rFonts w:ascii="Courier" w:eastAsia="Times New Roman" w:hAnsi="Courier"/>
      <w:b/>
      <w:bCs/>
      <w:i/>
      <w:iCs/>
      <w:snapToGrid w:val="0"/>
      <w:sz w:val="24"/>
      <w:szCs w:val="24"/>
    </w:rPr>
  </w:style>
  <w:style w:type="paragraph" w:styleId="HTMLPreformatted">
    <w:name w:val="HTML Preformatted"/>
    <w:basedOn w:val="Normal"/>
    <w:link w:val="HTMLPreformattedChar"/>
    <w:rsid w:val="00D80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sz w:val="20"/>
      <w:szCs w:val="20"/>
      <w:lang w:val="x-none" w:eastAsia="ar-SA"/>
    </w:rPr>
  </w:style>
  <w:style w:type="character" w:customStyle="1" w:styleId="HTMLPreformattedChar">
    <w:name w:val="HTML Preformatted Char"/>
    <w:link w:val="HTMLPreformatted"/>
    <w:rsid w:val="00D80BFC"/>
    <w:rPr>
      <w:rFonts w:ascii="Courier New" w:eastAsia="SimSun" w:hAnsi="Courier New" w:cs="Courier New"/>
      <w:lang w:eastAsia="ar-SA"/>
    </w:rPr>
  </w:style>
  <w:style w:type="paragraph" w:styleId="NoSpacing">
    <w:name w:val="No Spacing"/>
    <w:qFormat/>
    <w:rsid w:val="00C057E5"/>
    <w:rPr>
      <w:rFonts w:ascii="Times New Roman" w:eastAsia="Times New Roman" w:hAnsi="Times New Roman"/>
      <w:sz w:val="24"/>
      <w:szCs w:val="24"/>
      <w:lang w:bidi="en-US"/>
    </w:rPr>
  </w:style>
  <w:style w:type="paragraph" w:styleId="BalloonText">
    <w:name w:val="Balloon Text"/>
    <w:basedOn w:val="Normal"/>
    <w:link w:val="BalloonTextChar"/>
    <w:uiPriority w:val="99"/>
    <w:semiHidden/>
    <w:unhideWhenUsed/>
    <w:rsid w:val="002D30A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D30A9"/>
    <w:rPr>
      <w:rFonts w:ascii="Tahoma" w:hAnsi="Tahoma" w:cs="Tahoma"/>
      <w:sz w:val="16"/>
      <w:szCs w:val="16"/>
    </w:rPr>
  </w:style>
  <w:style w:type="character" w:styleId="CommentReference">
    <w:name w:val="annotation reference"/>
    <w:uiPriority w:val="99"/>
    <w:semiHidden/>
    <w:unhideWhenUsed/>
    <w:rsid w:val="001627DE"/>
    <w:rPr>
      <w:sz w:val="16"/>
      <w:szCs w:val="16"/>
    </w:rPr>
  </w:style>
  <w:style w:type="paragraph" w:styleId="CommentText">
    <w:name w:val="annotation text"/>
    <w:basedOn w:val="Normal"/>
    <w:link w:val="CommentTextChar"/>
    <w:uiPriority w:val="99"/>
    <w:semiHidden/>
    <w:unhideWhenUsed/>
    <w:rsid w:val="001627DE"/>
    <w:rPr>
      <w:sz w:val="20"/>
      <w:szCs w:val="20"/>
    </w:rPr>
  </w:style>
  <w:style w:type="character" w:customStyle="1" w:styleId="CommentTextChar">
    <w:name w:val="Comment Text Char"/>
    <w:basedOn w:val="DefaultParagraphFont"/>
    <w:link w:val="CommentText"/>
    <w:uiPriority w:val="99"/>
    <w:semiHidden/>
    <w:rsid w:val="001627DE"/>
  </w:style>
  <w:style w:type="paragraph" w:styleId="CommentSubject">
    <w:name w:val="annotation subject"/>
    <w:basedOn w:val="CommentText"/>
    <w:next w:val="CommentText"/>
    <w:link w:val="CommentSubjectChar"/>
    <w:uiPriority w:val="99"/>
    <w:semiHidden/>
    <w:unhideWhenUsed/>
    <w:rsid w:val="001627DE"/>
    <w:rPr>
      <w:b/>
      <w:bCs/>
      <w:lang w:val="x-none" w:eastAsia="x-none"/>
    </w:rPr>
  </w:style>
  <w:style w:type="character" w:customStyle="1" w:styleId="CommentSubjectChar">
    <w:name w:val="Comment Subject Char"/>
    <w:link w:val="CommentSubject"/>
    <w:uiPriority w:val="99"/>
    <w:semiHidden/>
    <w:rsid w:val="001627DE"/>
    <w:rPr>
      <w:b/>
      <w:bCs/>
    </w:rPr>
  </w:style>
  <w:style w:type="table" w:styleId="TableGrid">
    <w:name w:val="Table Grid"/>
    <w:basedOn w:val="TableNormal"/>
    <w:uiPriority w:val="59"/>
    <w:rsid w:val="00D6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337"/>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rsid w:val="00F951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lang w:val="x-none" w:eastAsia="x-none"/>
    </w:rPr>
  </w:style>
  <w:style w:type="character" w:customStyle="1" w:styleId="BodyText2Char">
    <w:name w:val="Body Text 2 Char"/>
    <w:link w:val="BodyText2"/>
    <w:rsid w:val="00F9511C"/>
    <w:rPr>
      <w:rFonts w:ascii="Courier" w:eastAsia="Times New Roman" w:hAnsi="Courier"/>
      <w:b/>
      <w:bCs/>
      <w:i/>
      <w:iCs/>
      <w:snapToGrid w:val="0"/>
      <w:sz w:val="24"/>
      <w:szCs w:val="24"/>
    </w:rPr>
  </w:style>
  <w:style w:type="paragraph" w:styleId="HTMLPreformatted">
    <w:name w:val="HTML Preformatted"/>
    <w:basedOn w:val="Normal"/>
    <w:link w:val="HTMLPreformattedChar"/>
    <w:rsid w:val="00D80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sz w:val="20"/>
      <w:szCs w:val="20"/>
      <w:lang w:val="x-none" w:eastAsia="ar-SA"/>
    </w:rPr>
  </w:style>
  <w:style w:type="character" w:customStyle="1" w:styleId="HTMLPreformattedChar">
    <w:name w:val="HTML Preformatted Char"/>
    <w:link w:val="HTMLPreformatted"/>
    <w:rsid w:val="00D80BFC"/>
    <w:rPr>
      <w:rFonts w:ascii="Courier New" w:eastAsia="SimSun" w:hAnsi="Courier New" w:cs="Courier New"/>
      <w:lang w:eastAsia="ar-SA"/>
    </w:rPr>
  </w:style>
  <w:style w:type="paragraph" w:styleId="NoSpacing">
    <w:name w:val="No Spacing"/>
    <w:qFormat/>
    <w:rsid w:val="00C057E5"/>
    <w:rPr>
      <w:rFonts w:ascii="Times New Roman" w:eastAsia="Times New Roman" w:hAnsi="Times New Roman"/>
      <w:sz w:val="24"/>
      <w:szCs w:val="24"/>
      <w:lang w:bidi="en-US"/>
    </w:rPr>
  </w:style>
  <w:style w:type="paragraph" w:styleId="BalloonText">
    <w:name w:val="Balloon Text"/>
    <w:basedOn w:val="Normal"/>
    <w:link w:val="BalloonTextChar"/>
    <w:uiPriority w:val="99"/>
    <w:semiHidden/>
    <w:unhideWhenUsed/>
    <w:rsid w:val="002D30A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D30A9"/>
    <w:rPr>
      <w:rFonts w:ascii="Tahoma" w:hAnsi="Tahoma" w:cs="Tahoma"/>
      <w:sz w:val="16"/>
      <w:szCs w:val="16"/>
    </w:rPr>
  </w:style>
  <w:style w:type="character" w:styleId="CommentReference">
    <w:name w:val="annotation reference"/>
    <w:uiPriority w:val="99"/>
    <w:semiHidden/>
    <w:unhideWhenUsed/>
    <w:rsid w:val="001627DE"/>
    <w:rPr>
      <w:sz w:val="16"/>
      <w:szCs w:val="16"/>
    </w:rPr>
  </w:style>
  <w:style w:type="paragraph" w:styleId="CommentText">
    <w:name w:val="annotation text"/>
    <w:basedOn w:val="Normal"/>
    <w:link w:val="CommentTextChar"/>
    <w:uiPriority w:val="99"/>
    <w:semiHidden/>
    <w:unhideWhenUsed/>
    <w:rsid w:val="001627DE"/>
    <w:rPr>
      <w:sz w:val="20"/>
      <w:szCs w:val="20"/>
    </w:rPr>
  </w:style>
  <w:style w:type="character" w:customStyle="1" w:styleId="CommentTextChar">
    <w:name w:val="Comment Text Char"/>
    <w:basedOn w:val="DefaultParagraphFont"/>
    <w:link w:val="CommentText"/>
    <w:uiPriority w:val="99"/>
    <w:semiHidden/>
    <w:rsid w:val="001627DE"/>
  </w:style>
  <w:style w:type="paragraph" w:styleId="CommentSubject">
    <w:name w:val="annotation subject"/>
    <w:basedOn w:val="CommentText"/>
    <w:next w:val="CommentText"/>
    <w:link w:val="CommentSubjectChar"/>
    <w:uiPriority w:val="99"/>
    <w:semiHidden/>
    <w:unhideWhenUsed/>
    <w:rsid w:val="001627DE"/>
    <w:rPr>
      <w:b/>
      <w:bCs/>
      <w:lang w:val="x-none" w:eastAsia="x-none"/>
    </w:rPr>
  </w:style>
  <w:style w:type="character" w:customStyle="1" w:styleId="CommentSubjectChar">
    <w:name w:val="Comment Subject Char"/>
    <w:link w:val="CommentSubject"/>
    <w:uiPriority w:val="99"/>
    <w:semiHidden/>
    <w:rsid w:val="001627DE"/>
    <w:rPr>
      <w:b/>
      <w:bCs/>
    </w:rPr>
  </w:style>
  <w:style w:type="table" w:styleId="TableGrid">
    <w:name w:val="Table Grid"/>
    <w:basedOn w:val="TableNormal"/>
    <w:uiPriority w:val="59"/>
    <w:rsid w:val="00D6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Shari</dc:creator>
  <cp:keywords/>
  <cp:lastModifiedBy>SYSTEM</cp:lastModifiedBy>
  <cp:revision>2</cp:revision>
  <cp:lastPrinted>2012-05-15T18:20:00Z</cp:lastPrinted>
  <dcterms:created xsi:type="dcterms:W3CDTF">2018-05-09T17:40:00Z</dcterms:created>
  <dcterms:modified xsi:type="dcterms:W3CDTF">2018-05-09T17:40:00Z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-1138420013</vt:i4>
  </property>
  <property fmtid="{D5CDD505-2E9C-101B-9397-08002B2CF9AE}" pid="3" name="_NewReviewCycle">
    <vt:lpwstr/>
  </property>
  <property fmtid="{D5CDD505-2E9C-101B-9397-08002B2CF9AE}" pid="4" name="_EmailSubject">
    <vt:lpwstr>OMP RESPONSE:  OMB Expiration Notice:  0960-0349  SSA-789</vt:lpwstr>
  </property>
  <property fmtid="{D5CDD505-2E9C-101B-9397-08002B2CF9AE}" pid="5" name="_AuthorEmail">
    <vt:lpwstr>ODP.OMP.Controls@ssa.gov</vt:lpwstr>
  </property>
  <property fmtid="{D5CDD505-2E9C-101B-9397-08002B2CF9AE}" pid="6" name="_AuthorEmailDisplayName">
    <vt:lpwstr>^ODP OMP Controls</vt:lpwstr>
  </property>
  <property fmtid="{D5CDD505-2E9C-101B-9397-08002B2CF9AE}" pid="7" name="_PreviousAdHocReviewCycleID">
    <vt:i4>1113956919</vt:i4>
  </property>
  <property fmtid="{D5CDD505-2E9C-101B-9397-08002B2CF9AE}" pid="8" name="_ReviewingToolsShownOnce">
    <vt:lpwstr/>
  </property>
</Properties>
</file>