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54" w:rsidRPr="00A25F38" w:rsidRDefault="00934F93" w:rsidP="00A25F38">
      <w:pPr>
        <w:jc w:val="center"/>
        <w:rPr>
          <w:b/>
        </w:rPr>
      </w:pPr>
      <w:bookmarkStart w:id="0" w:name="_GoBack"/>
      <w:bookmarkEnd w:id="0"/>
      <w:r w:rsidRPr="00A25F38">
        <w:rPr>
          <w:b/>
        </w:rPr>
        <w:t>Supporting Statement for Form HA-4631</w:t>
      </w:r>
    </w:p>
    <w:p w:rsidR="00CB2854" w:rsidRPr="00A25F38" w:rsidRDefault="00934F93" w:rsidP="00A25F38">
      <w:pPr>
        <w:pStyle w:val="Heading1"/>
        <w:tabs>
          <w:tab w:val="clear" w:pos="4680"/>
        </w:tabs>
        <w:suppressAutoHyphens w:val="0"/>
      </w:pPr>
      <w:r w:rsidRPr="00A25F38">
        <w:t>Claimant's Recent Medical Treatment</w:t>
      </w:r>
    </w:p>
    <w:p w:rsidR="00CB2854" w:rsidRPr="00A25F38" w:rsidRDefault="00934F93" w:rsidP="00A25F38">
      <w:pPr>
        <w:jc w:val="center"/>
        <w:rPr>
          <w:b/>
          <w:bCs/>
          <w:spacing w:val="2"/>
        </w:rPr>
      </w:pPr>
      <w:r w:rsidRPr="00A25F38">
        <w:rPr>
          <w:b/>
          <w:bCs/>
          <w:spacing w:val="2"/>
        </w:rPr>
        <w:t>20 CFR 404.1512 and 416.912</w:t>
      </w:r>
    </w:p>
    <w:p w:rsidR="00CB2854" w:rsidRPr="00A25F38" w:rsidRDefault="00CB2854" w:rsidP="00A25F38">
      <w:pPr>
        <w:jc w:val="center"/>
        <w:rPr>
          <w:b/>
        </w:rPr>
      </w:pPr>
      <w:r w:rsidRPr="00A25F38">
        <w:rPr>
          <w:b/>
        </w:rPr>
        <w:t>OMB No. 0960-0292</w:t>
      </w:r>
    </w:p>
    <w:p w:rsidR="00221F77" w:rsidRPr="00A25F38" w:rsidRDefault="00221F77" w:rsidP="00A25F38">
      <w:pPr>
        <w:tabs>
          <w:tab w:val="left" w:pos="720"/>
        </w:tabs>
        <w:rPr>
          <w:b/>
          <w:bCs/>
          <w:spacing w:val="2"/>
        </w:rPr>
      </w:pPr>
    </w:p>
    <w:p w:rsidR="00D16440" w:rsidRPr="00A25F38" w:rsidRDefault="00D16440" w:rsidP="00A25F38">
      <w:pPr>
        <w:numPr>
          <w:ilvl w:val="0"/>
          <w:numId w:val="7"/>
        </w:numPr>
        <w:tabs>
          <w:tab w:val="left" w:pos="720"/>
        </w:tabs>
        <w:rPr>
          <w:b/>
          <w:bCs/>
          <w:u w:val="single"/>
        </w:rPr>
      </w:pPr>
      <w:r w:rsidRPr="00A25F38">
        <w:rPr>
          <w:b/>
          <w:bCs/>
          <w:u w:val="single"/>
        </w:rPr>
        <w:t>Justification</w:t>
      </w:r>
    </w:p>
    <w:p w:rsidR="00A25F38" w:rsidRPr="00A25F38" w:rsidRDefault="00A25F38" w:rsidP="00A25F38">
      <w:pPr>
        <w:tabs>
          <w:tab w:val="left" w:pos="720"/>
        </w:tabs>
        <w:ind w:left="1080"/>
        <w:rPr>
          <w:b/>
          <w:bCs/>
          <w:u w:val="single"/>
        </w:rPr>
      </w:pPr>
    </w:p>
    <w:p w:rsidR="00A25F38" w:rsidRPr="00A25F38" w:rsidRDefault="00A25F38" w:rsidP="00A25F38">
      <w:pPr>
        <w:numPr>
          <w:ilvl w:val="0"/>
          <w:numId w:val="8"/>
        </w:numPr>
        <w:tabs>
          <w:tab w:val="left" w:pos="720"/>
        </w:tabs>
        <w:rPr>
          <w:b/>
          <w:bCs/>
        </w:rPr>
      </w:pPr>
      <w:r w:rsidRPr="00A25F38">
        <w:rPr>
          <w:b/>
          <w:iCs/>
        </w:rPr>
        <w:t>Introduction /Authoring Laws and Regulations</w:t>
      </w:r>
    </w:p>
    <w:p w:rsidR="00A25F38" w:rsidRDefault="00A25F38" w:rsidP="00A25F38">
      <w:pPr>
        <w:tabs>
          <w:tab w:val="left" w:pos="720"/>
        </w:tabs>
        <w:ind w:left="1080"/>
        <w:rPr>
          <w:iCs/>
        </w:rPr>
      </w:pPr>
      <w:r>
        <w:rPr>
          <w:iCs/>
        </w:rPr>
        <w:t xml:space="preserve">Sections </w:t>
      </w:r>
      <w:r w:rsidRPr="00A25F38">
        <w:rPr>
          <w:i/>
          <w:iCs/>
        </w:rPr>
        <w:t>205(a), 233(d), 1614(a)</w:t>
      </w:r>
      <w:r>
        <w:rPr>
          <w:iCs/>
        </w:rPr>
        <w:t xml:space="preserve">, and </w:t>
      </w:r>
      <w:r w:rsidRPr="00A25F38">
        <w:rPr>
          <w:i/>
          <w:iCs/>
        </w:rPr>
        <w:t>1631(e)</w:t>
      </w:r>
      <w:r>
        <w:rPr>
          <w:iCs/>
        </w:rPr>
        <w:t xml:space="preserve"> of the </w:t>
      </w:r>
      <w:r w:rsidRPr="00A25F38">
        <w:rPr>
          <w:i/>
          <w:iCs/>
        </w:rPr>
        <w:t>Social Security Act</w:t>
      </w:r>
      <w:r>
        <w:rPr>
          <w:iCs/>
        </w:rPr>
        <w:t xml:space="preserve"> require claimants filing for Social Security benefits or Supplemental Security Income (SSI) payments based on disability to provide medical and other evidence concerning their impairment(s) to the Social Security Administration (SSA).  Sections </w:t>
      </w:r>
      <w:r w:rsidRPr="00A25F38">
        <w:rPr>
          <w:i/>
          <w:iCs/>
        </w:rPr>
        <w:t>20 CFR 404.1512</w:t>
      </w:r>
      <w:r>
        <w:rPr>
          <w:iCs/>
        </w:rPr>
        <w:t xml:space="preserve"> and </w:t>
      </w:r>
      <w:r w:rsidRPr="00A25F38">
        <w:rPr>
          <w:i/>
          <w:iCs/>
        </w:rPr>
        <w:t>416.912</w:t>
      </w:r>
      <w:r>
        <w:rPr>
          <w:iCs/>
        </w:rPr>
        <w:t xml:space="preserve"> of the </w:t>
      </w:r>
      <w:r w:rsidRPr="00A25F38">
        <w:rPr>
          <w:i/>
          <w:iCs/>
        </w:rPr>
        <w:t xml:space="preserve">Code of Federal Regulations </w:t>
      </w:r>
      <w:r>
        <w:rPr>
          <w:iCs/>
        </w:rPr>
        <w:t>set forth the procedures and policies for implementing the Act.</w:t>
      </w:r>
    </w:p>
    <w:p w:rsidR="00A25F38" w:rsidRPr="00A25F38" w:rsidRDefault="00A25F38" w:rsidP="00A25F38">
      <w:pPr>
        <w:tabs>
          <w:tab w:val="left" w:pos="720"/>
        </w:tabs>
        <w:rPr>
          <w:b/>
          <w:bCs/>
        </w:rPr>
      </w:pPr>
    </w:p>
    <w:p w:rsidR="00A25F38" w:rsidRDefault="00A25F38" w:rsidP="00A25F38">
      <w:pPr>
        <w:numPr>
          <w:ilvl w:val="0"/>
          <w:numId w:val="8"/>
        </w:numPr>
        <w:tabs>
          <w:tab w:val="left" w:pos="720"/>
        </w:tabs>
        <w:rPr>
          <w:b/>
          <w:bCs/>
        </w:rPr>
      </w:pPr>
      <w:r w:rsidRPr="00A25F38">
        <w:rPr>
          <w:b/>
        </w:rPr>
        <w:t>Description of Collection</w:t>
      </w:r>
    </w:p>
    <w:p w:rsidR="00A25F38" w:rsidRDefault="00A25F38" w:rsidP="00A25F38">
      <w:pPr>
        <w:tabs>
          <w:tab w:val="left" w:pos="720"/>
        </w:tabs>
        <w:ind w:left="1080"/>
      </w:pPr>
      <w:r w:rsidRPr="00A25F38">
        <w:t xml:space="preserve">When Disability Determination Services deny a claim at the reconsideration level, the claimant has a right to request a hearing before an administrative law judge (ALJ).  For the hearing, SSA asks the claimant to complete and return </w:t>
      </w:r>
      <w:r w:rsidR="00E04630">
        <w:t>Form</w:t>
      </w:r>
      <w:r w:rsidRPr="00A25F38">
        <w:t xml:space="preserve"> HA-4631 if the claimant’s file does not reflect a current, complete</w:t>
      </w:r>
      <w:r w:rsidR="00E04630">
        <w:t>,</w:t>
      </w:r>
      <w:r w:rsidRPr="00A25F38">
        <w:t xml:space="preserve"> medical history as the claimant proceeds through the appeals process.  ALJs must obtain the information to update and complete the claimant’s record, and to verify the accuracy of the information.  Through this process, ALJs can ascertain whet</w:t>
      </w:r>
      <w:r w:rsidR="00E04630">
        <w:t>her the claimant's situation</w:t>
      </w:r>
      <w:r w:rsidRPr="00A25F38">
        <w:t xml:space="preserve"> changed.  The ALJs and hearing office staff use the response to make arrangements for consultative examinat</w:t>
      </w:r>
      <w:r w:rsidR="00E04630">
        <w:t xml:space="preserve">ion(s) and the attendance of any </w:t>
      </w:r>
      <w:r w:rsidRPr="00A25F38">
        <w:t xml:space="preserve">expert </w:t>
      </w:r>
      <w:r w:rsidR="00E04630">
        <w:t>witnesses</w:t>
      </w:r>
      <w:r w:rsidRPr="00A25F38">
        <w:t>, if appropriate.  During the hearing, the ALJ offers any completed questionnaires as exhibits, and may use them to refresh the claimant’s memory and to help shape their questions.  The respondents are claimants requesting hearings on entitlement to Old Age, Survivors, and Disability Insurance benefits or SSI payments.</w:t>
      </w:r>
    </w:p>
    <w:p w:rsidR="00E04630" w:rsidRPr="00A25F38" w:rsidRDefault="00E04630" w:rsidP="00A25F38">
      <w:pPr>
        <w:tabs>
          <w:tab w:val="left" w:pos="720"/>
        </w:tabs>
        <w:ind w:left="1080"/>
        <w:rPr>
          <w:b/>
          <w:bCs/>
        </w:rPr>
      </w:pPr>
    </w:p>
    <w:p w:rsidR="00E04630" w:rsidRDefault="00E04630" w:rsidP="00E04630">
      <w:pPr>
        <w:numPr>
          <w:ilvl w:val="0"/>
          <w:numId w:val="8"/>
        </w:numPr>
        <w:tabs>
          <w:tab w:val="left" w:pos="720"/>
        </w:tabs>
        <w:rPr>
          <w:b/>
          <w:bCs/>
        </w:rPr>
      </w:pPr>
      <w:r w:rsidRPr="00A25F38">
        <w:rPr>
          <w:b/>
          <w:spacing w:val="-6"/>
        </w:rPr>
        <w:t>Use of Information Technology to Collect the Information</w:t>
      </w:r>
    </w:p>
    <w:p w:rsidR="00E04630" w:rsidRPr="00E04630" w:rsidRDefault="00E04630" w:rsidP="00E04630">
      <w:pPr>
        <w:tabs>
          <w:tab w:val="left" w:pos="720"/>
        </w:tabs>
        <w:ind w:left="1080"/>
      </w:pPr>
      <w:r w:rsidRPr="00A25F38">
        <w:rPr>
          <w:spacing w:val="-6"/>
        </w:rPr>
        <w:t xml:space="preserve">Only a select population of claimants, determined solely at the discretion of the ALJ based on the conditions of each individual claimant’s hearing, completes the HA-4631.  </w:t>
      </w:r>
      <w:r>
        <w:t>SSA created a</w:t>
      </w:r>
      <w:r w:rsidRPr="00A25F38">
        <w:t xml:space="preserve"> PDF version of the HA-4631 form, which</w:t>
      </w:r>
      <w:r>
        <w:t xml:space="preserve"> </w:t>
      </w:r>
      <w:r w:rsidRPr="00A25F38">
        <w:t>is available</w:t>
      </w:r>
      <w:r>
        <w:t xml:space="preserve"> on the Internet</w:t>
      </w:r>
      <w:r w:rsidRPr="00A25F38">
        <w:t xml:space="preserve"> for </w:t>
      </w:r>
      <w:r>
        <w:t>claimants to download and print</w:t>
      </w:r>
      <w:r w:rsidRPr="00A25F38">
        <w:t>.</w:t>
      </w:r>
      <w:r>
        <w:t xml:space="preserve">  </w:t>
      </w:r>
      <w:r w:rsidRPr="00A25F38">
        <w:t xml:space="preserve">For claimants who appoint a representative, </w:t>
      </w:r>
      <w:r>
        <w:t xml:space="preserve">we allow representatives to submit Form HA-4631 </w:t>
      </w:r>
      <w:r w:rsidRPr="00A25F38">
        <w:t>electronic</w:t>
      </w:r>
      <w:r>
        <w:t>ally</w:t>
      </w:r>
      <w:r w:rsidRPr="00A25F38">
        <w:t xml:space="preserve"> through the Electronic Records Express initiative</w:t>
      </w:r>
      <w:r>
        <w:t xml:space="preserve"> (OMB No. 0960</w:t>
      </w:r>
      <w:r>
        <w:noBreakHyphen/>
        <w:t>0753)</w:t>
      </w:r>
      <w:r w:rsidRPr="00A25F38">
        <w:t>.  Appointment of a representative occurs in about 80% of claimant cases.  Electronic submission of Form HA-4631 is not available to claimants who do not appoint a representative.  Given the individualized nature of t</w:t>
      </w:r>
      <w:r>
        <w:t>he evidence respondents submit,</w:t>
      </w:r>
      <w:r w:rsidRPr="00A25F38">
        <w:t xml:space="preserve"> and the intermittent request for this information, SSA did not deem it appropriate to develop an el</w:t>
      </w:r>
      <w:r>
        <w:t>ectronic version of this form under</w:t>
      </w:r>
      <w:r w:rsidRPr="00A25F38">
        <w:t xml:space="preserve"> the Government Paperwork Elimination Act plan.</w:t>
      </w:r>
    </w:p>
    <w:p w:rsidR="00E04630" w:rsidRDefault="00E04630" w:rsidP="00E04630">
      <w:pPr>
        <w:tabs>
          <w:tab w:val="left" w:pos="720"/>
        </w:tabs>
        <w:ind w:left="1080"/>
        <w:rPr>
          <w:b/>
          <w:bCs/>
        </w:rPr>
      </w:pPr>
    </w:p>
    <w:p w:rsidR="00E04630" w:rsidRDefault="00E04630" w:rsidP="00E04630">
      <w:pPr>
        <w:tabs>
          <w:tab w:val="left" w:pos="720"/>
        </w:tabs>
        <w:ind w:left="1080"/>
        <w:rPr>
          <w:b/>
          <w:bCs/>
        </w:rPr>
      </w:pPr>
    </w:p>
    <w:p w:rsidR="00E04630" w:rsidRDefault="00E04630" w:rsidP="00E04630">
      <w:pPr>
        <w:tabs>
          <w:tab w:val="left" w:pos="720"/>
        </w:tabs>
        <w:ind w:left="1080"/>
        <w:rPr>
          <w:b/>
          <w:bCs/>
        </w:rPr>
      </w:pPr>
    </w:p>
    <w:p w:rsidR="00E04630" w:rsidRPr="00A25F38" w:rsidRDefault="00E04630" w:rsidP="00E04630">
      <w:pPr>
        <w:tabs>
          <w:tab w:val="left" w:pos="720"/>
        </w:tabs>
        <w:ind w:left="1080"/>
        <w:rPr>
          <w:b/>
          <w:bCs/>
        </w:rPr>
      </w:pPr>
    </w:p>
    <w:p w:rsidR="00A25F38" w:rsidRPr="00E04630" w:rsidRDefault="00E04630" w:rsidP="00A25F38">
      <w:pPr>
        <w:numPr>
          <w:ilvl w:val="0"/>
          <w:numId w:val="8"/>
        </w:numPr>
        <w:tabs>
          <w:tab w:val="left" w:pos="720"/>
        </w:tabs>
        <w:rPr>
          <w:b/>
          <w:bCs/>
        </w:rPr>
      </w:pPr>
      <w:r w:rsidRPr="00A25F38">
        <w:rPr>
          <w:b/>
        </w:rPr>
        <w:lastRenderedPageBreak/>
        <w:t>Why We Cannot Use Duplicate Information</w:t>
      </w:r>
    </w:p>
    <w:p w:rsidR="00E04630" w:rsidRDefault="00E04630" w:rsidP="00E04630">
      <w:pPr>
        <w:tabs>
          <w:tab w:val="left" w:pos="720"/>
        </w:tabs>
        <w:ind w:left="1080"/>
        <w:rPr>
          <w:b/>
        </w:rPr>
      </w:pPr>
      <w:r w:rsidRPr="00A25F38">
        <w:t>The n</w:t>
      </w:r>
      <w:r>
        <w:t>ature of the information we collect</w:t>
      </w:r>
      <w:r w:rsidRPr="00A25F38">
        <w:t xml:space="preserve"> and the manner in wh</w:t>
      </w:r>
      <w:r>
        <w:t>ich we collect</w:t>
      </w:r>
      <w:r w:rsidRPr="00A25F38">
        <w:t xml:space="preserve"> it preclude duplication.  SSA does not use another collection instrument to collect similar data</w:t>
      </w:r>
      <w:r>
        <w:t>.</w:t>
      </w:r>
    </w:p>
    <w:p w:rsidR="00E04630" w:rsidRPr="00A25F38" w:rsidRDefault="00E04630" w:rsidP="00E04630">
      <w:pPr>
        <w:tabs>
          <w:tab w:val="left" w:pos="720"/>
        </w:tabs>
        <w:ind w:left="1080"/>
        <w:rPr>
          <w:b/>
          <w:bCs/>
        </w:rPr>
      </w:pPr>
    </w:p>
    <w:p w:rsidR="00A25F38" w:rsidRPr="00E04630" w:rsidRDefault="00E04630" w:rsidP="00A25F38">
      <w:pPr>
        <w:numPr>
          <w:ilvl w:val="0"/>
          <w:numId w:val="8"/>
        </w:numPr>
        <w:tabs>
          <w:tab w:val="left" w:pos="720"/>
        </w:tabs>
        <w:rPr>
          <w:b/>
          <w:bCs/>
        </w:rPr>
      </w:pPr>
      <w:r w:rsidRPr="00A25F38">
        <w:rPr>
          <w:b/>
        </w:rPr>
        <w:t>Minimizing Burden on Small Respondents</w:t>
      </w:r>
    </w:p>
    <w:p w:rsidR="00E04630" w:rsidRDefault="00E04630" w:rsidP="00E04630">
      <w:pPr>
        <w:tabs>
          <w:tab w:val="left" w:pos="720"/>
        </w:tabs>
        <w:ind w:left="1080"/>
        <w:rPr>
          <w:b/>
        </w:rPr>
      </w:pPr>
      <w:r w:rsidRPr="00A25F38">
        <w:t>This collection does not affect small businesses or other small entities</w:t>
      </w:r>
      <w:r>
        <w:t>.</w:t>
      </w:r>
    </w:p>
    <w:p w:rsidR="00E04630" w:rsidRPr="00A25F38" w:rsidRDefault="00E04630" w:rsidP="00E04630">
      <w:pPr>
        <w:tabs>
          <w:tab w:val="left" w:pos="720"/>
        </w:tabs>
        <w:ind w:left="1080"/>
        <w:rPr>
          <w:b/>
          <w:bCs/>
        </w:rPr>
      </w:pPr>
    </w:p>
    <w:p w:rsidR="00A25F38" w:rsidRPr="00E04630" w:rsidRDefault="00E04630" w:rsidP="00A25F38">
      <w:pPr>
        <w:numPr>
          <w:ilvl w:val="0"/>
          <w:numId w:val="8"/>
        </w:numPr>
        <w:tabs>
          <w:tab w:val="left" w:pos="720"/>
        </w:tabs>
        <w:rPr>
          <w:b/>
          <w:bCs/>
        </w:rPr>
      </w:pPr>
      <w:r w:rsidRPr="00A25F38">
        <w:rPr>
          <w:b/>
        </w:rPr>
        <w:t>Consequences of Not Collecting Information or Collecting it Less Frequently</w:t>
      </w:r>
    </w:p>
    <w:p w:rsidR="00E04630" w:rsidRDefault="00E04630" w:rsidP="00E04630">
      <w:pPr>
        <w:tabs>
          <w:tab w:val="left" w:pos="720"/>
        </w:tabs>
        <w:ind w:left="1080"/>
        <w:rPr>
          <w:b/>
        </w:rPr>
      </w:pPr>
      <w:r w:rsidRPr="00A25F38">
        <w:t>If we did not use Form HA-</w:t>
      </w:r>
      <w:r>
        <w:t>4</w:t>
      </w:r>
      <w:r w:rsidRPr="00A25F38">
        <w:t xml:space="preserve">631, ALJs would not have </w:t>
      </w:r>
      <w:r>
        <w:t xml:space="preserve">the </w:t>
      </w:r>
      <w:r w:rsidRPr="00A25F38">
        <w:t xml:space="preserve">current and complete medical history </w:t>
      </w:r>
      <w:r>
        <w:t xml:space="preserve">needed </w:t>
      </w:r>
      <w:r w:rsidRPr="00A25F38">
        <w:t>to determine whether the cl</w:t>
      </w:r>
      <w:r>
        <w:t xml:space="preserve">aimant’s situation has changed, </w:t>
      </w:r>
      <w:r w:rsidRPr="00A25F38">
        <w:t>which could result in denial of the claimant’s claim.  Because we collect the information on an as needed basis, we cannot collect it less frequently.</w:t>
      </w:r>
      <w:r>
        <w:t xml:space="preserve">  </w:t>
      </w:r>
      <w:r w:rsidRPr="00A25F38">
        <w:t>There are no technical or legal obstacles to burden reduction</w:t>
      </w:r>
      <w:r>
        <w:t>.</w:t>
      </w:r>
    </w:p>
    <w:p w:rsidR="00E04630" w:rsidRPr="00A25F38" w:rsidRDefault="00E04630" w:rsidP="00E04630">
      <w:pPr>
        <w:tabs>
          <w:tab w:val="left" w:pos="720"/>
        </w:tabs>
        <w:ind w:left="1080"/>
        <w:rPr>
          <w:b/>
          <w:bCs/>
        </w:rPr>
      </w:pPr>
    </w:p>
    <w:p w:rsidR="00A25F38" w:rsidRPr="00E04630" w:rsidRDefault="00E04630" w:rsidP="00A25F38">
      <w:pPr>
        <w:numPr>
          <w:ilvl w:val="0"/>
          <w:numId w:val="8"/>
        </w:numPr>
        <w:tabs>
          <w:tab w:val="left" w:pos="720"/>
        </w:tabs>
        <w:rPr>
          <w:b/>
          <w:bCs/>
        </w:rPr>
      </w:pPr>
      <w:r w:rsidRPr="00E04630">
        <w:rPr>
          <w:b/>
        </w:rPr>
        <w:t>Special Circumstances</w:t>
      </w:r>
    </w:p>
    <w:p w:rsidR="00E04630" w:rsidRPr="00E04630" w:rsidRDefault="004A708C" w:rsidP="00E04630">
      <w:pPr>
        <w:tabs>
          <w:tab w:val="left" w:pos="720"/>
        </w:tabs>
        <w:ind w:left="1080"/>
        <w:rPr>
          <w:i/>
        </w:rPr>
      </w:pPr>
      <w:r w:rsidRPr="00AF3320">
        <w:t xml:space="preserve">There are no special circumstances that would cause SSA to conduct this information collection in a manner inconsistent with </w:t>
      </w:r>
      <w:r>
        <w:rPr>
          <w:i/>
        </w:rPr>
        <w:t>5 CFR 1320</w:t>
      </w:r>
      <w:r w:rsidR="00E04630" w:rsidRPr="00E04630">
        <w:rPr>
          <w:i/>
        </w:rPr>
        <w:t>.</w:t>
      </w:r>
    </w:p>
    <w:p w:rsidR="00E04630" w:rsidRPr="00A25F38" w:rsidRDefault="00E04630" w:rsidP="00E04630">
      <w:pPr>
        <w:tabs>
          <w:tab w:val="left" w:pos="720"/>
        </w:tabs>
        <w:ind w:left="1080"/>
        <w:rPr>
          <w:b/>
          <w:bCs/>
        </w:rPr>
      </w:pPr>
    </w:p>
    <w:p w:rsidR="00A25F38" w:rsidRPr="00E04630" w:rsidRDefault="00E04630" w:rsidP="00A25F38">
      <w:pPr>
        <w:numPr>
          <w:ilvl w:val="0"/>
          <w:numId w:val="8"/>
        </w:numPr>
        <w:tabs>
          <w:tab w:val="left" w:pos="720"/>
        </w:tabs>
        <w:rPr>
          <w:b/>
          <w:bCs/>
        </w:rPr>
      </w:pPr>
      <w:r w:rsidRPr="00A25F38">
        <w:rPr>
          <w:b/>
        </w:rPr>
        <w:t>Solicitation of Public Comment and Other Consultations with the Public</w:t>
      </w:r>
    </w:p>
    <w:p w:rsidR="00E04630" w:rsidRDefault="004A708C" w:rsidP="00E04630">
      <w:pPr>
        <w:tabs>
          <w:tab w:val="left" w:pos="720"/>
        </w:tabs>
        <w:ind w:left="1080"/>
        <w:rPr>
          <w:b/>
        </w:rPr>
      </w:pPr>
      <w:r w:rsidRPr="00AF3320">
        <w:t xml:space="preserve">The 60-day advance Federal Register Notice published on </w:t>
      </w:r>
      <w:r>
        <w:t>November 22</w:t>
      </w:r>
      <w:r w:rsidRPr="00AF3320">
        <w:t>, 2017, at</w:t>
      </w:r>
      <w:r w:rsidRPr="00AF3320">
        <w:rPr>
          <w:b/>
        </w:rPr>
        <w:t xml:space="preserve"> </w:t>
      </w:r>
      <w:r w:rsidRPr="00AF3320">
        <w:t xml:space="preserve">82 FR </w:t>
      </w:r>
      <w:r w:rsidRPr="004A708C">
        <w:rPr>
          <w:bCs/>
        </w:rPr>
        <w:t>55707</w:t>
      </w:r>
      <w:r w:rsidRPr="00AF3320">
        <w:t xml:space="preserve">, and we received no public comments.  The 30-day FRN published on </w:t>
      </w:r>
      <w:r>
        <w:t>March 21</w:t>
      </w:r>
      <w:r w:rsidRPr="00AF3320">
        <w:t xml:space="preserve">, 2018 at 83 FR </w:t>
      </w:r>
      <w:r w:rsidRPr="004A708C">
        <w:rPr>
          <w:bCs/>
        </w:rPr>
        <w:t>12455</w:t>
      </w:r>
      <w:r w:rsidRPr="004A708C">
        <w:t>.</w:t>
      </w:r>
      <w:r w:rsidRPr="00AF3320">
        <w:t xml:space="preserve">  If we receive any comments in response to this Notice, we will forward them to OMB</w:t>
      </w:r>
      <w:r>
        <w:t>.</w:t>
      </w:r>
    </w:p>
    <w:p w:rsidR="00E04630" w:rsidRPr="00A25F38" w:rsidRDefault="00E04630" w:rsidP="00E04630">
      <w:pPr>
        <w:tabs>
          <w:tab w:val="left" w:pos="720"/>
        </w:tabs>
        <w:ind w:left="1080"/>
        <w:rPr>
          <w:b/>
          <w:bCs/>
        </w:rPr>
      </w:pPr>
    </w:p>
    <w:p w:rsidR="00A25F38" w:rsidRPr="004A708C" w:rsidRDefault="004A708C" w:rsidP="00A25F38">
      <w:pPr>
        <w:numPr>
          <w:ilvl w:val="0"/>
          <w:numId w:val="8"/>
        </w:numPr>
        <w:tabs>
          <w:tab w:val="left" w:pos="720"/>
        </w:tabs>
        <w:rPr>
          <w:b/>
          <w:bCs/>
        </w:rPr>
      </w:pPr>
      <w:r w:rsidRPr="00A25F38">
        <w:rPr>
          <w:b/>
        </w:rPr>
        <w:t>Payments of Gifts to Respondents</w:t>
      </w:r>
    </w:p>
    <w:p w:rsidR="004A708C" w:rsidRDefault="004A708C" w:rsidP="004A708C">
      <w:pPr>
        <w:tabs>
          <w:tab w:val="left" w:pos="720"/>
        </w:tabs>
        <w:ind w:left="1080"/>
        <w:rPr>
          <w:b/>
        </w:rPr>
      </w:pPr>
      <w:r w:rsidRPr="00A25F38">
        <w:t>SSA does not provide payment or gifts to the respondents</w:t>
      </w:r>
      <w:r>
        <w:t>.</w:t>
      </w:r>
    </w:p>
    <w:p w:rsidR="004A708C" w:rsidRPr="00A25F38" w:rsidRDefault="004A708C" w:rsidP="004A708C">
      <w:pPr>
        <w:tabs>
          <w:tab w:val="left" w:pos="720"/>
        </w:tabs>
        <w:ind w:left="1080"/>
        <w:rPr>
          <w:b/>
          <w:bCs/>
        </w:rPr>
      </w:pPr>
    </w:p>
    <w:p w:rsidR="00A25F38" w:rsidRPr="004A708C" w:rsidRDefault="004A708C" w:rsidP="00A25F38">
      <w:pPr>
        <w:numPr>
          <w:ilvl w:val="0"/>
          <w:numId w:val="8"/>
        </w:numPr>
        <w:tabs>
          <w:tab w:val="left" w:pos="720"/>
        </w:tabs>
        <w:rPr>
          <w:b/>
          <w:bCs/>
        </w:rPr>
      </w:pPr>
      <w:r w:rsidRPr="00A25F38">
        <w:rPr>
          <w:b/>
        </w:rPr>
        <w:t>Assurances of Confidentiality</w:t>
      </w:r>
    </w:p>
    <w:p w:rsidR="004A708C" w:rsidRDefault="004A708C" w:rsidP="004A708C">
      <w:pPr>
        <w:tabs>
          <w:tab w:val="left" w:pos="720"/>
        </w:tabs>
        <w:ind w:left="1080"/>
        <w:rPr>
          <w:b/>
        </w:rPr>
      </w:pPr>
      <w:r w:rsidRPr="00203DFF">
        <w:t>SSA protects and holds confidential the information it</w:t>
      </w:r>
      <w:r>
        <w:t xml:space="preserve"> collects in accordance with </w:t>
      </w:r>
      <w:r w:rsidRPr="00AF3320">
        <w:rPr>
          <w:i/>
        </w:rPr>
        <w:t>42 U.S.C. 1306, 20 CFR 401</w:t>
      </w:r>
      <w:r w:rsidRPr="00203DFF">
        <w:t xml:space="preserve"> and </w:t>
      </w:r>
      <w:r w:rsidRPr="00AF3320">
        <w:rPr>
          <w:i/>
        </w:rPr>
        <w:t>402, 5 U.S.C. 552</w:t>
      </w:r>
      <w:r w:rsidRPr="00203DFF">
        <w:t xml:space="preserve"> </w:t>
      </w:r>
      <w:r>
        <w:t xml:space="preserve">(Freedom of Information Act), </w:t>
      </w:r>
      <w:r w:rsidRPr="00AF3320">
        <w:rPr>
          <w:i/>
        </w:rPr>
        <w:t>5 U.S.C. 552a</w:t>
      </w:r>
      <w:r w:rsidRPr="00203DFF">
        <w:t xml:space="preserve"> (Privacy Act of 1974), and OMB Circular No. A-13</w:t>
      </w:r>
      <w:r w:rsidRPr="00CD4E9C">
        <w:t>0</w:t>
      </w:r>
      <w:r>
        <w:t>.</w:t>
      </w:r>
    </w:p>
    <w:p w:rsidR="004A708C" w:rsidRPr="00A25F38" w:rsidRDefault="004A708C" w:rsidP="004A708C">
      <w:pPr>
        <w:tabs>
          <w:tab w:val="left" w:pos="720"/>
        </w:tabs>
        <w:ind w:left="1080"/>
        <w:rPr>
          <w:b/>
          <w:bCs/>
        </w:rPr>
      </w:pPr>
    </w:p>
    <w:p w:rsidR="00A25F38" w:rsidRPr="004A708C" w:rsidRDefault="004A708C" w:rsidP="00A25F38">
      <w:pPr>
        <w:numPr>
          <w:ilvl w:val="0"/>
          <w:numId w:val="8"/>
        </w:numPr>
        <w:tabs>
          <w:tab w:val="left" w:pos="720"/>
        </w:tabs>
        <w:rPr>
          <w:b/>
          <w:bCs/>
        </w:rPr>
      </w:pPr>
      <w:r w:rsidRPr="00A25F38">
        <w:rPr>
          <w:b/>
        </w:rPr>
        <w:t>Justification for Sensitive Questions</w:t>
      </w:r>
    </w:p>
    <w:p w:rsidR="004A708C" w:rsidRDefault="004A708C" w:rsidP="004A708C">
      <w:pPr>
        <w:tabs>
          <w:tab w:val="left" w:pos="720"/>
        </w:tabs>
        <w:ind w:left="1080"/>
        <w:rPr>
          <w:b/>
        </w:rPr>
      </w:pPr>
      <w:r w:rsidRPr="00A25F38">
        <w:t>The information collection does not contain any questions of a sensitive nature</w:t>
      </w:r>
      <w:r>
        <w:t>.</w:t>
      </w:r>
    </w:p>
    <w:p w:rsidR="004A708C" w:rsidRPr="00A25F38" w:rsidRDefault="004A708C" w:rsidP="004A708C">
      <w:pPr>
        <w:tabs>
          <w:tab w:val="left" w:pos="720"/>
        </w:tabs>
        <w:ind w:left="1080"/>
        <w:rPr>
          <w:b/>
          <w:bCs/>
        </w:rPr>
      </w:pPr>
    </w:p>
    <w:p w:rsidR="00A25F38" w:rsidRPr="004A708C" w:rsidRDefault="004A708C" w:rsidP="00A25F38">
      <w:pPr>
        <w:numPr>
          <w:ilvl w:val="0"/>
          <w:numId w:val="8"/>
        </w:numPr>
        <w:tabs>
          <w:tab w:val="left" w:pos="720"/>
        </w:tabs>
        <w:rPr>
          <w:b/>
          <w:bCs/>
        </w:rPr>
      </w:pPr>
      <w:r w:rsidRPr="00A25F38">
        <w:rPr>
          <w:b/>
        </w:rPr>
        <w:t>Estimates of Public Reporting Burden</w:t>
      </w:r>
    </w:p>
    <w:p w:rsidR="004A708C" w:rsidRDefault="004A708C" w:rsidP="004A708C">
      <w:pPr>
        <w:tabs>
          <w:tab w:val="left" w:pos="720"/>
        </w:tabs>
        <w:ind w:left="1080"/>
        <w:rPr>
          <w:b/>
        </w:rPr>
      </w:pPr>
      <w:r w:rsidRPr="00A25F38">
        <w:t>Approximately 200,000 respondents take 10 minu</w:t>
      </w:r>
      <w:r>
        <w:t>tes each to complete form HA</w:t>
      </w:r>
      <w:r>
        <w:noBreakHyphen/>
      </w:r>
      <w:r w:rsidRPr="00A25F38">
        <w:t xml:space="preserve">4631. </w:t>
      </w:r>
      <w:r>
        <w:t xml:space="preserve"> </w:t>
      </w:r>
      <w:r w:rsidRPr="00A25F38">
        <w:t xml:space="preserve">Accordingly, the burden is 33,333 hours. </w:t>
      </w:r>
      <w:r>
        <w:t xml:space="preserve"> W</w:t>
      </w:r>
      <w:r w:rsidRPr="000239D0">
        <w:t>e based this figure on current management information data, and it represents burden hours.  We did not calculate a separate cost burden.</w:t>
      </w:r>
    </w:p>
    <w:p w:rsidR="004A708C" w:rsidRPr="00A25F38" w:rsidRDefault="004A708C" w:rsidP="004A708C">
      <w:pPr>
        <w:tabs>
          <w:tab w:val="left" w:pos="720"/>
        </w:tabs>
        <w:ind w:left="1080"/>
        <w:rPr>
          <w:b/>
          <w:bCs/>
        </w:rPr>
      </w:pPr>
    </w:p>
    <w:p w:rsidR="00A25F38" w:rsidRPr="004A708C" w:rsidRDefault="004A708C" w:rsidP="00A25F38">
      <w:pPr>
        <w:numPr>
          <w:ilvl w:val="0"/>
          <w:numId w:val="8"/>
        </w:numPr>
        <w:tabs>
          <w:tab w:val="left" w:pos="720"/>
        </w:tabs>
        <w:rPr>
          <w:b/>
          <w:bCs/>
        </w:rPr>
      </w:pPr>
      <w:r w:rsidRPr="00A25F38">
        <w:rPr>
          <w:b/>
        </w:rPr>
        <w:t>Cost to Respondents</w:t>
      </w:r>
    </w:p>
    <w:p w:rsidR="004A708C" w:rsidRDefault="004A708C" w:rsidP="004A708C">
      <w:pPr>
        <w:tabs>
          <w:tab w:val="left" w:pos="720"/>
        </w:tabs>
        <w:ind w:left="1080"/>
        <w:rPr>
          <w:b/>
        </w:rPr>
      </w:pPr>
      <w:r w:rsidRPr="00A25F38">
        <w:t>There is no known cost burden to the respondents</w:t>
      </w:r>
      <w:r>
        <w:t>.</w:t>
      </w:r>
    </w:p>
    <w:p w:rsidR="004A708C" w:rsidRDefault="004A708C" w:rsidP="004A708C">
      <w:pPr>
        <w:tabs>
          <w:tab w:val="left" w:pos="720"/>
        </w:tabs>
        <w:ind w:left="1080"/>
        <w:rPr>
          <w:b/>
          <w:bCs/>
        </w:rPr>
      </w:pPr>
    </w:p>
    <w:p w:rsidR="004A708C" w:rsidRPr="00A25F38" w:rsidRDefault="004A708C" w:rsidP="004A708C">
      <w:pPr>
        <w:tabs>
          <w:tab w:val="left" w:pos="720"/>
        </w:tabs>
        <w:ind w:left="1080"/>
        <w:rPr>
          <w:b/>
          <w:bCs/>
        </w:rPr>
      </w:pPr>
    </w:p>
    <w:p w:rsidR="00A25F38" w:rsidRPr="004A708C" w:rsidRDefault="004A708C" w:rsidP="00A25F38">
      <w:pPr>
        <w:numPr>
          <w:ilvl w:val="0"/>
          <w:numId w:val="8"/>
        </w:numPr>
        <w:tabs>
          <w:tab w:val="left" w:pos="720"/>
        </w:tabs>
        <w:rPr>
          <w:b/>
          <w:bCs/>
        </w:rPr>
      </w:pPr>
      <w:r w:rsidRPr="00A25F38">
        <w:rPr>
          <w:b/>
        </w:rPr>
        <w:lastRenderedPageBreak/>
        <w:t>Annual Cost to the Federal Government</w:t>
      </w:r>
    </w:p>
    <w:p w:rsidR="004A708C" w:rsidRDefault="004A708C" w:rsidP="004A708C">
      <w:pPr>
        <w:tabs>
          <w:tab w:val="left" w:pos="720"/>
        </w:tabs>
        <w:ind w:left="1080"/>
        <w:rPr>
          <w:b/>
        </w:rPr>
      </w:pPr>
      <w:r>
        <w:t>The annual cost to the Federal government for the form is approximately $539,000.</w:t>
      </w:r>
      <w:r>
        <w:rPr>
          <w:color w:val="000000"/>
        </w:rPr>
        <w:t xml:space="preserve">  </w:t>
      </w:r>
      <w:r w:rsidRPr="00071D95">
        <w:rPr>
          <w:color w:val="000000"/>
        </w:rPr>
        <w:t xml:space="preserve">This estimate accounts for costs from the following areas:  (1) designing, printing, and distributing the form; </w:t>
      </w:r>
      <w:r>
        <w:rPr>
          <w:color w:val="000000"/>
        </w:rPr>
        <w:t xml:space="preserve">and </w:t>
      </w:r>
      <w:r w:rsidRPr="00071D95">
        <w:rPr>
          <w:color w:val="000000"/>
        </w:rPr>
        <w:t>(2) SSA employee (e.g., field office, 800 number, DDS staff) information</w:t>
      </w:r>
      <w:r>
        <w:rPr>
          <w:color w:val="000000"/>
        </w:rPr>
        <w:t xml:space="preserve"> collection and processing time.  We account for the cost for </w:t>
      </w:r>
      <w:r w:rsidRPr="00071D95">
        <w:rPr>
          <w:color w:val="000000"/>
        </w:rPr>
        <w:t>systems development, updating, and maintenance costs</w:t>
      </w:r>
      <w:r>
        <w:rPr>
          <w:color w:val="000000"/>
        </w:rPr>
        <w:t xml:space="preserve"> for the ERE system in the ICR for 0960-0753.</w:t>
      </w:r>
    </w:p>
    <w:p w:rsidR="004A708C" w:rsidRPr="00A25F38" w:rsidRDefault="004A708C" w:rsidP="004A708C">
      <w:pPr>
        <w:tabs>
          <w:tab w:val="left" w:pos="720"/>
        </w:tabs>
        <w:ind w:left="1080"/>
        <w:rPr>
          <w:b/>
          <w:bCs/>
        </w:rPr>
      </w:pPr>
    </w:p>
    <w:p w:rsidR="00A25F38" w:rsidRPr="004A708C" w:rsidRDefault="004A708C" w:rsidP="00A25F38">
      <w:pPr>
        <w:numPr>
          <w:ilvl w:val="0"/>
          <w:numId w:val="8"/>
        </w:numPr>
        <w:tabs>
          <w:tab w:val="left" w:pos="720"/>
        </w:tabs>
        <w:rPr>
          <w:b/>
          <w:bCs/>
        </w:rPr>
      </w:pPr>
      <w:r w:rsidRPr="00A25F38">
        <w:rPr>
          <w:b/>
        </w:rPr>
        <w:t>Program Changes or Adjustments to the Information Collection</w:t>
      </w:r>
    </w:p>
    <w:p w:rsidR="004A708C" w:rsidRDefault="004A708C" w:rsidP="004A708C">
      <w:pPr>
        <w:tabs>
          <w:tab w:val="left" w:pos="720"/>
        </w:tabs>
        <w:ind w:left="1080"/>
        <w:rPr>
          <w:b/>
        </w:rPr>
      </w:pPr>
      <w:r w:rsidRPr="00A25F38">
        <w:rPr>
          <w:bCs/>
          <w:iCs/>
        </w:rPr>
        <w:t>There are no changes to the public reporting burden</w:t>
      </w:r>
      <w:r>
        <w:rPr>
          <w:bCs/>
          <w:iCs/>
        </w:rPr>
        <w:t>.</w:t>
      </w:r>
    </w:p>
    <w:p w:rsidR="004A708C" w:rsidRPr="00A25F38" w:rsidRDefault="004A708C" w:rsidP="004A708C">
      <w:pPr>
        <w:tabs>
          <w:tab w:val="left" w:pos="720"/>
        </w:tabs>
        <w:ind w:left="1080"/>
        <w:rPr>
          <w:b/>
          <w:bCs/>
        </w:rPr>
      </w:pPr>
    </w:p>
    <w:p w:rsidR="00A25F38" w:rsidRPr="004A708C" w:rsidRDefault="004A708C" w:rsidP="00A25F38">
      <w:pPr>
        <w:numPr>
          <w:ilvl w:val="0"/>
          <w:numId w:val="8"/>
        </w:numPr>
        <w:tabs>
          <w:tab w:val="left" w:pos="720"/>
        </w:tabs>
        <w:rPr>
          <w:b/>
          <w:bCs/>
        </w:rPr>
      </w:pPr>
      <w:r w:rsidRPr="00A25F38">
        <w:rPr>
          <w:b/>
        </w:rPr>
        <w:t>Plans for Publication Information Collection Results</w:t>
      </w:r>
    </w:p>
    <w:p w:rsidR="004A708C" w:rsidRDefault="004A708C" w:rsidP="004A708C">
      <w:pPr>
        <w:tabs>
          <w:tab w:val="left" w:pos="720"/>
        </w:tabs>
        <w:ind w:left="1080"/>
        <w:rPr>
          <w:b/>
        </w:rPr>
      </w:pPr>
      <w:r w:rsidRPr="00A25F38">
        <w:t>SSA will not publish the results of the information collection</w:t>
      </w:r>
      <w:r>
        <w:t>.</w:t>
      </w:r>
    </w:p>
    <w:p w:rsidR="004A708C" w:rsidRPr="00A25F38" w:rsidRDefault="004A708C" w:rsidP="004A708C">
      <w:pPr>
        <w:tabs>
          <w:tab w:val="left" w:pos="720"/>
        </w:tabs>
        <w:ind w:left="1080"/>
        <w:rPr>
          <w:b/>
          <w:bCs/>
        </w:rPr>
      </w:pPr>
    </w:p>
    <w:p w:rsidR="00A25F38" w:rsidRPr="004A708C" w:rsidRDefault="004A708C" w:rsidP="00A25F38">
      <w:pPr>
        <w:numPr>
          <w:ilvl w:val="0"/>
          <w:numId w:val="8"/>
        </w:numPr>
        <w:tabs>
          <w:tab w:val="left" w:pos="720"/>
        </w:tabs>
        <w:rPr>
          <w:b/>
          <w:bCs/>
        </w:rPr>
      </w:pPr>
      <w:r w:rsidRPr="00A25F38">
        <w:rPr>
          <w:b/>
        </w:rPr>
        <w:t>Displaying the OMB Expiration Date</w:t>
      </w:r>
    </w:p>
    <w:p w:rsidR="004A708C" w:rsidRDefault="004A708C" w:rsidP="004A708C">
      <w:pPr>
        <w:tabs>
          <w:tab w:val="left" w:pos="720"/>
        </w:tabs>
        <w:ind w:left="1080"/>
        <w:rPr>
          <w:b/>
        </w:rPr>
      </w:pPr>
      <w:r w:rsidRPr="00A25F38">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t>.</w:t>
      </w:r>
    </w:p>
    <w:p w:rsidR="004A708C" w:rsidRPr="00A25F38" w:rsidRDefault="004A708C" w:rsidP="004A708C">
      <w:pPr>
        <w:tabs>
          <w:tab w:val="left" w:pos="720"/>
        </w:tabs>
        <w:ind w:left="1080"/>
        <w:rPr>
          <w:b/>
          <w:bCs/>
        </w:rPr>
      </w:pPr>
    </w:p>
    <w:p w:rsidR="00A25F38" w:rsidRPr="004A708C" w:rsidRDefault="004A708C" w:rsidP="00A25F38">
      <w:pPr>
        <w:numPr>
          <w:ilvl w:val="0"/>
          <w:numId w:val="8"/>
        </w:numPr>
        <w:tabs>
          <w:tab w:val="left" w:pos="720"/>
        </w:tabs>
        <w:rPr>
          <w:b/>
          <w:bCs/>
        </w:rPr>
      </w:pPr>
      <w:r w:rsidRPr="00A25F38">
        <w:rPr>
          <w:b/>
          <w:spacing w:val="-1"/>
        </w:rPr>
        <w:t>Exception to Certification Statement</w:t>
      </w:r>
    </w:p>
    <w:p w:rsidR="004A708C" w:rsidRDefault="004A708C" w:rsidP="004A708C">
      <w:pPr>
        <w:tabs>
          <w:tab w:val="left" w:pos="720"/>
        </w:tabs>
        <w:ind w:left="1080"/>
        <w:rPr>
          <w:b/>
          <w:spacing w:val="-1"/>
        </w:rPr>
      </w:pPr>
      <w:r w:rsidRPr="007D344A">
        <w:t xml:space="preserve">SSA is not requesting an exception to the certification requirements at </w:t>
      </w:r>
      <w:r w:rsidRPr="007D344A">
        <w:rPr>
          <w:i/>
        </w:rPr>
        <w:t xml:space="preserve">5 CFR 1320.9 </w:t>
      </w:r>
      <w:r w:rsidRPr="007D344A">
        <w:t>and related provisions at</w:t>
      </w:r>
      <w:r w:rsidRPr="007D344A">
        <w:rPr>
          <w:i/>
        </w:rPr>
        <w:t xml:space="preserve"> 5 CFR 1320.8(b)(3)</w:t>
      </w:r>
      <w:r>
        <w:rPr>
          <w:i/>
        </w:rPr>
        <w:t>.</w:t>
      </w:r>
    </w:p>
    <w:p w:rsidR="00A25F38" w:rsidRPr="00A25F38" w:rsidRDefault="00A25F38" w:rsidP="00A25F38">
      <w:pPr>
        <w:tabs>
          <w:tab w:val="left" w:pos="720"/>
        </w:tabs>
        <w:ind w:left="1080"/>
        <w:rPr>
          <w:b/>
          <w:bCs/>
        </w:rPr>
      </w:pPr>
    </w:p>
    <w:p w:rsidR="004A708C" w:rsidRPr="004A708C" w:rsidRDefault="004A708C" w:rsidP="004A708C">
      <w:pPr>
        <w:numPr>
          <w:ilvl w:val="0"/>
          <w:numId w:val="7"/>
        </w:numPr>
        <w:tabs>
          <w:tab w:val="left" w:pos="720"/>
        </w:tabs>
        <w:rPr>
          <w:b/>
          <w:bCs/>
        </w:rPr>
      </w:pPr>
      <w:r w:rsidRPr="00A25F38">
        <w:rPr>
          <w:b/>
          <w:spacing w:val="-4"/>
          <w:u w:val="single"/>
        </w:rPr>
        <w:t>Collections of</w:t>
      </w:r>
      <w:r w:rsidRPr="00A25F38">
        <w:rPr>
          <w:b/>
          <w:u w:val="single"/>
        </w:rPr>
        <w:t xml:space="preserve"> </w:t>
      </w:r>
      <w:r w:rsidRPr="00A25F38">
        <w:rPr>
          <w:b/>
          <w:spacing w:val="-4"/>
          <w:u w:val="single"/>
        </w:rPr>
        <w:t>Information Employing Statistical Methods</w:t>
      </w:r>
    </w:p>
    <w:p w:rsidR="00AB32F4" w:rsidRDefault="00AB32F4" w:rsidP="00573F69">
      <w:pPr>
        <w:tabs>
          <w:tab w:val="left" w:pos="720"/>
        </w:tabs>
      </w:pPr>
      <w:r w:rsidRPr="00A25F38">
        <w:tab/>
      </w:r>
    </w:p>
    <w:p w:rsidR="00AB32F4" w:rsidRPr="00573F69" w:rsidRDefault="00573F69" w:rsidP="00573F69">
      <w:pPr>
        <w:tabs>
          <w:tab w:val="left" w:pos="1080"/>
        </w:tabs>
        <w:rPr>
          <w:b/>
          <w:bCs/>
        </w:rPr>
      </w:pPr>
      <w:r>
        <w:tab/>
      </w:r>
      <w:r w:rsidRPr="00A25F38">
        <w:t>SSA is not using statistical methods for this information collection</w:t>
      </w:r>
      <w:r>
        <w:t>.</w:t>
      </w:r>
    </w:p>
    <w:sectPr w:rsidR="00AB32F4" w:rsidRPr="00573F69" w:rsidSect="00A25F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86A" w:rsidRDefault="00D7286A">
      <w:r>
        <w:separator/>
      </w:r>
    </w:p>
  </w:endnote>
  <w:endnote w:type="continuationSeparator" w:id="0">
    <w:p w:rsidR="00D7286A" w:rsidRDefault="00D7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93" w:rsidRDefault="00934F93" w:rsidP="00440F71">
    <w:pPr>
      <w:pStyle w:val="Footer"/>
      <w:ind w:left="4320"/>
    </w:pPr>
    <w:r>
      <w:tab/>
    </w:r>
    <w:r>
      <w:tab/>
      <w:t xml:space="preserve">                                                                                                    </w:t>
    </w:r>
  </w:p>
  <w:p w:rsidR="00934F93" w:rsidRDefault="00934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86A" w:rsidRDefault="00D7286A">
      <w:r>
        <w:separator/>
      </w:r>
    </w:p>
  </w:footnote>
  <w:footnote w:type="continuationSeparator" w:id="0">
    <w:p w:rsidR="00D7286A" w:rsidRDefault="00D72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1">
    <w:nsid w:val="38AC525D"/>
    <w:multiLevelType w:val="hybridMultilevel"/>
    <w:tmpl w:val="A49803B6"/>
    <w:lvl w:ilvl="0" w:tplc="79F08E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0247C6"/>
    <w:multiLevelType w:val="hybridMultilevel"/>
    <w:tmpl w:val="61986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557153"/>
    <w:multiLevelType w:val="hybridMultilevel"/>
    <w:tmpl w:val="D2BC2554"/>
    <w:lvl w:ilvl="0" w:tplc="743E0A76">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3955165"/>
    <w:multiLevelType w:val="hybridMultilevel"/>
    <w:tmpl w:val="909C3E64"/>
    <w:lvl w:ilvl="0" w:tplc="7DB6396C">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C27770"/>
    <w:multiLevelType w:val="hybridMultilevel"/>
    <w:tmpl w:val="2C54DC4E"/>
    <w:lvl w:ilvl="0" w:tplc="98BA826E">
      <w:start w:val="2"/>
      <w:numFmt w:val="upperRoman"/>
      <w:lvlText w:val="%1."/>
      <w:lvlJc w:val="left"/>
      <w:pPr>
        <w:tabs>
          <w:tab w:val="num" w:pos="1440"/>
        </w:tabs>
        <w:ind w:left="1440" w:hanging="720"/>
      </w:pPr>
      <w:rPr>
        <w:rFonts w:ascii="Times New (W1)" w:hAnsi="Times New (W1)" w:cs="Times New Roman"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080"/>
        </w:tabs>
        <w:ind w:left="1080" w:hanging="360"/>
      </w:pPr>
      <w:rPr>
        <w:rFonts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637B2B12"/>
    <w:multiLevelType w:val="hybridMultilevel"/>
    <w:tmpl w:val="E70C37EE"/>
    <w:lvl w:ilvl="0" w:tplc="2214A968">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BD15F8"/>
    <w:multiLevelType w:val="hybridMultilevel"/>
    <w:tmpl w:val="93E076AE"/>
    <w:lvl w:ilvl="0" w:tplc="5AAE5DB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6"/>
  </w:num>
  <w:num w:numId="3">
    <w:abstractNumId w:val="7"/>
  </w:num>
  <w:num w:numId="4">
    <w:abstractNumId w:val="1"/>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F4"/>
    <w:rsid w:val="00015F07"/>
    <w:rsid w:val="000418A8"/>
    <w:rsid w:val="00063A28"/>
    <w:rsid w:val="0007255B"/>
    <w:rsid w:val="000B2104"/>
    <w:rsid w:val="000B46BE"/>
    <w:rsid w:val="000D2538"/>
    <w:rsid w:val="001568A6"/>
    <w:rsid w:val="00163421"/>
    <w:rsid w:val="00166F3E"/>
    <w:rsid w:val="00184352"/>
    <w:rsid w:val="001D0614"/>
    <w:rsid w:val="001D2DD2"/>
    <w:rsid w:val="00204AA8"/>
    <w:rsid w:val="00204F86"/>
    <w:rsid w:val="00221F77"/>
    <w:rsid w:val="00240CE3"/>
    <w:rsid w:val="002514CF"/>
    <w:rsid w:val="0026739E"/>
    <w:rsid w:val="00275D66"/>
    <w:rsid w:val="002947D5"/>
    <w:rsid w:val="002A0808"/>
    <w:rsid w:val="002A55B1"/>
    <w:rsid w:val="002D152D"/>
    <w:rsid w:val="002D3584"/>
    <w:rsid w:val="002D43F7"/>
    <w:rsid w:val="002D7B9F"/>
    <w:rsid w:val="002F5A9E"/>
    <w:rsid w:val="00324ADC"/>
    <w:rsid w:val="0034090A"/>
    <w:rsid w:val="003526A2"/>
    <w:rsid w:val="003723DD"/>
    <w:rsid w:val="003878D2"/>
    <w:rsid w:val="00393E57"/>
    <w:rsid w:val="003959E1"/>
    <w:rsid w:val="003B34BD"/>
    <w:rsid w:val="003B7635"/>
    <w:rsid w:val="003C0127"/>
    <w:rsid w:val="003C3F78"/>
    <w:rsid w:val="003C5144"/>
    <w:rsid w:val="00404E73"/>
    <w:rsid w:val="004165F9"/>
    <w:rsid w:val="00435A4A"/>
    <w:rsid w:val="00440F71"/>
    <w:rsid w:val="00454259"/>
    <w:rsid w:val="00472695"/>
    <w:rsid w:val="004759AB"/>
    <w:rsid w:val="00483F41"/>
    <w:rsid w:val="004919EB"/>
    <w:rsid w:val="004A2736"/>
    <w:rsid w:val="004A30CD"/>
    <w:rsid w:val="004A6B59"/>
    <w:rsid w:val="004A708C"/>
    <w:rsid w:val="004D08D3"/>
    <w:rsid w:val="004E0ED5"/>
    <w:rsid w:val="004E6AE9"/>
    <w:rsid w:val="0051164E"/>
    <w:rsid w:val="005326BB"/>
    <w:rsid w:val="00532F06"/>
    <w:rsid w:val="005347CF"/>
    <w:rsid w:val="00546985"/>
    <w:rsid w:val="0057234D"/>
    <w:rsid w:val="00573F69"/>
    <w:rsid w:val="005B7FB3"/>
    <w:rsid w:val="005D296E"/>
    <w:rsid w:val="005D3C3D"/>
    <w:rsid w:val="005F6A29"/>
    <w:rsid w:val="00601059"/>
    <w:rsid w:val="00676B82"/>
    <w:rsid w:val="00686AD2"/>
    <w:rsid w:val="006A098E"/>
    <w:rsid w:val="006C3984"/>
    <w:rsid w:val="006D29DD"/>
    <w:rsid w:val="006D4C40"/>
    <w:rsid w:val="006E182F"/>
    <w:rsid w:val="006F13E6"/>
    <w:rsid w:val="007177C9"/>
    <w:rsid w:val="00721885"/>
    <w:rsid w:val="0072549A"/>
    <w:rsid w:val="00752694"/>
    <w:rsid w:val="00775D39"/>
    <w:rsid w:val="00796470"/>
    <w:rsid w:val="00814B5B"/>
    <w:rsid w:val="008158C1"/>
    <w:rsid w:val="008651A5"/>
    <w:rsid w:val="0087658C"/>
    <w:rsid w:val="00897A60"/>
    <w:rsid w:val="008A18C4"/>
    <w:rsid w:val="008B6CE7"/>
    <w:rsid w:val="008D03A4"/>
    <w:rsid w:val="008D104E"/>
    <w:rsid w:val="008E1EEB"/>
    <w:rsid w:val="008E6E02"/>
    <w:rsid w:val="009078EC"/>
    <w:rsid w:val="0093486E"/>
    <w:rsid w:val="00934F93"/>
    <w:rsid w:val="0096187B"/>
    <w:rsid w:val="009E1B1C"/>
    <w:rsid w:val="009F40D6"/>
    <w:rsid w:val="00A11648"/>
    <w:rsid w:val="00A24243"/>
    <w:rsid w:val="00A25F38"/>
    <w:rsid w:val="00A40267"/>
    <w:rsid w:val="00A40C89"/>
    <w:rsid w:val="00A450AE"/>
    <w:rsid w:val="00A53ADA"/>
    <w:rsid w:val="00A75D9C"/>
    <w:rsid w:val="00A92193"/>
    <w:rsid w:val="00AB029B"/>
    <w:rsid w:val="00AB31A1"/>
    <w:rsid w:val="00AB32F4"/>
    <w:rsid w:val="00AB6641"/>
    <w:rsid w:val="00AC6FE5"/>
    <w:rsid w:val="00AD5456"/>
    <w:rsid w:val="00AE6906"/>
    <w:rsid w:val="00B4362A"/>
    <w:rsid w:val="00BC25CA"/>
    <w:rsid w:val="00C42370"/>
    <w:rsid w:val="00C64270"/>
    <w:rsid w:val="00C75B19"/>
    <w:rsid w:val="00C841D2"/>
    <w:rsid w:val="00C9578B"/>
    <w:rsid w:val="00CA2330"/>
    <w:rsid w:val="00CB2854"/>
    <w:rsid w:val="00CE0F20"/>
    <w:rsid w:val="00CF131B"/>
    <w:rsid w:val="00D14016"/>
    <w:rsid w:val="00D14150"/>
    <w:rsid w:val="00D16440"/>
    <w:rsid w:val="00D3475D"/>
    <w:rsid w:val="00D725F1"/>
    <w:rsid w:val="00D7286A"/>
    <w:rsid w:val="00D87461"/>
    <w:rsid w:val="00D93ACE"/>
    <w:rsid w:val="00DA3AC2"/>
    <w:rsid w:val="00DB1870"/>
    <w:rsid w:val="00DB2AEA"/>
    <w:rsid w:val="00DE218A"/>
    <w:rsid w:val="00DF1779"/>
    <w:rsid w:val="00DF7417"/>
    <w:rsid w:val="00E04630"/>
    <w:rsid w:val="00E54293"/>
    <w:rsid w:val="00E542AC"/>
    <w:rsid w:val="00E61950"/>
    <w:rsid w:val="00E73D6A"/>
    <w:rsid w:val="00E842BF"/>
    <w:rsid w:val="00E85990"/>
    <w:rsid w:val="00ED5490"/>
    <w:rsid w:val="00EF6E26"/>
    <w:rsid w:val="00EF76D2"/>
    <w:rsid w:val="00F0179D"/>
    <w:rsid w:val="00F06CB1"/>
    <w:rsid w:val="00F1733C"/>
    <w:rsid w:val="00F45C78"/>
    <w:rsid w:val="00F56E88"/>
    <w:rsid w:val="00F90B6B"/>
    <w:rsid w:val="00F92981"/>
    <w:rsid w:val="00FA495B"/>
    <w:rsid w:val="00FB11A1"/>
    <w:rsid w:val="00FC35F2"/>
    <w:rsid w:val="00FD2641"/>
    <w:rsid w:val="00FD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B2854"/>
    <w:pPr>
      <w:keepNext/>
      <w:widowControl w:val="0"/>
      <w:tabs>
        <w:tab w:val="center" w:pos="4680"/>
      </w:tabs>
      <w:suppressAutoHyphens/>
      <w:jc w:val="center"/>
      <w:outlineLvl w:val="0"/>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AB32F4"/>
    <w:pPr>
      <w:widowControl w:val="0"/>
      <w:tabs>
        <w:tab w:val="left" w:pos="1440"/>
      </w:tabs>
      <w:spacing w:line="240" w:lineRule="exact"/>
      <w:ind w:left="1368" w:hanging="720"/>
    </w:pPr>
    <w:rPr>
      <w:noProof/>
      <w:color w:val="000000"/>
      <w:sz w:val="20"/>
      <w:szCs w:val="20"/>
      <w:lang w:eastAsia="zh-CN"/>
    </w:rPr>
  </w:style>
  <w:style w:type="paragraph" w:customStyle="1" w:styleId="Style3">
    <w:name w:val="Style 3"/>
    <w:basedOn w:val="Normal"/>
    <w:rsid w:val="00AB32F4"/>
    <w:pPr>
      <w:widowControl w:val="0"/>
      <w:spacing w:line="240" w:lineRule="exact"/>
      <w:ind w:left="1368" w:hanging="720"/>
    </w:pPr>
    <w:rPr>
      <w:noProof/>
      <w:color w:val="000000"/>
      <w:sz w:val="20"/>
      <w:szCs w:val="20"/>
      <w:lang w:eastAsia="zh-CN"/>
    </w:rPr>
  </w:style>
  <w:style w:type="paragraph" w:customStyle="1" w:styleId="Style4">
    <w:name w:val="Style 4"/>
    <w:basedOn w:val="Normal"/>
    <w:rsid w:val="00AB32F4"/>
    <w:pPr>
      <w:widowControl w:val="0"/>
    </w:pPr>
    <w:rPr>
      <w:noProof/>
      <w:color w:val="000000"/>
      <w:sz w:val="20"/>
      <w:szCs w:val="20"/>
      <w:lang w:eastAsia="zh-CN"/>
    </w:rPr>
  </w:style>
  <w:style w:type="paragraph" w:styleId="Header">
    <w:name w:val="header"/>
    <w:basedOn w:val="Normal"/>
    <w:rsid w:val="00440F71"/>
    <w:pPr>
      <w:tabs>
        <w:tab w:val="center" w:pos="4320"/>
        <w:tab w:val="right" w:pos="8640"/>
      </w:tabs>
    </w:pPr>
  </w:style>
  <w:style w:type="paragraph" w:styleId="Footer">
    <w:name w:val="footer"/>
    <w:basedOn w:val="Normal"/>
    <w:rsid w:val="00440F71"/>
    <w:pPr>
      <w:tabs>
        <w:tab w:val="center" w:pos="4320"/>
        <w:tab w:val="right" w:pos="8640"/>
      </w:tabs>
    </w:pPr>
  </w:style>
  <w:style w:type="paragraph" w:customStyle="1" w:styleId="Style5">
    <w:name w:val="Style 5"/>
    <w:basedOn w:val="Normal"/>
    <w:rsid w:val="00A24243"/>
    <w:pPr>
      <w:widowControl w:val="0"/>
      <w:spacing w:after="288"/>
      <w:ind w:left="648" w:right="936"/>
    </w:pPr>
    <w:rPr>
      <w:noProof/>
      <w:color w:val="000000"/>
      <w:sz w:val="20"/>
      <w:szCs w:val="20"/>
      <w:lang w:eastAsia="zh-CN"/>
    </w:rPr>
  </w:style>
  <w:style w:type="paragraph" w:styleId="BalloonText">
    <w:name w:val="Balloon Text"/>
    <w:basedOn w:val="Normal"/>
    <w:semiHidden/>
    <w:rsid w:val="00166F3E"/>
    <w:rPr>
      <w:rFonts w:ascii="Tahoma" w:hAnsi="Tahoma" w:cs="Tahoma"/>
      <w:sz w:val="16"/>
      <w:szCs w:val="16"/>
    </w:rPr>
  </w:style>
  <w:style w:type="paragraph" w:styleId="BodyText2">
    <w:name w:val="Body Text 2"/>
    <w:basedOn w:val="Normal"/>
    <w:rsid w:val="00686A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paragraph" w:styleId="HTMLPreformatted">
    <w:name w:val="HTML Preformatted"/>
    <w:basedOn w:val="Normal"/>
    <w:rsid w:val="00204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Davidson">
    <w:name w:val="Davidson"/>
    <w:aliases w:val="Liz"/>
    <w:semiHidden/>
    <w:rsid w:val="00FD2B61"/>
    <w:rPr>
      <w:rFonts w:ascii="Book Antiqua" w:hAnsi="Book Antiqua" w:hint="default"/>
      <w:b w:val="0"/>
      <w:bCs w:val="0"/>
      <w:i w:val="0"/>
      <w:iCs w:val="0"/>
      <w:strike w:val="0"/>
      <w:dstrike w:val="0"/>
      <w:color w:val="auto"/>
      <w:sz w:val="20"/>
      <w:szCs w:val="24"/>
      <w:u w:val="none"/>
      <w:effect w:val="none"/>
    </w:rPr>
  </w:style>
  <w:style w:type="character" w:customStyle="1" w:styleId="Heading1Char">
    <w:name w:val="Heading 1 Char"/>
    <w:link w:val="Heading1"/>
    <w:rsid w:val="00CB2854"/>
    <w:rPr>
      <w:b/>
      <w:bCs/>
      <w:snapToGrid w:val="0"/>
      <w:sz w:val="24"/>
      <w:szCs w:val="24"/>
    </w:rPr>
  </w:style>
  <w:style w:type="character" w:styleId="Hyperlink">
    <w:name w:val="Hyperlink"/>
    <w:rsid w:val="00B4362A"/>
    <w:rPr>
      <w:color w:val="0000FF"/>
      <w:u w:val="single"/>
    </w:rPr>
  </w:style>
  <w:style w:type="paragraph" w:styleId="BodyTextIndent2">
    <w:name w:val="Body Text Indent 2"/>
    <w:basedOn w:val="Normal"/>
    <w:link w:val="BodyTextIndent2Char"/>
    <w:rsid w:val="005F6A29"/>
    <w:pPr>
      <w:spacing w:after="120" w:line="480" w:lineRule="auto"/>
      <w:ind w:left="360"/>
    </w:pPr>
  </w:style>
  <w:style w:type="character" w:customStyle="1" w:styleId="BodyTextIndent2Char">
    <w:name w:val="Body Text Indent 2 Char"/>
    <w:link w:val="BodyTextIndent2"/>
    <w:rsid w:val="005F6A29"/>
    <w:rPr>
      <w:sz w:val="24"/>
      <w:szCs w:val="24"/>
    </w:rPr>
  </w:style>
  <w:style w:type="paragraph" w:styleId="NoSpacing">
    <w:name w:val="No Spacing"/>
    <w:qFormat/>
    <w:rsid w:val="005F6A29"/>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B2854"/>
    <w:pPr>
      <w:keepNext/>
      <w:widowControl w:val="0"/>
      <w:tabs>
        <w:tab w:val="center" w:pos="4680"/>
      </w:tabs>
      <w:suppressAutoHyphens/>
      <w:jc w:val="center"/>
      <w:outlineLvl w:val="0"/>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AB32F4"/>
    <w:pPr>
      <w:widowControl w:val="0"/>
      <w:tabs>
        <w:tab w:val="left" w:pos="1440"/>
      </w:tabs>
      <w:spacing w:line="240" w:lineRule="exact"/>
      <w:ind w:left="1368" w:hanging="720"/>
    </w:pPr>
    <w:rPr>
      <w:noProof/>
      <w:color w:val="000000"/>
      <w:sz w:val="20"/>
      <w:szCs w:val="20"/>
      <w:lang w:eastAsia="zh-CN"/>
    </w:rPr>
  </w:style>
  <w:style w:type="paragraph" w:customStyle="1" w:styleId="Style3">
    <w:name w:val="Style 3"/>
    <w:basedOn w:val="Normal"/>
    <w:rsid w:val="00AB32F4"/>
    <w:pPr>
      <w:widowControl w:val="0"/>
      <w:spacing w:line="240" w:lineRule="exact"/>
      <w:ind w:left="1368" w:hanging="720"/>
    </w:pPr>
    <w:rPr>
      <w:noProof/>
      <w:color w:val="000000"/>
      <w:sz w:val="20"/>
      <w:szCs w:val="20"/>
      <w:lang w:eastAsia="zh-CN"/>
    </w:rPr>
  </w:style>
  <w:style w:type="paragraph" w:customStyle="1" w:styleId="Style4">
    <w:name w:val="Style 4"/>
    <w:basedOn w:val="Normal"/>
    <w:rsid w:val="00AB32F4"/>
    <w:pPr>
      <w:widowControl w:val="0"/>
    </w:pPr>
    <w:rPr>
      <w:noProof/>
      <w:color w:val="000000"/>
      <w:sz w:val="20"/>
      <w:szCs w:val="20"/>
      <w:lang w:eastAsia="zh-CN"/>
    </w:rPr>
  </w:style>
  <w:style w:type="paragraph" w:styleId="Header">
    <w:name w:val="header"/>
    <w:basedOn w:val="Normal"/>
    <w:rsid w:val="00440F71"/>
    <w:pPr>
      <w:tabs>
        <w:tab w:val="center" w:pos="4320"/>
        <w:tab w:val="right" w:pos="8640"/>
      </w:tabs>
    </w:pPr>
  </w:style>
  <w:style w:type="paragraph" w:styleId="Footer">
    <w:name w:val="footer"/>
    <w:basedOn w:val="Normal"/>
    <w:rsid w:val="00440F71"/>
    <w:pPr>
      <w:tabs>
        <w:tab w:val="center" w:pos="4320"/>
        <w:tab w:val="right" w:pos="8640"/>
      </w:tabs>
    </w:pPr>
  </w:style>
  <w:style w:type="paragraph" w:customStyle="1" w:styleId="Style5">
    <w:name w:val="Style 5"/>
    <w:basedOn w:val="Normal"/>
    <w:rsid w:val="00A24243"/>
    <w:pPr>
      <w:widowControl w:val="0"/>
      <w:spacing w:after="288"/>
      <w:ind w:left="648" w:right="936"/>
    </w:pPr>
    <w:rPr>
      <w:noProof/>
      <w:color w:val="000000"/>
      <w:sz w:val="20"/>
      <w:szCs w:val="20"/>
      <w:lang w:eastAsia="zh-CN"/>
    </w:rPr>
  </w:style>
  <w:style w:type="paragraph" w:styleId="BalloonText">
    <w:name w:val="Balloon Text"/>
    <w:basedOn w:val="Normal"/>
    <w:semiHidden/>
    <w:rsid w:val="00166F3E"/>
    <w:rPr>
      <w:rFonts w:ascii="Tahoma" w:hAnsi="Tahoma" w:cs="Tahoma"/>
      <w:sz w:val="16"/>
      <w:szCs w:val="16"/>
    </w:rPr>
  </w:style>
  <w:style w:type="paragraph" w:styleId="BodyText2">
    <w:name w:val="Body Text 2"/>
    <w:basedOn w:val="Normal"/>
    <w:rsid w:val="00686A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paragraph" w:styleId="HTMLPreformatted">
    <w:name w:val="HTML Preformatted"/>
    <w:basedOn w:val="Normal"/>
    <w:rsid w:val="00204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Davidson">
    <w:name w:val="Davidson"/>
    <w:aliases w:val="Liz"/>
    <w:semiHidden/>
    <w:rsid w:val="00FD2B61"/>
    <w:rPr>
      <w:rFonts w:ascii="Book Antiqua" w:hAnsi="Book Antiqua" w:hint="default"/>
      <w:b w:val="0"/>
      <w:bCs w:val="0"/>
      <w:i w:val="0"/>
      <w:iCs w:val="0"/>
      <w:strike w:val="0"/>
      <w:dstrike w:val="0"/>
      <w:color w:val="auto"/>
      <w:sz w:val="20"/>
      <w:szCs w:val="24"/>
      <w:u w:val="none"/>
      <w:effect w:val="none"/>
    </w:rPr>
  </w:style>
  <w:style w:type="character" w:customStyle="1" w:styleId="Heading1Char">
    <w:name w:val="Heading 1 Char"/>
    <w:link w:val="Heading1"/>
    <w:rsid w:val="00CB2854"/>
    <w:rPr>
      <w:b/>
      <w:bCs/>
      <w:snapToGrid w:val="0"/>
      <w:sz w:val="24"/>
      <w:szCs w:val="24"/>
    </w:rPr>
  </w:style>
  <w:style w:type="character" w:styleId="Hyperlink">
    <w:name w:val="Hyperlink"/>
    <w:rsid w:val="00B4362A"/>
    <w:rPr>
      <w:color w:val="0000FF"/>
      <w:u w:val="single"/>
    </w:rPr>
  </w:style>
  <w:style w:type="paragraph" w:styleId="BodyTextIndent2">
    <w:name w:val="Body Text Indent 2"/>
    <w:basedOn w:val="Normal"/>
    <w:link w:val="BodyTextIndent2Char"/>
    <w:rsid w:val="005F6A29"/>
    <w:pPr>
      <w:spacing w:after="120" w:line="480" w:lineRule="auto"/>
      <w:ind w:left="360"/>
    </w:pPr>
  </w:style>
  <w:style w:type="character" w:customStyle="1" w:styleId="BodyTextIndent2Char">
    <w:name w:val="Body Text Indent 2 Char"/>
    <w:link w:val="BodyTextIndent2"/>
    <w:rsid w:val="005F6A29"/>
    <w:rPr>
      <w:sz w:val="24"/>
      <w:szCs w:val="24"/>
    </w:rPr>
  </w:style>
  <w:style w:type="paragraph" w:styleId="NoSpacing">
    <w:name w:val="No Spacing"/>
    <w:qFormat/>
    <w:rsid w:val="005F6A29"/>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vt:lpstr>
    </vt:vector>
  </TitlesOfParts>
  <Company>潓楣污匠捥牵瑩⁹摁業楮瑳慲楴湯</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105426</dc:creator>
  <cp:keywords>ssa form information claimant ha</cp:keywords>
  <dc:description>Supporting Statement for Form HA-4631,_x000d_Claimant’s Recent Medical Treatment_x000d_2. 	Form HA-4631 is a questionnaire used by SSA to collect information concerning medical treatment.  OMB # 0960-0292_x000d__x000d__x000d_16.	SSA will not publish the results of the information collection.</dc:description>
  <cp:lastModifiedBy>SYSTEM</cp:lastModifiedBy>
  <cp:revision>2</cp:revision>
  <cp:lastPrinted>2014-09-29T11:47:00Z</cp:lastPrinted>
  <dcterms:created xsi:type="dcterms:W3CDTF">2018-04-10T13:52:00Z</dcterms:created>
  <dcterms:modified xsi:type="dcterms:W3CDTF">2018-04-10T13:52:00Z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-264445296</vt:i4>
  </property>
  <property fmtid="{D5CDD505-2E9C-101B-9397-08002B2CF9AE}" pid="4" name="_EmailSubject">
    <vt:lpwstr>OMB Expiration Notice: 0960-0292 HA-4631</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PreviousAdHocReviewCycleID">
    <vt:i4>-443877151</vt:i4>
  </property>
  <property fmtid="{D5CDD505-2E9C-101B-9397-08002B2CF9AE}" pid="8" name="_ReviewingToolsShownOnce">
    <vt:lpwstr/>
  </property>
</Properties>
</file>